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71" w:type="dxa"/>
        <w:tblLayout w:type="fixed"/>
        <w:tblCellMar>
          <w:left w:w="180" w:type="dxa"/>
          <w:right w:w="180" w:type="dxa"/>
        </w:tblCellMar>
        <w:tblLook w:val="0000" w:firstRow="0" w:lastRow="0" w:firstColumn="0" w:lastColumn="0" w:noHBand="0" w:noVBand="0"/>
      </w:tblPr>
      <w:tblGrid>
        <w:gridCol w:w="1813"/>
        <w:gridCol w:w="7658"/>
      </w:tblGrid>
      <w:tr w:rsidR="004E182C" w:rsidRPr="00041AEC">
        <w:trPr>
          <w:trHeight w:val="1440"/>
        </w:trPr>
        <w:tc>
          <w:tcPr>
            <w:tcW w:w="1813" w:type="dxa"/>
            <w:tcBorders>
              <w:top w:val="nil"/>
              <w:left w:val="nil"/>
              <w:bottom w:val="nil"/>
              <w:right w:val="nil"/>
            </w:tcBorders>
          </w:tcPr>
          <w:p w:rsidR="004E182C" w:rsidRPr="00041AEC" w:rsidRDefault="00924409">
            <w:pPr>
              <w:jc w:val="left"/>
            </w:pPr>
            <w:r>
              <w:rPr>
                <w:noProof/>
                <w:lang w:val="fr-FR"/>
              </w:rPr>
              <w:drawing>
                <wp:inline distT="0" distB="0" distL="0" distR="0">
                  <wp:extent cx="866140" cy="6254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140" cy="625475"/>
                          </a:xfrm>
                          <a:prstGeom prst="rect">
                            <a:avLst/>
                          </a:prstGeom>
                          <a:noFill/>
                          <a:ln>
                            <a:noFill/>
                          </a:ln>
                        </pic:spPr>
                      </pic:pic>
                    </a:graphicData>
                  </a:graphic>
                </wp:inline>
              </w:drawing>
            </w:r>
          </w:p>
        </w:tc>
        <w:tc>
          <w:tcPr>
            <w:tcW w:w="7658" w:type="dxa"/>
            <w:tcBorders>
              <w:top w:val="nil"/>
              <w:left w:val="nil"/>
              <w:bottom w:val="nil"/>
              <w:right w:val="nil"/>
            </w:tcBorders>
          </w:tcPr>
          <w:p w:rsidR="004E182C" w:rsidRPr="00041AEC" w:rsidRDefault="004E182C">
            <w:pPr>
              <w:ind w:right="85"/>
              <w:rPr>
                <w:rFonts w:cs="Arial"/>
              </w:rPr>
            </w:pPr>
            <w:r w:rsidRPr="00041AEC">
              <w:rPr>
                <w:rFonts w:cs="Arial"/>
              </w:rPr>
              <w:t>EUROPEAN COMMISSION</w:t>
            </w:r>
          </w:p>
          <w:p w:rsidR="004E182C" w:rsidRPr="00041AEC" w:rsidRDefault="004E182C">
            <w:pPr>
              <w:ind w:right="85"/>
              <w:jc w:val="left"/>
              <w:rPr>
                <w:rFonts w:cs="Arial"/>
                <w:sz w:val="16"/>
                <w:szCs w:val="16"/>
              </w:rPr>
            </w:pPr>
            <w:r w:rsidRPr="00041AEC">
              <w:rPr>
                <w:rFonts w:cs="Arial"/>
                <w:sz w:val="16"/>
                <w:szCs w:val="16"/>
              </w:rPr>
              <w:t xml:space="preserve">DIRECTORATE-GENERAL FOR  HUMANITARIAN  AID </w:t>
            </w:r>
          </w:p>
          <w:p w:rsidR="004E182C" w:rsidRPr="00041AEC" w:rsidRDefault="004E182C">
            <w:pPr>
              <w:ind w:right="85"/>
              <w:jc w:val="left"/>
              <w:rPr>
                <w:rFonts w:cs="Arial"/>
                <w:sz w:val="16"/>
                <w:szCs w:val="16"/>
              </w:rPr>
            </w:pPr>
            <w:r w:rsidRPr="00041AEC">
              <w:rPr>
                <w:rFonts w:cs="Arial"/>
                <w:sz w:val="16"/>
                <w:szCs w:val="16"/>
              </w:rPr>
              <w:t>Regional Support Office for East and Southern Africa (Nairobi)</w:t>
            </w:r>
          </w:p>
          <w:p w:rsidR="004E182C" w:rsidRPr="00041AEC" w:rsidRDefault="004E182C">
            <w:pPr>
              <w:ind w:right="85"/>
              <w:jc w:val="left"/>
            </w:pPr>
          </w:p>
        </w:tc>
      </w:tr>
    </w:tbl>
    <w:p w:rsidR="004E182C" w:rsidRPr="00041AEC" w:rsidRDefault="004E182C">
      <w:pPr>
        <w:jc w:val="left"/>
      </w:pPr>
    </w:p>
    <w:p w:rsidR="004E182C" w:rsidRPr="00EC2A49" w:rsidRDefault="00AA4DCB">
      <w:pPr>
        <w:ind w:left="2160" w:firstLine="720"/>
        <w:rPr>
          <w:b/>
          <w:bCs/>
          <w:caps/>
          <w:sz w:val="28"/>
          <w:szCs w:val="28"/>
          <w:u w:val="single"/>
          <w:lang w:val="fr-FR"/>
        </w:rPr>
      </w:pPr>
      <w:r w:rsidRPr="00EC2A49">
        <w:rPr>
          <w:b/>
          <w:bCs/>
          <w:caps/>
          <w:sz w:val="28"/>
          <w:szCs w:val="28"/>
          <w:u w:val="single"/>
          <w:lang w:val="fr-FR"/>
        </w:rPr>
        <w:t xml:space="preserve">RApport de </w:t>
      </w:r>
      <w:r w:rsidR="004E182C" w:rsidRPr="00EC2A49">
        <w:rPr>
          <w:b/>
          <w:bCs/>
          <w:caps/>
          <w:sz w:val="28"/>
          <w:szCs w:val="28"/>
          <w:u w:val="single"/>
          <w:lang w:val="fr-FR"/>
        </w:rPr>
        <w:t xml:space="preserve">Mission </w:t>
      </w:r>
    </w:p>
    <w:p w:rsidR="004E182C" w:rsidRPr="00EC2A49" w:rsidRDefault="00AA4DCB">
      <w:pPr>
        <w:rPr>
          <w:b/>
          <w:bCs/>
          <w:lang w:val="fr-FR"/>
        </w:rPr>
      </w:pPr>
      <w:r w:rsidRPr="00EC2A49">
        <w:rPr>
          <w:b/>
          <w:bCs/>
          <w:lang w:val="fr-FR"/>
        </w:rPr>
        <w:t>Sujet</w:t>
      </w:r>
      <w:r w:rsidR="004E182C" w:rsidRPr="00EC2A49">
        <w:rPr>
          <w:b/>
          <w:bCs/>
          <w:lang w:val="fr-FR"/>
        </w:rPr>
        <w:t xml:space="preserve"> :  </w:t>
      </w:r>
      <w:r w:rsidR="004E182C" w:rsidRPr="00EC2A49">
        <w:rPr>
          <w:b/>
          <w:bCs/>
          <w:lang w:val="fr-FR"/>
        </w:rPr>
        <w:tab/>
      </w:r>
      <w:r w:rsidR="00D71E43" w:rsidRPr="00EC2A49">
        <w:rPr>
          <w:b/>
          <w:bCs/>
          <w:lang w:val="fr-FR"/>
        </w:rPr>
        <w:t>Problématique Eau au nord du Mali et riposte Ebola.</w:t>
      </w:r>
    </w:p>
    <w:p w:rsidR="004E182C" w:rsidRPr="00EC2A49" w:rsidRDefault="00AA4DCB" w:rsidP="00545562">
      <w:pPr>
        <w:ind w:left="1418" w:hanging="1418"/>
        <w:rPr>
          <w:b/>
          <w:bCs/>
          <w:lang w:val="fr-FR"/>
        </w:rPr>
      </w:pPr>
      <w:r w:rsidRPr="00EC2A49">
        <w:rPr>
          <w:b/>
          <w:bCs/>
          <w:lang w:val="fr-FR"/>
        </w:rPr>
        <w:t>Auteur</w:t>
      </w:r>
      <w:r w:rsidR="004E182C" w:rsidRPr="00EC2A49">
        <w:rPr>
          <w:b/>
          <w:bCs/>
          <w:lang w:val="fr-FR"/>
        </w:rPr>
        <w:t xml:space="preserve">: </w:t>
      </w:r>
      <w:r w:rsidR="004E182C" w:rsidRPr="00EC2A49">
        <w:rPr>
          <w:b/>
          <w:bCs/>
          <w:lang w:val="fr-FR"/>
        </w:rPr>
        <w:tab/>
        <w:t xml:space="preserve">Damien BLANC </w:t>
      </w:r>
      <w:r w:rsidR="004E182C" w:rsidRPr="00EC2A49">
        <w:rPr>
          <w:bCs/>
          <w:i/>
          <w:lang w:val="fr-FR"/>
        </w:rPr>
        <w:t>(</w:t>
      </w:r>
      <w:r w:rsidR="00545562" w:rsidRPr="00EC2A49">
        <w:rPr>
          <w:bCs/>
          <w:i/>
          <w:lang w:val="fr-FR"/>
        </w:rPr>
        <w:t>Expert Eau, Hygiène et Assainissement, Réduction des Catastrophes Naturelles &amp; Coordinateur Réponse d’urgence (Bureau Régional d’Afrique de l’Ouest, Dakar</w:t>
      </w:r>
      <w:r w:rsidR="004E182C" w:rsidRPr="00EC2A49">
        <w:rPr>
          <w:bCs/>
          <w:i/>
          <w:lang w:val="fr-FR"/>
        </w:rPr>
        <w:t>)</w:t>
      </w:r>
    </w:p>
    <w:p w:rsidR="004E182C" w:rsidRPr="00EC2A49" w:rsidRDefault="004E182C">
      <w:pPr>
        <w:rPr>
          <w:b/>
          <w:bCs/>
          <w:lang w:val="fr-FR"/>
        </w:rPr>
      </w:pPr>
      <w:r w:rsidRPr="00EC2A49">
        <w:rPr>
          <w:b/>
          <w:bCs/>
          <w:lang w:val="fr-FR"/>
        </w:rPr>
        <w:t xml:space="preserve">Date: </w:t>
      </w:r>
      <w:r w:rsidRPr="00EC2A49">
        <w:rPr>
          <w:b/>
          <w:bCs/>
          <w:lang w:val="fr-FR"/>
        </w:rPr>
        <w:tab/>
      </w:r>
      <w:r w:rsidRPr="00EC2A49">
        <w:rPr>
          <w:b/>
          <w:bCs/>
          <w:lang w:val="fr-FR"/>
        </w:rPr>
        <w:tab/>
      </w:r>
      <w:r w:rsidR="00AA4DCB" w:rsidRPr="00EC2A49">
        <w:rPr>
          <w:b/>
          <w:bCs/>
          <w:lang w:val="fr-FR"/>
        </w:rPr>
        <w:t>Du</w:t>
      </w:r>
      <w:r w:rsidR="00D71E43" w:rsidRPr="00EC2A49">
        <w:rPr>
          <w:b/>
          <w:bCs/>
          <w:lang w:val="fr-FR"/>
        </w:rPr>
        <w:t xml:space="preserve"> 1er au 10 décembre 2014</w:t>
      </w:r>
    </w:p>
    <w:p w:rsidR="002C448A" w:rsidRPr="00AA4DCB" w:rsidRDefault="00AA4DCB">
      <w:pPr>
        <w:rPr>
          <w:b/>
          <w:bCs/>
          <w:u w:val="single"/>
          <w:lang w:val="fr-FR"/>
        </w:rPr>
      </w:pPr>
      <w:r w:rsidRPr="00AA4DCB">
        <w:rPr>
          <w:b/>
          <w:bCs/>
          <w:u w:val="single"/>
          <w:lang w:val="fr-FR"/>
        </w:rPr>
        <w:t>Acteurs rencontrés</w:t>
      </w:r>
      <w:r w:rsidR="00395365" w:rsidRPr="00AA4DCB">
        <w:rPr>
          <w:b/>
          <w:bCs/>
          <w:u w:val="single"/>
          <w:lang w:val="fr-FR"/>
        </w:rPr>
        <w:t>:</w:t>
      </w:r>
    </w:p>
    <w:p w:rsidR="00DB0826" w:rsidRPr="001F6249" w:rsidRDefault="00A175D3" w:rsidP="001F6249">
      <w:pPr>
        <w:ind w:left="567"/>
        <w:rPr>
          <w:i/>
          <w:sz w:val="20"/>
          <w:szCs w:val="20"/>
          <w:lang w:val="fr-FR"/>
        </w:rPr>
      </w:pPr>
      <w:r>
        <w:rPr>
          <w:i/>
          <w:sz w:val="20"/>
          <w:szCs w:val="20"/>
          <w:lang w:val="fr-FR"/>
        </w:rPr>
        <w:t xml:space="preserve">EHA </w:t>
      </w:r>
      <w:r w:rsidR="00DB0826" w:rsidRPr="001F6249">
        <w:rPr>
          <w:i/>
          <w:sz w:val="20"/>
          <w:szCs w:val="20"/>
          <w:lang w:val="fr-FR"/>
        </w:rPr>
        <w:t xml:space="preserve">au nord Mali : </w:t>
      </w:r>
    </w:p>
    <w:p w:rsidR="00C91DB7" w:rsidRDefault="00DB0826" w:rsidP="00C91DB7">
      <w:pPr>
        <w:rPr>
          <w:sz w:val="20"/>
          <w:szCs w:val="20"/>
          <w:lang w:val="fr-FR"/>
        </w:rPr>
      </w:pPr>
      <w:r>
        <w:rPr>
          <w:sz w:val="20"/>
          <w:szCs w:val="20"/>
          <w:lang w:val="fr-FR"/>
        </w:rPr>
        <w:t>UNICEF, Solidarités</w:t>
      </w:r>
      <w:r w:rsidR="00CF05A7">
        <w:rPr>
          <w:sz w:val="20"/>
          <w:szCs w:val="20"/>
          <w:lang w:val="fr-FR"/>
        </w:rPr>
        <w:t xml:space="preserve"> International</w:t>
      </w:r>
      <w:r>
        <w:rPr>
          <w:sz w:val="20"/>
          <w:szCs w:val="20"/>
          <w:lang w:val="fr-FR"/>
        </w:rPr>
        <w:t xml:space="preserve">, Handicap International, Oxfam, ACF, SOMAGEP, DRH de Tombouctou, Services techniques de Tombouctou, </w:t>
      </w:r>
      <w:r w:rsidR="00CF05A7">
        <w:rPr>
          <w:sz w:val="20"/>
          <w:szCs w:val="20"/>
          <w:lang w:val="fr-FR"/>
        </w:rPr>
        <w:t>Toya</w:t>
      </w:r>
      <w:r w:rsidR="00EC2A49">
        <w:rPr>
          <w:sz w:val="20"/>
          <w:szCs w:val="20"/>
          <w:lang w:val="fr-FR"/>
        </w:rPr>
        <w:t xml:space="preserve"> </w:t>
      </w:r>
      <w:r>
        <w:rPr>
          <w:sz w:val="20"/>
          <w:szCs w:val="20"/>
          <w:lang w:val="fr-FR"/>
        </w:rPr>
        <w:t>&amp; Niafounké,</w:t>
      </w:r>
      <w:r w:rsidR="00CF05A7">
        <w:rPr>
          <w:sz w:val="20"/>
          <w:szCs w:val="20"/>
          <w:lang w:val="fr-FR"/>
        </w:rPr>
        <w:t xml:space="preserve"> Ambassade de Suède, Union Européenne / Section Infrastructure</w:t>
      </w:r>
    </w:p>
    <w:p w:rsidR="00DB0826" w:rsidRPr="001F6249" w:rsidRDefault="00DB0826" w:rsidP="001F6249">
      <w:pPr>
        <w:ind w:left="567"/>
        <w:rPr>
          <w:i/>
          <w:sz w:val="20"/>
          <w:szCs w:val="20"/>
          <w:lang w:val="fr-FR"/>
        </w:rPr>
      </w:pPr>
      <w:r w:rsidRPr="001F6249">
        <w:rPr>
          <w:i/>
          <w:sz w:val="20"/>
          <w:szCs w:val="20"/>
          <w:lang w:val="fr-FR"/>
        </w:rPr>
        <w:t>Ebola</w:t>
      </w:r>
      <w:r w:rsidR="001F6249" w:rsidRPr="001F6249">
        <w:rPr>
          <w:i/>
          <w:sz w:val="20"/>
          <w:szCs w:val="20"/>
          <w:lang w:val="fr-FR"/>
        </w:rPr>
        <w:t xml:space="preserve"> au M</w:t>
      </w:r>
      <w:r w:rsidR="001F6249">
        <w:rPr>
          <w:i/>
          <w:sz w:val="20"/>
          <w:szCs w:val="20"/>
          <w:lang w:val="fr-FR"/>
        </w:rPr>
        <w:t>a</w:t>
      </w:r>
      <w:r w:rsidR="001F6249" w:rsidRPr="001F6249">
        <w:rPr>
          <w:i/>
          <w:sz w:val="20"/>
          <w:szCs w:val="20"/>
          <w:lang w:val="fr-FR"/>
        </w:rPr>
        <w:t>li</w:t>
      </w:r>
    </w:p>
    <w:p w:rsidR="00DB0826" w:rsidRPr="001F6249" w:rsidRDefault="001F6249" w:rsidP="00C91DB7">
      <w:pPr>
        <w:rPr>
          <w:sz w:val="20"/>
          <w:szCs w:val="20"/>
          <w:lang w:val="fr-FR"/>
        </w:rPr>
      </w:pPr>
      <w:proofErr w:type="spellStart"/>
      <w:r>
        <w:rPr>
          <w:sz w:val="20"/>
          <w:szCs w:val="20"/>
          <w:lang w:val="fr-FR"/>
        </w:rPr>
        <w:t>Alima</w:t>
      </w:r>
      <w:proofErr w:type="spellEnd"/>
      <w:r>
        <w:rPr>
          <w:sz w:val="20"/>
          <w:szCs w:val="20"/>
          <w:lang w:val="fr-FR"/>
        </w:rPr>
        <w:t xml:space="preserve">, CRF, </w:t>
      </w:r>
      <w:proofErr w:type="spellStart"/>
      <w:r>
        <w:rPr>
          <w:sz w:val="20"/>
          <w:szCs w:val="20"/>
          <w:lang w:val="fr-FR"/>
        </w:rPr>
        <w:t>Acted</w:t>
      </w:r>
      <w:proofErr w:type="spellEnd"/>
      <w:r>
        <w:rPr>
          <w:sz w:val="20"/>
          <w:szCs w:val="20"/>
          <w:lang w:val="fr-FR"/>
        </w:rPr>
        <w:t xml:space="preserve">, IMC, Autorités sanitaires du </w:t>
      </w:r>
      <w:proofErr w:type="spellStart"/>
      <w:r>
        <w:rPr>
          <w:sz w:val="20"/>
          <w:szCs w:val="20"/>
          <w:lang w:val="fr-FR"/>
        </w:rPr>
        <w:t>CSCom</w:t>
      </w:r>
      <w:proofErr w:type="spellEnd"/>
      <w:r>
        <w:rPr>
          <w:sz w:val="20"/>
          <w:szCs w:val="20"/>
          <w:lang w:val="fr-FR"/>
        </w:rPr>
        <w:t xml:space="preserve"> de </w:t>
      </w:r>
      <w:proofErr w:type="spellStart"/>
      <w:r>
        <w:rPr>
          <w:sz w:val="20"/>
          <w:szCs w:val="20"/>
          <w:lang w:val="fr-FR"/>
        </w:rPr>
        <w:t>Kourémalé</w:t>
      </w:r>
      <w:proofErr w:type="spellEnd"/>
      <w:r>
        <w:rPr>
          <w:sz w:val="20"/>
          <w:szCs w:val="20"/>
          <w:lang w:val="fr-FR"/>
        </w:rPr>
        <w:t>.</w:t>
      </w:r>
    </w:p>
    <w:p w:rsidR="004B2F8E" w:rsidRPr="00AA4DCB" w:rsidRDefault="00395365" w:rsidP="00C81A48">
      <w:pPr>
        <w:rPr>
          <w:b/>
          <w:bCs/>
          <w:u w:val="single"/>
          <w:lang w:val="fr-FR"/>
        </w:rPr>
      </w:pPr>
      <w:r w:rsidRPr="00AA4DCB">
        <w:rPr>
          <w:b/>
          <w:bCs/>
          <w:u w:val="single"/>
          <w:lang w:val="fr-FR"/>
        </w:rPr>
        <w:t xml:space="preserve">Sites </w:t>
      </w:r>
      <w:r w:rsidR="00AA4DCB" w:rsidRPr="00AA4DCB">
        <w:rPr>
          <w:b/>
          <w:bCs/>
          <w:u w:val="single"/>
          <w:lang w:val="fr-FR"/>
        </w:rPr>
        <w:t>visités</w:t>
      </w:r>
    </w:p>
    <w:p w:rsidR="001F6249" w:rsidRPr="001F6249" w:rsidRDefault="00A175D3" w:rsidP="001F6249">
      <w:pPr>
        <w:ind w:left="567"/>
        <w:rPr>
          <w:i/>
          <w:sz w:val="20"/>
          <w:szCs w:val="20"/>
          <w:lang w:val="fr-FR"/>
        </w:rPr>
      </w:pPr>
      <w:r>
        <w:rPr>
          <w:i/>
          <w:sz w:val="20"/>
          <w:szCs w:val="20"/>
          <w:lang w:val="fr-FR"/>
        </w:rPr>
        <w:t xml:space="preserve">EHA </w:t>
      </w:r>
      <w:r w:rsidR="001F6249" w:rsidRPr="001F6249">
        <w:rPr>
          <w:i/>
          <w:sz w:val="20"/>
          <w:szCs w:val="20"/>
          <w:lang w:val="fr-FR"/>
        </w:rPr>
        <w:t xml:space="preserve">au nord Mali : </w:t>
      </w:r>
    </w:p>
    <w:p w:rsidR="001F6249" w:rsidRDefault="001F6249" w:rsidP="001F6249">
      <w:pPr>
        <w:rPr>
          <w:sz w:val="20"/>
          <w:szCs w:val="20"/>
          <w:lang w:val="fr-FR"/>
        </w:rPr>
      </w:pPr>
      <w:r>
        <w:rPr>
          <w:sz w:val="20"/>
          <w:szCs w:val="20"/>
          <w:lang w:val="fr-FR"/>
        </w:rPr>
        <w:t xml:space="preserve">AEP de Tombouctou, AES de </w:t>
      </w:r>
      <w:r w:rsidR="00CF05A7">
        <w:rPr>
          <w:sz w:val="20"/>
          <w:szCs w:val="20"/>
          <w:lang w:val="fr-FR"/>
        </w:rPr>
        <w:t>Toya</w:t>
      </w:r>
      <w:r>
        <w:rPr>
          <w:sz w:val="20"/>
          <w:szCs w:val="20"/>
          <w:lang w:val="fr-FR"/>
        </w:rPr>
        <w:t xml:space="preserve"> (</w:t>
      </w:r>
      <w:r w:rsidR="005D0D05">
        <w:rPr>
          <w:sz w:val="20"/>
          <w:szCs w:val="20"/>
          <w:lang w:val="fr-FR"/>
        </w:rPr>
        <w:t>R</w:t>
      </w:r>
      <w:r w:rsidR="005D0D05">
        <w:rPr>
          <w:sz w:val="20"/>
          <w:szCs w:val="20"/>
          <w:lang w:val="fr-FR"/>
        </w:rPr>
        <w:t>é</w:t>
      </w:r>
      <w:r w:rsidR="005D0D05">
        <w:rPr>
          <w:sz w:val="20"/>
          <w:szCs w:val="20"/>
          <w:lang w:val="fr-FR"/>
        </w:rPr>
        <w:t xml:space="preserve">gion </w:t>
      </w:r>
      <w:r>
        <w:rPr>
          <w:sz w:val="20"/>
          <w:szCs w:val="20"/>
          <w:lang w:val="fr-FR"/>
        </w:rPr>
        <w:t xml:space="preserve">de </w:t>
      </w:r>
      <w:proofErr w:type="spellStart"/>
      <w:r>
        <w:rPr>
          <w:sz w:val="20"/>
          <w:szCs w:val="20"/>
          <w:lang w:val="fr-FR"/>
        </w:rPr>
        <w:t>Tomboctou</w:t>
      </w:r>
      <w:proofErr w:type="spellEnd"/>
      <w:r>
        <w:rPr>
          <w:sz w:val="20"/>
          <w:szCs w:val="20"/>
          <w:lang w:val="fr-FR"/>
        </w:rPr>
        <w:t xml:space="preserve">) et AEP de </w:t>
      </w:r>
      <w:proofErr w:type="spellStart"/>
      <w:r>
        <w:rPr>
          <w:sz w:val="20"/>
          <w:szCs w:val="20"/>
          <w:lang w:val="fr-FR"/>
        </w:rPr>
        <w:t>Nyafouké</w:t>
      </w:r>
      <w:proofErr w:type="spellEnd"/>
      <w:r>
        <w:rPr>
          <w:sz w:val="20"/>
          <w:szCs w:val="20"/>
          <w:lang w:val="fr-FR"/>
        </w:rPr>
        <w:t>.</w:t>
      </w:r>
    </w:p>
    <w:p w:rsidR="001F6249" w:rsidRPr="001F6249" w:rsidRDefault="001F6249" w:rsidP="001F6249">
      <w:pPr>
        <w:ind w:left="567"/>
        <w:rPr>
          <w:i/>
          <w:sz w:val="20"/>
          <w:szCs w:val="20"/>
          <w:lang w:val="fr-FR"/>
        </w:rPr>
      </w:pPr>
      <w:r w:rsidRPr="001F6249">
        <w:rPr>
          <w:i/>
          <w:sz w:val="20"/>
          <w:szCs w:val="20"/>
          <w:lang w:val="fr-FR"/>
        </w:rPr>
        <w:t>Ebola</w:t>
      </w:r>
      <w:r>
        <w:rPr>
          <w:i/>
          <w:sz w:val="20"/>
          <w:szCs w:val="20"/>
          <w:lang w:val="fr-FR"/>
        </w:rPr>
        <w:t xml:space="preserve"> au Mali</w:t>
      </w:r>
    </w:p>
    <w:p w:rsidR="001F6249" w:rsidRPr="001F6249" w:rsidRDefault="001F6249" w:rsidP="001F6249">
      <w:pPr>
        <w:rPr>
          <w:sz w:val="20"/>
          <w:szCs w:val="20"/>
          <w:lang w:val="fr-FR"/>
        </w:rPr>
      </w:pPr>
      <w:r>
        <w:rPr>
          <w:sz w:val="20"/>
          <w:szCs w:val="20"/>
          <w:lang w:val="fr-FR"/>
        </w:rPr>
        <w:t xml:space="preserve">CNAM de MSF (Bamako), centre de transit, cordons sanitaires et </w:t>
      </w:r>
      <w:proofErr w:type="spellStart"/>
      <w:r>
        <w:rPr>
          <w:sz w:val="20"/>
          <w:szCs w:val="20"/>
          <w:lang w:val="fr-FR"/>
        </w:rPr>
        <w:t>CSCom</w:t>
      </w:r>
      <w:proofErr w:type="spellEnd"/>
      <w:r>
        <w:rPr>
          <w:sz w:val="20"/>
          <w:szCs w:val="20"/>
          <w:lang w:val="fr-FR"/>
        </w:rPr>
        <w:t xml:space="preserve"> de </w:t>
      </w:r>
      <w:proofErr w:type="spellStart"/>
      <w:r>
        <w:rPr>
          <w:sz w:val="20"/>
          <w:szCs w:val="20"/>
          <w:lang w:val="fr-FR"/>
        </w:rPr>
        <w:t>Kourémalé</w:t>
      </w:r>
      <w:proofErr w:type="spellEnd"/>
      <w:r>
        <w:rPr>
          <w:sz w:val="20"/>
          <w:szCs w:val="20"/>
          <w:lang w:val="fr-FR"/>
        </w:rPr>
        <w:t xml:space="preserve"> (frontière guinéenne).</w:t>
      </w:r>
    </w:p>
    <w:p w:rsidR="00395365" w:rsidRPr="00AA4DCB" w:rsidRDefault="00395365" w:rsidP="00C81A48">
      <w:pPr>
        <w:rPr>
          <w:b/>
          <w:bCs/>
          <w:u w:val="single"/>
          <w:lang w:val="fr-FR"/>
        </w:rPr>
      </w:pPr>
    </w:p>
    <w:p w:rsidR="00395365" w:rsidRPr="00AA4DCB" w:rsidRDefault="00395365" w:rsidP="00C81A48">
      <w:pPr>
        <w:rPr>
          <w:i/>
          <w:lang w:val="fr-FR"/>
        </w:rPr>
      </w:pPr>
    </w:p>
    <w:p w:rsidR="004B2F8E" w:rsidRPr="00AA4DCB" w:rsidRDefault="004B2F8E" w:rsidP="00C81A48">
      <w:pPr>
        <w:rPr>
          <w:i/>
          <w:lang w:val="fr-FR"/>
        </w:rPr>
        <w:sectPr w:rsidR="004B2F8E" w:rsidRPr="00AA4DCB" w:rsidSect="00F17D5F">
          <w:footerReference w:type="even" r:id="rId10"/>
          <w:footerReference w:type="default" r:id="rId11"/>
          <w:pgSz w:w="11905" w:h="16838" w:code="9"/>
          <w:pgMar w:top="1021" w:right="1418" w:bottom="851" w:left="1418" w:header="601" w:footer="1077" w:gutter="0"/>
          <w:pgNumType w:start="1"/>
          <w:cols w:space="720"/>
          <w:noEndnote/>
          <w:titlePg/>
        </w:sectPr>
      </w:pPr>
    </w:p>
    <w:p w:rsidR="00C81A48" w:rsidRPr="00041AEC" w:rsidRDefault="00C81A48" w:rsidP="00C81A48">
      <w:r w:rsidRPr="00041AEC">
        <w:lastRenderedPageBreak/>
        <w:t>TABLE DES MATIERES</w:t>
      </w:r>
    </w:p>
    <w:p w:rsidR="00423A91" w:rsidRPr="00EF1C34" w:rsidRDefault="00C81A48">
      <w:pPr>
        <w:pStyle w:val="TOC1"/>
        <w:tabs>
          <w:tab w:val="left" w:pos="440"/>
          <w:tab w:val="right" w:leader="dot" w:pos="9059"/>
        </w:tabs>
        <w:rPr>
          <w:rFonts w:ascii="Calibri" w:hAnsi="Calibri"/>
          <w:noProof/>
          <w:kern w:val="0"/>
          <w:szCs w:val="22"/>
          <w:lang w:val="fr-FR"/>
        </w:rPr>
      </w:pPr>
      <w:r w:rsidRPr="00041AEC">
        <w:fldChar w:fldCharType="begin"/>
      </w:r>
      <w:r w:rsidRPr="00041AEC">
        <w:instrText xml:space="preserve"> TOC \o "1-3" \h \z \u </w:instrText>
      </w:r>
      <w:r w:rsidRPr="00041AEC">
        <w:fldChar w:fldCharType="separate"/>
      </w:r>
      <w:hyperlink w:anchor="_Toc406063876" w:history="1">
        <w:r w:rsidR="00423A91" w:rsidRPr="00A642ED">
          <w:rPr>
            <w:rStyle w:val="Hyperlink"/>
            <w:noProof/>
          </w:rPr>
          <w:t>1</w:t>
        </w:r>
        <w:r w:rsidR="00423A91" w:rsidRPr="00EF1C34">
          <w:rPr>
            <w:rFonts w:ascii="Calibri" w:hAnsi="Calibri"/>
            <w:noProof/>
            <w:kern w:val="0"/>
            <w:szCs w:val="22"/>
            <w:lang w:val="fr-FR"/>
          </w:rPr>
          <w:tab/>
        </w:r>
        <w:r w:rsidR="00423A91" w:rsidRPr="00A642ED">
          <w:rPr>
            <w:rStyle w:val="Hyperlink"/>
            <w:noProof/>
          </w:rPr>
          <w:t>Contexte.</w:t>
        </w:r>
        <w:r w:rsidR="00423A91">
          <w:rPr>
            <w:noProof/>
            <w:webHidden/>
          </w:rPr>
          <w:tab/>
        </w:r>
        <w:r w:rsidR="00423A91">
          <w:rPr>
            <w:noProof/>
            <w:webHidden/>
          </w:rPr>
          <w:fldChar w:fldCharType="begin"/>
        </w:r>
        <w:r w:rsidR="00423A91">
          <w:rPr>
            <w:noProof/>
            <w:webHidden/>
          </w:rPr>
          <w:instrText xml:space="preserve"> PAGEREF _Toc406063876 \h </w:instrText>
        </w:r>
        <w:r w:rsidR="00423A91">
          <w:rPr>
            <w:noProof/>
            <w:webHidden/>
          </w:rPr>
        </w:r>
        <w:r w:rsidR="00423A91">
          <w:rPr>
            <w:noProof/>
            <w:webHidden/>
          </w:rPr>
          <w:fldChar w:fldCharType="separate"/>
        </w:r>
        <w:r w:rsidR="00423A91">
          <w:rPr>
            <w:noProof/>
            <w:webHidden/>
          </w:rPr>
          <w:t>3</w:t>
        </w:r>
        <w:r w:rsidR="00423A91">
          <w:rPr>
            <w:noProof/>
            <w:webHidden/>
          </w:rPr>
          <w:fldChar w:fldCharType="end"/>
        </w:r>
      </w:hyperlink>
    </w:p>
    <w:p w:rsidR="00423A91" w:rsidRPr="00EF1C34" w:rsidRDefault="00EC2A49">
      <w:pPr>
        <w:pStyle w:val="TOC2"/>
        <w:tabs>
          <w:tab w:val="left" w:pos="880"/>
          <w:tab w:val="right" w:leader="dot" w:pos="9059"/>
        </w:tabs>
        <w:rPr>
          <w:rFonts w:ascii="Calibri" w:hAnsi="Calibri"/>
          <w:noProof/>
          <w:kern w:val="0"/>
          <w:szCs w:val="22"/>
          <w:lang w:val="fr-FR"/>
        </w:rPr>
      </w:pPr>
      <w:hyperlink w:anchor="_Toc406063877" w:history="1">
        <w:r w:rsidR="00423A91" w:rsidRPr="00A642ED">
          <w:rPr>
            <w:rStyle w:val="Hyperlink"/>
            <w:noProof/>
            <w:lang w:val="fr-FR"/>
          </w:rPr>
          <w:t>1.1</w:t>
        </w:r>
        <w:r w:rsidR="00423A91" w:rsidRPr="00EF1C34">
          <w:rPr>
            <w:rFonts w:ascii="Calibri" w:hAnsi="Calibri"/>
            <w:noProof/>
            <w:kern w:val="0"/>
            <w:szCs w:val="22"/>
            <w:lang w:val="fr-FR"/>
          </w:rPr>
          <w:tab/>
        </w:r>
        <w:r w:rsidR="00423A91" w:rsidRPr="00A642ED">
          <w:rPr>
            <w:rStyle w:val="Hyperlink"/>
            <w:noProof/>
            <w:lang w:val="fr-FR"/>
          </w:rPr>
          <w:t>Déplacement de population : Réponse Eau Hygiène et Assainissement au Nord Mali</w:t>
        </w:r>
        <w:r w:rsidR="00423A91">
          <w:rPr>
            <w:noProof/>
            <w:webHidden/>
          </w:rPr>
          <w:tab/>
        </w:r>
        <w:r w:rsidR="00423A91">
          <w:rPr>
            <w:noProof/>
            <w:webHidden/>
          </w:rPr>
          <w:fldChar w:fldCharType="begin"/>
        </w:r>
        <w:r w:rsidR="00423A91">
          <w:rPr>
            <w:noProof/>
            <w:webHidden/>
          </w:rPr>
          <w:instrText xml:space="preserve"> PAGEREF _Toc406063877 \h </w:instrText>
        </w:r>
        <w:r w:rsidR="00423A91">
          <w:rPr>
            <w:noProof/>
            <w:webHidden/>
          </w:rPr>
        </w:r>
        <w:r w:rsidR="00423A91">
          <w:rPr>
            <w:noProof/>
            <w:webHidden/>
          </w:rPr>
          <w:fldChar w:fldCharType="separate"/>
        </w:r>
        <w:r w:rsidR="00423A91">
          <w:rPr>
            <w:noProof/>
            <w:webHidden/>
          </w:rPr>
          <w:t>3</w:t>
        </w:r>
        <w:r w:rsidR="00423A91">
          <w:rPr>
            <w:noProof/>
            <w:webHidden/>
          </w:rPr>
          <w:fldChar w:fldCharType="end"/>
        </w:r>
      </w:hyperlink>
    </w:p>
    <w:p w:rsidR="00423A91" w:rsidRPr="00EF1C34" w:rsidRDefault="00EC2A49">
      <w:pPr>
        <w:pStyle w:val="TOC3"/>
        <w:tabs>
          <w:tab w:val="left" w:pos="1320"/>
          <w:tab w:val="right" w:leader="dot" w:pos="9059"/>
        </w:tabs>
        <w:rPr>
          <w:rFonts w:ascii="Calibri" w:hAnsi="Calibri"/>
          <w:noProof/>
          <w:kern w:val="0"/>
          <w:szCs w:val="22"/>
          <w:lang w:val="fr-FR"/>
        </w:rPr>
      </w:pPr>
      <w:hyperlink w:anchor="_Toc406063878" w:history="1">
        <w:r w:rsidR="00423A91" w:rsidRPr="00A642ED">
          <w:rPr>
            <w:rStyle w:val="Hyperlink"/>
            <w:noProof/>
          </w:rPr>
          <w:t>1.1.1</w:t>
        </w:r>
        <w:r w:rsidR="00423A91" w:rsidRPr="00EF1C34">
          <w:rPr>
            <w:rFonts w:ascii="Calibri" w:hAnsi="Calibri"/>
            <w:noProof/>
            <w:kern w:val="0"/>
            <w:szCs w:val="22"/>
            <w:lang w:val="fr-FR"/>
          </w:rPr>
          <w:tab/>
        </w:r>
        <w:r w:rsidR="00423A91" w:rsidRPr="00A642ED">
          <w:rPr>
            <w:rStyle w:val="Hyperlink"/>
            <w:noProof/>
          </w:rPr>
          <w:t>Historique</w:t>
        </w:r>
        <w:r w:rsidR="00423A91">
          <w:rPr>
            <w:noProof/>
            <w:webHidden/>
          </w:rPr>
          <w:tab/>
        </w:r>
        <w:r w:rsidR="00423A91">
          <w:rPr>
            <w:noProof/>
            <w:webHidden/>
          </w:rPr>
          <w:fldChar w:fldCharType="begin"/>
        </w:r>
        <w:r w:rsidR="00423A91">
          <w:rPr>
            <w:noProof/>
            <w:webHidden/>
          </w:rPr>
          <w:instrText xml:space="preserve"> PAGEREF _Toc406063878 \h </w:instrText>
        </w:r>
        <w:r w:rsidR="00423A91">
          <w:rPr>
            <w:noProof/>
            <w:webHidden/>
          </w:rPr>
        </w:r>
        <w:r w:rsidR="00423A91">
          <w:rPr>
            <w:noProof/>
            <w:webHidden/>
          </w:rPr>
          <w:fldChar w:fldCharType="separate"/>
        </w:r>
        <w:r w:rsidR="00423A91">
          <w:rPr>
            <w:noProof/>
            <w:webHidden/>
          </w:rPr>
          <w:t>3</w:t>
        </w:r>
        <w:r w:rsidR="00423A91">
          <w:rPr>
            <w:noProof/>
            <w:webHidden/>
          </w:rPr>
          <w:fldChar w:fldCharType="end"/>
        </w:r>
      </w:hyperlink>
    </w:p>
    <w:p w:rsidR="00423A91" w:rsidRPr="00EF1C34" w:rsidRDefault="00EC2A49">
      <w:pPr>
        <w:pStyle w:val="TOC3"/>
        <w:tabs>
          <w:tab w:val="left" w:pos="1320"/>
          <w:tab w:val="right" w:leader="dot" w:pos="9059"/>
        </w:tabs>
        <w:rPr>
          <w:rFonts w:ascii="Calibri" w:hAnsi="Calibri"/>
          <w:noProof/>
          <w:kern w:val="0"/>
          <w:szCs w:val="22"/>
          <w:lang w:val="fr-FR"/>
        </w:rPr>
      </w:pPr>
      <w:hyperlink w:anchor="_Toc406063879" w:history="1">
        <w:r w:rsidR="00423A91" w:rsidRPr="00A642ED">
          <w:rPr>
            <w:rStyle w:val="Hyperlink"/>
            <w:noProof/>
          </w:rPr>
          <w:t>1.1.2</w:t>
        </w:r>
        <w:r w:rsidR="00423A91" w:rsidRPr="00EF1C34">
          <w:rPr>
            <w:rFonts w:ascii="Calibri" w:hAnsi="Calibri"/>
            <w:noProof/>
            <w:kern w:val="0"/>
            <w:szCs w:val="22"/>
            <w:lang w:val="fr-FR"/>
          </w:rPr>
          <w:tab/>
        </w:r>
        <w:r w:rsidR="00423A91" w:rsidRPr="00A642ED">
          <w:rPr>
            <w:rStyle w:val="Hyperlink"/>
            <w:noProof/>
          </w:rPr>
          <w:t>Problématique</w:t>
        </w:r>
        <w:r w:rsidR="00423A91">
          <w:rPr>
            <w:noProof/>
            <w:webHidden/>
          </w:rPr>
          <w:tab/>
        </w:r>
        <w:r w:rsidR="00423A91">
          <w:rPr>
            <w:noProof/>
            <w:webHidden/>
          </w:rPr>
          <w:fldChar w:fldCharType="begin"/>
        </w:r>
        <w:r w:rsidR="00423A91">
          <w:rPr>
            <w:noProof/>
            <w:webHidden/>
          </w:rPr>
          <w:instrText xml:space="preserve"> PAGEREF _Toc406063879 \h </w:instrText>
        </w:r>
        <w:r w:rsidR="00423A91">
          <w:rPr>
            <w:noProof/>
            <w:webHidden/>
          </w:rPr>
        </w:r>
        <w:r w:rsidR="00423A91">
          <w:rPr>
            <w:noProof/>
            <w:webHidden/>
          </w:rPr>
          <w:fldChar w:fldCharType="separate"/>
        </w:r>
        <w:r w:rsidR="00423A91">
          <w:rPr>
            <w:noProof/>
            <w:webHidden/>
          </w:rPr>
          <w:t>3</w:t>
        </w:r>
        <w:r w:rsidR="00423A91">
          <w:rPr>
            <w:noProof/>
            <w:webHidden/>
          </w:rPr>
          <w:fldChar w:fldCharType="end"/>
        </w:r>
      </w:hyperlink>
    </w:p>
    <w:p w:rsidR="00423A91" w:rsidRPr="00EF1C34" w:rsidRDefault="00EC2A49">
      <w:pPr>
        <w:pStyle w:val="TOC3"/>
        <w:tabs>
          <w:tab w:val="left" w:pos="1320"/>
          <w:tab w:val="right" w:leader="dot" w:pos="9059"/>
        </w:tabs>
        <w:rPr>
          <w:rFonts w:ascii="Calibri" w:hAnsi="Calibri"/>
          <w:noProof/>
          <w:kern w:val="0"/>
          <w:szCs w:val="22"/>
          <w:lang w:val="fr-FR"/>
        </w:rPr>
      </w:pPr>
      <w:hyperlink w:anchor="_Toc406063880" w:history="1">
        <w:r w:rsidR="00423A91" w:rsidRPr="00A642ED">
          <w:rPr>
            <w:rStyle w:val="Hyperlink"/>
            <w:noProof/>
          </w:rPr>
          <w:t>1.1.3</w:t>
        </w:r>
        <w:r w:rsidR="00423A91" w:rsidRPr="00EF1C34">
          <w:rPr>
            <w:rFonts w:ascii="Calibri" w:hAnsi="Calibri"/>
            <w:noProof/>
            <w:kern w:val="0"/>
            <w:szCs w:val="22"/>
            <w:lang w:val="fr-FR"/>
          </w:rPr>
          <w:tab/>
        </w:r>
        <w:r w:rsidR="00423A91" w:rsidRPr="00A642ED">
          <w:rPr>
            <w:rStyle w:val="Hyperlink"/>
            <w:noProof/>
          </w:rPr>
          <w:t>Réponse d’ECHO</w:t>
        </w:r>
        <w:r w:rsidR="00423A91">
          <w:rPr>
            <w:noProof/>
            <w:webHidden/>
          </w:rPr>
          <w:tab/>
        </w:r>
        <w:r w:rsidR="00423A91">
          <w:rPr>
            <w:noProof/>
            <w:webHidden/>
          </w:rPr>
          <w:fldChar w:fldCharType="begin"/>
        </w:r>
        <w:r w:rsidR="00423A91">
          <w:rPr>
            <w:noProof/>
            <w:webHidden/>
          </w:rPr>
          <w:instrText xml:space="preserve"> PAGEREF _Toc406063880 \h </w:instrText>
        </w:r>
        <w:r w:rsidR="00423A91">
          <w:rPr>
            <w:noProof/>
            <w:webHidden/>
          </w:rPr>
        </w:r>
        <w:r w:rsidR="00423A91">
          <w:rPr>
            <w:noProof/>
            <w:webHidden/>
          </w:rPr>
          <w:fldChar w:fldCharType="separate"/>
        </w:r>
        <w:r w:rsidR="00423A91">
          <w:rPr>
            <w:noProof/>
            <w:webHidden/>
          </w:rPr>
          <w:t>3</w:t>
        </w:r>
        <w:r w:rsidR="00423A91">
          <w:rPr>
            <w:noProof/>
            <w:webHidden/>
          </w:rPr>
          <w:fldChar w:fldCharType="end"/>
        </w:r>
      </w:hyperlink>
    </w:p>
    <w:p w:rsidR="00423A91" w:rsidRPr="00EF1C34" w:rsidRDefault="00EC2A49">
      <w:pPr>
        <w:pStyle w:val="TOC2"/>
        <w:tabs>
          <w:tab w:val="left" w:pos="880"/>
          <w:tab w:val="right" w:leader="dot" w:pos="9059"/>
        </w:tabs>
        <w:rPr>
          <w:rFonts w:ascii="Calibri" w:hAnsi="Calibri"/>
          <w:noProof/>
          <w:kern w:val="0"/>
          <w:szCs w:val="22"/>
          <w:lang w:val="fr-FR"/>
        </w:rPr>
      </w:pPr>
      <w:hyperlink w:anchor="_Toc406063881" w:history="1">
        <w:r w:rsidR="00423A91" w:rsidRPr="00A642ED">
          <w:rPr>
            <w:rStyle w:val="Hyperlink"/>
            <w:noProof/>
            <w:lang w:val="fr-FR"/>
          </w:rPr>
          <w:t>1.2</w:t>
        </w:r>
        <w:r w:rsidR="00423A91" w:rsidRPr="00EF1C34">
          <w:rPr>
            <w:rFonts w:ascii="Calibri" w:hAnsi="Calibri"/>
            <w:noProof/>
            <w:kern w:val="0"/>
            <w:szCs w:val="22"/>
            <w:lang w:val="fr-FR"/>
          </w:rPr>
          <w:tab/>
        </w:r>
        <w:r w:rsidR="00423A91" w:rsidRPr="00A642ED">
          <w:rPr>
            <w:rStyle w:val="Hyperlink"/>
            <w:noProof/>
            <w:lang w:val="fr-FR"/>
          </w:rPr>
          <w:t>Epidémie : Ebola au Mali</w:t>
        </w:r>
        <w:r w:rsidR="00423A91">
          <w:rPr>
            <w:noProof/>
            <w:webHidden/>
          </w:rPr>
          <w:tab/>
        </w:r>
        <w:r w:rsidR="00423A91">
          <w:rPr>
            <w:noProof/>
            <w:webHidden/>
          </w:rPr>
          <w:fldChar w:fldCharType="begin"/>
        </w:r>
        <w:r w:rsidR="00423A91">
          <w:rPr>
            <w:noProof/>
            <w:webHidden/>
          </w:rPr>
          <w:instrText xml:space="preserve"> PAGEREF _Toc406063881 \h </w:instrText>
        </w:r>
        <w:r w:rsidR="00423A91">
          <w:rPr>
            <w:noProof/>
            <w:webHidden/>
          </w:rPr>
        </w:r>
        <w:r w:rsidR="00423A91">
          <w:rPr>
            <w:noProof/>
            <w:webHidden/>
          </w:rPr>
          <w:fldChar w:fldCharType="separate"/>
        </w:r>
        <w:r w:rsidR="00423A91">
          <w:rPr>
            <w:noProof/>
            <w:webHidden/>
          </w:rPr>
          <w:t>6</w:t>
        </w:r>
        <w:r w:rsidR="00423A91">
          <w:rPr>
            <w:noProof/>
            <w:webHidden/>
          </w:rPr>
          <w:fldChar w:fldCharType="end"/>
        </w:r>
      </w:hyperlink>
    </w:p>
    <w:p w:rsidR="00423A91" w:rsidRPr="00EF1C34" w:rsidRDefault="00EC2A49">
      <w:pPr>
        <w:pStyle w:val="TOC3"/>
        <w:tabs>
          <w:tab w:val="left" w:pos="1320"/>
          <w:tab w:val="right" w:leader="dot" w:pos="9059"/>
        </w:tabs>
        <w:rPr>
          <w:rFonts w:ascii="Calibri" w:hAnsi="Calibri"/>
          <w:noProof/>
          <w:kern w:val="0"/>
          <w:szCs w:val="22"/>
          <w:lang w:val="fr-FR"/>
        </w:rPr>
      </w:pPr>
      <w:hyperlink w:anchor="_Toc406063882" w:history="1">
        <w:r w:rsidR="00423A91" w:rsidRPr="00A642ED">
          <w:rPr>
            <w:rStyle w:val="Hyperlink"/>
            <w:noProof/>
          </w:rPr>
          <w:t>1.2.1</w:t>
        </w:r>
        <w:r w:rsidR="00423A91" w:rsidRPr="00EF1C34">
          <w:rPr>
            <w:rFonts w:ascii="Calibri" w:hAnsi="Calibri"/>
            <w:noProof/>
            <w:kern w:val="0"/>
            <w:szCs w:val="22"/>
            <w:lang w:val="fr-FR"/>
          </w:rPr>
          <w:tab/>
        </w:r>
        <w:r w:rsidR="00423A91" w:rsidRPr="00A642ED">
          <w:rPr>
            <w:rStyle w:val="Hyperlink"/>
            <w:noProof/>
          </w:rPr>
          <w:t>Historique</w:t>
        </w:r>
        <w:r w:rsidR="00423A91">
          <w:rPr>
            <w:noProof/>
            <w:webHidden/>
          </w:rPr>
          <w:tab/>
        </w:r>
        <w:r w:rsidR="00423A91">
          <w:rPr>
            <w:noProof/>
            <w:webHidden/>
          </w:rPr>
          <w:fldChar w:fldCharType="begin"/>
        </w:r>
        <w:r w:rsidR="00423A91">
          <w:rPr>
            <w:noProof/>
            <w:webHidden/>
          </w:rPr>
          <w:instrText xml:space="preserve"> PAGEREF _Toc406063882 \h </w:instrText>
        </w:r>
        <w:r w:rsidR="00423A91">
          <w:rPr>
            <w:noProof/>
            <w:webHidden/>
          </w:rPr>
        </w:r>
        <w:r w:rsidR="00423A91">
          <w:rPr>
            <w:noProof/>
            <w:webHidden/>
          </w:rPr>
          <w:fldChar w:fldCharType="separate"/>
        </w:r>
        <w:r w:rsidR="00423A91">
          <w:rPr>
            <w:noProof/>
            <w:webHidden/>
          </w:rPr>
          <w:t>6</w:t>
        </w:r>
        <w:r w:rsidR="00423A91">
          <w:rPr>
            <w:noProof/>
            <w:webHidden/>
          </w:rPr>
          <w:fldChar w:fldCharType="end"/>
        </w:r>
      </w:hyperlink>
    </w:p>
    <w:p w:rsidR="00423A91" w:rsidRPr="00EF1C34" w:rsidRDefault="00EC2A49">
      <w:pPr>
        <w:pStyle w:val="TOC3"/>
        <w:tabs>
          <w:tab w:val="left" w:pos="1320"/>
          <w:tab w:val="right" w:leader="dot" w:pos="9059"/>
        </w:tabs>
        <w:rPr>
          <w:rFonts w:ascii="Calibri" w:hAnsi="Calibri"/>
          <w:noProof/>
          <w:kern w:val="0"/>
          <w:szCs w:val="22"/>
          <w:lang w:val="fr-FR"/>
        </w:rPr>
      </w:pPr>
      <w:hyperlink w:anchor="_Toc406063883" w:history="1">
        <w:r w:rsidR="00423A91" w:rsidRPr="00A642ED">
          <w:rPr>
            <w:rStyle w:val="Hyperlink"/>
            <w:noProof/>
          </w:rPr>
          <w:t>1.2.2</w:t>
        </w:r>
        <w:r w:rsidR="00423A91" w:rsidRPr="00EF1C34">
          <w:rPr>
            <w:rFonts w:ascii="Calibri" w:hAnsi="Calibri"/>
            <w:noProof/>
            <w:kern w:val="0"/>
            <w:szCs w:val="22"/>
            <w:lang w:val="fr-FR"/>
          </w:rPr>
          <w:tab/>
        </w:r>
        <w:r w:rsidR="00423A91" w:rsidRPr="00A642ED">
          <w:rPr>
            <w:rStyle w:val="Hyperlink"/>
            <w:noProof/>
          </w:rPr>
          <w:t>Problématique</w:t>
        </w:r>
        <w:r w:rsidR="00423A91">
          <w:rPr>
            <w:noProof/>
            <w:webHidden/>
          </w:rPr>
          <w:tab/>
        </w:r>
        <w:r w:rsidR="00423A91">
          <w:rPr>
            <w:noProof/>
            <w:webHidden/>
          </w:rPr>
          <w:fldChar w:fldCharType="begin"/>
        </w:r>
        <w:r w:rsidR="00423A91">
          <w:rPr>
            <w:noProof/>
            <w:webHidden/>
          </w:rPr>
          <w:instrText xml:space="preserve"> PAGEREF _Toc406063883 \h </w:instrText>
        </w:r>
        <w:r w:rsidR="00423A91">
          <w:rPr>
            <w:noProof/>
            <w:webHidden/>
          </w:rPr>
        </w:r>
        <w:r w:rsidR="00423A91">
          <w:rPr>
            <w:noProof/>
            <w:webHidden/>
          </w:rPr>
          <w:fldChar w:fldCharType="separate"/>
        </w:r>
        <w:r w:rsidR="00423A91">
          <w:rPr>
            <w:noProof/>
            <w:webHidden/>
          </w:rPr>
          <w:t>7</w:t>
        </w:r>
        <w:r w:rsidR="00423A91">
          <w:rPr>
            <w:noProof/>
            <w:webHidden/>
          </w:rPr>
          <w:fldChar w:fldCharType="end"/>
        </w:r>
      </w:hyperlink>
    </w:p>
    <w:p w:rsidR="00423A91" w:rsidRPr="00EF1C34" w:rsidRDefault="00EC2A49">
      <w:pPr>
        <w:pStyle w:val="TOC3"/>
        <w:tabs>
          <w:tab w:val="left" w:pos="1320"/>
          <w:tab w:val="right" w:leader="dot" w:pos="9059"/>
        </w:tabs>
        <w:rPr>
          <w:rFonts w:ascii="Calibri" w:hAnsi="Calibri"/>
          <w:noProof/>
          <w:kern w:val="0"/>
          <w:szCs w:val="22"/>
          <w:lang w:val="fr-FR"/>
        </w:rPr>
      </w:pPr>
      <w:hyperlink w:anchor="_Toc406063884" w:history="1">
        <w:r w:rsidR="00423A91" w:rsidRPr="00A642ED">
          <w:rPr>
            <w:rStyle w:val="Hyperlink"/>
            <w:noProof/>
          </w:rPr>
          <w:t>1.2.3</w:t>
        </w:r>
        <w:r w:rsidR="00423A91" w:rsidRPr="00EF1C34">
          <w:rPr>
            <w:rFonts w:ascii="Calibri" w:hAnsi="Calibri"/>
            <w:noProof/>
            <w:kern w:val="0"/>
            <w:szCs w:val="22"/>
            <w:lang w:val="fr-FR"/>
          </w:rPr>
          <w:tab/>
        </w:r>
        <w:r w:rsidR="00423A91" w:rsidRPr="00A642ED">
          <w:rPr>
            <w:rStyle w:val="Hyperlink"/>
            <w:noProof/>
          </w:rPr>
          <w:t>Réponse d’ECHO</w:t>
        </w:r>
        <w:r w:rsidR="00423A91">
          <w:rPr>
            <w:noProof/>
            <w:webHidden/>
          </w:rPr>
          <w:tab/>
        </w:r>
        <w:r w:rsidR="00423A91">
          <w:rPr>
            <w:noProof/>
            <w:webHidden/>
          </w:rPr>
          <w:fldChar w:fldCharType="begin"/>
        </w:r>
        <w:r w:rsidR="00423A91">
          <w:rPr>
            <w:noProof/>
            <w:webHidden/>
          </w:rPr>
          <w:instrText xml:space="preserve"> PAGEREF _Toc406063884 \h </w:instrText>
        </w:r>
        <w:r w:rsidR="00423A91">
          <w:rPr>
            <w:noProof/>
            <w:webHidden/>
          </w:rPr>
        </w:r>
        <w:r w:rsidR="00423A91">
          <w:rPr>
            <w:noProof/>
            <w:webHidden/>
          </w:rPr>
          <w:fldChar w:fldCharType="separate"/>
        </w:r>
        <w:r w:rsidR="00423A91">
          <w:rPr>
            <w:noProof/>
            <w:webHidden/>
          </w:rPr>
          <w:t>8</w:t>
        </w:r>
        <w:r w:rsidR="00423A91">
          <w:rPr>
            <w:noProof/>
            <w:webHidden/>
          </w:rPr>
          <w:fldChar w:fldCharType="end"/>
        </w:r>
      </w:hyperlink>
    </w:p>
    <w:p w:rsidR="00423A91" w:rsidRPr="00EF1C34" w:rsidRDefault="00EC2A49">
      <w:pPr>
        <w:pStyle w:val="TOC2"/>
        <w:tabs>
          <w:tab w:val="left" w:pos="880"/>
          <w:tab w:val="right" w:leader="dot" w:pos="9059"/>
        </w:tabs>
        <w:rPr>
          <w:rFonts w:ascii="Calibri" w:hAnsi="Calibri"/>
          <w:noProof/>
          <w:kern w:val="0"/>
          <w:szCs w:val="22"/>
          <w:lang w:val="fr-FR"/>
        </w:rPr>
      </w:pPr>
      <w:hyperlink w:anchor="_Toc406063885" w:history="1">
        <w:r w:rsidR="00423A91" w:rsidRPr="00A642ED">
          <w:rPr>
            <w:rStyle w:val="Hyperlink"/>
            <w:noProof/>
            <w:lang w:val="fr-FR"/>
          </w:rPr>
          <w:t>1.3</w:t>
        </w:r>
        <w:r w:rsidR="00423A91" w:rsidRPr="00EF1C34">
          <w:rPr>
            <w:rFonts w:ascii="Calibri" w:hAnsi="Calibri"/>
            <w:noProof/>
            <w:kern w:val="0"/>
            <w:szCs w:val="22"/>
            <w:lang w:val="fr-FR"/>
          </w:rPr>
          <w:tab/>
        </w:r>
        <w:r w:rsidR="00423A91" w:rsidRPr="00A642ED">
          <w:rPr>
            <w:rStyle w:val="Hyperlink"/>
            <w:noProof/>
            <w:lang w:val="fr-FR"/>
          </w:rPr>
          <w:t>WASH’NUT au Mali</w:t>
        </w:r>
        <w:r w:rsidR="00423A91">
          <w:rPr>
            <w:noProof/>
            <w:webHidden/>
          </w:rPr>
          <w:tab/>
        </w:r>
        <w:r w:rsidR="00423A91">
          <w:rPr>
            <w:noProof/>
            <w:webHidden/>
          </w:rPr>
          <w:fldChar w:fldCharType="begin"/>
        </w:r>
        <w:r w:rsidR="00423A91">
          <w:rPr>
            <w:noProof/>
            <w:webHidden/>
          </w:rPr>
          <w:instrText xml:space="preserve"> PAGEREF _Toc406063885 \h </w:instrText>
        </w:r>
        <w:r w:rsidR="00423A91">
          <w:rPr>
            <w:noProof/>
            <w:webHidden/>
          </w:rPr>
        </w:r>
        <w:r w:rsidR="00423A91">
          <w:rPr>
            <w:noProof/>
            <w:webHidden/>
          </w:rPr>
          <w:fldChar w:fldCharType="separate"/>
        </w:r>
        <w:r w:rsidR="00423A91">
          <w:rPr>
            <w:noProof/>
            <w:webHidden/>
          </w:rPr>
          <w:t>9</w:t>
        </w:r>
        <w:r w:rsidR="00423A91">
          <w:rPr>
            <w:noProof/>
            <w:webHidden/>
          </w:rPr>
          <w:fldChar w:fldCharType="end"/>
        </w:r>
      </w:hyperlink>
    </w:p>
    <w:p w:rsidR="00423A91" w:rsidRPr="00EF1C34" w:rsidRDefault="00EC2A49">
      <w:pPr>
        <w:pStyle w:val="TOC1"/>
        <w:tabs>
          <w:tab w:val="left" w:pos="440"/>
          <w:tab w:val="right" w:leader="dot" w:pos="9059"/>
        </w:tabs>
        <w:rPr>
          <w:rFonts w:ascii="Calibri" w:hAnsi="Calibri"/>
          <w:noProof/>
          <w:kern w:val="0"/>
          <w:szCs w:val="22"/>
          <w:lang w:val="fr-FR"/>
        </w:rPr>
      </w:pPr>
      <w:hyperlink w:anchor="_Toc406063886" w:history="1">
        <w:r w:rsidR="00423A91" w:rsidRPr="00A642ED">
          <w:rPr>
            <w:rStyle w:val="Hyperlink"/>
            <w:noProof/>
            <w:lang w:val="fr-FR"/>
          </w:rPr>
          <w:t>2</w:t>
        </w:r>
        <w:r w:rsidR="00423A91" w:rsidRPr="00EF1C34">
          <w:rPr>
            <w:rFonts w:ascii="Calibri" w:hAnsi="Calibri"/>
            <w:noProof/>
            <w:kern w:val="0"/>
            <w:szCs w:val="22"/>
            <w:lang w:val="fr-FR"/>
          </w:rPr>
          <w:tab/>
        </w:r>
        <w:r w:rsidR="00423A91" w:rsidRPr="00A642ED">
          <w:rPr>
            <w:rStyle w:val="Hyperlink"/>
            <w:noProof/>
            <w:lang w:val="fr-FR"/>
          </w:rPr>
          <w:t>Observations/Discussions &amp; conclusions</w:t>
        </w:r>
        <w:r w:rsidR="00423A91">
          <w:rPr>
            <w:noProof/>
            <w:webHidden/>
          </w:rPr>
          <w:tab/>
        </w:r>
        <w:r w:rsidR="00423A91">
          <w:rPr>
            <w:noProof/>
            <w:webHidden/>
          </w:rPr>
          <w:fldChar w:fldCharType="begin"/>
        </w:r>
        <w:r w:rsidR="00423A91">
          <w:rPr>
            <w:noProof/>
            <w:webHidden/>
          </w:rPr>
          <w:instrText xml:space="preserve"> PAGEREF _Toc406063886 \h </w:instrText>
        </w:r>
        <w:r w:rsidR="00423A91">
          <w:rPr>
            <w:noProof/>
            <w:webHidden/>
          </w:rPr>
        </w:r>
        <w:r w:rsidR="00423A91">
          <w:rPr>
            <w:noProof/>
            <w:webHidden/>
          </w:rPr>
          <w:fldChar w:fldCharType="separate"/>
        </w:r>
        <w:r w:rsidR="00423A91">
          <w:rPr>
            <w:noProof/>
            <w:webHidden/>
          </w:rPr>
          <w:t>9</w:t>
        </w:r>
        <w:r w:rsidR="00423A91">
          <w:rPr>
            <w:noProof/>
            <w:webHidden/>
          </w:rPr>
          <w:fldChar w:fldCharType="end"/>
        </w:r>
      </w:hyperlink>
    </w:p>
    <w:p w:rsidR="00423A91" w:rsidRPr="00EF1C34" w:rsidRDefault="00EC2A49">
      <w:pPr>
        <w:pStyle w:val="TOC2"/>
        <w:tabs>
          <w:tab w:val="left" w:pos="880"/>
          <w:tab w:val="right" w:leader="dot" w:pos="9059"/>
        </w:tabs>
        <w:rPr>
          <w:rFonts w:ascii="Calibri" w:hAnsi="Calibri"/>
          <w:noProof/>
          <w:kern w:val="0"/>
          <w:szCs w:val="22"/>
          <w:lang w:val="fr-FR"/>
        </w:rPr>
      </w:pPr>
      <w:hyperlink w:anchor="_Toc406063887" w:history="1">
        <w:r w:rsidR="00423A91" w:rsidRPr="00A642ED">
          <w:rPr>
            <w:rStyle w:val="Hyperlink"/>
            <w:noProof/>
            <w:lang w:val="fr-FR"/>
          </w:rPr>
          <w:t>2.1</w:t>
        </w:r>
        <w:r w:rsidR="00423A91" w:rsidRPr="00EF1C34">
          <w:rPr>
            <w:rFonts w:ascii="Calibri" w:hAnsi="Calibri"/>
            <w:noProof/>
            <w:kern w:val="0"/>
            <w:szCs w:val="22"/>
            <w:lang w:val="fr-FR"/>
          </w:rPr>
          <w:tab/>
        </w:r>
        <w:r w:rsidR="00423A91" w:rsidRPr="00A642ED">
          <w:rPr>
            <w:rStyle w:val="Hyperlink"/>
            <w:noProof/>
            <w:lang w:val="fr-FR"/>
          </w:rPr>
          <w:t>Déplacement de population : Réponse Eau Hygiène et Assainissement au Nord Mali</w:t>
        </w:r>
        <w:r w:rsidR="00423A91">
          <w:rPr>
            <w:noProof/>
            <w:webHidden/>
          </w:rPr>
          <w:tab/>
        </w:r>
        <w:r w:rsidR="00423A91">
          <w:rPr>
            <w:noProof/>
            <w:webHidden/>
          </w:rPr>
          <w:fldChar w:fldCharType="begin"/>
        </w:r>
        <w:r w:rsidR="00423A91">
          <w:rPr>
            <w:noProof/>
            <w:webHidden/>
          </w:rPr>
          <w:instrText xml:space="preserve"> PAGEREF _Toc406063887 \h </w:instrText>
        </w:r>
        <w:r w:rsidR="00423A91">
          <w:rPr>
            <w:noProof/>
            <w:webHidden/>
          </w:rPr>
        </w:r>
        <w:r w:rsidR="00423A91">
          <w:rPr>
            <w:noProof/>
            <w:webHidden/>
          </w:rPr>
          <w:fldChar w:fldCharType="separate"/>
        </w:r>
        <w:r w:rsidR="00423A91">
          <w:rPr>
            <w:noProof/>
            <w:webHidden/>
          </w:rPr>
          <w:t>9</w:t>
        </w:r>
        <w:r w:rsidR="00423A91">
          <w:rPr>
            <w:noProof/>
            <w:webHidden/>
          </w:rPr>
          <w:fldChar w:fldCharType="end"/>
        </w:r>
      </w:hyperlink>
    </w:p>
    <w:p w:rsidR="00423A91" w:rsidRPr="00EF1C34" w:rsidRDefault="00EC2A49">
      <w:pPr>
        <w:pStyle w:val="TOC3"/>
        <w:tabs>
          <w:tab w:val="left" w:pos="1320"/>
          <w:tab w:val="right" w:leader="dot" w:pos="9059"/>
        </w:tabs>
        <w:rPr>
          <w:rFonts w:ascii="Calibri" w:hAnsi="Calibri"/>
          <w:noProof/>
          <w:kern w:val="0"/>
          <w:szCs w:val="22"/>
          <w:lang w:val="fr-FR"/>
        </w:rPr>
      </w:pPr>
      <w:hyperlink w:anchor="_Toc406063888" w:history="1">
        <w:r w:rsidR="00423A91" w:rsidRPr="00A642ED">
          <w:rPr>
            <w:rStyle w:val="Hyperlink"/>
            <w:noProof/>
            <w:lang w:val="fr-FR"/>
          </w:rPr>
          <w:t>2.1.1</w:t>
        </w:r>
        <w:r w:rsidR="00423A91" w:rsidRPr="00EF1C34">
          <w:rPr>
            <w:rFonts w:ascii="Calibri" w:hAnsi="Calibri"/>
            <w:noProof/>
            <w:kern w:val="0"/>
            <w:szCs w:val="22"/>
            <w:lang w:val="fr-FR"/>
          </w:rPr>
          <w:tab/>
        </w:r>
        <w:r w:rsidR="00423A91" w:rsidRPr="00A642ED">
          <w:rPr>
            <w:rStyle w:val="Hyperlink"/>
            <w:noProof/>
            <w:lang w:val="fr-FR"/>
          </w:rPr>
          <w:t>Le ciblage et la qualité des interventions</w:t>
        </w:r>
        <w:r w:rsidR="00423A91">
          <w:rPr>
            <w:noProof/>
            <w:webHidden/>
          </w:rPr>
          <w:tab/>
        </w:r>
        <w:r w:rsidR="00423A91">
          <w:rPr>
            <w:noProof/>
            <w:webHidden/>
          </w:rPr>
          <w:fldChar w:fldCharType="begin"/>
        </w:r>
        <w:r w:rsidR="00423A91">
          <w:rPr>
            <w:noProof/>
            <w:webHidden/>
          </w:rPr>
          <w:instrText xml:space="preserve"> PAGEREF _Toc406063888 \h </w:instrText>
        </w:r>
        <w:r w:rsidR="00423A91">
          <w:rPr>
            <w:noProof/>
            <w:webHidden/>
          </w:rPr>
        </w:r>
        <w:r w:rsidR="00423A91">
          <w:rPr>
            <w:noProof/>
            <w:webHidden/>
          </w:rPr>
          <w:fldChar w:fldCharType="separate"/>
        </w:r>
        <w:r w:rsidR="00423A91">
          <w:rPr>
            <w:noProof/>
            <w:webHidden/>
          </w:rPr>
          <w:t>9</w:t>
        </w:r>
        <w:r w:rsidR="00423A91">
          <w:rPr>
            <w:noProof/>
            <w:webHidden/>
          </w:rPr>
          <w:fldChar w:fldCharType="end"/>
        </w:r>
      </w:hyperlink>
    </w:p>
    <w:p w:rsidR="00423A91" w:rsidRPr="00EF1C34" w:rsidRDefault="00EC2A49">
      <w:pPr>
        <w:pStyle w:val="TOC3"/>
        <w:tabs>
          <w:tab w:val="left" w:pos="1320"/>
          <w:tab w:val="right" w:leader="dot" w:pos="9059"/>
        </w:tabs>
        <w:rPr>
          <w:rFonts w:ascii="Calibri" w:hAnsi="Calibri"/>
          <w:noProof/>
          <w:kern w:val="0"/>
          <w:szCs w:val="22"/>
          <w:lang w:val="fr-FR"/>
        </w:rPr>
      </w:pPr>
      <w:hyperlink w:anchor="_Toc406063889" w:history="1">
        <w:r w:rsidR="00423A91" w:rsidRPr="00A642ED">
          <w:rPr>
            <w:rStyle w:val="Hyperlink"/>
            <w:noProof/>
            <w:lang w:val="fr-FR"/>
          </w:rPr>
          <w:t>2.1.2</w:t>
        </w:r>
        <w:r w:rsidR="00423A91" w:rsidRPr="00EF1C34">
          <w:rPr>
            <w:rFonts w:ascii="Calibri" w:hAnsi="Calibri"/>
            <w:noProof/>
            <w:kern w:val="0"/>
            <w:szCs w:val="22"/>
            <w:lang w:val="fr-FR"/>
          </w:rPr>
          <w:tab/>
        </w:r>
        <w:r w:rsidR="00423A91" w:rsidRPr="00A642ED">
          <w:rPr>
            <w:rStyle w:val="Hyperlink"/>
            <w:noProof/>
            <w:lang w:val="fr-FR"/>
          </w:rPr>
          <w:t>L’analyse des données et  plaidoyer</w:t>
        </w:r>
        <w:r w:rsidR="00423A91">
          <w:rPr>
            <w:noProof/>
            <w:webHidden/>
          </w:rPr>
          <w:tab/>
        </w:r>
        <w:r w:rsidR="00423A91">
          <w:rPr>
            <w:noProof/>
            <w:webHidden/>
          </w:rPr>
          <w:fldChar w:fldCharType="begin"/>
        </w:r>
        <w:r w:rsidR="00423A91">
          <w:rPr>
            <w:noProof/>
            <w:webHidden/>
          </w:rPr>
          <w:instrText xml:space="preserve"> PAGEREF _Toc406063889 \h </w:instrText>
        </w:r>
        <w:r w:rsidR="00423A91">
          <w:rPr>
            <w:noProof/>
            <w:webHidden/>
          </w:rPr>
        </w:r>
        <w:r w:rsidR="00423A91">
          <w:rPr>
            <w:noProof/>
            <w:webHidden/>
          </w:rPr>
          <w:fldChar w:fldCharType="separate"/>
        </w:r>
        <w:r w:rsidR="00423A91">
          <w:rPr>
            <w:noProof/>
            <w:webHidden/>
          </w:rPr>
          <w:t>10</w:t>
        </w:r>
        <w:r w:rsidR="00423A91">
          <w:rPr>
            <w:noProof/>
            <w:webHidden/>
          </w:rPr>
          <w:fldChar w:fldCharType="end"/>
        </w:r>
      </w:hyperlink>
    </w:p>
    <w:p w:rsidR="00423A91" w:rsidRPr="00EF1C34" w:rsidRDefault="00EC2A49">
      <w:pPr>
        <w:pStyle w:val="TOC2"/>
        <w:tabs>
          <w:tab w:val="left" w:pos="880"/>
          <w:tab w:val="right" w:leader="dot" w:pos="9059"/>
        </w:tabs>
        <w:rPr>
          <w:rFonts w:ascii="Calibri" w:hAnsi="Calibri"/>
          <w:noProof/>
          <w:kern w:val="0"/>
          <w:szCs w:val="22"/>
          <w:lang w:val="fr-FR"/>
        </w:rPr>
      </w:pPr>
      <w:hyperlink w:anchor="_Toc406063890" w:history="1">
        <w:r w:rsidR="00423A91" w:rsidRPr="00A642ED">
          <w:rPr>
            <w:rStyle w:val="Hyperlink"/>
            <w:noProof/>
            <w:lang w:val="fr-FR"/>
          </w:rPr>
          <w:t>2.2</w:t>
        </w:r>
        <w:r w:rsidR="00423A91" w:rsidRPr="00EF1C34">
          <w:rPr>
            <w:rFonts w:ascii="Calibri" w:hAnsi="Calibri"/>
            <w:noProof/>
            <w:kern w:val="0"/>
            <w:szCs w:val="22"/>
            <w:lang w:val="fr-FR"/>
          </w:rPr>
          <w:tab/>
        </w:r>
        <w:r w:rsidR="00423A91" w:rsidRPr="00A642ED">
          <w:rPr>
            <w:rStyle w:val="Hyperlink"/>
            <w:noProof/>
            <w:lang w:val="fr-FR"/>
          </w:rPr>
          <w:t>Epidémie : Ebola au Mali</w:t>
        </w:r>
        <w:r w:rsidR="00423A91">
          <w:rPr>
            <w:noProof/>
            <w:webHidden/>
          </w:rPr>
          <w:tab/>
        </w:r>
        <w:r w:rsidR="00423A91">
          <w:rPr>
            <w:noProof/>
            <w:webHidden/>
          </w:rPr>
          <w:fldChar w:fldCharType="begin"/>
        </w:r>
        <w:r w:rsidR="00423A91">
          <w:rPr>
            <w:noProof/>
            <w:webHidden/>
          </w:rPr>
          <w:instrText xml:space="preserve"> PAGEREF _Toc406063890 \h </w:instrText>
        </w:r>
        <w:r w:rsidR="00423A91">
          <w:rPr>
            <w:noProof/>
            <w:webHidden/>
          </w:rPr>
        </w:r>
        <w:r w:rsidR="00423A91">
          <w:rPr>
            <w:noProof/>
            <w:webHidden/>
          </w:rPr>
          <w:fldChar w:fldCharType="separate"/>
        </w:r>
        <w:r w:rsidR="00423A91">
          <w:rPr>
            <w:noProof/>
            <w:webHidden/>
          </w:rPr>
          <w:t>11</w:t>
        </w:r>
        <w:r w:rsidR="00423A91">
          <w:rPr>
            <w:noProof/>
            <w:webHidden/>
          </w:rPr>
          <w:fldChar w:fldCharType="end"/>
        </w:r>
      </w:hyperlink>
    </w:p>
    <w:p w:rsidR="00423A91" w:rsidRPr="00EF1C34" w:rsidRDefault="00EC2A49">
      <w:pPr>
        <w:pStyle w:val="TOC3"/>
        <w:tabs>
          <w:tab w:val="left" w:pos="1320"/>
          <w:tab w:val="right" w:leader="dot" w:pos="9059"/>
        </w:tabs>
        <w:rPr>
          <w:rFonts w:ascii="Calibri" w:hAnsi="Calibri"/>
          <w:noProof/>
          <w:kern w:val="0"/>
          <w:szCs w:val="22"/>
          <w:lang w:val="fr-FR"/>
        </w:rPr>
      </w:pPr>
      <w:hyperlink w:anchor="_Toc406063891" w:history="1">
        <w:r w:rsidR="00423A91" w:rsidRPr="00A642ED">
          <w:rPr>
            <w:rStyle w:val="Hyperlink"/>
            <w:noProof/>
          </w:rPr>
          <w:t>2.2.1</w:t>
        </w:r>
        <w:r w:rsidR="00423A91" w:rsidRPr="00EF1C34">
          <w:rPr>
            <w:rFonts w:ascii="Calibri" w:hAnsi="Calibri"/>
            <w:noProof/>
            <w:kern w:val="0"/>
            <w:szCs w:val="22"/>
            <w:lang w:val="fr-FR"/>
          </w:rPr>
          <w:tab/>
        </w:r>
        <w:r w:rsidR="00423A91" w:rsidRPr="00A642ED">
          <w:rPr>
            <w:rStyle w:val="Hyperlink"/>
            <w:noProof/>
          </w:rPr>
          <w:t>Stratégie ECHO</w:t>
        </w:r>
        <w:r w:rsidR="00423A91">
          <w:rPr>
            <w:noProof/>
            <w:webHidden/>
          </w:rPr>
          <w:tab/>
        </w:r>
        <w:r w:rsidR="00423A91">
          <w:rPr>
            <w:noProof/>
            <w:webHidden/>
          </w:rPr>
          <w:fldChar w:fldCharType="begin"/>
        </w:r>
        <w:r w:rsidR="00423A91">
          <w:rPr>
            <w:noProof/>
            <w:webHidden/>
          </w:rPr>
          <w:instrText xml:space="preserve"> PAGEREF _Toc406063891 \h </w:instrText>
        </w:r>
        <w:r w:rsidR="00423A91">
          <w:rPr>
            <w:noProof/>
            <w:webHidden/>
          </w:rPr>
        </w:r>
        <w:r w:rsidR="00423A91">
          <w:rPr>
            <w:noProof/>
            <w:webHidden/>
          </w:rPr>
          <w:fldChar w:fldCharType="separate"/>
        </w:r>
        <w:r w:rsidR="00423A91">
          <w:rPr>
            <w:noProof/>
            <w:webHidden/>
          </w:rPr>
          <w:t>11</w:t>
        </w:r>
        <w:r w:rsidR="00423A91">
          <w:rPr>
            <w:noProof/>
            <w:webHidden/>
          </w:rPr>
          <w:fldChar w:fldCharType="end"/>
        </w:r>
      </w:hyperlink>
    </w:p>
    <w:p w:rsidR="00423A91" w:rsidRPr="00EF1C34" w:rsidRDefault="00EC2A49">
      <w:pPr>
        <w:pStyle w:val="TOC3"/>
        <w:tabs>
          <w:tab w:val="left" w:pos="1320"/>
          <w:tab w:val="right" w:leader="dot" w:pos="9059"/>
        </w:tabs>
        <w:rPr>
          <w:rFonts w:ascii="Calibri" w:hAnsi="Calibri"/>
          <w:noProof/>
          <w:kern w:val="0"/>
          <w:szCs w:val="22"/>
          <w:lang w:val="fr-FR"/>
        </w:rPr>
      </w:pPr>
      <w:hyperlink w:anchor="_Toc406063892" w:history="1">
        <w:r w:rsidR="00423A91" w:rsidRPr="00A642ED">
          <w:rPr>
            <w:rStyle w:val="Hyperlink"/>
            <w:noProof/>
          </w:rPr>
          <w:t>2.2.2</w:t>
        </w:r>
        <w:r w:rsidR="00423A91" w:rsidRPr="00EF1C34">
          <w:rPr>
            <w:rFonts w:ascii="Calibri" w:hAnsi="Calibri"/>
            <w:noProof/>
            <w:kern w:val="0"/>
            <w:szCs w:val="22"/>
            <w:lang w:val="fr-FR"/>
          </w:rPr>
          <w:tab/>
        </w:r>
        <w:r w:rsidR="00423A91" w:rsidRPr="00A642ED">
          <w:rPr>
            <w:rStyle w:val="Hyperlink"/>
            <w:noProof/>
          </w:rPr>
          <w:t>Stratégie DEVCO</w:t>
        </w:r>
        <w:r w:rsidR="00423A91">
          <w:rPr>
            <w:noProof/>
            <w:webHidden/>
          </w:rPr>
          <w:tab/>
        </w:r>
        <w:r w:rsidR="00423A91">
          <w:rPr>
            <w:noProof/>
            <w:webHidden/>
          </w:rPr>
          <w:fldChar w:fldCharType="begin"/>
        </w:r>
        <w:r w:rsidR="00423A91">
          <w:rPr>
            <w:noProof/>
            <w:webHidden/>
          </w:rPr>
          <w:instrText xml:space="preserve"> PAGEREF _Toc406063892 \h </w:instrText>
        </w:r>
        <w:r w:rsidR="00423A91">
          <w:rPr>
            <w:noProof/>
            <w:webHidden/>
          </w:rPr>
        </w:r>
        <w:r w:rsidR="00423A91">
          <w:rPr>
            <w:noProof/>
            <w:webHidden/>
          </w:rPr>
          <w:fldChar w:fldCharType="separate"/>
        </w:r>
        <w:r w:rsidR="00423A91">
          <w:rPr>
            <w:noProof/>
            <w:webHidden/>
          </w:rPr>
          <w:t>12</w:t>
        </w:r>
        <w:r w:rsidR="00423A91">
          <w:rPr>
            <w:noProof/>
            <w:webHidden/>
          </w:rPr>
          <w:fldChar w:fldCharType="end"/>
        </w:r>
      </w:hyperlink>
    </w:p>
    <w:p w:rsidR="00423A91" w:rsidRPr="00EF1C34" w:rsidRDefault="00EC2A49">
      <w:pPr>
        <w:pStyle w:val="TOC3"/>
        <w:tabs>
          <w:tab w:val="left" w:pos="1320"/>
          <w:tab w:val="right" w:leader="dot" w:pos="9059"/>
        </w:tabs>
        <w:rPr>
          <w:rFonts w:ascii="Calibri" w:hAnsi="Calibri"/>
          <w:noProof/>
          <w:kern w:val="0"/>
          <w:szCs w:val="22"/>
          <w:lang w:val="fr-FR"/>
        </w:rPr>
      </w:pPr>
      <w:hyperlink w:anchor="_Toc406063893" w:history="1">
        <w:r w:rsidR="00423A91" w:rsidRPr="00A642ED">
          <w:rPr>
            <w:rStyle w:val="Hyperlink"/>
            <w:noProof/>
          </w:rPr>
          <w:t>2.2.3</w:t>
        </w:r>
        <w:r w:rsidR="00423A91" w:rsidRPr="00EF1C34">
          <w:rPr>
            <w:rFonts w:ascii="Calibri" w:hAnsi="Calibri"/>
            <w:noProof/>
            <w:kern w:val="0"/>
            <w:szCs w:val="22"/>
            <w:lang w:val="fr-FR"/>
          </w:rPr>
          <w:tab/>
        </w:r>
        <w:r w:rsidR="00423A91" w:rsidRPr="00A642ED">
          <w:rPr>
            <w:rStyle w:val="Hyperlink"/>
            <w:noProof/>
          </w:rPr>
          <w:t>Visite des structures mises en place par Alima</w:t>
        </w:r>
        <w:r w:rsidR="00423A91">
          <w:rPr>
            <w:noProof/>
            <w:webHidden/>
          </w:rPr>
          <w:tab/>
        </w:r>
        <w:r w:rsidR="00423A91">
          <w:rPr>
            <w:noProof/>
            <w:webHidden/>
          </w:rPr>
          <w:fldChar w:fldCharType="begin"/>
        </w:r>
        <w:r w:rsidR="00423A91">
          <w:rPr>
            <w:noProof/>
            <w:webHidden/>
          </w:rPr>
          <w:instrText xml:space="preserve"> PAGEREF _Toc406063893 \h </w:instrText>
        </w:r>
        <w:r w:rsidR="00423A91">
          <w:rPr>
            <w:noProof/>
            <w:webHidden/>
          </w:rPr>
        </w:r>
        <w:r w:rsidR="00423A91">
          <w:rPr>
            <w:noProof/>
            <w:webHidden/>
          </w:rPr>
          <w:fldChar w:fldCharType="separate"/>
        </w:r>
        <w:r w:rsidR="00423A91">
          <w:rPr>
            <w:noProof/>
            <w:webHidden/>
          </w:rPr>
          <w:t>12</w:t>
        </w:r>
        <w:r w:rsidR="00423A91">
          <w:rPr>
            <w:noProof/>
            <w:webHidden/>
          </w:rPr>
          <w:fldChar w:fldCharType="end"/>
        </w:r>
      </w:hyperlink>
    </w:p>
    <w:p w:rsidR="00423A91" w:rsidRPr="00EF1C34" w:rsidRDefault="00EC2A49">
      <w:pPr>
        <w:pStyle w:val="TOC2"/>
        <w:tabs>
          <w:tab w:val="left" w:pos="880"/>
          <w:tab w:val="right" w:leader="dot" w:pos="9059"/>
        </w:tabs>
        <w:rPr>
          <w:rFonts w:ascii="Calibri" w:hAnsi="Calibri"/>
          <w:noProof/>
          <w:kern w:val="0"/>
          <w:szCs w:val="22"/>
          <w:lang w:val="fr-FR"/>
        </w:rPr>
      </w:pPr>
      <w:hyperlink w:anchor="_Toc406063894" w:history="1">
        <w:r w:rsidR="00423A91" w:rsidRPr="00A642ED">
          <w:rPr>
            <w:rStyle w:val="Hyperlink"/>
            <w:noProof/>
            <w:lang w:val="fr-FR"/>
          </w:rPr>
          <w:t>2.3</w:t>
        </w:r>
        <w:r w:rsidR="00423A91" w:rsidRPr="00EF1C34">
          <w:rPr>
            <w:rFonts w:ascii="Calibri" w:hAnsi="Calibri"/>
            <w:noProof/>
            <w:kern w:val="0"/>
            <w:szCs w:val="22"/>
            <w:lang w:val="fr-FR"/>
          </w:rPr>
          <w:tab/>
        </w:r>
        <w:r w:rsidR="00423A91" w:rsidRPr="00A642ED">
          <w:rPr>
            <w:rStyle w:val="Hyperlink"/>
            <w:noProof/>
            <w:lang w:val="fr-FR"/>
          </w:rPr>
          <w:t>WASH’NUT au Mali</w:t>
        </w:r>
        <w:r w:rsidR="00423A91">
          <w:rPr>
            <w:noProof/>
            <w:webHidden/>
          </w:rPr>
          <w:tab/>
        </w:r>
        <w:r w:rsidR="00423A91">
          <w:rPr>
            <w:noProof/>
            <w:webHidden/>
          </w:rPr>
          <w:fldChar w:fldCharType="begin"/>
        </w:r>
        <w:r w:rsidR="00423A91">
          <w:rPr>
            <w:noProof/>
            <w:webHidden/>
          </w:rPr>
          <w:instrText xml:space="preserve"> PAGEREF _Toc406063894 \h </w:instrText>
        </w:r>
        <w:r w:rsidR="00423A91">
          <w:rPr>
            <w:noProof/>
            <w:webHidden/>
          </w:rPr>
        </w:r>
        <w:r w:rsidR="00423A91">
          <w:rPr>
            <w:noProof/>
            <w:webHidden/>
          </w:rPr>
          <w:fldChar w:fldCharType="separate"/>
        </w:r>
        <w:r w:rsidR="00423A91">
          <w:rPr>
            <w:noProof/>
            <w:webHidden/>
          </w:rPr>
          <w:t>13</w:t>
        </w:r>
        <w:r w:rsidR="00423A91">
          <w:rPr>
            <w:noProof/>
            <w:webHidden/>
          </w:rPr>
          <w:fldChar w:fldCharType="end"/>
        </w:r>
      </w:hyperlink>
    </w:p>
    <w:p w:rsidR="00423A91" w:rsidRPr="00EF1C34" w:rsidRDefault="00EC2A49">
      <w:pPr>
        <w:pStyle w:val="TOC1"/>
        <w:tabs>
          <w:tab w:val="left" w:pos="440"/>
          <w:tab w:val="right" w:leader="dot" w:pos="9059"/>
        </w:tabs>
        <w:rPr>
          <w:rFonts w:ascii="Calibri" w:hAnsi="Calibri"/>
          <w:noProof/>
          <w:kern w:val="0"/>
          <w:szCs w:val="22"/>
          <w:lang w:val="fr-FR"/>
        </w:rPr>
      </w:pPr>
      <w:hyperlink w:anchor="_Toc406063895" w:history="1">
        <w:r w:rsidR="00423A91" w:rsidRPr="00A642ED">
          <w:rPr>
            <w:rStyle w:val="Hyperlink"/>
            <w:noProof/>
            <w:lang w:val="fr-FR"/>
          </w:rPr>
          <w:t>3</w:t>
        </w:r>
        <w:r w:rsidR="00423A91" w:rsidRPr="00EF1C34">
          <w:rPr>
            <w:rFonts w:ascii="Calibri" w:hAnsi="Calibri"/>
            <w:noProof/>
            <w:kern w:val="0"/>
            <w:szCs w:val="22"/>
            <w:lang w:val="fr-FR"/>
          </w:rPr>
          <w:tab/>
        </w:r>
        <w:r w:rsidR="00423A91" w:rsidRPr="00A642ED">
          <w:rPr>
            <w:rStyle w:val="Hyperlink"/>
            <w:noProof/>
            <w:lang w:val="fr-FR"/>
          </w:rPr>
          <w:t>Commentaires/Recommandations de l’expert</w:t>
        </w:r>
        <w:r w:rsidR="00423A91">
          <w:rPr>
            <w:noProof/>
            <w:webHidden/>
          </w:rPr>
          <w:tab/>
        </w:r>
        <w:r w:rsidR="00423A91">
          <w:rPr>
            <w:noProof/>
            <w:webHidden/>
          </w:rPr>
          <w:fldChar w:fldCharType="begin"/>
        </w:r>
        <w:r w:rsidR="00423A91">
          <w:rPr>
            <w:noProof/>
            <w:webHidden/>
          </w:rPr>
          <w:instrText xml:space="preserve"> PAGEREF _Toc406063895 \h </w:instrText>
        </w:r>
        <w:r w:rsidR="00423A91">
          <w:rPr>
            <w:noProof/>
            <w:webHidden/>
          </w:rPr>
        </w:r>
        <w:r w:rsidR="00423A91">
          <w:rPr>
            <w:noProof/>
            <w:webHidden/>
          </w:rPr>
          <w:fldChar w:fldCharType="separate"/>
        </w:r>
        <w:r w:rsidR="00423A91">
          <w:rPr>
            <w:noProof/>
            <w:webHidden/>
          </w:rPr>
          <w:t>14</w:t>
        </w:r>
        <w:r w:rsidR="00423A91">
          <w:rPr>
            <w:noProof/>
            <w:webHidden/>
          </w:rPr>
          <w:fldChar w:fldCharType="end"/>
        </w:r>
      </w:hyperlink>
    </w:p>
    <w:p w:rsidR="00423A91" w:rsidRPr="00EF1C34" w:rsidRDefault="00EC2A49">
      <w:pPr>
        <w:pStyle w:val="TOC2"/>
        <w:tabs>
          <w:tab w:val="left" w:pos="880"/>
          <w:tab w:val="right" w:leader="dot" w:pos="9059"/>
        </w:tabs>
        <w:rPr>
          <w:rFonts w:ascii="Calibri" w:hAnsi="Calibri"/>
          <w:noProof/>
          <w:kern w:val="0"/>
          <w:szCs w:val="22"/>
          <w:lang w:val="fr-FR"/>
        </w:rPr>
      </w:pPr>
      <w:hyperlink w:anchor="_Toc406063896" w:history="1">
        <w:r w:rsidR="00423A91" w:rsidRPr="00A642ED">
          <w:rPr>
            <w:rStyle w:val="Hyperlink"/>
            <w:noProof/>
            <w:lang w:val="fr-FR"/>
          </w:rPr>
          <w:t>3.1</w:t>
        </w:r>
        <w:r w:rsidR="00423A91" w:rsidRPr="00EF1C34">
          <w:rPr>
            <w:rFonts w:ascii="Calibri" w:hAnsi="Calibri"/>
            <w:noProof/>
            <w:kern w:val="0"/>
            <w:szCs w:val="22"/>
            <w:lang w:val="fr-FR"/>
          </w:rPr>
          <w:tab/>
        </w:r>
        <w:r w:rsidR="00423A91" w:rsidRPr="00A642ED">
          <w:rPr>
            <w:rStyle w:val="Hyperlink"/>
            <w:noProof/>
            <w:lang w:val="fr-FR"/>
          </w:rPr>
          <w:t>Déplacement de population : Réponse Eau Hygiène et Assainissement au Nord Mali</w:t>
        </w:r>
        <w:r w:rsidR="00423A91">
          <w:rPr>
            <w:noProof/>
            <w:webHidden/>
          </w:rPr>
          <w:tab/>
        </w:r>
        <w:r w:rsidR="00423A91">
          <w:rPr>
            <w:noProof/>
            <w:webHidden/>
          </w:rPr>
          <w:fldChar w:fldCharType="begin"/>
        </w:r>
        <w:r w:rsidR="00423A91">
          <w:rPr>
            <w:noProof/>
            <w:webHidden/>
          </w:rPr>
          <w:instrText xml:space="preserve"> PAGEREF _Toc406063896 \h </w:instrText>
        </w:r>
        <w:r w:rsidR="00423A91">
          <w:rPr>
            <w:noProof/>
            <w:webHidden/>
          </w:rPr>
        </w:r>
        <w:r w:rsidR="00423A91">
          <w:rPr>
            <w:noProof/>
            <w:webHidden/>
          </w:rPr>
          <w:fldChar w:fldCharType="separate"/>
        </w:r>
        <w:r w:rsidR="00423A91">
          <w:rPr>
            <w:noProof/>
            <w:webHidden/>
          </w:rPr>
          <w:t>14</w:t>
        </w:r>
        <w:r w:rsidR="00423A91">
          <w:rPr>
            <w:noProof/>
            <w:webHidden/>
          </w:rPr>
          <w:fldChar w:fldCharType="end"/>
        </w:r>
      </w:hyperlink>
    </w:p>
    <w:p w:rsidR="00423A91" w:rsidRPr="00EF1C34" w:rsidRDefault="00EC2A49">
      <w:pPr>
        <w:pStyle w:val="TOC3"/>
        <w:tabs>
          <w:tab w:val="left" w:pos="1320"/>
          <w:tab w:val="right" w:leader="dot" w:pos="9059"/>
        </w:tabs>
        <w:rPr>
          <w:rFonts w:ascii="Calibri" w:hAnsi="Calibri"/>
          <w:noProof/>
          <w:kern w:val="0"/>
          <w:szCs w:val="22"/>
          <w:lang w:val="fr-FR"/>
        </w:rPr>
      </w:pPr>
      <w:hyperlink w:anchor="_Toc406063897" w:history="1">
        <w:r w:rsidR="00423A91" w:rsidRPr="00A642ED">
          <w:rPr>
            <w:rStyle w:val="Hyperlink"/>
            <w:noProof/>
            <w:lang w:val="fr-FR"/>
          </w:rPr>
          <w:t>3.1.1</w:t>
        </w:r>
        <w:r w:rsidR="00423A91" w:rsidRPr="00EF1C34">
          <w:rPr>
            <w:rFonts w:ascii="Calibri" w:hAnsi="Calibri"/>
            <w:noProof/>
            <w:kern w:val="0"/>
            <w:szCs w:val="22"/>
            <w:lang w:val="fr-FR"/>
          </w:rPr>
          <w:tab/>
        </w:r>
        <w:r w:rsidR="00423A91" w:rsidRPr="00A642ED">
          <w:rPr>
            <w:rStyle w:val="Hyperlink"/>
            <w:noProof/>
            <w:lang w:val="fr-FR"/>
          </w:rPr>
          <w:t>Le ciblage et la qualité des interventions</w:t>
        </w:r>
        <w:r w:rsidR="00423A91">
          <w:rPr>
            <w:noProof/>
            <w:webHidden/>
          </w:rPr>
          <w:tab/>
        </w:r>
        <w:r w:rsidR="00423A91">
          <w:rPr>
            <w:noProof/>
            <w:webHidden/>
          </w:rPr>
          <w:fldChar w:fldCharType="begin"/>
        </w:r>
        <w:r w:rsidR="00423A91">
          <w:rPr>
            <w:noProof/>
            <w:webHidden/>
          </w:rPr>
          <w:instrText xml:space="preserve"> PAGEREF _Toc406063897 \h </w:instrText>
        </w:r>
        <w:r w:rsidR="00423A91">
          <w:rPr>
            <w:noProof/>
            <w:webHidden/>
          </w:rPr>
        </w:r>
        <w:r w:rsidR="00423A91">
          <w:rPr>
            <w:noProof/>
            <w:webHidden/>
          </w:rPr>
          <w:fldChar w:fldCharType="separate"/>
        </w:r>
        <w:r w:rsidR="00423A91">
          <w:rPr>
            <w:noProof/>
            <w:webHidden/>
          </w:rPr>
          <w:t>14</w:t>
        </w:r>
        <w:r w:rsidR="00423A91">
          <w:rPr>
            <w:noProof/>
            <w:webHidden/>
          </w:rPr>
          <w:fldChar w:fldCharType="end"/>
        </w:r>
      </w:hyperlink>
    </w:p>
    <w:p w:rsidR="00423A91" w:rsidRPr="00EF1C34" w:rsidRDefault="00EC2A49">
      <w:pPr>
        <w:pStyle w:val="TOC3"/>
        <w:tabs>
          <w:tab w:val="left" w:pos="1320"/>
          <w:tab w:val="right" w:leader="dot" w:pos="9059"/>
        </w:tabs>
        <w:rPr>
          <w:rFonts w:ascii="Calibri" w:hAnsi="Calibri"/>
          <w:noProof/>
          <w:kern w:val="0"/>
          <w:szCs w:val="22"/>
          <w:lang w:val="fr-FR"/>
        </w:rPr>
      </w:pPr>
      <w:hyperlink w:anchor="_Toc406063898" w:history="1">
        <w:r w:rsidR="00423A91" w:rsidRPr="00A642ED">
          <w:rPr>
            <w:rStyle w:val="Hyperlink"/>
            <w:noProof/>
            <w:lang w:val="fr-FR"/>
          </w:rPr>
          <w:t>3.1.2</w:t>
        </w:r>
        <w:r w:rsidR="00423A91" w:rsidRPr="00EF1C34">
          <w:rPr>
            <w:rFonts w:ascii="Calibri" w:hAnsi="Calibri"/>
            <w:noProof/>
            <w:kern w:val="0"/>
            <w:szCs w:val="22"/>
            <w:lang w:val="fr-FR"/>
          </w:rPr>
          <w:tab/>
        </w:r>
        <w:r w:rsidR="00423A91" w:rsidRPr="00A642ED">
          <w:rPr>
            <w:rStyle w:val="Hyperlink"/>
            <w:noProof/>
            <w:lang w:val="fr-FR"/>
          </w:rPr>
          <w:t>L’analyse des données et plaidoyer</w:t>
        </w:r>
        <w:r w:rsidR="00423A91">
          <w:rPr>
            <w:noProof/>
            <w:webHidden/>
          </w:rPr>
          <w:tab/>
        </w:r>
        <w:r w:rsidR="00423A91">
          <w:rPr>
            <w:noProof/>
            <w:webHidden/>
          </w:rPr>
          <w:fldChar w:fldCharType="begin"/>
        </w:r>
        <w:r w:rsidR="00423A91">
          <w:rPr>
            <w:noProof/>
            <w:webHidden/>
          </w:rPr>
          <w:instrText xml:space="preserve"> PAGEREF _Toc406063898 \h </w:instrText>
        </w:r>
        <w:r w:rsidR="00423A91">
          <w:rPr>
            <w:noProof/>
            <w:webHidden/>
          </w:rPr>
        </w:r>
        <w:r w:rsidR="00423A91">
          <w:rPr>
            <w:noProof/>
            <w:webHidden/>
          </w:rPr>
          <w:fldChar w:fldCharType="separate"/>
        </w:r>
        <w:r w:rsidR="00423A91">
          <w:rPr>
            <w:noProof/>
            <w:webHidden/>
          </w:rPr>
          <w:t>15</w:t>
        </w:r>
        <w:r w:rsidR="00423A91">
          <w:rPr>
            <w:noProof/>
            <w:webHidden/>
          </w:rPr>
          <w:fldChar w:fldCharType="end"/>
        </w:r>
      </w:hyperlink>
    </w:p>
    <w:p w:rsidR="00423A91" w:rsidRPr="00EF1C34" w:rsidRDefault="00EC2A49">
      <w:pPr>
        <w:pStyle w:val="TOC2"/>
        <w:tabs>
          <w:tab w:val="left" w:pos="880"/>
          <w:tab w:val="right" w:leader="dot" w:pos="9059"/>
        </w:tabs>
        <w:rPr>
          <w:rFonts w:ascii="Calibri" w:hAnsi="Calibri"/>
          <w:noProof/>
          <w:kern w:val="0"/>
          <w:szCs w:val="22"/>
          <w:lang w:val="fr-FR"/>
        </w:rPr>
      </w:pPr>
      <w:hyperlink w:anchor="_Toc406063899" w:history="1">
        <w:r w:rsidR="00423A91" w:rsidRPr="00A642ED">
          <w:rPr>
            <w:rStyle w:val="Hyperlink"/>
            <w:noProof/>
            <w:lang w:val="fr-FR"/>
          </w:rPr>
          <w:t>3.2</w:t>
        </w:r>
        <w:r w:rsidR="00423A91" w:rsidRPr="00EF1C34">
          <w:rPr>
            <w:rFonts w:ascii="Calibri" w:hAnsi="Calibri"/>
            <w:noProof/>
            <w:kern w:val="0"/>
            <w:szCs w:val="22"/>
            <w:lang w:val="fr-FR"/>
          </w:rPr>
          <w:tab/>
        </w:r>
        <w:r w:rsidR="00423A91" w:rsidRPr="00A642ED">
          <w:rPr>
            <w:rStyle w:val="Hyperlink"/>
            <w:noProof/>
            <w:lang w:val="fr-FR"/>
          </w:rPr>
          <w:t>Epidémie : Ebola au Mali</w:t>
        </w:r>
        <w:r w:rsidR="00423A91">
          <w:rPr>
            <w:noProof/>
            <w:webHidden/>
          </w:rPr>
          <w:tab/>
        </w:r>
        <w:r w:rsidR="00423A91">
          <w:rPr>
            <w:noProof/>
            <w:webHidden/>
          </w:rPr>
          <w:fldChar w:fldCharType="begin"/>
        </w:r>
        <w:r w:rsidR="00423A91">
          <w:rPr>
            <w:noProof/>
            <w:webHidden/>
          </w:rPr>
          <w:instrText xml:space="preserve"> PAGEREF _Toc406063899 \h </w:instrText>
        </w:r>
        <w:r w:rsidR="00423A91">
          <w:rPr>
            <w:noProof/>
            <w:webHidden/>
          </w:rPr>
        </w:r>
        <w:r w:rsidR="00423A91">
          <w:rPr>
            <w:noProof/>
            <w:webHidden/>
          </w:rPr>
          <w:fldChar w:fldCharType="separate"/>
        </w:r>
        <w:r w:rsidR="00423A91">
          <w:rPr>
            <w:noProof/>
            <w:webHidden/>
          </w:rPr>
          <w:t>16</w:t>
        </w:r>
        <w:r w:rsidR="00423A91">
          <w:rPr>
            <w:noProof/>
            <w:webHidden/>
          </w:rPr>
          <w:fldChar w:fldCharType="end"/>
        </w:r>
      </w:hyperlink>
    </w:p>
    <w:p w:rsidR="00423A91" w:rsidRPr="00EF1C34" w:rsidRDefault="00EC2A49">
      <w:pPr>
        <w:pStyle w:val="TOC2"/>
        <w:tabs>
          <w:tab w:val="left" w:pos="880"/>
          <w:tab w:val="right" w:leader="dot" w:pos="9059"/>
        </w:tabs>
        <w:rPr>
          <w:rFonts w:ascii="Calibri" w:hAnsi="Calibri"/>
          <w:noProof/>
          <w:kern w:val="0"/>
          <w:szCs w:val="22"/>
          <w:lang w:val="fr-FR"/>
        </w:rPr>
      </w:pPr>
      <w:hyperlink w:anchor="_Toc406063900" w:history="1">
        <w:r w:rsidR="00423A91" w:rsidRPr="00A642ED">
          <w:rPr>
            <w:rStyle w:val="Hyperlink"/>
            <w:noProof/>
            <w:lang w:val="fr-FR"/>
          </w:rPr>
          <w:t>3.3</w:t>
        </w:r>
        <w:r w:rsidR="00423A91" w:rsidRPr="00EF1C34">
          <w:rPr>
            <w:rFonts w:ascii="Calibri" w:hAnsi="Calibri"/>
            <w:noProof/>
            <w:kern w:val="0"/>
            <w:szCs w:val="22"/>
            <w:lang w:val="fr-FR"/>
          </w:rPr>
          <w:tab/>
        </w:r>
        <w:r w:rsidR="00423A91" w:rsidRPr="00A642ED">
          <w:rPr>
            <w:rStyle w:val="Hyperlink"/>
            <w:noProof/>
            <w:lang w:val="fr-FR"/>
          </w:rPr>
          <w:t>WASH’NUT au Mali</w:t>
        </w:r>
        <w:r w:rsidR="00423A91">
          <w:rPr>
            <w:noProof/>
            <w:webHidden/>
          </w:rPr>
          <w:tab/>
        </w:r>
        <w:r w:rsidR="00423A91">
          <w:rPr>
            <w:noProof/>
            <w:webHidden/>
          </w:rPr>
          <w:fldChar w:fldCharType="begin"/>
        </w:r>
        <w:r w:rsidR="00423A91">
          <w:rPr>
            <w:noProof/>
            <w:webHidden/>
          </w:rPr>
          <w:instrText xml:space="preserve"> PAGEREF _Toc406063900 \h </w:instrText>
        </w:r>
        <w:r w:rsidR="00423A91">
          <w:rPr>
            <w:noProof/>
            <w:webHidden/>
          </w:rPr>
        </w:r>
        <w:r w:rsidR="00423A91">
          <w:rPr>
            <w:noProof/>
            <w:webHidden/>
          </w:rPr>
          <w:fldChar w:fldCharType="separate"/>
        </w:r>
        <w:r w:rsidR="00423A91">
          <w:rPr>
            <w:noProof/>
            <w:webHidden/>
          </w:rPr>
          <w:t>17</w:t>
        </w:r>
        <w:r w:rsidR="00423A91">
          <w:rPr>
            <w:noProof/>
            <w:webHidden/>
          </w:rPr>
          <w:fldChar w:fldCharType="end"/>
        </w:r>
      </w:hyperlink>
    </w:p>
    <w:p w:rsidR="00423A91" w:rsidRPr="00EF1C34" w:rsidRDefault="00EC2A49">
      <w:pPr>
        <w:pStyle w:val="TOC3"/>
        <w:tabs>
          <w:tab w:val="left" w:pos="1320"/>
          <w:tab w:val="right" w:leader="dot" w:pos="9059"/>
        </w:tabs>
        <w:rPr>
          <w:rFonts w:ascii="Calibri" w:hAnsi="Calibri"/>
          <w:noProof/>
          <w:kern w:val="0"/>
          <w:szCs w:val="22"/>
          <w:lang w:val="fr-FR"/>
        </w:rPr>
      </w:pPr>
      <w:hyperlink w:anchor="_Toc406063901" w:history="1">
        <w:r w:rsidR="00423A91" w:rsidRPr="00A642ED">
          <w:rPr>
            <w:rStyle w:val="Hyperlink"/>
            <w:noProof/>
            <w:lang w:val="fr-FR"/>
          </w:rPr>
          <w:t>3.3.1</w:t>
        </w:r>
        <w:r w:rsidR="00423A91" w:rsidRPr="00EF1C34">
          <w:rPr>
            <w:rFonts w:ascii="Calibri" w:hAnsi="Calibri"/>
            <w:noProof/>
            <w:kern w:val="0"/>
            <w:szCs w:val="22"/>
            <w:lang w:val="fr-FR"/>
          </w:rPr>
          <w:tab/>
        </w:r>
        <w:r w:rsidR="00423A91" w:rsidRPr="00A642ED">
          <w:rPr>
            <w:rStyle w:val="Hyperlink"/>
            <w:noProof/>
            <w:lang w:val="fr-FR"/>
          </w:rPr>
          <w:t>Prise en charge</w:t>
        </w:r>
        <w:r w:rsidR="00423A91">
          <w:rPr>
            <w:noProof/>
            <w:webHidden/>
          </w:rPr>
          <w:tab/>
        </w:r>
        <w:r w:rsidR="00423A91">
          <w:rPr>
            <w:noProof/>
            <w:webHidden/>
          </w:rPr>
          <w:fldChar w:fldCharType="begin"/>
        </w:r>
        <w:r w:rsidR="00423A91">
          <w:rPr>
            <w:noProof/>
            <w:webHidden/>
          </w:rPr>
          <w:instrText xml:space="preserve"> PAGEREF _Toc406063901 \h </w:instrText>
        </w:r>
        <w:r w:rsidR="00423A91">
          <w:rPr>
            <w:noProof/>
            <w:webHidden/>
          </w:rPr>
        </w:r>
        <w:r w:rsidR="00423A91">
          <w:rPr>
            <w:noProof/>
            <w:webHidden/>
          </w:rPr>
          <w:fldChar w:fldCharType="separate"/>
        </w:r>
        <w:r w:rsidR="00423A91">
          <w:rPr>
            <w:noProof/>
            <w:webHidden/>
          </w:rPr>
          <w:t>17</w:t>
        </w:r>
        <w:r w:rsidR="00423A91">
          <w:rPr>
            <w:noProof/>
            <w:webHidden/>
          </w:rPr>
          <w:fldChar w:fldCharType="end"/>
        </w:r>
      </w:hyperlink>
    </w:p>
    <w:p w:rsidR="00423A91" w:rsidRPr="00EF1C34" w:rsidRDefault="00EC2A49">
      <w:pPr>
        <w:pStyle w:val="TOC3"/>
        <w:tabs>
          <w:tab w:val="left" w:pos="1320"/>
          <w:tab w:val="right" w:leader="dot" w:pos="9059"/>
        </w:tabs>
        <w:rPr>
          <w:rFonts w:ascii="Calibri" w:hAnsi="Calibri"/>
          <w:noProof/>
          <w:kern w:val="0"/>
          <w:szCs w:val="22"/>
          <w:lang w:val="fr-FR"/>
        </w:rPr>
      </w:pPr>
      <w:hyperlink w:anchor="_Toc406063902" w:history="1">
        <w:r w:rsidR="00423A91" w:rsidRPr="00A642ED">
          <w:rPr>
            <w:rStyle w:val="Hyperlink"/>
            <w:noProof/>
          </w:rPr>
          <w:t>3.3.2</w:t>
        </w:r>
        <w:r w:rsidR="00423A91" w:rsidRPr="00EF1C34">
          <w:rPr>
            <w:rFonts w:ascii="Calibri" w:hAnsi="Calibri"/>
            <w:noProof/>
            <w:kern w:val="0"/>
            <w:szCs w:val="22"/>
            <w:lang w:val="fr-FR"/>
          </w:rPr>
          <w:tab/>
        </w:r>
        <w:r w:rsidR="00423A91" w:rsidRPr="00A642ED">
          <w:rPr>
            <w:rStyle w:val="Hyperlink"/>
            <w:noProof/>
          </w:rPr>
          <w:t>Prévention</w:t>
        </w:r>
        <w:r w:rsidR="00423A91">
          <w:rPr>
            <w:noProof/>
            <w:webHidden/>
          </w:rPr>
          <w:tab/>
        </w:r>
        <w:r w:rsidR="00423A91">
          <w:rPr>
            <w:noProof/>
            <w:webHidden/>
          </w:rPr>
          <w:fldChar w:fldCharType="begin"/>
        </w:r>
        <w:r w:rsidR="00423A91">
          <w:rPr>
            <w:noProof/>
            <w:webHidden/>
          </w:rPr>
          <w:instrText xml:space="preserve"> PAGEREF _Toc406063902 \h </w:instrText>
        </w:r>
        <w:r w:rsidR="00423A91">
          <w:rPr>
            <w:noProof/>
            <w:webHidden/>
          </w:rPr>
        </w:r>
        <w:r w:rsidR="00423A91">
          <w:rPr>
            <w:noProof/>
            <w:webHidden/>
          </w:rPr>
          <w:fldChar w:fldCharType="separate"/>
        </w:r>
        <w:r w:rsidR="00423A91">
          <w:rPr>
            <w:noProof/>
            <w:webHidden/>
          </w:rPr>
          <w:t>17</w:t>
        </w:r>
        <w:r w:rsidR="00423A91">
          <w:rPr>
            <w:noProof/>
            <w:webHidden/>
          </w:rPr>
          <w:fldChar w:fldCharType="end"/>
        </w:r>
      </w:hyperlink>
    </w:p>
    <w:p w:rsidR="00423A91" w:rsidRPr="00EF1C34" w:rsidRDefault="00EC2A49">
      <w:pPr>
        <w:pStyle w:val="TOC3"/>
        <w:tabs>
          <w:tab w:val="left" w:pos="1320"/>
          <w:tab w:val="right" w:leader="dot" w:pos="9059"/>
        </w:tabs>
        <w:rPr>
          <w:rFonts w:ascii="Calibri" w:hAnsi="Calibri"/>
          <w:noProof/>
          <w:kern w:val="0"/>
          <w:szCs w:val="22"/>
          <w:lang w:val="fr-FR"/>
        </w:rPr>
      </w:pPr>
      <w:hyperlink w:anchor="_Toc406063903" w:history="1">
        <w:r w:rsidR="00423A91" w:rsidRPr="00A642ED">
          <w:rPr>
            <w:rStyle w:val="Hyperlink"/>
            <w:noProof/>
          </w:rPr>
          <w:t>3.3.3</w:t>
        </w:r>
        <w:r w:rsidR="00423A91" w:rsidRPr="00EF1C34">
          <w:rPr>
            <w:rFonts w:ascii="Calibri" w:hAnsi="Calibri"/>
            <w:noProof/>
            <w:kern w:val="0"/>
            <w:szCs w:val="22"/>
            <w:lang w:val="fr-FR"/>
          </w:rPr>
          <w:tab/>
        </w:r>
        <w:r w:rsidR="00423A91" w:rsidRPr="00A642ED">
          <w:rPr>
            <w:rStyle w:val="Hyperlink"/>
            <w:noProof/>
          </w:rPr>
          <w:t>Documentation</w:t>
        </w:r>
        <w:r w:rsidR="00423A91">
          <w:rPr>
            <w:noProof/>
            <w:webHidden/>
          </w:rPr>
          <w:tab/>
        </w:r>
        <w:r w:rsidR="00423A91">
          <w:rPr>
            <w:noProof/>
            <w:webHidden/>
          </w:rPr>
          <w:fldChar w:fldCharType="begin"/>
        </w:r>
        <w:r w:rsidR="00423A91">
          <w:rPr>
            <w:noProof/>
            <w:webHidden/>
          </w:rPr>
          <w:instrText xml:space="preserve"> PAGEREF _Toc406063903 \h </w:instrText>
        </w:r>
        <w:r w:rsidR="00423A91">
          <w:rPr>
            <w:noProof/>
            <w:webHidden/>
          </w:rPr>
        </w:r>
        <w:r w:rsidR="00423A91">
          <w:rPr>
            <w:noProof/>
            <w:webHidden/>
          </w:rPr>
          <w:fldChar w:fldCharType="separate"/>
        </w:r>
        <w:r w:rsidR="00423A91">
          <w:rPr>
            <w:noProof/>
            <w:webHidden/>
          </w:rPr>
          <w:t>18</w:t>
        </w:r>
        <w:r w:rsidR="00423A91">
          <w:rPr>
            <w:noProof/>
            <w:webHidden/>
          </w:rPr>
          <w:fldChar w:fldCharType="end"/>
        </w:r>
      </w:hyperlink>
    </w:p>
    <w:p w:rsidR="00423A91" w:rsidRPr="00EF1C34" w:rsidRDefault="00EC2A49">
      <w:pPr>
        <w:pStyle w:val="TOC1"/>
        <w:tabs>
          <w:tab w:val="left" w:pos="440"/>
          <w:tab w:val="right" w:leader="dot" w:pos="9059"/>
        </w:tabs>
        <w:rPr>
          <w:rFonts w:ascii="Calibri" w:hAnsi="Calibri"/>
          <w:noProof/>
          <w:kern w:val="0"/>
          <w:szCs w:val="22"/>
          <w:lang w:val="fr-FR"/>
        </w:rPr>
      </w:pPr>
      <w:hyperlink w:anchor="_Toc406063904" w:history="1">
        <w:r w:rsidR="00423A91" w:rsidRPr="00A642ED">
          <w:rPr>
            <w:rStyle w:val="Hyperlink"/>
            <w:noProof/>
            <w:lang w:val="fr-FR"/>
          </w:rPr>
          <w:t>4</w:t>
        </w:r>
        <w:r w:rsidR="00423A91" w:rsidRPr="00EF1C34">
          <w:rPr>
            <w:rFonts w:ascii="Calibri" w:hAnsi="Calibri"/>
            <w:noProof/>
            <w:kern w:val="0"/>
            <w:szCs w:val="22"/>
            <w:lang w:val="fr-FR"/>
          </w:rPr>
          <w:tab/>
        </w:r>
        <w:r w:rsidR="00423A91" w:rsidRPr="00A642ED">
          <w:rPr>
            <w:rStyle w:val="Hyperlink"/>
            <w:noProof/>
            <w:lang w:val="fr-FR"/>
          </w:rPr>
          <w:t>Cohérence avec les stratégies sectorielles d’ECHO</w:t>
        </w:r>
        <w:r w:rsidR="00423A91">
          <w:rPr>
            <w:noProof/>
            <w:webHidden/>
          </w:rPr>
          <w:tab/>
        </w:r>
        <w:r w:rsidR="00423A91">
          <w:rPr>
            <w:noProof/>
            <w:webHidden/>
          </w:rPr>
          <w:fldChar w:fldCharType="begin"/>
        </w:r>
        <w:r w:rsidR="00423A91">
          <w:rPr>
            <w:noProof/>
            <w:webHidden/>
          </w:rPr>
          <w:instrText xml:space="preserve"> PAGEREF _Toc406063904 \h </w:instrText>
        </w:r>
        <w:r w:rsidR="00423A91">
          <w:rPr>
            <w:noProof/>
            <w:webHidden/>
          </w:rPr>
        </w:r>
        <w:r w:rsidR="00423A91">
          <w:rPr>
            <w:noProof/>
            <w:webHidden/>
          </w:rPr>
          <w:fldChar w:fldCharType="separate"/>
        </w:r>
        <w:r w:rsidR="00423A91">
          <w:rPr>
            <w:noProof/>
            <w:webHidden/>
          </w:rPr>
          <w:t>18</w:t>
        </w:r>
        <w:r w:rsidR="00423A91">
          <w:rPr>
            <w:noProof/>
            <w:webHidden/>
          </w:rPr>
          <w:fldChar w:fldCharType="end"/>
        </w:r>
      </w:hyperlink>
    </w:p>
    <w:p w:rsidR="00423A91" w:rsidRPr="00EF1C34" w:rsidRDefault="00EC2A49">
      <w:pPr>
        <w:pStyle w:val="TOC2"/>
        <w:tabs>
          <w:tab w:val="left" w:pos="880"/>
          <w:tab w:val="right" w:leader="dot" w:pos="9059"/>
        </w:tabs>
        <w:rPr>
          <w:rFonts w:ascii="Calibri" w:hAnsi="Calibri"/>
          <w:noProof/>
          <w:kern w:val="0"/>
          <w:szCs w:val="22"/>
          <w:lang w:val="fr-FR"/>
        </w:rPr>
      </w:pPr>
      <w:hyperlink w:anchor="_Toc406063905" w:history="1">
        <w:r w:rsidR="00423A91" w:rsidRPr="00A642ED">
          <w:rPr>
            <w:rStyle w:val="Hyperlink"/>
            <w:noProof/>
            <w:lang w:val="fr-FR"/>
          </w:rPr>
          <w:t>4.1</w:t>
        </w:r>
        <w:r w:rsidR="00423A91" w:rsidRPr="00EF1C34">
          <w:rPr>
            <w:rFonts w:ascii="Calibri" w:hAnsi="Calibri"/>
            <w:noProof/>
            <w:kern w:val="0"/>
            <w:szCs w:val="22"/>
            <w:lang w:val="fr-FR"/>
          </w:rPr>
          <w:tab/>
        </w:r>
        <w:r w:rsidR="00423A91" w:rsidRPr="00A642ED">
          <w:rPr>
            <w:rStyle w:val="Hyperlink"/>
            <w:noProof/>
            <w:lang w:val="fr-FR"/>
          </w:rPr>
          <w:t>Déplacement de population : Réponse Eau Hygiène et Assainissement au Nord Mali</w:t>
        </w:r>
        <w:r w:rsidR="00423A91">
          <w:rPr>
            <w:noProof/>
            <w:webHidden/>
          </w:rPr>
          <w:tab/>
        </w:r>
        <w:r w:rsidR="00423A91">
          <w:rPr>
            <w:noProof/>
            <w:webHidden/>
          </w:rPr>
          <w:fldChar w:fldCharType="begin"/>
        </w:r>
        <w:r w:rsidR="00423A91">
          <w:rPr>
            <w:noProof/>
            <w:webHidden/>
          </w:rPr>
          <w:instrText xml:space="preserve"> PAGEREF _Toc406063905 \h </w:instrText>
        </w:r>
        <w:r w:rsidR="00423A91">
          <w:rPr>
            <w:noProof/>
            <w:webHidden/>
          </w:rPr>
        </w:r>
        <w:r w:rsidR="00423A91">
          <w:rPr>
            <w:noProof/>
            <w:webHidden/>
          </w:rPr>
          <w:fldChar w:fldCharType="separate"/>
        </w:r>
        <w:r w:rsidR="00423A91">
          <w:rPr>
            <w:noProof/>
            <w:webHidden/>
          </w:rPr>
          <w:t>18</w:t>
        </w:r>
        <w:r w:rsidR="00423A91">
          <w:rPr>
            <w:noProof/>
            <w:webHidden/>
          </w:rPr>
          <w:fldChar w:fldCharType="end"/>
        </w:r>
      </w:hyperlink>
    </w:p>
    <w:p w:rsidR="00423A91" w:rsidRPr="00EF1C34" w:rsidRDefault="00EC2A49">
      <w:pPr>
        <w:pStyle w:val="TOC2"/>
        <w:tabs>
          <w:tab w:val="left" w:pos="880"/>
          <w:tab w:val="right" w:leader="dot" w:pos="9059"/>
        </w:tabs>
        <w:rPr>
          <w:rFonts w:ascii="Calibri" w:hAnsi="Calibri"/>
          <w:noProof/>
          <w:kern w:val="0"/>
          <w:szCs w:val="22"/>
          <w:lang w:val="fr-FR"/>
        </w:rPr>
      </w:pPr>
      <w:hyperlink w:anchor="_Toc406063906" w:history="1">
        <w:r w:rsidR="00423A91" w:rsidRPr="00A642ED">
          <w:rPr>
            <w:rStyle w:val="Hyperlink"/>
            <w:noProof/>
            <w:lang w:val="fr-FR"/>
          </w:rPr>
          <w:t>4.2</w:t>
        </w:r>
        <w:r w:rsidR="00423A91" w:rsidRPr="00EF1C34">
          <w:rPr>
            <w:rFonts w:ascii="Calibri" w:hAnsi="Calibri"/>
            <w:noProof/>
            <w:kern w:val="0"/>
            <w:szCs w:val="22"/>
            <w:lang w:val="fr-FR"/>
          </w:rPr>
          <w:tab/>
        </w:r>
        <w:r w:rsidR="00423A91" w:rsidRPr="00A642ED">
          <w:rPr>
            <w:rStyle w:val="Hyperlink"/>
            <w:noProof/>
            <w:lang w:val="fr-FR"/>
          </w:rPr>
          <w:t>Epidémie : Ebola au Mali</w:t>
        </w:r>
        <w:r w:rsidR="00423A91">
          <w:rPr>
            <w:noProof/>
            <w:webHidden/>
          </w:rPr>
          <w:tab/>
        </w:r>
        <w:r w:rsidR="00423A91">
          <w:rPr>
            <w:noProof/>
            <w:webHidden/>
          </w:rPr>
          <w:fldChar w:fldCharType="begin"/>
        </w:r>
        <w:r w:rsidR="00423A91">
          <w:rPr>
            <w:noProof/>
            <w:webHidden/>
          </w:rPr>
          <w:instrText xml:space="preserve"> PAGEREF _Toc406063906 \h </w:instrText>
        </w:r>
        <w:r w:rsidR="00423A91">
          <w:rPr>
            <w:noProof/>
            <w:webHidden/>
          </w:rPr>
        </w:r>
        <w:r w:rsidR="00423A91">
          <w:rPr>
            <w:noProof/>
            <w:webHidden/>
          </w:rPr>
          <w:fldChar w:fldCharType="separate"/>
        </w:r>
        <w:r w:rsidR="00423A91">
          <w:rPr>
            <w:noProof/>
            <w:webHidden/>
          </w:rPr>
          <w:t>18</w:t>
        </w:r>
        <w:r w:rsidR="00423A91">
          <w:rPr>
            <w:noProof/>
            <w:webHidden/>
          </w:rPr>
          <w:fldChar w:fldCharType="end"/>
        </w:r>
      </w:hyperlink>
    </w:p>
    <w:p w:rsidR="00423A91" w:rsidRPr="00EF1C34" w:rsidRDefault="00EC2A49">
      <w:pPr>
        <w:pStyle w:val="TOC2"/>
        <w:tabs>
          <w:tab w:val="left" w:pos="880"/>
          <w:tab w:val="right" w:leader="dot" w:pos="9059"/>
        </w:tabs>
        <w:rPr>
          <w:rFonts w:ascii="Calibri" w:hAnsi="Calibri"/>
          <w:noProof/>
          <w:kern w:val="0"/>
          <w:szCs w:val="22"/>
          <w:lang w:val="fr-FR"/>
        </w:rPr>
      </w:pPr>
      <w:hyperlink w:anchor="_Toc406063907" w:history="1">
        <w:r w:rsidR="00423A91" w:rsidRPr="00A642ED">
          <w:rPr>
            <w:rStyle w:val="Hyperlink"/>
            <w:noProof/>
          </w:rPr>
          <w:t>4.3</w:t>
        </w:r>
        <w:r w:rsidR="00423A91" w:rsidRPr="00EF1C34">
          <w:rPr>
            <w:rFonts w:ascii="Calibri" w:hAnsi="Calibri"/>
            <w:noProof/>
            <w:kern w:val="0"/>
            <w:szCs w:val="22"/>
            <w:lang w:val="fr-FR"/>
          </w:rPr>
          <w:tab/>
        </w:r>
        <w:r w:rsidR="00423A91" w:rsidRPr="00A642ED">
          <w:rPr>
            <w:rStyle w:val="Hyperlink"/>
            <w:noProof/>
          </w:rPr>
          <w:t>WASH’NUT</w:t>
        </w:r>
        <w:r w:rsidR="00423A91">
          <w:rPr>
            <w:noProof/>
            <w:webHidden/>
          </w:rPr>
          <w:tab/>
        </w:r>
        <w:r w:rsidR="00423A91">
          <w:rPr>
            <w:noProof/>
            <w:webHidden/>
          </w:rPr>
          <w:fldChar w:fldCharType="begin"/>
        </w:r>
        <w:r w:rsidR="00423A91">
          <w:rPr>
            <w:noProof/>
            <w:webHidden/>
          </w:rPr>
          <w:instrText xml:space="preserve"> PAGEREF _Toc406063907 \h </w:instrText>
        </w:r>
        <w:r w:rsidR="00423A91">
          <w:rPr>
            <w:noProof/>
            <w:webHidden/>
          </w:rPr>
        </w:r>
        <w:r w:rsidR="00423A91">
          <w:rPr>
            <w:noProof/>
            <w:webHidden/>
          </w:rPr>
          <w:fldChar w:fldCharType="separate"/>
        </w:r>
        <w:r w:rsidR="00423A91">
          <w:rPr>
            <w:noProof/>
            <w:webHidden/>
          </w:rPr>
          <w:t>18</w:t>
        </w:r>
        <w:r w:rsidR="00423A91">
          <w:rPr>
            <w:noProof/>
            <w:webHidden/>
          </w:rPr>
          <w:fldChar w:fldCharType="end"/>
        </w:r>
      </w:hyperlink>
    </w:p>
    <w:p w:rsidR="00C81A48" w:rsidRPr="00041AEC" w:rsidRDefault="00C81A48" w:rsidP="00C81A48">
      <w:r w:rsidRPr="00041AEC">
        <w:fldChar w:fldCharType="end"/>
      </w:r>
    </w:p>
    <w:p w:rsidR="00C81A48" w:rsidRPr="00041AEC" w:rsidRDefault="00C81A48" w:rsidP="00C81A48">
      <w:pPr>
        <w:sectPr w:rsidR="00C81A48" w:rsidRPr="00041AEC" w:rsidSect="00F17D5F">
          <w:pgSz w:w="11905" w:h="16838" w:code="9"/>
          <w:pgMar w:top="1021" w:right="1418" w:bottom="851" w:left="1418" w:header="601" w:footer="1077" w:gutter="0"/>
          <w:pgNumType w:start="1"/>
          <w:cols w:space="720"/>
          <w:noEndnote/>
          <w:titlePg/>
        </w:sectPr>
      </w:pPr>
    </w:p>
    <w:p w:rsidR="004E182C" w:rsidRDefault="00AA4DCB" w:rsidP="00B92603">
      <w:pPr>
        <w:pStyle w:val="Title"/>
      </w:pPr>
      <w:r>
        <w:lastRenderedPageBreak/>
        <w:t xml:space="preserve">Résumé/Points </w:t>
      </w:r>
      <w:proofErr w:type="spellStart"/>
      <w:r>
        <w:t>essentiels</w:t>
      </w:r>
      <w:proofErr w:type="spellEnd"/>
      <w:r w:rsidR="004E182C" w:rsidRPr="00041AEC">
        <w:t>.</w:t>
      </w:r>
    </w:p>
    <w:p w:rsidR="00EF0DBE" w:rsidRPr="00EF0DBE" w:rsidRDefault="00EF0DBE" w:rsidP="00EF0DBE">
      <w:pPr>
        <w:numPr>
          <w:ilvl w:val="0"/>
          <w:numId w:val="22"/>
        </w:numPr>
        <w:ind w:left="284"/>
        <w:rPr>
          <w:b/>
          <w:i/>
          <w:lang w:val="fr-FR"/>
        </w:rPr>
      </w:pPr>
      <w:r w:rsidRPr="00EF0DBE">
        <w:rPr>
          <w:b/>
          <w:i/>
          <w:lang w:val="fr-FR"/>
        </w:rPr>
        <w:t>Déplacement de population : Réponse Eau Hygiène et Assainissement au Nord Mali</w:t>
      </w:r>
    </w:p>
    <w:p w:rsidR="00A175D3" w:rsidRDefault="001F6249" w:rsidP="001F6249">
      <w:pPr>
        <w:rPr>
          <w:lang w:val="fr-FR"/>
        </w:rPr>
      </w:pPr>
      <w:r>
        <w:rPr>
          <w:lang w:val="fr-FR"/>
        </w:rPr>
        <w:t>Le soutien au nord du Mali en matière d’Eau, d’Hygiène et d’Assainissement (E</w:t>
      </w:r>
      <w:r w:rsidR="00A175D3">
        <w:rPr>
          <w:lang w:val="fr-FR"/>
        </w:rPr>
        <w:t>HA) d’ECHO s’est concentré à l’accès à l’eau potable en reprenant des fonds du Xème FED dans les régions de Tombouctou, Gao, Kidal et au nord de celle de Mopti. La stratégie d’intervention vise à faciliter le rétablissement des services d’accès à l’eau potable suite aux exactions des groupes</w:t>
      </w:r>
      <w:r w:rsidR="00EC2A49">
        <w:rPr>
          <w:lang w:val="fr-FR"/>
        </w:rPr>
        <w:t xml:space="preserve"> armés non étatiques (s</w:t>
      </w:r>
      <w:r w:rsidR="00A175D3">
        <w:rPr>
          <w:lang w:val="fr-FR"/>
        </w:rPr>
        <w:t>alafistes</w:t>
      </w:r>
      <w:r w:rsidR="00EC2A49">
        <w:rPr>
          <w:lang w:val="fr-FR"/>
        </w:rPr>
        <w:t>)</w:t>
      </w:r>
      <w:r w:rsidR="00A175D3">
        <w:rPr>
          <w:lang w:val="fr-FR"/>
        </w:rPr>
        <w:t xml:space="preserve"> dans la région entre 2012 et aujourd’hui.</w:t>
      </w:r>
    </w:p>
    <w:p w:rsidR="00A175D3" w:rsidRDefault="00A175D3" w:rsidP="001F6249">
      <w:pPr>
        <w:rPr>
          <w:lang w:val="fr-FR"/>
        </w:rPr>
      </w:pPr>
      <w:r>
        <w:rPr>
          <w:lang w:val="fr-FR"/>
        </w:rPr>
        <w:t xml:space="preserve">Ce soutien s’est organisé autour d’une approche commune entre plusieurs </w:t>
      </w:r>
      <w:proofErr w:type="spellStart"/>
      <w:r>
        <w:rPr>
          <w:lang w:val="fr-FR"/>
        </w:rPr>
        <w:t>ONGs</w:t>
      </w:r>
      <w:proofErr w:type="spellEnd"/>
      <w:r>
        <w:rPr>
          <w:lang w:val="fr-FR"/>
        </w:rPr>
        <w:t xml:space="preserve"> (Solidarités, </w:t>
      </w:r>
      <w:proofErr w:type="spellStart"/>
      <w:r>
        <w:rPr>
          <w:lang w:val="fr-FR"/>
        </w:rPr>
        <w:t>Handic</w:t>
      </w:r>
      <w:proofErr w:type="spellEnd"/>
      <w:r>
        <w:rPr>
          <w:lang w:val="fr-FR"/>
        </w:rPr>
        <w:t xml:space="preserve"> International, ACF-ES, </w:t>
      </w:r>
      <w:proofErr w:type="spellStart"/>
      <w:r>
        <w:rPr>
          <w:lang w:val="fr-FR"/>
        </w:rPr>
        <w:t>LViA</w:t>
      </w:r>
      <w:proofErr w:type="spellEnd"/>
      <w:r>
        <w:rPr>
          <w:lang w:val="fr-FR"/>
        </w:rPr>
        <w:t xml:space="preserve">, Oxfam GB) et l’UNICEF. Les </w:t>
      </w:r>
      <w:proofErr w:type="spellStart"/>
      <w:r>
        <w:rPr>
          <w:lang w:val="fr-FR"/>
        </w:rPr>
        <w:t>ONGs</w:t>
      </w:r>
      <w:proofErr w:type="spellEnd"/>
      <w:r>
        <w:rPr>
          <w:lang w:val="fr-FR"/>
        </w:rPr>
        <w:t xml:space="preserve"> étant déployées en milieu rural (point d’eau) et l’UNICEF en charge des milieux urbains (réseau</w:t>
      </w:r>
      <w:r w:rsidR="00EC7669">
        <w:rPr>
          <w:lang w:val="fr-FR"/>
        </w:rPr>
        <w:t>x</w:t>
      </w:r>
      <w:r>
        <w:rPr>
          <w:lang w:val="fr-FR"/>
        </w:rPr>
        <w:t xml:space="preserve"> d’adduction). La mission a permis d’observer les interventions de l’UNICEF </w:t>
      </w:r>
      <w:r w:rsidR="00EC7669">
        <w:rPr>
          <w:lang w:val="fr-FR"/>
        </w:rPr>
        <w:t xml:space="preserve">(sous HIP 2013) </w:t>
      </w:r>
      <w:r>
        <w:rPr>
          <w:lang w:val="fr-FR"/>
        </w:rPr>
        <w:t xml:space="preserve">dans trois localités (Tombouctou, </w:t>
      </w:r>
      <w:r w:rsidR="00CF05A7">
        <w:rPr>
          <w:lang w:val="fr-FR"/>
        </w:rPr>
        <w:t>Toya</w:t>
      </w:r>
      <w:r>
        <w:rPr>
          <w:lang w:val="fr-FR"/>
        </w:rPr>
        <w:t xml:space="preserve">, </w:t>
      </w:r>
      <w:proofErr w:type="spellStart"/>
      <w:r>
        <w:rPr>
          <w:lang w:val="fr-FR"/>
        </w:rPr>
        <w:t>Nyafounké</w:t>
      </w:r>
      <w:proofErr w:type="spellEnd"/>
      <w:r>
        <w:rPr>
          <w:lang w:val="fr-FR"/>
        </w:rPr>
        <w:t xml:space="preserve">). </w:t>
      </w:r>
    </w:p>
    <w:p w:rsidR="00A175D3" w:rsidRDefault="00A175D3" w:rsidP="001F6249">
      <w:pPr>
        <w:rPr>
          <w:lang w:val="fr-FR"/>
        </w:rPr>
      </w:pPr>
      <w:r>
        <w:rPr>
          <w:lang w:val="fr-FR"/>
        </w:rPr>
        <w:t xml:space="preserve">Les observations faites sur le terrain et les réunions </w:t>
      </w:r>
      <w:r w:rsidR="00EF0DBE">
        <w:rPr>
          <w:lang w:val="fr-FR"/>
        </w:rPr>
        <w:t>avec les partenaires d’ECHO</w:t>
      </w:r>
      <w:r>
        <w:rPr>
          <w:lang w:val="fr-FR"/>
        </w:rPr>
        <w:t xml:space="preserve"> mettent</w:t>
      </w:r>
      <w:r w:rsidR="00EF0DBE">
        <w:rPr>
          <w:lang w:val="fr-FR"/>
        </w:rPr>
        <w:t xml:space="preserve"> en évidence la nécessité de mettre en priorité l’accent sur le ciblage des interventions selon une double problématique :</w:t>
      </w:r>
    </w:p>
    <w:p w:rsidR="00EF0DBE" w:rsidRDefault="00EF0DBE" w:rsidP="00EF0DBE">
      <w:pPr>
        <w:numPr>
          <w:ilvl w:val="0"/>
          <w:numId w:val="21"/>
        </w:numPr>
        <w:rPr>
          <w:lang w:val="fr-FR"/>
        </w:rPr>
      </w:pPr>
      <w:r>
        <w:rPr>
          <w:lang w:val="fr-FR"/>
        </w:rPr>
        <w:t>L’accès à l’eau aux populations déplacées</w:t>
      </w:r>
      <w:r w:rsidR="00EC7669">
        <w:rPr>
          <w:lang w:val="fr-FR"/>
        </w:rPr>
        <w:t xml:space="preserve"> et retournées</w:t>
      </w:r>
      <w:r>
        <w:rPr>
          <w:lang w:val="fr-FR"/>
        </w:rPr>
        <w:t xml:space="preserve"> compris comme les populations qui ont vu leur accès à l’eau potable diminuer suite aux exactions des groupes armés encore présents dans la zone ;</w:t>
      </w:r>
    </w:p>
    <w:p w:rsidR="00EF0DBE" w:rsidRDefault="00EF0DBE" w:rsidP="00EF0DBE">
      <w:pPr>
        <w:numPr>
          <w:ilvl w:val="0"/>
          <w:numId w:val="21"/>
        </w:numPr>
        <w:rPr>
          <w:lang w:val="fr-FR"/>
        </w:rPr>
      </w:pPr>
      <w:r>
        <w:rPr>
          <w:lang w:val="fr-FR"/>
        </w:rPr>
        <w:t>La réduction des tensions entre les différents usages de cet eau, portant notamment sur le partage de la ressource entre besoin domestique et économique (agro-pastoralisme).</w:t>
      </w:r>
    </w:p>
    <w:p w:rsidR="00EF0DBE" w:rsidRDefault="00EF0DBE" w:rsidP="001F6249">
      <w:pPr>
        <w:rPr>
          <w:lang w:val="fr-FR"/>
        </w:rPr>
      </w:pPr>
      <w:r>
        <w:rPr>
          <w:lang w:val="fr-FR"/>
        </w:rPr>
        <w:t>Vis-à-vis de la plateforme soutenu par ECHO</w:t>
      </w:r>
      <w:r w:rsidR="00EC7669">
        <w:rPr>
          <w:lang w:val="fr-FR"/>
        </w:rPr>
        <w:t xml:space="preserve"> (« Cadre Commun WASH LRRD »)</w:t>
      </w:r>
      <w:r>
        <w:rPr>
          <w:lang w:val="fr-FR"/>
        </w:rPr>
        <w:t>, il apparaît également nécessaire qu’elle gagne en visibilité et se dote d’une stratégie à moyen terme pour pouvoir se dégager du soutien d’ECHO pour l’élargir aux enjeux structurels du ressort des bailleurs de fonds de développement.</w:t>
      </w:r>
    </w:p>
    <w:p w:rsidR="009C4F2F" w:rsidRPr="00EF0DBE" w:rsidRDefault="009C4F2F" w:rsidP="009C4F2F">
      <w:pPr>
        <w:numPr>
          <w:ilvl w:val="0"/>
          <w:numId w:val="22"/>
        </w:numPr>
        <w:ind w:left="284"/>
        <w:rPr>
          <w:b/>
          <w:i/>
          <w:lang w:val="fr-FR"/>
        </w:rPr>
      </w:pPr>
      <w:r w:rsidRPr="009C4F2F">
        <w:rPr>
          <w:b/>
          <w:i/>
          <w:lang w:val="fr-FR"/>
        </w:rPr>
        <w:t>Epidémie : Ebola au Mali</w:t>
      </w:r>
    </w:p>
    <w:p w:rsidR="00EF0DBE" w:rsidRDefault="00EF0DBE" w:rsidP="001F6249">
      <w:pPr>
        <w:rPr>
          <w:lang w:val="fr-FR"/>
        </w:rPr>
      </w:pPr>
      <w:r>
        <w:rPr>
          <w:lang w:val="fr-FR"/>
        </w:rPr>
        <w:t>L’épidémie de fièvre hémorragique qui affecte l’Afrique de l’Ouest a touché le Mali de façon marginale (huit cas, six décès)</w:t>
      </w:r>
      <w:r w:rsidR="0070390D">
        <w:rPr>
          <w:lang w:val="fr-FR"/>
        </w:rPr>
        <w:t xml:space="preserve"> sans affecter le système de santé malien (deux décès parmi le personnel médical seulement)</w:t>
      </w:r>
      <w:r>
        <w:rPr>
          <w:lang w:val="fr-FR"/>
        </w:rPr>
        <w:t>. Aucun nouveau cas, ni foyer ne sont apparus depuis l</w:t>
      </w:r>
      <w:r w:rsidR="0070390D">
        <w:rPr>
          <w:lang w:val="fr-FR"/>
        </w:rPr>
        <w:t xml:space="preserve">a mi-novembre. </w:t>
      </w:r>
    </w:p>
    <w:p w:rsidR="0070390D" w:rsidRDefault="0070390D" w:rsidP="001F6249">
      <w:pPr>
        <w:rPr>
          <w:lang w:val="fr-FR"/>
        </w:rPr>
      </w:pPr>
      <w:r>
        <w:rPr>
          <w:lang w:val="fr-FR"/>
        </w:rPr>
        <w:t xml:space="preserve">Néanmoins, l’épidémie demeure active en Guinée avec des foyers qui ne sont pas encore maîtrisés et qui se rapprochent de la frontière malienne avec un renforcement du dispositif de prise en charge encore </w:t>
      </w:r>
      <w:r w:rsidR="00EC2A49">
        <w:rPr>
          <w:lang w:val="fr-FR"/>
        </w:rPr>
        <w:t>très</w:t>
      </w:r>
      <w:r w:rsidR="00127E86">
        <w:rPr>
          <w:lang w:val="fr-FR"/>
        </w:rPr>
        <w:t xml:space="preserve"> </w:t>
      </w:r>
      <w:r>
        <w:rPr>
          <w:lang w:val="fr-FR"/>
        </w:rPr>
        <w:t>faible côté Guinéen</w:t>
      </w:r>
      <w:r w:rsidR="00127E86">
        <w:rPr>
          <w:lang w:val="fr-FR"/>
        </w:rPr>
        <w:t xml:space="preserve"> (5 jours en moyenne entre l’apparition des </w:t>
      </w:r>
      <w:r w:rsidR="00EC2A49">
        <w:rPr>
          <w:lang w:val="fr-FR"/>
        </w:rPr>
        <w:t>symptômes</w:t>
      </w:r>
      <w:r w:rsidR="00127E86">
        <w:rPr>
          <w:lang w:val="fr-FR"/>
        </w:rPr>
        <w:t xml:space="preserve"> et l’isolation de cas dans le Département frontalier de Siguiri)</w:t>
      </w:r>
      <w:r>
        <w:rPr>
          <w:lang w:val="fr-FR"/>
        </w:rPr>
        <w:t>. L’importation de cas de la Guinée vers le Mali demeure le scénario le plus probable motivé par la proximité de l’accès aux soins et de la faible distance de la capitale malienne à la frontière guinéenne (une centaine de kilomètre de route goudronnée en très bon état).</w:t>
      </w:r>
    </w:p>
    <w:p w:rsidR="0070390D" w:rsidRDefault="0070390D" w:rsidP="001F6249">
      <w:pPr>
        <w:rPr>
          <w:lang w:val="fr-FR"/>
        </w:rPr>
      </w:pPr>
      <w:r>
        <w:rPr>
          <w:lang w:val="fr-FR"/>
        </w:rPr>
        <w:t>Il est par conséquent nécessaire de pouvoir détecter, isoler et alerter au plus vite l’arrivée de cas suspects dans les structures de santé afin que celles-ci ne deviennent pas des foyers de dissémination de la maladie et maintiennent une capacité opérationnelle pour assurer les soins de bases.</w:t>
      </w:r>
    </w:p>
    <w:p w:rsidR="009C4F2F" w:rsidRDefault="0070390D" w:rsidP="001F6249">
      <w:pPr>
        <w:rPr>
          <w:lang w:val="fr-FR"/>
        </w:rPr>
      </w:pPr>
      <w:r>
        <w:rPr>
          <w:lang w:val="fr-FR"/>
        </w:rPr>
        <w:t xml:space="preserve">La réponse du Ministère de la Santé et de l’OMS a consisté </w:t>
      </w:r>
      <w:r w:rsidR="009C4F2F">
        <w:rPr>
          <w:lang w:val="fr-FR"/>
        </w:rPr>
        <w:t>à former son personnel à la gestion de cas suspects dans les</w:t>
      </w:r>
      <w:r w:rsidR="00127E86">
        <w:rPr>
          <w:lang w:val="fr-FR"/>
        </w:rPr>
        <w:t xml:space="preserve"> </w:t>
      </w:r>
      <w:r w:rsidR="009C4F2F">
        <w:rPr>
          <w:lang w:val="fr-FR"/>
        </w:rPr>
        <w:t>structures de santé</w:t>
      </w:r>
      <w:r w:rsidR="00127E86">
        <w:rPr>
          <w:lang w:val="fr-FR"/>
        </w:rPr>
        <w:t xml:space="preserve"> de référence </w:t>
      </w:r>
      <w:r w:rsidR="000E3B39">
        <w:rPr>
          <w:lang w:val="fr-FR"/>
        </w:rPr>
        <w:t xml:space="preserve">des </w:t>
      </w:r>
      <w:r w:rsidR="00EC2A49">
        <w:rPr>
          <w:lang w:val="fr-FR"/>
        </w:rPr>
        <w:t xml:space="preserve">districts sanitaires </w:t>
      </w:r>
      <w:r w:rsidR="009C4F2F">
        <w:rPr>
          <w:lang w:val="fr-FR"/>
        </w:rPr>
        <w:t>et de doter ceux-ci de l’équipement minimum nécessaire à celle-ci (détection, confinement, alerte, référencement).</w:t>
      </w:r>
    </w:p>
    <w:p w:rsidR="0070390D" w:rsidRDefault="009C4F2F" w:rsidP="001F6249">
      <w:pPr>
        <w:rPr>
          <w:lang w:val="fr-FR"/>
        </w:rPr>
      </w:pPr>
      <w:r>
        <w:rPr>
          <w:lang w:val="fr-FR"/>
        </w:rPr>
        <w:t>Néanmoins ces formations restent insuffisantes par manque le manque de rigueur du personnel de santé et une supervision régulière de ces derniers reste nécessaire. C’est dans ce dispositif et sur cette lacune que s’est positionné le soutien d’ECHO après une première décision visant à confiner les premiers cas (région de Kayes et Bamako).</w:t>
      </w:r>
    </w:p>
    <w:p w:rsidR="009C4F2F" w:rsidRDefault="009C4F2F" w:rsidP="001F6249">
      <w:pPr>
        <w:rPr>
          <w:lang w:val="fr-FR"/>
        </w:rPr>
      </w:pPr>
      <w:r>
        <w:rPr>
          <w:lang w:val="fr-FR"/>
        </w:rPr>
        <w:t xml:space="preserve">Ce soutien se caractérise par la mise en place d’une approche commune entre plusieurs </w:t>
      </w:r>
      <w:proofErr w:type="spellStart"/>
      <w:r>
        <w:rPr>
          <w:lang w:val="fr-FR"/>
        </w:rPr>
        <w:lastRenderedPageBreak/>
        <w:t>ONGs</w:t>
      </w:r>
      <w:proofErr w:type="spellEnd"/>
      <w:r>
        <w:rPr>
          <w:lang w:val="fr-FR"/>
        </w:rPr>
        <w:t xml:space="preserve"> (ACF, CRF, ACTED</w:t>
      </w:r>
      <w:r w:rsidR="00854C91">
        <w:rPr>
          <w:lang w:val="fr-FR"/>
        </w:rPr>
        <w:t xml:space="preserve">, IRC, </w:t>
      </w:r>
      <w:proofErr w:type="spellStart"/>
      <w:r w:rsidR="00854C91">
        <w:rPr>
          <w:lang w:val="fr-FR"/>
        </w:rPr>
        <w:t>Alima</w:t>
      </w:r>
      <w:proofErr w:type="spellEnd"/>
      <w:r>
        <w:rPr>
          <w:lang w:val="fr-FR"/>
        </w:rPr>
        <w:t>) qui assureront la formation et la supervision du personnel médical de Bamako et des districts sanitaires frontaliers. Ce</w:t>
      </w:r>
      <w:r w:rsidR="00854C91">
        <w:rPr>
          <w:lang w:val="fr-FR"/>
        </w:rPr>
        <w:t>rtaines de ces</w:t>
      </w:r>
      <w:r>
        <w:rPr>
          <w:lang w:val="fr-FR"/>
        </w:rPr>
        <w:t xml:space="preserve"> </w:t>
      </w:r>
      <w:proofErr w:type="spellStart"/>
      <w:r>
        <w:rPr>
          <w:lang w:val="fr-FR"/>
        </w:rPr>
        <w:t>ONGs</w:t>
      </w:r>
      <w:proofErr w:type="spellEnd"/>
      <w:r>
        <w:rPr>
          <w:lang w:val="fr-FR"/>
        </w:rPr>
        <w:t xml:space="preserve"> </w:t>
      </w:r>
      <w:r w:rsidR="00854C91">
        <w:rPr>
          <w:lang w:val="fr-FR"/>
        </w:rPr>
        <w:t xml:space="preserve">(ACF, IRC, ACTED) </w:t>
      </w:r>
      <w:r>
        <w:rPr>
          <w:lang w:val="fr-FR"/>
        </w:rPr>
        <w:t>seront-elles-mêmes formés par IMC qui assurera l’homogénéité des protocoles et assurera une réponse d’</w:t>
      </w:r>
      <w:r w:rsidR="00854C91">
        <w:rPr>
          <w:lang w:val="fr-FR"/>
        </w:rPr>
        <w:t xml:space="preserve">urgence dans les zones non couvertes par ces </w:t>
      </w:r>
      <w:proofErr w:type="spellStart"/>
      <w:r w:rsidR="00854C91">
        <w:rPr>
          <w:lang w:val="fr-FR"/>
        </w:rPr>
        <w:t>ONGs</w:t>
      </w:r>
      <w:proofErr w:type="spellEnd"/>
      <w:r w:rsidR="00854C91">
        <w:rPr>
          <w:lang w:val="fr-FR"/>
        </w:rPr>
        <w:t>. L’UNICEF complètera le dispositif d’IMC si un foyer infectieux viendrait à prendre de l’ampleur.</w:t>
      </w:r>
    </w:p>
    <w:p w:rsidR="00854C91" w:rsidRDefault="00854C91" w:rsidP="001F6249">
      <w:pPr>
        <w:rPr>
          <w:lang w:val="fr-FR"/>
        </w:rPr>
      </w:pPr>
      <w:r>
        <w:rPr>
          <w:lang w:val="fr-FR"/>
        </w:rPr>
        <w:t xml:space="preserve">Il est souhaitable que l’engagement d’ECHO dans ce dispositif soit confirmé (soutien à </w:t>
      </w:r>
      <w:proofErr w:type="spellStart"/>
      <w:r>
        <w:rPr>
          <w:lang w:val="fr-FR"/>
        </w:rPr>
        <w:t>Alima</w:t>
      </w:r>
      <w:proofErr w:type="spellEnd"/>
      <w:r>
        <w:rPr>
          <w:lang w:val="fr-FR"/>
        </w:rPr>
        <w:t>, IMC, IRC, ACTED, ACF, CRF et UNICEF) et que ce dernier garantisse l’encadrement minimum des structures de santé qu’il couvre.</w:t>
      </w:r>
    </w:p>
    <w:p w:rsidR="00854C91" w:rsidRPr="00FF0D2D" w:rsidRDefault="00325EA8" w:rsidP="00FF0D2D">
      <w:pPr>
        <w:numPr>
          <w:ilvl w:val="0"/>
          <w:numId w:val="22"/>
        </w:numPr>
        <w:ind w:left="284"/>
        <w:rPr>
          <w:b/>
          <w:i/>
          <w:lang w:val="fr-FR"/>
        </w:rPr>
      </w:pPr>
      <w:r w:rsidRPr="00FF0D2D">
        <w:rPr>
          <w:b/>
          <w:i/>
          <w:lang w:val="fr-FR"/>
        </w:rPr>
        <w:t>WASH’NUT</w:t>
      </w:r>
    </w:p>
    <w:p w:rsidR="00325EA8" w:rsidRDefault="00325EA8" w:rsidP="001F6249">
      <w:pPr>
        <w:rPr>
          <w:lang w:val="fr-FR"/>
        </w:rPr>
      </w:pPr>
      <w:r>
        <w:rPr>
          <w:lang w:val="fr-FR"/>
        </w:rPr>
        <w:t xml:space="preserve">La finalisation des recommandations opérationnelles du  HIP Afrique de l’Ouest au niveau de Bruxelles s’est traduite par la suppression d’un des deux indicateurs WASH’NUT initialement promue par ECHO. </w:t>
      </w:r>
    </w:p>
    <w:p w:rsidR="00325EA8" w:rsidRDefault="00325EA8" w:rsidP="001F6249">
      <w:pPr>
        <w:rPr>
          <w:lang w:val="fr-FR"/>
        </w:rPr>
      </w:pPr>
      <w:r>
        <w:rPr>
          <w:lang w:val="fr-FR"/>
        </w:rPr>
        <w:t>Ce recul sera interprété comme tel de la part des acteurs qui soutiennent cette stratégie (UNICEF) et par ceux qui la mettaient en œuvre auparavant.</w:t>
      </w:r>
    </w:p>
    <w:p w:rsidR="00325EA8" w:rsidRDefault="00FF0D2D" w:rsidP="001F6249">
      <w:pPr>
        <w:rPr>
          <w:lang w:val="fr-FR"/>
        </w:rPr>
      </w:pPr>
      <w:r>
        <w:rPr>
          <w:lang w:val="fr-FR"/>
        </w:rPr>
        <w:t>Toutefois, il reste nécessaire de garantir que tous les partenaires s’assurent de l’accès aux services EHA minimum pendant la période de prise en charge de la malnutrition, qu’elle soit réalisé dans une structure médicale ou au sein des ménages affectés.</w:t>
      </w:r>
    </w:p>
    <w:p w:rsidR="00FF0D2D" w:rsidRDefault="00FF0D2D" w:rsidP="001F6249">
      <w:pPr>
        <w:rPr>
          <w:lang w:val="fr-FR"/>
        </w:rPr>
      </w:pPr>
      <w:r>
        <w:rPr>
          <w:lang w:val="fr-FR"/>
        </w:rPr>
        <w:t>L’élargissement de cette stratégie pour assurer une couverture minimale de l’accès aux services EHA minimales au-delà de la prise en charge pendant la période critique (soudure saisonnière) pourra être soutenu selon les capacités des partenaires, la pertinence de cet élargissement et les fonds disponibles. Il en va de même pour la réalisation d’études visant à corréler le lien entre malnutrition et défaut d’accès aux services EHA de base.</w:t>
      </w:r>
    </w:p>
    <w:p w:rsidR="00854C91" w:rsidRPr="00854C91" w:rsidRDefault="00854C91" w:rsidP="00854C91">
      <w:pPr>
        <w:jc w:val="center"/>
        <w:rPr>
          <w:u w:val="single"/>
          <w:lang w:val="fr-FR"/>
        </w:rPr>
      </w:pPr>
      <w:r>
        <w:rPr>
          <w:lang w:val="fr-FR"/>
        </w:rPr>
        <w:t> </w:t>
      </w:r>
      <w:r>
        <w:rPr>
          <w:u w:val="single"/>
          <w:lang w:val="fr-FR"/>
        </w:rPr>
        <w:tab/>
      </w:r>
      <w:r>
        <w:rPr>
          <w:u w:val="single"/>
          <w:lang w:val="fr-FR"/>
        </w:rPr>
        <w:tab/>
      </w:r>
      <w:r>
        <w:rPr>
          <w:u w:val="single"/>
          <w:lang w:val="fr-FR"/>
        </w:rPr>
        <w:tab/>
      </w:r>
      <w:r>
        <w:rPr>
          <w:u w:val="single"/>
          <w:lang w:val="fr-FR"/>
        </w:rPr>
        <w:tab/>
        <w:t> </w:t>
      </w:r>
    </w:p>
    <w:p w:rsidR="00F17D5F" w:rsidRPr="00041AEC" w:rsidRDefault="00854C91" w:rsidP="00325EA8">
      <w:pPr>
        <w:pStyle w:val="Heading1"/>
      </w:pPr>
      <w:r>
        <w:rPr>
          <w:lang w:val="fr-FR"/>
        </w:rPr>
        <w:br w:type="page"/>
      </w:r>
      <w:bookmarkStart w:id="0" w:name="_Toc406063876"/>
      <w:proofErr w:type="spellStart"/>
      <w:r w:rsidR="00AA4DCB">
        <w:lastRenderedPageBreak/>
        <w:t>Contexte</w:t>
      </w:r>
      <w:proofErr w:type="spellEnd"/>
      <w:r w:rsidR="004E182C" w:rsidRPr="00041AEC">
        <w:t>.</w:t>
      </w:r>
      <w:bookmarkEnd w:id="0"/>
    </w:p>
    <w:p w:rsidR="00041AEC" w:rsidRDefault="00AA2BEA" w:rsidP="00525458">
      <w:pPr>
        <w:pStyle w:val="Heading2"/>
        <w:rPr>
          <w:lang w:val="fr-FR"/>
        </w:rPr>
      </w:pPr>
      <w:bookmarkStart w:id="1" w:name="_Toc406063877"/>
      <w:r>
        <w:rPr>
          <w:lang w:val="fr-FR"/>
        </w:rPr>
        <w:t xml:space="preserve">Déplacement de population : Réponse Eau Hygiène et Assainissement au Nord </w:t>
      </w:r>
      <w:r w:rsidR="00D71E43" w:rsidRPr="00D71E43">
        <w:rPr>
          <w:lang w:val="fr-FR"/>
        </w:rPr>
        <w:t>Mali</w:t>
      </w:r>
      <w:bookmarkEnd w:id="1"/>
    </w:p>
    <w:p w:rsidR="00007DC7" w:rsidRPr="00007DC7" w:rsidRDefault="00007DC7" w:rsidP="00ED17A1">
      <w:pPr>
        <w:pStyle w:val="Heading3"/>
      </w:pPr>
      <w:bookmarkStart w:id="2" w:name="_Toc406063878"/>
      <w:proofErr w:type="spellStart"/>
      <w:r>
        <w:t>Historique</w:t>
      </w:r>
      <w:bookmarkEnd w:id="2"/>
      <w:proofErr w:type="spellEnd"/>
    </w:p>
    <w:p w:rsidR="00BD7857" w:rsidRDefault="00D71E43" w:rsidP="00BD7857">
      <w:pPr>
        <w:rPr>
          <w:lang w:val="fr-FR"/>
        </w:rPr>
      </w:pPr>
      <w:r>
        <w:rPr>
          <w:lang w:val="fr-FR"/>
        </w:rPr>
        <w:t xml:space="preserve">Le régime de </w:t>
      </w:r>
      <w:proofErr w:type="spellStart"/>
      <w:r>
        <w:rPr>
          <w:lang w:val="fr-FR"/>
        </w:rPr>
        <w:t>Kadafi</w:t>
      </w:r>
      <w:proofErr w:type="spellEnd"/>
      <w:r>
        <w:rPr>
          <w:lang w:val="fr-FR"/>
        </w:rPr>
        <w:t xml:space="preserve"> en Lybie est confronté à une révolte populaire en Février 2011 qui résultera à son effondrement en août de la même année et à la mort de son dirigeant</w:t>
      </w:r>
      <w:r w:rsidR="00007DC7">
        <w:rPr>
          <w:lang w:val="fr-FR"/>
        </w:rPr>
        <w:t xml:space="preserve"> </w:t>
      </w:r>
      <w:r>
        <w:rPr>
          <w:lang w:val="fr-FR"/>
        </w:rPr>
        <w:t>deux mois plus tard mettant fin à plus de 40 ans de dictature.</w:t>
      </w:r>
    </w:p>
    <w:p w:rsidR="00604F4C" w:rsidRDefault="00D71E43" w:rsidP="00BD7857">
      <w:pPr>
        <w:rPr>
          <w:lang w:val="fr-FR"/>
        </w:rPr>
      </w:pPr>
      <w:r>
        <w:rPr>
          <w:lang w:val="fr-FR"/>
        </w:rPr>
        <w:t xml:space="preserve">La révolte, d’abord populaire, évolue rapidement en guerre civile impliquant de nombreux groupes armés dont des groupes islamistes radicaux auparavant pourchassé par le régime. L’effondrement du régime ouvre les armureries </w:t>
      </w:r>
      <w:r w:rsidR="00604F4C">
        <w:rPr>
          <w:lang w:val="fr-FR"/>
        </w:rPr>
        <w:t>de l’armée en déroute</w:t>
      </w:r>
      <w:r w:rsidR="00DC2386">
        <w:rPr>
          <w:lang w:val="fr-FR"/>
        </w:rPr>
        <w:t xml:space="preserve"> et </w:t>
      </w:r>
      <w:proofErr w:type="spellStart"/>
      <w:r w:rsidR="00DC2386">
        <w:rPr>
          <w:lang w:val="fr-FR"/>
        </w:rPr>
        <w:t>désœuvr</w:t>
      </w:r>
      <w:r w:rsidR="00DC2386">
        <w:rPr>
          <w:lang w:val="fr-FR"/>
        </w:rPr>
        <w:t>e</w:t>
      </w:r>
      <w:proofErr w:type="spellEnd"/>
      <w:r w:rsidR="00DC2386">
        <w:rPr>
          <w:lang w:val="fr-FR"/>
        </w:rPr>
        <w:t xml:space="preserve"> </w:t>
      </w:r>
      <w:r w:rsidR="00DC2386">
        <w:rPr>
          <w:lang w:val="fr-FR"/>
        </w:rPr>
        <w:t>les mercenaires à sa solde</w:t>
      </w:r>
      <w:r w:rsidR="00604F4C">
        <w:rPr>
          <w:lang w:val="fr-FR"/>
        </w:rPr>
        <w:t xml:space="preserve">. </w:t>
      </w:r>
    </w:p>
    <w:p w:rsidR="00423A91" w:rsidRDefault="00423A91" w:rsidP="00BD7857">
      <w:pPr>
        <w:rPr>
          <w:lang w:val="fr-FR"/>
        </w:rPr>
      </w:pPr>
      <w:r>
        <w:rPr>
          <w:lang w:val="fr-FR"/>
        </w:rPr>
        <w:t>L’accès à un armement lourd permet à ces groupes de fédérer autour d’eux des groupes Touaregs au nord du Mali le MNLA (Mouvement National pour la Libération de l’</w:t>
      </w:r>
      <w:proofErr w:type="spellStart"/>
      <w:r>
        <w:rPr>
          <w:lang w:val="fr-FR"/>
        </w:rPr>
        <w:t>Azawad</w:t>
      </w:r>
      <w:proofErr w:type="spellEnd"/>
      <w:r>
        <w:rPr>
          <w:lang w:val="fr-FR"/>
        </w:rPr>
        <w:t>). Exacerbés par le mépris des institutions maliennes envers leur mode de vie et l’accès à un armement plus puissant que le leur, une coalition salafiste (</w:t>
      </w:r>
      <w:proofErr w:type="spellStart"/>
      <w:r>
        <w:rPr>
          <w:lang w:val="fr-FR"/>
        </w:rPr>
        <w:t>Ançar</w:t>
      </w:r>
      <w:proofErr w:type="spellEnd"/>
      <w:r>
        <w:rPr>
          <w:lang w:val="fr-FR"/>
        </w:rPr>
        <w:t xml:space="preserve"> Dine, MUJAO et AQMI)-touareg (MNLA)  prend le contrôle du Nord du Mali de  janvier à avril 2012 (à Tombouctou en mars) et descend jusqu’au nord de la région de Mopti. L’incapacité de l’Etat malien résulte en un coup d’état au mois de mars.</w:t>
      </w:r>
    </w:p>
    <w:tbl>
      <w:tblPr>
        <w:tblW w:w="0" w:type="auto"/>
        <w:tblLook w:val="04A0" w:firstRow="1" w:lastRow="0" w:firstColumn="1" w:lastColumn="0" w:noHBand="0" w:noVBand="1"/>
      </w:tblPr>
      <w:tblGrid>
        <w:gridCol w:w="3189"/>
        <w:gridCol w:w="6096"/>
      </w:tblGrid>
      <w:tr w:rsidR="00423A91" w:rsidRPr="00EF1C34" w:rsidTr="00EF1C34">
        <w:tc>
          <w:tcPr>
            <w:tcW w:w="3200" w:type="dxa"/>
            <w:shd w:val="clear" w:color="auto" w:fill="auto"/>
          </w:tcPr>
          <w:p w:rsidR="00423A91" w:rsidRPr="00EF1C34" w:rsidRDefault="00423A91" w:rsidP="00423A91">
            <w:pPr>
              <w:rPr>
                <w:lang w:val="fr-FR"/>
              </w:rPr>
            </w:pPr>
            <w:r w:rsidRPr="00EF1C34">
              <w:rPr>
                <w:lang w:val="fr-FR"/>
              </w:rPr>
              <w:t>Avec la prise du nord du Mali, les intérêts au sein de la coalition divergent au profit des groupes salafistes qui chasse le MNLA des villes qu’ils contrôlaient (Gao, Ménaka). Les exactions des salafistes sur la population (la MUJAO impose la Charia à Gao en 2012) fait fuir de nombreux maliens vers le sud. En janvier 2013, ils contrôlent le verrou d’accès à Bamako (</w:t>
            </w:r>
            <w:proofErr w:type="spellStart"/>
            <w:r w:rsidRPr="00EF1C34">
              <w:rPr>
                <w:lang w:val="fr-FR"/>
              </w:rPr>
              <w:t>Konna</w:t>
            </w:r>
            <w:proofErr w:type="spellEnd"/>
            <w:r w:rsidRPr="00EF1C34">
              <w:rPr>
                <w:lang w:val="fr-FR"/>
              </w:rPr>
              <w:t xml:space="preserve">). L’état d’urgence est décrété. </w:t>
            </w:r>
          </w:p>
          <w:p w:rsidR="00423A91" w:rsidRPr="00EF1C34" w:rsidRDefault="00423A91" w:rsidP="00423A91">
            <w:pPr>
              <w:rPr>
                <w:lang w:val="fr-FR"/>
              </w:rPr>
            </w:pPr>
            <w:r w:rsidRPr="00EF1C34">
              <w:rPr>
                <w:lang w:val="fr-FR"/>
              </w:rPr>
              <w:t xml:space="preserve">L’armée tchadienne puis l’armée française sont déployés et enlèvent les centres urbains aux  groupes salafistes et leurs affiliés Touaregs. </w:t>
            </w:r>
          </w:p>
          <w:p w:rsidR="00423A91" w:rsidRPr="00EF1C34" w:rsidRDefault="00423A91" w:rsidP="00423A91">
            <w:pPr>
              <w:rPr>
                <w:i/>
                <w:lang w:val="fr-FR"/>
              </w:rPr>
            </w:pPr>
            <w:r w:rsidRPr="00EF1C34">
              <w:rPr>
                <w:i/>
                <w:sz w:val="16"/>
                <w:lang w:val="fr-FR"/>
              </w:rPr>
              <w:t>Ci-contre emprise des mouvements armés en janvier 2013</w:t>
            </w:r>
          </w:p>
        </w:tc>
        <w:tc>
          <w:tcPr>
            <w:tcW w:w="6085" w:type="dxa"/>
            <w:shd w:val="clear" w:color="auto" w:fill="auto"/>
          </w:tcPr>
          <w:p w:rsidR="00423A91" w:rsidRPr="00EF1C34" w:rsidRDefault="00924409" w:rsidP="00BD7857">
            <w:pPr>
              <w:rPr>
                <w:lang w:val="fr-FR"/>
              </w:rPr>
            </w:pPr>
            <w:r>
              <w:rPr>
                <w:noProof/>
                <w:lang w:val="fr-FR"/>
              </w:rPr>
              <w:drawing>
                <wp:inline distT="0" distB="0" distL="0" distR="0">
                  <wp:extent cx="3729990" cy="360934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9990" cy="3609340"/>
                          </a:xfrm>
                          <a:prstGeom prst="rect">
                            <a:avLst/>
                          </a:prstGeom>
                          <a:noFill/>
                          <a:ln>
                            <a:noFill/>
                          </a:ln>
                        </pic:spPr>
                      </pic:pic>
                    </a:graphicData>
                  </a:graphic>
                </wp:inline>
              </w:drawing>
            </w:r>
          </w:p>
        </w:tc>
      </w:tr>
    </w:tbl>
    <w:p w:rsidR="00423A91" w:rsidRDefault="00423A91" w:rsidP="00423A91">
      <w:pPr>
        <w:rPr>
          <w:lang w:val="fr-FR"/>
        </w:rPr>
      </w:pPr>
      <w:r>
        <w:rPr>
          <w:lang w:val="fr-FR"/>
        </w:rPr>
        <w:t xml:space="preserve">Le déploiement de force des Nations Unis (MINUSMA : Mission </w:t>
      </w:r>
      <w:proofErr w:type="spellStart"/>
      <w:r>
        <w:rPr>
          <w:lang w:val="fr-FR"/>
        </w:rPr>
        <w:t>Multidimensionelle</w:t>
      </w:r>
      <w:proofErr w:type="spellEnd"/>
      <w:r>
        <w:rPr>
          <w:lang w:val="fr-FR"/>
        </w:rPr>
        <w:t xml:space="preserve"> Intégrée des Nations Unies pour la Stabilisation au Mali) permet de sécuriser la plupart des grands centres urbains (Gao, Tombouctou) à partir de juillet 2013. Son contrôle ne s’étend pas au-delà de ces centres et le reste du nord du Mali reste sous l’emprise de groupes mobiles, lourdement armés plus ou moins appuyés par les populations locales.</w:t>
      </w:r>
    </w:p>
    <w:p w:rsidR="00007DC7" w:rsidRDefault="00007DC7" w:rsidP="00ED17A1">
      <w:pPr>
        <w:pStyle w:val="Heading3"/>
      </w:pPr>
      <w:bookmarkStart w:id="3" w:name="_Toc406063879"/>
      <w:proofErr w:type="spellStart"/>
      <w:r>
        <w:t>Problématique</w:t>
      </w:r>
      <w:bookmarkEnd w:id="3"/>
      <w:proofErr w:type="spellEnd"/>
      <w:r>
        <w:t xml:space="preserve"> </w:t>
      </w:r>
    </w:p>
    <w:p w:rsidR="00007DC7" w:rsidRDefault="00007DC7" w:rsidP="00BD7857">
      <w:pPr>
        <w:rPr>
          <w:lang w:val="fr-FR"/>
        </w:rPr>
      </w:pPr>
      <w:r>
        <w:rPr>
          <w:lang w:val="fr-FR"/>
        </w:rPr>
        <w:t xml:space="preserve">Les exactions des groupes salafistes et Touaregs se sont traduites d’une part : </w:t>
      </w:r>
    </w:p>
    <w:p w:rsidR="00007DC7" w:rsidRDefault="00007DC7" w:rsidP="00E350EE">
      <w:pPr>
        <w:numPr>
          <w:ilvl w:val="0"/>
          <w:numId w:val="3"/>
        </w:numPr>
        <w:rPr>
          <w:lang w:val="fr-FR"/>
        </w:rPr>
      </w:pPr>
      <w:r>
        <w:rPr>
          <w:lang w:val="fr-FR"/>
        </w:rPr>
        <w:t>Par une prédation des ressources locales voire leurs destructions lorsque leur vols n’étaient pas possible accompagnés d’une fuite du personnel en charge des services régaliens de l’état et d’autres part</w:t>
      </w:r>
    </w:p>
    <w:p w:rsidR="00007DC7" w:rsidRDefault="00007DC7" w:rsidP="00E350EE">
      <w:pPr>
        <w:numPr>
          <w:ilvl w:val="0"/>
          <w:numId w:val="3"/>
        </w:numPr>
        <w:rPr>
          <w:lang w:val="fr-FR"/>
        </w:rPr>
      </w:pPr>
      <w:r>
        <w:rPr>
          <w:lang w:val="fr-FR"/>
        </w:rPr>
        <w:t>Par un mouvement des populations vers des zones considérées comme plus sûres</w:t>
      </w:r>
      <w:r w:rsidR="00792329">
        <w:rPr>
          <w:lang w:val="fr-FR"/>
        </w:rPr>
        <w:t xml:space="preserve">, </w:t>
      </w:r>
      <w:r w:rsidR="00970136">
        <w:rPr>
          <w:lang w:val="fr-FR"/>
        </w:rPr>
        <w:lastRenderedPageBreak/>
        <w:t xml:space="preserve">comme </w:t>
      </w:r>
      <w:r w:rsidR="00792329">
        <w:rPr>
          <w:lang w:val="fr-FR"/>
        </w:rPr>
        <w:t>les centres urbains</w:t>
      </w:r>
      <w:r w:rsidR="00970136">
        <w:rPr>
          <w:lang w:val="fr-FR"/>
        </w:rPr>
        <w:t xml:space="preserve"> dans les régions du Nord, vers le Sud et à l’extérieur du pays</w:t>
      </w:r>
      <w:r>
        <w:rPr>
          <w:lang w:val="fr-FR"/>
        </w:rPr>
        <w:t>.</w:t>
      </w:r>
    </w:p>
    <w:p w:rsidR="00007DC7" w:rsidRDefault="00973A07" w:rsidP="00007DC7">
      <w:pPr>
        <w:rPr>
          <w:lang w:val="fr-FR"/>
        </w:rPr>
      </w:pPr>
      <w:r>
        <w:rPr>
          <w:lang w:val="fr-FR"/>
        </w:rPr>
        <w:t xml:space="preserve">Suite à la destruction des moyens d’exhaures et aux vols de générateurs des stations de pompage, les services </w:t>
      </w:r>
      <w:r w:rsidR="005918D5">
        <w:rPr>
          <w:lang w:val="fr-FR"/>
        </w:rPr>
        <w:t>d’accès à l’eau potable</w:t>
      </w:r>
      <w:r>
        <w:rPr>
          <w:lang w:val="fr-FR"/>
        </w:rPr>
        <w:t xml:space="preserve"> ont été considérablement réduit dans une région où ils étaient par ailleurs déjà notoirement faible</w:t>
      </w:r>
      <w:r w:rsidR="00036F76">
        <w:rPr>
          <w:lang w:val="fr-FR"/>
        </w:rPr>
        <w:t>s</w:t>
      </w:r>
      <w:r w:rsidR="00036F76">
        <w:rPr>
          <w:rStyle w:val="FootnoteReference"/>
          <w:lang w:val="fr-FR"/>
        </w:rPr>
        <w:footnoteReference w:id="1"/>
      </w:r>
      <w:r>
        <w:rPr>
          <w:lang w:val="fr-FR"/>
        </w:rPr>
        <w:t>. Les déplacements de populations ont catalysé cette baisse en créant une pression supplémentaire sur ces derniers.</w:t>
      </w:r>
    </w:p>
    <w:p w:rsidR="00BD7857" w:rsidRDefault="00973A07" w:rsidP="00ED17A1">
      <w:pPr>
        <w:pStyle w:val="Heading3"/>
      </w:pPr>
      <w:bookmarkStart w:id="4" w:name="_Toc406063880"/>
      <w:proofErr w:type="spellStart"/>
      <w:r>
        <w:t>Réponse</w:t>
      </w:r>
      <w:proofErr w:type="spellEnd"/>
      <w:r>
        <w:t xml:space="preserve"> </w:t>
      </w:r>
      <w:proofErr w:type="spellStart"/>
      <w:r>
        <w:t>d’ECHO</w:t>
      </w:r>
      <w:bookmarkEnd w:id="4"/>
      <w:proofErr w:type="spellEnd"/>
    </w:p>
    <w:p w:rsidR="00973A07" w:rsidRDefault="00973A07" w:rsidP="00BD7857">
      <w:pPr>
        <w:rPr>
          <w:lang w:val="fr-FR"/>
        </w:rPr>
      </w:pPr>
      <w:r>
        <w:rPr>
          <w:lang w:val="fr-FR"/>
        </w:rPr>
        <w:t xml:space="preserve">Avant le conflit au nord Mali, l’essentiel de la réponse visait à traiter la malnutrition affectant la frange sahélienne et désertique du Mali. </w:t>
      </w:r>
      <w:r w:rsidR="00AE7839">
        <w:rPr>
          <w:lang w:val="fr-FR"/>
        </w:rPr>
        <w:t>L’approche intégrée incluait notamment le renforcement de l’accès à l’eau, l’hygiène et l’assainissement des structures de prise en charge nutritionnelles (</w:t>
      </w:r>
      <w:r w:rsidR="00A175D3">
        <w:rPr>
          <w:lang w:val="fr-FR"/>
        </w:rPr>
        <w:t>EHA</w:t>
      </w:r>
      <w:r w:rsidR="00AE7839">
        <w:rPr>
          <w:lang w:val="fr-FR"/>
        </w:rPr>
        <w:t xml:space="preserve"> in NUT).</w:t>
      </w:r>
    </w:p>
    <w:p w:rsidR="00D03458" w:rsidRDefault="00D03458" w:rsidP="001F31F5">
      <w:pPr>
        <w:pStyle w:val="Heading4"/>
        <w:rPr>
          <w:lang w:val="fr-FR"/>
        </w:rPr>
      </w:pPr>
      <w:r>
        <w:rPr>
          <w:lang w:val="fr-FR"/>
        </w:rPr>
        <w:t>Soutien d’ECHO au secteur EHA entre 2012 &amp; 2013</w:t>
      </w:r>
    </w:p>
    <w:p w:rsidR="00AE7839" w:rsidRDefault="00AE7839" w:rsidP="00BD7857">
      <w:pPr>
        <w:rPr>
          <w:lang w:val="fr-FR"/>
        </w:rPr>
      </w:pPr>
      <w:r>
        <w:rPr>
          <w:lang w:val="fr-FR"/>
        </w:rPr>
        <w:t xml:space="preserve">Tout en maintenant ce dispositif, la crise </w:t>
      </w:r>
      <w:r w:rsidR="00970136">
        <w:rPr>
          <w:lang w:val="fr-FR"/>
        </w:rPr>
        <w:t xml:space="preserve">sécuritaire au Nord </w:t>
      </w:r>
      <w:r>
        <w:rPr>
          <w:lang w:val="fr-FR"/>
        </w:rPr>
        <w:t xml:space="preserve">a généré des besoins nouveaux visant à soutenir les populations déplacées et celles dont l’accès à l’eau </w:t>
      </w:r>
      <w:r w:rsidR="00DC2386">
        <w:rPr>
          <w:lang w:val="fr-FR"/>
        </w:rPr>
        <w:t>a</w:t>
      </w:r>
      <w:r>
        <w:rPr>
          <w:lang w:val="fr-FR"/>
        </w:rPr>
        <w:t xml:space="preserve"> fortement diminué du fait des prédations des groupes salafistes et Touaregs.</w:t>
      </w:r>
    </w:p>
    <w:p w:rsidR="005E41E7" w:rsidRDefault="005E41E7" w:rsidP="00BD7857">
      <w:pPr>
        <w:rPr>
          <w:lang w:val="fr-FR"/>
        </w:rPr>
      </w:pPr>
      <w:r>
        <w:rPr>
          <w:lang w:val="fr-FR"/>
        </w:rPr>
        <w:t>Au 1</w:t>
      </w:r>
      <w:r w:rsidRPr="005E41E7">
        <w:rPr>
          <w:vertAlign w:val="superscript"/>
          <w:lang w:val="fr-FR"/>
        </w:rPr>
        <w:t>er</w:t>
      </w:r>
      <w:r>
        <w:rPr>
          <w:lang w:val="fr-FR"/>
        </w:rPr>
        <w:t xml:space="preserve"> mars 2012, ECHO a soutenu le CICR pour une action</w:t>
      </w:r>
      <w:r>
        <w:rPr>
          <w:rStyle w:val="FootnoteReference"/>
          <w:lang w:val="fr-FR"/>
        </w:rPr>
        <w:footnoteReference w:id="2"/>
      </w:r>
      <w:r>
        <w:rPr>
          <w:lang w:val="fr-FR"/>
        </w:rPr>
        <w:t xml:space="preserve"> </w:t>
      </w:r>
      <w:r w:rsidR="007C53D1">
        <w:rPr>
          <w:lang w:val="fr-FR"/>
        </w:rPr>
        <w:t>de six mois</w:t>
      </w:r>
      <w:r w:rsidRPr="00AE7839">
        <w:rPr>
          <w:lang w:val="fr-FR"/>
        </w:rPr>
        <w:t>.</w:t>
      </w:r>
      <w:r>
        <w:rPr>
          <w:lang w:val="fr-FR"/>
        </w:rPr>
        <w:t xml:space="preserve"> visant entre autre à soutenir l’apport en intrant (carburant pour générateurs) </w:t>
      </w:r>
      <w:r w:rsidR="00396C1A">
        <w:rPr>
          <w:lang w:val="fr-FR"/>
        </w:rPr>
        <w:t>des</w:t>
      </w:r>
      <w:r>
        <w:rPr>
          <w:lang w:val="fr-FR"/>
        </w:rPr>
        <w:t xml:space="preserve"> réseaux des villes de Tombouctou, Kidal et Gao. Ce projet a permis également la réhabilitation de 17 puits à Tombouctou (16) et Gao (1).</w:t>
      </w:r>
    </w:p>
    <w:tbl>
      <w:tblPr>
        <w:tblW w:w="0" w:type="auto"/>
        <w:tblLook w:val="04A0" w:firstRow="1" w:lastRow="0" w:firstColumn="1" w:lastColumn="0" w:noHBand="0" w:noVBand="1"/>
      </w:tblPr>
      <w:tblGrid>
        <w:gridCol w:w="3489"/>
        <w:gridCol w:w="5796"/>
      </w:tblGrid>
      <w:tr w:rsidR="00155CF2" w:rsidRPr="00DC2386" w:rsidTr="00851C7C">
        <w:tc>
          <w:tcPr>
            <w:tcW w:w="4604" w:type="dxa"/>
            <w:shd w:val="clear" w:color="auto" w:fill="auto"/>
          </w:tcPr>
          <w:p w:rsidR="00155CF2" w:rsidRPr="00851C7C" w:rsidRDefault="005E41E7" w:rsidP="00155CF2">
            <w:pPr>
              <w:rPr>
                <w:lang w:val="fr-FR"/>
              </w:rPr>
            </w:pPr>
            <w:r w:rsidRPr="00851C7C">
              <w:rPr>
                <w:lang w:val="fr-FR"/>
              </w:rPr>
              <w:t>A</w:t>
            </w:r>
            <w:r w:rsidR="00155CF2" w:rsidRPr="00851C7C">
              <w:rPr>
                <w:lang w:val="fr-FR"/>
              </w:rPr>
              <w:t xml:space="preserve"> partir du 30 avril 2012, ECHO a soutenu un groupe d’</w:t>
            </w:r>
            <w:proofErr w:type="spellStart"/>
            <w:r w:rsidR="00155CF2" w:rsidRPr="00851C7C">
              <w:rPr>
                <w:lang w:val="fr-FR"/>
              </w:rPr>
              <w:t>ONGs</w:t>
            </w:r>
            <w:proofErr w:type="spellEnd"/>
            <w:r w:rsidR="00155CF2" w:rsidRPr="00851C7C">
              <w:rPr>
                <w:lang w:val="fr-FR"/>
              </w:rPr>
              <w:t xml:space="preserve"> (IRC, AVSF, Solidarités et Oxfam) à travers un financement de l’UNICEF</w:t>
            </w:r>
            <w:r w:rsidRPr="00851C7C">
              <w:rPr>
                <w:rStyle w:val="FootnoteReference"/>
                <w:lang w:val="fr-FR"/>
              </w:rPr>
              <w:footnoteReference w:id="3"/>
            </w:r>
            <w:r w:rsidR="00155CF2" w:rsidRPr="00851C7C">
              <w:rPr>
                <w:lang w:val="fr-FR"/>
              </w:rPr>
              <w:t xml:space="preserve"> pour mettre en œuvre une réponse rapide aux populations victimes du conflit au Mali.</w:t>
            </w:r>
          </w:p>
          <w:p w:rsidR="00155CF2" w:rsidRPr="00851C7C" w:rsidRDefault="00155CF2" w:rsidP="00155CF2">
            <w:pPr>
              <w:rPr>
                <w:lang w:val="fr-FR"/>
              </w:rPr>
            </w:pPr>
            <w:r w:rsidRPr="00851C7C">
              <w:rPr>
                <w:lang w:val="fr-FR"/>
              </w:rPr>
              <w:t>Ce projet d’une durée de six mois visait les régions de Gao, Tombouctou, Kidal et le nord de Mopti. Il consistait pour l’essentiel à la distribution de kits (</w:t>
            </w:r>
            <w:r w:rsidR="00A175D3">
              <w:rPr>
                <w:lang w:val="fr-FR"/>
              </w:rPr>
              <w:t>EHA</w:t>
            </w:r>
            <w:r w:rsidRPr="00851C7C">
              <w:rPr>
                <w:lang w:val="fr-FR"/>
              </w:rPr>
              <w:t>, NFI) et le rétablissement de l’accès à l’eau potable au travers de réhabilitation de points d’eau en milieu rural et de réseau d’adduction en milieu urbain.</w:t>
            </w:r>
          </w:p>
          <w:p w:rsidR="00396C1A" w:rsidRPr="00851C7C" w:rsidRDefault="00396C1A" w:rsidP="00851C7C">
            <w:pPr>
              <w:spacing w:after="0"/>
              <w:rPr>
                <w:lang w:val="fr-FR"/>
              </w:rPr>
            </w:pPr>
            <w:r w:rsidRPr="00851C7C">
              <w:rPr>
                <w:lang w:val="fr-FR"/>
              </w:rPr>
              <w:t>En parallèle ECHO a financé des partenaires afin d’étendre la couverture des besoins en eau et</w:t>
            </w:r>
          </w:p>
        </w:tc>
        <w:tc>
          <w:tcPr>
            <w:tcW w:w="4605" w:type="dxa"/>
            <w:shd w:val="clear" w:color="auto" w:fill="auto"/>
          </w:tcPr>
          <w:p w:rsidR="00155CF2" w:rsidRPr="00851C7C" w:rsidRDefault="00924409" w:rsidP="00BD7857">
            <w:pPr>
              <w:rPr>
                <w:bCs/>
                <w:i/>
                <w:lang w:val="fr-FR"/>
              </w:rPr>
            </w:pPr>
            <w:r>
              <w:rPr>
                <w:bCs/>
                <w:i/>
                <w:noProof/>
                <w:lang w:val="fr-FR"/>
              </w:rPr>
              <w:drawing>
                <wp:inline distT="0" distB="0" distL="0" distR="0">
                  <wp:extent cx="3537585" cy="3176270"/>
                  <wp:effectExtent l="0" t="0" r="571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37585" cy="3176270"/>
                          </a:xfrm>
                          <a:prstGeom prst="rect">
                            <a:avLst/>
                          </a:prstGeom>
                          <a:noFill/>
                          <a:ln>
                            <a:noFill/>
                          </a:ln>
                        </pic:spPr>
                      </pic:pic>
                    </a:graphicData>
                  </a:graphic>
                </wp:inline>
              </w:drawing>
            </w:r>
          </w:p>
          <w:p w:rsidR="00155CF2" w:rsidRPr="00851C7C" w:rsidRDefault="00155CF2" w:rsidP="00851C7C">
            <w:pPr>
              <w:spacing w:before="0" w:after="0"/>
              <w:rPr>
                <w:i/>
                <w:sz w:val="16"/>
                <w:szCs w:val="16"/>
                <w:lang w:val="fr-FR"/>
              </w:rPr>
            </w:pPr>
            <w:r w:rsidRPr="00851C7C">
              <w:rPr>
                <w:i/>
                <w:sz w:val="16"/>
                <w:szCs w:val="16"/>
                <w:lang w:val="fr-FR"/>
              </w:rPr>
              <w:t xml:space="preserve">Localisation des partenaires d’UNICEF dans le projet d’appui aux structures </w:t>
            </w:r>
            <w:r w:rsidR="00A175D3">
              <w:rPr>
                <w:i/>
                <w:sz w:val="16"/>
                <w:szCs w:val="16"/>
                <w:lang w:val="fr-FR"/>
              </w:rPr>
              <w:t>EHA</w:t>
            </w:r>
            <w:r w:rsidRPr="00851C7C">
              <w:rPr>
                <w:i/>
                <w:sz w:val="16"/>
                <w:szCs w:val="16"/>
                <w:lang w:val="fr-FR"/>
              </w:rPr>
              <w:t xml:space="preserve"> d’UNICEF de mai à décembre 2012</w:t>
            </w:r>
          </w:p>
        </w:tc>
      </w:tr>
    </w:tbl>
    <w:p w:rsidR="00155CF2" w:rsidRDefault="00396C1A" w:rsidP="00396C1A">
      <w:pPr>
        <w:spacing w:before="0"/>
        <w:rPr>
          <w:lang w:val="fr-FR"/>
        </w:rPr>
      </w:pPr>
      <w:proofErr w:type="gramStart"/>
      <w:r>
        <w:rPr>
          <w:lang w:val="fr-FR"/>
        </w:rPr>
        <w:t>de</w:t>
      </w:r>
      <w:proofErr w:type="gramEnd"/>
      <w:r>
        <w:rPr>
          <w:lang w:val="fr-FR"/>
        </w:rPr>
        <w:t xml:space="preserve"> </w:t>
      </w:r>
      <w:r w:rsidR="00354067">
        <w:rPr>
          <w:lang w:val="fr-FR"/>
        </w:rPr>
        <w:t xml:space="preserve">lutter contre l’épidémie de choléra qui a émergé le long du Niger dans les Régions de Mopti, Gao et </w:t>
      </w:r>
      <w:proofErr w:type="spellStart"/>
      <w:r w:rsidR="00354067">
        <w:rPr>
          <w:lang w:val="fr-FR"/>
        </w:rPr>
        <w:t>Tomboctou</w:t>
      </w:r>
      <w:proofErr w:type="spellEnd"/>
      <w:r w:rsidR="00354067">
        <w:rPr>
          <w:lang w:val="fr-FR"/>
        </w:rPr>
        <w:t xml:space="preserve">  au cours de l’année 2012 (4 521 cas). </w:t>
      </w:r>
    </w:p>
    <w:p w:rsidR="00D03458" w:rsidRPr="009949F4" w:rsidRDefault="00D03458" w:rsidP="00D03458">
      <w:pPr>
        <w:spacing w:before="0"/>
        <w:rPr>
          <w:lang w:val="fr-FR"/>
        </w:rPr>
      </w:pPr>
      <w:r>
        <w:rPr>
          <w:lang w:val="fr-FR"/>
        </w:rPr>
        <w:t>Ainsi Solidarités a bénéficié en mars 2012 d’un financement de 6 mois</w:t>
      </w:r>
      <w:r>
        <w:rPr>
          <w:rStyle w:val="FootnoteReference"/>
          <w:lang w:val="fr-FR"/>
        </w:rPr>
        <w:footnoteReference w:id="4"/>
      </w:r>
      <w:r>
        <w:rPr>
          <w:rFonts w:cs="Arial"/>
          <w:kern w:val="0"/>
          <w:sz w:val="20"/>
          <w:szCs w:val="20"/>
          <w:lang w:val="fr-FR"/>
        </w:rPr>
        <w:t xml:space="preserve"> </w:t>
      </w:r>
      <w:r>
        <w:rPr>
          <w:lang w:val="fr-FR"/>
        </w:rPr>
        <w:t xml:space="preserve">afin d’apporter, en partenariat avec ALIMA, une réponse intégrée </w:t>
      </w:r>
      <w:r w:rsidR="00A175D3">
        <w:rPr>
          <w:lang w:val="fr-FR"/>
        </w:rPr>
        <w:t>EHA</w:t>
      </w:r>
      <w:r>
        <w:rPr>
          <w:lang w:val="fr-FR"/>
        </w:rPr>
        <w:t xml:space="preserve"> et santé comprenant notamment le positionnement de kits </w:t>
      </w:r>
      <w:r w:rsidR="00A175D3">
        <w:rPr>
          <w:lang w:val="fr-FR"/>
        </w:rPr>
        <w:t>EHA</w:t>
      </w:r>
      <w:r>
        <w:rPr>
          <w:lang w:val="fr-FR"/>
        </w:rPr>
        <w:t xml:space="preserve"> (1000), la réhabilitation de 10 puits et l’appui à certains </w:t>
      </w:r>
      <w:proofErr w:type="spellStart"/>
      <w:r>
        <w:rPr>
          <w:lang w:val="fr-FR"/>
        </w:rPr>
        <w:t>CSCom</w:t>
      </w:r>
      <w:proofErr w:type="spellEnd"/>
      <w:r>
        <w:rPr>
          <w:lang w:val="fr-FR"/>
        </w:rPr>
        <w:t xml:space="preserve"> et </w:t>
      </w:r>
      <w:proofErr w:type="spellStart"/>
      <w:r>
        <w:rPr>
          <w:lang w:val="fr-FR"/>
        </w:rPr>
        <w:t>CSRef</w:t>
      </w:r>
      <w:proofErr w:type="spellEnd"/>
      <w:r>
        <w:rPr>
          <w:lang w:val="fr-FR"/>
        </w:rPr>
        <w:t xml:space="preserve"> de la zone (latrine, points de lavage des mains). L’action s’est prolongée au-delà </w:t>
      </w:r>
      <w:r>
        <w:rPr>
          <w:lang w:val="fr-FR"/>
        </w:rPr>
        <w:lastRenderedPageBreak/>
        <w:t>de la fin du projet et a fait l’objet d’un autre financement de la part d’ECHO</w:t>
      </w:r>
      <w:r>
        <w:rPr>
          <w:rStyle w:val="FootnoteReference"/>
          <w:lang w:val="fr-FR"/>
        </w:rPr>
        <w:footnoteReference w:id="5"/>
      </w:r>
      <w:r>
        <w:rPr>
          <w:lang w:val="fr-FR"/>
        </w:rPr>
        <w:t>. Ce second volet de huit mois (démarrage au 1</w:t>
      </w:r>
      <w:r w:rsidRPr="007D2081">
        <w:rPr>
          <w:vertAlign w:val="superscript"/>
          <w:lang w:val="fr-FR"/>
        </w:rPr>
        <w:t>er</w:t>
      </w:r>
      <w:r>
        <w:rPr>
          <w:lang w:val="fr-FR"/>
        </w:rPr>
        <w:t xml:space="preserve"> septembre 2012) a permis entre autre de réparer 44 points d’eau (dont 18 dans des centres de santé) et deux réseaux d’adduction. Un troisième appui d’ECHO</w:t>
      </w:r>
      <w:r>
        <w:rPr>
          <w:rStyle w:val="FootnoteReference"/>
          <w:lang w:val="fr-FR"/>
        </w:rPr>
        <w:footnoteReference w:id="6"/>
      </w:r>
      <w:r>
        <w:rPr>
          <w:lang w:val="fr-FR"/>
        </w:rPr>
        <w:t xml:space="preserve"> de mars à décembre 2013, dans la continuité des deux précédents a permis entre autre la réhabilitation de 40 points d’eau (dont 10 dans des structures de santé).</w:t>
      </w:r>
    </w:p>
    <w:tbl>
      <w:tblPr>
        <w:tblW w:w="0" w:type="auto"/>
        <w:tblLook w:val="04A0" w:firstRow="1" w:lastRow="0" w:firstColumn="1" w:lastColumn="0" w:noHBand="0" w:noVBand="1"/>
      </w:tblPr>
      <w:tblGrid>
        <w:gridCol w:w="3991"/>
        <w:gridCol w:w="5294"/>
      </w:tblGrid>
      <w:tr w:rsidR="00D03458" w:rsidRPr="00DC2386" w:rsidTr="00851C7C">
        <w:tc>
          <w:tcPr>
            <w:tcW w:w="3991" w:type="dxa"/>
            <w:shd w:val="clear" w:color="auto" w:fill="auto"/>
          </w:tcPr>
          <w:p w:rsidR="00D03458" w:rsidRPr="00851C7C" w:rsidRDefault="00D03458" w:rsidP="00851C7C">
            <w:pPr>
              <w:spacing w:before="0"/>
              <w:rPr>
                <w:lang w:val="fr-FR"/>
              </w:rPr>
            </w:pPr>
            <w:r w:rsidRPr="00851C7C">
              <w:rPr>
                <w:lang w:val="fr-FR"/>
              </w:rPr>
              <w:t>IRC a été plus étroitement impliqué</w:t>
            </w:r>
            <w:r w:rsidRPr="00851C7C">
              <w:rPr>
                <w:rStyle w:val="FootnoteReference"/>
                <w:lang w:val="fr-FR"/>
              </w:rPr>
              <w:footnoteReference w:id="7"/>
            </w:r>
            <w:r w:rsidRPr="00851C7C">
              <w:rPr>
                <w:lang w:val="fr-FR"/>
              </w:rPr>
              <w:t xml:space="preserve"> dans la riposte choléra de juillet à décembre 2012 dans le district sanitaire d’</w:t>
            </w:r>
            <w:proofErr w:type="spellStart"/>
            <w:r w:rsidRPr="00851C7C">
              <w:rPr>
                <w:lang w:val="fr-FR"/>
              </w:rPr>
              <w:t>Assongo</w:t>
            </w:r>
            <w:proofErr w:type="spellEnd"/>
            <w:r w:rsidRPr="00851C7C">
              <w:rPr>
                <w:lang w:val="fr-FR"/>
              </w:rPr>
              <w:t xml:space="preserve"> comprenant la réparation de 14 pompes à main, la désinfection de 25 points d’eau, la sensibilisation et la dotation en kit choléra (traitement de l’eau à domicile) dans 5 aires de santé.</w:t>
            </w:r>
          </w:p>
          <w:p w:rsidR="00D03458" w:rsidRPr="00851C7C" w:rsidRDefault="00D03458" w:rsidP="00851C7C">
            <w:pPr>
              <w:spacing w:before="0"/>
              <w:rPr>
                <w:lang w:val="fr-FR"/>
              </w:rPr>
            </w:pPr>
            <w:r w:rsidRPr="00851C7C">
              <w:rPr>
                <w:lang w:val="fr-FR"/>
              </w:rPr>
              <w:t>Dans le cadre de cette riposte, UNICEF a également été soutenu de juillet 2012 à mars 2013</w:t>
            </w:r>
            <w:r w:rsidRPr="00851C7C">
              <w:rPr>
                <w:rStyle w:val="FootnoteReference"/>
                <w:lang w:val="fr-FR"/>
              </w:rPr>
              <w:footnoteReference w:id="8"/>
            </w:r>
            <w:r w:rsidRPr="00851C7C">
              <w:rPr>
                <w:lang w:val="fr-FR"/>
              </w:rPr>
              <w:t xml:space="preserve"> afin de mobiliser les intrants nécessaires aux acteurs impliqués dans la riposte (Solidarités, MSF, ACF, </w:t>
            </w:r>
            <w:proofErr w:type="spellStart"/>
            <w:r w:rsidRPr="00851C7C">
              <w:rPr>
                <w:lang w:val="fr-FR"/>
              </w:rPr>
              <w:t>MdM</w:t>
            </w:r>
            <w:proofErr w:type="spellEnd"/>
            <w:r w:rsidRPr="00851C7C">
              <w:rPr>
                <w:lang w:val="fr-FR"/>
              </w:rPr>
              <w:t>, IRC et Oxfam). Leur inertie a conduit à retarder la mise en œuvre de certains programmes (Solidarités).</w:t>
            </w:r>
          </w:p>
        </w:tc>
        <w:tc>
          <w:tcPr>
            <w:tcW w:w="5294" w:type="dxa"/>
            <w:shd w:val="clear" w:color="auto" w:fill="auto"/>
          </w:tcPr>
          <w:p w:rsidR="00D03458" w:rsidRDefault="00D03458" w:rsidP="00851C7C">
            <w:pPr>
              <w:spacing w:before="0"/>
            </w:pPr>
            <w:r>
              <w:object w:dxaOrig="14550" w:dyaOrig="13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pt;height:229.8pt" o:ole="">
                  <v:imagedata r:id="rId14" o:title=""/>
                </v:shape>
                <o:OLEObject Type="Embed" ProgID="PBrush" ShapeID="_x0000_i1025" DrawAspect="Content" ObjectID="_1481360693" r:id="rId15"/>
              </w:object>
            </w:r>
          </w:p>
          <w:p w:rsidR="00D03458" w:rsidRPr="00851C7C" w:rsidRDefault="00D03458" w:rsidP="00851C7C">
            <w:pPr>
              <w:spacing w:before="0"/>
              <w:jc w:val="center"/>
              <w:rPr>
                <w:i/>
                <w:lang w:val="fr-FR"/>
              </w:rPr>
            </w:pPr>
            <w:r w:rsidRPr="00851C7C">
              <w:rPr>
                <w:i/>
                <w:sz w:val="16"/>
                <w:lang w:val="fr-FR"/>
              </w:rPr>
              <w:t>Localisation des partenaires EHA soutenus par ECHO entre 2013 et 2014 (hormis UNICEF)</w:t>
            </w:r>
          </w:p>
        </w:tc>
      </w:tr>
    </w:tbl>
    <w:p w:rsidR="00D03458" w:rsidRDefault="00D03458" w:rsidP="00D03458">
      <w:pPr>
        <w:rPr>
          <w:lang w:val="fr-FR"/>
        </w:rPr>
      </w:pPr>
      <w:r>
        <w:rPr>
          <w:lang w:val="fr-FR"/>
        </w:rPr>
        <w:t>De même Oxfam a bénéficié de juillet à décembre 2012 d’un soutien</w:t>
      </w:r>
      <w:r>
        <w:rPr>
          <w:rStyle w:val="FootnoteReference"/>
          <w:lang w:val="fr-FR"/>
        </w:rPr>
        <w:footnoteReference w:id="9"/>
      </w:r>
      <w:r>
        <w:rPr>
          <w:lang w:val="fr-FR"/>
        </w:rPr>
        <w:t xml:space="preserve"> permettant un appui aux ménages incluant une composante </w:t>
      </w:r>
      <w:r w:rsidR="00A175D3">
        <w:rPr>
          <w:lang w:val="fr-FR"/>
        </w:rPr>
        <w:t>EHA</w:t>
      </w:r>
      <w:r>
        <w:rPr>
          <w:lang w:val="fr-FR"/>
        </w:rPr>
        <w:t xml:space="preserve"> (des seaux, du savon, des bulles) dans la région de Gao. Ce financement a été suivi par un appui supplémentaire d’ECHO</w:t>
      </w:r>
      <w:r>
        <w:rPr>
          <w:rStyle w:val="FootnoteReference"/>
          <w:lang w:val="fr-FR"/>
        </w:rPr>
        <w:footnoteReference w:id="10"/>
      </w:r>
      <w:r>
        <w:rPr>
          <w:lang w:val="fr-FR"/>
        </w:rPr>
        <w:t xml:space="preserve"> de 4 mois (jusqu’en avril 2013) dans les mêmes zones. Un troisième financement d’ECHO</w:t>
      </w:r>
      <w:r>
        <w:rPr>
          <w:rStyle w:val="FootnoteReference"/>
          <w:lang w:val="fr-FR"/>
        </w:rPr>
        <w:footnoteReference w:id="11"/>
      </w:r>
      <w:r>
        <w:rPr>
          <w:lang w:val="fr-FR"/>
        </w:rPr>
        <w:t xml:space="preserve"> dans la continuité des deux précédents a permis le rétablissement à l’accès à l’eau sur 13 points d’eau.</w:t>
      </w:r>
    </w:p>
    <w:p w:rsidR="00D03458" w:rsidRDefault="00D03458" w:rsidP="00D03458">
      <w:pPr>
        <w:rPr>
          <w:lang w:val="fr-FR"/>
        </w:rPr>
      </w:pPr>
      <w:r>
        <w:rPr>
          <w:lang w:val="fr-FR"/>
        </w:rPr>
        <w:t>A partir de juin 2013, l’ONG LVIA a également reçu un soutien d’ECHO</w:t>
      </w:r>
      <w:r>
        <w:rPr>
          <w:rStyle w:val="FootnoteReference"/>
          <w:lang w:val="fr-FR"/>
        </w:rPr>
        <w:footnoteReference w:id="12"/>
      </w:r>
      <w:r>
        <w:rPr>
          <w:lang w:val="fr-FR"/>
        </w:rPr>
        <w:t xml:space="preserve"> sur 7 mois portant sur l’intervention sur 45 points d’eau dans les cercles de Gao et </w:t>
      </w:r>
      <w:proofErr w:type="spellStart"/>
      <w:r>
        <w:rPr>
          <w:lang w:val="fr-FR"/>
        </w:rPr>
        <w:t>Bourem</w:t>
      </w:r>
      <w:proofErr w:type="spellEnd"/>
      <w:r>
        <w:rPr>
          <w:lang w:val="fr-FR"/>
        </w:rPr>
        <w:t>.</w:t>
      </w:r>
    </w:p>
    <w:p w:rsidR="003416C6" w:rsidRDefault="00D03458" w:rsidP="001F31F5">
      <w:pPr>
        <w:pStyle w:val="Heading4"/>
      </w:pPr>
      <w:r>
        <w:t>Soutien en cours</w:t>
      </w:r>
    </w:p>
    <w:p w:rsidR="00ED17A1" w:rsidRPr="00ED17A1" w:rsidRDefault="00ED17A1" w:rsidP="00ED17A1">
      <w:pPr>
        <w:pStyle w:val="Heading5"/>
      </w:pPr>
      <w:r w:rsidRPr="00ED17A1">
        <w:t>UNICEF « Response to the urgent need of restoring water infrastructures in conflict affected areas, North Mali</w:t>
      </w:r>
      <w:r>
        <w:t>°</w:t>
      </w:r>
      <w:r>
        <w:rPr>
          <w:rFonts w:cs="Arial"/>
        </w:rPr>
        <w:t>»</w:t>
      </w:r>
    </w:p>
    <w:p w:rsidR="00462A8F" w:rsidRDefault="00462A8F" w:rsidP="00BD7857">
      <w:pPr>
        <w:rPr>
          <w:lang w:val="fr-FR"/>
        </w:rPr>
      </w:pPr>
      <w:r>
        <w:rPr>
          <w:lang w:val="fr-FR"/>
        </w:rPr>
        <w:t>A partir de septembre 2013, UNICEF a reçu le soutien d’ECHO</w:t>
      </w:r>
      <w:r w:rsidR="008A3371">
        <w:rPr>
          <w:rStyle w:val="FootnoteReference"/>
          <w:lang w:val="fr-FR"/>
        </w:rPr>
        <w:footnoteReference w:id="13"/>
      </w:r>
      <w:r>
        <w:rPr>
          <w:lang w:val="fr-FR"/>
        </w:rPr>
        <w:t xml:space="preserve"> pour rétablir les réseaux d’adduction d’eau potable des principales capitales régionales (Gao, Kidal et Tombouctou) et des réseau d’ eaux sommaires de 15 centres urbains de ces trois régions et du nord de celle de Mopti (Cercles de </w:t>
      </w:r>
      <w:proofErr w:type="spellStart"/>
      <w:r>
        <w:rPr>
          <w:lang w:val="fr-FR"/>
        </w:rPr>
        <w:t>Tenenkou</w:t>
      </w:r>
      <w:proofErr w:type="spellEnd"/>
      <w:r>
        <w:rPr>
          <w:lang w:val="fr-FR"/>
        </w:rPr>
        <w:t xml:space="preserve"> et </w:t>
      </w:r>
      <w:proofErr w:type="spellStart"/>
      <w:r>
        <w:rPr>
          <w:lang w:val="fr-FR"/>
        </w:rPr>
        <w:t>Youvarou</w:t>
      </w:r>
      <w:proofErr w:type="spellEnd"/>
      <w:r>
        <w:rPr>
          <w:lang w:val="fr-FR"/>
        </w:rPr>
        <w:t>)</w:t>
      </w:r>
      <w:r w:rsidR="00ED17A1">
        <w:rPr>
          <w:lang w:val="fr-FR"/>
        </w:rPr>
        <w:t xml:space="preserve"> ainsi que la réparation de 300 forages</w:t>
      </w:r>
      <w:r>
        <w:rPr>
          <w:lang w:val="fr-FR"/>
        </w:rPr>
        <w:t>. Les interventions devant bénéficier en priorité aux populations déplacées ou celles sur le retour ainsi que celles appauvries par le conflit.</w:t>
      </w:r>
      <w:r w:rsidR="00ED17A1">
        <w:rPr>
          <w:lang w:val="fr-FR"/>
        </w:rPr>
        <w:t xml:space="preserve"> </w:t>
      </w:r>
      <w:r w:rsidR="00A91FAC">
        <w:rPr>
          <w:lang w:val="fr-FR"/>
        </w:rPr>
        <w:t xml:space="preserve">Il prévoyait également la distribution de 7 000 kits </w:t>
      </w:r>
      <w:r w:rsidR="0094433B">
        <w:rPr>
          <w:lang w:val="fr-FR"/>
        </w:rPr>
        <w:t>eau, hygiène et assainissement</w:t>
      </w:r>
      <w:r w:rsidR="00A91FAC">
        <w:rPr>
          <w:lang w:val="fr-FR"/>
        </w:rPr>
        <w:t xml:space="preserve"> (traitement de l’eau à domicile, savon, 2 jerrycans flexibles de 10 litres, seau et </w:t>
      </w:r>
      <w:proofErr w:type="spellStart"/>
      <w:r w:rsidR="00A91FAC">
        <w:rPr>
          <w:lang w:val="fr-FR"/>
        </w:rPr>
        <w:t>sakhane</w:t>
      </w:r>
      <w:proofErr w:type="spellEnd"/>
      <w:r w:rsidR="00A91FAC">
        <w:rPr>
          <w:lang w:val="fr-FR"/>
        </w:rPr>
        <w:t>)</w:t>
      </w:r>
      <w:r w:rsidR="0094433B">
        <w:rPr>
          <w:lang w:val="fr-FR"/>
        </w:rPr>
        <w:t xml:space="preserve"> et cuisine (cuillères, etc.)</w:t>
      </w:r>
      <w:r w:rsidR="00A91FAC">
        <w:rPr>
          <w:lang w:val="fr-FR"/>
        </w:rPr>
        <w:t>.</w:t>
      </w:r>
    </w:p>
    <w:p w:rsidR="00A91FAC" w:rsidRDefault="008A3371" w:rsidP="008A3371">
      <w:pPr>
        <w:rPr>
          <w:lang w:val="fr-FR"/>
        </w:rPr>
      </w:pPr>
      <w:r>
        <w:rPr>
          <w:lang w:val="fr-FR"/>
        </w:rPr>
        <w:lastRenderedPageBreak/>
        <w:t>Il comprend également une composante d</w:t>
      </w:r>
      <w:r w:rsidR="00A91FAC">
        <w:rPr>
          <w:lang w:val="fr-FR"/>
        </w:rPr>
        <w:t>e capitalisation cartographique</w:t>
      </w:r>
      <w:r>
        <w:rPr>
          <w:lang w:val="fr-FR"/>
        </w:rPr>
        <w:t xml:space="preserve"> </w:t>
      </w:r>
      <w:r w:rsidR="00A91FAC">
        <w:rPr>
          <w:lang w:val="fr-FR"/>
        </w:rPr>
        <w:t>de l’état des réseaux des trois capitales régionales avec ACTED en charge de la constitution du</w:t>
      </w:r>
      <w:r w:rsidR="00DC2386">
        <w:rPr>
          <w:lang w:val="fr-FR"/>
        </w:rPr>
        <w:t xml:space="preserve"> Système d’Information Géographique (</w:t>
      </w:r>
      <w:r w:rsidR="00A91FAC">
        <w:rPr>
          <w:lang w:val="fr-FR"/>
        </w:rPr>
        <w:t>SIG</w:t>
      </w:r>
      <w:r w:rsidR="00DC2386">
        <w:rPr>
          <w:lang w:val="fr-FR"/>
        </w:rPr>
        <w:t>)</w:t>
      </w:r>
      <w:r w:rsidR="00A91FAC">
        <w:rPr>
          <w:lang w:val="fr-FR"/>
        </w:rPr>
        <w:t xml:space="preserve"> correspondant.</w:t>
      </w:r>
    </w:p>
    <w:p w:rsidR="00ED17A1" w:rsidRDefault="00ED17A1" w:rsidP="008A3371">
      <w:pPr>
        <w:rPr>
          <w:lang w:val="fr-FR"/>
        </w:rPr>
      </w:pPr>
      <w:r>
        <w:rPr>
          <w:lang w:val="fr-FR"/>
        </w:rPr>
        <w:t>Le projet d’une durée initiale de</w:t>
      </w:r>
      <w:r w:rsidR="00FF599B">
        <w:rPr>
          <w:lang w:val="fr-FR"/>
        </w:rPr>
        <w:t xml:space="preserve"> 6</w:t>
      </w:r>
      <w:r>
        <w:rPr>
          <w:lang w:val="fr-FR"/>
        </w:rPr>
        <w:t xml:space="preserve"> mois a fait l’objet </w:t>
      </w:r>
      <w:r w:rsidR="00FF599B">
        <w:rPr>
          <w:lang w:val="fr-FR"/>
        </w:rPr>
        <w:t xml:space="preserve">de deux </w:t>
      </w:r>
      <w:r>
        <w:rPr>
          <w:lang w:val="fr-FR"/>
        </w:rPr>
        <w:t>extension</w:t>
      </w:r>
      <w:r w:rsidR="00FF599B">
        <w:rPr>
          <w:lang w:val="fr-FR"/>
        </w:rPr>
        <w:t>s</w:t>
      </w:r>
      <w:r>
        <w:rPr>
          <w:lang w:val="fr-FR"/>
        </w:rPr>
        <w:t xml:space="preserve"> sans surcoût de </w:t>
      </w:r>
      <w:r w:rsidR="00FF599B">
        <w:rPr>
          <w:lang w:val="fr-FR"/>
        </w:rPr>
        <w:t xml:space="preserve">quatre et </w:t>
      </w:r>
      <w:r>
        <w:rPr>
          <w:lang w:val="fr-FR"/>
        </w:rPr>
        <w:t xml:space="preserve">cinq </w:t>
      </w:r>
      <w:r w:rsidR="00FF599B">
        <w:rPr>
          <w:lang w:val="fr-FR"/>
        </w:rPr>
        <w:t xml:space="preserve">mois, </w:t>
      </w:r>
      <w:r>
        <w:rPr>
          <w:lang w:val="fr-FR"/>
        </w:rPr>
        <w:t>et aurait dû se terminer au 30 novembre.</w:t>
      </w:r>
    </w:p>
    <w:p w:rsidR="008B75D9" w:rsidRDefault="008B75D9" w:rsidP="002244E5">
      <w:pPr>
        <w:pStyle w:val="Heading5"/>
        <w:rPr>
          <w:lang w:val="fr-FR"/>
        </w:rPr>
      </w:pPr>
      <w:r>
        <w:rPr>
          <w:lang w:val="fr-FR"/>
        </w:rPr>
        <w:t xml:space="preserve">UNICEF &amp; 5 </w:t>
      </w:r>
      <w:proofErr w:type="spellStart"/>
      <w:r>
        <w:rPr>
          <w:lang w:val="fr-FR"/>
        </w:rPr>
        <w:t>ONGs</w:t>
      </w:r>
      <w:proofErr w:type="spellEnd"/>
      <w:r>
        <w:rPr>
          <w:lang w:val="fr-FR"/>
        </w:rPr>
        <w:t xml:space="preserve"> Approche opérationnelle commune </w:t>
      </w:r>
      <w:r w:rsidR="002244E5" w:rsidRPr="008B75D9">
        <w:rPr>
          <w:lang w:val="fr-FR"/>
        </w:rPr>
        <w:t>UNICEF</w:t>
      </w:r>
      <w:r>
        <w:rPr>
          <w:lang w:val="fr-FR"/>
        </w:rPr>
        <w:t>/ONG</w:t>
      </w:r>
    </w:p>
    <w:p w:rsidR="008B75D9" w:rsidRDefault="008B75D9" w:rsidP="008B75D9">
      <w:pPr>
        <w:rPr>
          <w:lang w:val="fr-FR"/>
        </w:rPr>
      </w:pPr>
      <w:r w:rsidRPr="002244E5">
        <w:rPr>
          <w:lang w:val="fr-FR"/>
        </w:rPr>
        <w:t>En 2014, l’opportunité de capter des fonds issus de DEVCO</w:t>
      </w:r>
      <w:r>
        <w:rPr>
          <w:lang w:val="fr-FR"/>
        </w:rPr>
        <w:t xml:space="preserve"> </w:t>
      </w:r>
      <w:r w:rsidR="00E37648">
        <w:rPr>
          <w:lang w:val="fr-FR"/>
        </w:rPr>
        <w:t>a</w:t>
      </w:r>
      <w:r>
        <w:rPr>
          <w:lang w:val="fr-FR"/>
        </w:rPr>
        <w:t xml:space="preserve"> catalysé une approche commune entre les acteurs </w:t>
      </w:r>
      <w:r w:rsidR="00A175D3">
        <w:rPr>
          <w:lang w:val="fr-FR"/>
        </w:rPr>
        <w:t>EHA</w:t>
      </w:r>
      <w:r>
        <w:rPr>
          <w:lang w:val="fr-FR"/>
        </w:rPr>
        <w:t xml:space="preserve"> présent dans le nord du Mali et </w:t>
      </w:r>
      <w:r w:rsidRPr="002244E5">
        <w:rPr>
          <w:lang w:val="fr-FR"/>
        </w:rPr>
        <w:t>l’UNICEF</w:t>
      </w:r>
      <w:r>
        <w:rPr>
          <w:lang w:val="fr-FR"/>
        </w:rPr>
        <w:t xml:space="preserve">. Cela s’est traduit par </w:t>
      </w:r>
      <w:r w:rsidR="00E37648">
        <w:rPr>
          <w:lang w:val="fr-FR"/>
        </w:rPr>
        <w:t>le partage</w:t>
      </w:r>
      <w:r>
        <w:rPr>
          <w:lang w:val="fr-FR"/>
        </w:rPr>
        <w:t xml:space="preserve"> d’un cadre </w:t>
      </w:r>
      <w:r w:rsidR="00E37648">
        <w:rPr>
          <w:lang w:val="fr-FR"/>
        </w:rPr>
        <w:t>opérationnel visant :</w:t>
      </w:r>
    </w:p>
    <w:p w:rsidR="005D46E6" w:rsidRDefault="005D46E6" w:rsidP="00E350EE">
      <w:pPr>
        <w:numPr>
          <w:ilvl w:val="0"/>
          <w:numId w:val="5"/>
        </w:numPr>
        <w:rPr>
          <w:lang w:val="fr-FR"/>
        </w:rPr>
      </w:pPr>
      <w:r>
        <w:rPr>
          <w:lang w:val="fr-FR"/>
        </w:rPr>
        <w:t xml:space="preserve">D’une part à renforcer les capacités des Directions </w:t>
      </w:r>
      <w:r w:rsidR="00017BE1">
        <w:rPr>
          <w:lang w:val="fr-FR"/>
        </w:rPr>
        <w:t xml:space="preserve">Nationales et </w:t>
      </w:r>
      <w:r>
        <w:rPr>
          <w:lang w:val="fr-FR"/>
        </w:rPr>
        <w:t xml:space="preserve">Régionales de l’Hydraulique et </w:t>
      </w:r>
      <w:r w:rsidR="00017BE1">
        <w:rPr>
          <w:lang w:val="fr-FR"/>
        </w:rPr>
        <w:t xml:space="preserve">les </w:t>
      </w:r>
      <w:r>
        <w:rPr>
          <w:lang w:val="fr-FR"/>
        </w:rPr>
        <w:t xml:space="preserve">organismes de gestion locale par un meilleur référencement et suivi des ouvrages sous leur responsabilité; et </w:t>
      </w:r>
    </w:p>
    <w:p w:rsidR="005D46E6" w:rsidRDefault="005D46E6" w:rsidP="00E350EE">
      <w:pPr>
        <w:numPr>
          <w:ilvl w:val="0"/>
          <w:numId w:val="5"/>
        </w:numPr>
        <w:rPr>
          <w:lang w:val="fr-FR"/>
        </w:rPr>
      </w:pPr>
      <w:r>
        <w:rPr>
          <w:lang w:val="fr-FR"/>
        </w:rPr>
        <w:t>D’autre</w:t>
      </w:r>
      <w:r w:rsidR="008B75D9">
        <w:rPr>
          <w:lang w:val="fr-FR"/>
        </w:rPr>
        <w:t xml:space="preserve"> part</w:t>
      </w:r>
      <w:r w:rsidR="00E37648">
        <w:rPr>
          <w:lang w:val="fr-FR"/>
        </w:rPr>
        <w:t xml:space="preserve"> à</w:t>
      </w:r>
      <w:r w:rsidR="008B75D9">
        <w:rPr>
          <w:lang w:val="fr-FR"/>
        </w:rPr>
        <w:t xml:space="preserve"> la</w:t>
      </w:r>
      <w:r>
        <w:rPr>
          <w:lang w:val="fr-FR"/>
        </w:rPr>
        <w:t xml:space="preserve"> </w:t>
      </w:r>
      <w:r w:rsidR="008B75D9">
        <w:rPr>
          <w:lang w:val="fr-FR"/>
        </w:rPr>
        <w:t xml:space="preserve">réhabilitation ou réparation de réseaux d’Adduction d’Eau Sommaire (AES) pour l’UNICEF et celles de points pour les </w:t>
      </w:r>
      <w:proofErr w:type="spellStart"/>
      <w:r w:rsidR="008B75D9">
        <w:rPr>
          <w:lang w:val="fr-FR"/>
        </w:rPr>
        <w:t>ONGs</w:t>
      </w:r>
      <w:proofErr w:type="spellEnd"/>
      <w:r>
        <w:rPr>
          <w:lang w:val="fr-FR"/>
        </w:rPr>
        <w:t xml:space="preserve">. </w:t>
      </w:r>
    </w:p>
    <w:p w:rsidR="008B75D9" w:rsidRDefault="008B75D9" w:rsidP="008B75D9">
      <w:pPr>
        <w:rPr>
          <w:lang w:val="fr-FR"/>
        </w:rPr>
      </w:pPr>
      <w:r>
        <w:rPr>
          <w:lang w:val="fr-FR"/>
        </w:rPr>
        <w:t>Chacune des parties prenantes dispose d’un financement propre à ECHO :</w:t>
      </w:r>
    </w:p>
    <w:p w:rsidR="008B75D9" w:rsidRDefault="008B75D9" w:rsidP="008B75D9">
      <w:pPr>
        <w:rPr>
          <w:lang w:val="fr-FR"/>
        </w:rPr>
      </w:pPr>
      <w:r w:rsidRPr="008B75D9">
        <w:rPr>
          <w:i/>
          <w:u w:val="single"/>
          <w:lang w:val="fr-FR"/>
        </w:rPr>
        <w:t>UNICEF </w:t>
      </w:r>
      <w:r>
        <w:rPr>
          <w:lang w:val="fr-FR"/>
        </w:rPr>
        <w:t xml:space="preserve">: </w:t>
      </w:r>
      <w:r w:rsidRPr="008B75D9">
        <w:rPr>
          <w:lang w:val="fr-FR"/>
        </w:rPr>
        <w:t>« Projet liant les réponses d'urgence, de réhabilitation et de développement dans le secteur de l'hydraulique rurale et semi-urbaine dans les régions nord du Mali affectées par le conflit »</w:t>
      </w:r>
      <w:r w:rsidRPr="008B75D9">
        <w:rPr>
          <w:rStyle w:val="FootnoteReference"/>
          <w:lang w:val="fr-FR"/>
        </w:rPr>
        <w:t xml:space="preserve"> </w:t>
      </w:r>
      <w:r>
        <w:rPr>
          <w:rStyle w:val="FootnoteReference"/>
          <w:lang w:val="fr-FR"/>
        </w:rPr>
        <w:footnoteReference w:id="14"/>
      </w:r>
      <w:r>
        <w:rPr>
          <w:lang w:val="fr-FR"/>
        </w:rPr>
        <w:t>. Début août 2014 pour une durée de 11 mois.</w:t>
      </w:r>
      <w:r w:rsidRPr="008B75D9">
        <w:rPr>
          <w:lang w:val="fr-FR"/>
        </w:rPr>
        <w:t xml:space="preserve"> </w:t>
      </w:r>
      <w:r>
        <w:rPr>
          <w:lang w:val="fr-FR"/>
        </w:rPr>
        <w:t xml:space="preserve">Il cible les régions de Gao, Kidal, Tombouctou et le nord de Mopti (cercles de Douentza et </w:t>
      </w:r>
      <w:proofErr w:type="spellStart"/>
      <w:r>
        <w:rPr>
          <w:lang w:val="fr-FR"/>
        </w:rPr>
        <w:t>Youvarou</w:t>
      </w:r>
      <w:proofErr w:type="spellEnd"/>
      <w:r>
        <w:rPr>
          <w:lang w:val="fr-FR"/>
        </w:rPr>
        <w:t>). Il prévoit la réhabilitation de 15 réseaux AES sur 40 diagnostiqués ;</w:t>
      </w:r>
    </w:p>
    <w:tbl>
      <w:tblPr>
        <w:tblW w:w="0" w:type="auto"/>
        <w:tblLook w:val="04A0" w:firstRow="1" w:lastRow="0" w:firstColumn="1" w:lastColumn="0" w:noHBand="0" w:noVBand="1"/>
      </w:tblPr>
      <w:tblGrid>
        <w:gridCol w:w="3835"/>
        <w:gridCol w:w="5450"/>
      </w:tblGrid>
      <w:tr w:rsidR="00E37648" w:rsidRPr="00DC2386" w:rsidTr="00851C7C">
        <w:tc>
          <w:tcPr>
            <w:tcW w:w="4604" w:type="dxa"/>
            <w:shd w:val="clear" w:color="auto" w:fill="auto"/>
          </w:tcPr>
          <w:p w:rsidR="00E37648" w:rsidRPr="00851C7C" w:rsidRDefault="00E37648" w:rsidP="00E37648">
            <w:pPr>
              <w:rPr>
                <w:lang w:val="fr-FR"/>
              </w:rPr>
            </w:pPr>
            <w:r w:rsidRPr="00851C7C">
              <w:rPr>
                <w:i/>
                <w:u w:val="single"/>
                <w:lang w:val="fr-FR"/>
              </w:rPr>
              <w:t>LVIA</w:t>
            </w:r>
            <w:r w:rsidRPr="00851C7C">
              <w:rPr>
                <w:lang w:val="fr-FR"/>
              </w:rPr>
              <w:t> : « Amélioration du système d’approvisionnement en eau potable dans les régions affectées par la crise politique et sécuritaire dans la région de Gao »</w:t>
            </w:r>
            <w:r w:rsidRPr="00851C7C">
              <w:rPr>
                <w:rStyle w:val="FootnoteReference"/>
                <w:lang w:val="fr-FR"/>
              </w:rPr>
              <w:footnoteReference w:id="15"/>
            </w:r>
            <w:r w:rsidRPr="00851C7C">
              <w:rPr>
                <w:lang w:val="fr-FR"/>
              </w:rPr>
              <w:t xml:space="preserve">. Début juillet 2014 pour une durée de 12 mois. Il cible la région de Gao (Cercle de </w:t>
            </w:r>
            <w:proofErr w:type="spellStart"/>
            <w:r w:rsidRPr="00851C7C">
              <w:rPr>
                <w:lang w:val="fr-FR"/>
              </w:rPr>
              <w:t>Bourem</w:t>
            </w:r>
            <w:proofErr w:type="spellEnd"/>
            <w:r w:rsidRPr="00851C7C">
              <w:rPr>
                <w:lang w:val="fr-FR"/>
              </w:rPr>
              <w:t>). ). Il prévoit la réhabilitation de 30 point d’eau.</w:t>
            </w:r>
          </w:p>
          <w:p w:rsidR="00E37648" w:rsidRPr="00851C7C" w:rsidRDefault="00E37648" w:rsidP="00E37648">
            <w:pPr>
              <w:rPr>
                <w:lang w:val="fr-FR"/>
              </w:rPr>
            </w:pPr>
            <w:r w:rsidRPr="00851C7C">
              <w:rPr>
                <w:i/>
                <w:u w:val="single"/>
                <w:lang w:val="fr-FR"/>
              </w:rPr>
              <w:t>ACF-ES</w:t>
            </w:r>
            <w:r w:rsidRPr="00851C7C">
              <w:rPr>
                <w:rStyle w:val="FootnoteReference"/>
                <w:lang w:val="fr-FR"/>
              </w:rPr>
              <w:footnoteReference w:id="16"/>
            </w:r>
            <w:r w:rsidRPr="00851C7C">
              <w:rPr>
                <w:lang w:val="fr-FR"/>
              </w:rPr>
              <w:t xml:space="preserve"> ‘ : même titre, durée et date de démarrage que LVIA. Il vise la même région (Gao) mais un cercle différent (Ansongo) et le même nombre d’interventions (30).</w:t>
            </w:r>
          </w:p>
          <w:p w:rsidR="00E37648" w:rsidRPr="00851C7C" w:rsidRDefault="00E37648" w:rsidP="008B75D9">
            <w:pPr>
              <w:rPr>
                <w:lang w:val="fr-FR"/>
              </w:rPr>
            </w:pPr>
            <w:r w:rsidRPr="00851C7C">
              <w:rPr>
                <w:i/>
                <w:u w:val="single"/>
                <w:lang w:val="fr-FR"/>
              </w:rPr>
              <w:t>Solidarités</w:t>
            </w:r>
            <w:r w:rsidRPr="00851C7C">
              <w:rPr>
                <w:rStyle w:val="FootnoteReference"/>
                <w:i/>
                <w:u w:val="single"/>
                <w:lang w:val="fr-FR"/>
              </w:rPr>
              <w:footnoteReference w:id="17"/>
            </w:r>
            <w:r w:rsidRPr="00851C7C">
              <w:rPr>
                <w:lang w:val="fr-FR"/>
              </w:rPr>
              <w:t xml:space="preserve"> : même titre, durée et date de démarrage que LVIA. Il vise la région de Tombouctou (Cercle de </w:t>
            </w:r>
            <w:proofErr w:type="spellStart"/>
            <w:r w:rsidRPr="00851C7C">
              <w:rPr>
                <w:lang w:val="fr-FR"/>
              </w:rPr>
              <w:t>Diré</w:t>
            </w:r>
            <w:proofErr w:type="spellEnd"/>
            <w:r w:rsidRPr="00851C7C">
              <w:rPr>
                <w:lang w:val="fr-FR"/>
              </w:rPr>
              <w:t>, Goundam et Niafounké) et 26 interventions.</w:t>
            </w:r>
          </w:p>
        </w:tc>
        <w:tc>
          <w:tcPr>
            <w:tcW w:w="4605" w:type="dxa"/>
            <w:shd w:val="clear" w:color="auto" w:fill="auto"/>
          </w:tcPr>
          <w:p w:rsidR="00E37648" w:rsidRDefault="00E37648" w:rsidP="008B75D9">
            <w:r>
              <w:object w:dxaOrig="14700" w:dyaOrig="13125">
                <v:shape id="_x0000_i1026" type="#_x0000_t75" style="width:261.5pt;height:232.7pt" o:ole="">
                  <v:imagedata r:id="rId16" o:title=""/>
                </v:shape>
                <o:OLEObject Type="Embed" ProgID="PBrush" ShapeID="_x0000_i1026" DrawAspect="Content" ObjectID="_1481360694" r:id="rId17"/>
              </w:object>
            </w:r>
          </w:p>
          <w:p w:rsidR="00E37648" w:rsidRPr="00851C7C" w:rsidRDefault="00E37648" w:rsidP="00851C7C">
            <w:pPr>
              <w:spacing w:after="0"/>
              <w:jc w:val="center"/>
              <w:rPr>
                <w:i/>
                <w:lang w:val="fr-FR"/>
              </w:rPr>
            </w:pPr>
            <w:r w:rsidRPr="00851C7C">
              <w:rPr>
                <w:i/>
                <w:sz w:val="16"/>
                <w:lang w:val="fr-FR"/>
              </w:rPr>
              <w:t xml:space="preserve">Localisation des </w:t>
            </w:r>
            <w:proofErr w:type="spellStart"/>
            <w:r w:rsidRPr="00851C7C">
              <w:rPr>
                <w:i/>
                <w:sz w:val="16"/>
                <w:lang w:val="fr-FR"/>
              </w:rPr>
              <w:t>ONGs</w:t>
            </w:r>
            <w:proofErr w:type="spellEnd"/>
            <w:r w:rsidRPr="00851C7C">
              <w:rPr>
                <w:i/>
                <w:sz w:val="16"/>
                <w:lang w:val="fr-FR"/>
              </w:rPr>
              <w:t xml:space="preserve"> participant au cadre commun </w:t>
            </w:r>
            <w:r w:rsidR="00A175D3">
              <w:rPr>
                <w:i/>
                <w:sz w:val="16"/>
                <w:lang w:val="fr-FR"/>
              </w:rPr>
              <w:t>EHA</w:t>
            </w:r>
            <w:r w:rsidRPr="00851C7C">
              <w:rPr>
                <w:i/>
                <w:sz w:val="16"/>
                <w:lang w:val="fr-FR"/>
              </w:rPr>
              <w:t xml:space="preserve"> nord Mali avec UNICEF</w:t>
            </w:r>
          </w:p>
        </w:tc>
      </w:tr>
    </w:tbl>
    <w:p w:rsidR="001160D8" w:rsidRDefault="001160D8" w:rsidP="00E37648">
      <w:pPr>
        <w:spacing w:before="0"/>
        <w:rPr>
          <w:lang w:val="fr-FR"/>
        </w:rPr>
      </w:pPr>
      <w:r w:rsidRPr="009B4368">
        <w:rPr>
          <w:i/>
          <w:u w:val="single"/>
          <w:lang w:val="fr-FR"/>
        </w:rPr>
        <w:t>Handicap International</w:t>
      </w:r>
      <w:r>
        <w:rPr>
          <w:lang w:val="fr-FR"/>
        </w:rPr>
        <w:t> </w:t>
      </w:r>
      <w:r>
        <w:rPr>
          <w:rStyle w:val="FootnoteReference"/>
          <w:lang w:val="fr-FR"/>
        </w:rPr>
        <w:footnoteReference w:id="18"/>
      </w:r>
      <w:r>
        <w:rPr>
          <w:lang w:val="fr-FR"/>
        </w:rPr>
        <w:t xml:space="preserve">: même titre, durée et date de démarrage que LVIA. Il vise la région de Tombouctou (Cercle de Gourma </w:t>
      </w:r>
      <w:proofErr w:type="spellStart"/>
      <w:r>
        <w:rPr>
          <w:lang w:val="fr-FR"/>
        </w:rPr>
        <w:t>Rharous</w:t>
      </w:r>
      <w:proofErr w:type="spellEnd"/>
      <w:r>
        <w:rPr>
          <w:lang w:val="fr-FR"/>
        </w:rPr>
        <w:t>) et 32 interventions.</w:t>
      </w:r>
    </w:p>
    <w:p w:rsidR="009B4368" w:rsidRDefault="009B4368" w:rsidP="009B4368">
      <w:pPr>
        <w:rPr>
          <w:lang w:val="fr-FR"/>
        </w:rPr>
      </w:pPr>
      <w:r w:rsidRPr="009B4368">
        <w:rPr>
          <w:i/>
          <w:u w:val="single"/>
          <w:lang w:val="fr-FR"/>
        </w:rPr>
        <w:t>Oxfam-GB </w:t>
      </w:r>
      <w:r>
        <w:rPr>
          <w:rStyle w:val="FootnoteReference"/>
          <w:lang w:val="fr-FR"/>
        </w:rPr>
        <w:footnoteReference w:id="19"/>
      </w:r>
      <w:r>
        <w:rPr>
          <w:lang w:val="fr-FR"/>
        </w:rPr>
        <w:t>: « </w:t>
      </w:r>
      <w:r w:rsidRPr="009B4368">
        <w:rPr>
          <w:lang w:val="fr-FR"/>
        </w:rPr>
        <w:t>Projet d'amélioration du système d'approvisionnement en eau potable dans les trois régions du Nord Mali.»</w:t>
      </w:r>
      <w:r>
        <w:rPr>
          <w:lang w:val="fr-FR"/>
        </w:rPr>
        <w:t>, durée et date de démarrage que LVIA. Il vise la même région (Gao) le même cercle (</w:t>
      </w:r>
      <w:proofErr w:type="spellStart"/>
      <w:r>
        <w:rPr>
          <w:lang w:val="fr-FR"/>
        </w:rPr>
        <w:t>Bourem</w:t>
      </w:r>
      <w:proofErr w:type="spellEnd"/>
      <w:r>
        <w:rPr>
          <w:lang w:val="fr-FR"/>
        </w:rPr>
        <w:t>) plus un autre (Gao) et 20 interventions.</w:t>
      </w:r>
    </w:p>
    <w:p w:rsidR="00AA2BEA" w:rsidRDefault="00AA2BEA" w:rsidP="00AA2BEA">
      <w:pPr>
        <w:pStyle w:val="Heading2"/>
        <w:rPr>
          <w:lang w:val="fr-FR"/>
        </w:rPr>
      </w:pPr>
      <w:bookmarkStart w:id="5" w:name="_Toc406063881"/>
      <w:r>
        <w:rPr>
          <w:lang w:val="fr-FR"/>
        </w:rPr>
        <w:lastRenderedPageBreak/>
        <w:t>Epidém</w:t>
      </w:r>
      <w:r w:rsidR="00396C02">
        <w:rPr>
          <w:lang w:val="fr-FR"/>
        </w:rPr>
        <w:t>ie : Ebola au Mali</w:t>
      </w:r>
      <w:bookmarkEnd w:id="5"/>
    </w:p>
    <w:p w:rsidR="00AA2BEA" w:rsidRDefault="00AA2BEA" w:rsidP="00AA2BEA">
      <w:pPr>
        <w:pStyle w:val="Heading3"/>
      </w:pPr>
      <w:bookmarkStart w:id="6" w:name="_Toc406063882"/>
      <w:proofErr w:type="spellStart"/>
      <w:r>
        <w:t>Historique</w:t>
      </w:r>
      <w:bookmarkEnd w:id="6"/>
      <w:proofErr w:type="spellEnd"/>
    </w:p>
    <w:p w:rsidR="00AA2BEA" w:rsidRDefault="00AA2BEA" w:rsidP="00AA2BEA">
      <w:pPr>
        <w:rPr>
          <w:lang w:val="fr-FR"/>
        </w:rPr>
      </w:pPr>
      <w:r>
        <w:rPr>
          <w:lang w:val="fr-FR"/>
        </w:rPr>
        <w:t>L’épidémie d’Ebola affectant l’Afrique de l’Ouest s’est déclarée en Guinée au mois de mars 2014</w:t>
      </w:r>
    </w:p>
    <w:tbl>
      <w:tblPr>
        <w:tblW w:w="0" w:type="auto"/>
        <w:tblLook w:val="04A0" w:firstRow="1" w:lastRow="0" w:firstColumn="1" w:lastColumn="0" w:noHBand="0" w:noVBand="1"/>
      </w:tblPr>
      <w:tblGrid>
        <w:gridCol w:w="3574"/>
        <w:gridCol w:w="5711"/>
      </w:tblGrid>
      <w:tr w:rsidR="00AA2BEA" w:rsidRPr="00DC2386" w:rsidTr="00AC01D5">
        <w:tc>
          <w:tcPr>
            <w:tcW w:w="4604" w:type="dxa"/>
            <w:shd w:val="clear" w:color="auto" w:fill="auto"/>
          </w:tcPr>
          <w:p w:rsidR="00AA2BEA" w:rsidRPr="00AC01D5" w:rsidRDefault="00AA2BEA" w:rsidP="00AA2BEA">
            <w:pPr>
              <w:rPr>
                <w:lang w:val="fr-FR"/>
              </w:rPr>
            </w:pPr>
            <w:r w:rsidRPr="00AC01D5">
              <w:rPr>
                <w:lang w:val="fr-FR"/>
              </w:rPr>
              <w:t>Entre mars et août, l’incurie des services nationaux relayé par celle de l’OMS ont permis à l’épidémie de prendre une ampleur sans précédent et de s’étendre au Libéria, en Sierra Leone, au Nigéria, au Sénégal et, plus récemment au Mali. Les pays les plus affectés sont la Guinée, la Sierra Leone et le Libéria (par ordre croissant de nombres de cas).</w:t>
            </w:r>
          </w:p>
        </w:tc>
        <w:tc>
          <w:tcPr>
            <w:tcW w:w="4605" w:type="dxa"/>
            <w:shd w:val="clear" w:color="auto" w:fill="auto"/>
          </w:tcPr>
          <w:p w:rsidR="00AA2BEA" w:rsidRPr="00AC01D5" w:rsidRDefault="00924409" w:rsidP="00AA2BEA">
            <w:pPr>
              <w:rPr>
                <w:lang w:val="fr-FR"/>
              </w:rPr>
            </w:pPr>
            <w:r>
              <w:rPr>
                <w:noProof/>
                <w:lang w:val="fr-FR"/>
              </w:rPr>
              <w:drawing>
                <wp:inline distT="0" distB="0" distL="0" distR="0">
                  <wp:extent cx="3489325" cy="17564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9325" cy="1756410"/>
                          </a:xfrm>
                          <a:prstGeom prst="rect">
                            <a:avLst/>
                          </a:prstGeom>
                          <a:noFill/>
                          <a:ln>
                            <a:noFill/>
                          </a:ln>
                        </pic:spPr>
                      </pic:pic>
                    </a:graphicData>
                  </a:graphic>
                </wp:inline>
              </w:drawing>
            </w:r>
          </w:p>
          <w:p w:rsidR="00AA2BEA" w:rsidRPr="00AC01D5" w:rsidRDefault="00AA2BEA" w:rsidP="00AC01D5">
            <w:pPr>
              <w:jc w:val="center"/>
              <w:rPr>
                <w:i/>
                <w:lang w:val="fr-FR"/>
              </w:rPr>
            </w:pPr>
            <w:r w:rsidRPr="00AC01D5">
              <w:rPr>
                <w:i/>
                <w:sz w:val="16"/>
                <w:lang w:val="fr-FR"/>
              </w:rPr>
              <w:t>Nombre de cas d’Ebola en Afrique de l’Ouest au 3 décembre 2014 [Source : OMS]</w:t>
            </w:r>
          </w:p>
        </w:tc>
      </w:tr>
    </w:tbl>
    <w:p w:rsidR="006C0F2E" w:rsidRDefault="00A84611" w:rsidP="00A84611">
      <w:pPr>
        <w:rPr>
          <w:lang w:val="fr-FR"/>
        </w:rPr>
      </w:pPr>
      <w:r w:rsidRPr="00A84611">
        <w:rPr>
          <w:lang w:val="fr-FR"/>
        </w:rPr>
        <w:t>Au Mali, le premier cas est apparu</w:t>
      </w:r>
      <w:r>
        <w:rPr>
          <w:lang w:val="fr-FR"/>
        </w:rPr>
        <w:t xml:space="preserve"> </w:t>
      </w:r>
      <w:r w:rsidR="00322404">
        <w:rPr>
          <w:lang w:val="fr-FR"/>
        </w:rPr>
        <w:t>le 19 octobre</w:t>
      </w:r>
      <w:r>
        <w:rPr>
          <w:lang w:val="fr-FR"/>
        </w:rPr>
        <w:t xml:space="preserve">, une fillette arrivée malade de Guinée a pu pénétrer dans le pays, </w:t>
      </w:r>
      <w:proofErr w:type="gramStart"/>
      <w:r>
        <w:rPr>
          <w:lang w:val="fr-FR"/>
        </w:rPr>
        <w:t>transiter</w:t>
      </w:r>
      <w:proofErr w:type="gramEnd"/>
      <w:r>
        <w:rPr>
          <w:lang w:val="fr-FR"/>
        </w:rPr>
        <w:t xml:space="preserve"> par la capitale pour finalement mourir à Kayes. </w:t>
      </w:r>
      <w:r w:rsidR="006C0F2E">
        <w:rPr>
          <w:lang w:val="fr-FR"/>
        </w:rPr>
        <w:t>Un second cas  a pu rejoindre la capitale</w:t>
      </w:r>
      <w:r w:rsidR="00322404">
        <w:rPr>
          <w:lang w:val="fr-FR"/>
        </w:rPr>
        <w:t xml:space="preserve"> le 14 novembre</w:t>
      </w:r>
      <w:r w:rsidR="006C0F2E">
        <w:rPr>
          <w:lang w:val="fr-FR"/>
        </w:rPr>
        <w:t xml:space="preserve"> où il a contaminé six autres personnes dont 2 personnels de santé.</w:t>
      </w:r>
    </w:p>
    <w:p w:rsidR="00A84611" w:rsidRPr="00A84611" w:rsidRDefault="00A84611" w:rsidP="00A84611">
      <w:pPr>
        <w:rPr>
          <w:lang w:val="fr-FR"/>
        </w:rPr>
      </w:pPr>
      <w:r>
        <w:rPr>
          <w:lang w:val="fr-FR"/>
        </w:rPr>
        <w:t>Au 3 décembre</w:t>
      </w:r>
      <w:r w:rsidR="006C0F2E">
        <w:rPr>
          <w:lang w:val="fr-FR"/>
        </w:rPr>
        <w:t>, le nombre de cas au Mali est de huit cas</w:t>
      </w:r>
      <w:r w:rsidR="00F061A6">
        <w:rPr>
          <w:lang w:val="fr-FR"/>
        </w:rPr>
        <w:t xml:space="preserve"> (sept à Bamako, un à Kayes) </w:t>
      </w:r>
      <w:r w:rsidR="006C0F2E">
        <w:rPr>
          <w:lang w:val="fr-FR"/>
        </w:rPr>
        <w:t>dont six décès</w:t>
      </w:r>
      <w:r w:rsidR="000B1A26">
        <w:rPr>
          <w:lang w:val="fr-FR"/>
        </w:rPr>
        <w:t>. Plus de nouveaux cas sont apparus depuis la mi-novembre. 58 contacts font toujours l’objet de suivi.</w:t>
      </w:r>
    </w:p>
    <w:p w:rsidR="00AA2BEA" w:rsidRDefault="00AA2BEA" w:rsidP="00AA2BEA">
      <w:pPr>
        <w:pStyle w:val="Heading3"/>
      </w:pPr>
      <w:bookmarkStart w:id="7" w:name="_Toc406063883"/>
      <w:proofErr w:type="spellStart"/>
      <w:r>
        <w:t>Problématique</w:t>
      </w:r>
      <w:bookmarkEnd w:id="7"/>
      <w:proofErr w:type="spellEnd"/>
    </w:p>
    <w:p w:rsidR="001972A4" w:rsidRPr="001972A4" w:rsidRDefault="001972A4" w:rsidP="001F31F5">
      <w:pPr>
        <w:pStyle w:val="Heading4"/>
      </w:pPr>
      <w:r>
        <w:t>Général</w:t>
      </w:r>
    </w:p>
    <w:p w:rsidR="000636DF" w:rsidRDefault="000636DF" w:rsidP="00AA2BEA">
      <w:pPr>
        <w:rPr>
          <w:lang w:val="fr-FR"/>
        </w:rPr>
      </w:pPr>
      <w:r>
        <w:rPr>
          <w:lang w:val="fr-FR"/>
        </w:rPr>
        <w:t>Les épidémies précédentes restaient relativement confinées dans des zones difficiles d’accès ou de faible circulation (RDC, Ouganda, Sud Soudan) et permettait une réponse humanitaire rapide en lieu et place d’une intervention institutionnelle peu préparée à ce genre de crise.</w:t>
      </w:r>
    </w:p>
    <w:p w:rsidR="000636DF" w:rsidRDefault="000636DF" w:rsidP="00AA2BEA">
      <w:pPr>
        <w:rPr>
          <w:lang w:val="fr-FR"/>
        </w:rPr>
      </w:pPr>
      <w:r>
        <w:rPr>
          <w:lang w:val="fr-FR"/>
        </w:rPr>
        <w:t xml:space="preserve">L’inertie sinon le déni de crise de l’OMS a permis à l’épidémie de s’étendre jusqu’aux capitales et tissus urbains et routiers des pays affectés et de prendre une </w:t>
      </w:r>
      <w:r w:rsidR="00AA2BEA">
        <w:rPr>
          <w:lang w:val="fr-FR"/>
        </w:rPr>
        <w:t xml:space="preserve">ampleur sans précédent dans l’histoire de l’Humanité. </w:t>
      </w:r>
    </w:p>
    <w:p w:rsidR="00AA2BEA" w:rsidRDefault="000636DF" w:rsidP="00AA2BEA">
      <w:pPr>
        <w:rPr>
          <w:lang w:val="fr-FR"/>
        </w:rPr>
      </w:pPr>
      <w:r>
        <w:rPr>
          <w:lang w:val="fr-FR"/>
        </w:rPr>
        <w:t>Du fait de sa forte létalité et de son absence de cure, l’épidémie agit comme un révélateur des carences de l’ensemble des systèmes sensé y répondre :</w:t>
      </w:r>
    </w:p>
    <w:p w:rsidR="000636DF" w:rsidRDefault="000636DF" w:rsidP="00E350EE">
      <w:pPr>
        <w:numPr>
          <w:ilvl w:val="0"/>
          <w:numId w:val="6"/>
        </w:numPr>
        <w:rPr>
          <w:lang w:val="fr-FR"/>
        </w:rPr>
      </w:pPr>
      <w:r>
        <w:rPr>
          <w:lang w:val="fr-FR"/>
        </w:rPr>
        <w:t>En premier lieu, l’OMS, au travers de ses représentants nationaux qui ont privilégié un agenda politique qui minimisait la nécessité d’une prise en charge rigoureuses des premiers foyers afin de ne pas admettre l’incurie de leurs services de santé</w:t>
      </w:r>
      <w:r w:rsidR="00F11F7B">
        <w:rPr>
          <w:lang w:val="fr-FR"/>
        </w:rPr>
        <w:t>. La même incurie s’est manifestée au niveau de Genève en refusant d’admettre que ses propres représentants nationaux présentaient une analyse biaisée de la situation</w:t>
      </w:r>
      <w:r>
        <w:rPr>
          <w:lang w:val="fr-FR"/>
        </w:rPr>
        <w:t> ;</w:t>
      </w:r>
    </w:p>
    <w:p w:rsidR="000636DF" w:rsidRDefault="000636DF" w:rsidP="00E350EE">
      <w:pPr>
        <w:numPr>
          <w:ilvl w:val="0"/>
          <w:numId w:val="6"/>
        </w:numPr>
        <w:rPr>
          <w:lang w:val="fr-FR"/>
        </w:rPr>
      </w:pPr>
      <w:r>
        <w:rPr>
          <w:lang w:val="fr-FR"/>
        </w:rPr>
        <w:t>En deuxième</w:t>
      </w:r>
      <w:r w:rsidR="00F11F7B">
        <w:rPr>
          <w:lang w:val="fr-FR"/>
        </w:rPr>
        <w:t xml:space="preserve"> lieu, la communauté internationale qui s’est désintéressée de la crise </w:t>
      </w:r>
      <w:r>
        <w:rPr>
          <w:lang w:val="fr-FR"/>
        </w:rPr>
        <w:t>, en dépit des alertes lancée</w:t>
      </w:r>
      <w:r w:rsidR="00F11F7B">
        <w:rPr>
          <w:lang w:val="fr-FR"/>
        </w:rPr>
        <w:t xml:space="preserve">s de juin à septembre par MSF </w:t>
      </w:r>
      <w:r>
        <w:rPr>
          <w:lang w:val="fr-FR"/>
        </w:rPr>
        <w:t xml:space="preserve">qui était </w:t>
      </w:r>
      <w:r w:rsidR="00F11F7B">
        <w:rPr>
          <w:lang w:val="fr-FR"/>
        </w:rPr>
        <w:t>alors</w:t>
      </w:r>
      <w:r>
        <w:rPr>
          <w:lang w:val="fr-FR"/>
        </w:rPr>
        <w:t xml:space="preserve"> la seule organisation</w:t>
      </w:r>
      <w:r w:rsidR="00F11F7B">
        <w:rPr>
          <w:lang w:val="fr-FR"/>
        </w:rPr>
        <w:t xml:space="preserve"> au monde</w:t>
      </w:r>
      <w:r>
        <w:rPr>
          <w:lang w:val="fr-FR"/>
        </w:rPr>
        <w:t xml:space="preserve"> qui assurait la pr</w:t>
      </w:r>
      <w:r w:rsidR="00F11F7B">
        <w:rPr>
          <w:lang w:val="fr-FR"/>
        </w:rPr>
        <w:t>ise en charge des malades dans l</w:t>
      </w:r>
      <w:r>
        <w:rPr>
          <w:lang w:val="fr-FR"/>
        </w:rPr>
        <w:t>es conditions de sécurité et de dignité</w:t>
      </w:r>
      <w:r w:rsidR="00F11F7B">
        <w:rPr>
          <w:lang w:val="fr-FR"/>
        </w:rPr>
        <w:t xml:space="preserve"> de la personne requise ;</w:t>
      </w:r>
    </w:p>
    <w:p w:rsidR="00F11F7B" w:rsidRDefault="00F11F7B" w:rsidP="00E350EE">
      <w:pPr>
        <w:numPr>
          <w:ilvl w:val="0"/>
          <w:numId w:val="6"/>
        </w:numPr>
        <w:rPr>
          <w:lang w:val="fr-FR"/>
        </w:rPr>
      </w:pPr>
      <w:r>
        <w:rPr>
          <w:lang w:val="fr-FR"/>
        </w:rPr>
        <w:t xml:space="preserve">En troisième lieu, les personnels de santé des pays les plus affectés, qui, laissés à leur propre sort par leur autorités de tutelle, ont été les plus touchés par la maladie, qui ont fait des structures de santé des foyers de dissémination de celle-ci et </w:t>
      </w:r>
      <w:r w:rsidR="00CB572A">
        <w:rPr>
          <w:lang w:val="fr-FR"/>
        </w:rPr>
        <w:t>qui a conduit à l’effondrement des services médicaux des pays, incapable alors de prendre en charge les soins de bases (maternité, malaria, malnutrition</w:t>
      </w:r>
      <w:r w:rsidR="008B23B3">
        <w:rPr>
          <w:lang w:val="fr-FR"/>
        </w:rPr>
        <w:t xml:space="preserve">, vaccination, </w:t>
      </w:r>
      <w:proofErr w:type="spellStart"/>
      <w:r w:rsidR="008B23B3">
        <w:rPr>
          <w:lang w:val="fr-FR"/>
        </w:rPr>
        <w:t>etc</w:t>
      </w:r>
      <w:proofErr w:type="spellEnd"/>
      <w:r w:rsidR="008B23B3">
        <w:rPr>
          <w:lang w:val="fr-FR"/>
        </w:rPr>
        <w:t>) ;</w:t>
      </w:r>
    </w:p>
    <w:p w:rsidR="00CB572A" w:rsidRDefault="00CB572A" w:rsidP="00E350EE">
      <w:pPr>
        <w:numPr>
          <w:ilvl w:val="0"/>
          <w:numId w:val="6"/>
        </w:numPr>
        <w:rPr>
          <w:lang w:val="fr-FR"/>
        </w:rPr>
      </w:pPr>
      <w:r>
        <w:rPr>
          <w:lang w:val="fr-FR"/>
        </w:rPr>
        <w:t xml:space="preserve">En quatrième lieu, la communauté humanitaire d’urgence, qui, du fait de la forte létalité et de l’absence de remède à la maladie, ont cédé à la panique soit en se retirant  des pays dans lesquels ils étaient opérationnels (Oxfam, </w:t>
      </w:r>
      <w:proofErr w:type="spellStart"/>
      <w:r>
        <w:rPr>
          <w:lang w:val="fr-FR"/>
        </w:rPr>
        <w:t>Concern</w:t>
      </w:r>
      <w:proofErr w:type="spellEnd"/>
      <w:r>
        <w:rPr>
          <w:lang w:val="fr-FR"/>
        </w:rPr>
        <w:t xml:space="preserve">), soit en refusant de s’y déployer alors qu’il était possible de participer à la riposte tout en </w:t>
      </w:r>
      <w:r>
        <w:rPr>
          <w:lang w:val="fr-FR"/>
        </w:rPr>
        <w:lastRenderedPageBreak/>
        <w:t>contrôlant des risques par ailleurs propre à la profession d’</w:t>
      </w:r>
      <w:r w:rsidR="008B23B3">
        <w:rPr>
          <w:lang w:val="fr-FR"/>
        </w:rPr>
        <w:t>humanitaire</w:t>
      </w:r>
      <w:r w:rsidR="000B1A26">
        <w:rPr>
          <w:lang w:val="fr-FR"/>
        </w:rPr>
        <w:t>. Il résulte une pénurie d’acteurs humanitaires dans certains secteurs de la riposte qui se comble petit à petit</w:t>
      </w:r>
      <w:r w:rsidR="008B23B3">
        <w:rPr>
          <w:lang w:val="fr-FR"/>
        </w:rPr>
        <w:t> ;</w:t>
      </w:r>
      <w:r w:rsidR="000B1A26">
        <w:rPr>
          <w:lang w:val="fr-FR"/>
        </w:rPr>
        <w:t xml:space="preserve"> </w:t>
      </w:r>
    </w:p>
    <w:p w:rsidR="00CB572A" w:rsidRDefault="00CB572A" w:rsidP="00E350EE">
      <w:pPr>
        <w:numPr>
          <w:ilvl w:val="0"/>
          <w:numId w:val="6"/>
        </w:numPr>
        <w:rPr>
          <w:lang w:val="fr-FR"/>
        </w:rPr>
      </w:pPr>
      <w:r>
        <w:rPr>
          <w:lang w:val="fr-FR"/>
        </w:rPr>
        <w:t xml:space="preserve">En </w:t>
      </w:r>
      <w:r w:rsidR="000B1A26">
        <w:rPr>
          <w:lang w:val="fr-FR"/>
        </w:rPr>
        <w:t>cinquième</w:t>
      </w:r>
      <w:r>
        <w:rPr>
          <w:lang w:val="fr-FR"/>
        </w:rPr>
        <w:t xml:space="preserve"> lieu la communauté des bailleurs qui a privilégié souvent les effets d’annonce (140 M€ annoncé par l’Union Européenne en août alors qu’un moins d’un tiers de cette somme était effectivement </w:t>
      </w:r>
      <w:r w:rsidR="008B23B3">
        <w:rPr>
          <w:lang w:val="fr-FR"/>
        </w:rPr>
        <w:t>disponible pour 2014), et qui s’est engoncé dans une approche programmatique sans rapport avec les nécessités d’une riposte d’urgence, du peu de pertinence d’une telle approche</w:t>
      </w:r>
      <w:r w:rsidR="008B23B3">
        <w:rPr>
          <w:rStyle w:val="FootnoteReference"/>
          <w:lang w:val="fr-FR"/>
        </w:rPr>
        <w:footnoteReference w:id="20"/>
      </w:r>
      <w:r w:rsidR="008B23B3">
        <w:rPr>
          <w:lang w:val="fr-FR"/>
        </w:rPr>
        <w:t>, du manque de flexibilité qu’elle impose et du peu de pertinence dans le choix des acteurs qu’elle</w:t>
      </w:r>
      <w:r w:rsidR="00A84611">
        <w:rPr>
          <w:lang w:val="fr-FR"/>
        </w:rPr>
        <w:t>s</w:t>
      </w:r>
      <w:r w:rsidR="008B23B3">
        <w:rPr>
          <w:lang w:val="fr-FR"/>
        </w:rPr>
        <w:t xml:space="preserve"> privilégient</w:t>
      </w:r>
      <w:r w:rsidR="008B23B3">
        <w:rPr>
          <w:rStyle w:val="FootnoteReference"/>
          <w:lang w:val="fr-FR"/>
        </w:rPr>
        <w:footnoteReference w:id="21"/>
      </w:r>
      <w:r w:rsidR="000B1A26">
        <w:rPr>
          <w:lang w:val="fr-FR"/>
        </w:rPr>
        <w:t> ;</w:t>
      </w:r>
      <w:r w:rsidR="000B1A26" w:rsidRPr="000B1A26">
        <w:rPr>
          <w:lang w:val="fr-FR"/>
        </w:rPr>
        <w:t xml:space="preserve"> </w:t>
      </w:r>
      <w:r w:rsidR="000B1A26">
        <w:rPr>
          <w:lang w:val="fr-FR"/>
        </w:rPr>
        <w:t>et</w:t>
      </w:r>
    </w:p>
    <w:p w:rsidR="00F061A6" w:rsidRDefault="000B1A26" w:rsidP="00E350EE">
      <w:pPr>
        <w:numPr>
          <w:ilvl w:val="0"/>
          <w:numId w:val="6"/>
        </w:numPr>
        <w:rPr>
          <w:lang w:val="fr-FR"/>
        </w:rPr>
      </w:pPr>
      <w:r>
        <w:rPr>
          <w:lang w:val="fr-FR"/>
        </w:rPr>
        <w:t>En dernier lieu, la riposte s’est mise en place courant septembre dans les trois pays les plus affectés et des initiatives de préparation (formation, dotation) et de contrôles aux frontières ont émergé dans les pays limitrophes avec un certain manque de rigueur dans leurs mise</w:t>
      </w:r>
      <w:r w:rsidR="00B73111">
        <w:rPr>
          <w:lang w:val="fr-FR"/>
        </w:rPr>
        <w:t>s</w:t>
      </w:r>
      <w:r>
        <w:rPr>
          <w:lang w:val="fr-FR"/>
        </w:rPr>
        <w:t xml:space="preserve"> en œuvre (en préparation notamment, voir le cas du Mali). Cette riposte se traduit par la mise en place de plateforme</w:t>
      </w:r>
      <w:r w:rsidR="00F061A6">
        <w:rPr>
          <w:lang w:val="fr-FR"/>
        </w:rPr>
        <w:t>s</w:t>
      </w:r>
      <w:r>
        <w:rPr>
          <w:lang w:val="fr-FR"/>
        </w:rPr>
        <w:t xml:space="preserve"> de coordination focalisé</w:t>
      </w:r>
      <w:r w:rsidR="00F061A6">
        <w:rPr>
          <w:lang w:val="fr-FR"/>
        </w:rPr>
        <w:t>e</w:t>
      </w:r>
      <w:r>
        <w:rPr>
          <w:lang w:val="fr-FR"/>
        </w:rPr>
        <w:t xml:space="preserve">s sur </w:t>
      </w:r>
      <w:r w:rsidR="00F061A6">
        <w:rPr>
          <w:lang w:val="fr-FR"/>
        </w:rPr>
        <w:t>l’homogénéisation des outils de riposte et le partage d’information au niveau central au détriment de l’identification des lacunes et doublons des interventions au niveau opérationnel. Par ailleurs la démultiplication de ces plateformes mobilise les ressources au détriment des opérations.</w:t>
      </w:r>
    </w:p>
    <w:p w:rsidR="001972A4" w:rsidRDefault="001972A4" w:rsidP="001F31F5">
      <w:pPr>
        <w:pStyle w:val="Heading4"/>
        <w:rPr>
          <w:lang w:val="fr-FR"/>
        </w:rPr>
      </w:pPr>
      <w:r>
        <w:rPr>
          <w:lang w:val="fr-FR"/>
        </w:rPr>
        <w:t xml:space="preserve"> Mali</w:t>
      </w:r>
    </w:p>
    <w:p w:rsidR="00A84611" w:rsidRDefault="000B1A26" w:rsidP="00A84611">
      <w:pPr>
        <w:rPr>
          <w:lang w:val="fr-FR"/>
        </w:rPr>
      </w:pPr>
      <w:r>
        <w:rPr>
          <w:lang w:val="fr-FR"/>
        </w:rPr>
        <w:t>Au Mali, le nombre</w:t>
      </w:r>
      <w:r w:rsidR="00F061A6">
        <w:rPr>
          <w:lang w:val="fr-FR"/>
        </w:rPr>
        <w:t xml:space="preserve"> limité (huit) de cas n’a pas affecté le système de santé (hormis deux décès parmi le personnel). </w:t>
      </w:r>
      <w:r w:rsidR="009B436A">
        <w:rPr>
          <w:lang w:val="fr-FR"/>
        </w:rPr>
        <w:t xml:space="preserve">Les </w:t>
      </w:r>
      <w:r w:rsidR="00CB7506">
        <w:rPr>
          <w:lang w:val="fr-FR"/>
        </w:rPr>
        <w:t xml:space="preserve">interventions se concentrent dans les zones considérées comme à haut risque (les trois régions frontalières et Bamako). Elles </w:t>
      </w:r>
      <w:r w:rsidR="00B73111">
        <w:rPr>
          <w:lang w:val="fr-FR"/>
        </w:rPr>
        <w:t xml:space="preserve"> </w:t>
      </w:r>
      <w:r w:rsidR="009B436A">
        <w:rPr>
          <w:lang w:val="fr-FR"/>
        </w:rPr>
        <w:t>ont consisté et consistent à de la sensibilisation des populations, le renforcement des systèmes de santé de base pour l’isolation des cas suspects et la prise en charge de ces derniers dans des unités dédiés.</w:t>
      </w:r>
    </w:p>
    <w:p w:rsidR="00AA2BEA" w:rsidRDefault="009B436A" w:rsidP="009B436A">
      <w:pPr>
        <w:pStyle w:val="Heading3"/>
      </w:pPr>
      <w:bookmarkStart w:id="8" w:name="_Toc406063884"/>
      <w:proofErr w:type="spellStart"/>
      <w:r>
        <w:t>Réponse</w:t>
      </w:r>
      <w:proofErr w:type="spellEnd"/>
      <w:r>
        <w:t xml:space="preserve"> </w:t>
      </w:r>
      <w:proofErr w:type="spellStart"/>
      <w:r>
        <w:t>d’ECHO</w:t>
      </w:r>
      <w:bookmarkEnd w:id="8"/>
      <w:proofErr w:type="spellEnd"/>
    </w:p>
    <w:p w:rsidR="00252C00" w:rsidRDefault="00252C00" w:rsidP="001F31F5">
      <w:pPr>
        <w:pStyle w:val="Heading4"/>
        <w:rPr>
          <w:lang w:val="fr-FR"/>
        </w:rPr>
      </w:pPr>
      <w:r>
        <w:rPr>
          <w:lang w:val="fr-FR"/>
        </w:rPr>
        <w:t>Au niveau Régional</w:t>
      </w:r>
    </w:p>
    <w:p w:rsidR="00252C00" w:rsidRDefault="009B436A" w:rsidP="00AA2BEA">
      <w:pPr>
        <w:rPr>
          <w:lang w:val="fr-FR"/>
        </w:rPr>
      </w:pPr>
      <w:r>
        <w:rPr>
          <w:lang w:val="fr-FR"/>
        </w:rPr>
        <w:t xml:space="preserve">Au niveau régional, ECHO a été un des premiers bailleurs à mobiliser des fonds pour la riposte à l’épidémie. Une première décision a permis un soutien dès le mois de mars pour un montant total de 3,9 M€ </w:t>
      </w:r>
      <w:proofErr w:type="spellStart"/>
      <w:r>
        <w:rPr>
          <w:lang w:val="fr-FR"/>
        </w:rPr>
        <w:t>a</w:t>
      </w:r>
      <w:proofErr w:type="spellEnd"/>
      <w:r>
        <w:rPr>
          <w:lang w:val="fr-FR"/>
        </w:rPr>
        <w:t xml:space="preserve"> la fin du mois de juillet. Ces fonds ont été dédiés pour l’essentiel à la prise en charge (MSF), l’intervention dans les communauté (FICR) et à perte (OMS). </w:t>
      </w:r>
    </w:p>
    <w:p w:rsidR="009B436A" w:rsidRDefault="009B436A" w:rsidP="00AA2BEA">
      <w:pPr>
        <w:rPr>
          <w:lang w:val="fr-FR"/>
        </w:rPr>
      </w:pPr>
      <w:r>
        <w:rPr>
          <w:lang w:val="fr-FR"/>
        </w:rPr>
        <w:t xml:space="preserve">Une seconde enveloppe issue de la </w:t>
      </w:r>
      <w:proofErr w:type="spellStart"/>
      <w:r>
        <w:rPr>
          <w:lang w:val="fr-FR"/>
        </w:rPr>
        <w:t>Bridging</w:t>
      </w:r>
      <w:proofErr w:type="spellEnd"/>
      <w:r>
        <w:rPr>
          <w:lang w:val="fr-FR"/>
        </w:rPr>
        <w:t xml:space="preserve"> Facility de 8 M€ a permis en septembre  d’élargir le soutien à la prise en charge des soins de base (IRC en Sierra Leone, Save the </w:t>
      </w:r>
      <w:proofErr w:type="spellStart"/>
      <w:r>
        <w:rPr>
          <w:lang w:val="fr-FR"/>
        </w:rPr>
        <w:t>Children</w:t>
      </w:r>
      <w:proofErr w:type="spellEnd"/>
      <w:r>
        <w:rPr>
          <w:lang w:val="fr-FR"/>
        </w:rPr>
        <w:t xml:space="preserve"> au Libéria), au renforcement des équipes d’urgence des UN (UNICEF), au transport du personnel humanitaire (UNHAS), et à la préparation dans les pays limitrophes (</w:t>
      </w:r>
      <w:proofErr w:type="spellStart"/>
      <w:r>
        <w:rPr>
          <w:lang w:val="fr-FR"/>
        </w:rPr>
        <w:t>Alima</w:t>
      </w:r>
      <w:proofErr w:type="spellEnd"/>
      <w:r>
        <w:rPr>
          <w:lang w:val="fr-FR"/>
        </w:rPr>
        <w:t>) incluant le Mali.</w:t>
      </w:r>
    </w:p>
    <w:p w:rsidR="009B436A" w:rsidRDefault="009B436A" w:rsidP="00AA2BEA">
      <w:pPr>
        <w:rPr>
          <w:lang w:val="fr-FR"/>
        </w:rPr>
      </w:pPr>
      <w:r>
        <w:rPr>
          <w:lang w:val="fr-FR"/>
        </w:rPr>
        <w:t xml:space="preserve">Une nouvelle enveloppe de 20 M€ également issue de la </w:t>
      </w:r>
      <w:proofErr w:type="spellStart"/>
      <w:r>
        <w:rPr>
          <w:lang w:val="fr-FR"/>
        </w:rPr>
        <w:t>Bridging</w:t>
      </w:r>
      <w:proofErr w:type="spellEnd"/>
      <w:r>
        <w:rPr>
          <w:lang w:val="fr-FR"/>
        </w:rPr>
        <w:t xml:space="preserve"> Facility </w:t>
      </w:r>
      <w:r w:rsidR="00252C00">
        <w:rPr>
          <w:lang w:val="fr-FR"/>
        </w:rPr>
        <w:t>disponible depuis le mois de novembre permet tout en maintenant le soutien aux secteurs précédemment cités d’envisager l’intégration de nouveau secteurs tels que l’Eau, l’hygiène et l’assainissement, voire la sécurité alimentaire. Le ciblage des partenaires est en cours de finalisation.</w:t>
      </w:r>
    </w:p>
    <w:p w:rsidR="00252C00" w:rsidRDefault="00252C00" w:rsidP="00AA2BEA">
      <w:pPr>
        <w:rPr>
          <w:lang w:val="fr-FR"/>
        </w:rPr>
      </w:pPr>
      <w:r>
        <w:rPr>
          <w:lang w:val="fr-FR"/>
        </w:rPr>
        <w:t>Enfin, un HIP Ebola d’un montant initial de 16 M€ a été publié et permettra de centraliser le soutien d’ECHO dans la riposte à l’épidémie pour l’année 2015.</w:t>
      </w:r>
    </w:p>
    <w:p w:rsidR="008F7027" w:rsidRPr="008F7027" w:rsidRDefault="00252C00" w:rsidP="00322404">
      <w:pPr>
        <w:pStyle w:val="Heading4"/>
        <w:rPr>
          <w:lang w:val="fr-FR"/>
        </w:rPr>
      </w:pPr>
      <w:r>
        <w:rPr>
          <w:lang w:val="fr-FR"/>
        </w:rPr>
        <w:t>Soutien au Mali</w:t>
      </w:r>
    </w:p>
    <w:p w:rsidR="00252C00" w:rsidRDefault="00252C00" w:rsidP="00252C00">
      <w:pPr>
        <w:rPr>
          <w:lang w:val="fr-FR"/>
        </w:rPr>
      </w:pPr>
      <w:r>
        <w:rPr>
          <w:lang w:val="fr-FR"/>
        </w:rPr>
        <w:t xml:space="preserve">Au 6 </w:t>
      </w:r>
      <w:r w:rsidR="00865855">
        <w:rPr>
          <w:lang w:val="fr-FR"/>
        </w:rPr>
        <w:t>décembre,</w:t>
      </w:r>
      <w:r>
        <w:rPr>
          <w:lang w:val="fr-FR"/>
        </w:rPr>
        <w:t xml:space="preserve"> le soutien d’ECHO à la riposte au Mali s’est traduit par une enveloppe à l’OMG </w:t>
      </w:r>
      <w:proofErr w:type="spellStart"/>
      <w:r>
        <w:rPr>
          <w:lang w:val="fr-FR"/>
        </w:rPr>
        <w:t>Alima</w:t>
      </w:r>
      <w:proofErr w:type="spellEnd"/>
      <w:r>
        <w:rPr>
          <w:lang w:val="fr-FR"/>
        </w:rPr>
        <w:t xml:space="preserve"> </w:t>
      </w:r>
      <w:r>
        <w:rPr>
          <w:rStyle w:val="FootnoteReference"/>
          <w:lang w:val="fr-FR"/>
        </w:rPr>
        <w:footnoteReference w:id="22"/>
      </w:r>
      <w:r>
        <w:rPr>
          <w:lang w:val="fr-FR"/>
        </w:rPr>
        <w:t xml:space="preserve"> couvrant le Sénégal, la Guinée et le Mali et visant à renforcer </w:t>
      </w:r>
      <w:r w:rsidR="00865855">
        <w:rPr>
          <w:lang w:val="fr-FR"/>
        </w:rPr>
        <w:t>la préparation</w:t>
      </w:r>
      <w:r>
        <w:rPr>
          <w:lang w:val="fr-FR"/>
        </w:rPr>
        <w:t xml:space="preserve"> (formation du personnel à la conduite à tenir avec un cas suspect, renforcement de l'hygiène, création d'unités d'isolation) dans les zones frontalières avec la Guinée</w:t>
      </w:r>
      <w:r w:rsidR="00B31B4D">
        <w:rPr>
          <w:lang w:val="fr-FR"/>
        </w:rPr>
        <w:t>. La durée du projet est de six mois avec un démarrage au 1</w:t>
      </w:r>
      <w:r w:rsidR="00B31B4D" w:rsidRPr="00B31B4D">
        <w:rPr>
          <w:vertAlign w:val="superscript"/>
          <w:lang w:val="fr-FR"/>
        </w:rPr>
        <w:t>er</w:t>
      </w:r>
      <w:r w:rsidR="00B31B4D">
        <w:rPr>
          <w:lang w:val="fr-FR"/>
        </w:rPr>
        <w:t xml:space="preserve"> Septembre.</w:t>
      </w:r>
    </w:p>
    <w:p w:rsidR="00B31B4D" w:rsidRDefault="00B31B4D" w:rsidP="00252C00">
      <w:pPr>
        <w:rPr>
          <w:lang w:val="fr-FR"/>
        </w:rPr>
      </w:pPr>
      <w:r>
        <w:rPr>
          <w:lang w:val="fr-FR"/>
        </w:rPr>
        <w:lastRenderedPageBreak/>
        <w:t xml:space="preserve">L’évolution de l’épidémie a amené </w:t>
      </w:r>
      <w:proofErr w:type="spellStart"/>
      <w:r>
        <w:rPr>
          <w:lang w:val="fr-FR"/>
        </w:rPr>
        <w:t>Alima</w:t>
      </w:r>
      <w:proofErr w:type="spellEnd"/>
      <w:r>
        <w:rPr>
          <w:lang w:val="fr-FR"/>
        </w:rPr>
        <w:t xml:space="preserve"> à mettre en place un centre de traitement de 40 lits à Nzérékoré en Guinée (frontalier avec la Sierra Léone). En ce qui concerne le Mali, </w:t>
      </w:r>
      <w:proofErr w:type="spellStart"/>
      <w:r>
        <w:rPr>
          <w:lang w:val="fr-FR"/>
        </w:rPr>
        <w:t>Alima</w:t>
      </w:r>
      <w:proofErr w:type="spellEnd"/>
      <w:r>
        <w:rPr>
          <w:lang w:val="fr-FR"/>
        </w:rPr>
        <w:t xml:space="preserve"> a également été amené à mettre en place un centre de transit</w:t>
      </w:r>
      <w:r>
        <w:rPr>
          <w:rStyle w:val="FootnoteReference"/>
          <w:lang w:val="fr-FR"/>
        </w:rPr>
        <w:footnoteReference w:id="23"/>
      </w:r>
      <w:r>
        <w:rPr>
          <w:lang w:val="fr-FR"/>
        </w:rPr>
        <w:t xml:space="preserve"> de </w:t>
      </w:r>
      <w:r w:rsidR="00322404">
        <w:rPr>
          <w:lang w:val="fr-FR"/>
        </w:rPr>
        <w:t>cinq</w:t>
      </w:r>
      <w:r w:rsidR="00322404">
        <w:rPr>
          <w:lang w:val="fr-FR"/>
        </w:rPr>
        <w:t xml:space="preserve"> </w:t>
      </w:r>
      <w:r>
        <w:rPr>
          <w:lang w:val="fr-FR"/>
        </w:rPr>
        <w:t>lits à Kayes, trois autres centres à Bamako d’une capacité de 2 lits chacun dans les communes 2, 3 et 4 de la capitale</w:t>
      </w:r>
      <w:r w:rsidR="00322404">
        <w:rPr>
          <w:lang w:val="fr-FR"/>
        </w:rPr>
        <w:t xml:space="preserve"> et deux centres supplémentaires dans la région de Koulikoro (</w:t>
      </w:r>
      <w:proofErr w:type="spellStart"/>
      <w:r w:rsidR="00322404">
        <w:rPr>
          <w:lang w:val="fr-FR"/>
        </w:rPr>
        <w:t>Ouéléssébougou</w:t>
      </w:r>
      <w:proofErr w:type="spellEnd"/>
      <w:r w:rsidR="00322404">
        <w:rPr>
          <w:lang w:val="fr-FR"/>
        </w:rPr>
        <w:t xml:space="preserve"> et </w:t>
      </w:r>
      <w:proofErr w:type="spellStart"/>
      <w:r w:rsidR="00322404">
        <w:rPr>
          <w:lang w:val="fr-FR"/>
        </w:rPr>
        <w:t>Kangaba</w:t>
      </w:r>
      <w:proofErr w:type="spellEnd"/>
      <w:r w:rsidR="00322404">
        <w:rPr>
          <w:lang w:val="fr-FR"/>
        </w:rPr>
        <w:t xml:space="preserve"> d’une capacité de deux lits </w:t>
      </w:r>
      <w:proofErr w:type="spellStart"/>
      <w:r w:rsidR="00322404">
        <w:rPr>
          <w:lang w:val="fr-FR"/>
        </w:rPr>
        <w:t>chacuns</w:t>
      </w:r>
      <w:proofErr w:type="spellEnd"/>
      <w:r>
        <w:rPr>
          <w:lang w:val="fr-FR"/>
        </w:rPr>
        <w:t>.</w:t>
      </w:r>
    </w:p>
    <w:p w:rsidR="00C73517" w:rsidRDefault="00C73517" w:rsidP="00C73517">
      <w:pPr>
        <w:rPr>
          <w:lang w:val="fr-FR"/>
        </w:rPr>
      </w:pPr>
      <w:r>
        <w:rPr>
          <w:lang w:val="fr-FR"/>
        </w:rPr>
        <w:t>L’UNICEF, a pu réorienter le reliquat de fonds santé dans le nord soutenu par ECHO pour l’achat de consommables et équipement qui ont été déployés à Kayes et positionné à Bamako.</w:t>
      </w:r>
    </w:p>
    <w:p w:rsidR="001972A4" w:rsidRDefault="001972A4" w:rsidP="00252C00">
      <w:pPr>
        <w:rPr>
          <w:lang w:val="fr-FR"/>
        </w:rPr>
      </w:pPr>
      <w:r>
        <w:rPr>
          <w:lang w:val="fr-FR"/>
        </w:rPr>
        <w:t>Au niveau de la Coordination :</w:t>
      </w:r>
    </w:p>
    <w:p w:rsidR="001972A4" w:rsidRDefault="001972A4" w:rsidP="00E350EE">
      <w:pPr>
        <w:numPr>
          <w:ilvl w:val="0"/>
          <w:numId w:val="13"/>
        </w:numPr>
        <w:rPr>
          <w:lang w:val="fr-FR"/>
        </w:rPr>
      </w:pPr>
      <w:r>
        <w:rPr>
          <w:lang w:val="fr-FR"/>
        </w:rPr>
        <w:t xml:space="preserve">L’OMS est en charge de </w:t>
      </w:r>
      <w:r w:rsidRPr="001972A4">
        <w:rPr>
          <w:lang w:val="fr-FR"/>
        </w:rPr>
        <w:t>la prise en charge la surveillance et la recherche de cas</w:t>
      </w:r>
      <w:r>
        <w:rPr>
          <w:lang w:val="fr-FR"/>
        </w:rPr>
        <w:t> ;</w:t>
      </w:r>
      <w:r w:rsidR="003F0C5A">
        <w:rPr>
          <w:lang w:val="fr-FR"/>
        </w:rPr>
        <w:t xml:space="preserve"> et</w:t>
      </w:r>
    </w:p>
    <w:p w:rsidR="001972A4" w:rsidRDefault="001972A4" w:rsidP="00E350EE">
      <w:pPr>
        <w:numPr>
          <w:ilvl w:val="0"/>
          <w:numId w:val="13"/>
        </w:numPr>
        <w:rPr>
          <w:lang w:val="fr-FR"/>
        </w:rPr>
      </w:pPr>
      <w:r w:rsidRPr="001972A4">
        <w:rPr>
          <w:lang w:val="fr-FR"/>
        </w:rPr>
        <w:t xml:space="preserve">L’UNICEF est en charge de coordonner la mobilisation sociale et des problématiques </w:t>
      </w:r>
      <w:r w:rsidR="00A175D3">
        <w:rPr>
          <w:lang w:val="fr-FR"/>
        </w:rPr>
        <w:t>EHA</w:t>
      </w:r>
      <w:r w:rsidR="003F0C5A">
        <w:rPr>
          <w:lang w:val="fr-FR"/>
        </w:rPr>
        <w:t>.</w:t>
      </w:r>
    </w:p>
    <w:p w:rsidR="003F2347" w:rsidRDefault="003F0C5A" w:rsidP="003F2347">
      <w:pPr>
        <w:pStyle w:val="Heading2"/>
        <w:rPr>
          <w:lang w:val="fr-FR"/>
        </w:rPr>
      </w:pPr>
      <w:bookmarkStart w:id="9" w:name="_Toc406063885"/>
      <w:r>
        <w:rPr>
          <w:lang w:val="fr-FR"/>
        </w:rPr>
        <w:t>WASH’NUT</w:t>
      </w:r>
      <w:r w:rsidR="003F2347">
        <w:rPr>
          <w:lang w:val="fr-FR"/>
        </w:rPr>
        <w:t xml:space="preserve"> au Mali</w:t>
      </w:r>
      <w:bookmarkEnd w:id="9"/>
    </w:p>
    <w:p w:rsidR="003F2347" w:rsidRDefault="003F2347" w:rsidP="003F2347">
      <w:pPr>
        <w:rPr>
          <w:lang w:val="fr-FR"/>
        </w:rPr>
      </w:pPr>
      <w:r>
        <w:rPr>
          <w:lang w:val="fr-FR"/>
        </w:rPr>
        <w:t xml:space="preserve">L’UNICEF au niveau régional et au niveau national est en train de consolider voire d’élargir sa stratégie </w:t>
      </w:r>
      <w:r w:rsidR="003F0C5A">
        <w:rPr>
          <w:lang w:val="fr-FR"/>
        </w:rPr>
        <w:t>WASH’NUT</w:t>
      </w:r>
      <w:r>
        <w:rPr>
          <w:lang w:val="fr-FR"/>
        </w:rPr>
        <w:t xml:space="preserve"> au Sahel.</w:t>
      </w:r>
    </w:p>
    <w:p w:rsidR="003F2347" w:rsidRDefault="003F2347" w:rsidP="003F2347">
      <w:pPr>
        <w:rPr>
          <w:lang w:val="fr-FR"/>
        </w:rPr>
      </w:pPr>
      <w:r>
        <w:rPr>
          <w:lang w:val="fr-FR"/>
        </w:rPr>
        <w:t xml:space="preserve">La stratégie d’ECHO en matière de </w:t>
      </w:r>
      <w:r w:rsidR="00A175D3">
        <w:rPr>
          <w:lang w:val="fr-FR"/>
        </w:rPr>
        <w:t>WASH’</w:t>
      </w:r>
      <w:r>
        <w:rPr>
          <w:lang w:val="fr-FR"/>
        </w:rPr>
        <w:t xml:space="preserve">NUT en Afrique de l’Ouest a considérablement réduit ses ambitions au niveau de Bruxelles en retirant le second indicateur portant sur le suivi de l’appui </w:t>
      </w:r>
      <w:r w:rsidR="00A175D3">
        <w:rPr>
          <w:lang w:val="fr-FR"/>
        </w:rPr>
        <w:t>EHA</w:t>
      </w:r>
      <w:r>
        <w:rPr>
          <w:lang w:val="fr-FR"/>
        </w:rPr>
        <w:t xml:space="preserve"> au secteur nutrition dans les communautés. Seul le premier indicateur (accès aux services minimum </w:t>
      </w:r>
      <w:r w:rsidR="00A175D3">
        <w:rPr>
          <w:lang w:val="fr-FR"/>
        </w:rPr>
        <w:t>EHA</w:t>
      </w:r>
      <w:r>
        <w:rPr>
          <w:lang w:val="fr-FR"/>
        </w:rPr>
        <w:t xml:space="preserve"> lors de la prise en charge) a été conservé.</w:t>
      </w:r>
    </w:p>
    <w:p w:rsidR="003F2347" w:rsidRDefault="003F2347" w:rsidP="003F2347">
      <w:pPr>
        <w:rPr>
          <w:lang w:val="fr-FR"/>
        </w:rPr>
      </w:pPr>
      <w:r>
        <w:rPr>
          <w:lang w:val="fr-FR"/>
        </w:rPr>
        <w:t xml:space="preserve">Ce recul d’ECHO soulève la question de la révision de  l’intégration </w:t>
      </w:r>
      <w:r w:rsidR="003F0C5A">
        <w:rPr>
          <w:lang w:val="fr-FR"/>
        </w:rPr>
        <w:t>WASH’NUT</w:t>
      </w:r>
      <w:r>
        <w:rPr>
          <w:lang w:val="fr-FR"/>
        </w:rPr>
        <w:t xml:space="preserve"> dans les programmes d’ECHO au Mali.</w:t>
      </w:r>
    </w:p>
    <w:p w:rsidR="00BD71A6" w:rsidRPr="00007DC7" w:rsidRDefault="00ED17A1" w:rsidP="00BD71A6">
      <w:pPr>
        <w:pStyle w:val="Heading1"/>
        <w:rPr>
          <w:lang w:val="fr-FR"/>
        </w:rPr>
      </w:pPr>
      <w:bookmarkStart w:id="10" w:name="_Toc406063886"/>
      <w:r>
        <w:rPr>
          <w:lang w:val="fr-FR"/>
        </w:rPr>
        <w:t>Observations/Discussions</w:t>
      </w:r>
      <w:r w:rsidR="00AA4DCB" w:rsidRPr="00007DC7">
        <w:rPr>
          <w:lang w:val="fr-FR"/>
        </w:rPr>
        <w:t xml:space="preserve"> &amp; conclusions</w:t>
      </w:r>
      <w:bookmarkEnd w:id="10"/>
    </w:p>
    <w:p w:rsidR="00434BA6" w:rsidRDefault="00865855" w:rsidP="00510C25">
      <w:pPr>
        <w:pStyle w:val="Heading2"/>
        <w:rPr>
          <w:lang w:val="fr-FR"/>
        </w:rPr>
      </w:pPr>
      <w:bookmarkStart w:id="11" w:name="_Toc406063887"/>
      <w:r>
        <w:rPr>
          <w:lang w:val="fr-FR"/>
        </w:rPr>
        <w:t xml:space="preserve">Déplacement de population : Réponse Eau Hygiène et Assainissement au Nord </w:t>
      </w:r>
      <w:r w:rsidRPr="00D71E43">
        <w:rPr>
          <w:lang w:val="fr-FR"/>
        </w:rPr>
        <w:t>Mali</w:t>
      </w:r>
      <w:bookmarkEnd w:id="11"/>
      <w:r w:rsidR="00AB61DA">
        <w:rPr>
          <w:lang w:val="fr-FR"/>
        </w:rPr>
        <w:t xml:space="preserve"> </w:t>
      </w:r>
    </w:p>
    <w:p w:rsidR="00AB61DA" w:rsidRPr="003005F6" w:rsidRDefault="00AB61DA" w:rsidP="00AB61DA">
      <w:pPr>
        <w:pStyle w:val="Heading3"/>
        <w:rPr>
          <w:lang w:val="fr-FR"/>
        </w:rPr>
      </w:pPr>
      <w:bookmarkStart w:id="12" w:name="_Toc406063888"/>
      <w:r w:rsidRPr="003005F6">
        <w:rPr>
          <w:lang w:val="fr-FR"/>
        </w:rPr>
        <w:t>Le ciblage</w:t>
      </w:r>
      <w:r w:rsidR="003005F6" w:rsidRPr="003005F6">
        <w:rPr>
          <w:lang w:val="fr-FR"/>
        </w:rPr>
        <w:t xml:space="preserve"> et la qualité</w:t>
      </w:r>
      <w:r w:rsidRPr="003005F6">
        <w:rPr>
          <w:lang w:val="fr-FR"/>
        </w:rPr>
        <w:t xml:space="preserve"> des interventions</w:t>
      </w:r>
      <w:bookmarkEnd w:id="12"/>
    </w:p>
    <w:p w:rsidR="00AB61DA" w:rsidRDefault="00AB61DA" w:rsidP="00AB61DA">
      <w:pPr>
        <w:rPr>
          <w:lang w:val="fr-FR"/>
        </w:rPr>
      </w:pPr>
      <w:r w:rsidRPr="00AB61DA">
        <w:rPr>
          <w:lang w:val="fr-FR"/>
        </w:rPr>
        <w:t>Depuis les premières réponses d’</w:t>
      </w:r>
      <w:r>
        <w:rPr>
          <w:lang w:val="fr-FR"/>
        </w:rPr>
        <w:t>urgence en 2012 jusqu’aux projets en cours qui se poursuivront jusqu’à la mi-2015, le ciblage des interventions repose sur la perte d’un accès à l’eau potable, une pression accrue sur ces derniers ou une paupérisation des victimes liés à leur fuite des exactions des groupes salafistes sur leur personnes ou les services d’approvisionnement en eau.</w:t>
      </w:r>
    </w:p>
    <w:p w:rsidR="00AB61DA" w:rsidRPr="00AB61DA" w:rsidRDefault="00AB61DA" w:rsidP="00AB61DA">
      <w:pPr>
        <w:rPr>
          <w:lang w:val="fr-FR"/>
        </w:rPr>
      </w:pPr>
      <w:r>
        <w:rPr>
          <w:lang w:val="fr-FR"/>
        </w:rPr>
        <w:t xml:space="preserve">Or, ce ciblage est compromis par l’accès des </w:t>
      </w:r>
      <w:proofErr w:type="spellStart"/>
      <w:r>
        <w:rPr>
          <w:lang w:val="fr-FR"/>
        </w:rPr>
        <w:t>ONGs</w:t>
      </w:r>
      <w:proofErr w:type="spellEnd"/>
      <w:r>
        <w:rPr>
          <w:lang w:val="fr-FR"/>
        </w:rPr>
        <w:t xml:space="preserve"> et de l’UNICEF aux zones où la sécurité des biens et des acteurs au projet n’est pas garantie. UNICEF par exemple, est incapable d’intervenir dans la ville même de Kidal quand d’autres </w:t>
      </w:r>
      <w:r w:rsidR="006D112A">
        <w:rPr>
          <w:lang w:val="fr-FR"/>
        </w:rPr>
        <w:t>organisations</w:t>
      </w:r>
      <w:r>
        <w:rPr>
          <w:lang w:val="fr-FR"/>
        </w:rPr>
        <w:t xml:space="preserve"> (</w:t>
      </w:r>
      <w:r w:rsidR="006D112A">
        <w:rPr>
          <w:lang w:val="fr-FR"/>
        </w:rPr>
        <w:t xml:space="preserve">CICR, </w:t>
      </w:r>
      <w:r>
        <w:rPr>
          <w:lang w:val="fr-FR"/>
        </w:rPr>
        <w:t>ACTED, Solidarités</w:t>
      </w:r>
      <w:r w:rsidR="006C313B">
        <w:rPr>
          <w:lang w:val="fr-FR"/>
        </w:rPr>
        <w:t xml:space="preserve"> International, AEN etc.</w:t>
      </w:r>
      <w:r>
        <w:rPr>
          <w:lang w:val="fr-FR"/>
        </w:rPr>
        <w:t>) sont à même de travailler dans la région.</w:t>
      </w:r>
    </w:p>
    <w:p w:rsidR="006D112A" w:rsidRDefault="00AB61DA" w:rsidP="00AB61DA">
      <w:pPr>
        <w:rPr>
          <w:lang w:val="fr-FR"/>
        </w:rPr>
      </w:pPr>
      <w:r>
        <w:rPr>
          <w:lang w:val="fr-FR"/>
        </w:rPr>
        <w:t xml:space="preserve">Par ailleurs, les interventions observées lors de la visite (portant essentiellement sur les interventions sous traitée par UNICEF) ne semblent pas participer fortement à la réponse initiale : la plupart des ouvrages visités (AEP de Tombouctou, AES de </w:t>
      </w:r>
      <w:r w:rsidR="006C313B">
        <w:rPr>
          <w:lang w:val="fr-FR"/>
        </w:rPr>
        <w:t>Toya</w:t>
      </w:r>
      <w:r>
        <w:rPr>
          <w:lang w:val="fr-FR"/>
        </w:rPr>
        <w:t>) étaient fonctionnels avant l’intervention</w:t>
      </w:r>
      <w:r w:rsidR="006D112A">
        <w:rPr>
          <w:lang w:val="fr-FR"/>
        </w:rPr>
        <w:t xml:space="preserve">. Celles-ci ont consisté pour l’essentiel à les rénover (changement de bac à chaux, mise en place de compteurs, de système de chloration), voire à les étoffer (branchement sur le réseau basse tension. Les interventions sur le projet 2013-2014 ne semblent pas avoir réellement participé au rétablissement du service mais à sa rénovation. </w:t>
      </w:r>
    </w:p>
    <w:p w:rsidR="00AB61DA" w:rsidRDefault="006D112A" w:rsidP="00AB61DA">
      <w:pPr>
        <w:rPr>
          <w:lang w:val="fr-FR"/>
        </w:rPr>
      </w:pPr>
      <w:r>
        <w:rPr>
          <w:lang w:val="fr-FR"/>
        </w:rPr>
        <w:t>Les activités en milieu urbains</w:t>
      </w:r>
      <w:r w:rsidR="007B74F6">
        <w:rPr>
          <w:lang w:val="fr-FR"/>
        </w:rPr>
        <w:t xml:space="preserve"> (capita</w:t>
      </w:r>
      <w:r w:rsidR="00322404">
        <w:rPr>
          <w:lang w:val="fr-FR"/>
        </w:rPr>
        <w:t>les</w:t>
      </w:r>
      <w:r w:rsidR="007B74F6">
        <w:rPr>
          <w:lang w:val="fr-FR"/>
        </w:rPr>
        <w:t xml:space="preserve"> régionales et villes secondaires)</w:t>
      </w:r>
      <w:r>
        <w:rPr>
          <w:lang w:val="fr-FR"/>
        </w:rPr>
        <w:t xml:space="preserve"> liées au financement d’ECHO mis en œuvre par UNICEF ne permettent pas d’établir que les populations initialement ciblées soient les premières bénéficiaires d’une amélio</w:t>
      </w:r>
      <w:r w:rsidR="004F1C42">
        <w:rPr>
          <w:lang w:val="fr-FR"/>
        </w:rPr>
        <w:t>ration à l’accès à l’eau potable.</w:t>
      </w:r>
    </w:p>
    <w:p w:rsidR="004F1C42" w:rsidRDefault="004F1C42" w:rsidP="00AB61DA">
      <w:pPr>
        <w:rPr>
          <w:lang w:val="fr-FR"/>
        </w:rPr>
      </w:pPr>
      <w:r>
        <w:rPr>
          <w:lang w:val="fr-FR"/>
        </w:rPr>
        <w:t xml:space="preserve">L’UNICEF s’est restreint à un rôle de maîtrise d’ouvrage déléguée en confiant à des entreprises privées ou fermière (SOMAGEP) la conduite des travaux sans s’assurer à la </w:t>
      </w:r>
      <w:r>
        <w:rPr>
          <w:lang w:val="fr-FR"/>
        </w:rPr>
        <w:lastRenderedPageBreak/>
        <w:t>fois :</w:t>
      </w:r>
    </w:p>
    <w:p w:rsidR="004F1C42" w:rsidRDefault="004F1C42" w:rsidP="00E350EE">
      <w:pPr>
        <w:numPr>
          <w:ilvl w:val="0"/>
          <w:numId w:val="7"/>
        </w:numPr>
        <w:rPr>
          <w:lang w:val="fr-FR"/>
        </w:rPr>
      </w:pPr>
      <w:r>
        <w:rPr>
          <w:lang w:val="fr-FR"/>
        </w:rPr>
        <w:t>De la pertinence des choix techniques (achat de générateur équivalent à 300% des besoins de la ville de Niafounké) induisant des surcoûts d’investissement (générateur de 80 KVA quand la consommation totale des pompes est de moins de 10 KW) et des surcoûts de fonctionnement (consommation du générateur plus élevée qu’un générateur de moindre capacité) ;</w:t>
      </w:r>
    </w:p>
    <w:p w:rsidR="004F1C42" w:rsidRDefault="004F1C42" w:rsidP="00E350EE">
      <w:pPr>
        <w:numPr>
          <w:ilvl w:val="0"/>
          <w:numId w:val="7"/>
        </w:numPr>
        <w:rPr>
          <w:lang w:val="fr-FR"/>
        </w:rPr>
      </w:pPr>
      <w:r>
        <w:rPr>
          <w:lang w:val="fr-FR"/>
        </w:rPr>
        <w:t xml:space="preserve">De la qualité de l’exploitation des services (aucun protocole de mesure de la qualité de l’eau au-delà de la station de production dans les villes de Tombouctou, Niafounké et </w:t>
      </w:r>
      <w:proofErr w:type="spellStart"/>
      <w:r>
        <w:rPr>
          <w:lang w:val="fr-FR"/>
        </w:rPr>
        <w:t>Tilia</w:t>
      </w:r>
      <w:proofErr w:type="spellEnd"/>
      <w:r>
        <w:rPr>
          <w:lang w:val="fr-FR"/>
        </w:rPr>
        <w:t xml:space="preserve"> (aucun chlore résiduel libre dans la borne fontaine en tête de réseau située à 20 mètres de la station de production</w:t>
      </w:r>
      <w:r>
        <w:rPr>
          <w:rStyle w:val="FootnoteReference"/>
          <w:lang w:val="fr-FR"/>
        </w:rPr>
        <w:footnoteReference w:id="24"/>
      </w:r>
      <w:r>
        <w:rPr>
          <w:lang w:val="fr-FR"/>
        </w:rPr>
        <w:t>)</w:t>
      </w:r>
      <w:r w:rsidR="001E18E4">
        <w:rPr>
          <w:lang w:val="fr-FR"/>
        </w:rPr>
        <w:t>. Des outils de mesures de base tels que des turbidimètres étaient par ailleurs absent des stations de production. Les protocoles de chloration étaient par ailleurs inadaptés (usage d’hypochlorite de calcium HTH quand l’eau de javel, plus facilement accessible, était envisageable) et le stockage du HTH exposé au soleil induisait une perte de qualité du produit qui n’était pas suivi (le dosage en chlore était base sur un ratio chlore/eau prédéfini)  et une dangerosité sur le site (le HTH se transforme en gaz chloreux sous l’action de la chaleur susceptible d’exploser au contact avec l’oxygène) ;</w:t>
      </w:r>
    </w:p>
    <w:p w:rsidR="003005F6" w:rsidRDefault="003005F6" w:rsidP="003005F6">
      <w:pPr>
        <w:rPr>
          <w:lang w:val="fr-FR"/>
        </w:rPr>
      </w:pPr>
      <w:r>
        <w:rPr>
          <w:lang w:val="fr-FR"/>
        </w:rPr>
        <w:t>Enfin, les interventions visant à soutenir directement les ménages (distribution de kits eau hygiène et assainissement, kits cuisine) se font en dehors, sinon au détriment des marchés locaux. Par ailleurs le peu de pertinence de certains des éléments les constituant (jerrycan flexible, pastille de désinfection pour 10 litres d’eau seulement) soulève un doute quant à l’adéquation entre leur usage final et le but initialement recherché.</w:t>
      </w:r>
    </w:p>
    <w:p w:rsidR="00AB61DA" w:rsidRPr="001E18E4" w:rsidRDefault="001E18E4" w:rsidP="001E18E4">
      <w:pPr>
        <w:pStyle w:val="Heading3"/>
        <w:rPr>
          <w:lang w:val="fr-FR"/>
        </w:rPr>
      </w:pPr>
      <w:bookmarkStart w:id="13" w:name="_Toc406063889"/>
      <w:r w:rsidRPr="001E18E4">
        <w:rPr>
          <w:lang w:val="fr-FR"/>
        </w:rPr>
        <w:t xml:space="preserve">L’analyse des données </w:t>
      </w:r>
      <w:r w:rsidR="00B35C96">
        <w:rPr>
          <w:lang w:val="fr-FR"/>
        </w:rPr>
        <w:t xml:space="preserve">et </w:t>
      </w:r>
      <w:r w:rsidRPr="001E18E4">
        <w:rPr>
          <w:lang w:val="fr-FR"/>
        </w:rPr>
        <w:t xml:space="preserve"> plaidoyer</w:t>
      </w:r>
      <w:bookmarkEnd w:id="13"/>
    </w:p>
    <w:p w:rsidR="004C7D44" w:rsidRDefault="001E18E4" w:rsidP="00AB61DA">
      <w:pPr>
        <w:rPr>
          <w:lang w:val="fr-FR"/>
        </w:rPr>
      </w:pPr>
      <w:r>
        <w:rPr>
          <w:lang w:val="fr-FR"/>
        </w:rPr>
        <w:t>Si l’on somme l’ensemble des réalisations (réhabilitation, réparations) soutenues par ECHO depuis 2012, le total fait état de 594 interventions sur des points d’eau distincts et 31 réseau</w:t>
      </w:r>
      <w:r w:rsidR="004C7D44">
        <w:rPr>
          <w:lang w:val="fr-FR"/>
        </w:rPr>
        <w:t>x</w:t>
      </w:r>
      <w:r>
        <w:rPr>
          <w:lang w:val="fr-FR"/>
        </w:rPr>
        <w:t xml:space="preserve"> d’adduction d’</w:t>
      </w:r>
      <w:r w:rsidR="004C7D44">
        <w:rPr>
          <w:lang w:val="fr-FR"/>
        </w:rPr>
        <w:t>eau (sommaire et potable), soit 9% de l’ensemble des points d’eau des trois régions construits entre 1961 et 2005</w:t>
      </w:r>
      <w:r w:rsidR="004C7D44">
        <w:rPr>
          <w:rStyle w:val="FootnoteReference"/>
          <w:lang w:val="fr-FR"/>
        </w:rPr>
        <w:footnoteReference w:id="25"/>
      </w:r>
      <w:r w:rsidR="004C7D44">
        <w:rPr>
          <w:lang w:val="fr-FR"/>
        </w:rPr>
        <w:t xml:space="preserve"> et ceux avec acteurs parfois présents depuis le début (Solidarités, Oxfam). </w:t>
      </w:r>
    </w:p>
    <w:p w:rsidR="00AB61DA" w:rsidRDefault="004C7D44" w:rsidP="00AB61DA">
      <w:pPr>
        <w:rPr>
          <w:lang w:val="fr-FR"/>
        </w:rPr>
      </w:pPr>
      <w:r>
        <w:rPr>
          <w:lang w:val="fr-FR"/>
        </w:rPr>
        <w:t>Ils devraient par conséquent être dépositaires d’information capable de présenter une synthèse de l’état des ressources en eau potable des trois régions, des ressources disponibles pour leur gestion (entretien, réparation, remplacement). Cette information, correctement synthétisée est susceptibles d’attirer l’attention à la fois des bailleurs de développement sur le secteur et sur les acteurs qui ont été capables de produire cette intervention et d’intervenir dans le secteur (</w:t>
      </w:r>
      <w:proofErr w:type="spellStart"/>
      <w:r>
        <w:rPr>
          <w:lang w:val="fr-FR"/>
        </w:rPr>
        <w:t>ie</w:t>
      </w:r>
      <w:proofErr w:type="spellEnd"/>
      <w:r>
        <w:rPr>
          <w:lang w:val="fr-FR"/>
        </w:rPr>
        <w:t xml:space="preserve"> ceux financés par ECHO).</w:t>
      </w:r>
    </w:p>
    <w:p w:rsidR="00DF2027" w:rsidRDefault="00DF2027" w:rsidP="007A436E">
      <w:pPr>
        <w:rPr>
          <w:lang w:val="fr-FR"/>
        </w:rPr>
      </w:pPr>
      <w:r>
        <w:rPr>
          <w:lang w:val="fr-FR"/>
        </w:rPr>
        <w:t xml:space="preserve">Cette analyse </w:t>
      </w:r>
      <w:r w:rsidR="00322404">
        <w:rPr>
          <w:lang w:val="fr-FR"/>
        </w:rPr>
        <w:t>initialement</w:t>
      </w:r>
      <w:r w:rsidR="007A436E">
        <w:rPr>
          <w:lang w:val="fr-FR"/>
        </w:rPr>
        <w:t xml:space="preserve"> </w:t>
      </w:r>
      <w:r>
        <w:rPr>
          <w:lang w:val="fr-FR"/>
        </w:rPr>
        <w:t xml:space="preserve">perçue par les </w:t>
      </w:r>
      <w:proofErr w:type="spellStart"/>
      <w:r>
        <w:rPr>
          <w:lang w:val="fr-FR"/>
        </w:rPr>
        <w:t>ONGs</w:t>
      </w:r>
      <w:proofErr w:type="spellEnd"/>
      <w:r>
        <w:rPr>
          <w:lang w:val="fr-FR"/>
        </w:rPr>
        <w:t xml:space="preserve"> impliquées comme étant du ressort de l’UNICEF</w:t>
      </w:r>
      <w:r w:rsidR="007A436E">
        <w:rPr>
          <w:lang w:val="fr-FR"/>
        </w:rPr>
        <w:t>,</w:t>
      </w:r>
      <w:r>
        <w:rPr>
          <w:lang w:val="fr-FR"/>
        </w:rPr>
        <w:t xml:space="preserve"> par ailleurs en charge de réaliser une étude sur les modes de gestion des points dans les trois régions.</w:t>
      </w:r>
      <w:r w:rsidR="007A436E">
        <w:rPr>
          <w:lang w:val="fr-FR"/>
        </w:rPr>
        <w:t xml:space="preserve"> </w:t>
      </w:r>
      <w:r w:rsidR="005D0D05">
        <w:rPr>
          <w:lang w:val="fr-FR"/>
        </w:rPr>
        <w:t>L</w:t>
      </w:r>
      <w:r w:rsidR="007A436E">
        <w:rPr>
          <w:lang w:val="fr-FR"/>
        </w:rPr>
        <w:t xml:space="preserve">es </w:t>
      </w:r>
      <w:proofErr w:type="spellStart"/>
      <w:r w:rsidR="007A436E">
        <w:rPr>
          <w:lang w:val="fr-FR"/>
        </w:rPr>
        <w:t>ONGs</w:t>
      </w:r>
      <w:proofErr w:type="spellEnd"/>
      <w:r w:rsidR="007A436E">
        <w:rPr>
          <w:lang w:val="fr-FR"/>
        </w:rPr>
        <w:t xml:space="preserve"> se sont </w:t>
      </w:r>
      <w:r w:rsidR="00322404">
        <w:rPr>
          <w:lang w:val="fr-FR"/>
        </w:rPr>
        <w:t xml:space="preserve">toutefois </w:t>
      </w:r>
      <w:r w:rsidR="007A436E">
        <w:rPr>
          <w:lang w:val="fr-FR"/>
        </w:rPr>
        <w:t xml:space="preserve">impliquées dans  l’élaboration des </w:t>
      </w:r>
      <w:r>
        <w:rPr>
          <w:lang w:val="fr-FR"/>
        </w:rPr>
        <w:t>termes de référence de ces études</w:t>
      </w:r>
      <w:r w:rsidR="007A436E">
        <w:rPr>
          <w:lang w:val="fr-FR"/>
        </w:rPr>
        <w:t>. L</w:t>
      </w:r>
      <w:r>
        <w:rPr>
          <w:lang w:val="fr-FR"/>
        </w:rPr>
        <w:t xml:space="preserve">es contraintes de déplacements soulignent que ces études présenteront au mieux une monographie des modes de gestion et des contraintes et en aucun une statistique ni un inventaire de ceux-ci. Seuls les </w:t>
      </w:r>
      <w:proofErr w:type="spellStart"/>
      <w:r>
        <w:rPr>
          <w:lang w:val="fr-FR"/>
        </w:rPr>
        <w:t>ONGs</w:t>
      </w:r>
      <w:proofErr w:type="spellEnd"/>
      <w:r>
        <w:rPr>
          <w:lang w:val="fr-FR"/>
        </w:rPr>
        <w:t xml:space="preserve"> présentes dans la zone ont la possibilités de collecter, agréger, compléter puis analyser les données permettant une analyse des coûts et contraintes d’accès et de gestion des services de l’eau en milieu rural propres à ces régions. En ce qui concerne les milieux urbains, cette analyse est plutôt du ressort des directions régionales de l’hydraulique pour peu qu’elles aient les compétences pour les mener à bien.</w:t>
      </w:r>
    </w:p>
    <w:p w:rsidR="001664C0" w:rsidRDefault="00396C02" w:rsidP="00396C02">
      <w:pPr>
        <w:pStyle w:val="Heading2"/>
        <w:rPr>
          <w:lang w:val="fr-FR"/>
        </w:rPr>
      </w:pPr>
      <w:bookmarkStart w:id="14" w:name="_Toc406063890"/>
      <w:r>
        <w:rPr>
          <w:lang w:val="fr-FR"/>
        </w:rPr>
        <w:lastRenderedPageBreak/>
        <w:t>Epidémie : Ebola au Mali</w:t>
      </w:r>
      <w:bookmarkEnd w:id="14"/>
    </w:p>
    <w:p w:rsidR="00B67CC5" w:rsidRDefault="00B67CC5" w:rsidP="002E51B7">
      <w:pPr>
        <w:pStyle w:val="Heading3"/>
      </w:pPr>
      <w:r>
        <w:t xml:space="preserve"> </w:t>
      </w:r>
      <w:bookmarkStart w:id="15" w:name="_Toc406063891"/>
      <w:proofErr w:type="spellStart"/>
      <w:r>
        <w:t>Stratégie</w:t>
      </w:r>
      <w:proofErr w:type="spellEnd"/>
      <w:r>
        <w:t xml:space="preserve"> ECHO</w:t>
      </w:r>
      <w:bookmarkEnd w:id="15"/>
    </w:p>
    <w:tbl>
      <w:tblPr>
        <w:tblW w:w="0" w:type="auto"/>
        <w:tblLook w:val="04A0" w:firstRow="1" w:lastRow="0" w:firstColumn="1" w:lastColumn="0" w:noHBand="0" w:noVBand="1"/>
      </w:tblPr>
      <w:tblGrid>
        <w:gridCol w:w="4479"/>
        <w:gridCol w:w="4806"/>
      </w:tblGrid>
      <w:tr w:rsidR="00C73517" w:rsidRPr="00CD593C" w:rsidTr="00CD593C">
        <w:tc>
          <w:tcPr>
            <w:tcW w:w="4604" w:type="dxa"/>
            <w:shd w:val="clear" w:color="auto" w:fill="auto"/>
          </w:tcPr>
          <w:p w:rsidR="00C73517" w:rsidRPr="00CD593C" w:rsidRDefault="00C73517" w:rsidP="00C73517">
            <w:pPr>
              <w:rPr>
                <w:lang w:val="fr-FR"/>
              </w:rPr>
            </w:pPr>
            <w:r w:rsidRPr="00CD593C">
              <w:rPr>
                <w:lang w:val="fr-FR"/>
              </w:rPr>
              <w:t xml:space="preserve">Outre le dispositif de renforcement de la détection et de l’isolation mis en place par </w:t>
            </w:r>
            <w:proofErr w:type="spellStart"/>
            <w:r w:rsidRPr="00CD593C">
              <w:rPr>
                <w:lang w:val="fr-FR"/>
              </w:rPr>
              <w:t>Alima</w:t>
            </w:r>
            <w:proofErr w:type="spellEnd"/>
            <w:r w:rsidRPr="00CD593C">
              <w:rPr>
                <w:lang w:val="fr-FR"/>
              </w:rPr>
              <w:t xml:space="preserve"> (voir §1.2.3), le Bureau d’ECHO a articulé sa stratégie autour d’un cadre commun réunissant plusieurs ONGs.et centré sur la formation des personnels, médicaux, leur dotation en équipement et consommable leur permettant</w:t>
            </w:r>
            <w:r w:rsidR="005D0D05">
              <w:rPr>
                <w:lang w:val="fr-FR"/>
              </w:rPr>
              <w:t xml:space="preserve"> de diagnostiquer et contenir</w:t>
            </w:r>
            <w:r w:rsidRPr="00CD593C">
              <w:rPr>
                <w:lang w:val="fr-FR"/>
              </w:rPr>
              <w:t xml:space="preserve"> les cas suspects avant leur référencement vers des structures plus appropriées. Les </w:t>
            </w:r>
            <w:proofErr w:type="spellStart"/>
            <w:r w:rsidRPr="00CD593C">
              <w:rPr>
                <w:lang w:val="fr-FR"/>
              </w:rPr>
              <w:t>ONGs</w:t>
            </w:r>
            <w:proofErr w:type="spellEnd"/>
            <w:r w:rsidRPr="00CD593C">
              <w:rPr>
                <w:lang w:val="fr-FR"/>
              </w:rPr>
              <w:t xml:space="preserve"> impliquées (voir carte et tableau ci-dessous) ont soit déposé un</w:t>
            </w:r>
            <w:r w:rsidR="005D0D05">
              <w:rPr>
                <w:lang w:val="fr-FR"/>
              </w:rPr>
              <w:t>e requête</w:t>
            </w:r>
            <w:r w:rsidRPr="00CD593C">
              <w:rPr>
                <w:lang w:val="fr-FR"/>
              </w:rPr>
              <w:t xml:space="preserve"> ou sont en cours de fin</w:t>
            </w:r>
            <w:r w:rsidR="005D0D05">
              <w:rPr>
                <w:lang w:val="fr-FR"/>
              </w:rPr>
              <w:t>a</w:t>
            </w:r>
            <w:r w:rsidRPr="00CD593C">
              <w:rPr>
                <w:lang w:val="fr-FR"/>
              </w:rPr>
              <w:t>lisation avant soumission</w:t>
            </w:r>
          </w:p>
          <w:p w:rsidR="00C73517" w:rsidRPr="00CD593C" w:rsidRDefault="00C73517" w:rsidP="00427C55">
            <w:pPr>
              <w:jc w:val="right"/>
              <w:rPr>
                <w:i/>
                <w:sz w:val="18"/>
                <w:lang w:val="fr-FR"/>
              </w:rPr>
            </w:pPr>
            <w:r w:rsidRPr="00CD593C">
              <w:rPr>
                <w:i/>
                <w:sz w:val="18"/>
                <w:lang w:val="fr-FR"/>
              </w:rPr>
              <w:t>Ci-contre</w:t>
            </w:r>
            <w:r w:rsidR="00427C55">
              <w:rPr>
                <w:i/>
                <w:sz w:val="18"/>
                <w:lang w:val="fr-FR"/>
              </w:rPr>
              <w:t xml:space="preserve"> et ci-dessous</w:t>
            </w:r>
            <w:r w:rsidRPr="00CD593C">
              <w:rPr>
                <w:i/>
                <w:sz w:val="18"/>
                <w:lang w:val="fr-FR"/>
              </w:rPr>
              <w:t xml:space="preserve"> : </w:t>
            </w:r>
            <w:r w:rsidR="00423A91">
              <w:rPr>
                <w:i/>
                <w:sz w:val="18"/>
                <w:lang w:val="fr-FR"/>
              </w:rPr>
              <w:t>A</w:t>
            </w:r>
            <w:r w:rsidRPr="00CD593C">
              <w:rPr>
                <w:i/>
                <w:sz w:val="18"/>
                <w:lang w:val="fr-FR"/>
              </w:rPr>
              <w:t xml:space="preserve">ires d’intervention des </w:t>
            </w:r>
            <w:proofErr w:type="spellStart"/>
            <w:r w:rsidRPr="00CD593C">
              <w:rPr>
                <w:i/>
                <w:sz w:val="18"/>
                <w:lang w:val="fr-FR"/>
              </w:rPr>
              <w:t>ONGs</w:t>
            </w:r>
            <w:proofErr w:type="spellEnd"/>
            <w:r w:rsidRPr="00CD593C">
              <w:rPr>
                <w:i/>
                <w:sz w:val="18"/>
                <w:lang w:val="fr-FR"/>
              </w:rPr>
              <w:t xml:space="preserve"> du cadre commun de formation et suivi des structures de santé à Bamako</w:t>
            </w:r>
            <w:r w:rsidR="00423A91">
              <w:rPr>
                <w:i/>
                <w:sz w:val="18"/>
                <w:lang w:val="fr-FR"/>
              </w:rPr>
              <w:t xml:space="preserve"> </w:t>
            </w:r>
            <w:r w:rsidR="00427C55">
              <w:rPr>
                <w:i/>
                <w:sz w:val="18"/>
                <w:lang w:val="fr-FR"/>
              </w:rPr>
              <w:t xml:space="preserve">et aux frontières </w:t>
            </w:r>
            <w:r w:rsidR="00423A91">
              <w:rPr>
                <w:i/>
                <w:sz w:val="18"/>
                <w:lang w:val="fr-FR"/>
              </w:rPr>
              <w:t>(document</w:t>
            </w:r>
            <w:r w:rsidR="00427C55">
              <w:rPr>
                <w:i/>
                <w:sz w:val="18"/>
                <w:lang w:val="fr-FR"/>
              </w:rPr>
              <w:t>s</w:t>
            </w:r>
            <w:r w:rsidR="00423A91">
              <w:rPr>
                <w:i/>
                <w:sz w:val="18"/>
                <w:lang w:val="fr-FR"/>
              </w:rPr>
              <w:t xml:space="preserve"> provisoire</w:t>
            </w:r>
            <w:r w:rsidR="00427C55">
              <w:rPr>
                <w:i/>
                <w:sz w:val="18"/>
                <w:lang w:val="fr-FR"/>
              </w:rPr>
              <w:t>s</w:t>
            </w:r>
            <w:r w:rsidR="00423A91">
              <w:rPr>
                <w:i/>
                <w:sz w:val="18"/>
                <w:lang w:val="fr-FR"/>
              </w:rPr>
              <w:t>)</w:t>
            </w:r>
            <w:r w:rsidR="009C4F2F">
              <w:rPr>
                <w:i/>
                <w:sz w:val="18"/>
                <w:lang w:val="fr-FR"/>
              </w:rPr>
              <w:t xml:space="preserve"> </w:t>
            </w:r>
          </w:p>
        </w:tc>
        <w:tc>
          <w:tcPr>
            <w:tcW w:w="4605" w:type="dxa"/>
            <w:shd w:val="clear" w:color="auto" w:fill="auto"/>
          </w:tcPr>
          <w:p w:rsidR="00C73517" w:rsidRPr="00CD593C" w:rsidRDefault="00924409" w:rsidP="00B67CC5">
            <w:pPr>
              <w:rPr>
                <w:lang w:val="fr-FR"/>
              </w:rPr>
            </w:pPr>
            <w:r>
              <w:rPr>
                <w:noProof/>
                <w:lang w:val="fr-FR"/>
              </w:rPr>
              <w:drawing>
                <wp:inline distT="0" distB="0" distL="0" distR="0">
                  <wp:extent cx="2911475" cy="2815590"/>
                  <wp:effectExtent l="0" t="0" r="317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11475" cy="2815590"/>
                          </a:xfrm>
                          <a:prstGeom prst="rect">
                            <a:avLst/>
                          </a:prstGeom>
                          <a:noFill/>
                          <a:ln>
                            <a:noFill/>
                          </a:ln>
                        </pic:spPr>
                      </pic:pic>
                    </a:graphicData>
                  </a:graphic>
                </wp:inline>
              </w:drawing>
            </w:r>
          </w:p>
        </w:tc>
      </w:tr>
    </w:tbl>
    <w:p w:rsidR="00C73517" w:rsidRDefault="00924409" w:rsidP="002E51B7">
      <w:pPr>
        <w:jc w:val="center"/>
        <w:rPr>
          <w:lang w:val="fr-FR"/>
        </w:rPr>
      </w:pPr>
      <w:r>
        <w:rPr>
          <w:noProof/>
          <w:lang w:val="fr-FR"/>
        </w:rPr>
        <w:drawing>
          <wp:inline distT="0" distB="0" distL="0" distR="0">
            <wp:extent cx="5775325" cy="34410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5325" cy="3441065"/>
                    </a:xfrm>
                    <a:prstGeom prst="rect">
                      <a:avLst/>
                    </a:prstGeom>
                    <a:noFill/>
                    <a:ln>
                      <a:noFill/>
                    </a:ln>
                  </pic:spPr>
                </pic:pic>
              </a:graphicData>
            </a:graphic>
          </wp:inline>
        </w:drawing>
      </w:r>
    </w:p>
    <w:p w:rsidR="002E51B7" w:rsidRDefault="002E51B7" w:rsidP="002E51B7">
      <w:pPr>
        <w:jc w:val="center"/>
        <w:rPr>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337"/>
        <w:gridCol w:w="2093"/>
        <w:gridCol w:w="1346"/>
        <w:gridCol w:w="777"/>
        <w:gridCol w:w="1159"/>
      </w:tblGrid>
      <w:tr w:rsidR="00C73517" w:rsidRPr="00CD593C" w:rsidTr="00CD593C">
        <w:trPr>
          <w:jc w:val="center"/>
        </w:trPr>
        <w:tc>
          <w:tcPr>
            <w:tcW w:w="848" w:type="dxa"/>
            <w:shd w:val="clear" w:color="auto" w:fill="auto"/>
          </w:tcPr>
          <w:p w:rsidR="00C73517" w:rsidRPr="00CD593C" w:rsidRDefault="00C73517" w:rsidP="00B67CC5">
            <w:pPr>
              <w:rPr>
                <w:sz w:val="16"/>
                <w:szCs w:val="16"/>
                <w:lang w:val="fr-FR"/>
              </w:rPr>
            </w:pPr>
            <w:proofErr w:type="spellStart"/>
            <w:r w:rsidRPr="00CD593C">
              <w:rPr>
                <w:sz w:val="16"/>
                <w:szCs w:val="16"/>
                <w:lang w:val="fr-FR"/>
              </w:rPr>
              <w:t>ONGs</w:t>
            </w:r>
            <w:proofErr w:type="spellEnd"/>
          </w:p>
        </w:tc>
        <w:tc>
          <w:tcPr>
            <w:tcW w:w="1337" w:type="dxa"/>
            <w:shd w:val="clear" w:color="auto" w:fill="auto"/>
          </w:tcPr>
          <w:p w:rsidR="00C73517" w:rsidRPr="00CD593C" w:rsidRDefault="00C73517" w:rsidP="00B67CC5">
            <w:pPr>
              <w:rPr>
                <w:sz w:val="16"/>
                <w:szCs w:val="16"/>
                <w:lang w:val="fr-FR"/>
              </w:rPr>
            </w:pPr>
            <w:r w:rsidRPr="00CD593C">
              <w:rPr>
                <w:sz w:val="16"/>
                <w:szCs w:val="16"/>
                <w:lang w:val="fr-FR"/>
              </w:rPr>
              <w:t>Secteur</w:t>
            </w:r>
          </w:p>
        </w:tc>
        <w:tc>
          <w:tcPr>
            <w:tcW w:w="2093" w:type="dxa"/>
            <w:shd w:val="clear" w:color="auto" w:fill="auto"/>
          </w:tcPr>
          <w:p w:rsidR="00C73517" w:rsidRPr="00CD593C" w:rsidRDefault="00C73517" w:rsidP="00B67CC5">
            <w:pPr>
              <w:rPr>
                <w:sz w:val="16"/>
                <w:szCs w:val="16"/>
                <w:lang w:val="fr-FR"/>
              </w:rPr>
            </w:pPr>
            <w:r w:rsidRPr="00CD593C">
              <w:rPr>
                <w:sz w:val="16"/>
                <w:szCs w:val="16"/>
                <w:lang w:val="fr-FR"/>
              </w:rPr>
              <w:t>Zones ciblées</w:t>
            </w:r>
          </w:p>
        </w:tc>
        <w:tc>
          <w:tcPr>
            <w:tcW w:w="1346" w:type="dxa"/>
            <w:shd w:val="clear" w:color="auto" w:fill="auto"/>
          </w:tcPr>
          <w:p w:rsidR="00C73517" w:rsidRPr="00CD593C" w:rsidRDefault="00C73517" w:rsidP="00B67CC5">
            <w:pPr>
              <w:rPr>
                <w:sz w:val="16"/>
                <w:szCs w:val="16"/>
                <w:lang w:val="fr-FR"/>
              </w:rPr>
            </w:pPr>
            <w:r w:rsidRPr="00CD593C">
              <w:rPr>
                <w:sz w:val="16"/>
                <w:szCs w:val="16"/>
                <w:lang w:val="fr-FR"/>
              </w:rPr>
              <w:t>Montant (en €)</w:t>
            </w:r>
          </w:p>
        </w:tc>
        <w:tc>
          <w:tcPr>
            <w:tcW w:w="777" w:type="dxa"/>
            <w:shd w:val="clear" w:color="auto" w:fill="auto"/>
          </w:tcPr>
          <w:p w:rsidR="00C73517" w:rsidRPr="00CD593C" w:rsidRDefault="00C73517" w:rsidP="00B67CC5">
            <w:pPr>
              <w:rPr>
                <w:sz w:val="16"/>
                <w:szCs w:val="16"/>
                <w:lang w:val="fr-FR"/>
              </w:rPr>
            </w:pPr>
            <w:r w:rsidRPr="00CD593C">
              <w:rPr>
                <w:sz w:val="16"/>
                <w:szCs w:val="16"/>
                <w:lang w:val="fr-FR"/>
              </w:rPr>
              <w:t>Durée</w:t>
            </w:r>
          </w:p>
        </w:tc>
        <w:tc>
          <w:tcPr>
            <w:tcW w:w="1159" w:type="dxa"/>
            <w:shd w:val="clear" w:color="auto" w:fill="auto"/>
          </w:tcPr>
          <w:p w:rsidR="00C73517" w:rsidRPr="00CD593C" w:rsidRDefault="00C73517" w:rsidP="00B67CC5">
            <w:pPr>
              <w:rPr>
                <w:sz w:val="16"/>
                <w:szCs w:val="16"/>
                <w:lang w:val="fr-FR"/>
              </w:rPr>
            </w:pPr>
            <w:r w:rsidRPr="00CD593C">
              <w:rPr>
                <w:sz w:val="16"/>
                <w:szCs w:val="16"/>
                <w:lang w:val="fr-FR"/>
              </w:rPr>
              <w:t>Début</w:t>
            </w:r>
          </w:p>
        </w:tc>
      </w:tr>
      <w:tr w:rsidR="00C73517" w:rsidRPr="00CD593C" w:rsidTr="00CD593C">
        <w:trPr>
          <w:jc w:val="center"/>
        </w:trPr>
        <w:tc>
          <w:tcPr>
            <w:tcW w:w="848" w:type="dxa"/>
            <w:shd w:val="clear" w:color="auto" w:fill="auto"/>
          </w:tcPr>
          <w:p w:rsidR="00C73517" w:rsidRPr="00CD593C" w:rsidRDefault="00C73517" w:rsidP="00B67CC5">
            <w:pPr>
              <w:rPr>
                <w:sz w:val="16"/>
                <w:szCs w:val="16"/>
                <w:lang w:val="fr-FR"/>
              </w:rPr>
            </w:pPr>
            <w:r w:rsidRPr="00CD593C">
              <w:rPr>
                <w:sz w:val="16"/>
                <w:szCs w:val="16"/>
                <w:lang w:val="fr-FR"/>
              </w:rPr>
              <w:t>FRC</w:t>
            </w:r>
          </w:p>
        </w:tc>
        <w:tc>
          <w:tcPr>
            <w:tcW w:w="1337" w:type="dxa"/>
            <w:shd w:val="clear" w:color="auto" w:fill="auto"/>
          </w:tcPr>
          <w:p w:rsidR="00C73517" w:rsidRPr="00CD593C" w:rsidRDefault="00C73517" w:rsidP="00B67CC5">
            <w:pPr>
              <w:rPr>
                <w:sz w:val="16"/>
                <w:szCs w:val="16"/>
                <w:lang w:val="fr-FR"/>
              </w:rPr>
            </w:pPr>
            <w:r w:rsidRPr="00CD593C">
              <w:rPr>
                <w:sz w:val="16"/>
                <w:szCs w:val="16"/>
                <w:lang w:val="fr-FR"/>
              </w:rPr>
              <w:t xml:space="preserve">Santé, WASH </w:t>
            </w:r>
          </w:p>
        </w:tc>
        <w:tc>
          <w:tcPr>
            <w:tcW w:w="2093" w:type="dxa"/>
            <w:shd w:val="clear" w:color="auto" w:fill="auto"/>
          </w:tcPr>
          <w:p w:rsidR="00C73517" w:rsidRPr="00CD593C" w:rsidRDefault="00C73517" w:rsidP="00CD593C">
            <w:pPr>
              <w:tabs>
                <w:tab w:val="left" w:pos="1345"/>
              </w:tabs>
              <w:rPr>
                <w:sz w:val="16"/>
                <w:szCs w:val="16"/>
                <w:lang w:val="fr-FR"/>
              </w:rPr>
            </w:pPr>
            <w:r w:rsidRPr="00CD593C">
              <w:rPr>
                <w:sz w:val="16"/>
                <w:szCs w:val="16"/>
                <w:lang w:val="fr-FR"/>
              </w:rPr>
              <w:t xml:space="preserve">Bamako, Kayes </w:t>
            </w:r>
          </w:p>
        </w:tc>
        <w:tc>
          <w:tcPr>
            <w:tcW w:w="1346" w:type="dxa"/>
            <w:shd w:val="clear" w:color="auto" w:fill="auto"/>
          </w:tcPr>
          <w:p w:rsidR="00C73517" w:rsidRPr="00CD593C" w:rsidRDefault="00C73517" w:rsidP="00B67CC5">
            <w:pPr>
              <w:rPr>
                <w:sz w:val="16"/>
                <w:szCs w:val="16"/>
                <w:lang w:val="fr-FR"/>
              </w:rPr>
            </w:pPr>
            <w:r w:rsidRPr="00CD593C">
              <w:rPr>
                <w:sz w:val="16"/>
                <w:szCs w:val="16"/>
                <w:lang w:val="fr-FR"/>
              </w:rPr>
              <w:t>250 000</w:t>
            </w:r>
          </w:p>
        </w:tc>
        <w:tc>
          <w:tcPr>
            <w:tcW w:w="777" w:type="dxa"/>
            <w:shd w:val="clear" w:color="auto" w:fill="auto"/>
          </w:tcPr>
          <w:p w:rsidR="00C73517" w:rsidRPr="00CD593C" w:rsidRDefault="00C73517" w:rsidP="00B67CC5">
            <w:pPr>
              <w:rPr>
                <w:sz w:val="16"/>
                <w:szCs w:val="16"/>
                <w:lang w:val="fr-FR"/>
              </w:rPr>
            </w:pPr>
            <w:r w:rsidRPr="00CD593C">
              <w:rPr>
                <w:sz w:val="16"/>
                <w:szCs w:val="16"/>
                <w:lang w:val="fr-FR"/>
              </w:rPr>
              <w:t>6 mois</w:t>
            </w:r>
          </w:p>
        </w:tc>
        <w:tc>
          <w:tcPr>
            <w:tcW w:w="1159" w:type="dxa"/>
            <w:shd w:val="clear" w:color="auto" w:fill="auto"/>
          </w:tcPr>
          <w:p w:rsidR="00C73517" w:rsidRPr="00CD593C" w:rsidRDefault="00C73517" w:rsidP="00B67CC5">
            <w:pPr>
              <w:rPr>
                <w:sz w:val="16"/>
                <w:szCs w:val="16"/>
                <w:lang w:val="fr-FR"/>
              </w:rPr>
            </w:pPr>
            <w:proofErr w:type="spellStart"/>
            <w:r w:rsidRPr="00CD593C">
              <w:rPr>
                <w:sz w:val="16"/>
                <w:szCs w:val="16"/>
                <w:lang w:val="fr-FR"/>
              </w:rPr>
              <w:t>Dec</w:t>
            </w:r>
            <w:proofErr w:type="spellEnd"/>
            <w:r w:rsidRPr="00CD593C">
              <w:rPr>
                <w:sz w:val="16"/>
                <w:szCs w:val="16"/>
                <w:lang w:val="fr-FR"/>
              </w:rPr>
              <w:t>-Janvier</w:t>
            </w:r>
          </w:p>
        </w:tc>
      </w:tr>
      <w:tr w:rsidR="00C73517" w:rsidRPr="00CD593C" w:rsidTr="00CD593C">
        <w:trPr>
          <w:jc w:val="center"/>
        </w:trPr>
        <w:tc>
          <w:tcPr>
            <w:tcW w:w="848" w:type="dxa"/>
            <w:shd w:val="clear" w:color="auto" w:fill="auto"/>
          </w:tcPr>
          <w:p w:rsidR="00C73517" w:rsidRPr="00CD593C" w:rsidRDefault="00C73517" w:rsidP="00B67CC5">
            <w:pPr>
              <w:rPr>
                <w:sz w:val="16"/>
                <w:szCs w:val="16"/>
                <w:lang w:val="fr-FR"/>
              </w:rPr>
            </w:pPr>
            <w:r w:rsidRPr="00CD593C">
              <w:rPr>
                <w:sz w:val="16"/>
                <w:szCs w:val="16"/>
                <w:lang w:val="fr-FR"/>
              </w:rPr>
              <w:t>ACF</w:t>
            </w:r>
          </w:p>
        </w:tc>
        <w:tc>
          <w:tcPr>
            <w:tcW w:w="1337" w:type="dxa"/>
            <w:shd w:val="clear" w:color="auto" w:fill="auto"/>
          </w:tcPr>
          <w:p w:rsidR="00C73517" w:rsidRPr="00CD593C" w:rsidRDefault="00C73517" w:rsidP="00B67CC5">
            <w:pPr>
              <w:rPr>
                <w:sz w:val="16"/>
                <w:szCs w:val="16"/>
                <w:lang w:val="fr-FR"/>
              </w:rPr>
            </w:pPr>
            <w:r w:rsidRPr="00CD593C">
              <w:rPr>
                <w:sz w:val="16"/>
                <w:szCs w:val="16"/>
                <w:lang w:val="fr-FR"/>
              </w:rPr>
              <w:t>Santé, WASH</w:t>
            </w:r>
          </w:p>
        </w:tc>
        <w:tc>
          <w:tcPr>
            <w:tcW w:w="2093" w:type="dxa"/>
            <w:shd w:val="clear" w:color="auto" w:fill="auto"/>
          </w:tcPr>
          <w:p w:rsidR="00C73517" w:rsidRPr="00CD593C" w:rsidRDefault="00C73517" w:rsidP="00B67CC5">
            <w:pPr>
              <w:rPr>
                <w:sz w:val="16"/>
                <w:szCs w:val="16"/>
                <w:lang w:val="fr-FR"/>
              </w:rPr>
            </w:pPr>
            <w:r w:rsidRPr="00CD593C">
              <w:rPr>
                <w:sz w:val="16"/>
                <w:szCs w:val="16"/>
                <w:lang w:val="fr-FR"/>
              </w:rPr>
              <w:t>Bamako, Kita, Banamba*</w:t>
            </w:r>
          </w:p>
        </w:tc>
        <w:tc>
          <w:tcPr>
            <w:tcW w:w="1346" w:type="dxa"/>
            <w:shd w:val="clear" w:color="auto" w:fill="auto"/>
          </w:tcPr>
          <w:p w:rsidR="00C73517" w:rsidRPr="00CD593C" w:rsidRDefault="00C73517" w:rsidP="00B67CC5">
            <w:pPr>
              <w:rPr>
                <w:sz w:val="16"/>
                <w:szCs w:val="16"/>
                <w:lang w:val="fr-FR"/>
              </w:rPr>
            </w:pPr>
            <w:r w:rsidRPr="00CD593C">
              <w:rPr>
                <w:sz w:val="16"/>
                <w:szCs w:val="16"/>
                <w:lang w:val="fr-FR"/>
              </w:rPr>
              <w:t>800 000</w:t>
            </w:r>
          </w:p>
        </w:tc>
        <w:tc>
          <w:tcPr>
            <w:tcW w:w="777" w:type="dxa"/>
            <w:shd w:val="clear" w:color="auto" w:fill="auto"/>
          </w:tcPr>
          <w:p w:rsidR="00C73517" w:rsidRPr="00CD593C" w:rsidRDefault="00C73517" w:rsidP="00B67CC5">
            <w:pPr>
              <w:rPr>
                <w:sz w:val="16"/>
                <w:szCs w:val="16"/>
                <w:lang w:val="fr-FR"/>
              </w:rPr>
            </w:pPr>
            <w:r w:rsidRPr="00CD593C">
              <w:rPr>
                <w:sz w:val="16"/>
                <w:szCs w:val="16"/>
                <w:lang w:val="fr-FR"/>
              </w:rPr>
              <w:t>6 mois</w:t>
            </w:r>
          </w:p>
        </w:tc>
        <w:tc>
          <w:tcPr>
            <w:tcW w:w="1159" w:type="dxa"/>
            <w:shd w:val="clear" w:color="auto" w:fill="auto"/>
          </w:tcPr>
          <w:p w:rsidR="00C73517" w:rsidRPr="00CD593C" w:rsidRDefault="00C73517" w:rsidP="00B67CC5">
            <w:pPr>
              <w:rPr>
                <w:sz w:val="16"/>
                <w:szCs w:val="16"/>
                <w:lang w:val="fr-FR"/>
              </w:rPr>
            </w:pPr>
            <w:proofErr w:type="spellStart"/>
            <w:r w:rsidRPr="00CD593C">
              <w:rPr>
                <w:sz w:val="16"/>
                <w:szCs w:val="16"/>
                <w:lang w:val="fr-FR"/>
              </w:rPr>
              <w:t>Dec</w:t>
            </w:r>
            <w:proofErr w:type="spellEnd"/>
            <w:r w:rsidRPr="00CD593C">
              <w:rPr>
                <w:sz w:val="16"/>
                <w:szCs w:val="16"/>
                <w:lang w:val="fr-FR"/>
              </w:rPr>
              <w:t>-Janvier</w:t>
            </w:r>
          </w:p>
        </w:tc>
      </w:tr>
      <w:tr w:rsidR="00C73517" w:rsidRPr="00CD593C" w:rsidTr="00CD593C">
        <w:trPr>
          <w:jc w:val="center"/>
        </w:trPr>
        <w:tc>
          <w:tcPr>
            <w:tcW w:w="848" w:type="dxa"/>
            <w:shd w:val="clear" w:color="auto" w:fill="auto"/>
          </w:tcPr>
          <w:p w:rsidR="00C73517" w:rsidRPr="00CD593C" w:rsidRDefault="00C73517" w:rsidP="00B67CC5">
            <w:pPr>
              <w:rPr>
                <w:sz w:val="16"/>
                <w:szCs w:val="16"/>
                <w:lang w:val="fr-FR"/>
              </w:rPr>
            </w:pPr>
            <w:r w:rsidRPr="00CD593C">
              <w:rPr>
                <w:sz w:val="16"/>
                <w:szCs w:val="16"/>
                <w:lang w:val="fr-FR"/>
              </w:rPr>
              <w:t>ACTED</w:t>
            </w:r>
          </w:p>
        </w:tc>
        <w:tc>
          <w:tcPr>
            <w:tcW w:w="1337" w:type="dxa"/>
            <w:shd w:val="clear" w:color="auto" w:fill="auto"/>
          </w:tcPr>
          <w:p w:rsidR="00C73517" w:rsidRPr="00CD593C" w:rsidRDefault="00C73517" w:rsidP="00B67CC5">
            <w:pPr>
              <w:rPr>
                <w:sz w:val="16"/>
                <w:szCs w:val="16"/>
                <w:lang w:val="fr-FR"/>
              </w:rPr>
            </w:pPr>
            <w:r w:rsidRPr="00CD593C">
              <w:rPr>
                <w:sz w:val="16"/>
                <w:szCs w:val="16"/>
                <w:lang w:val="fr-FR"/>
              </w:rPr>
              <w:t>Santé, WASH</w:t>
            </w:r>
          </w:p>
        </w:tc>
        <w:tc>
          <w:tcPr>
            <w:tcW w:w="2093" w:type="dxa"/>
            <w:shd w:val="clear" w:color="auto" w:fill="auto"/>
          </w:tcPr>
          <w:p w:rsidR="00C73517" w:rsidRPr="00CD593C" w:rsidRDefault="00C73517" w:rsidP="00B67CC5">
            <w:pPr>
              <w:rPr>
                <w:sz w:val="16"/>
                <w:szCs w:val="16"/>
                <w:lang w:val="fr-FR"/>
              </w:rPr>
            </w:pPr>
            <w:r w:rsidRPr="00CD593C">
              <w:rPr>
                <w:sz w:val="16"/>
                <w:szCs w:val="16"/>
                <w:lang w:val="fr-FR"/>
              </w:rPr>
              <w:t>Bamako</w:t>
            </w:r>
          </w:p>
        </w:tc>
        <w:tc>
          <w:tcPr>
            <w:tcW w:w="1346" w:type="dxa"/>
            <w:shd w:val="clear" w:color="auto" w:fill="auto"/>
          </w:tcPr>
          <w:p w:rsidR="00C73517" w:rsidRPr="00CD593C" w:rsidRDefault="00C73517" w:rsidP="00B67CC5">
            <w:pPr>
              <w:rPr>
                <w:sz w:val="16"/>
                <w:szCs w:val="16"/>
                <w:lang w:val="fr-FR"/>
              </w:rPr>
            </w:pPr>
            <w:r w:rsidRPr="00CD593C">
              <w:rPr>
                <w:sz w:val="16"/>
                <w:szCs w:val="16"/>
                <w:lang w:val="fr-FR"/>
              </w:rPr>
              <w:t>200 000</w:t>
            </w:r>
          </w:p>
        </w:tc>
        <w:tc>
          <w:tcPr>
            <w:tcW w:w="777" w:type="dxa"/>
            <w:shd w:val="clear" w:color="auto" w:fill="auto"/>
          </w:tcPr>
          <w:p w:rsidR="00C73517" w:rsidRPr="00CD593C" w:rsidRDefault="00C73517" w:rsidP="00B67CC5">
            <w:pPr>
              <w:rPr>
                <w:sz w:val="16"/>
                <w:szCs w:val="16"/>
                <w:lang w:val="fr-FR"/>
              </w:rPr>
            </w:pPr>
            <w:r w:rsidRPr="00CD593C">
              <w:rPr>
                <w:sz w:val="16"/>
                <w:szCs w:val="16"/>
                <w:lang w:val="fr-FR"/>
              </w:rPr>
              <w:t>6 mois</w:t>
            </w:r>
          </w:p>
        </w:tc>
        <w:tc>
          <w:tcPr>
            <w:tcW w:w="1159" w:type="dxa"/>
            <w:shd w:val="clear" w:color="auto" w:fill="auto"/>
          </w:tcPr>
          <w:p w:rsidR="00C73517" w:rsidRPr="00CD593C" w:rsidRDefault="00C73517" w:rsidP="00B67CC5">
            <w:pPr>
              <w:rPr>
                <w:sz w:val="16"/>
                <w:szCs w:val="16"/>
                <w:lang w:val="fr-FR"/>
              </w:rPr>
            </w:pPr>
            <w:proofErr w:type="spellStart"/>
            <w:r w:rsidRPr="00CD593C">
              <w:rPr>
                <w:sz w:val="16"/>
                <w:szCs w:val="16"/>
                <w:lang w:val="fr-FR"/>
              </w:rPr>
              <w:t>Dec</w:t>
            </w:r>
            <w:proofErr w:type="spellEnd"/>
            <w:r w:rsidRPr="00CD593C">
              <w:rPr>
                <w:sz w:val="16"/>
                <w:szCs w:val="16"/>
                <w:lang w:val="fr-FR"/>
              </w:rPr>
              <w:t xml:space="preserve"> Janvier</w:t>
            </w:r>
          </w:p>
        </w:tc>
      </w:tr>
      <w:tr w:rsidR="00C73517" w:rsidRPr="00CD593C" w:rsidTr="00CD593C">
        <w:trPr>
          <w:jc w:val="center"/>
        </w:trPr>
        <w:tc>
          <w:tcPr>
            <w:tcW w:w="848" w:type="dxa"/>
            <w:shd w:val="clear" w:color="auto" w:fill="auto"/>
          </w:tcPr>
          <w:p w:rsidR="00C73517" w:rsidRPr="00CD593C" w:rsidRDefault="00C73517" w:rsidP="00CD593C">
            <w:pPr>
              <w:rPr>
                <w:sz w:val="16"/>
                <w:szCs w:val="16"/>
                <w:lang w:val="fr-FR"/>
              </w:rPr>
            </w:pPr>
            <w:r w:rsidRPr="00CD593C">
              <w:rPr>
                <w:sz w:val="16"/>
                <w:szCs w:val="16"/>
                <w:lang w:val="fr-FR"/>
              </w:rPr>
              <w:t>IRC</w:t>
            </w:r>
          </w:p>
        </w:tc>
        <w:tc>
          <w:tcPr>
            <w:tcW w:w="1337" w:type="dxa"/>
            <w:shd w:val="clear" w:color="auto" w:fill="auto"/>
          </w:tcPr>
          <w:p w:rsidR="00C73517" w:rsidRPr="00CD593C" w:rsidRDefault="00C73517" w:rsidP="00CD593C">
            <w:pPr>
              <w:rPr>
                <w:sz w:val="16"/>
                <w:szCs w:val="16"/>
                <w:lang w:val="fr-FR"/>
              </w:rPr>
            </w:pPr>
            <w:r w:rsidRPr="00CD593C">
              <w:rPr>
                <w:sz w:val="16"/>
                <w:szCs w:val="16"/>
                <w:lang w:val="fr-FR"/>
              </w:rPr>
              <w:t>Santé, WASH</w:t>
            </w:r>
          </w:p>
        </w:tc>
        <w:tc>
          <w:tcPr>
            <w:tcW w:w="2093" w:type="dxa"/>
            <w:shd w:val="clear" w:color="auto" w:fill="auto"/>
          </w:tcPr>
          <w:p w:rsidR="00C73517" w:rsidRPr="00CD593C" w:rsidRDefault="00C73517" w:rsidP="00CD593C">
            <w:pPr>
              <w:rPr>
                <w:sz w:val="16"/>
                <w:szCs w:val="16"/>
                <w:lang w:val="fr-FR"/>
              </w:rPr>
            </w:pPr>
            <w:r w:rsidRPr="00CD593C">
              <w:rPr>
                <w:sz w:val="16"/>
                <w:szCs w:val="16"/>
                <w:lang w:val="fr-FR"/>
              </w:rPr>
              <w:t xml:space="preserve">Kati, </w:t>
            </w:r>
            <w:proofErr w:type="spellStart"/>
            <w:r w:rsidRPr="00CD593C">
              <w:rPr>
                <w:sz w:val="16"/>
                <w:szCs w:val="16"/>
                <w:lang w:val="fr-FR"/>
              </w:rPr>
              <w:t>Kalabankoro</w:t>
            </w:r>
            <w:proofErr w:type="spellEnd"/>
          </w:p>
        </w:tc>
        <w:tc>
          <w:tcPr>
            <w:tcW w:w="1346" w:type="dxa"/>
            <w:shd w:val="clear" w:color="auto" w:fill="auto"/>
          </w:tcPr>
          <w:p w:rsidR="00C73517" w:rsidRPr="00CD593C" w:rsidRDefault="00C73517" w:rsidP="00CD593C">
            <w:pPr>
              <w:rPr>
                <w:sz w:val="16"/>
                <w:szCs w:val="16"/>
                <w:lang w:val="fr-FR"/>
              </w:rPr>
            </w:pPr>
            <w:r w:rsidRPr="00CD593C">
              <w:rPr>
                <w:sz w:val="16"/>
                <w:szCs w:val="16"/>
                <w:lang w:val="fr-FR"/>
              </w:rPr>
              <w:t>600 000</w:t>
            </w:r>
          </w:p>
        </w:tc>
        <w:tc>
          <w:tcPr>
            <w:tcW w:w="777" w:type="dxa"/>
            <w:shd w:val="clear" w:color="auto" w:fill="auto"/>
          </w:tcPr>
          <w:p w:rsidR="00C73517" w:rsidRPr="00CD593C" w:rsidRDefault="00C73517" w:rsidP="00CD593C">
            <w:pPr>
              <w:rPr>
                <w:sz w:val="16"/>
                <w:szCs w:val="16"/>
                <w:lang w:val="fr-FR"/>
              </w:rPr>
            </w:pPr>
            <w:r w:rsidRPr="00CD593C">
              <w:rPr>
                <w:sz w:val="16"/>
                <w:szCs w:val="16"/>
                <w:lang w:val="fr-FR"/>
              </w:rPr>
              <w:t>6 mois</w:t>
            </w:r>
          </w:p>
        </w:tc>
        <w:tc>
          <w:tcPr>
            <w:tcW w:w="1159" w:type="dxa"/>
            <w:shd w:val="clear" w:color="auto" w:fill="auto"/>
          </w:tcPr>
          <w:p w:rsidR="00C73517" w:rsidRPr="00CD593C" w:rsidRDefault="00C73517" w:rsidP="00CD593C">
            <w:pPr>
              <w:rPr>
                <w:sz w:val="16"/>
                <w:szCs w:val="16"/>
                <w:lang w:val="fr-FR"/>
              </w:rPr>
            </w:pPr>
            <w:proofErr w:type="spellStart"/>
            <w:r w:rsidRPr="00CD593C">
              <w:rPr>
                <w:sz w:val="16"/>
                <w:szCs w:val="16"/>
                <w:lang w:val="fr-FR"/>
              </w:rPr>
              <w:t>Dec</w:t>
            </w:r>
            <w:proofErr w:type="spellEnd"/>
            <w:r w:rsidRPr="00CD593C">
              <w:rPr>
                <w:sz w:val="16"/>
                <w:szCs w:val="16"/>
                <w:lang w:val="fr-FR"/>
              </w:rPr>
              <w:t>-Janvier</w:t>
            </w:r>
          </w:p>
        </w:tc>
      </w:tr>
    </w:tbl>
    <w:p w:rsidR="00C73517" w:rsidRPr="002E51B7" w:rsidRDefault="002E51B7" w:rsidP="002E51B7">
      <w:pPr>
        <w:jc w:val="center"/>
        <w:rPr>
          <w:i/>
          <w:sz w:val="16"/>
          <w:lang w:val="fr-FR"/>
        </w:rPr>
      </w:pPr>
      <w:proofErr w:type="spellStart"/>
      <w:r w:rsidRPr="002E51B7">
        <w:rPr>
          <w:i/>
          <w:sz w:val="16"/>
          <w:lang w:val="fr-FR"/>
        </w:rPr>
        <w:t>ONGs</w:t>
      </w:r>
      <w:proofErr w:type="spellEnd"/>
      <w:r w:rsidRPr="002E51B7">
        <w:rPr>
          <w:i/>
          <w:sz w:val="16"/>
          <w:lang w:val="fr-FR"/>
        </w:rPr>
        <w:t xml:space="preserve"> ciblées par ECHO dans le cadre du cadre commun d’intervention</w:t>
      </w:r>
    </w:p>
    <w:p w:rsidR="00B67CC5" w:rsidRDefault="00C73517" w:rsidP="00B67CC5">
      <w:pPr>
        <w:rPr>
          <w:lang w:val="fr-FR"/>
        </w:rPr>
      </w:pPr>
      <w:r>
        <w:rPr>
          <w:lang w:val="fr-FR"/>
        </w:rPr>
        <w:t xml:space="preserve">En amont de ce groupement, IMC sera en charge de former le personnel médical de ces </w:t>
      </w:r>
      <w:proofErr w:type="spellStart"/>
      <w:r>
        <w:rPr>
          <w:lang w:val="fr-FR"/>
        </w:rPr>
        <w:t>ONGs</w:t>
      </w:r>
      <w:proofErr w:type="spellEnd"/>
      <w:r>
        <w:rPr>
          <w:lang w:val="fr-FR"/>
        </w:rPr>
        <w:t xml:space="preserve"> (comme c’est le cas au Libéria) et déploiera deux équipes d’urgence pour encadrer l’émergence de tout nouveau cas au niveau national.</w:t>
      </w:r>
      <w:r w:rsidR="00423A91">
        <w:rPr>
          <w:lang w:val="fr-FR"/>
        </w:rPr>
        <w:t xml:space="preserve"> L’appui d’ECHO</w:t>
      </w:r>
      <w:r w:rsidR="002E51B7">
        <w:rPr>
          <w:lang w:val="fr-FR"/>
        </w:rPr>
        <w:t>, d’un montant de 800 000€ sera intégré à l’enveloppe régionales déjà allouée à IMC.</w:t>
      </w:r>
    </w:p>
    <w:p w:rsidR="002E51B7" w:rsidRDefault="002E51B7" w:rsidP="00B67CC5">
      <w:pPr>
        <w:rPr>
          <w:lang w:val="fr-FR"/>
        </w:rPr>
      </w:pPr>
      <w:r>
        <w:rPr>
          <w:lang w:val="fr-FR"/>
        </w:rPr>
        <w:lastRenderedPageBreak/>
        <w:t xml:space="preserve">Enfin, un travail préliminaire avec l’UNICEF est en cours en vue de renforcer les équipes de réponse d’urgence d’IMC si leurs interventions doit intégrer la mise en place de dispositifs  </w:t>
      </w:r>
      <w:r w:rsidR="008F7027">
        <w:rPr>
          <w:lang w:val="fr-FR"/>
        </w:rPr>
        <w:t xml:space="preserve">décentralisés de prise en charge (ETU régionaux) </w:t>
      </w:r>
      <w:r w:rsidR="005D0D05">
        <w:rPr>
          <w:lang w:val="fr-FR"/>
        </w:rPr>
        <w:t xml:space="preserve">pour </w:t>
      </w:r>
      <w:r>
        <w:rPr>
          <w:lang w:val="fr-FR"/>
        </w:rPr>
        <w:t>environ 800 000€.</w:t>
      </w:r>
    </w:p>
    <w:p w:rsidR="00B67CC5" w:rsidRDefault="002E51B7" w:rsidP="002E51B7">
      <w:pPr>
        <w:pStyle w:val="Heading3"/>
      </w:pPr>
      <w:bookmarkStart w:id="16" w:name="_Toc406063892"/>
      <w:proofErr w:type="spellStart"/>
      <w:r>
        <w:t>Stratégie</w:t>
      </w:r>
      <w:proofErr w:type="spellEnd"/>
      <w:r>
        <w:t xml:space="preserve"> DEVCO</w:t>
      </w:r>
      <w:bookmarkEnd w:id="16"/>
    </w:p>
    <w:p w:rsidR="002E51B7" w:rsidRDefault="002E51B7" w:rsidP="002E51B7">
      <w:pPr>
        <w:rPr>
          <w:lang w:val="fr-FR"/>
        </w:rPr>
      </w:pPr>
      <w:r>
        <w:rPr>
          <w:lang w:val="fr-FR"/>
        </w:rPr>
        <w:t>Au niveau régional, l’instrument pour la contribution à la Stabilité et à la Paix (</w:t>
      </w:r>
      <w:proofErr w:type="spellStart"/>
      <w:r>
        <w:rPr>
          <w:lang w:val="fr-FR"/>
        </w:rPr>
        <w:t>IcSP</w:t>
      </w:r>
      <w:proofErr w:type="spellEnd"/>
      <w:r>
        <w:rPr>
          <w:lang w:val="fr-FR"/>
        </w:rPr>
        <w:t xml:space="preserve">) </w:t>
      </w:r>
      <w:r w:rsidRPr="00263F55">
        <w:rPr>
          <w:lang w:val="fr-FR"/>
        </w:rPr>
        <w:t xml:space="preserve">« Contribution to a </w:t>
      </w:r>
      <w:proofErr w:type="spellStart"/>
      <w:r w:rsidRPr="00263F55">
        <w:rPr>
          <w:lang w:val="fr-FR"/>
        </w:rPr>
        <w:t>comprehensive</w:t>
      </w:r>
      <w:proofErr w:type="spellEnd"/>
      <w:r w:rsidRPr="00263F55">
        <w:rPr>
          <w:lang w:val="fr-FR"/>
        </w:rPr>
        <w:t xml:space="preserve"> EU </w:t>
      </w:r>
      <w:proofErr w:type="spellStart"/>
      <w:r w:rsidRPr="00263F55">
        <w:rPr>
          <w:lang w:val="fr-FR"/>
        </w:rPr>
        <w:t>Response</w:t>
      </w:r>
      <w:proofErr w:type="spellEnd"/>
      <w:r w:rsidRPr="00263F55">
        <w:rPr>
          <w:lang w:val="fr-FR"/>
        </w:rPr>
        <w:t xml:space="preserve"> to the Ebola Virus </w:t>
      </w:r>
      <w:proofErr w:type="spellStart"/>
      <w:r w:rsidRPr="00263F55">
        <w:rPr>
          <w:lang w:val="fr-FR"/>
        </w:rPr>
        <w:t>Disease</w:t>
      </w:r>
      <w:proofErr w:type="spellEnd"/>
      <w:r w:rsidRPr="00263F55">
        <w:rPr>
          <w:lang w:val="fr-FR"/>
        </w:rPr>
        <w:t xml:space="preserve"> (EVD) </w:t>
      </w:r>
      <w:proofErr w:type="spellStart"/>
      <w:r w:rsidRPr="00263F55">
        <w:rPr>
          <w:lang w:val="fr-FR"/>
        </w:rPr>
        <w:t>outbreak</w:t>
      </w:r>
      <w:proofErr w:type="spellEnd"/>
      <w:r>
        <w:rPr>
          <w:lang w:val="fr-FR"/>
        </w:rPr>
        <w:t> » de 16,5 M€ annoncé le 7 décembre se focalise sur :</w:t>
      </w:r>
    </w:p>
    <w:p w:rsidR="002E51B7" w:rsidRDefault="002E51B7" w:rsidP="002E51B7">
      <w:pPr>
        <w:numPr>
          <w:ilvl w:val="0"/>
          <w:numId w:val="16"/>
        </w:numPr>
        <w:rPr>
          <w:lang w:val="fr-FR"/>
        </w:rPr>
      </w:pPr>
      <w:r>
        <w:rPr>
          <w:lang w:val="fr-FR"/>
        </w:rPr>
        <w:t>Un soutien à l’OMS (6M</w:t>
      </w:r>
      <w:r w:rsidRPr="00263F55">
        <w:rPr>
          <w:lang w:val="fr-FR"/>
        </w:rPr>
        <w:t xml:space="preserve">€, Coordination, formation, consommable et équipement (enterrement, mobilisation, soins, analyse), suivi des cas suspects et contrôle </w:t>
      </w:r>
      <w:r>
        <w:rPr>
          <w:lang w:val="fr-FR"/>
        </w:rPr>
        <w:t xml:space="preserve">des points d’entrée, logistique ; </w:t>
      </w:r>
    </w:p>
    <w:p w:rsidR="002E51B7" w:rsidRPr="002E51B7" w:rsidRDefault="002E51B7" w:rsidP="002E51B7">
      <w:pPr>
        <w:numPr>
          <w:ilvl w:val="0"/>
          <w:numId w:val="16"/>
        </w:numPr>
        <w:rPr>
          <w:lang w:val="fr-FR"/>
        </w:rPr>
      </w:pPr>
      <w:r>
        <w:rPr>
          <w:lang w:val="fr-FR"/>
        </w:rPr>
        <w:t xml:space="preserve">A la FICR (5,5 M€, </w:t>
      </w:r>
      <w:r w:rsidRPr="00263F55">
        <w:rPr>
          <w:lang w:val="fr-FR"/>
        </w:rPr>
        <w:t>Communication communautaire</w:t>
      </w:r>
      <w:r w:rsidRPr="002E51B7">
        <w:rPr>
          <w:lang w:val="fr-FR"/>
        </w:rPr>
        <w:t>) ; et</w:t>
      </w:r>
    </w:p>
    <w:p w:rsidR="002E51B7" w:rsidRDefault="002E51B7" w:rsidP="002E51B7">
      <w:pPr>
        <w:numPr>
          <w:ilvl w:val="0"/>
          <w:numId w:val="16"/>
        </w:numPr>
        <w:rPr>
          <w:lang w:val="fr-FR"/>
        </w:rPr>
      </w:pPr>
      <w:r>
        <w:rPr>
          <w:lang w:val="fr-FR"/>
        </w:rPr>
        <w:t>DRC (2,5 M€, communication inter-frontalière).</w:t>
      </w:r>
    </w:p>
    <w:p w:rsidR="002E51B7" w:rsidRDefault="002E51B7" w:rsidP="002E51B7">
      <w:pPr>
        <w:rPr>
          <w:lang w:val="fr-FR"/>
        </w:rPr>
      </w:pPr>
      <w:r>
        <w:rPr>
          <w:lang w:val="fr-FR"/>
        </w:rPr>
        <w:t>Les deux derniers étant également financés par ECHO.</w:t>
      </w:r>
    </w:p>
    <w:p w:rsidR="002E51B7" w:rsidRDefault="002E51B7" w:rsidP="002E51B7">
      <w:pPr>
        <w:rPr>
          <w:lang w:val="fr-FR"/>
        </w:rPr>
      </w:pPr>
      <w:r>
        <w:rPr>
          <w:lang w:val="fr-FR"/>
        </w:rPr>
        <w:t xml:space="preserve">Au niveau national, l’articulation entre DEVCO et ECHO est complémentaire dans la mesure où </w:t>
      </w:r>
      <w:r w:rsidRPr="00A91E5D">
        <w:rPr>
          <w:lang w:val="fr-FR"/>
        </w:rPr>
        <w:t>DEVCO prend en charge le soutien aux actions de mobilisation communautaires tandis qu’ECHO se concentre sur la prise en charge, le soutien psycho-social, le confinement de la contamination dans les communautés (le suivi des funérailles, des contacts) et dans les structures sanitaires</w:t>
      </w:r>
      <w:r>
        <w:rPr>
          <w:lang w:val="fr-FR"/>
        </w:rPr>
        <w:t xml:space="preserve">. </w:t>
      </w:r>
    </w:p>
    <w:p w:rsidR="002E51B7" w:rsidRDefault="002E51B7" w:rsidP="00497F25">
      <w:pPr>
        <w:rPr>
          <w:lang w:val="fr-FR"/>
        </w:rPr>
      </w:pPr>
      <w:r>
        <w:rPr>
          <w:lang w:val="fr-FR"/>
        </w:rPr>
        <w:t xml:space="preserve">Ainsi DEVCO compte soutenir l’UNICEF pour assurer les activités de mobilisation sociale, de renforcement des installations </w:t>
      </w:r>
      <w:r w:rsidR="00A175D3">
        <w:rPr>
          <w:lang w:val="fr-FR"/>
        </w:rPr>
        <w:t>EHA</w:t>
      </w:r>
      <w:r>
        <w:rPr>
          <w:lang w:val="fr-FR"/>
        </w:rPr>
        <w:t xml:space="preserve"> et la promotion du confinement de l’épidémie dans les écoles et lieux publics.</w:t>
      </w:r>
      <w:r w:rsidR="00497F25">
        <w:rPr>
          <w:lang w:val="fr-FR"/>
        </w:rPr>
        <w:t xml:space="preserve"> Le montant de ce soutien est situé entre 3,5 et 4M€ pour six mois.</w:t>
      </w:r>
    </w:p>
    <w:p w:rsidR="002E51B7" w:rsidRDefault="00497F25" w:rsidP="002E51B7">
      <w:pPr>
        <w:rPr>
          <w:lang w:val="fr-FR"/>
        </w:rPr>
      </w:pPr>
      <w:r>
        <w:rPr>
          <w:lang w:val="fr-FR"/>
        </w:rPr>
        <w:t>Les modalités de coordinations des programmes DEVCO entre la FICR (peu visible dans la riposte) et UNICEF restent à clarifier.</w:t>
      </w:r>
    </w:p>
    <w:p w:rsidR="00497F25" w:rsidRPr="005D0D05" w:rsidRDefault="001F31F5" w:rsidP="001F31F5">
      <w:pPr>
        <w:pStyle w:val="Heading3"/>
      </w:pPr>
      <w:bookmarkStart w:id="17" w:name="_Toc406063893"/>
      <w:r w:rsidRPr="005D0D05">
        <w:t xml:space="preserve">Visite des structures mises en place par </w:t>
      </w:r>
      <w:proofErr w:type="spellStart"/>
      <w:r w:rsidRPr="005D0D05">
        <w:t>Alima</w:t>
      </w:r>
      <w:bookmarkEnd w:id="17"/>
      <w:proofErr w:type="spellEnd"/>
    </w:p>
    <w:p w:rsidR="002E51B7" w:rsidRDefault="002E51B7" w:rsidP="002E51B7">
      <w:pPr>
        <w:rPr>
          <w:lang w:val="fr-FR"/>
        </w:rPr>
      </w:pPr>
      <w:r>
        <w:rPr>
          <w:lang w:val="fr-FR"/>
        </w:rPr>
        <w:t xml:space="preserve">Une visite à </w:t>
      </w:r>
      <w:proofErr w:type="spellStart"/>
      <w:r>
        <w:rPr>
          <w:lang w:val="fr-FR"/>
        </w:rPr>
        <w:t>Kouréma</w:t>
      </w:r>
      <w:r w:rsidR="001F31F5">
        <w:rPr>
          <w:lang w:val="fr-FR"/>
        </w:rPr>
        <w:t>l</w:t>
      </w:r>
      <w:r>
        <w:rPr>
          <w:lang w:val="fr-FR"/>
        </w:rPr>
        <w:t>é</w:t>
      </w:r>
      <w:proofErr w:type="spellEnd"/>
      <w:r>
        <w:rPr>
          <w:lang w:val="fr-FR"/>
        </w:rPr>
        <w:t xml:space="preserve"> (frontière commerciale avec la Guinée) a permis d’observer les cordons sanitaires et le centre de transit mis en place par ALIMA.</w:t>
      </w:r>
    </w:p>
    <w:p w:rsidR="001F31F5" w:rsidRDefault="001F31F5" w:rsidP="001F31F5">
      <w:pPr>
        <w:pStyle w:val="Heading4"/>
        <w:rPr>
          <w:lang w:val="fr-FR"/>
        </w:rPr>
      </w:pPr>
      <w:r>
        <w:rPr>
          <w:lang w:val="fr-FR"/>
        </w:rPr>
        <w:t>Cordons sanitaires</w:t>
      </w:r>
    </w:p>
    <w:p w:rsidR="002E51B7" w:rsidRDefault="002E51B7" w:rsidP="002E51B7">
      <w:pPr>
        <w:rPr>
          <w:lang w:val="fr-FR"/>
        </w:rPr>
      </w:pPr>
      <w:r>
        <w:rPr>
          <w:lang w:val="fr-FR"/>
        </w:rPr>
        <w:t xml:space="preserve">Il existe trois cordons sanitaires entre la frontière et la sortie de </w:t>
      </w:r>
      <w:proofErr w:type="spellStart"/>
      <w:r>
        <w:rPr>
          <w:lang w:val="fr-FR"/>
        </w:rPr>
        <w:t>Kourémané</w:t>
      </w:r>
      <w:proofErr w:type="spellEnd"/>
      <w:r>
        <w:rPr>
          <w:lang w:val="fr-FR"/>
        </w:rPr>
        <w:t xml:space="preserve">, le dernier étant situé à 7km de la ville sur la route principale en direction de Bamako. Ce cordon est rendu nécessaire par la multitude des accès secondaires dans et autour de </w:t>
      </w:r>
      <w:proofErr w:type="spellStart"/>
      <w:r>
        <w:rPr>
          <w:lang w:val="fr-FR"/>
        </w:rPr>
        <w:t>Kourémalé</w:t>
      </w:r>
      <w:proofErr w:type="spellEnd"/>
      <w:r>
        <w:rPr>
          <w:lang w:val="fr-FR"/>
        </w:rPr>
        <w:t xml:space="preserve"> qui évitent les deux premiers cordons sanitaires.</w:t>
      </w:r>
    </w:p>
    <w:p w:rsidR="002E51B7" w:rsidRDefault="002E51B7" w:rsidP="002E51B7">
      <w:pPr>
        <w:rPr>
          <w:lang w:val="fr-FR"/>
        </w:rPr>
      </w:pPr>
      <w:r>
        <w:rPr>
          <w:lang w:val="fr-FR"/>
        </w:rPr>
        <w:t>Sur site il a pu être observé :</w:t>
      </w:r>
    </w:p>
    <w:p w:rsidR="002E51B7" w:rsidRDefault="002E51B7" w:rsidP="001F31F5">
      <w:pPr>
        <w:numPr>
          <w:ilvl w:val="0"/>
          <w:numId w:val="17"/>
        </w:numPr>
        <w:rPr>
          <w:lang w:val="fr-FR"/>
        </w:rPr>
      </w:pPr>
      <w:r>
        <w:rPr>
          <w:lang w:val="fr-FR"/>
        </w:rPr>
        <w:t>L’absence de chlore dans l’eau chlorée destinée au lavage des mains (des stations de lavage des mains au savon étaient toutefois disponibles) ;</w:t>
      </w:r>
    </w:p>
    <w:p w:rsidR="002E51B7" w:rsidRDefault="002E51B7" w:rsidP="001F31F5">
      <w:pPr>
        <w:numPr>
          <w:ilvl w:val="0"/>
          <w:numId w:val="17"/>
        </w:numPr>
        <w:rPr>
          <w:lang w:val="fr-FR"/>
        </w:rPr>
      </w:pPr>
      <w:r>
        <w:rPr>
          <w:lang w:val="fr-FR"/>
        </w:rPr>
        <w:t>L’absence de contrôle des véhicules de la part du personnel en charge du cordon (gendarmerie, armée). Dans chacun des deux véhicules observés, il restait un passager qui selon toute vraisemblance, n’avait pas fait l’objet d’un suivi ;</w:t>
      </w:r>
    </w:p>
    <w:p w:rsidR="002E51B7" w:rsidRDefault="002E51B7" w:rsidP="001F31F5">
      <w:pPr>
        <w:numPr>
          <w:ilvl w:val="0"/>
          <w:numId w:val="17"/>
        </w:numPr>
        <w:rPr>
          <w:lang w:val="fr-FR"/>
        </w:rPr>
      </w:pPr>
      <w:r>
        <w:rPr>
          <w:lang w:val="fr-FR"/>
        </w:rPr>
        <w:t>Le manque de fiabilité des thermomètres thermiques</w:t>
      </w:r>
      <w:r w:rsidR="001F31F5">
        <w:rPr>
          <w:lang w:val="fr-FR"/>
        </w:rPr>
        <w:t xml:space="preserve"> dont les lectures varient de 1 à 2 °C selon les cordons sanitaires.</w:t>
      </w:r>
    </w:p>
    <w:p w:rsidR="001F31F5" w:rsidRDefault="001F31F5" w:rsidP="001F31F5">
      <w:pPr>
        <w:rPr>
          <w:lang w:val="fr-FR"/>
        </w:rPr>
      </w:pPr>
      <w:r>
        <w:rPr>
          <w:lang w:val="fr-FR"/>
        </w:rPr>
        <w:t>Centre de transit</w:t>
      </w:r>
    </w:p>
    <w:p w:rsidR="001F31F5" w:rsidRDefault="001F31F5" w:rsidP="001F31F5">
      <w:pPr>
        <w:rPr>
          <w:lang w:val="fr-FR"/>
        </w:rPr>
      </w:pPr>
      <w:r>
        <w:rPr>
          <w:lang w:val="fr-FR"/>
        </w:rPr>
        <w:t xml:space="preserve">Le centre de transit est situé à proximité du second cordon sanitaire et du </w:t>
      </w:r>
      <w:proofErr w:type="spellStart"/>
      <w:r>
        <w:rPr>
          <w:lang w:val="fr-FR"/>
        </w:rPr>
        <w:t>CSCom</w:t>
      </w:r>
      <w:proofErr w:type="spellEnd"/>
      <w:r>
        <w:rPr>
          <w:lang w:val="fr-FR"/>
        </w:rPr>
        <w:t xml:space="preserve"> de </w:t>
      </w:r>
      <w:proofErr w:type="spellStart"/>
      <w:r>
        <w:rPr>
          <w:lang w:val="fr-FR"/>
        </w:rPr>
        <w:t>Kourémalé</w:t>
      </w:r>
      <w:proofErr w:type="spellEnd"/>
      <w:r>
        <w:rPr>
          <w:lang w:val="fr-FR"/>
        </w:rPr>
        <w:t>. Il a une capacité de 10 lits répartis en deux tentes (suspects : 6, probable : 4</w:t>
      </w:r>
      <w:r>
        <w:rPr>
          <w:rStyle w:val="FootnoteReference"/>
          <w:lang w:val="fr-FR"/>
        </w:rPr>
        <w:footnoteReference w:id="26"/>
      </w:r>
      <w:r>
        <w:rPr>
          <w:lang w:val="fr-FR"/>
        </w:rPr>
        <w:t>)</w:t>
      </w:r>
      <w:r w:rsidR="00B87763">
        <w:rPr>
          <w:lang w:val="fr-FR"/>
        </w:rPr>
        <w:t>. Les principales observations portent sur :</w:t>
      </w:r>
    </w:p>
    <w:p w:rsidR="00B87763" w:rsidRDefault="00B87763" w:rsidP="00171AEB">
      <w:pPr>
        <w:numPr>
          <w:ilvl w:val="0"/>
          <w:numId w:val="19"/>
        </w:numPr>
        <w:rPr>
          <w:lang w:val="fr-FR"/>
        </w:rPr>
      </w:pPr>
      <w:r>
        <w:rPr>
          <w:lang w:val="fr-FR"/>
        </w:rPr>
        <w:t>L’absence de personnel médical lié au défaut d’engagement du Ministère de la Santé malgré les formations prodiguées par l’OMS ;</w:t>
      </w:r>
    </w:p>
    <w:p w:rsidR="001F31F5" w:rsidRDefault="00B87763" w:rsidP="00171AEB">
      <w:pPr>
        <w:numPr>
          <w:ilvl w:val="0"/>
          <w:numId w:val="19"/>
        </w:numPr>
        <w:rPr>
          <w:lang w:val="fr-FR"/>
        </w:rPr>
      </w:pPr>
      <w:r>
        <w:rPr>
          <w:lang w:val="fr-FR"/>
        </w:rPr>
        <w:t xml:space="preserve">L’absence de drainages fonctionnels (vis-à-vis des écoulements dans les tentes et douches, vis-à-vis du sol –terre battue et non gravier-, vis-à-vis des ruissèlements </w:t>
      </w:r>
      <w:r>
        <w:rPr>
          <w:lang w:val="fr-FR"/>
        </w:rPr>
        <w:lastRenderedPageBreak/>
        <w:t>des pluies vers le centre et de la zone rouge du centre vers les communautés en aval à proximité) ;</w:t>
      </w:r>
    </w:p>
    <w:p w:rsidR="00B87763" w:rsidRDefault="00B87763" w:rsidP="00171AEB">
      <w:pPr>
        <w:numPr>
          <w:ilvl w:val="0"/>
          <w:numId w:val="19"/>
        </w:numPr>
        <w:rPr>
          <w:lang w:val="fr-FR"/>
        </w:rPr>
      </w:pPr>
      <w:r>
        <w:rPr>
          <w:lang w:val="fr-FR"/>
        </w:rPr>
        <w:t>L’absence de fondation suffisamment compacts pour certaines infrastructures (latrines, douches) ;</w:t>
      </w:r>
    </w:p>
    <w:p w:rsidR="00B87763" w:rsidRDefault="00B87763" w:rsidP="00171AEB">
      <w:pPr>
        <w:numPr>
          <w:ilvl w:val="0"/>
          <w:numId w:val="19"/>
        </w:numPr>
        <w:rPr>
          <w:lang w:val="fr-FR"/>
        </w:rPr>
      </w:pPr>
      <w:r>
        <w:rPr>
          <w:lang w:val="fr-FR"/>
        </w:rPr>
        <w:t>L’insuffisance de pression dans la distribution d’eau (réservoir situé trop bas) et la faiblesse du système d’approvisionnement en eau (par transport animal quand le centre a un besoins potentiel de 3m</w:t>
      </w:r>
      <w:r w:rsidRPr="00B87763">
        <w:rPr>
          <w:vertAlign w:val="superscript"/>
          <w:lang w:val="fr-FR"/>
        </w:rPr>
        <w:t>3</w:t>
      </w:r>
      <w:r>
        <w:rPr>
          <w:lang w:val="fr-FR"/>
        </w:rPr>
        <w:t>/jour;</w:t>
      </w:r>
    </w:p>
    <w:p w:rsidR="00B87763" w:rsidRDefault="00B87763" w:rsidP="00171AEB">
      <w:pPr>
        <w:numPr>
          <w:ilvl w:val="0"/>
          <w:numId w:val="19"/>
        </w:numPr>
        <w:rPr>
          <w:lang w:val="fr-FR"/>
        </w:rPr>
      </w:pPr>
      <w:r>
        <w:rPr>
          <w:lang w:val="fr-FR"/>
        </w:rPr>
        <w:t>Au niveau de l’organisation, des doutes demeurent quant à l’accompagnement de personnes seules à l’entrée et au sortir du centre (gestion des vêtements) ;</w:t>
      </w:r>
      <w:r w:rsidR="00171AEB">
        <w:rPr>
          <w:lang w:val="fr-FR"/>
        </w:rPr>
        <w:t xml:space="preserve"> et</w:t>
      </w:r>
    </w:p>
    <w:p w:rsidR="00B87763" w:rsidRDefault="00B87763" w:rsidP="00171AEB">
      <w:pPr>
        <w:numPr>
          <w:ilvl w:val="0"/>
          <w:numId w:val="19"/>
        </w:numPr>
        <w:rPr>
          <w:lang w:val="fr-FR"/>
        </w:rPr>
      </w:pPr>
      <w:r>
        <w:rPr>
          <w:lang w:val="fr-FR"/>
        </w:rPr>
        <w:t>L’accès de l’ambulance situé hors du centre</w:t>
      </w:r>
      <w:r w:rsidR="00171AEB">
        <w:rPr>
          <w:lang w:val="fr-FR"/>
        </w:rPr>
        <w:t>.</w:t>
      </w:r>
    </w:p>
    <w:p w:rsidR="009173B5" w:rsidRDefault="009173B5" w:rsidP="009173B5">
      <w:pPr>
        <w:rPr>
          <w:lang w:val="fr-FR"/>
        </w:rPr>
      </w:pPr>
      <w:r>
        <w:rPr>
          <w:lang w:val="fr-FR"/>
        </w:rPr>
        <w:t xml:space="preserve">Enfin une visite au </w:t>
      </w:r>
      <w:proofErr w:type="spellStart"/>
      <w:r>
        <w:rPr>
          <w:lang w:val="fr-FR"/>
        </w:rPr>
        <w:t>CSCom</w:t>
      </w:r>
      <w:proofErr w:type="spellEnd"/>
      <w:r>
        <w:rPr>
          <w:lang w:val="fr-FR"/>
        </w:rPr>
        <w:t xml:space="preserve"> de </w:t>
      </w:r>
      <w:proofErr w:type="spellStart"/>
      <w:r>
        <w:rPr>
          <w:lang w:val="fr-FR"/>
        </w:rPr>
        <w:t>Kourémalé</w:t>
      </w:r>
      <w:proofErr w:type="spellEnd"/>
      <w:r>
        <w:rPr>
          <w:lang w:val="fr-FR"/>
        </w:rPr>
        <w:t xml:space="preserve"> a pu mettre e</w:t>
      </w:r>
      <w:r w:rsidR="005D0D05">
        <w:rPr>
          <w:lang w:val="fr-FR"/>
        </w:rPr>
        <w:t>n</w:t>
      </w:r>
      <w:r>
        <w:rPr>
          <w:lang w:val="fr-FR"/>
        </w:rPr>
        <w:t xml:space="preserve"> valeur l’absence de formation du personnel du centre bien que le docteur en charge ait reçu </w:t>
      </w:r>
      <w:r w:rsidR="00A0428F">
        <w:rPr>
          <w:lang w:val="fr-FR"/>
        </w:rPr>
        <w:t>une formation de la part de l’OMS.</w:t>
      </w:r>
    </w:p>
    <w:p w:rsidR="00A0428F" w:rsidRDefault="00A0428F" w:rsidP="009173B5">
      <w:pPr>
        <w:rPr>
          <w:lang w:val="fr-FR"/>
        </w:rPr>
      </w:pPr>
      <w:r>
        <w:rPr>
          <w:lang w:val="fr-FR"/>
        </w:rPr>
        <w:t>Il était prévu qu’</w:t>
      </w:r>
      <w:proofErr w:type="spellStart"/>
      <w:r>
        <w:rPr>
          <w:lang w:val="fr-FR"/>
        </w:rPr>
        <w:t>Alima</w:t>
      </w:r>
      <w:proofErr w:type="spellEnd"/>
      <w:r>
        <w:rPr>
          <w:lang w:val="fr-FR"/>
        </w:rPr>
        <w:t xml:space="preserve"> mette en place une telle formation, mais le Ministère de la Santé s’est d’abord refusé à ce qu’une ONG fasse une telle formation (cela devait être du ressort de l’OMS ou du ministère de la santé). </w:t>
      </w:r>
      <w:proofErr w:type="spellStart"/>
      <w:r>
        <w:rPr>
          <w:lang w:val="fr-FR"/>
        </w:rPr>
        <w:t>Alima</w:t>
      </w:r>
      <w:proofErr w:type="spellEnd"/>
      <w:r>
        <w:rPr>
          <w:lang w:val="fr-FR"/>
        </w:rPr>
        <w:t xml:space="preserve"> s’est néanmoins engagé à faire ces formations (avec ou sans l’aval du ministère).</w:t>
      </w:r>
    </w:p>
    <w:p w:rsidR="00A0428F" w:rsidRDefault="00A0428F" w:rsidP="00A0428F">
      <w:pPr>
        <w:pStyle w:val="Heading4"/>
        <w:rPr>
          <w:lang w:val="fr-FR"/>
        </w:rPr>
      </w:pPr>
      <w:r>
        <w:rPr>
          <w:lang w:val="fr-FR"/>
        </w:rPr>
        <w:t>COordination</w:t>
      </w:r>
    </w:p>
    <w:p w:rsidR="004F2084" w:rsidRDefault="00171AEB" w:rsidP="002E51B7">
      <w:pPr>
        <w:rPr>
          <w:lang w:val="fr-FR"/>
        </w:rPr>
      </w:pPr>
      <w:r>
        <w:rPr>
          <w:lang w:val="fr-FR"/>
        </w:rPr>
        <w:t>Vis-à-vis de la coordination, celle-ci est considéré comme très peu utile par la plupart des organisations opérationnelles et extrêmement consom</w:t>
      </w:r>
      <w:r w:rsidR="004F2084">
        <w:rPr>
          <w:lang w:val="fr-FR"/>
        </w:rPr>
        <w:t xml:space="preserve">matrice de temps. </w:t>
      </w:r>
    </w:p>
    <w:p w:rsidR="004F2084" w:rsidRDefault="004F2084" w:rsidP="002E51B7">
      <w:pPr>
        <w:rPr>
          <w:lang w:val="fr-FR"/>
        </w:rPr>
      </w:pPr>
      <w:r>
        <w:rPr>
          <w:lang w:val="fr-FR"/>
        </w:rPr>
        <w:t>L’impression généralement exprimée est que les plateformes de coordination sont parasitées par des intervenants qui les transforment en forum d’échange de points de vue, et d’alertes reposant avant tout sur des conjectures sans que cela se traduise in fine par un quelconque engagement de celles-ci.</w:t>
      </w:r>
    </w:p>
    <w:p w:rsidR="00396C02" w:rsidRDefault="003F0C5A" w:rsidP="003F2347">
      <w:pPr>
        <w:pStyle w:val="Heading2"/>
        <w:rPr>
          <w:lang w:val="fr-FR"/>
        </w:rPr>
      </w:pPr>
      <w:bookmarkStart w:id="18" w:name="_Toc406063894"/>
      <w:r>
        <w:rPr>
          <w:lang w:val="fr-FR"/>
        </w:rPr>
        <w:t>WASH’NUT</w:t>
      </w:r>
      <w:r w:rsidR="003F2347">
        <w:rPr>
          <w:lang w:val="fr-FR"/>
        </w:rPr>
        <w:t xml:space="preserve"> au Mali</w:t>
      </w:r>
      <w:bookmarkEnd w:id="18"/>
    </w:p>
    <w:p w:rsidR="003F2347" w:rsidRDefault="003F2347" w:rsidP="00396C02">
      <w:pPr>
        <w:rPr>
          <w:lang w:val="fr-FR"/>
        </w:rPr>
      </w:pPr>
      <w:r>
        <w:rPr>
          <w:lang w:val="fr-FR"/>
        </w:rPr>
        <w:t xml:space="preserve">Au-delà du moindre intérêt porté par ECHO porté sur la </w:t>
      </w:r>
      <w:r w:rsidR="003F0C5A">
        <w:rPr>
          <w:lang w:val="fr-FR"/>
        </w:rPr>
        <w:t>WASH’NUT</w:t>
      </w:r>
      <w:r>
        <w:rPr>
          <w:lang w:val="fr-FR"/>
        </w:rPr>
        <w:t xml:space="preserve"> en Afrique de l’ouest, </w:t>
      </w:r>
      <w:r w:rsidR="007524E1">
        <w:rPr>
          <w:lang w:val="fr-FR"/>
        </w:rPr>
        <w:t>celle-ci peut toutefois se décliner dans deux volets distincts :</w:t>
      </w:r>
    </w:p>
    <w:p w:rsidR="007524E1" w:rsidRDefault="007524E1" w:rsidP="00E350EE">
      <w:pPr>
        <w:numPr>
          <w:ilvl w:val="0"/>
          <w:numId w:val="14"/>
        </w:numPr>
        <w:rPr>
          <w:lang w:val="fr-FR"/>
        </w:rPr>
      </w:pPr>
      <w:r>
        <w:rPr>
          <w:lang w:val="fr-FR"/>
        </w:rPr>
        <w:t xml:space="preserve">Sécuriser l’accès aux services </w:t>
      </w:r>
      <w:r w:rsidR="00A175D3">
        <w:rPr>
          <w:lang w:val="fr-FR"/>
        </w:rPr>
        <w:t>EHA</w:t>
      </w:r>
      <w:r>
        <w:rPr>
          <w:lang w:val="fr-FR"/>
        </w:rPr>
        <w:t xml:space="preserve"> essentiel lors de la prise en charge de la malnutrition. </w:t>
      </w:r>
    </w:p>
    <w:p w:rsidR="007524E1" w:rsidRDefault="007524E1" w:rsidP="007524E1">
      <w:pPr>
        <w:ind w:left="709"/>
        <w:rPr>
          <w:lang w:val="fr-FR"/>
        </w:rPr>
      </w:pPr>
      <w:r>
        <w:rPr>
          <w:lang w:val="fr-FR"/>
        </w:rPr>
        <w:t xml:space="preserve">Au Mali la prise en charge des soins nutritionnels est réalisée soit au sein des structures sanitaires soit par les familles directement atteintes par la malnutrition aigüe. </w:t>
      </w:r>
    </w:p>
    <w:p w:rsidR="007524E1" w:rsidRDefault="007524E1" w:rsidP="007524E1">
      <w:pPr>
        <w:ind w:left="709"/>
        <w:rPr>
          <w:lang w:val="fr-FR"/>
        </w:rPr>
      </w:pPr>
      <w:r>
        <w:rPr>
          <w:lang w:val="fr-FR"/>
        </w:rPr>
        <w:t xml:space="preserve">Lorsque le traitement est à fait à domicile, l’accès aux services </w:t>
      </w:r>
      <w:r w:rsidR="00A175D3">
        <w:rPr>
          <w:lang w:val="fr-FR"/>
        </w:rPr>
        <w:t>EHA</w:t>
      </w:r>
      <w:r>
        <w:rPr>
          <w:lang w:val="fr-FR"/>
        </w:rPr>
        <w:t xml:space="preserve"> essentiel </w:t>
      </w:r>
      <w:r w:rsidR="007A436E">
        <w:rPr>
          <w:lang w:val="fr-FR"/>
        </w:rPr>
        <w:t xml:space="preserve">devrait être </w:t>
      </w:r>
      <w:r>
        <w:rPr>
          <w:lang w:val="fr-FR"/>
        </w:rPr>
        <w:t xml:space="preserve">assuré par la mise à disposition de kits </w:t>
      </w:r>
      <w:r w:rsidR="00A175D3">
        <w:rPr>
          <w:lang w:val="fr-FR"/>
        </w:rPr>
        <w:t>EHA</w:t>
      </w:r>
      <w:r>
        <w:rPr>
          <w:lang w:val="fr-FR"/>
        </w:rPr>
        <w:t xml:space="preserve"> aux famille</w:t>
      </w:r>
      <w:r w:rsidR="005D0D05">
        <w:rPr>
          <w:lang w:val="fr-FR"/>
        </w:rPr>
        <w:t>s</w:t>
      </w:r>
      <w:r>
        <w:rPr>
          <w:lang w:val="fr-FR"/>
        </w:rPr>
        <w:t xml:space="preserve"> lors de leur admission au programme nutritionnel.</w:t>
      </w:r>
    </w:p>
    <w:p w:rsidR="007524E1" w:rsidRDefault="007524E1" w:rsidP="00E350EE">
      <w:pPr>
        <w:numPr>
          <w:ilvl w:val="0"/>
          <w:numId w:val="14"/>
        </w:numPr>
        <w:rPr>
          <w:lang w:val="fr-FR"/>
        </w:rPr>
      </w:pPr>
      <w:r>
        <w:rPr>
          <w:lang w:val="fr-FR"/>
        </w:rPr>
        <w:t xml:space="preserve">Garantir un accès aux services </w:t>
      </w:r>
      <w:r w:rsidR="00A175D3">
        <w:rPr>
          <w:lang w:val="fr-FR"/>
        </w:rPr>
        <w:t>EHA</w:t>
      </w:r>
      <w:r>
        <w:rPr>
          <w:lang w:val="fr-FR"/>
        </w:rPr>
        <w:t xml:space="preserve"> aux populations exposées à la malnutrition pendant la période </w:t>
      </w:r>
      <w:r w:rsidR="005D0D05">
        <w:rPr>
          <w:lang w:val="fr-FR"/>
        </w:rPr>
        <w:t>de soudure</w:t>
      </w:r>
      <w:r>
        <w:rPr>
          <w:lang w:val="fr-FR"/>
        </w:rPr>
        <w:t>.</w:t>
      </w:r>
    </w:p>
    <w:p w:rsidR="007524E1" w:rsidRDefault="007524E1" w:rsidP="007524E1">
      <w:pPr>
        <w:ind w:left="709"/>
        <w:rPr>
          <w:lang w:val="fr-FR"/>
        </w:rPr>
      </w:pPr>
      <w:r>
        <w:rPr>
          <w:lang w:val="fr-FR"/>
        </w:rPr>
        <w:t xml:space="preserve">La couverture de ces besoins est assurée par la mise à disposition de kits </w:t>
      </w:r>
      <w:r w:rsidR="00A175D3">
        <w:rPr>
          <w:lang w:val="fr-FR"/>
        </w:rPr>
        <w:t>EHA</w:t>
      </w:r>
      <w:r>
        <w:rPr>
          <w:lang w:val="fr-FR"/>
        </w:rPr>
        <w:t xml:space="preserve"> au moment de la décharge des </w:t>
      </w:r>
      <w:r w:rsidR="005F1C3C">
        <w:rPr>
          <w:lang w:val="fr-FR"/>
        </w:rPr>
        <w:t>familles</w:t>
      </w:r>
      <w:r>
        <w:rPr>
          <w:lang w:val="fr-FR"/>
        </w:rPr>
        <w:t xml:space="preserve"> ayant bénéficié d’un soin thérapeutique à domicile ou au sein des structures de prise en charge. Cette couverture n’est pas systématique.</w:t>
      </w:r>
    </w:p>
    <w:p w:rsidR="003F0C5A" w:rsidRDefault="003F0C5A" w:rsidP="003F0C5A">
      <w:pPr>
        <w:rPr>
          <w:lang w:val="fr-FR"/>
        </w:rPr>
      </w:pPr>
      <w:r>
        <w:rPr>
          <w:lang w:val="fr-FR"/>
        </w:rPr>
        <w:t xml:space="preserve">Enfin la documentation scientifique établissant un lien entre malnutrition et accès aux services </w:t>
      </w:r>
      <w:r w:rsidR="00A175D3">
        <w:rPr>
          <w:lang w:val="fr-FR"/>
        </w:rPr>
        <w:t>EHA</w:t>
      </w:r>
      <w:r>
        <w:rPr>
          <w:lang w:val="fr-FR"/>
        </w:rPr>
        <w:t xml:space="preserve"> essentiel reste limitée. Si beaucoup d’études ont su faire un lien entre accès aux services </w:t>
      </w:r>
      <w:r w:rsidR="00A175D3">
        <w:rPr>
          <w:lang w:val="fr-FR"/>
        </w:rPr>
        <w:t>EHA</w:t>
      </w:r>
      <w:r>
        <w:rPr>
          <w:lang w:val="fr-FR"/>
        </w:rPr>
        <w:t xml:space="preserve"> et morbidité (lien eau/</w:t>
      </w:r>
      <w:r w:rsidR="005D0D05">
        <w:rPr>
          <w:lang w:val="fr-FR"/>
        </w:rPr>
        <w:t>diarrhée</w:t>
      </w:r>
      <w:r>
        <w:rPr>
          <w:lang w:val="fr-FR"/>
        </w:rPr>
        <w:t xml:space="preserve"> par exemple), celle établissant un lien SAM/accès à l’eau potable (par exemple) demeurent très rares en Afrique de l’Ouest.</w:t>
      </w:r>
    </w:p>
    <w:p w:rsidR="004E182C" w:rsidRPr="00007DC7" w:rsidRDefault="00AA4DCB" w:rsidP="001F70A4">
      <w:pPr>
        <w:pStyle w:val="Heading1"/>
        <w:rPr>
          <w:lang w:val="fr-FR"/>
        </w:rPr>
      </w:pPr>
      <w:bookmarkStart w:id="19" w:name="_Toc406063895"/>
      <w:r w:rsidRPr="00007DC7">
        <w:rPr>
          <w:lang w:val="fr-FR"/>
        </w:rPr>
        <w:t>Commentaires/Recommandations de l’expert</w:t>
      </w:r>
      <w:bookmarkEnd w:id="19"/>
    </w:p>
    <w:p w:rsidR="00396C02" w:rsidRDefault="00396C02" w:rsidP="00396C02">
      <w:pPr>
        <w:pStyle w:val="Heading2"/>
        <w:rPr>
          <w:lang w:val="fr-FR"/>
        </w:rPr>
      </w:pPr>
      <w:bookmarkStart w:id="20" w:name="_Toc406063896"/>
      <w:r>
        <w:rPr>
          <w:lang w:val="fr-FR"/>
        </w:rPr>
        <w:t xml:space="preserve">Déplacement de population : Réponse Eau Hygiène et Assainissement au Nord </w:t>
      </w:r>
      <w:r w:rsidRPr="00D71E43">
        <w:rPr>
          <w:lang w:val="fr-FR"/>
        </w:rPr>
        <w:t>Mali</w:t>
      </w:r>
      <w:bookmarkEnd w:id="20"/>
    </w:p>
    <w:p w:rsidR="00396C02" w:rsidRDefault="00396C02" w:rsidP="00396C02">
      <w:pPr>
        <w:rPr>
          <w:lang w:val="fr-FR"/>
        </w:rPr>
      </w:pPr>
      <w:r>
        <w:rPr>
          <w:lang w:val="fr-FR"/>
        </w:rPr>
        <w:t>La réponse d’ECHO en matière de soutien à l’accès à l’eau potable doit répondre à deux enjeux :</w:t>
      </w:r>
    </w:p>
    <w:p w:rsidR="00396C02" w:rsidRDefault="00396C02" w:rsidP="00E350EE">
      <w:pPr>
        <w:numPr>
          <w:ilvl w:val="0"/>
          <w:numId w:val="8"/>
        </w:numPr>
        <w:rPr>
          <w:lang w:val="fr-FR"/>
        </w:rPr>
      </w:pPr>
      <w:r>
        <w:rPr>
          <w:lang w:val="fr-FR"/>
        </w:rPr>
        <w:lastRenderedPageBreak/>
        <w:t>Un ciblage cohérent des populations bénéficiaires et une réponse de qualité afin de justifier de la pertinence de la mobilisation de fonds ECHO ; et</w:t>
      </w:r>
    </w:p>
    <w:p w:rsidR="00396C02" w:rsidRDefault="00396C02" w:rsidP="00E350EE">
      <w:pPr>
        <w:numPr>
          <w:ilvl w:val="0"/>
          <w:numId w:val="8"/>
        </w:numPr>
        <w:rPr>
          <w:lang w:val="fr-FR"/>
        </w:rPr>
      </w:pPr>
      <w:r>
        <w:rPr>
          <w:lang w:val="fr-FR"/>
        </w:rPr>
        <w:t>Une reprise à terme de la problématique par les bailleurs de fonds de développement.</w:t>
      </w:r>
    </w:p>
    <w:p w:rsidR="00396C02" w:rsidRPr="00396C02" w:rsidRDefault="00396C02" w:rsidP="00396C02">
      <w:pPr>
        <w:pStyle w:val="Heading3"/>
        <w:rPr>
          <w:lang w:val="fr-FR"/>
        </w:rPr>
      </w:pPr>
      <w:bookmarkStart w:id="21" w:name="_Toc406063897"/>
      <w:r w:rsidRPr="00396C02">
        <w:rPr>
          <w:lang w:val="fr-FR"/>
        </w:rPr>
        <w:t>Le ciblage et la qualité des interventions</w:t>
      </w:r>
      <w:bookmarkEnd w:id="21"/>
    </w:p>
    <w:p w:rsidR="00396C02" w:rsidRDefault="00396C02" w:rsidP="00396C02">
      <w:pPr>
        <w:rPr>
          <w:lang w:val="fr-FR"/>
        </w:rPr>
      </w:pPr>
      <w:r>
        <w:rPr>
          <w:lang w:val="fr-FR"/>
        </w:rPr>
        <w:t>L’appui d’ECHO dans le secteur de l’accès à l’eau potable au Nord Mali s’inscrit dans le volet 2 du HIP Afrique de l’Ouest qui vise à soutenir les populations déplacées</w:t>
      </w:r>
      <w:r w:rsidR="001E2153">
        <w:rPr>
          <w:lang w:val="fr-FR"/>
        </w:rPr>
        <w:t xml:space="preserve"> et retournés</w:t>
      </w:r>
      <w:r>
        <w:rPr>
          <w:lang w:val="fr-FR"/>
        </w:rPr>
        <w:t>. Il est par conséquent indispensable de s’assurer que les programmes de soutien à l’accès à l’eau potable dans le nord Mali vise</w:t>
      </w:r>
      <w:r w:rsidR="00A345B5">
        <w:rPr>
          <w:lang w:val="fr-FR"/>
        </w:rPr>
        <w:t>nt</w:t>
      </w:r>
      <w:r>
        <w:rPr>
          <w:lang w:val="fr-FR"/>
        </w:rPr>
        <w:t xml:space="preserve"> en premier lieu ces populations.</w:t>
      </w:r>
    </w:p>
    <w:p w:rsidR="00A345B5" w:rsidRDefault="00A345B5" w:rsidP="00396C02">
      <w:pPr>
        <w:rPr>
          <w:lang w:val="fr-FR"/>
        </w:rPr>
      </w:pPr>
      <w:r>
        <w:rPr>
          <w:lang w:val="fr-FR"/>
        </w:rPr>
        <w:t xml:space="preserve">Toutefois, les contraintes de sécurité ne permettent pas de faire un diagnostic de l’ensemble de la zone qui permettrait de faire l’inventaire des populations déplacées et d’ajuster au mieux les interventions. Néanmoins, ces difficultés d’accès ne sont ni statiques ni insurmontables. </w:t>
      </w:r>
    </w:p>
    <w:p w:rsidR="00A345B5" w:rsidRDefault="00A345B5" w:rsidP="00396C02">
      <w:pPr>
        <w:rPr>
          <w:lang w:val="fr-FR"/>
        </w:rPr>
      </w:pPr>
      <w:r>
        <w:rPr>
          <w:lang w:val="fr-FR"/>
        </w:rPr>
        <w:t>Afin de s’assurer du meilleur ciblage possible tout en n’exposant pas les parties prenantes à des risques inconsidérés, il est souhaitable :</w:t>
      </w:r>
    </w:p>
    <w:p w:rsidR="00A345B5" w:rsidRDefault="00A345B5" w:rsidP="00E350EE">
      <w:pPr>
        <w:numPr>
          <w:ilvl w:val="0"/>
          <w:numId w:val="9"/>
        </w:numPr>
        <w:rPr>
          <w:lang w:val="fr-FR"/>
        </w:rPr>
      </w:pPr>
      <w:r>
        <w:rPr>
          <w:lang w:val="fr-FR"/>
        </w:rPr>
        <w:t>Dans un premier temps, d’avoir un inventaire de l’ensemble des communautés présentes au nord Mali (en se basant sur des statistiques ou des cartes d’avant 2012)</w:t>
      </w:r>
      <w:r>
        <w:rPr>
          <w:rStyle w:val="FootnoteReference"/>
          <w:lang w:val="fr-FR"/>
        </w:rPr>
        <w:footnoteReference w:id="27"/>
      </w:r>
      <w:r>
        <w:rPr>
          <w:lang w:val="fr-FR"/>
        </w:rPr>
        <w:t> ;</w:t>
      </w:r>
    </w:p>
    <w:p w:rsidR="00A345B5" w:rsidRDefault="00A345B5" w:rsidP="00E350EE">
      <w:pPr>
        <w:numPr>
          <w:ilvl w:val="0"/>
          <w:numId w:val="9"/>
        </w:numPr>
        <w:rPr>
          <w:lang w:val="fr-FR"/>
        </w:rPr>
      </w:pPr>
      <w:r>
        <w:rPr>
          <w:lang w:val="fr-FR"/>
        </w:rPr>
        <w:t>Sur la base de cet inventaire établir une cartographie des communautés accessibles et celles non accessibles d’un point de vue sécuritaire en identifiant clairement les raisons liées à ce manque d’accès</w:t>
      </w:r>
      <w:r w:rsidR="001E2153">
        <w:rPr>
          <w:lang w:val="fr-FR"/>
        </w:rPr>
        <w:t xml:space="preserve"> (présence des </w:t>
      </w:r>
      <w:r w:rsidR="005D0D05">
        <w:rPr>
          <w:lang w:val="fr-FR"/>
        </w:rPr>
        <w:t>groupes armés</w:t>
      </w:r>
      <w:r w:rsidR="001E2153">
        <w:rPr>
          <w:lang w:val="fr-FR"/>
        </w:rPr>
        <w:t>/terroristes, insécurité de la voie d’accès etc.)</w:t>
      </w:r>
      <w:r>
        <w:rPr>
          <w:lang w:val="fr-FR"/>
        </w:rPr>
        <w:t> ;</w:t>
      </w:r>
    </w:p>
    <w:p w:rsidR="00A345B5" w:rsidRDefault="00B618F3" w:rsidP="00E350EE">
      <w:pPr>
        <w:numPr>
          <w:ilvl w:val="0"/>
          <w:numId w:val="9"/>
        </w:numPr>
        <w:rPr>
          <w:lang w:val="fr-FR"/>
        </w:rPr>
      </w:pPr>
      <w:r>
        <w:rPr>
          <w:lang w:val="fr-FR"/>
        </w:rPr>
        <w:t>Toujours s</w:t>
      </w:r>
      <w:r w:rsidR="00A345B5">
        <w:rPr>
          <w:lang w:val="fr-FR"/>
        </w:rPr>
        <w:t>ur la base de ce</w:t>
      </w:r>
      <w:r>
        <w:rPr>
          <w:lang w:val="fr-FR"/>
        </w:rPr>
        <w:t xml:space="preserve"> premier </w:t>
      </w:r>
      <w:r w:rsidR="00A345B5">
        <w:rPr>
          <w:lang w:val="fr-FR"/>
        </w:rPr>
        <w:t xml:space="preserve">inventaire établir une cartographie de l’accès à l’eau potable de ces communauté (accessibles ou pas) en se basant sur les données préexistantes (base de données SIGMA, diagnostic des </w:t>
      </w:r>
      <w:proofErr w:type="spellStart"/>
      <w:r w:rsidR="00A345B5">
        <w:rPr>
          <w:lang w:val="fr-FR"/>
        </w:rPr>
        <w:t>ONGs</w:t>
      </w:r>
      <w:proofErr w:type="spellEnd"/>
      <w:r>
        <w:rPr>
          <w:lang w:val="fr-FR"/>
        </w:rPr>
        <w:t>) en indiquant la fiabilité de l’information ainsi reportée. Cet inventaire ne devrait pas se borner à un simple décompte des points d’eau mais devrait inclure le réseau de réparateurs qui ont accès à ces villages (et leurs coordonnés) quand ils sont connus ; et</w:t>
      </w:r>
    </w:p>
    <w:p w:rsidR="00B618F3" w:rsidRDefault="00B618F3" w:rsidP="00E350EE">
      <w:pPr>
        <w:numPr>
          <w:ilvl w:val="0"/>
          <w:numId w:val="9"/>
        </w:numPr>
        <w:rPr>
          <w:lang w:val="fr-FR"/>
        </w:rPr>
      </w:pPr>
      <w:r>
        <w:rPr>
          <w:lang w:val="fr-FR"/>
        </w:rPr>
        <w:t>Toujours sur la base de ce premier inventaire établir une cartographie des déplacements et retours des populations en mettant en évidence non seulement le nombre de personnes, la fiabilité de la source d’information mais également l’absence d’information (distinction nette entre l’absence d’information et l’absence de déplacés).</w:t>
      </w:r>
    </w:p>
    <w:p w:rsidR="00B618F3" w:rsidRDefault="00B618F3" w:rsidP="00B618F3">
      <w:pPr>
        <w:rPr>
          <w:lang w:val="fr-FR"/>
        </w:rPr>
      </w:pPr>
      <w:r>
        <w:rPr>
          <w:lang w:val="fr-FR"/>
        </w:rPr>
        <w:t>Sur la base de ces trois cartes, il sera possible de suivre voire de savoir comment agir sur l’évolution de l’accès (carte n°1), affiner l’information en matière d’accès à l’eau potable (carte n°2), de connaître la  pression sur la ressource liées aux déplacements ou aux destructions des groupes salafistes (carte n°3) et d’établir une sélection dynamique des villages prioritaires.</w:t>
      </w:r>
    </w:p>
    <w:p w:rsidR="00B618F3" w:rsidRDefault="00B618F3" w:rsidP="00B618F3">
      <w:pPr>
        <w:rPr>
          <w:lang w:val="fr-FR"/>
        </w:rPr>
      </w:pPr>
      <w:r>
        <w:rPr>
          <w:lang w:val="fr-FR"/>
        </w:rPr>
        <w:t>En milieu urbain, la contrainte sécuritaire est moindre mais doit néanmoins être plus fine en matière d</w:t>
      </w:r>
      <w:r w:rsidR="000F0708">
        <w:rPr>
          <w:lang w:val="fr-FR"/>
        </w:rPr>
        <w:t>’analyse de la capacité des réseaux urbains à assurer un service minimum d’accès à l’eau potable en étendant le réseau aux zones d’installation des populations déplacées et/ou en renforçant la capacité du réseau si celles-ci sont déjà utilisatrices de ce dernier (plus de forages, de pompage, de stockage, meilleur maillage, etc.).</w:t>
      </w:r>
    </w:p>
    <w:p w:rsidR="000F0708" w:rsidRDefault="000F0708" w:rsidP="00B618F3">
      <w:pPr>
        <w:rPr>
          <w:lang w:val="fr-FR"/>
        </w:rPr>
      </w:pPr>
      <w:r>
        <w:rPr>
          <w:lang w:val="fr-FR"/>
        </w:rPr>
        <w:t xml:space="preserve">En matière de qualité de l’intervention, il est clair que l’accent </w:t>
      </w:r>
      <w:r w:rsidR="001E2153">
        <w:rPr>
          <w:lang w:val="fr-FR"/>
        </w:rPr>
        <w:t xml:space="preserve">dans les projets précédents </w:t>
      </w:r>
      <w:r>
        <w:rPr>
          <w:lang w:val="fr-FR"/>
        </w:rPr>
        <w:t xml:space="preserve">n’a pas </w:t>
      </w:r>
      <w:r w:rsidR="001E2153">
        <w:rPr>
          <w:lang w:val="fr-FR"/>
        </w:rPr>
        <w:t xml:space="preserve">assez </w:t>
      </w:r>
      <w:r>
        <w:rPr>
          <w:lang w:val="fr-FR"/>
        </w:rPr>
        <w:t>été porté sur la formation des personnels exploitant</w:t>
      </w:r>
      <w:r w:rsidR="001E2153">
        <w:rPr>
          <w:lang w:val="fr-FR"/>
        </w:rPr>
        <w:t xml:space="preserve">, même si toutes </w:t>
      </w:r>
      <w:proofErr w:type="spellStart"/>
      <w:r w:rsidR="001E2153">
        <w:rPr>
          <w:lang w:val="fr-FR"/>
        </w:rPr>
        <w:t>ONGs</w:t>
      </w:r>
      <w:proofErr w:type="spellEnd"/>
      <w:r w:rsidR="001E2153">
        <w:rPr>
          <w:lang w:val="fr-FR"/>
        </w:rPr>
        <w:t xml:space="preserve"> incluent systématiquement un volet « </w:t>
      </w:r>
      <w:proofErr w:type="spellStart"/>
      <w:r w:rsidR="001E2153">
        <w:rPr>
          <w:lang w:val="fr-FR"/>
        </w:rPr>
        <w:t>re-dynamisation</w:t>
      </w:r>
      <w:proofErr w:type="spellEnd"/>
      <w:r w:rsidR="001E2153">
        <w:rPr>
          <w:lang w:val="fr-FR"/>
        </w:rPr>
        <w:t xml:space="preserve"> de</w:t>
      </w:r>
      <w:r w:rsidR="005D0D05">
        <w:rPr>
          <w:lang w:val="fr-FR"/>
        </w:rPr>
        <w:t xml:space="preserve"> ces derniers. </w:t>
      </w:r>
      <w:r>
        <w:rPr>
          <w:lang w:val="fr-FR"/>
        </w:rPr>
        <w:t>Autant celle-ci peut être admise en milieu rural, autant cette lacune est inacceptable en milieu urbain ou les services techniques doivent être mieux formés à :</w:t>
      </w:r>
    </w:p>
    <w:p w:rsidR="000F0708" w:rsidRDefault="000F0708" w:rsidP="00E350EE">
      <w:pPr>
        <w:numPr>
          <w:ilvl w:val="0"/>
          <w:numId w:val="10"/>
        </w:numPr>
        <w:rPr>
          <w:lang w:val="fr-FR"/>
        </w:rPr>
      </w:pPr>
      <w:r>
        <w:rPr>
          <w:lang w:val="fr-FR"/>
        </w:rPr>
        <w:t>La maintenance d’une station de production (organisation et rangement des outils et des consommables) et l’analyse de la qualité des produits de traitement (concentration en chaux de l’eau de chaux produites, en chlore de la solution mère) ;</w:t>
      </w:r>
    </w:p>
    <w:p w:rsidR="000F0708" w:rsidRDefault="000F0708" w:rsidP="00E350EE">
      <w:pPr>
        <w:numPr>
          <w:ilvl w:val="0"/>
          <w:numId w:val="10"/>
        </w:numPr>
        <w:rPr>
          <w:lang w:val="fr-FR"/>
        </w:rPr>
      </w:pPr>
      <w:r>
        <w:rPr>
          <w:lang w:val="fr-FR"/>
        </w:rPr>
        <w:lastRenderedPageBreak/>
        <w:t>La réalisation d’analyses de la qualité de l’eau produite en cohérence avec les volumes traités au niveau de la station ainsi que le long du réseau ; et</w:t>
      </w:r>
    </w:p>
    <w:p w:rsidR="000F0708" w:rsidRDefault="000F0708" w:rsidP="00E350EE">
      <w:pPr>
        <w:numPr>
          <w:ilvl w:val="0"/>
          <w:numId w:val="10"/>
        </w:numPr>
        <w:rPr>
          <w:lang w:val="fr-FR"/>
        </w:rPr>
      </w:pPr>
      <w:r>
        <w:rPr>
          <w:lang w:val="fr-FR"/>
        </w:rPr>
        <w:t>Un meilleur suivi des quantités distribuées le long du réseau (consommation par borne fontaine, détection des fuites, etc.).</w:t>
      </w:r>
    </w:p>
    <w:p w:rsidR="000F0708" w:rsidRDefault="000F0708" w:rsidP="000F0708">
      <w:pPr>
        <w:rPr>
          <w:lang w:val="fr-FR"/>
        </w:rPr>
      </w:pPr>
      <w:r>
        <w:rPr>
          <w:lang w:val="fr-FR"/>
        </w:rPr>
        <w:t>Vis-à-vis de l’appui direct aux ménages, des alternatives à la distribution de kits (coupons, argent) existent et leur pertinence mérite d’être étudiée notamment dans leur disponibilité et la possibilité d’en développer leur marché.</w:t>
      </w:r>
    </w:p>
    <w:p w:rsidR="00B35C96" w:rsidRDefault="00B35C96" w:rsidP="000F0708">
      <w:pPr>
        <w:rPr>
          <w:lang w:val="fr-FR"/>
        </w:rPr>
      </w:pPr>
      <w:r>
        <w:rPr>
          <w:lang w:val="fr-FR"/>
        </w:rPr>
        <w:t>Enfin la réponse devrait systématiquement intégrer les besoins pastoraux dans leur dimensionnement. Le conflit éleveur-pasteur étant l’ADN des tensions nord-sud, intégrer ces besoins dans un schéma directeur intégré permettrait non seulement d’apaiser les tensions, mais ce faisant, de capter des fonds dédiés (</w:t>
      </w:r>
      <w:proofErr w:type="spellStart"/>
      <w:r>
        <w:rPr>
          <w:lang w:val="fr-FR"/>
        </w:rPr>
        <w:t>IfSP</w:t>
      </w:r>
      <w:proofErr w:type="spellEnd"/>
      <w:r>
        <w:rPr>
          <w:lang w:val="fr-FR"/>
        </w:rPr>
        <w:t xml:space="preserve"> de DEVCO par exemple)</w:t>
      </w:r>
    </w:p>
    <w:p w:rsidR="000F0708" w:rsidRPr="00702515" w:rsidRDefault="00B35C96" w:rsidP="00B35C96">
      <w:pPr>
        <w:pStyle w:val="Heading3"/>
        <w:rPr>
          <w:lang w:val="fr-FR"/>
        </w:rPr>
      </w:pPr>
      <w:bookmarkStart w:id="22" w:name="_Toc406063898"/>
      <w:r w:rsidRPr="00702515">
        <w:rPr>
          <w:lang w:val="fr-FR"/>
        </w:rPr>
        <w:t>L’analyse des données et plaidoyer</w:t>
      </w:r>
      <w:bookmarkEnd w:id="22"/>
    </w:p>
    <w:p w:rsidR="00B618F3" w:rsidRDefault="00B35C96" w:rsidP="00B35C96">
      <w:pPr>
        <w:rPr>
          <w:lang w:val="fr-FR"/>
        </w:rPr>
      </w:pPr>
      <w:r>
        <w:rPr>
          <w:lang w:val="fr-FR"/>
        </w:rPr>
        <w:t>Afin d’avoir un aperçu programmatique des besoins en matières d’accès à l’eau potable (et pastorale, les deux étant indissociables en milieux rural), il est nécessaire de faire l’inventaire de la couverture et du secteur assurant sa gestion, son entretien, sa réparation, son renouvellement et son extension.</w:t>
      </w:r>
    </w:p>
    <w:p w:rsidR="00B35C96" w:rsidRDefault="00B35C96" w:rsidP="00B35C96">
      <w:pPr>
        <w:rPr>
          <w:lang w:val="fr-FR"/>
        </w:rPr>
      </w:pPr>
      <w:r>
        <w:rPr>
          <w:lang w:val="fr-FR"/>
        </w:rPr>
        <w:t>Les données afférentes sont propres à chaque communauté dans la mesure où il relève du croisement entre :</w:t>
      </w:r>
    </w:p>
    <w:p w:rsidR="00B35C96" w:rsidRDefault="00B35C96" w:rsidP="00E350EE">
      <w:pPr>
        <w:numPr>
          <w:ilvl w:val="0"/>
          <w:numId w:val="11"/>
        </w:numPr>
        <w:rPr>
          <w:lang w:val="fr-FR"/>
        </w:rPr>
      </w:pPr>
      <w:r>
        <w:rPr>
          <w:lang w:val="fr-FR"/>
        </w:rPr>
        <w:t>Le type d’exhaure</w:t>
      </w:r>
      <w:r w:rsidR="00624988">
        <w:rPr>
          <w:lang w:val="fr-FR"/>
        </w:rPr>
        <w:t>, stockage</w:t>
      </w:r>
      <w:r>
        <w:rPr>
          <w:lang w:val="fr-FR"/>
        </w:rPr>
        <w:t xml:space="preserve"> et de distribution existant (type de pompe à main, de pompe submergé, </w:t>
      </w:r>
      <w:r w:rsidR="00624988">
        <w:rPr>
          <w:lang w:val="fr-FR"/>
        </w:rPr>
        <w:t xml:space="preserve">durée de vie des équipements, consommables nécessaires, </w:t>
      </w:r>
      <w:proofErr w:type="spellStart"/>
      <w:r>
        <w:rPr>
          <w:lang w:val="fr-FR"/>
        </w:rPr>
        <w:t>etc</w:t>
      </w:r>
      <w:proofErr w:type="spellEnd"/>
      <w:r>
        <w:rPr>
          <w:lang w:val="fr-FR"/>
        </w:rPr>
        <w:t>) ;</w:t>
      </w:r>
    </w:p>
    <w:p w:rsidR="00B35C96" w:rsidRDefault="00B35C96" w:rsidP="00E350EE">
      <w:pPr>
        <w:numPr>
          <w:ilvl w:val="0"/>
          <w:numId w:val="11"/>
        </w:numPr>
        <w:rPr>
          <w:lang w:val="fr-FR"/>
        </w:rPr>
      </w:pPr>
      <w:r>
        <w:rPr>
          <w:lang w:val="fr-FR"/>
        </w:rPr>
        <w:t xml:space="preserve">Ses caractéristiques (profondeur de l’ouvrage de production, étendue du réseau de distribution, etc.) ; </w:t>
      </w:r>
    </w:p>
    <w:p w:rsidR="00B35C96" w:rsidRDefault="00B35C96" w:rsidP="00E350EE">
      <w:pPr>
        <w:numPr>
          <w:ilvl w:val="0"/>
          <w:numId w:val="11"/>
        </w:numPr>
        <w:rPr>
          <w:lang w:val="fr-FR"/>
        </w:rPr>
      </w:pPr>
      <w:r>
        <w:rPr>
          <w:lang w:val="fr-FR"/>
        </w:rPr>
        <w:t>La proximité d’un réparateur, de l’accès à des pièces détachées et des pièces de renouvellement ;</w:t>
      </w:r>
    </w:p>
    <w:p w:rsidR="00B35C96" w:rsidRDefault="00B35C96" w:rsidP="00E350EE">
      <w:pPr>
        <w:numPr>
          <w:ilvl w:val="0"/>
          <w:numId w:val="11"/>
        </w:numPr>
        <w:rPr>
          <w:lang w:val="fr-FR"/>
        </w:rPr>
      </w:pPr>
      <w:r>
        <w:rPr>
          <w:lang w:val="fr-FR"/>
        </w:rPr>
        <w:t>Les usagers eux-mêmes (nombre de personnes, mode</w:t>
      </w:r>
      <w:r w:rsidR="00624988">
        <w:rPr>
          <w:lang w:val="fr-FR"/>
        </w:rPr>
        <w:t>s</w:t>
      </w:r>
      <w:r>
        <w:rPr>
          <w:lang w:val="fr-FR"/>
        </w:rPr>
        <w:t xml:space="preserve"> de gestion choisis, </w:t>
      </w:r>
      <w:r w:rsidR="00624988">
        <w:rPr>
          <w:lang w:val="fr-FR"/>
        </w:rPr>
        <w:t xml:space="preserve">moyens de cotisation, </w:t>
      </w:r>
      <w:proofErr w:type="spellStart"/>
      <w:r w:rsidR="00624988">
        <w:rPr>
          <w:lang w:val="fr-FR"/>
        </w:rPr>
        <w:t>etc</w:t>
      </w:r>
      <w:proofErr w:type="spellEnd"/>
      <w:r w:rsidR="00624988">
        <w:rPr>
          <w:lang w:val="fr-FR"/>
        </w:rPr>
        <w:t>)</w:t>
      </w:r>
    </w:p>
    <w:p w:rsidR="00B35C96" w:rsidRDefault="00B35C96" w:rsidP="00B35C96">
      <w:pPr>
        <w:rPr>
          <w:lang w:val="fr-FR"/>
        </w:rPr>
      </w:pPr>
      <w:r>
        <w:rPr>
          <w:lang w:val="fr-FR"/>
        </w:rPr>
        <w:t>L’</w:t>
      </w:r>
      <w:r w:rsidR="00624988">
        <w:rPr>
          <w:lang w:val="fr-FR"/>
        </w:rPr>
        <w:t xml:space="preserve">information de base qui permet de gérer le service de l’eau est son coût (à distinguer de son prix de vente) et son calcul reprend l’ensemble des éléments mentionnés ci-dessus. </w:t>
      </w:r>
    </w:p>
    <w:p w:rsidR="00624988" w:rsidRDefault="00624988" w:rsidP="00B35C96">
      <w:pPr>
        <w:rPr>
          <w:lang w:val="fr-FR"/>
        </w:rPr>
      </w:pPr>
      <w:r>
        <w:rPr>
          <w:lang w:val="fr-FR"/>
        </w:rPr>
        <w:t>Aussi est-il souhaitable de faire une cartographie du coût du m</w:t>
      </w:r>
      <w:r w:rsidRPr="00624988">
        <w:rPr>
          <w:vertAlign w:val="superscript"/>
          <w:lang w:val="fr-FR"/>
        </w:rPr>
        <w:t>3</w:t>
      </w:r>
      <w:r>
        <w:rPr>
          <w:lang w:val="fr-FR"/>
        </w:rPr>
        <w:t xml:space="preserve"> d’eau de chacune des communautés accessible. Son calcul permettra de mettre en évidence les lacunes en matières d’information (mais qui peuvent être collecté) et les contraintes en matières de gestion (par exemple la distance des réparateurs à un village particulier induit un surcoût d’entretien/réparation.</w:t>
      </w:r>
    </w:p>
    <w:p w:rsidR="00624988" w:rsidRDefault="00624988" w:rsidP="00396C02">
      <w:pPr>
        <w:rPr>
          <w:lang w:val="fr-FR"/>
        </w:rPr>
      </w:pPr>
      <w:r>
        <w:rPr>
          <w:lang w:val="fr-FR"/>
        </w:rPr>
        <w:t xml:space="preserve">Au niveau du dispositif soutenu, il est souhaitable puisse </w:t>
      </w:r>
      <w:r w:rsidR="008B01C6">
        <w:rPr>
          <w:lang w:val="fr-FR"/>
        </w:rPr>
        <w:t xml:space="preserve">maintenir cette plateforme (voire la faire évoluer vers un consortium) afin </w:t>
      </w:r>
      <w:r>
        <w:rPr>
          <w:lang w:val="fr-FR"/>
        </w:rPr>
        <w:t>d’obtenir une plus grande légitimité et visibilité auprès des bailleurs de fonds de développement et des institutions maliennes :</w:t>
      </w:r>
    </w:p>
    <w:p w:rsidR="00624988" w:rsidRDefault="00624988" w:rsidP="00E350EE">
      <w:pPr>
        <w:numPr>
          <w:ilvl w:val="0"/>
          <w:numId w:val="12"/>
        </w:numPr>
        <w:rPr>
          <w:lang w:val="fr-FR"/>
        </w:rPr>
      </w:pPr>
      <w:r>
        <w:rPr>
          <w:lang w:val="fr-FR"/>
        </w:rPr>
        <w:t>UNICEF pourrait se focaliser sur le renforcement des compétences des services techniques en milieu urbain (AES et AEP). L</w:t>
      </w:r>
      <w:r w:rsidR="008B01C6">
        <w:rPr>
          <w:lang w:val="fr-FR"/>
        </w:rPr>
        <w:t>a</w:t>
      </w:r>
      <w:r>
        <w:rPr>
          <w:lang w:val="fr-FR"/>
        </w:rPr>
        <w:t xml:space="preserve"> présence d’UNICEF dans le consortium offre par ailleurs une plus-value</w:t>
      </w:r>
      <w:r w:rsidR="006C48CA">
        <w:rPr>
          <w:lang w:val="fr-FR"/>
        </w:rPr>
        <w:t xml:space="preserve"> en matière de légitimité du consortium auprès des acteurs institutionnels</w:t>
      </w:r>
      <w:r>
        <w:rPr>
          <w:lang w:val="fr-FR"/>
        </w:rPr>
        <w:t>;</w:t>
      </w:r>
      <w:r w:rsidR="006C48CA">
        <w:rPr>
          <w:lang w:val="fr-FR"/>
        </w:rPr>
        <w:t xml:space="preserve"> et</w:t>
      </w:r>
    </w:p>
    <w:p w:rsidR="00624988" w:rsidRDefault="00624988" w:rsidP="00E350EE">
      <w:pPr>
        <w:numPr>
          <w:ilvl w:val="0"/>
          <w:numId w:val="12"/>
        </w:numPr>
        <w:rPr>
          <w:lang w:val="fr-FR"/>
        </w:rPr>
      </w:pPr>
      <w:r>
        <w:rPr>
          <w:lang w:val="fr-FR"/>
        </w:rPr>
        <w:t xml:space="preserve">Les </w:t>
      </w:r>
      <w:proofErr w:type="spellStart"/>
      <w:r>
        <w:rPr>
          <w:lang w:val="fr-FR"/>
        </w:rPr>
        <w:t>ONGs</w:t>
      </w:r>
      <w:proofErr w:type="spellEnd"/>
      <w:r>
        <w:rPr>
          <w:lang w:val="fr-FR"/>
        </w:rPr>
        <w:t xml:space="preserve"> </w:t>
      </w:r>
      <w:r w:rsidR="006C48CA">
        <w:rPr>
          <w:lang w:val="fr-FR"/>
        </w:rPr>
        <w:t>assureraient</w:t>
      </w:r>
      <w:r>
        <w:rPr>
          <w:lang w:val="fr-FR"/>
        </w:rPr>
        <w:t xml:space="preserve"> la couverture des besoins prioritaires en milieu rural tout en renseignant les contraintes de gestion du service que les communautés qu’elles appuient rencontrent (voir ci-dessus, calcul du coût de l’eau)</w:t>
      </w:r>
      <w:r w:rsidR="006C48CA">
        <w:rPr>
          <w:lang w:val="fr-FR"/>
        </w:rPr>
        <w:t xml:space="preserve">. La présence des </w:t>
      </w:r>
      <w:proofErr w:type="spellStart"/>
      <w:r w:rsidR="006C48CA">
        <w:rPr>
          <w:lang w:val="fr-FR"/>
        </w:rPr>
        <w:t>ONGs</w:t>
      </w:r>
      <w:proofErr w:type="spellEnd"/>
      <w:r w:rsidR="006C48CA">
        <w:rPr>
          <w:lang w:val="fr-FR"/>
        </w:rPr>
        <w:t xml:space="preserve"> garantie une expertise opérationnelle réellement ancrée sur le terrain des opérations</w:t>
      </w:r>
      <w:r w:rsidR="008B01C6">
        <w:rPr>
          <w:lang w:val="fr-FR"/>
        </w:rPr>
        <w:t>.</w:t>
      </w:r>
    </w:p>
    <w:p w:rsidR="006C48CA" w:rsidRDefault="006C48CA" w:rsidP="00396C02">
      <w:pPr>
        <w:rPr>
          <w:lang w:val="fr-FR"/>
        </w:rPr>
      </w:pPr>
      <w:r>
        <w:rPr>
          <w:lang w:val="fr-FR"/>
        </w:rPr>
        <w:t>Un tel montage a permis la transition entre une réponse d’urgence et une réponse de développement dans la riposte au choléra au Zimbabwe (GAA assurait alors la direction d</w:t>
      </w:r>
      <w:r w:rsidR="008B01C6">
        <w:rPr>
          <w:lang w:val="fr-FR"/>
        </w:rPr>
        <w:t>’</w:t>
      </w:r>
      <w:r>
        <w:rPr>
          <w:lang w:val="fr-FR"/>
        </w:rPr>
        <w:t>u</w:t>
      </w:r>
      <w:r w:rsidR="008B01C6">
        <w:rPr>
          <w:lang w:val="fr-FR"/>
        </w:rPr>
        <w:t>n</w:t>
      </w:r>
      <w:r>
        <w:rPr>
          <w:lang w:val="fr-FR"/>
        </w:rPr>
        <w:t xml:space="preserve"> consortium soutenu par ECHO)</w:t>
      </w:r>
      <w:r w:rsidR="008B01C6">
        <w:rPr>
          <w:lang w:val="fr-FR"/>
        </w:rPr>
        <w:t>.</w:t>
      </w:r>
    </w:p>
    <w:p w:rsidR="008B01C6" w:rsidRDefault="006C48CA" w:rsidP="00396C02">
      <w:pPr>
        <w:rPr>
          <w:lang w:val="fr-FR"/>
        </w:rPr>
      </w:pPr>
      <w:r>
        <w:rPr>
          <w:lang w:val="fr-FR"/>
        </w:rPr>
        <w:t>Par ailleurs, il serait également souhaitable d’intéresser les bailleu</w:t>
      </w:r>
      <w:r w:rsidR="008B01C6">
        <w:rPr>
          <w:lang w:val="fr-FR"/>
        </w:rPr>
        <w:t xml:space="preserve">rs de fonds au développement </w:t>
      </w:r>
      <w:r>
        <w:rPr>
          <w:lang w:val="fr-FR"/>
        </w:rPr>
        <w:t xml:space="preserve">en présentant la problématique non seulement dans sa dimension humanitaire mais également dans une perspective de réduction des tensions entre pasteur et agriculteurs pour l’accès à l’eau en milieu rural. Cette participation est par ailleurs déjà embryonnaire dans le montage existant dans la mesure </w:t>
      </w:r>
      <w:r w:rsidR="00BC0C42">
        <w:rPr>
          <w:lang w:val="fr-FR"/>
        </w:rPr>
        <w:t>où</w:t>
      </w:r>
      <w:r>
        <w:rPr>
          <w:lang w:val="fr-FR"/>
        </w:rPr>
        <w:t xml:space="preserve"> la Suède a contribué à élargir de </w:t>
      </w:r>
      <w:r>
        <w:rPr>
          <w:lang w:val="fr-FR"/>
        </w:rPr>
        <w:lastRenderedPageBreak/>
        <w:t>14 à 16 le nombre d’AES réhabilitées dans le projet ECHO en cours de complétion en soutenant l’UNICEF dans ce volet</w:t>
      </w:r>
      <w:r w:rsidR="00BC0C42">
        <w:rPr>
          <w:rStyle w:val="FootnoteReference"/>
          <w:lang w:val="fr-FR"/>
        </w:rPr>
        <w:footnoteReference w:id="28"/>
      </w:r>
      <w:r>
        <w:rPr>
          <w:lang w:val="fr-FR"/>
        </w:rPr>
        <w:t>.</w:t>
      </w:r>
      <w:r w:rsidR="008B01C6">
        <w:rPr>
          <w:lang w:val="fr-FR"/>
        </w:rPr>
        <w:t xml:space="preserve"> Il est par conséquent souhaitable que la plateforme </w:t>
      </w:r>
      <w:r w:rsidR="00BC0C42">
        <w:rPr>
          <w:lang w:val="fr-FR"/>
        </w:rPr>
        <w:t>développe</w:t>
      </w:r>
      <w:r w:rsidR="008B01C6">
        <w:rPr>
          <w:lang w:val="fr-FR"/>
        </w:rPr>
        <w:t xml:space="preserve"> sa propre stratégie bailleur avec ECHO comme bailleurs de départ et des bailleurs de développement par la suite.</w:t>
      </w:r>
    </w:p>
    <w:p w:rsidR="00A345B5" w:rsidRDefault="00702515" w:rsidP="00702515">
      <w:pPr>
        <w:pStyle w:val="Heading2"/>
        <w:rPr>
          <w:lang w:val="fr-FR"/>
        </w:rPr>
      </w:pPr>
      <w:bookmarkStart w:id="23" w:name="_Toc406063899"/>
      <w:r>
        <w:rPr>
          <w:lang w:val="fr-FR"/>
        </w:rPr>
        <w:t>Epidémie : Ebola au Mali</w:t>
      </w:r>
      <w:bookmarkEnd w:id="23"/>
    </w:p>
    <w:p w:rsidR="00A0428F" w:rsidRDefault="00A0428F" w:rsidP="00A0428F">
      <w:pPr>
        <w:pStyle w:val="Heading4"/>
        <w:rPr>
          <w:lang w:val="fr-FR"/>
        </w:rPr>
      </w:pPr>
      <w:r>
        <w:rPr>
          <w:lang w:val="fr-FR"/>
        </w:rPr>
        <w:t>Stratégie</w:t>
      </w:r>
    </w:p>
    <w:p w:rsidR="008B01C6" w:rsidRDefault="008B01C6" w:rsidP="00702515">
      <w:pPr>
        <w:rPr>
          <w:lang w:val="fr-FR"/>
        </w:rPr>
      </w:pPr>
      <w:r>
        <w:rPr>
          <w:lang w:val="fr-FR"/>
        </w:rPr>
        <w:t>La stratégie de renforcement des structures nationales et d’encadrement de celles-ci est en adéquation avec les besoins (quelles garanties de qualité des prestations au-delà des formations assurées par l’OMS) et des spécificités du pays (réponse inscrites dans le dispositif du Ministère de la Santé, absence de capacité de ce dernier à garantir un suivi de la qualité des prestations de son personnel).</w:t>
      </w:r>
    </w:p>
    <w:p w:rsidR="00A0428F" w:rsidRDefault="00A0428F" w:rsidP="00A0428F">
      <w:pPr>
        <w:pStyle w:val="Heading4"/>
        <w:rPr>
          <w:lang w:val="fr-FR"/>
        </w:rPr>
      </w:pPr>
      <w:r>
        <w:rPr>
          <w:lang w:val="fr-FR"/>
        </w:rPr>
        <w:t>Structures de confinement</w:t>
      </w:r>
    </w:p>
    <w:p w:rsidR="002E51B7" w:rsidRDefault="008B01C6" w:rsidP="00702515">
      <w:pPr>
        <w:rPr>
          <w:lang w:val="fr-FR"/>
        </w:rPr>
      </w:pPr>
      <w:r>
        <w:rPr>
          <w:lang w:val="fr-FR"/>
        </w:rPr>
        <w:t xml:space="preserve">Vis-à-vis des observations relevées lors de la visite des activités </w:t>
      </w:r>
      <w:proofErr w:type="spellStart"/>
      <w:r>
        <w:rPr>
          <w:lang w:val="fr-FR"/>
        </w:rPr>
        <w:t>Alima</w:t>
      </w:r>
      <w:proofErr w:type="spellEnd"/>
      <w:r>
        <w:rPr>
          <w:lang w:val="fr-FR"/>
        </w:rPr>
        <w:t>, il ressort que :</w:t>
      </w:r>
    </w:p>
    <w:p w:rsidR="008B01C6" w:rsidRDefault="008B01C6" w:rsidP="00702515">
      <w:pPr>
        <w:rPr>
          <w:lang w:val="fr-FR"/>
        </w:rPr>
      </w:pPr>
      <w:r>
        <w:rPr>
          <w:lang w:val="fr-FR"/>
        </w:rPr>
        <w:t xml:space="preserve">Les cordons sanitaires ne stopperont pas un propagation de la maladie : si une personne veut éviter le contrôle, elle le peut, compte tenu du laxisme des autorités en charge. </w:t>
      </w:r>
    </w:p>
    <w:p w:rsidR="009173B5" w:rsidRDefault="008B01C6" w:rsidP="009173B5">
      <w:pPr>
        <w:numPr>
          <w:ilvl w:val="0"/>
          <w:numId w:val="20"/>
        </w:numPr>
        <w:rPr>
          <w:lang w:val="fr-FR"/>
        </w:rPr>
      </w:pPr>
      <w:r>
        <w:rPr>
          <w:lang w:val="fr-FR"/>
        </w:rPr>
        <w:t>Un protocole extrêmement clair devrait être mis en place incluant</w:t>
      </w:r>
      <w:r w:rsidR="009173B5">
        <w:rPr>
          <w:lang w:val="fr-FR"/>
        </w:rPr>
        <w:t> :</w:t>
      </w:r>
    </w:p>
    <w:p w:rsidR="009173B5" w:rsidRDefault="009173B5" w:rsidP="009173B5">
      <w:pPr>
        <w:numPr>
          <w:ilvl w:val="0"/>
          <w:numId w:val="20"/>
        </w:numPr>
        <w:rPr>
          <w:lang w:val="fr-FR"/>
        </w:rPr>
      </w:pPr>
      <w:r>
        <w:rPr>
          <w:lang w:val="fr-FR"/>
        </w:rPr>
        <w:t>Un barrage sur la route imposant l’arrêt du véhicule</w:t>
      </w:r>
    </w:p>
    <w:p w:rsidR="009173B5" w:rsidRDefault="009173B5" w:rsidP="009173B5">
      <w:pPr>
        <w:numPr>
          <w:ilvl w:val="0"/>
          <w:numId w:val="20"/>
        </w:numPr>
        <w:rPr>
          <w:lang w:val="fr-FR"/>
        </w:rPr>
      </w:pPr>
      <w:r>
        <w:rPr>
          <w:lang w:val="fr-FR"/>
        </w:rPr>
        <w:t>Le contrôle du chauffeur et de son assistant (dans un premier temps) ;</w:t>
      </w:r>
    </w:p>
    <w:p w:rsidR="009173B5" w:rsidRDefault="009173B5" w:rsidP="009173B5">
      <w:pPr>
        <w:numPr>
          <w:ilvl w:val="0"/>
          <w:numId w:val="20"/>
        </w:numPr>
        <w:rPr>
          <w:lang w:val="fr-FR"/>
        </w:rPr>
      </w:pPr>
      <w:r>
        <w:rPr>
          <w:lang w:val="fr-FR"/>
        </w:rPr>
        <w:t>L’évacuation des passagers et leur direction vers un sas de contrôle (pas de retour en arrière) ;</w:t>
      </w:r>
    </w:p>
    <w:p w:rsidR="009173B5" w:rsidRDefault="009173B5" w:rsidP="009173B5">
      <w:pPr>
        <w:numPr>
          <w:ilvl w:val="0"/>
          <w:numId w:val="20"/>
        </w:numPr>
        <w:rPr>
          <w:lang w:val="fr-FR"/>
        </w:rPr>
      </w:pPr>
      <w:r>
        <w:rPr>
          <w:lang w:val="fr-FR"/>
        </w:rPr>
        <w:t>Le contrôle de l’absence de personne dans le véhicule ;</w:t>
      </w:r>
    </w:p>
    <w:p w:rsidR="009173B5" w:rsidRDefault="009173B5" w:rsidP="009173B5">
      <w:pPr>
        <w:numPr>
          <w:ilvl w:val="0"/>
          <w:numId w:val="20"/>
        </w:numPr>
        <w:rPr>
          <w:lang w:val="fr-FR"/>
        </w:rPr>
      </w:pPr>
      <w:r>
        <w:rPr>
          <w:lang w:val="fr-FR"/>
        </w:rPr>
        <w:t xml:space="preserve">Une fois vérifié,  le chauffeur, si contrôlé négatif, est amené à franchir la barrière avec son véhicule ; et </w:t>
      </w:r>
    </w:p>
    <w:p w:rsidR="009173B5" w:rsidRDefault="009173B5" w:rsidP="009173B5">
      <w:pPr>
        <w:numPr>
          <w:ilvl w:val="0"/>
          <w:numId w:val="20"/>
        </w:numPr>
        <w:rPr>
          <w:lang w:val="fr-FR"/>
        </w:rPr>
      </w:pPr>
      <w:r>
        <w:rPr>
          <w:lang w:val="fr-FR"/>
        </w:rPr>
        <w:t>Les passagers contrôlés négatifs rembarquent dans le véhicule au-delà du sas de contrôle.</w:t>
      </w:r>
    </w:p>
    <w:p w:rsidR="009173B5" w:rsidRDefault="009173B5" w:rsidP="00702515">
      <w:pPr>
        <w:rPr>
          <w:lang w:val="fr-FR"/>
        </w:rPr>
      </w:pPr>
      <w:r>
        <w:rPr>
          <w:lang w:val="fr-FR"/>
        </w:rPr>
        <w:t xml:space="preserve">Vis-à-vis du centre de transit, la plupart des observations faites ont déjà été rapportées par </w:t>
      </w:r>
      <w:proofErr w:type="spellStart"/>
      <w:r>
        <w:rPr>
          <w:lang w:val="fr-FR"/>
        </w:rPr>
        <w:t>Alima</w:t>
      </w:r>
      <w:proofErr w:type="spellEnd"/>
      <w:r>
        <w:rPr>
          <w:lang w:val="fr-FR"/>
        </w:rPr>
        <w:t>. Il conviendra néanmoins de s’assurer que des solutions sont mises en œuvre pour y remédier.</w:t>
      </w:r>
    </w:p>
    <w:p w:rsidR="00A0428F" w:rsidRDefault="00A0428F" w:rsidP="00A0428F">
      <w:pPr>
        <w:rPr>
          <w:lang w:val="fr-FR"/>
        </w:rPr>
      </w:pPr>
      <w:r>
        <w:rPr>
          <w:lang w:val="fr-FR"/>
        </w:rPr>
        <w:t>Le peu de sensibilisation du personnel médical en poste met en évidence la réelle absence de formation en cascade sur laquelle est basée la stratégie de l’OMS et souligne la nécessité d’un suivi continue de la rigueur avec laquelle les personnels des centres de santé observent les protocoles de confinement de la maladie.</w:t>
      </w:r>
    </w:p>
    <w:p w:rsidR="009173B5" w:rsidRDefault="00A0428F" w:rsidP="00A0428F">
      <w:pPr>
        <w:pStyle w:val="Heading4"/>
        <w:rPr>
          <w:lang w:val="fr-FR"/>
        </w:rPr>
      </w:pPr>
      <w:r>
        <w:rPr>
          <w:lang w:val="fr-FR"/>
        </w:rPr>
        <w:t>COordination</w:t>
      </w:r>
    </w:p>
    <w:p w:rsidR="00171AEB" w:rsidRDefault="00A0428F" w:rsidP="00171AEB">
      <w:pPr>
        <w:rPr>
          <w:lang w:val="fr-FR"/>
        </w:rPr>
      </w:pPr>
      <w:r>
        <w:rPr>
          <w:lang w:val="fr-FR"/>
        </w:rPr>
        <w:t>Compte tenu de la captation des plateformes de coordination par des structures qui n’ont ni les moyens de participer à la ressources, ni les compétences minimale, il est recommandé de restreindre la participation d’ECHO à celles ayant une réelle valeur ajoutée opérationnelle.(</w:t>
      </w:r>
      <w:proofErr w:type="spellStart"/>
      <w:r>
        <w:rPr>
          <w:lang w:val="fr-FR"/>
        </w:rPr>
        <w:t>ie</w:t>
      </w:r>
      <w:proofErr w:type="spellEnd"/>
      <w:r>
        <w:rPr>
          <w:lang w:val="fr-FR"/>
        </w:rPr>
        <w:t> : standardisation des outils et dispositifs, identification et couverture des lacunes et élimination des doublons).</w:t>
      </w:r>
    </w:p>
    <w:p w:rsidR="007524E1" w:rsidRDefault="003F0C5A" w:rsidP="007524E1">
      <w:pPr>
        <w:pStyle w:val="Heading2"/>
        <w:rPr>
          <w:lang w:val="fr-FR"/>
        </w:rPr>
      </w:pPr>
      <w:bookmarkStart w:id="24" w:name="_Toc406063900"/>
      <w:r>
        <w:rPr>
          <w:lang w:val="fr-FR"/>
        </w:rPr>
        <w:t>WASH’NUT</w:t>
      </w:r>
      <w:r w:rsidR="007524E1">
        <w:rPr>
          <w:lang w:val="fr-FR"/>
        </w:rPr>
        <w:t xml:space="preserve"> au Mali</w:t>
      </w:r>
      <w:bookmarkEnd w:id="24"/>
    </w:p>
    <w:p w:rsidR="005F1C3C" w:rsidRPr="00A0428F" w:rsidRDefault="005F1C3C" w:rsidP="005F1C3C">
      <w:pPr>
        <w:pStyle w:val="Heading3"/>
        <w:rPr>
          <w:lang w:val="fr-FR"/>
        </w:rPr>
      </w:pPr>
      <w:bookmarkStart w:id="25" w:name="_Toc406063901"/>
      <w:r w:rsidRPr="00A0428F">
        <w:rPr>
          <w:lang w:val="fr-FR"/>
        </w:rPr>
        <w:t>Prise en charge</w:t>
      </w:r>
      <w:bookmarkEnd w:id="25"/>
    </w:p>
    <w:p w:rsidR="007524E1" w:rsidRDefault="007524E1" w:rsidP="00702515">
      <w:pPr>
        <w:rPr>
          <w:lang w:val="fr-FR"/>
        </w:rPr>
      </w:pPr>
      <w:r>
        <w:rPr>
          <w:lang w:val="fr-FR"/>
        </w:rPr>
        <w:t xml:space="preserve">L’accès aux services </w:t>
      </w:r>
      <w:r w:rsidR="00A175D3">
        <w:rPr>
          <w:lang w:val="fr-FR"/>
        </w:rPr>
        <w:t>EHA</w:t>
      </w:r>
      <w:r>
        <w:rPr>
          <w:lang w:val="fr-FR"/>
        </w:rPr>
        <w:t xml:space="preserve"> essentiels (accès à l’eau potable, </w:t>
      </w:r>
      <w:r w:rsidR="00123F26">
        <w:rPr>
          <w:lang w:val="fr-FR"/>
        </w:rPr>
        <w:t>à une hygiène minimale) doit être considéré comme faisant partie des soins thérapeutiques dans la prise en charge de la malnutrition. A ce titre, elle nécessite la systématisation de cet accès que ce soit au sein des structures de prise en charge ou dans les familles assurant elles-mêmes ces soins.</w:t>
      </w:r>
    </w:p>
    <w:p w:rsidR="00123F26" w:rsidRDefault="00123F26" w:rsidP="00702515">
      <w:pPr>
        <w:rPr>
          <w:lang w:val="fr-FR"/>
        </w:rPr>
      </w:pPr>
      <w:r>
        <w:rPr>
          <w:lang w:val="fr-FR"/>
        </w:rPr>
        <w:t>Il est par conséquent souhaitable que tous les partenaires d’ECHO impliqués soit dans la gestion des centres de prise en charge, soit dans la distribution d’intrants nutritionnels (pour une prise en charge à domicile) garantissent cet accès et en assure le suivi.</w:t>
      </w:r>
    </w:p>
    <w:p w:rsidR="00123F26" w:rsidRDefault="00123F26" w:rsidP="00702515">
      <w:pPr>
        <w:rPr>
          <w:lang w:val="fr-FR"/>
        </w:rPr>
      </w:pPr>
      <w:r>
        <w:rPr>
          <w:lang w:val="fr-FR"/>
        </w:rPr>
        <w:t xml:space="preserve">Au niveau des structures de prise en charge, cela se traduit par s’assurer que ces services </w:t>
      </w:r>
      <w:r>
        <w:rPr>
          <w:lang w:val="fr-FR"/>
        </w:rPr>
        <w:lastRenderedPageBreak/>
        <w:t>soient mis en place et qu’ils soient correctement contrôlés (au travers d’un personnel formé pour ce faire</w:t>
      </w:r>
      <w:r>
        <w:rPr>
          <w:rStyle w:val="FootnoteReference"/>
          <w:lang w:val="fr-FR"/>
        </w:rPr>
        <w:footnoteReference w:id="29"/>
      </w:r>
      <w:r>
        <w:rPr>
          <w:lang w:val="fr-FR"/>
        </w:rPr>
        <w:t xml:space="preserve">) ; et </w:t>
      </w:r>
    </w:p>
    <w:p w:rsidR="00123F26" w:rsidRDefault="00123F26" w:rsidP="00702515">
      <w:pPr>
        <w:rPr>
          <w:lang w:val="fr-FR"/>
        </w:rPr>
      </w:pPr>
      <w:r>
        <w:rPr>
          <w:lang w:val="fr-FR"/>
        </w:rPr>
        <w:t>Au niveau des ménages cela se traduit par s’assurer que ces services soient mis en place par les familles elles-mêmes (et qu’ils soient correctement contrôlés)</w:t>
      </w:r>
      <w:r>
        <w:rPr>
          <w:rStyle w:val="FootnoteReference"/>
          <w:lang w:val="fr-FR"/>
        </w:rPr>
        <w:footnoteReference w:id="30"/>
      </w:r>
      <w:r>
        <w:rPr>
          <w:lang w:val="fr-FR"/>
        </w:rPr>
        <w:t>.</w:t>
      </w:r>
    </w:p>
    <w:p w:rsidR="00123F26" w:rsidRDefault="00123F26" w:rsidP="00702515">
      <w:pPr>
        <w:rPr>
          <w:lang w:val="fr-FR"/>
        </w:rPr>
      </w:pPr>
      <w:r>
        <w:rPr>
          <w:lang w:val="fr-FR"/>
        </w:rPr>
        <w:t xml:space="preserve">Les paramètres à mesurer devront porter sur l’accès et l’usage du savon (entretien et observation dans le ménage) et présence de chlore résiduel libre et turbidité limitée dans l’eau de boisson des ménages. </w:t>
      </w:r>
    </w:p>
    <w:p w:rsidR="00123F26" w:rsidRDefault="00123F26" w:rsidP="00702515">
      <w:pPr>
        <w:rPr>
          <w:lang w:val="fr-FR"/>
        </w:rPr>
      </w:pPr>
      <w:r>
        <w:rPr>
          <w:lang w:val="fr-FR"/>
        </w:rPr>
        <w:t xml:space="preserve">Les outils nécessaires (enquêtes, pool tester, turbidimètre) </w:t>
      </w:r>
      <w:r w:rsidR="005F1C3C">
        <w:rPr>
          <w:lang w:val="fr-FR"/>
        </w:rPr>
        <w:t>sont peu coûteux dans la mesure où les appareils de mesure (pool tester, turbidimètre, consommables) ne le sont pas</w:t>
      </w:r>
      <w:r w:rsidR="005F1C3C">
        <w:rPr>
          <w:rStyle w:val="FootnoteReference"/>
          <w:lang w:val="fr-FR"/>
        </w:rPr>
        <w:footnoteReference w:id="31"/>
      </w:r>
      <w:r w:rsidR="005F1C3C">
        <w:rPr>
          <w:lang w:val="fr-FR"/>
        </w:rPr>
        <w:t xml:space="preserve"> (et aisé d’usage) ou </w:t>
      </w:r>
      <w:r>
        <w:rPr>
          <w:lang w:val="fr-FR"/>
        </w:rPr>
        <w:t xml:space="preserve">devraient s’inscrire dans des activités de suivi </w:t>
      </w:r>
      <w:r w:rsidR="005F1C3C">
        <w:rPr>
          <w:lang w:val="fr-FR"/>
        </w:rPr>
        <w:t>déjà intégrées aux</w:t>
      </w:r>
      <w:r>
        <w:rPr>
          <w:lang w:val="fr-FR"/>
        </w:rPr>
        <w:t xml:space="preserve"> programme</w:t>
      </w:r>
      <w:r w:rsidR="005F1C3C">
        <w:rPr>
          <w:lang w:val="fr-FR"/>
        </w:rPr>
        <w:t>s</w:t>
      </w:r>
      <w:r>
        <w:rPr>
          <w:lang w:val="fr-FR"/>
        </w:rPr>
        <w:t xml:space="preserve"> nutritionnel</w:t>
      </w:r>
      <w:r w:rsidR="005F1C3C">
        <w:rPr>
          <w:lang w:val="fr-FR"/>
        </w:rPr>
        <w:t>s</w:t>
      </w:r>
      <w:r>
        <w:rPr>
          <w:lang w:val="fr-FR"/>
        </w:rPr>
        <w:t xml:space="preserve"> (enqu</w:t>
      </w:r>
      <w:r w:rsidR="005F1C3C">
        <w:rPr>
          <w:lang w:val="fr-FR"/>
        </w:rPr>
        <w:t>ête/dépistage).</w:t>
      </w:r>
    </w:p>
    <w:p w:rsidR="005F1C3C" w:rsidRDefault="005F1C3C" w:rsidP="005F1C3C">
      <w:pPr>
        <w:pStyle w:val="Heading3"/>
      </w:pPr>
      <w:bookmarkStart w:id="26" w:name="_Toc406063902"/>
      <w:proofErr w:type="spellStart"/>
      <w:r>
        <w:t>Prévention</w:t>
      </w:r>
      <w:bookmarkEnd w:id="26"/>
      <w:proofErr w:type="spellEnd"/>
    </w:p>
    <w:p w:rsidR="005F1C3C" w:rsidRDefault="005F1C3C" w:rsidP="00702515">
      <w:pPr>
        <w:rPr>
          <w:lang w:val="fr-FR"/>
        </w:rPr>
      </w:pPr>
      <w:r>
        <w:rPr>
          <w:lang w:val="fr-FR"/>
        </w:rPr>
        <w:t xml:space="preserve">Au niveau de la prévention, elle se traduit par la mise à disposition d’un kit </w:t>
      </w:r>
      <w:r w:rsidR="00A175D3">
        <w:rPr>
          <w:lang w:val="fr-FR"/>
        </w:rPr>
        <w:t>EHA</w:t>
      </w:r>
      <w:r>
        <w:rPr>
          <w:lang w:val="fr-FR"/>
        </w:rPr>
        <w:t xml:space="preserve"> au sortir de la structure de santé quand la prise en charge de la malnutrition est assurée en son sein. Si les soins ont été assurés par la famille elle-même, elle a déjà bénéficié d’un premier kit </w:t>
      </w:r>
      <w:r w:rsidR="00A175D3">
        <w:rPr>
          <w:lang w:val="fr-FR"/>
        </w:rPr>
        <w:t>EHA</w:t>
      </w:r>
      <w:r>
        <w:rPr>
          <w:lang w:val="fr-FR"/>
        </w:rPr>
        <w:t xml:space="preserve"> pour la durée du traitement et devrait recevoir un complément lui permettant d’avoir un kit identique à celui distribué au sortir des structures assurant la prise en charge intra-muros (voir ci-dessus).</w:t>
      </w:r>
    </w:p>
    <w:p w:rsidR="005F1C3C" w:rsidRDefault="005F1C3C" w:rsidP="00702515">
      <w:pPr>
        <w:rPr>
          <w:lang w:val="fr-FR"/>
        </w:rPr>
      </w:pPr>
      <w:r>
        <w:rPr>
          <w:lang w:val="fr-FR"/>
        </w:rPr>
        <w:t>Au niveau de la stratégie d’ECHO, compte tenu d</w:t>
      </w:r>
      <w:r w:rsidR="0028507F">
        <w:rPr>
          <w:lang w:val="fr-FR"/>
        </w:rPr>
        <w:t>u recul stratégique à la simple prise en charge, l’intégration de ce volet dans le secteur nutrition n’est pas une obligation. Il devrait toutefois pouvoir être intégré si une analyse contextuel montre la valeur ajoutée d’une telle activité et si leurs financements est possible sans compromettre l’appui au secteur.</w:t>
      </w:r>
    </w:p>
    <w:p w:rsidR="0028507F" w:rsidRDefault="0028507F" w:rsidP="0028507F">
      <w:pPr>
        <w:pStyle w:val="Heading3"/>
      </w:pPr>
      <w:bookmarkStart w:id="27" w:name="_Toc406063903"/>
      <w:r>
        <w:t>Documentation</w:t>
      </w:r>
      <w:bookmarkEnd w:id="27"/>
    </w:p>
    <w:p w:rsidR="0028507F" w:rsidRDefault="0028507F" w:rsidP="00702515">
      <w:pPr>
        <w:rPr>
          <w:lang w:val="fr-FR"/>
        </w:rPr>
      </w:pPr>
      <w:r w:rsidRPr="0028507F">
        <w:rPr>
          <w:lang w:val="fr-FR"/>
        </w:rPr>
        <w:t>Afin de remédier au peu</w:t>
      </w:r>
      <w:r>
        <w:rPr>
          <w:lang w:val="fr-FR"/>
        </w:rPr>
        <w:t xml:space="preserve"> d’études </w:t>
      </w:r>
      <w:r w:rsidRPr="0028507F">
        <w:rPr>
          <w:lang w:val="fr-FR"/>
        </w:rPr>
        <w:t>scientifique</w:t>
      </w:r>
      <w:r>
        <w:rPr>
          <w:lang w:val="fr-FR"/>
        </w:rPr>
        <w:t>s</w:t>
      </w:r>
      <w:r w:rsidRPr="0028507F">
        <w:rPr>
          <w:lang w:val="fr-FR"/>
        </w:rPr>
        <w:t xml:space="preserve"> établissant un lien entre malnutrition (et non maladie) et défaut d’accès</w:t>
      </w:r>
      <w:r>
        <w:rPr>
          <w:lang w:val="fr-FR"/>
        </w:rPr>
        <w:t xml:space="preserve"> aux services EAH, il serait souhaitable de soutenir les opportunités existantes. Deux critères devraient conditionner ce soutien :</w:t>
      </w:r>
    </w:p>
    <w:p w:rsidR="0028507F" w:rsidRDefault="0028507F" w:rsidP="00E350EE">
      <w:pPr>
        <w:numPr>
          <w:ilvl w:val="0"/>
          <w:numId w:val="15"/>
        </w:numPr>
        <w:rPr>
          <w:lang w:val="fr-FR"/>
        </w:rPr>
      </w:pPr>
      <w:r>
        <w:rPr>
          <w:lang w:val="fr-FR"/>
        </w:rPr>
        <w:t>Le besoin d’une telle étude soit porté par le partenaire lui-même et non suggéré par ECHO ;</w:t>
      </w:r>
      <w:bookmarkStart w:id="28" w:name="_GoBack"/>
      <w:bookmarkEnd w:id="28"/>
    </w:p>
    <w:p w:rsidR="0028507F" w:rsidRDefault="0028507F" w:rsidP="00E350EE">
      <w:pPr>
        <w:numPr>
          <w:ilvl w:val="0"/>
          <w:numId w:val="15"/>
        </w:numPr>
        <w:rPr>
          <w:lang w:val="fr-FR"/>
        </w:rPr>
      </w:pPr>
      <w:r>
        <w:rPr>
          <w:lang w:val="fr-FR"/>
        </w:rPr>
        <w:t xml:space="preserve">La méthodologie employé pour l’étude présente les garanties suffisante à leur validité </w:t>
      </w:r>
      <w:r w:rsidR="003F0C5A">
        <w:rPr>
          <w:lang w:val="fr-FR"/>
        </w:rPr>
        <w:t>scientifique (échantillon test/échantillon référence, homogénéité des populations, représentativité des échantillons).</w:t>
      </w:r>
    </w:p>
    <w:p w:rsidR="00843106" w:rsidRPr="00AA4DCB" w:rsidRDefault="00AA4DCB" w:rsidP="00843106">
      <w:pPr>
        <w:pStyle w:val="Heading1"/>
        <w:rPr>
          <w:lang w:val="fr-FR"/>
        </w:rPr>
      </w:pPr>
      <w:bookmarkStart w:id="29" w:name="_Toc406063904"/>
      <w:r w:rsidRPr="00AA4DCB">
        <w:rPr>
          <w:lang w:val="fr-FR"/>
        </w:rPr>
        <w:t xml:space="preserve">Cohérence avec les </w:t>
      </w:r>
      <w:r w:rsidR="0028507F" w:rsidRPr="00AA4DCB">
        <w:rPr>
          <w:lang w:val="fr-FR"/>
        </w:rPr>
        <w:t>stratégies</w:t>
      </w:r>
      <w:r w:rsidRPr="00AA4DCB">
        <w:rPr>
          <w:lang w:val="fr-FR"/>
        </w:rPr>
        <w:t xml:space="preserve"> sectorielles d’ECHO</w:t>
      </w:r>
      <w:bookmarkEnd w:id="29"/>
    </w:p>
    <w:p w:rsidR="002A6166" w:rsidRDefault="00776662" w:rsidP="00776662">
      <w:pPr>
        <w:pStyle w:val="Heading2"/>
        <w:rPr>
          <w:lang w:val="fr-FR"/>
        </w:rPr>
      </w:pPr>
      <w:bookmarkStart w:id="30" w:name="_Toc406063905"/>
      <w:r>
        <w:rPr>
          <w:lang w:val="fr-FR"/>
        </w:rPr>
        <w:t xml:space="preserve">Déplacement de population : Réponse Eau Hygiène et Assainissement au Nord </w:t>
      </w:r>
      <w:r w:rsidRPr="00D71E43">
        <w:rPr>
          <w:lang w:val="fr-FR"/>
        </w:rPr>
        <w:t>Mali</w:t>
      </w:r>
      <w:bookmarkEnd w:id="30"/>
    </w:p>
    <w:p w:rsidR="007A1DEE" w:rsidRDefault="007A1DEE" w:rsidP="002A6166">
      <w:pPr>
        <w:rPr>
          <w:lang w:val="fr-FR"/>
        </w:rPr>
      </w:pPr>
      <w:r>
        <w:rPr>
          <w:lang w:val="fr-FR"/>
        </w:rPr>
        <w:t xml:space="preserve">La réponse </w:t>
      </w:r>
      <w:r w:rsidR="00A175D3">
        <w:rPr>
          <w:lang w:val="fr-FR"/>
        </w:rPr>
        <w:t xml:space="preserve">EHA </w:t>
      </w:r>
      <w:r>
        <w:rPr>
          <w:lang w:val="fr-FR"/>
        </w:rPr>
        <w:t>au nord du Mali a une forte composante LRRD dans la mesure où elle s’intéresse jusqu’au renforcement des capacités des institutions locales.</w:t>
      </w:r>
    </w:p>
    <w:p w:rsidR="00776662" w:rsidRDefault="007A1DEE" w:rsidP="002A6166">
      <w:pPr>
        <w:rPr>
          <w:lang w:val="fr-FR"/>
        </w:rPr>
      </w:pPr>
      <w:r>
        <w:rPr>
          <w:lang w:val="fr-FR"/>
        </w:rPr>
        <w:t>Elle</w:t>
      </w:r>
      <w:r w:rsidR="00776662">
        <w:rPr>
          <w:lang w:val="fr-FR"/>
        </w:rPr>
        <w:t xml:space="preserve"> s’inscrit dans un contexte qui relève à la fois de l’</w:t>
      </w:r>
      <w:r>
        <w:rPr>
          <w:lang w:val="fr-FR"/>
        </w:rPr>
        <w:t>après crise et d’une problématique récurrente</w:t>
      </w:r>
      <w:r w:rsidR="00776662">
        <w:rPr>
          <w:lang w:val="fr-FR"/>
        </w:rPr>
        <w:t>. La réponse s’inscrit dans une problématique de déplacement des populations (après crise) et pourrait s’élargir dans une certaine mesure en tant qu’outil de protection dans la réduction entre les communautés liées au déficit de ressource en eau.</w:t>
      </w:r>
    </w:p>
    <w:p w:rsidR="00776662" w:rsidRDefault="00776662" w:rsidP="002A6166">
      <w:pPr>
        <w:rPr>
          <w:lang w:val="fr-FR"/>
        </w:rPr>
      </w:pPr>
      <w:r>
        <w:rPr>
          <w:lang w:val="fr-FR"/>
        </w:rPr>
        <w:t>L’intérêt du volet protection est qu’il s’inscrit à la fois dans une problématique humanitaire et dans une problématique de développement. Il const</w:t>
      </w:r>
      <w:r w:rsidR="007A1DEE">
        <w:rPr>
          <w:lang w:val="fr-FR"/>
        </w:rPr>
        <w:t xml:space="preserve">itue donc à terme le secteur pivot qui permettrait la reprise par des acteurs de développement des activités soutenues par ECHO (et élargie à l’accès à l’eau potable tout court). </w:t>
      </w:r>
    </w:p>
    <w:p w:rsidR="007A1DEE" w:rsidRDefault="007A1DEE" w:rsidP="002A6166">
      <w:pPr>
        <w:rPr>
          <w:lang w:val="fr-FR"/>
        </w:rPr>
      </w:pPr>
      <w:r>
        <w:rPr>
          <w:lang w:val="fr-FR"/>
        </w:rPr>
        <w:t xml:space="preserve">En cela ce soutien est un exemple type des actions de transition vers le développement tel que présenté dans le staff </w:t>
      </w:r>
      <w:proofErr w:type="spellStart"/>
      <w:r>
        <w:rPr>
          <w:lang w:val="fr-FR"/>
        </w:rPr>
        <w:t>working</w:t>
      </w:r>
      <w:proofErr w:type="spellEnd"/>
      <w:r>
        <w:rPr>
          <w:lang w:val="fr-FR"/>
        </w:rPr>
        <w:t xml:space="preserve"> document d’ECHO.</w:t>
      </w:r>
    </w:p>
    <w:p w:rsidR="00776662" w:rsidRDefault="00DE78ED" w:rsidP="00DE78ED">
      <w:pPr>
        <w:pStyle w:val="Heading2"/>
        <w:rPr>
          <w:lang w:val="fr-FR"/>
        </w:rPr>
      </w:pPr>
      <w:bookmarkStart w:id="31" w:name="_Toc406063906"/>
      <w:r>
        <w:rPr>
          <w:lang w:val="fr-FR"/>
        </w:rPr>
        <w:lastRenderedPageBreak/>
        <w:t>Epidémie : Ebola au Mali</w:t>
      </w:r>
      <w:bookmarkEnd w:id="31"/>
    </w:p>
    <w:p w:rsidR="00DE78ED" w:rsidRDefault="00DE78ED" w:rsidP="002A6166">
      <w:pPr>
        <w:rPr>
          <w:lang w:val="fr-FR"/>
        </w:rPr>
      </w:pPr>
      <w:r>
        <w:rPr>
          <w:lang w:val="fr-FR"/>
        </w:rPr>
        <w:t>La réponse à une épidémie d’Ebola, n’est, d’un point de vue stratégique, pas différente (ou si peu) d’une réponse à une épidémie de choléra. La contagiosité de la maladie et de sa létalité, par rapport au choléra, imposent une rigueur dans les dispositifs de riposte bien plus exigeante que celle nécessaire au confinement du choléra.</w:t>
      </w:r>
    </w:p>
    <w:p w:rsidR="00DE78ED" w:rsidRDefault="00DE78ED" w:rsidP="002A6166">
      <w:pPr>
        <w:rPr>
          <w:lang w:val="fr-FR"/>
        </w:rPr>
      </w:pPr>
      <w:r>
        <w:rPr>
          <w:lang w:val="fr-FR"/>
        </w:rPr>
        <w:t>Vis-à-vis du contexte en lui-même, il s’agit d’un contexte d’urgence, classique aux épidémie et s’inscrit par conséquent parfaitement dans les orientations sectorielles d’ECHO.</w:t>
      </w:r>
    </w:p>
    <w:p w:rsidR="00DE78ED" w:rsidRDefault="00DE78ED" w:rsidP="00C81208">
      <w:pPr>
        <w:pStyle w:val="Heading2"/>
      </w:pPr>
      <w:bookmarkStart w:id="32" w:name="_Toc406063907"/>
      <w:r>
        <w:t>WASH’NUT</w:t>
      </w:r>
      <w:bookmarkEnd w:id="32"/>
    </w:p>
    <w:p w:rsidR="00C81208" w:rsidRDefault="00DE78ED" w:rsidP="002A6166">
      <w:pPr>
        <w:rPr>
          <w:lang w:val="fr-FR"/>
        </w:rPr>
      </w:pPr>
      <w:r>
        <w:rPr>
          <w:lang w:val="fr-FR"/>
        </w:rPr>
        <w:t>Il est regrettable que le département des opérations de Bruxelles ait unilatéralement retiré le deuxième indicateur de suivi de la WASH’</w:t>
      </w:r>
      <w:r w:rsidR="00C81208">
        <w:rPr>
          <w:lang w:val="fr-FR"/>
        </w:rPr>
        <w:t>NUT dans les recommandations opérationnelles (ce n’était pas ce qui avait été préconisé lors de la révision de ces recommandations</w:t>
      </w:r>
      <w:r>
        <w:rPr>
          <w:lang w:val="fr-FR"/>
        </w:rPr>
        <w:t>)</w:t>
      </w:r>
      <w:r w:rsidR="00C81208">
        <w:rPr>
          <w:lang w:val="fr-FR"/>
        </w:rPr>
        <w:t xml:space="preserve">. La nécessité. Les préconisations en matière de réalisation d’études liant malnutrition et manque d’accès aux services </w:t>
      </w:r>
      <w:r w:rsidR="00A175D3">
        <w:rPr>
          <w:lang w:val="fr-FR"/>
        </w:rPr>
        <w:t xml:space="preserve">EHA </w:t>
      </w:r>
      <w:r w:rsidR="00C81208">
        <w:rPr>
          <w:lang w:val="fr-FR"/>
        </w:rPr>
        <w:t>de base ont également été retirées des recommandations opérationnelles par Bruxelles.</w:t>
      </w:r>
    </w:p>
    <w:p w:rsidR="00DE78ED" w:rsidRDefault="00C81208" w:rsidP="002A6166">
      <w:pPr>
        <w:rPr>
          <w:lang w:val="fr-FR"/>
        </w:rPr>
      </w:pPr>
      <w:r>
        <w:rPr>
          <w:lang w:val="fr-FR"/>
        </w:rPr>
        <w:t>Ce recul est d’autant plus regrettable que la plupart des autres partenaires (dont l’UNICEF au niveau régional) ont une stratégie inverse visant à développer les indicateurs et activités liées à la WASH’NUT.</w:t>
      </w:r>
    </w:p>
    <w:p w:rsidR="00C81208" w:rsidRDefault="00C81208" w:rsidP="002A6166">
      <w:pPr>
        <w:rPr>
          <w:lang w:val="fr-FR"/>
        </w:rPr>
      </w:pPr>
      <w:r>
        <w:rPr>
          <w:lang w:val="fr-FR"/>
        </w:rPr>
        <w:t xml:space="preserve">Cela n’empêche néanmoins pas encre  le ciblage de partenaires pour continuer à développer la WASH’NUT au-delà du seul paquet WASH, voire pour réaliser des études liant malnutrition et déficit d’accès EAH. </w:t>
      </w:r>
    </w:p>
    <w:p w:rsidR="00C81208" w:rsidRDefault="00C81208" w:rsidP="002A6166">
      <w:pPr>
        <w:rPr>
          <w:lang w:val="fr-FR"/>
        </w:rPr>
      </w:pPr>
      <w:r>
        <w:rPr>
          <w:lang w:val="fr-FR"/>
        </w:rPr>
        <w:t>Le recul d’ECHO sur la stratégie lui donne juste moins de visibilité, qui découlera à terme par moins de financements dédiés, et donc l’abandon de facto de la stratégie.</w:t>
      </w:r>
    </w:p>
    <w:p w:rsidR="00DE78ED" w:rsidRPr="00AA4DCB" w:rsidRDefault="00DE78ED" w:rsidP="002A6166">
      <w:pPr>
        <w:rPr>
          <w:lang w:val="fr-FR"/>
        </w:rPr>
      </w:pPr>
    </w:p>
    <w:tbl>
      <w:tblPr>
        <w:tblW w:w="0" w:type="auto"/>
        <w:tblLayout w:type="fixed"/>
        <w:tblCellMar>
          <w:left w:w="180" w:type="dxa"/>
          <w:right w:w="180" w:type="dxa"/>
        </w:tblCellMar>
        <w:tblLook w:val="0000" w:firstRow="0" w:lastRow="0" w:firstColumn="0" w:lastColumn="0" w:noHBand="0" w:noVBand="0"/>
      </w:tblPr>
      <w:tblGrid>
        <w:gridCol w:w="9197"/>
      </w:tblGrid>
      <w:tr w:rsidR="004E182C" w:rsidRPr="005F1C3C">
        <w:trPr>
          <w:trHeight w:val="1137"/>
        </w:trPr>
        <w:tc>
          <w:tcPr>
            <w:tcW w:w="9197" w:type="dxa"/>
            <w:tcBorders>
              <w:top w:val="single" w:sz="8" w:space="0" w:color="auto"/>
              <w:left w:val="single" w:sz="8" w:space="0" w:color="auto"/>
              <w:bottom w:val="single" w:sz="8" w:space="0" w:color="auto"/>
              <w:right w:val="single" w:sz="8" w:space="0" w:color="auto"/>
            </w:tcBorders>
          </w:tcPr>
          <w:p w:rsidR="004E182C" w:rsidRPr="00BC0C42" w:rsidRDefault="004E182C">
            <w:pPr>
              <w:jc w:val="center"/>
              <w:rPr>
                <w:b/>
                <w:bCs/>
                <w:u w:val="single"/>
                <w:lang w:val="fr-FR"/>
              </w:rPr>
            </w:pPr>
            <w:r w:rsidRPr="00BC0C42">
              <w:rPr>
                <w:b/>
                <w:bCs/>
                <w:u w:val="single"/>
                <w:lang w:val="fr-FR"/>
              </w:rPr>
              <w:t>Feed-back Request Box</w:t>
            </w:r>
          </w:p>
          <w:p w:rsidR="004E182C" w:rsidRPr="00BC0C42" w:rsidRDefault="00F54BDC" w:rsidP="002B2DBA">
            <w:pPr>
              <w:jc w:val="center"/>
              <w:rPr>
                <w:lang w:val="fr-FR"/>
              </w:rPr>
            </w:pPr>
            <w:r w:rsidRPr="00BC0C42">
              <w:rPr>
                <w:lang w:val="fr-FR"/>
              </w:rPr>
              <w:t>None</w:t>
            </w:r>
          </w:p>
        </w:tc>
      </w:tr>
    </w:tbl>
    <w:p w:rsidR="001F70A4" w:rsidRPr="00BC0C42" w:rsidRDefault="001F70A4">
      <w:pPr>
        <w:rPr>
          <w:lang w:val="fr-FR"/>
        </w:rPr>
      </w:pPr>
    </w:p>
    <w:p w:rsidR="001F70A4" w:rsidRPr="00BC0C42" w:rsidRDefault="001F70A4">
      <w:pPr>
        <w:rPr>
          <w:lang w:val="fr-FR"/>
        </w:rPr>
        <w:sectPr w:rsidR="001F70A4" w:rsidRPr="00BC0C42" w:rsidSect="00C81A48">
          <w:pgSz w:w="11905" w:h="16838" w:code="9"/>
          <w:pgMar w:top="1021" w:right="1418" w:bottom="851" w:left="1418" w:header="601" w:footer="1077" w:gutter="0"/>
          <w:pgNumType w:start="1"/>
          <w:cols w:space="720"/>
          <w:noEndnote/>
        </w:sectPr>
      </w:pPr>
    </w:p>
    <w:p w:rsidR="00AA4DCB" w:rsidRPr="00BC0C42" w:rsidRDefault="00AA4DCB" w:rsidP="00427C55">
      <w:pPr>
        <w:pStyle w:val="Title"/>
        <w:rPr>
          <w:lang w:val="fr-FR"/>
        </w:rPr>
      </w:pPr>
    </w:p>
    <w:sectPr w:rsidR="00AA4DCB" w:rsidRPr="00BC0C42" w:rsidSect="00EB301F">
      <w:pgSz w:w="11905" w:h="16838" w:code="9"/>
      <w:pgMar w:top="1021" w:right="1418" w:bottom="851" w:left="1418" w:header="601" w:footer="1077"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1B0" w:rsidRDefault="009B51B0" w:rsidP="004E182C">
      <w:pPr>
        <w:spacing w:after="0"/>
      </w:pPr>
      <w:r>
        <w:separator/>
      </w:r>
    </w:p>
  </w:endnote>
  <w:endnote w:type="continuationSeparator" w:id="0">
    <w:p w:rsidR="009B51B0" w:rsidRDefault="009B51B0" w:rsidP="004E18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A49" w:rsidRDefault="00EC2A49" w:rsidP="002C66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C2A49" w:rsidRDefault="00EC2A49" w:rsidP="008C5C6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A49" w:rsidRDefault="00EC2A49" w:rsidP="002C66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0C42">
      <w:rPr>
        <w:rStyle w:val="PageNumber"/>
        <w:noProof/>
      </w:rPr>
      <w:t>17</w:t>
    </w:r>
    <w:r>
      <w:rPr>
        <w:rStyle w:val="PageNumber"/>
      </w:rPr>
      <w:fldChar w:fldCharType="end"/>
    </w:r>
  </w:p>
  <w:p w:rsidR="00EC2A49" w:rsidRDefault="00EC2A49" w:rsidP="008F30C8">
    <w:pPr>
      <w:pStyle w:val="Footer"/>
      <w:rPr>
        <w:kern w:val="0"/>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1B0" w:rsidRDefault="009B51B0" w:rsidP="004E182C">
      <w:pPr>
        <w:spacing w:after="0"/>
      </w:pPr>
      <w:r>
        <w:separator/>
      </w:r>
    </w:p>
  </w:footnote>
  <w:footnote w:type="continuationSeparator" w:id="0">
    <w:p w:rsidR="009B51B0" w:rsidRDefault="009B51B0" w:rsidP="004E182C">
      <w:pPr>
        <w:spacing w:after="0"/>
      </w:pPr>
      <w:r>
        <w:continuationSeparator/>
      </w:r>
    </w:p>
  </w:footnote>
  <w:footnote w:id="1">
    <w:p w:rsidR="00EC2A49" w:rsidRPr="00036F76" w:rsidRDefault="00EC2A49">
      <w:pPr>
        <w:pStyle w:val="FootnoteText"/>
        <w:rPr>
          <w:lang w:val="fr-FR"/>
        </w:rPr>
      </w:pPr>
      <w:r>
        <w:rPr>
          <w:rStyle w:val="FootnoteReference"/>
        </w:rPr>
        <w:footnoteRef/>
      </w:r>
      <w:r w:rsidRPr="00036F76">
        <w:rPr>
          <w:lang w:val="fr-FR"/>
        </w:rPr>
        <w:t xml:space="preserve"> </w:t>
      </w:r>
      <w:r>
        <w:rPr>
          <w:lang w:val="fr-FR"/>
        </w:rPr>
        <w:t>En 2010, le taux d’accès à un point d’eau protégé était de 46,8% dans la région de Tombouctou, 38% dans celle de Kidal et 53,7% dans celle de Gao, et, ce, sans s’intéresser à l’état de fonctionnement des pompes équipant ces points d’eau [Source : UNICEF, Enquête MICS, 2010].</w:t>
      </w:r>
    </w:p>
  </w:footnote>
  <w:footnote w:id="2">
    <w:p w:rsidR="00EC2A49" w:rsidRPr="00510C25" w:rsidRDefault="00EC2A49">
      <w:pPr>
        <w:pStyle w:val="FootnoteText"/>
        <w:rPr>
          <w:lang w:val="fr-FR"/>
        </w:rPr>
      </w:pPr>
      <w:r>
        <w:rPr>
          <w:rStyle w:val="FootnoteReference"/>
        </w:rPr>
        <w:footnoteRef/>
      </w:r>
      <w:r w:rsidRPr="005E41E7">
        <w:rPr>
          <w:lang w:val="fr-FR"/>
        </w:rPr>
        <w:t xml:space="preserve"> </w:t>
      </w:r>
      <w:proofErr w:type="spellStart"/>
      <w:r w:rsidRPr="002D473B">
        <w:rPr>
          <w:lang w:val="fr-FR"/>
        </w:rPr>
        <w:t>Décison</w:t>
      </w:r>
      <w:proofErr w:type="spellEnd"/>
      <w:r w:rsidRPr="002D473B">
        <w:rPr>
          <w:lang w:val="fr-FR"/>
        </w:rPr>
        <w:t xml:space="preserve"> </w:t>
      </w:r>
      <w:r w:rsidRPr="00510C25">
        <w:rPr>
          <w:lang w:val="fr-FR"/>
        </w:rPr>
        <w:t>ECHO/-WF/BUD/2012/01007</w:t>
      </w:r>
      <w:r w:rsidRPr="002D473B">
        <w:rPr>
          <w:lang w:val="fr-FR"/>
        </w:rPr>
        <w:t>, 1 000 000 € sur un total de 1 760 366 €.</w:t>
      </w:r>
    </w:p>
  </w:footnote>
  <w:footnote w:id="3">
    <w:p w:rsidR="00EC2A49" w:rsidRPr="005E41E7" w:rsidRDefault="00EC2A49">
      <w:pPr>
        <w:pStyle w:val="FootnoteText"/>
        <w:rPr>
          <w:lang w:val="fr-FR"/>
        </w:rPr>
      </w:pPr>
      <w:r>
        <w:rPr>
          <w:rStyle w:val="FootnoteReference"/>
        </w:rPr>
        <w:footnoteRef/>
      </w:r>
      <w:r w:rsidRPr="005E41E7">
        <w:rPr>
          <w:lang w:val="fr-FR"/>
        </w:rPr>
        <w:t xml:space="preserve"> </w:t>
      </w:r>
      <w:proofErr w:type="spellStart"/>
      <w:r>
        <w:rPr>
          <w:lang w:val="fr-FR"/>
        </w:rPr>
        <w:t>Décison</w:t>
      </w:r>
      <w:proofErr w:type="spellEnd"/>
      <w:r>
        <w:rPr>
          <w:lang w:val="fr-FR"/>
        </w:rPr>
        <w:t xml:space="preserve"> </w:t>
      </w:r>
      <w:r w:rsidRPr="00AE7839">
        <w:rPr>
          <w:lang w:val="fr-FR"/>
        </w:rPr>
        <w:t>ECHO/-WF/BUD/2012/01004</w:t>
      </w:r>
      <w:r>
        <w:rPr>
          <w:lang w:val="fr-FR"/>
        </w:rPr>
        <w:t>, 1 565 574 € (100% du coût total du projet).</w:t>
      </w:r>
    </w:p>
  </w:footnote>
  <w:footnote w:id="4">
    <w:p w:rsidR="00EC2A49" w:rsidRPr="00510C25" w:rsidRDefault="00EC2A49" w:rsidP="00D03458">
      <w:pPr>
        <w:pStyle w:val="FootnoteText"/>
        <w:rPr>
          <w:lang w:val="fr-FR"/>
        </w:rPr>
      </w:pPr>
      <w:r>
        <w:rPr>
          <w:rStyle w:val="FootnoteReference"/>
        </w:rPr>
        <w:footnoteRef/>
      </w:r>
      <w:r w:rsidRPr="00510C25">
        <w:rPr>
          <w:lang w:val="fr-FR"/>
        </w:rPr>
        <w:t xml:space="preserve"> </w:t>
      </w:r>
      <w:r>
        <w:rPr>
          <w:lang w:val="fr-FR"/>
        </w:rPr>
        <w:t>Décision ECHO/</w:t>
      </w:r>
      <w:r w:rsidRPr="00510C25">
        <w:rPr>
          <w:lang w:val="fr-FR"/>
        </w:rPr>
        <w:t xml:space="preserve"> WF/BUD/2012/01010, </w:t>
      </w:r>
      <w:r>
        <w:rPr>
          <w:lang w:val="fr-FR"/>
        </w:rPr>
        <w:t>652 124 € (100% du coût total du projet).</w:t>
      </w:r>
    </w:p>
  </w:footnote>
  <w:footnote w:id="5">
    <w:p w:rsidR="00EC2A49" w:rsidRPr="007D2081" w:rsidRDefault="00EC2A49" w:rsidP="00D03458">
      <w:pPr>
        <w:pStyle w:val="FootnoteText"/>
        <w:rPr>
          <w:lang w:val="fr-FR"/>
        </w:rPr>
      </w:pPr>
      <w:r>
        <w:rPr>
          <w:rStyle w:val="FootnoteReference"/>
        </w:rPr>
        <w:footnoteRef/>
      </w:r>
      <w:r w:rsidRPr="007D2081">
        <w:rPr>
          <w:lang w:val="fr-FR"/>
        </w:rPr>
        <w:t xml:space="preserve"> </w:t>
      </w:r>
      <w:r>
        <w:rPr>
          <w:lang w:val="fr-FR"/>
        </w:rPr>
        <w:t xml:space="preserve">Décision </w:t>
      </w:r>
      <w:r w:rsidRPr="007D2081">
        <w:rPr>
          <w:rFonts w:cs="Arial"/>
          <w:kern w:val="0"/>
          <w:lang w:val="fr-FR"/>
        </w:rPr>
        <w:t>ECHO/-WF/BUD/2012/91064</w:t>
      </w:r>
      <w:r>
        <w:rPr>
          <w:rFonts w:cs="Arial"/>
          <w:kern w:val="0"/>
          <w:lang w:val="fr-FR"/>
        </w:rPr>
        <w:t xml:space="preserve">, 850 000 € </w:t>
      </w:r>
      <w:r>
        <w:rPr>
          <w:lang w:val="fr-FR"/>
        </w:rPr>
        <w:t>(100% du coût total du projet).</w:t>
      </w:r>
    </w:p>
  </w:footnote>
  <w:footnote w:id="6">
    <w:p w:rsidR="00EC2A49" w:rsidRPr="0075670E" w:rsidRDefault="00EC2A49" w:rsidP="00D03458">
      <w:pPr>
        <w:pStyle w:val="FootnoteText"/>
        <w:rPr>
          <w:lang w:val="fr-FR"/>
        </w:rPr>
      </w:pPr>
      <w:r>
        <w:rPr>
          <w:rStyle w:val="FootnoteReference"/>
        </w:rPr>
        <w:footnoteRef/>
      </w:r>
      <w:r w:rsidRPr="0075670E">
        <w:rPr>
          <w:lang w:val="fr-FR"/>
        </w:rPr>
        <w:t xml:space="preserve"> </w:t>
      </w:r>
      <w:r>
        <w:rPr>
          <w:lang w:val="fr-FR"/>
        </w:rPr>
        <w:t xml:space="preserve">Décision </w:t>
      </w:r>
      <w:r w:rsidRPr="0075670E">
        <w:rPr>
          <w:rFonts w:cs="Arial"/>
          <w:kern w:val="0"/>
          <w:lang w:val="fr-FR"/>
        </w:rPr>
        <w:t>ECHO/-WF/BUD/2012/91073</w:t>
      </w:r>
      <w:r>
        <w:rPr>
          <w:rFonts w:cs="Arial"/>
          <w:kern w:val="0"/>
          <w:lang w:val="fr-FR"/>
        </w:rPr>
        <w:t xml:space="preserve">, 1 760 000€ </w:t>
      </w:r>
      <w:r>
        <w:rPr>
          <w:lang w:val="fr-FR"/>
        </w:rPr>
        <w:t>(100% du coût total du projet).</w:t>
      </w:r>
    </w:p>
  </w:footnote>
  <w:footnote w:id="7">
    <w:p w:rsidR="00EC2A49" w:rsidRPr="002D473B" w:rsidRDefault="00EC2A49" w:rsidP="00D03458">
      <w:pPr>
        <w:pStyle w:val="FootnoteText"/>
        <w:rPr>
          <w:lang w:val="fr-FR"/>
        </w:rPr>
      </w:pPr>
      <w:r>
        <w:rPr>
          <w:rStyle w:val="FootnoteReference"/>
        </w:rPr>
        <w:footnoteRef/>
      </w:r>
      <w:r w:rsidRPr="002D473B">
        <w:rPr>
          <w:lang w:val="fr-FR"/>
        </w:rPr>
        <w:t xml:space="preserve"> </w:t>
      </w:r>
      <w:r>
        <w:rPr>
          <w:lang w:val="fr-FR"/>
        </w:rPr>
        <w:t xml:space="preserve">Décision </w:t>
      </w:r>
      <w:r w:rsidRPr="002D473B">
        <w:rPr>
          <w:rFonts w:cs="Arial"/>
          <w:kern w:val="0"/>
          <w:lang w:val="fr-FR"/>
        </w:rPr>
        <w:t>ECHO/DRF/BUD/2012/93004</w:t>
      </w:r>
      <w:r>
        <w:rPr>
          <w:rFonts w:cs="Arial"/>
          <w:kern w:val="0"/>
          <w:lang w:val="fr-FR"/>
        </w:rPr>
        <w:t>, 349 068</w:t>
      </w:r>
      <w:r>
        <w:rPr>
          <w:lang w:val="fr-FR"/>
        </w:rPr>
        <w:t xml:space="preserve"> € (100% du coût total du projet).</w:t>
      </w:r>
    </w:p>
  </w:footnote>
  <w:footnote w:id="8">
    <w:p w:rsidR="00EC2A49" w:rsidRPr="005C34A3" w:rsidRDefault="00EC2A49" w:rsidP="00D03458">
      <w:pPr>
        <w:pStyle w:val="FootnoteText"/>
        <w:rPr>
          <w:lang w:val="fr-FR"/>
        </w:rPr>
      </w:pPr>
      <w:r>
        <w:rPr>
          <w:rStyle w:val="FootnoteReference"/>
        </w:rPr>
        <w:footnoteRef/>
      </w:r>
      <w:r w:rsidRPr="005C34A3">
        <w:rPr>
          <w:lang w:val="fr-FR"/>
        </w:rPr>
        <w:t xml:space="preserve"> </w:t>
      </w:r>
      <w:r>
        <w:rPr>
          <w:lang w:val="fr-FR"/>
        </w:rPr>
        <w:t>Décision</w:t>
      </w:r>
      <w:r w:rsidRPr="005C34A3">
        <w:rPr>
          <w:sz w:val="12"/>
          <w:lang w:val="fr-FR"/>
        </w:rPr>
        <w:t xml:space="preserve"> </w:t>
      </w:r>
      <w:r w:rsidRPr="005C34A3">
        <w:rPr>
          <w:rFonts w:cs="Arial"/>
          <w:kern w:val="0"/>
          <w:lang w:val="fr-FR"/>
        </w:rPr>
        <w:t>ECHO/DRF/BUD/2012/93008</w:t>
      </w:r>
      <w:r>
        <w:rPr>
          <w:rFonts w:cs="Arial"/>
          <w:kern w:val="0"/>
          <w:lang w:val="fr-FR"/>
        </w:rPr>
        <w:t xml:space="preserve">, </w:t>
      </w:r>
      <w:r>
        <w:rPr>
          <w:lang w:val="fr-FR"/>
        </w:rPr>
        <w:t>400</w:t>
      </w:r>
      <w:r w:rsidRPr="002D473B">
        <w:rPr>
          <w:lang w:val="fr-FR"/>
        </w:rPr>
        <w:t xml:space="preserve"> 000 € sur un total de </w:t>
      </w:r>
      <w:r>
        <w:rPr>
          <w:lang w:val="fr-FR"/>
        </w:rPr>
        <w:t>400 500</w:t>
      </w:r>
      <w:r w:rsidRPr="002D473B">
        <w:rPr>
          <w:lang w:val="fr-FR"/>
        </w:rPr>
        <w:t xml:space="preserve"> €</w:t>
      </w:r>
      <w:r>
        <w:rPr>
          <w:lang w:val="fr-FR"/>
        </w:rPr>
        <w:t>.</w:t>
      </w:r>
    </w:p>
  </w:footnote>
  <w:footnote w:id="9">
    <w:p w:rsidR="00EC2A49" w:rsidRPr="00951216" w:rsidRDefault="00EC2A49" w:rsidP="00D03458">
      <w:pPr>
        <w:pStyle w:val="FootnoteText"/>
        <w:rPr>
          <w:lang w:val="fr-FR"/>
        </w:rPr>
      </w:pPr>
      <w:r>
        <w:rPr>
          <w:rStyle w:val="FootnoteReference"/>
        </w:rPr>
        <w:footnoteRef/>
      </w:r>
      <w:r w:rsidRPr="00951216">
        <w:rPr>
          <w:lang w:val="fr-FR"/>
        </w:rPr>
        <w:t xml:space="preserve"> Décision </w:t>
      </w:r>
      <w:r w:rsidRPr="00951216">
        <w:rPr>
          <w:rFonts w:cs="Arial"/>
          <w:kern w:val="0"/>
          <w:lang w:val="fr-FR"/>
        </w:rPr>
        <w:t>ECHO/-WF/BUD/2012/91045</w:t>
      </w:r>
      <w:r>
        <w:rPr>
          <w:rFonts w:cs="Arial"/>
          <w:kern w:val="0"/>
          <w:lang w:val="fr-FR"/>
        </w:rPr>
        <w:t>, 324 367</w:t>
      </w:r>
      <w:r>
        <w:rPr>
          <w:lang w:val="fr-FR"/>
        </w:rPr>
        <w:t xml:space="preserve"> € (100% du coût total du projet).</w:t>
      </w:r>
    </w:p>
  </w:footnote>
  <w:footnote w:id="10">
    <w:p w:rsidR="00EC2A49" w:rsidRPr="007E1B4E" w:rsidRDefault="00EC2A49" w:rsidP="00D03458">
      <w:pPr>
        <w:pStyle w:val="FootnoteText"/>
        <w:rPr>
          <w:lang w:val="fr-FR"/>
        </w:rPr>
      </w:pPr>
      <w:r>
        <w:rPr>
          <w:rStyle w:val="FootnoteReference"/>
        </w:rPr>
        <w:footnoteRef/>
      </w:r>
      <w:r w:rsidRPr="007E1B4E">
        <w:rPr>
          <w:lang w:val="fr-FR"/>
        </w:rPr>
        <w:t xml:space="preserve"> </w:t>
      </w:r>
      <w:r>
        <w:rPr>
          <w:lang w:val="fr-FR"/>
        </w:rPr>
        <w:t xml:space="preserve">Décision </w:t>
      </w:r>
      <w:r w:rsidRPr="007E1B4E">
        <w:rPr>
          <w:rFonts w:cs="Arial"/>
          <w:kern w:val="0"/>
          <w:lang w:val="fr-FR"/>
        </w:rPr>
        <w:t>ECHO/-WF/BUD/2012/91068</w:t>
      </w:r>
      <w:r>
        <w:rPr>
          <w:rFonts w:cs="Arial"/>
          <w:kern w:val="0"/>
          <w:lang w:val="fr-FR"/>
        </w:rPr>
        <w:t xml:space="preserve">, 549 995 € </w:t>
      </w:r>
      <w:r>
        <w:rPr>
          <w:lang w:val="fr-FR"/>
        </w:rPr>
        <w:t>(100% du coût total du projet).</w:t>
      </w:r>
    </w:p>
  </w:footnote>
  <w:footnote w:id="11">
    <w:p w:rsidR="00EC2A49" w:rsidRPr="00B727BA" w:rsidRDefault="00EC2A49" w:rsidP="00D03458">
      <w:pPr>
        <w:pStyle w:val="FootnoteText"/>
        <w:rPr>
          <w:lang w:val="fr-FR"/>
        </w:rPr>
      </w:pPr>
      <w:r>
        <w:rPr>
          <w:rStyle w:val="FootnoteReference"/>
        </w:rPr>
        <w:footnoteRef/>
      </w:r>
      <w:r w:rsidRPr="00B727BA">
        <w:rPr>
          <w:lang w:val="fr-FR"/>
        </w:rPr>
        <w:t xml:space="preserve"> </w:t>
      </w:r>
      <w:r>
        <w:rPr>
          <w:lang w:val="fr-FR"/>
        </w:rPr>
        <w:t xml:space="preserve">Décision </w:t>
      </w:r>
      <w:r w:rsidRPr="00B727BA">
        <w:rPr>
          <w:lang w:val="fr-FR"/>
        </w:rPr>
        <w:t>ECHO/MLI/BUD/2013/91024</w:t>
      </w:r>
      <w:r>
        <w:rPr>
          <w:lang w:val="fr-FR"/>
        </w:rPr>
        <w:t>, 1 810 000 € (100% du coût total du projet).</w:t>
      </w:r>
    </w:p>
  </w:footnote>
  <w:footnote w:id="12">
    <w:p w:rsidR="00EC2A49" w:rsidRPr="006E1558" w:rsidRDefault="00EC2A49" w:rsidP="00D03458">
      <w:pPr>
        <w:pStyle w:val="FootnoteText"/>
        <w:rPr>
          <w:lang w:val="fr-FR"/>
        </w:rPr>
      </w:pPr>
      <w:r>
        <w:rPr>
          <w:rStyle w:val="FootnoteReference"/>
        </w:rPr>
        <w:footnoteRef/>
      </w:r>
      <w:r w:rsidRPr="006E1558">
        <w:rPr>
          <w:lang w:val="fr-FR"/>
        </w:rPr>
        <w:t xml:space="preserve"> </w:t>
      </w:r>
      <w:r>
        <w:rPr>
          <w:lang w:val="fr-FR"/>
        </w:rPr>
        <w:t>Décision</w:t>
      </w:r>
      <w:r w:rsidRPr="006E1558">
        <w:rPr>
          <w:sz w:val="12"/>
          <w:lang w:val="fr-FR"/>
        </w:rPr>
        <w:t xml:space="preserve"> </w:t>
      </w:r>
      <w:r w:rsidRPr="006E1558">
        <w:rPr>
          <w:rFonts w:cs="Arial"/>
          <w:kern w:val="0"/>
          <w:lang w:val="fr-FR"/>
        </w:rPr>
        <w:t>ECHO/MLI/BUD/2013/91016</w:t>
      </w:r>
      <w:r>
        <w:rPr>
          <w:rFonts w:cs="Arial"/>
          <w:kern w:val="0"/>
          <w:lang w:val="fr-FR"/>
        </w:rPr>
        <w:t xml:space="preserve"> : 600 000 € </w:t>
      </w:r>
      <w:r>
        <w:rPr>
          <w:lang w:val="fr-FR"/>
        </w:rPr>
        <w:t>(100% du coût total du projet).</w:t>
      </w:r>
    </w:p>
  </w:footnote>
  <w:footnote w:id="13">
    <w:p w:rsidR="00EC2A49" w:rsidRPr="008A3371" w:rsidRDefault="00EC2A49">
      <w:pPr>
        <w:pStyle w:val="FootnoteText"/>
        <w:rPr>
          <w:lang w:val="fr-FR"/>
        </w:rPr>
      </w:pPr>
      <w:r>
        <w:rPr>
          <w:rStyle w:val="FootnoteReference"/>
        </w:rPr>
        <w:footnoteRef/>
      </w:r>
      <w:r w:rsidRPr="008A3371">
        <w:rPr>
          <w:lang w:val="fr-FR"/>
        </w:rPr>
        <w:t xml:space="preserve"> Décision </w:t>
      </w:r>
      <w:r w:rsidRPr="008A3371">
        <w:rPr>
          <w:rFonts w:cs="Arial"/>
          <w:kern w:val="0"/>
          <w:lang w:val="fr-FR"/>
        </w:rPr>
        <w:t>ECHO/MLI/BUD/2013/91033</w:t>
      </w:r>
      <w:r>
        <w:rPr>
          <w:rFonts w:cs="Arial"/>
          <w:kern w:val="0"/>
          <w:lang w:val="fr-FR"/>
        </w:rPr>
        <w:t xml:space="preserve">, 1 570 000 € </w:t>
      </w:r>
      <w:r>
        <w:rPr>
          <w:lang w:val="fr-FR"/>
        </w:rPr>
        <w:t>(100% du coût total du projet)</w:t>
      </w:r>
    </w:p>
  </w:footnote>
  <w:footnote w:id="14">
    <w:p w:rsidR="00EC2A49" w:rsidRPr="005D46E6" w:rsidRDefault="00EC2A49" w:rsidP="008B75D9">
      <w:pPr>
        <w:pStyle w:val="FootnoteText"/>
        <w:rPr>
          <w:lang w:val="fr-FR"/>
        </w:rPr>
      </w:pPr>
      <w:r>
        <w:rPr>
          <w:rStyle w:val="FootnoteReference"/>
        </w:rPr>
        <w:footnoteRef/>
      </w:r>
      <w:r w:rsidRPr="005D46E6">
        <w:rPr>
          <w:lang w:val="fr-FR"/>
        </w:rPr>
        <w:t xml:space="preserve"> </w:t>
      </w:r>
      <w:r>
        <w:rPr>
          <w:lang w:val="fr-FR"/>
        </w:rPr>
        <w:t xml:space="preserve">Décision </w:t>
      </w:r>
      <w:r w:rsidRPr="005D46E6">
        <w:rPr>
          <w:lang w:val="fr-FR"/>
        </w:rPr>
        <w:t xml:space="preserve">ECHO/MLI/EDF/2013/01017, 850 000 </w:t>
      </w:r>
      <w:r>
        <w:rPr>
          <w:lang w:val="fr-FR"/>
        </w:rPr>
        <w:t>€ sur un total de 899 592 €.</w:t>
      </w:r>
    </w:p>
  </w:footnote>
  <w:footnote w:id="15">
    <w:p w:rsidR="00EC2A49" w:rsidRPr="00017BE1" w:rsidRDefault="00EC2A49" w:rsidP="00E37648">
      <w:pPr>
        <w:pStyle w:val="FootnoteText"/>
        <w:rPr>
          <w:lang w:val="fr-FR"/>
        </w:rPr>
      </w:pPr>
      <w:r>
        <w:rPr>
          <w:rStyle w:val="FootnoteReference"/>
        </w:rPr>
        <w:footnoteRef/>
      </w:r>
      <w:r w:rsidRPr="00017BE1">
        <w:rPr>
          <w:lang w:val="fr-FR"/>
        </w:rPr>
        <w:t xml:space="preserve"> </w:t>
      </w:r>
      <w:r>
        <w:rPr>
          <w:lang w:val="fr-FR"/>
        </w:rPr>
        <w:t xml:space="preserve">Décision </w:t>
      </w:r>
      <w:r w:rsidRPr="005D46E6">
        <w:rPr>
          <w:lang w:val="fr-FR"/>
        </w:rPr>
        <w:t>ECHO/MLI/EDF/2013/010</w:t>
      </w:r>
      <w:r>
        <w:rPr>
          <w:lang w:val="fr-FR"/>
        </w:rPr>
        <w:t>15</w:t>
      </w:r>
      <w:r w:rsidRPr="005D46E6">
        <w:rPr>
          <w:lang w:val="fr-FR"/>
        </w:rPr>
        <w:t xml:space="preserve">, </w:t>
      </w:r>
      <w:r>
        <w:rPr>
          <w:lang w:val="fr-FR"/>
        </w:rPr>
        <w:t>500</w:t>
      </w:r>
      <w:r w:rsidRPr="005D46E6">
        <w:rPr>
          <w:lang w:val="fr-FR"/>
        </w:rPr>
        <w:t xml:space="preserve"> 000 </w:t>
      </w:r>
      <w:r>
        <w:rPr>
          <w:lang w:val="fr-FR"/>
        </w:rPr>
        <w:t>€ (100% du coût total du projet).</w:t>
      </w:r>
    </w:p>
  </w:footnote>
  <w:footnote w:id="16">
    <w:p w:rsidR="00EC2A49" w:rsidRPr="00017BE1" w:rsidRDefault="00EC2A49" w:rsidP="00E37648">
      <w:pPr>
        <w:pStyle w:val="FootnoteText"/>
        <w:rPr>
          <w:lang w:val="fr-FR"/>
        </w:rPr>
      </w:pPr>
      <w:r>
        <w:rPr>
          <w:rStyle w:val="FootnoteReference"/>
        </w:rPr>
        <w:footnoteRef/>
      </w:r>
      <w:r w:rsidRPr="00017BE1">
        <w:rPr>
          <w:lang w:val="fr-FR"/>
        </w:rPr>
        <w:t xml:space="preserve"> </w:t>
      </w:r>
      <w:r>
        <w:rPr>
          <w:lang w:val="fr-FR"/>
        </w:rPr>
        <w:t xml:space="preserve">Décision </w:t>
      </w:r>
      <w:r w:rsidRPr="005D46E6">
        <w:rPr>
          <w:lang w:val="fr-FR"/>
        </w:rPr>
        <w:t>ECHO/MLI/EDF/2013/010</w:t>
      </w:r>
      <w:r>
        <w:rPr>
          <w:lang w:val="fr-FR"/>
        </w:rPr>
        <w:t>13</w:t>
      </w:r>
      <w:r w:rsidRPr="005D46E6">
        <w:rPr>
          <w:lang w:val="fr-FR"/>
        </w:rPr>
        <w:t xml:space="preserve">, </w:t>
      </w:r>
      <w:r>
        <w:rPr>
          <w:lang w:val="fr-FR"/>
        </w:rPr>
        <w:t>500</w:t>
      </w:r>
      <w:r w:rsidRPr="005D46E6">
        <w:rPr>
          <w:lang w:val="fr-FR"/>
        </w:rPr>
        <w:t xml:space="preserve"> 000 </w:t>
      </w:r>
      <w:r>
        <w:rPr>
          <w:lang w:val="fr-FR"/>
        </w:rPr>
        <w:t>€ (100% du coût total du projet).</w:t>
      </w:r>
    </w:p>
  </w:footnote>
  <w:footnote w:id="17">
    <w:p w:rsidR="00EC2A49" w:rsidRPr="001160D8" w:rsidRDefault="00EC2A49" w:rsidP="00E37648">
      <w:pPr>
        <w:pStyle w:val="FootnoteText"/>
        <w:rPr>
          <w:lang w:val="fr-FR"/>
        </w:rPr>
      </w:pPr>
      <w:r>
        <w:rPr>
          <w:rStyle w:val="FootnoteReference"/>
        </w:rPr>
        <w:footnoteRef/>
      </w:r>
      <w:r w:rsidRPr="001160D8">
        <w:rPr>
          <w:lang w:val="fr-FR"/>
        </w:rPr>
        <w:t xml:space="preserve"> </w:t>
      </w:r>
      <w:r>
        <w:rPr>
          <w:lang w:val="fr-FR"/>
        </w:rPr>
        <w:t xml:space="preserve">Décision </w:t>
      </w:r>
      <w:r w:rsidRPr="005D46E6">
        <w:rPr>
          <w:lang w:val="fr-FR"/>
        </w:rPr>
        <w:t>ECHO/MLI/EDF/2013/010</w:t>
      </w:r>
      <w:r>
        <w:rPr>
          <w:lang w:val="fr-FR"/>
        </w:rPr>
        <w:t>18</w:t>
      </w:r>
      <w:r w:rsidRPr="005D46E6">
        <w:rPr>
          <w:lang w:val="fr-FR"/>
        </w:rPr>
        <w:t xml:space="preserve">, </w:t>
      </w:r>
      <w:r>
        <w:rPr>
          <w:lang w:val="fr-FR"/>
        </w:rPr>
        <w:t>500</w:t>
      </w:r>
      <w:r w:rsidRPr="005D46E6">
        <w:rPr>
          <w:lang w:val="fr-FR"/>
        </w:rPr>
        <w:t xml:space="preserve"> 000 </w:t>
      </w:r>
      <w:r>
        <w:rPr>
          <w:lang w:val="fr-FR"/>
        </w:rPr>
        <w:t>€ (100% du coût total du projet).</w:t>
      </w:r>
    </w:p>
  </w:footnote>
  <w:footnote w:id="18">
    <w:p w:rsidR="00EC2A49" w:rsidRPr="001160D8" w:rsidRDefault="00EC2A49">
      <w:pPr>
        <w:pStyle w:val="FootnoteText"/>
        <w:rPr>
          <w:lang w:val="fr-FR"/>
        </w:rPr>
      </w:pPr>
      <w:r>
        <w:rPr>
          <w:rStyle w:val="FootnoteReference"/>
        </w:rPr>
        <w:footnoteRef/>
      </w:r>
      <w:r w:rsidRPr="001160D8">
        <w:rPr>
          <w:lang w:val="fr-FR"/>
        </w:rPr>
        <w:t xml:space="preserve"> </w:t>
      </w:r>
      <w:r>
        <w:rPr>
          <w:lang w:val="fr-FR"/>
        </w:rPr>
        <w:t xml:space="preserve">Décision </w:t>
      </w:r>
      <w:r w:rsidRPr="005D46E6">
        <w:rPr>
          <w:lang w:val="fr-FR"/>
        </w:rPr>
        <w:t>ECHO/MLI/EDF/2013/0101</w:t>
      </w:r>
      <w:r>
        <w:rPr>
          <w:lang w:val="fr-FR"/>
        </w:rPr>
        <w:t>6</w:t>
      </w:r>
      <w:r w:rsidRPr="005D46E6">
        <w:rPr>
          <w:lang w:val="fr-FR"/>
        </w:rPr>
        <w:t xml:space="preserve">, </w:t>
      </w:r>
      <w:r>
        <w:rPr>
          <w:lang w:val="fr-FR"/>
        </w:rPr>
        <w:t>350</w:t>
      </w:r>
      <w:r w:rsidRPr="005D46E6">
        <w:rPr>
          <w:lang w:val="fr-FR"/>
        </w:rPr>
        <w:t xml:space="preserve"> 000 </w:t>
      </w:r>
      <w:r>
        <w:rPr>
          <w:lang w:val="fr-FR"/>
        </w:rPr>
        <w:t>€ sur un total de 710 000 €.</w:t>
      </w:r>
    </w:p>
  </w:footnote>
  <w:footnote w:id="19">
    <w:p w:rsidR="00EC2A49" w:rsidRPr="009B4368" w:rsidRDefault="00EC2A49">
      <w:pPr>
        <w:pStyle w:val="FootnoteText"/>
        <w:rPr>
          <w:lang w:val="fr-FR"/>
        </w:rPr>
      </w:pPr>
      <w:r>
        <w:rPr>
          <w:rStyle w:val="FootnoteReference"/>
        </w:rPr>
        <w:footnoteRef/>
      </w:r>
      <w:r w:rsidRPr="009B4368">
        <w:rPr>
          <w:lang w:val="fr-FR"/>
        </w:rPr>
        <w:t xml:space="preserve"> </w:t>
      </w:r>
      <w:r>
        <w:rPr>
          <w:lang w:val="fr-FR"/>
        </w:rPr>
        <w:t xml:space="preserve">Décision </w:t>
      </w:r>
      <w:r w:rsidRPr="005D46E6">
        <w:rPr>
          <w:lang w:val="fr-FR"/>
        </w:rPr>
        <w:t>ECHO/MLI/EDF/2013/010</w:t>
      </w:r>
      <w:r>
        <w:rPr>
          <w:lang w:val="fr-FR"/>
        </w:rPr>
        <w:t>14</w:t>
      </w:r>
      <w:r w:rsidRPr="005D46E6">
        <w:rPr>
          <w:lang w:val="fr-FR"/>
        </w:rPr>
        <w:t xml:space="preserve">, </w:t>
      </w:r>
      <w:r>
        <w:rPr>
          <w:lang w:val="fr-FR"/>
        </w:rPr>
        <w:t>410</w:t>
      </w:r>
      <w:r w:rsidRPr="005D46E6">
        <w:rPr>
          <w:lang w:val="fr-FR"/>
        </w:rPr>
        <w:t xml:space="preserve"> 000 </w:t>
      </w:r>
      <w:r>
        <w:rPr>
          <w:lang w:val="fr-FR"/>
        </w:rPr>
        <w:t>€ (100% du coût total du projet)</w:t>
      </w:r>
    </w:p>
  </w:footnote>
  <w:footnote w:id="20">
    <w:p w:rsidR="00EC2A49" w:rsidRPr="008B23B3" w:rsidRDefault="00EC2A49">
      <w:pPr>
        <w:pStyle w:val="FootnoteText"/>
        <w:rPr>
          <w:lang w:val="fr-FR"/>
        </w:rPr>
      </w:pPr>
      <w:r>
        <w:rPr>
          <w:rStyle w:val="FootnoteReference"/>
        </w:rPr>
        <w:footnoteRef/>
      </w:r>
      <w:r w:rsidRPr="008B23B3">
        <w:rPr>
          <w:lang w:val="fr-FR"/>
        </w:rPr>
        <w:t xml:space="preserve"> </w:t>
      </w:r>
      <w:r>
        <w:rPr>
          <w:lang w:val="fr-FR"/>
        </w:rPr>
        <w:t xml:space="preserve">Une approche programmatique est pertinente quand les tenants et aboutissant d’une crise sont connus. Celle-ci étant sans précédent, une telle approche ne pouvait reposer que sur des conjectures. </w:t>
      </w:r>
    </w:p>
  </w:footnote>
  <w:footnote w:id="21">
    <w:p w:rsidR="00EC2A49" w:rsidRPr="008B23B3" w:rsidRDefault="00EC2A49">
      <w:pPr>
        <w:pStyle w:val="FootnoteText"/>
        <w:rPr>
          <w:lang w:val="fr-FR"/>
        </w:rPr>
      </w:pPr>
      <w:r>
        <w:rPr>
          <w:rStyle w:val="FootnoteReference"/>
        </w:rPr>
        <w:footnoteRef/>
      </w:r>
      <w:r w:rsidRPr="008B23B3">
        <w:rPr>
          <w:lang w:val="fr-FR"/>
        </w:rPr>
        <w:t xml:space="preserve"> </w:t>
      </w:r>
      <w:r>
        <w:rPr>
          <w:lang w:val="fr-FR"/>
        </w:rPr>
        <w:t>Les ministères de tutelle, responsables par ailleurs de cette crise (voir ci-dessus).</w:t>
      </w:r>
    </w:p>
  </w:footnote>
  <w:footnote w:id="22">
    <w:p w:rsidR="00EC2A49" w:rsidRPr="00252C00" w:rsidRDefault="00EC2A49">
      <w:pPr>
        <w:pStyle w:val="FootnoteText"/>
        <w:rPr>
          <w:lang w:val="fr-FR"/>
        </w:rPr>
      </w:pPr>
      <w:r>
        <w:rPr>
          <w:rStyle w:val="FootnoteReference"/>
        </w:rPr>
        <w:footnoteRef/>
      </w:r>
      <w:r w:rsidRPr="00252C00">
        <w:rPr>
          <w:lang w:val="fr-FR"/>
        </w:rPr>
        <w:t xml:space="preserve"> </w:t>
      </w:r>
      <w:r>
        <w:rPr>
          <w:lang w:val="fr-FR"/>
        </w:rPr>
        <w:t xml:space="preserve">Décision </w:t>
      </w:r>
      <w:r w:rsidRPr="00252C00">
        <w:rPr>
          <w:lang w:val="fr-FR"/>
        </w:rPr>
        <w:t>ECHO/-WF/EDF/2014/02005, 600 000</w:t>
      </w:r>
      <w:r>
        <w:rPr>
          <w:lang w:val="fr-FR"/>
        </w:rPr>
        <w:t>€ (100% du coût total du projet).</w:t>
      </w:r>
    </w:p>
  </w:footnote>
  <w:footnote w:id="23">
    <w:p w:rsidR="00EC2A49" w:rsidRPr="00B31B4D" w:rsidRDefault="00EC2A49">
      <w:pPr>
        <w:pStyle w:val="FootnoteText"/>
        <w:rPr>
          <w:lang w:val="fr-FR"/>
        </w:rPr>
      </w:pPr>
      <w:r>
        <w:rPr>
          <w:rStyle w:val="FootnoteReference"/>
        </w:rPr>
        <w:footnoteRef/>
      </w:r>
      <w:r w:rsidRPr="00B31B4D">
        <w:rPr>
          <w:lang w:val="fr-FR"/>
        </w:rPr>
        <w:t xml:space="preserve"> </w:t>
      </w:r>
      <w:r>
        <w:rPr>
          <w:lang w:val="fr-FR"/>
        </w:rPr>
        <w:t>Appelés ZOT : Zone d’Observation Temporaire</w:t>
      </w:r>
    </w:p>
  </w:footnote>
  <w:footnote w:id="24">
    <w:p w:rsidR="00EC2A49" w:rsidRPr="004F1C42" w:rsidRDefault="00EC2A49">
      <w:pPr>
        <w:pStyle w:val="FootnoteText"/>
        <w:rPr>
          <w:lang w:val="fr-FR"/>
        </w:rPr>
      </w:pPr>
      <w:r>
        <w:rPr>
          <w:rStyle w:val="FootnoteReference"/>
        </w:rPr>
        <w:footnoteRef/>
      </w:r>
      <w:r w:rsidRPr="004F1C42">
        <w:rPr>
          <w:lang w:val="fr-FR"/>
        </w:rPr>
        <w:t xml:space="preserve"> </w:t>
      </w:r>
      <w:r>
        <w:rPr>
          <w:lang w:val="fr-FR"/>
        </w:rPr>
        <w:t>Il n’aurait pas été difficile de mettre en place un point de contrôle permanent au niveau de cette borne fontaine copte tenu de sa proximité avec la station de production.</w:t>
      </w:r>
    </w:p>
  </w:footnote>
  <w:footnote w:id="25">
    <w:p w:rsidR="00EC2A49" w:rsidRPr="004C7D44" w:rsidRDefault="00EC2A49">
      <w:pPr>
        <w:pStyle w:val="FootnoteText"/>
        <w:rPr>
          <w:lang w:val="fr-FR"/>
        </w:rPr>
      </w:pPr>
      <w:r>
        <w:rPr>
          <w:rStyle w:val="FootnoteReference"/>
        </w:rPr>
        <w:footnoteRef/>
      </w:r>
      <w:r w:rsidRPr="004C7D44">
        <w:rPr>
          <w:lang w:val="fr-FR"/>
        </w:rPr>
        <w:t xml:space="preserve"> </w:t>
      </w:r>
      <w:r>
        <w:rPr>
          <w:lang w:val="fr-FR"/>
        </w:rPr>
        <w:t xml:space="preserve">Source : </w:t>
      </w:r>
      <w:r w:rsidRPr="004C7D44">
        <w:rPr>
          <w:lang w:val="fr-FR"/>
        </w:rPr>
        <w:t>Plan d’Action National de Gestion Intégrée des Ressources en Eau</w:t>
      </w:r>
      <w:r>
        <w:rPr>
          <w:lang w:val="fr-FR"/>
        </w:rPr>
        <w:t>, 2007, p105-106.</w:t>
      </w:r>
    </w:p>
  </w:footnote>
  <w:footnote w:id="26">
    <w:p w:rsidR="00EC2A49" w:rsidRPr="001F31F5" w:rsidRDefault="00EC2A49">
      <w:pPr>
        <w:pStyle w:val="FootnoteText"/>
        <w:rPr>
          <w:lang w:val="fr-FR"/>
        </w:rPr>
      </w:pPr>
      <w:r>
        <w:rPr>
          <w:rStyle w:val="FootnoteReference"/>
        </w:rPr>
        <w:footnoteRef/>
      </w:r>
      <w:r w:rsidRPr="001F31F5">
        <w:rPr>
          <w:lang w:val="fr-FR"/>
        </w:rPr>
        <w:t xml:space="preserve"> </w:t>
      </w:r>
      <w:r>
        <w:rPr>
          <w:lang w:val="fr-FR"/>
        </w:rPr>
        <w:t xml:space="preserve">La différence entre suspect et probable tient au lien épidémiologique avec la maladie. Suspect et probables présentent au moins trois symptômes types de la maladie (ou une combinaison de symptômes primaires et secondaire), seuls les cas probable ont fait état d’un contact récent avec une personne infectée ou une surface souillée par la maladie) </w:t>
      </w:r>
    </w:p>
  </w:footnote>
  <w:footnote w:id="27">
    <w:p w:rsidR="00EC2A49" w:rsidRPr="00A345B5" w:rsidRDefault="00EC2A49">
      <w:pPr>
        <w:pStyle w:val="FootnoteText"/>
        <w:rPr>
          <w:lang w:val="fr-FR"/>
        </w:rPr>
      </w:pPr>
      <w:r>
        <w:rPr>
          <w:rStyle w:val="FootnoteReference"/>
        </w:rPr>
        <w:footnoteRef/>
      </w:r>
      <w:r w:rsidRPr="00A345B5">
        <w:rPr>
          <w:lang w:val="fr-FR"/>
        </w:rPr>
        <w:t xml:space="preserve"> </w:t>
      </w:r>
      <w:r>
        <w:rPr>
          <w:lang w:val="fr-FR"/>
        </w:rPr>
        <w:t>Il est très probable que cet inventaire existe déjà.</w:t>
      </w:r>
    </w:p>
  </w:footnote>
  <w:footnote w:id="28">
    <w:p w:rsidR="00BC0C42" w:rsidRPr="00BC0C42" w:rsidRDefault="00BC0C42">
      <w:pPr>
        <w:pStyle w:val="FootnoteText"/>
        <w:rPr>
          <w:lang w:val="fr-FR"/>
        </w:rPr>
      </w:pPr>
      <w:r>
        <w:rPr>
          <w:rStyle w:val="FootnoteReference"/>
        </w:rPr>
        <w:footnoteRef/>
      </w:r>
      <w:r w:rsidRPr="00BC0C42">
        <w:rPr>
          <w:lang w:val="fr-FR"/>
        </w:rPr>
        <w:t xml:space="preserve"> </w:t>
      </w:r>
      <w:r>
        <w:rPr>
          <w:lang w:val="fr-FR"/>
        </w:rPr>
        <w:t>La Suède finance par ailleurs l’extension des réseaux urbains de Tombouctou et Gao.</w:t>
      </w:r>
    </w:p>
  </w:footnote>
  <w:footnote w:id="29">
    <w:p w:rsidR="00EC2A49" w:rsidRPr="00123F26" w:rsidRDefault="00EC2A49">
      <w:pPr>
        <w:pStyle w:val="FootnoteText"/>
        <w:rPr>
          <w:lang w:val="fr-FR"/>
        </w:rPr>
      </w:pPr>
      <w:r>
        <w:rPr>
          <w:rStyle w:val="FootnoteReference"/>
        </w:rPr>
        <w:footnoteRef/>
      </w:r>
      <w:r w:rsidRPr="00123F26">
        <w:rPr>
          <w:lang w:val="fr-FR"/>
        </w:rPr>
        <w:t xml:space="preserve"> </w:t>
      </w:r>
      <w:r>
        <w:rPr>
          <w:lang w:val="fr-FR"/>
        </w:rPr>
        <w:t>Personnel qui doit également faire l’objet d’un contrôle de la part du partenaire.</w:t>
      </w:r>
    </w:p>
  </w:footnote>
  <w:footnote w:id="30">
    <w:p w:rsidR="00EC2A49" w:rsidRPr="00123F26" w:rsidRDefault="00EC2A49">
      <w:pPr>
        <w:pStyle w:val="FootnoteText"/>
        <w:rPr>
          <w:lang w:val="fr-FR"/>
        </w:rPr>
      </w:pPr>
      <w:r>
        <w:rPr>
          <w:rStyle w:val="FootnoteReference"/>
        </w:rPr>
        <w:footnoteRef/>
      </w:r>
      <w:r w:rsidRPr="00123F26">
        <w:rPr>
          <w:lang w:val="fr-FR"/>
        </w:rPr>
        <w:t xml:space="preserve"> </w:t>
      </w:r>
      <w:r>
        <w:rPr>
          <w:lang w:val="fr-FR"/>
        </w:rPr>
        <w:t>ET ce suivi pourra être assuré par les équipes du partenaire  en charge du dépistage dans les communautés.</w:t>
      </w:r>
    </w:p>
  </w:footnote>
  <w:footnote w:id="31">
    <w:p w:rsidR="00EC2A49" w:rsidRPr="005F1C3C" w:rsidRDefault="00EC2A49">
      <w:pPr>
        <w:pStyle w:val="FootnoteText"/>
        <w:rPr>
          <w:lang w:val="fr-FR"/>
        </w:rPr>
      </w:pPr>
      <w:r>
        <w:rPr>
          <w:rStyle w:val="FootnoteReference"/>
        </w:rPr>
        <w:footnoteRef/>
      </w:r>
      <w:r w:rsidRPr="005F1C3C">
        <w:rPr>
          <w:lang w:val="fr-FR"/>
        </w:rPr>
        <w:t xml:space="preserve"> </w:t>
      </w:r>
      <w:r>
        <w:rPr>
          <w:lang w:val="fr-FR"/>
        </w:rPr>
        <w:t>Compter 100 € maximum pour un kit de mesure avec ses consommables (1 par équipe de terrain).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33373"/>
    <w:multiLevelType w:val="hybridMultilevel"/>
    <w:tmpl w:val="FAB48678"/>
    <w:lvl w:ilvl="0" w:tplc="92BCC24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C6386E"/>
    <w:multiLevelType w:val="hybridMultilevel"/>
    <w:tmpl w:val="3634DCD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32B7B40"/>
    <w:multiLevelType w:val="multilevel"/>
    <w:tmpl w:val="300A49B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nsid w:val="14A10A0E"/>
    <w:multiLevelType w:val="hybridMultilevel"/>
    <w:tmpl w:val="C9288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BED175D"/>
    <w:multiLevelType w:val="hybridMultilevel"/>
    <w:tmpl w:val="F2845E40"/>
    <w:lvl w:ilvl="0" w:tplc="508A4F0A">
      <w:start w:val="1"/>
      <w:numFmt w:val="bullet"/>
      <w:pStyle w:val="Heading5"/>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74209E"/>
    <w:multiLevelType w:val="hybridMultilevel"/>
    <w:tmpl w:val="2F1C98D2"/>
    <w:lvl w:ilvl="0" w:tplc="92BCC24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15862FA"/>
    <w:multiLevelType w:val="hybridMultilevel"/>
    <w:tmpl w:val="A17460E2"/>
    <w:lvl w:ilvl="0" w:tplc="92BCC24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BB84A73"/>
    <w:multiLevelType w:val="hybridMultilevel"/>
    <w:tmpl w:val="E954DA34"/>
    <w:lvl w:ilvl="0" w:tplc="92BCC24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F3D4B09"/>
    <w:multiLevelType w:val="hybridMultilevel"/>
    <w:tmpl w:val="CFA22E8A"/>
    <w:lvl w:ilvl="0" w:tplc="92BCC24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16157D9"/>
    <w:multiLevelType w:val="hybridMultilevel"/>
    <w:tmpl w:val="B3A424E8"/>
    <w:lvl w:ilvl="0" w:tplc="92BCC24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2FF5663"/>
    <w:multiLevelType w:val="hybridMultilevel"/>
    <w:tmpl w:val="BB343B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47F464A"/>
    <w:multiLevelType w:val="hybridMultilevel"/>
    <w:tmpl w:val="B09016B4"/>
    <w:lvl w:ilvl="0" w:tplc="040C000F">
      <w:start w:val="1"/>
      <w:numFmt w:val="decimal"/>
      <w:lvlText w:val="%1."/>
      <w:lvlJc w:val="left"/>
      <w:pPr>
        <w:ind w:left="774" w:hanging="360"/>
      </w:pPr>
    </w:lvl>
    <w:lvl w:ilvl="1" w:tplc="040C0019" w:tentative="1">
      <w:start w:val="1"/>
      <w:numFmt w:val="lowerLetter"/>
      <w:lvlText w:val="%2."/>
      <w:lvlJc w:val="left"/>
      <w:pPr>
        <w:ind w:left="1494" w:hanging="360"/>
      </w:pPr>
    </w:lvl>
    <w:lvl w:ilvl="2" w:tplc="040C001B" w:tentative="1">
      <w:start w:val="1"/>
      <w:numFmt w:val="lowerRoman"/>
      <w:lvlText w:val="%3."/>
      <w:lvlJc w:val="right"/>
      <w:pPr>
        <w:ind w:left="2214" w:hanging="180"/>
      </w:pPr>
    </w:lvl>
    <w:lvl w:ilvl="3" w:tplc="040C000F" w:tentative="1">
      <w:start w:val="1"/>
      <w:numFmt w:val="decimal"/>
      <w:lvlText w:val="%4."/>
      <w:lvlJc w:val="left"/>
      <w:pPr>
        <w:ind w:left="2934" w:hanging="360"/>
      </w:pPr>
    </w:lvl>
    <w:lvl w:ilvl="4" w:tplc="040C0019" w:tentative="1">
      <w:start w:val="1"/>
      <w:numFmt w:val="lowerLetter"/>
      <w:lvlText w:val="%5."/>
      <w:lvlJc w:val="left"/>
      <w:pPr>
        <w:ind w:left="3654" w:hanging="360"/>
      </w:pPr>
    </w:lvl>
    <w:lvl w:ilvl="5" w:tplc="040C001B" w:tentative="1">
      <w:start w:val="1"/>
      <w:numFmt w:val="lowerRoman"/>
      <w:lvlText w:val="%6."/>
      <w:lvlJc w:val="right"/>
      <w:pPr>
        <w:ind w:left="4374" w:hanging="180"/>
      </w:pPr>
    </w:lvl>
    <w:lvl w:ilvl="6" w:tplc="040C000F" w:tentative="1">
      <w:start w:val="1"/>
      <w:numFmt w:val="decimal"/>
      <w:lvlText w:val="%7."/>
      <w:lvlJc w:val="left"/>
      <w:pPr>
        <w:ind w:left="5094" w:hanging="360"/>
      </w:pPr>
    </w:lvl>
    <w:lvl w:ilvl="7" w:tplc="040C0019" w:tentative="1">
      <w:start w:val="1"/>
      <w:numFmt w:val="lowerLetter"/>
      <w:lvlText w:val="%8."/>
      <w:lvlJc w:val="left"/>
      <w:pPr>
        <w:ind w:left="5814" w:hanging="360"/>
      </w:pPr>
    </w:lvl>
    <w:lvl w:ilvl="8" w:tplc="040C001B" w:tentative="1">
      <w:start w:val="1"/>
      <w:numFmt w:val="lowerRoman"/>
      <w:lvlText w:val="%9."/>
      <w:lvlJc w:val="right"/>
      <w:pPr>
        <w:ind w:left="6534" w:hanging="180"/>
      </w:pPr>
    </w:lvl>
  </w:abstractNum>
  <w:abstractNum w:abstractNumId="12">
    <w:nsid w:val="5818473A"/>
    <w:multiLevelType w:val="hybridMultilevel"/>
    <w:tmpl w:val="87E041BE"/>
    <w:lvl w:ilvl="0" w:tplc="92BCC24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8422E60"/>
    <w:multiLevelType w:val="hybridMultilevel"/>
    <w:tmpl w:val="9AFC4878"/>
    <w:lvl w:ilvl="0" w:tplc="92BCC24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BEB18D9"/>
    <w:multiLevelType w:val="hybridMultilevel"/>
    <w:tmpl w:val="D8AE24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31A2977"/>
    <w:multiLevelType w:val="multilevel"/>
    <w:tmpl w:val="44E691F6"/>
    <w:lvl w:ilvl="0">
      <w:start w:val="1"/>
      <w:numFmt w:val="decimal"/>
      <w:lvlText w:val="%1"/>
      <w:lvlJc w:val="left"/>
      <w:pPr>
        <w:tabs>
          <w:tab w:val="num" w:pos="1112"/>
        </w:tabs>
        <w:ind w:left="1112" w:hanging="432"/>
      </w:pPr>
      <w:rPr>
        <w:rFonts w:hint="default"/>
      </w:rPr>
    </w:lvl>
    <w:lvl w:ilvl="1">
      <w:start w:val="1"/>
      <w:numFmt w:val="decimal"/>
      <w:pStyle w:val="StyleHeading2Bold"/>
      <w:lvlText w:val="%1.%2"/>
      <w:lvlJc w:val="left"/>
      <w:pPr>
        <w:tabs>
          <w:tab w:val="num" w:pos="1256"/>
        </w:tabs>
        <w:ind w:left="1256" w:hanging="576"/>
      </w:pPr>
      <w:rPr>
        <w:rFonts w:hint="default"/>
      </w:rPr>
    </w:lvl>
    <w:lvl w:ilvl="2">
      <w:start w:val="1"/>
      <w:numFmt w:val="decimal"/>
      <w:lvlText w:val="%1.%2.%3"/>
      <w:lvlJc w:val="left"/>
      <w:pPr>
        <w:tabs>
          <w:tab w:val="num" w:pos="1400"/>
        </w:tabs>
        <w:ind w:left="1400" w:hanging="720"/>
      </w:pPr>
      <w:rPr>
        <w:rFonts w:hint="default"/>
      </w:rPr>
    </w:lvl>
    <w:lvl w:ilvl="3">
      <w:start w:val="1"/>
      <w:numFmt w:val="decimal"/>
      <w:lvlText w:val="%1.%2.%3.%4"/>
      <w:lvlJc w:val="left"/>
      <w:pPr>
        <w:tabs>
          <w:tab w:val="num" w:pos="1544"/>
        </w:tabs>
        <w:ind w:left="1544" w:hanging="864"/>
      </w:pPr>
      <w:rPr>
        <w:rFonts w:hint="default"/>
      </w:rPr>
    </w:lvl>
    <w:lvl w:ilvl="4">
      <w:start w:val="1"/>
      <w:numFmt w:val="decimal"/>
      <w:lvlText w:val="%1.%2.%3.%4.%5"/>
      <w:lvlJc w:val="left"/>
      <w:pPr>
        <w:tabs>
          <w:tab w:val="num" w:pos="1688"/>
        </w:tabs>
        <w:ind w:left="1688" w:hanging="1008"/>
      </w:pPr>
      <w:rPr>
        <w:rFonts w:hint="default"/>
      </w:rPr>
    </w:lvl>
    <w:lvl w:ilvl="5">
      <w:start w:val="1"/>
      <w:numFmt w:val="decimal"/>
      <w:lvlText w:val="%1.%2.%3.%4.%5.%6"/>
      <w:lvlJc w:val="left"/>
      <w:pPr>
        <w:tabs>
          <w:tab w:val="num" w:pos="1832"/>
        </w:tabs>
        <w:ind w:left="1832" w:hanging="1152"/>
      </w:pPr>
      <w:rPr>
        <w:rFonts w:hint="default"/>
      </w:rPr>
    </w:lvl>
    <w:lvl w:ilvl="6">
      <w:start w:val="1"/>
      <w:numFmt w:val="decimal"/>
      <w:lvlText w:val="%1.%2.%3.%4.%5.%6.%7"/>
      <w:lvlJc w:val="left"/>
      <w:pPr>
        <w:tabs>
          <w:tab w:val="num" w:pos="1976"/>
        </w:tabs>
        <w:ind w:left="1976" w:hanging="1296"/>
      </w:pPr>
      <w:rPr>
        <w:rFonts w:hint="default"/>
      </w:rPr>
    </w:lvl>
    <w:lvl w:ilvl="7">
      <w:start w:val="1"/>
      <w:numFmt w:val="decimal"/>
      <w:lvlText w:val="%1.%2.%3.%4.%5.%6.%7.%8"/>
      <w:lvlJc w:val="left"/>
      <w:pPr>
        <w:tabs>
          <w:tab w:val="num" w:pos="2120"/>
        </w:tabs>
        <w:ind w:left="2120" w:hanging="1440"/>
      </w:pPr>
      <w:rPr>
        <w:rFonts w:hint="default"/>
      </w:rPr>
    </w:lvl>
    <w:lvl w:ilvl="8">
      <w:start w:val="1"/>
      <w:numFmt w:val="decimal"/>
      <w:lvlText w:val="%1.%2.%3.%4.%5.%6.%7.%8.%9"/>
      <w:lvlJc w:val="left"/>
      <w:pPr>
        <w:tabs>
          <w:tab w:val="num" w:pos="2264"/>
        </w:tabs>
        <w:ind w:left="2264" w:hanging="1584"/>
      </w:pPr>
      <w:rPr>
        <w:rFonts w:hint="default"/>
      </w:rPr>
    </w:lvl>
  </w:abstractNum>
  <w:abstractNum w:abstractNumId="16">
    <w:nsid w:val="638F1FBC"/>
    <w:multiLevelType w:val="hybridMultilevel"/>
    <w:tmpl w:val="40DA4850"/>
    <w:lvl w:ilvl="0" w:tplc="92BCC24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3AE63B0"/>
    <w:multiLevelType w:val="hybridMultilevel"/>
    <w:tmpl w:val="5D285DF6"/>
    <w:lvl w:ilvl="0" w:tplc="92BCC24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53A3BE6"/>
    <w:multiLevelType w:val="hybridMultilevel"/>
    <w:tmpl w:val="50F667F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6F34585"/>
    <w:multiLevelType w:val="hybridMultilevel"/>
    <w:tmpl w:val="7CBE02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D1E79C7"/>
    <w:multiLevelType w:val="hybridMultilevel"/>
    <w:tmpl w:val="1C5676C6"/>
    <w:lvl w:ilvl="0" w:tplc="92BCC24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3A666A1"/>
    <w:multiLevelType w:val="hybridMultilevel"/>
    <w:tmpl w:val="D3562600"/>
    <w:lvl w:ilvl="0" w:tplc="92BCC24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8"/>
  </w:num>
  <w:num w:numId="4">
    <w:abstractNumId w:val="4"/>
  </w:num>
  <w:num w:numId="5">
    <w:abstractNumId w:val="6"/>
  </w:num>
  <w:num w:numId="6">
    <w:abstractNumId w:val="7"/>
  </w:num>
  <w:num w:numId="7">
    <w:abstractNumId w:val="16"/>
  </w:num>
  <w:num w:numId="8">
    <w:abstractNumId w:val="10"/>
  </w:num>
  <w:num w:numId="9">
    <w:abstractNumId w:val="13"/>
  </w:num>
  <w:num w:numId="10">
    <w:abstractNumId w:val="9"/>
  </w:num>
  <w:num w:numId="11">
    <w:abstractNumId w:val="14"/>
  </w:num>
  <w:num w:numId="12">
    <w:abstractNumId w:val="17"/>
  </w:num>
  <w:num w:numId="13">
    <w:abstractNumId w:val="0"/>
  </w:num>
  <w:num w:numId="14">
    <w:abstractNumId w:val="1"/>
  </w:num>
  <w:num w:numId="15">
    <w:abstractNumId w:val="20"/>
  </w:num>
  <w:num w:numId="16">
    <w:abstractNumId w:val="11"/>
  </w:num>
  <w:num w:numId="17">
    <w:abstractNumId w:val="12"/>
  </w:num>
  <w:num w:numId="18">
    <w:abstractNumId w:val="3"/>
  </w:num>
  <w:num w:numId="19">
    <w:abstractNumId w:val="5"/>
  </w:num>
  <w:num w:numId="20">
    <w:abstractNumId w:val="19"/>
  </w:num>
  <w:num w:numId="21">
    <w:abstractNumId w:val="21"/>
  </w:num>
  <w:num w:numId="22">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lorPos" w:val="-1"/>
    <w:docVar w:name="ColorSet" w:val="-1"/>
    <w:docVar w:name="StylePos" w:val="-1"/>
    <w:docVar w:name="StyleSet" w:val="-1"/>
  </w:docVars>
  <w:rsids>
    <w:rsidRoot w:val="004E182C"/>
    <w:rsid w:val="000036A4"/>
    <w:rsid w:val="0000697A"/>
    <w:rsid w:val="00007DC7"/>
    <w:rsid w:val="00017BE1"/>
    <w:rsid w:val="00036F76"/>
    <w:rsid w:val="00041949"/>
    <w:rsid w:val="00041AEC"/>
    <w:rsid w:val="00063110"/>
    <w:rsid w:val="000636DF"/>
    <w:rsid w:val="000639A6"/>
    <w:rsid w:val="000672CD"/>
    <w:rsid w:val="00071BE3"/>
    <w:rsid w:val="00073CBB"/>
    <w:rsid w:val="000B02AF"/>
    <w:rsid w:val="000B1A26"/>
    <w:rsid w:val="000B2F3A"/>
    <w:rsid w:val="000C327A"/>
    <w:rsid w:val="000C771E"/>
    <w:rsid w:val="000E3B39"/>
    <w:rsid w:val="000F0708"/>
    <w:rsid w:val="000F3B73"/>
    <w:rsid w:val="00104ABE"/>
    <w:rsid w:val="001055D1"/>
    <w:rsid w:val="00107C15"/>
    <w:rsid w:val="0011369D"/>
    <w:rsid w:val="001160D8"/>
    <w:rsid w:val="00117E8E"/>
    <w:rsid w:val="00123F26"/>
    <w:rsid w:val="00127E86"/>
    <w:rsid w:val="00131853"/>
    <w:rsid w:val="0014341A"/>
    <w:rsid w:val="00146EB1"/>
    <w:rsid w:val="00155CF2"/>
    <w:rsid w:val="00155DE6"/>
    <w:rsid w:val="00164D1D"/>
    <w:rsid w:val="001664C0"/>
    <w:rsid w:val="001676C9"/>
    <w:rsid w:val="00171AEB"/>
    <w:rsid w:val="00175513"/>
    <w:rsid w:val="0017708C"/>
    <w:rsid w:val="00183E56"/>
    <w:rsid w:val="001972A4"/>
    <w:rsid w:val="00197645"/>
    <w:rsid w:val="001A4598"/>
    <w:rsid w:val="001A65FA"/>
    <w:rsid w:val="001C1F18"/>
    <w:rsid w:val="001C3DA4"/>
    <w:rsid w:val="001D4510"/>
    <w:rsid w:val="001D5859"/>
    <w:rsid w:val="001E18E4"/>
    <w:rsid w:val="001E2153"/>
    <w:rsid w:val="001E7C1E"/>
    <w:rsid w:val="001F31F5"/>
    <w:rsid w:val="001F6249"/>
    <w:rsid w:val="001F70A4"/>
    <w:rsid w:val="001F7AB4"/>
    <w:rsid w:val="00207E2D"/>
    <w:rsid w:val="00213CF3"/>
    <w:rsid w:val="002244E5"/>
    <w:rsid w:val="00226D00"/>
    <w:rsid w:val="00226E99"/>
    <w:rsid w:val="002470C9"/>
    <w:rsid w:val="00250E57"/>
    <w:rsid w:val="00252C00"/>
    <w:rsid w:val="002566B7"/>
    <w:rsid w:val="00263F55"/>
    <w:rsid w:val="0026752C"/>
    <w:rsid w:val="002826F2"/>
    <w:rsid w:val="0028507F"/>
    <w:rsid w:val="00294D03"/>
    <w:rsid w:val="002A6166"/>
    <w:rsid w:val="002A76D0"/>
    <w:rsid w:val="002B050D"/>
    <w:rsid w:val="002B2DBA"/>
    <w:rsid w:val="002C448A"/>
    <w:rsid w:val="002C6685"/>
    <w:rsid w:val="002D473B"/>
    <w:rsid w:val="002E0253"/>
    <w:rsid w:val="002E51B7"/>
    <w:rsid w:val="002E62EC"/>
    <w:rsid w:val="002F2737"/>
    <w:rsid w:val="002F4DCC"/>
    <w:rsid w:val="003005F6"/>
    <w:rsid w:val="00321069"/>
    <w:rsid w:val="00322404"/>
    <w:rsid w:val="003241A0"/>
    <w:rsid w:val="00325EA8"/>
    <w:rsid w:val="00331589"/>
    <w:rsid w:val="003353D9"/>
    <w:rsid w:val="0033668C"/>
    <w:rsid w:val="003416C6"/>
    <w:rsid w:val="00352BD7"/>
    <w:rsid w:val="00354067"/>
    <w:rsid w:val="003567E3"/>
    <w:rsid w:val="00356C69"/>
    <w:rsid w:val="0038608C"/>
    <w:rsid w:val="00395365"/>
    <w:rsid w:val="00396C02"/>
    <w:rsid w:val="00396C1A"/>
    <w:rsid w:val="003A188D"/>
    <w:rsid w:val="003A6B17"/>
    <w:rsid w:val="003A753F"/>
    <w:rsid w:val="003B5E00"/>
    <w:rsid w:val="003D58EC"/>
    <w:rsid w:val="003F0C5A"/>
    <w:rsid w:val="003F2347"/>
    <w:rsid w:val="003F51A1"/>
    <w:rsid w:val="003F6E60"/>
    <w:rsid w:val="004221A8"/>
    <w:rsid w:val="00423A91"/>
    <w:rsid w:val="00427C55"/>
    <w:rsid w:val="00431366"/>
    <w:rsid w:val="00434BA6"/>
    <w:rsid w:val="00435E04"/>
    <w:rsid w:val="00446C33"/>
    <w:rsid w:val="00462A8F"/>
    <w:rsid w:val="00476A4C"/>
    <w:rsid w:val="004840F3"/>
    <w:rsid w:val="004942E7"/>
    <w:rsid w:val="00497F25"/>
    <w:rsid w:val="004A122D"/>
    <w:rsid w:val="004A4D8B"/>
    <w:rsid w:val="004A7885"/>
    <w:rsid w:val="004B0F73"/>
    <w:rsid w:val="004B2F8E"/>
    <w:rsid w:val="004B6A81"/>
    <w:rsid w:val="004B7D19"/>
    <w:rsid w:val="004C7D44"/>
    <w:rsid w:val="004D3ABD"/>
    <w:rsid w:val="004E1126"/>
    <w:rsid w:val="004E182C"/>
    <w:rsid w:val="004F0E12"/>
    <w:rsid w:val="004F1C42"/>
    <w:rsid w:val="004F2084"/>
    <w:rsid w:val="004F404F"/>
    <w:rsid w:val="004F6E66"/>
    <w:rsid w:val="004F73C6"/>
    <w:rsid w:val="00510C25"/>
    <w:rsid w:val="00520461"/>
    <w:rsid w:val="00525458"/>
    <w:rsid w:val="00536EFD"/>
    <w:rsid w:val="005404B0"/>
    <w:rsid w:val="0054058E"/>
    <w:rsid w:val="00542A1D"/>
    <w:rsid w:val="00545562"/>
    <w:rsid w:val="005464A6"/>
    <w:rsid w:val="0054749B"/>
    <w:rsid w:val="005500F4"/>
    <w:rsid w:val="0055650E"/>
    <w:rsid w:val="00556D84"/>
    <w:rsid w:val="0056106A"/>
    <w:rsid w:val="00562175"/>
    <w:rsid w:val="005625F7"/>
    <w:rsid w:val="005723F2"/>
    <w:rsid w:val="005918D5"/>
    <w:rsid w:val="00593F73"/>
    <w:rsid w:val="00596733"/>
    <w:rsid w:val="00596F55"/>
    <w:rsid w:val="00597CD3"/>
    <w:rsid w:val="005A1981"/>
    <w:rsid w:val="005A644F"/>
    <w:rsid w:val="005B7B81"/>
    <w:rsid w:val="005C34A3"/>
    <w:rsid w:val="005D0D05"/>
    <w:rsid w:val="005D46E6"/>
    <w:rsid w:val="005D750F"/>
    <w:rsid w:val="005E0CA9"/>
    <w:rsid w:val="005E41E7"/>
    <w:rsid w:val="005E6185"/>
    <w:rsid w:val="005E63F8"/>
    <w:rsid w:val="005F1C3C"/>
    <w:rsid w:val="00604F4C"/>
    <w:rsid w:val="00622B88"/>
    <w:rsid w:val="0062318A"/>
    <w:rsid w:val="00624988"/>
    <w:rsid w:val="00626E4E"/>
    <w:rsid w:val="00636FAB"/>
    <w:rsid w:val="006555DD"/>
    <w:rsid w:val="00655724"/>
    <w:rsid w:val="00665471"/>
    <w:rsid w:val="006856C1"/>
    <w:rsid w:val="006A09A0"/>
    <w:rsid w:val="006A316C"/>
    <w:rsid w:val="006C05AF"/>
    <w:rsid w:val="006C0DAE"/>
    <w:rsid w:val="006C0F2E"/>
    <w:rsid w:val="006C313B"/>
    <w:rsid w:val="006C47B6"/>
    <w:rsid w:val="006C48CA"/>
    <w:rsid w:val="006D112A"/>
    <w:rsid w:val="006D5980"/>
    <w:rsid w:val="006D6C13"/>
    <w:rsid w:val="006E1558"/>
    <w:rsid w:val="006F2B73"/>
    <w:rsid w:val="006F4094"/>
    <w:rsid w:val="00702515"/>
    <w:rsid w:val="0070390D"/>
    <w:rsid w:val="007043E3"/>
    <w:rsid w:val="0070513D"/>
    <w:rsid w:val="00710CE3"/>
    <w:rsid w:val="00717800"/>
    <w:rsid w:val="00732C0B"/>
    <w:rsid w:val="00736B01"/>
    <w:rsid w:val="00751665"/>
    <w:rsid w:val="00751E67"/>
    <w:rsid w:val="007524E1"/>
    <w:rsid w:val="0075670E"/>
    <w:rsid w:val="00760A81"/>
    <w:rsid w:val="00776662"/>
    <w:rsid w:val="00783305"/>
    <w:rsid w:val="007866A3"/>
    <w:rsid w:val="00792329"/>
    <w:rsid w:val="00794221"/>
    <w:rsid w:val="007978CA"/>
    <w:rsid w:val="007A1DEE"/>
    <w:rsid w:val="007A436E"/>
    <w:rsid w:val="007B74F6"/>
    <w:rsid w:val="007C53D1"/>
    <w:rsid w:val="007C56C3"/>
    <w:rsid w:val="007C56FC"/>
    <w:rsid w:val="007D090B"/>
    <w:rsid w:val="007D2081"/>
    <w:rsid w:val="007E1B4E"/>
    <w:rsid w:val="007E668E"/>
    <w:rsid w:val="007F5683"/>
    <w:rsid w:val="007F700F"/>
    <w:rsid w:val="008147EB"/>
    <w:rsid w:val="00843106"/>
    <w:rsid w:val="00851327"/>
    <w:rsid w:val="00851C7C"/>
    <w:rsid w:val="00854C91"/>
    <w:rsid w:val="0085541F"/>
    <w:rsid w:val="00856828"/>
    <w:rsid w:val="00865855"/>
    <w:rsid w:val="008811DE"/>
    <w:rsid w:val="00892DD9"/>
    <w:rsid w:val="00897043"/>
    <w:rsid w:val="008A3371"/>
    <w:rsid w:val="008B01C6"/>
    <w:rsid w:val="008B23B3"/>
    <w:rsid w:val="008B5DC4"/>
    <w:rsid w:val="008B75D9"/>
    <w:rsid w:val="008C5C6E"/>
    <w:rsid w:val="008E1145"/>
    <w:rsid w:val="008E5D6C"/>
    <w:rsid w:val="008F30C8"/>
    <w:rsid w:val="008F5170"/>
    <w:rsid w:val="008F7027"/>
    <w:rsid w:val="0090127F"/>
    <w:rsid w:val="0090528A"/>
    <w:rsid w:val="00906CA5"/>
    <w:rsid w:val="0091168F"/>
    <w:rsid w:val="009173B5"/>
    <w:rsid w:val="00921290"/>
    <w:rsid w:val="00924409"/>
    <w:rsid w:val="00924533"/>
    <w:rsid w:val="009329FF"/>
    <w:rsid w:val="00932FC1"/>
    <w:rsid w:val="0094127D"/>
    <w:rsid w:val="0094433B"/>
    <w:rsid w:val="00951216"/>
    <w:rsid w:val="00961779"/>
    <w:rsid w:val="00962A16"/>
    <w:rsid w:val="00964AB0"/>
    <w:rsid w:val="00970136"/>
    <w:rsid w:val="00973A07"/>
    <w:rsid w:val="00973F2A"/>
    <w:rsid w:val="00986BC2"/>
    <w:rsid w:val="009912EB"/>
    <w:rsid w:val="009949F4"/>
    <w:rsid w:val="009A15C2"/>
    <w:rsid w:val="009B4368"/>
    <w:rsid w:val="009B436A"/>
    <w:rsid w:val="009B51B0"/>
    <w:rsid w:val="009C3584"/>
    <w:rsid w:val="009C4F2F"/>
    <w:rsid w:val="009D1295"/>
    <w:rsid w:val="009F1B42"/>
    <w:rsid w:val="009F65F8"/>
    <w:rsid w:val="009F683B"/>
    <w:rsid w:val="009F7318"/>
    <w:rsid w:val="00A0428F"/>
    <w:rsid w:val="00A175D3"/>
    <w:rsid w:val="00A345B5"/>
    <w:rsid w:val="00A360E1"/>
    <w:rsid w:val="00A5159B"/>
    <w:rsid w:val="00A7122B"/>
    <w:rsid w:val="00A741FD"/>
    <w:rsid w:val="00A84611"/>
    <w:rsid w:val="00A85617"/>
    <w:rsid w:val="00A91E5D"/>
    <w:rsid w:val="00A91FAC"/>
    <w:rsid w:val="00A96512"/>
    <w:rsid w:val="00A96821"/>
    <w:rsid w:val="00AA015F"/>
    <w:rsid w:val="00AA2BEA"/>
    <w:rsid w:val="00AA4DCB"/>
    <w:rsid w:val="00AA7A23"/>
    <w:rsid w:val="00AB61DA"/>
    <w:rsid w:val="00AC01D5"/>
    <w:rsid w:val="00AE0CA6"/>
    <w:rsid w:val="00AE41FE"/>
    <w:rsid w:val="00AE43D3"/>
    <w:rsid w:val="00AE6D5F"/>
    <w:rsid w:val="00AE7839"/>
    <w:rsid w:val="00AF33DB"/>
    <w:rsid w:val="00AF5075"/>
    <w:rsid w:val="00AF56F8"/>
    <w:rsid w:val="00AF6080"/>
    <w:rsid w:val="00B03447"/>
    <w:rsid w:val="00B0669B"/>
    <w:rsid w:val="00B07D0A"/>
    <w:rsid w:val="00B17813"/>
    <w:rsid w:val="00B214DB"/>
    <w:rsid w:val="00B31B4D"/>
    <w:rsid w:val="00B34391"/>
    <w:rsid w:val="00B35C96"/>
    <w:rsid w:val="00B40ADA"/>
    <w:rsid w:val="00B42608"/>
    <w:rsid w:val="00B43155"/>
    <w:rsid w:val="00B548E2"/>
    <w:rsid w:val="00B54B90"/>
    <w:rsid w:val="00B6171D"/>
    <w:rsid w:val="00B618F3"/>
    <w:rsid w:val="00B6394D"/>
    <w:rsid w:val="00B67CC5"/>
    <w:rsid w:val="00B700CC"/>
    <w:rsid w:val="00B702B5"/>
    <w:rsid w:val="00B727BA"/>
    <w:rsid w:val="00B73111"/>
    <w:rsid w:val="00B7380D"/>
    <w:rsid w:val="00B75FB7"/>
    <w:rsid w:val="00B87763"/>
    <w:rsid w:val="00B92603"/>
    <w:rsid w:val="00BA5427"/>
    <w:rsid w:val="00BA5650"/>
    <w:rsid w:val="00BC0C42"/>
    <w:rsid w:val="00BD71A6"/>
    <w:rsid w:val="00BD7857"/>
    <w:rsid w:val="00C02D07"/>
    <w:rsid w:val="00C1034C"/>
    <w:rsid w:val="00C507C8"/>
    <w:rsid w:val="00C51757"/>
    <w:rsid w:val="00C655B6"/>
    <w:rsid w:val="00C73517"/>
    <w:rsid w:val="00C77A17"/>
    <w:rsid w:val="00C81208"/>
    <w:rsid w:val="00C81A48"/>
    <w:rsid w:val="00C858F9"/>
    <w:rsid w:val="00C86449"/>
    <w:rsid w:val="00C870AC"/>
    <w:rsid w:val="00C91DB7"/>
    <w:rsid w:val="00C965D0"/>
    <w:rsid w:val="00CA305E"/>
    <w:rsid w:val="00CB572A"/>
    <w:rsid w:val="00CB7506"/>
    <w:rsid w:val="00CC409C"/>
    <w:rsid w:val="00CD0CD0"/>
    <w:rsid w:val="00CD213E"/>
    <w:rsid w:val="00CD593C"/>
    <w:rsid w:val="00CE33B9"/>
    <w:rsid w:val="00CF05A7"/>
    <w:rsid w:val="00D03458"/>
    <w:rsid w:val="00D03DC0"/>
    <w:rsid w:val="00D04DC7"/>
    <w:rsid w:val="00D118CC"/>
    <w:rsid w:val="00D40E9B"/>
    <w:rsid w:val="00D41688"/>
    <w:rsid w:val="00D71E43"/>
    <w:rsid w:val="00D81710"/>
    <w:rsid w:val="00D825D6"/>
    <w:rsid w:val="00DB0826"/>
    <w:rsid w:val="00DB3777"/>
    <w:rsid w:val="00DC2386"/>
    <w:rsid w:val="00DE78ED"/>
    <w:rsid w:val="00DF2027"/>
    <w:rsid w:val="00E12BA9"/>
    <w:rsid w:val="00E350EE"/>
    <w:rsid w:val="00E37648"/>
    <w:rsid w:val="00E4609B"/>
    <w:rsid w:val="00E55661"/>
    <w:rsid w:val="00E55917"/>
    <w:rsid w:val="00E632C3"/>
    <w:rsid w:val="00E64BEF"/>
    <w:rsid w:val="00E87004"/>
    <w:rsid w:val="00E92DE7"/>
    <w:rsid w:val="00E96E1F"/>
    <w:rsid w:val="00EA762C"/>
    <w:rsid w:val="00EB301F"/>
    <w:rsid w:val="00EC2A49"/>
    <w:rsid w:val="00EC7669"/>
    <w:rsid w:val="00ED17A1"/>
    <w:rsid w:val="00ED47F9"/>
    <w:rsid w:val="00EE2CC4"/>
    <w:rsid w:val="00EF0DBE"/>
    <w:rsid w:val="00EF158C"/>
    <w:rsid w:val="00EF1C34"/>
    <w:rsid w:val="00F061A6"/>
    <w:rsid w:val="00F11F7B"/>
    <w:rsid w:val="00F15889"/>
    <w:rsid w:val="00F17D5F"/>
    <w:rsid w:val="00F2571F"/>
    <w:rsid w:val="00F54BDC"/>
    <w:rsid w:val="00F61227"/>
    <w:rsid w:val="00F656B6"/>
    <w:rsid w:val="00F71824"/>
    <w:rsid w:val="00F85C1F"/>
    <w:rsid w:val="00F938C4"/>
    <w:rsid w:val="00FA6CAC"/>
    <w:rsid w:val="00FB0788"/>
    <w:rsid w:val="00FB4AA6"/>
    <w:rsid w:val="00FC036E"/>
    <w:rsid w:val="00FC4BFB"/>
    <w:rsid w:val="00FC7E0C"/>
    <w:rsid w:val="00FF0D2D"/>
    <w:rsid w:val="00FF599B"/>
    <w:rsid w:val="00FF6607"/>
    <w:rsid w:val="00FF7B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1A6"/>
    <w:pPr>
      <w:widowControl w:val="0"/>
      <w:overflowPunct w:val="0"/>
      <w:adjustRightInd w:val="0"/>
      <w:spacing w:before="60" w:after="60"/>
      <w:jc w:val="both"/>
    </w:pPr>
    <w:rPr>
      <w:rFonts w:ascii="Arial" w:hAnsi="Arial"/>
      <w:kern w:val="28"/>
      <w:sz w:val="22"/>
      <w:szCs w:val="24"/>
      <w:lang w:val="en-GB"/>
    </w:rPr>
  </w:style>
  <w:style w:type="paragraph" w:styleId="Heading1">
    <w:name w:val="heading 1"/>
    <w:basedOn w:val="Normal"/>
    <w:next w:val="Normal"/>
    <w:autoRedefine/>
    <w:qFormat/>
    <w:rsid w:val="008A3371"/>
    <w:pPr>
      <w:keepNext/>
      <w:keepLines/>
      <w:numPr>
        <w:numId w:val="2"/>
      </w:numPr>
      <w:spacing w:before="240"/>
      <w:ind w:left="431" w:hanging="431"/>
      <w:outlineLvl w:val="0"/>
    </w:pPr>
    <w:rPr>
      <w:rFonts w:cs="Arial"/>
      <w:b/>
      <w:bCs/>
      <w:color w:val="002060"/>
      <w:kern w:val="32"/>
      <w:sz w:val="28"/>
      <w:szCs w:val="32"/>
      <w:lang w:val="en-US"/>
    </w:rPr>
  </w:style>
  <w:style w:type="paragraph" w:styleId="Heading2">
    <w:name w:val="heading 2"/>
    <w:basedOn w:val="Normal"/>
    <w:next w:val="Normal"/>
    <w:autoRedefine/>
    <w:qFormat/>
    <w:rsid w:val="008A3371"/>
    <w:pPr>
      <w:keepNext/>
      <w:keepLines/>
      <w:numPr>
        <w:ilvl w:val="1"/>
        <w:numId w:val="2"/>
      </w:numPr>
      <w:spacing w:before="120"/>
      <w:ind w:left="975" w:hanging="578"/>
      <w:outlineLvl w:val="1"/>
    </w:pPr>
    <w:rPr>
      <w:rFonts w:cs="Arial"/>
      <w:bCs/>
      <w:iCs/>
      <w:color w:val="1F497D"/>
      <w:sz w:val="24"/>
      <w:szCs w:val="28"/>
      <w:u w:val="single"/>
    </w:rPr>
  </w:style>
  <w:style w:type="paragraph" w:styleId="Heading3">
    <w:name w:val="heading 3"/>
    <w:basedOn w:val="Normal"/>
    <w:next w:val="Normal"/>
    <w:autoRedefine/>
    <w:qFormat/>
    <w:rsid w:val="008A3371"/>
    <w:pPr>
      <w:keepNext/>
      <w:keepLines/>
      <w:numPr>
        <w:ilvl w:val="2"/>
        <w:numId w:val="2"/>
      </w:numPr>
      <w:spacing w:before="120"/>
      <w:ind w:left="1684"/>
      <w:outlineLvl w:val="2"/>
    </w:pPr>
    <w:rPr>
      <w:rFonts w:cs="Arial"/>
      <w:b/>
      <w:bCs/>
      <w:i/>
      <w:color w:val="548DD4"/>
      <w:szCs w:val="26"/>
      <w:lang w:val="en-US"/>
    </w:rPr>
  </w:style>
  <w:style w:type="paragraph" w:styleId="Heading4">
    <w:name w:val="heading 4"/>
    <w:basedOn w:val="Normal"/>
    <w:next w:val="Normal"/>
    <w:autoRedefine/>
    <w:qFormat/>
    <w:rsid w:val="001F31F5"/>
    <w:pPr>
      <w:keepNext/>
      <w:keepLines/>
      <w:numPr>
        <w:ilvl w:val="3"/>
        <w:numId w:val="2"/>
      </w:numPr>
      <w:spacing w:before="120"/>
      <w:ind w:left="2563" w:hanging="862"/>
      <w:outlineLvl w:val="3"/>
    </w:pPr>
    <w:rPr>
      <w:rFonts w:ascii="Times New Roman" w:hAnsi="Times New Roman"/>
      <w:b/>
      <w:bCs/>
      <w:caps/>
      <w:color w:val="548DD4"/>
      <w:sz w:val="16"/>
      <w:szCs w:val="28"/>
    </w:rPr>
  </w:style>
  <w:style w:type="paragraph" w:styleId="Heading5">
    <w:name w:val="heading 5"/>
    <w:basedOn w:val="Normal"/>
    <w:next w:val="Normal"/>
    <w:autoRedefine/>
    <w:qFormat/>
    <w:rsid w:val="008A3371"/>
    <w:pPr>
      <w:keepNext/>
      <w:keepLines/>
      <w:numPr>
        <w:numId w:val="4"/>
      </w:numPr>
      <w:spacing w:before="240"/>
      <w:ind w:left="425" w:hanging="357"/>
      <w:outlineLvl w:val="4"/>
    </w:pPr>
    <w:rPr>
      <w:bCs/>
      <w:i/>
      <w:iCs/>
      <w:color w:val="548DD4"/>
      <w:sz w:val="20"/>
      <w:szCs w:val="20"/>
      <w:lang w:val="en-US"/>
    </w:rPr>
  </w:style>
  <w:style w:type="paragraph" w:styleId="Heading6">
    <w:name w:val="heading 6"/>
    <w:basedOn w:val="Normal"/>
    <w:next w:val="Normal"/>
    <w:qFormat/>
    <w:rsid w:val="00BD71A6"/>
    <w:pPr>
      <w:numPr>
        <w:ilvl w:val="5"/>
        <w:numId w:val="2"/>
      </w:numPr>
      <w:spacing w:before="240"/>
      <w:outlineLvl w:val="5"/>
    </w:pPr>
    <w:rPr>
      <w:rFonts w:ascii="Times New Roman" w:hAnsi="Times New Roman"/>
      <w:b/>
      <w:bCs/>
      <w:szCs w:val="22"/>
    </w:rPr>
  </w:style>
  <w:style w:type="paragraph" w:styleId="Heading7">
    <w:name w:val="heading 7"/>
    <w:basedOn w:val="Normal"/>
    <w:next w:val="Normal"/>
    <w:qFormat/>
    <w:rsid w:val="00BD71A6"/>
    <w:pPr>
      <w:numPr>
        <w:ilvl w:val="6"/>
        <w:numId w:val="2"/>
      </w:numPr>
      <w:spacing w:before="240"/>
      <w:outlineLvl w:val="6"/>
    </w:pPr>
    <w:rPr>
      <w:rFonts w:ascii="Times New Roman" w:hAnsi="Times New Roman"/>
      <w:sz w:val="24"/>
    </w:rPr>
  </w:style>
  <w:style w:type="paragraph" w:styleId="Heading8">
    <w:name w:val="heading 8"/>
    <w:basedOn w:val="Normal"/>
    <w:next w:val="Normal"/>
    <w:qFormat/>
    <w:rsid w:val="00BD71A6"/>
    <w:pPr>
      <w:numPr>
        <w:ilvl w:val="7"/>
        <w:numId w:val="2"/>
      </w:numPr>
      <w:spacing w:before="240"/>
      <w:outlineLvl w:val="7"/>
    </w:pPr>
    <w:rPr>
      <w:rFonts w:ascii="Times New Roman" w:hAnsi="Times New Roman"/>
      <w:i/>
      <w:iCs/>
      <w:sz w:val="24"/>
    </w:rPr>
  </w:style>
  <w:style w:type="paragraph" w:styleId="Heading9">
    <w:name w:val="heading 9"/>
    <w:basedOn w:val="Normal"/>
    <w:next w:val="Normal"/>
    <w:qFormat/>
    <w:rsid w:val="00BD71A6"/>
    <w:pPr>
      <w:numPr>
        <w:ilvl w:val="8"/>
        <w:numId w:val="2"/>
      </w:numPr>
      <w:spacing w:before="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qFormat/>
    <w:rsid w:val="00510C25"/>
    <w:pPr>
      <w:spacing w:after="0"/>
    </w:pPr>
    <w:rPr>
      <w:sz w:val="16"/>
      <w:szCs w:val="20"/>
    </w:rPr>
  </w:style>
  <w:style w:type="character" w:customStyle="1" w:styleId="FootnoteTextChar">
    <w:name w:val="Footnote Text Char"/>
    <w:link w:val="FootnoteText"/>
    <w:uiPriority w:val="99"/>
    <w:semiHidden/>
    <w:rsid w:val="00510C25"/>
    <w:rPr>
      <w:rFonts w:ascii="Arial" w:hAnsi="Arial"/>
      <w:kern w:val="28"/>
      <w:sz w:val="16"/>
      <w:lang w:val="en-GB"/>
    </w:rPr>
  </w:style>
  <w:style w:type="character" w:styleId="FootnoteReference">
    <w:name w:val="footnote reference"/>
    <w:uiPriority w:val="99"/>
    <w:semiHidden/>
    <w:unhideWhenUsed/>
    <w:rsid w:val="0026752C"/>
    <w:rPr>
      <w:vertAlign w:val="superscript"/>
    </w:rPr>
  </w:style>
  <w:style w:type="paragraph" w:styleId="Header">
    <w:name w:val="header"/>
    <w:basedOn w:val="Normal"/>
    <w:rsid w:val="00F17D5F"/>
    <w:pPr>
      <w:tabs>
        <w:tab w:val="center" w:pos="4153"/>
        <w:tab w:val="right" w:pos="8306"/>
      </w:tabs>
    </w:pPr>
  </w:style>
  <w:style w:type="paragraph" w:styleId="Footer">
    <w:name w:val="footer"/>
    <w:basedOn w:val="Normal"/>
    <w:rsid w:val="00F17D5F"/>
    <w:pPr>
      <w:tabs>
        <w:tab w:val="center" w:pos="4153"/>
        <w:tab w:val="right" w:pos="8306"/>
      </w:tabs>
    </w:pPr>
  </w:style>
  <w:style w:type="paragraph" w:customStyle="1" w:styleId="StyleHeading2Bold">
    <w:name w:val="Style Heading 2 + Bold"/>
    <w:basedOn w:val="Heading2"/>
    <w:rsid w:val="004F6E66"/>
    <w:pPr>
      <w:numPr>
        <w:numId w:val="1"/>
      </w:numPr>
    </w:pPr>
    <w:rPr>
      <w:iCs w:val="0"/>
    </w:rPr>
  </w:style>
  <w:style w:type="character" w:styleId="PageNumber">
    <w:name w:val="page number"/>
    <w:basedOn w:val="DefaultParagraphFont"/>
    <w:rsid w:val="008C5C6E"/>
  </w:style>
  <w:style w:type="table" w:styleId="TableGrid">
    <w:name w:val="Table Grid"/>
    <w:basedOn w:val="TableNormal"/>
    <w:rsid w:val="008C5C6E"/>
    <w:pPr>
      <w:widowControl w:val="0"/>
      <w:overflowPunct w:val="0"/>
      <w:adjustRightInd w:val="0"/>
      <w:spacing w:before="60"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Typewriter">
    <w:name w:val="HTML Typewriter"/>
    <w:rsid w:val="00175513"/>
    <w:rPr>
      <w:rFonts w:ascii="Courier New" w:eastAsia="Times New Roman" w:hAnsi="Courier New" w:cs="Courier New"/>
      <w:sz w:val="20"/>
      <w:szCs w:val="20"/>
    </w:rPr>
  </w:style>
  <w:style w:type="character" w:styleId="Hyperlink">
    <w:name w:val="Hyperlink"/>
    <w:uiPriority w:val="99"/>
    <w:rsid w:val="00F2571F"/>
    <w:rPr>
      <w:color w:val="0000FF"/>
      <w:u w:val="single"/>
    </w:rPr>
  </w:style>
  <w:style w:type="paragraph" w:styleId="TOC1">
    <w:name w:val="toc 1"/>
    <w:basedOn w:val="Normal"/>
    <w:next w:val="Normal"/>
    <w:autoRedefine/>
    <w:uiPriority w:val="39"/>
    <w:rsid w:val="00C81A48"/>
  </w:style>
  <w:style w:type="paragraph" w:styleId="TOC2">
    <w:name w:val="toc 2"/>
    <w:basedOn w:val="Normal"/>
    <w:next w:val="Normal"/>
    <w:autoRedefine/>
    <w:uiPriority w:val="39"/>
    <w:rsid w:val="00C81A48"/>
    <w:pPr>
      <w:ind w:left="220"/>
    </w:pPr>
  </w:style>
  <w:style w:type="paragraph" w:styleId="TOC3">
    <w:name w:val="toc 3"/>
    <w:basedOn w:val="Normal"/>
    <w:next w:val="Normal"/>
    <w:autoRedefine/>
    <w:uiPriority w:val="39"/>
    <w:rsid w:val="00C81A48"/>
    <w:pPr>
      <w:ind w:left="440"/>
    </w:pPr>
  </w:style>
  <w:style w:type="paragraph" w:styleId="Title">
    <w:name w:val="Title"/>
    <w:basedOn w:val="Normal"/>
    <w:next w:val="Normal"/>
    <w:link w:val="TitleChar"/>
    <w:uiPriority w:val="10"/>
    <w:qFormat/>
    <w:rsid w:val="00B92603"/>
    <w:pPr>
      <w:pBdr>
        <w:bottom w:val="single" w:sz="8" w:space="4" w:color="4F81BD"/>
      </w:pBdr>
      <w:spacing w:before="0" w:after="300"/>
      <w:contextualSpacing/>
    </w:pPr>
    <w:rPr>
      <w:rFonts w:ascii="Cambria" w:hAnsi="Cambria"/>
      <w:color w:val="17365D"/>
      <w:spacing w:val="5"/>
      <w:sz w:val="52"/>
      <w:szCs w:val="52"/>
    </w:rPr>
  </w:style>
  <w:style w:type="character" w:customStyle="1" w:styleId="TitleChar">
    <w:name w:val="Title Char"/>
    <w:link w:val="Title"/>
    <w:uiPriority w:val="10"/>
    <w:rsid w:val="00B92603"/>
    <w:rPr>
      <w:rFonts w:ascii="Cambria" w:eastAsia="Times New Roman" w:hAnsi="Cambria" w:cs="Times New Roman"/>
      <w:color w:val="17365D"/>
      <w:spacing w:val="5"/>
      <w:kern w:val="28"/>
      <w:sz w:val="52"/>
      <w:szCs w:val="52"/>
      <w:lang w:val="en-GB"/>
    </w:rPr>
  </w:style>
  <w:style w:type="paragraph" w:customStyle="1" w:styleId="Paragraphedeliste">
    <w:name w:val="Paragraphe de liste"/>
    <w:basedOn w:val="Normal"/>
    <w:uiPriority w:val="34"/>
    <w:qFormat/>
    <w:rsid w:val="00525458"/>
    <w:pPr>
      <w:ind w:left="720"/>
      <w:contextualSpacing/>
    </w:pPr>
  </w:style>
  <w:style w:type="paragraph" w:styleId="BalloonText">
    <w:name w:val="Balloon Text"/>
    <w:basedOn w:val="Normal"/>
    <w:link w:val="BalloonTextChar"/>
    <w:uiPriority w:val="99"/>
    <w:semiHidden/>
    <w:unhideWhenUsed/>
    <w:rsid w:val="00CF05A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5A7"/>
    <w:rPr>
      <w:rFonts w:ascii="Tahoma" w:hAnsi="Tahoma" w:cs="Tahoma"/>
      <w:kern w:val="28"/>
      <w:sz w:val="16"/>
      <w:szCs w:val="16"/>
      <w:lang w:val="en-GB"/>
    </w:rPr>
  </w:style>
  <w:style w:type="character" w:styleId="CommentReference">
    <w:name w:val="annotation reference"/>
    <w:basedOn w:val="DefaultParagraphFont"/>
    <w:uiPriority w:val="99"/>
    <w:semiHidden/>
    <w:unhideWhenUsed/>
    <w:rsid w:val="00AE43D3"/>
    <w:rPr>
      <w:sz w:val="16"/>
      <w:szCs w:val="16"/>
    </w:rPr>
  </w:style>
  <w:style w:type="paragraph" w:styleId="CommentText">
    <w:name w:val="annotation text"/>
    <w:basedOn w:val="Normal"/>
    <w:link w:val="CommentTextChar"/>
    <w:uiPriority w:val="99"/>
    <w:semiHidden/>
    <w:unhideWhenUsed/>
    <w:rsid w:val="00AE43D3"/>
    <w:rPr>
      <w:sz w:val="20"/>
      <w:szCs w:val="20"/>
    </w:rPr>
  </w:style>
  <w:style w:type="character" w:customStyle="1" w:styleId="CommentTextChar">
    <w:name w:val="Comment Text Char"/>
    <w:basedOn w:val="DefaultParagraphFont"/>
    <w:link w:val="CommentText"/>
    <w:uiPriority w:val="99"/>
    <w:semiHidden/>
    <w:rsid w:val="00AE43D3"/>
    <w:rPr>
      <w:rFonts w:ascii="Arial" w:hAnsi="Arial"/>
      <w:kern w:val="28"/>
      <w:lang w:val="en-GB"/>
    </w:rPr>
  </w:style>
  <w:style w:type="paragraph" w:styleId="CommentSubject">
    <w:name w:val="annotation subject"/>
    <w:basedOn w:val="CommentText"/>
    <w:next w:val="CommentText"/>
    <w:link w:val="CommentSubjectChar"/>
    <w:uiPriority w:val="99"/>
    <w:semiHidden/>
    <w:unhideWhenUsed/>
    <w:rsid w:val="00AE43D3"/>
    <w:rPr>
      <w:b/>
      <w:bCs/>
    </w:rPr>
  </w:style>
  <w:style w:type="character" w:customStyle="1" w:styleId="CommentSubjectChar">
    <w:name w:val="Comment Subject Char"/>
    <w:basedOn w:val="CommentTextChar"/>
    <w:link w:val="CommentSubject"/>
    <w:uiPriority w:val="99"/>
    <w:semiHidden/>
    <w:rsid w:val="00AE43D3"/>
    <w:rPr>
      <w:rFonts w:ascii="Arial" w:hAnsi="Arial"/>
      <w:b/>
      <w:bCs/>
      <w:kern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1A6"/>
    <w:pPr>
      <w:widowControl w:val="0"/>
      <w:overflowPunct w:val="0"/>
      <w:adjustRightInd w:val="0"/>
      <w:spacing w:before="60" w:after="60"/>
      <w:jc w:val="both"/>
    </w:pPr>
    <w:rPr>
      <w:rFonts w:ascii="Arial" w:hAnsi="Arial"/>
      <w:kern w:val="28"/>
      <w:sz w:val="22"/>
      <w:szCs w:val="24"/>
      <w:lang w:val="en-GB"/>
    </w:rPr>
  </w:style>
  <w:style w:type="paragraph" w:styleId="Heading1">
    <w:name w:val="heading 1"/>
    <w:basedOn w:val="Normal"/>
    <w:next w:val="Normal"/>
    <w:autoRedefine/>
    <w:qFormat/>
    <w:rsid w:val="008A3371"/>
    <w:pPr>
      <w:keepNext/>
      <w:keepLines/>
      <w:numPr>
        <w:numId w:val="2"/>
      </w:numPr>
      <w:spacing w:before="240"/>
      <w:ind w:left="431" w:hanging="431"/>
      <w:outlineLvl w:val="0"/>
    </w:pPr>
    <w:rPr>
      <w:rFonts w:cs="Arial"/>
      <w:b/>
      <w:bCs/>
      <w:color w:val="002060"/>
      <w:kern w:val="32"/>
      <w:sz w:val="28"/>
      <w:szCs w:val="32"/>
      <w:lang w:val="en-US"/>
    </w:rPr>
  </w:style>
  <w:style w:type="paragraph" w:styleId="Heading2">
    <w:name w:val="heading 2"/>
    <w:basedOn w:val="Normal"/>
    <w:next w:val="Normal"/>
    <w:autoRedefine/>
    <w:qFormat/>
    <w:rsid w:val="008A3371"/>
    <w:pPr>
      <w:keepNext/>
      <w:keepLines/>
      <w:numPr>
        <w:ilvl w:val="1"/>
        <w:numId w:val="2"/>
      </w:numPr>
      <w:spacing w:before="120"/>
      <w:ind w:left="975" w:hanging="578"/>
      <w:outlineLvl w:val="1"/>
    </w:pPr>
    <w:rPr>
      <w:rFonts w:cs="Arial"/>
      <w:bCs/>
      <w:iCs/>
      <w:color w:val="1F497D"/>
      <w:sz w:val="24"/>
      <w:szCs w:val="28"/>
      <w:u w:val="single"/>
    </w:rPr>
  </w:style>
  <w:style w:type="paragraph" w:styleId="Heading3">
    <w:name w:val="heading 3"/>
    <w:basedOn w:val="Normal"/>
    <w:next w:val="Normal"/>
    <w:autoRedefine/>
    <w:qFormat/>
    <w:rsid w:val="008A3371"/>
    <w:pPr>
      <w:keepNext/>
      <w:keepLines/>
      <w:numPr>
        <w:ilvl w:val="2"/>
        <w:numId w:val="2"/>
      </w:numPr>
      <w:spacing w:before="120"/>
      <w:ind w:left="1684"/>
      <w:outlineLvl w:val="2"/>
    </w:pPr>
    <w:rPr>
      <w:rFonts w:cs="Arial"/>
      <w:b/>
      <w:bCs/>
      <w:i/>
      <w:color w:val="548DD4"/>
      <w:szCs w:val="26"/>
      <w:lang w:val="en-US"/>
    </w:rPr>
  </w:style>
  <w:style w:type="paragraph" w:styleId="Heading4">
    <w:name w:val="heading 4"/>
    <w:basedOn w:val="Normal"/>
    <w:next w:val="Normal"/>
    <w:autoRedefine/>
    <w:qFormat/>
    <w:rsid w:val="001F31F5"/>
    <w:pPr>
      <w:keepNext/>
      <w:keepLines/>
      <w:numPr>
        <w:ilvl w:val="3"/>
        <w:numId w:val="2"/>
      </w:numPr>
      <w:spacing w:before="120"/>
      <w:ind w:left="2563" w:hanging="862"/>
      <w:outlineLvl w:val="3"/>
    </w:pPr>
    <w:rPr>
      <w:rFonts w:ascii="Times New Roman" w:hAnsi="Times New Roman"/>
      <w:b/>
      <w:bCs/>
      <w:caps/>
      <w:color w:val="548DD4"/>
      <w:sz w:val="16"/>
      <w:szCs w:val="28"/>
    </w:rPr>
  </w:style>
  <w:style w:type="paragraph" w:styleId="Heading5">
    <w:name w:val="heading 5"/>
    <w:basedOn w:val="Normal"/>
    <w:next w:val="Normal"/>
    <w:autoRedefine/>
    <w:qFormat/>
    <w:rsid w:val="008A3371"/>
    <w:pPr>
      <w:keepNext/>
      <w:keepLines/>
      <w:numPr>
        <w:numId w:val="4"/>
      </w:numPr>
      <w:spacing w:before="240"/>
      <w:ind w:left="425" w:hanging="357"/>
      <w:outlineLvl w:val="4"/>
    </w:pPr>
    <w:rPr>
      <w:bCs/>
      <w:i/>
      <w:iCs/>
      <w:color w:val="548DD4"/>
      <w:sz w:val="20"/>
      <w:szCs w:val="20"/>
      <w:lang w:val="en-US"/>
    </w:rPr>
  </w:style>
  <w:style w:type="paragraph" w:styleId="Heading6">
    <w:name w:val="heading 6"/>
    <w:basedOn w:val="Normal"/>
    <w:next w:val="Normal"/>
    <w:qFormat/>
    <w:rsid w:val="00BD71A6"/>
    <w:pPr>
      <w:numPr>
        <w:ilvl w:val="5"/>
        <w:numId w:val="2"/>
      </w:numPr>
      <w:spacing w:before="240"/>
      <w:outlineLvl w:val="5"/>
    </w:pPr>
    <w:rPr>
      <w:rFonts w:ascii="Times New Roman" w:hAnsi="Times New Roman"/>
      <w:b/>
      <w:bCs/>
      <w:szCs w:val="22"/>
    </w:rPr>
  </w:style>
  <w:style w:type="paragraph" w:styleId="Heading7">
    <w:name w:val="heading 7"/>
    <w:basedOn w:val="Normal"/>
    <w:next w:val="Normal"/>
    <w:qFormat/>
    <w:rsid w:val="00BD71A6"/>
    <w:pPr>
      <w:numPr>
        <w:ilvl w:val="6"/>
        <w:numId w:val="2"/>
      </w:numPr>
      <w:spacing w:before="240"/>
      <w:outlineLvl w:val="6"/>
    </w:pPr>
    <w:rPr>
      <w:rFonts w:ascii="Times New Roman" w:hAnsi="Times New Roman"/>
      <w:sz w:val="24"/>
    </w:rPr>
  </w:style>
  <w:style w:type="paragraph" w:styleId="Heading8">
    <w:name w:val="heading 8"/>
    <w:basedOn w:val="Normal"/>
    <w:next w:val="Normal"/>
    <w:qFormat/>
    <w:rsid w:val="00BD71A6"/>
    <w:pPr>
      <w:numPr>
        <w:ilvl w:val="7"/>
        <w:numId w:val="2"/>
      </w:numPr>
      <w:spacing w:before="240"/>
      <w:outlineLvl w:val="7"/>
    </w:pPr>
    <w:rPr>
      <w:rFonts w:ascii="Times New Roman" w:hAnsi="Times New Roman"/>
      <w:i/>
      <w:iCs/>
      <w:sz w:val="24"/>
    </w:rPr>
  </w:style>
  <w:style w:type="paragraph" w:styleId="Heading9">
    <w:name w:val="heading 9"/>
    <w:basedOn w:val="Normal"/>
    <w:next w:val="Normal"/>
    <w:qFormat/>
    <w:rsid w:val="00BD71A6"/>
    <w:pPr>
      <w:numPr>
        <w:ilvl w:val="8"/>
        <w:numId w:val="2"/>
      </w:numPr>
      <w:spacing w:before="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qFormat/>
    <w:rsid w:val="00510C25"/>
    <w:pPr>
      <w:spacing w:after="0"/>
    </w:pPr>
    <w:rPr>
      <w:sz w:val="16"/>
      <w:szCs w:val="20"/>
    </w:rPr>
  </w:style>
  <w:style w:type="character" w:customStyle="1" w:styleId="FootnoteTextChar">
    <w:name w:val="Footnote Text Char"/>
    <w:link w:val="FootnoteText"/>
    <w:uiPriority w:val="99"/>
    <w:semiHidden/>
    <w:rsid w:val="00510C25"/>
    <w:rPr>
      <w:rFonts w:ascii="Arial" w:hAnsi="Arial"/>
      <w:kern w:val="28"/>
      <w:sz w:val="16"/>
      <w:lang w:val="en-GB"/>
    </w:rPr>
  </w:style>
  <w:style w:type="character" w:styleId="FootnoteReference">
    <w:name w:val="footnote reference"/>
    <w:uiPriority w:val="99"/>
    <w:semiHidden/>
    <w:unhideWhenUsed/>
    <w:rsid w:val="0026752C"/>
    <w:rPr>
      <w:vertAlign w:val="superscript"/>
    </w:rPr>
  </w:style>
  <w:style w:type="paragraph" w:styleId="Header">
    <w:name w:val="header"/>
    <w:basedOn w:val="Normal"/>
    <w:rsid w:val="00F17D5F"/>
    <w:pPr>
      <w:tabs>
        <w:tab w:val="center" w:pos="4153"/>
        <w:tab w:val="right" w:pos="8306"/>
      </w:tabs>
    </w:pPr>
  </w:style>
  <w:style w:type="paragraph" w:styleId="Footer">
    <w:name w:val="footer"/>
    <w:basedOn w:val="Normal"/>
    <w:rsid w:val="00F17D5F"/>
    <w:pPr>
      <w:tabs>
        <w:tab w:val="center" w:pos="4153"/>
        <w:tab w:val="right" w:pos="8306"/>
      </w:tabs>
    </w:pPr>
  </w:style>
  <w:style w:type="paragraph" w:customStyle="1" w:styleId="StyleHeading2Bold">
    <w:name w:val="Style Heading 2 + Bold"/>
    <w:basedOn w:val="Heading2"/>
    <w:rsid w:val="004F6E66"/>
    <w:pPr>
      <w:numPr>
        <w:numId w:val="1"/>
      </w:numPr>
    </w:pPr>
    <w:rPr>
      <w:iCs w:val="0"/>
    </w:rPr>
  </w:style>
  <w:style w:type="character" w:styleId="PageNumber">
    <w:name w:val="page number"/>
    <w:basedOn w:val="DefaultParagraphFont"/>
    <w:rsid w:val="008C5C6E"/>
  </w:style>
  <w:style w:type="table" w:styleId="TableGrid">
    <w:name w:val="Table Grid"/>
    <w:basedOn w:val="TableNormal"/>
    <w:rsid w:val="008C5C6E"/>
    <w:pPr>
      <w:widowControl w:val="0"/>
      <w:overflowPunct w:val="0"/>
      <w:adjustRightInd w:val="0"/>
      <w:spacing w:before="60"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Typewriter">
    <w:name w:val="HTML Typewriter"/>
    <w:rsid w:val="00175513"/>
    <w:rPr>
      <w:rFonts w:ascii="Courier New" w:eastAsia="Times New Roman" w:hAnsi="Courier New" w:cs="Courier New"/>
      <w:sz w:val="20"/>
      <w:szCs w:val="20"/>
    </w:rPr>
  </w:style>
  <w:style w:type="character" w:styleId="Hyperlink">
    <w:name w:val="Hyperlink"/>
    <w:uiPriority w:val="99"/>
    <w:rsid w:val="00F2571F"/>
    <w:rPr>
      <w:color w:val="0000FF"/>
      <w:u w:val="single"/>
    </w:rPr>
  </w:style>
  <w:style w:type="paragraph" w:styleId="TOC1">
    <w:name w:val="toc 1"/>
    <w:basedOn w:val="Normal"/>
    <w:next w:val="Normal"/>
    <w:autoRedefine/>
    <w:uiPriority w:val="39"/>
    <w:rsid w:val="00C81A48"/>
  </w:style>
  <w:style w:type="paragraph" w:styleId="TOC2">
    <w:name w:val="toc 2"/>
    <w:basedOn w:val="Normal"/>
    <w:next w:val="Normal"/>
    <w:autoRedefine/>
    <w:uiPriority w:val="39"/>
    <w:rsid w:val="00C81A48"/>
    <w:pPr>
      <w:ind w:left="220"/>
    </w:pPr>
  </w:style>
  <w:style w:type="paragraph" w:styleId="TOC3">
    <w:name w:val="toc 3"/>
    <w:basedOn w:val="Normal"/>
    <w:next w:val="Normal"/>
    <w:autoRedefine/>
    <w:uiPriority w:val="39"/>
    <w:rsid w:val="00C81A48"/>
    <w:pPr>
      <w:ind w:left="440"/>
    </w:pPr>
  </w:style>
  <w:style w:type="paragraph" w:styleId="Title">
    <w:name w:val="Title"/>
    <w:basedOn w:val="Normal"/>
    <w:next w:val="Normal"/>
    <w:link w:val="TitleChar"/>
    <w:uiPriority w:val="10"/>
    <w:qFormat/>
    <w:rsid w:val="00B92603"/>
    <w:pPr>
      <w:pBdr>
        <w:bottom w:val="single" w:sz="8" w:space="4" w:color="4F81BD"/>
      </w:pBdr>
      <w:spacing w:before="0" w:after="300"/>
      <w:contextualSpacing/>
    </w:pPr>
    <w:rPr>
      <w:rFonts w:ascii="Cambria" w:hAnsi="Cambria"/>
      <w:color w:val="17365D"/>
      <w:spacing w:val="5"/>
      <w:sz w:val="52"/>
      <w:szCs w:val="52"/>
    </w:rPr>
  </w:style>
  <w:style w:type="character" w:customStyle="1" w:styleId="TitleChar">
    <w:name w:val="Title Char"/>
    <w:link w:val="Title"/>
    <w:uiPriority w:val="10"/>
    <w:rsid w:val="00B92603"/>
    <w:rPr>
      <w:rFonts w:ascii="Cambria" w:eastAsia="Times New Roman" w:hAnsi="Cambria" w:cs="Times New Roman"/>
      <w:color w:val="17365D"/>
      <w:spacing w:val="5"/>
      <w:kern w:val="28"/>
      <w:sz w:val="52"/>
      <w:szCs w:val="52"/>
      <w:lang w:val="en-GB"/>
    </w:rPr>
  </w:style>
  <w:style w:type="paragraph" w:customStyle="1" w:styleId="Paragraphedeliste">
    <w:name w:val="Paragraphe de liste"/>
    <w:basedOn w:val="Normal"/>
    <w:uiPriority w:val="34"/>
    <w:qFormat/>
    <w:rsid w:val="00525458"/>
    <w:pPr>
      <w:ind w:left="720"/>
      <w:contextualSpacing/>
    </w:pPr>
  </w:style>
  <w:style w:type="paragraph" w:styleId="BalloonText">
    <w:name w:val="Balloon Text"/>
    <w:basedOn w:val="Normal"/>
    <w:link w:val="BalloonTextChar"/>
    <w:uiPriority w:val="99"/>
    <w:semiHidden/>
    <w:unhideWhenUsed/>
    <w:rsid w:val="00CF05A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5A7"/>
    <w:rPr>
      <w:rFonts w:ascii="Tahoma" w:hAnsi="Tahoma" w:cs="Tahoma"/>
      <w:kern w:val="28"/>
      <w:sz w:val="16"/>
      <w:szCs w:val="16"/>
      <w:lang w:val="en-GB"/>
    </w:rPr>
  </w:style>
  <w:style w:type="character" w:styleId="CommentReference">
    <w:name w:val="annotation reference"/>
    <w:basedOn w:val="DefaultParagraphFont"/>
    <w:uiPriority w:val="99"/>
    <w:semiHidden/>
    <w:unhideWhenUsed/>
    <w:rsid w:val="00AE43D3"/>
    <w:rPr>
      <w:sz w:val="16"/>
      <w:szCs w:val="16"/>
    </w:rPr>
  </w:style>
  <w:style w:type="paragraph" w:styleId="CommentText">
    <w:name w:val="annotation text"/>
    <w:basedOn w:val="Normal"/>
    <w:link w:val="CommentTextChar"/>
    <w:uiPriority w:val="99"/>
    <w:semiHidden/>
    <w:unhideWhenUsed/>
    <w:rsid w:val="00AE43D3"/>
    <w:rPr>
      <w:sz w:val="20"/>
      <w:szCs w:val="20"/>
    </w:rPr>
  </w:style>
  <w:style w:type="character" w:customStyle="1" w:styleId="CommentTextChar">
    <w:name w:val="Comment Text Char"/>
    <w:basedOn w:val="DefaultParagraphFont"/>
    <w:link w:val="CommentText"/>
    <w:uiPriority w:val="99"/>
    <w:semiHidden/>
    <w:rsid w:val="00AE43D3"/>
    <w:rPr>
      <w:rFonts w:ascii="Arial" w:hAnsi="Arial"/>
      <w:kern w:val="28"/>
      <w:lang w:val="en-GB"/>
    </w:rPr>
  </w:style>
  <w:style w:type="paragraph" w:styleId="CommentSubject">
    <w:name w:val="annotation subject"/>
    <w:basedOn w:val="CommentText"/>
    <w:next w:val="CommentText"/>
    <w:link w:val="CommentSubjectChar"/>
    <w:uiPriority w:val="99"/>
    <w:semiHidden/>
    <w:unhideWhenUsed/>
    <w:rsid w:val="00AE43D3"/>
    <w:rPr>
      <w:b/>
      <w:bCs/>
    </w:rPr>
  </w:style>
  <w:style w:type="character" w:customStyle="1" w:styleId="CommentSubjectChar">
    <w:name w:val="Comment Subject Char"/>
    <w:basedOn w:val="CommentTextChar"/>
    <w:link w:val="CommentSubject"/>
    <w:uiPriority w:val="99"/>
    <w:semiHidden/>
    <w:rsid w:val="00AE43D3"/>
    <w:rPr>
      <w:rFonts w:ascii="Arial" w:hAnsi="Arial"/>
      <w:b/>
      <w:bCs/>
      <w:kern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22636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B91D2-BC01-44BA-A1B6-05C9E5341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8877</Words>
  <Characters>48829</Characters>
  <Application>Microsoft Office Word</Application>
  <DocSecurity>0</DocSecurity>
  <Lines>406</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57591</CharactersWithSpaces>
  <SharedDoc>false</SharedDoc>
  <HLinks>
    <vt:vector size="192" baseType="variant">
      <vt:variant>
        <vt:i4>1310781</vt:i4>
      </vt:variant>
      <vt:variant>
        <vt:i4>188</vt:i4>
      </vt:variant>
      <vt:variant>
        <vt:i4>0</vt:i4>
      </vt:variant>
      <vt:variant>
        <vt:i4>5</vt:i4>
      </vt:variant>
      <vt:variant>
        <vt:lpwstr/>
      </vt:variant>
      <vt:variant>
        <vt:lpwstr>_Toc406063907</vt:lpwstr>
      </vt:variant>
      <vt:variant>
        <vt:i4>1310781</vt:i4>
      </vt:variant>
      <vt:variant>
        <vt:i4>182</vt:i4>
      </vt:variant>
      <vt:variant>
        <vt:i4>0</vt:i4>
      </vt:variant>
      <vt:variant>
        <vt:i4>5</vt:i4>
      </vt:variant>
      <vt:variant>
        <vt:lpwstr/>
      </vt:variant>
      <vt:variant>
        <vt:lpwstr>_Toc406063906</vt:lpwstr>
      </vt:variant>
      <vt:variant>
        <vt:i4>1310781</vt:i4>
      </vt:variant>
      <vt:variant>
        <vt:i4>176</vt:i4>
      </vt:variant>
      <vt:variant>
        <vt:i4>0</vt:i4>
      </vt:variant>
      <vt:variant>
        <vt:i4>5</vt:i4>
      </vt:variant>
      <vt:variant>
        <vt:lpwstr/>
      </vt:variant>
      <vt:variant>
        <vt:lpwstr>_Toc406063905</vt:lpwstr>
      </vt:variant>
      <vt:variant>
        <vt:i4>1310781</vt:i4>
      </vt:variant>
      <vt:variant>
        <vt:i4>170</vt:i4>
      </vt:variant>
      <vt:variant>
        <vt:i4>0</vt:i4>
      </vt:variant>
      <vt:variant>
        <vt:i4>5</vt:i4>
      </vt:variant>
      <vt:variant>
        <vt:lpwstr/>
      </vt:variant>
      <vt:variant>
        <vt:lpwstr>_Toc406063904</vt:lpwstr>
      </vt:variant>
      <vt:variant>
        <vt:i4>1310781</vt:i4>
      </vt:variant>
      <vt:variant>
        <vt:i4>164</vt:i4>
      </vt:variant>
      <vt:variant>
        <vt:i4>0</vt:i4>
      </vt:variant>
      <vt:variant>
        <vt:i4>5</vt:i4>
      </vt:variant>
      <vt:variant>
        <vt:lpwstr/>
      </vt:variant>
      <vt:variant>
        <vt:lpwstr>_Toc406063903</vt:lpwstr>
      </vt:variant>
      <vt:variant>
        <vt:i4>1310781</vt:i4>
      </vt:variant>
      <vt:variant>
        <vt:i4>158</vt:i4>
      </vt:variant>
      <vt:variant>
        <vt:i4>0</vt:i4>
      </vt:variant>
      <vt:variant>
        <vt:i4>5</vt:i4>
      </vt:variant>
      <vt:variant>
        <vt:lpwstr/>
      </vt:variant>
      <vt:variant>
        <vt:lpwstr>_Toc406063902</vt:lpwstr>
      </vt:variant>
      <vt:variant>
        <vt:i4>1310781</vt:i4>
      </vt:variant>
      <vt:variant>
        <vt:i4>152</vt:i4>
      </vt:variant>
      <vt:variant>
        <vt:i4>0</vt:i4>
      </vt:variant>
      <vt:variant>
        <vt:i4>5</vt:i4>
      </vt:variant>
      <vt:variant>
        <vt:lpwstr/>
      </vt:variant>
      <vt:variant>
        <vt:lpwstr>_Toc406063901</vt:lpwstr>
      </vt:variant>
      <vt:variant>
        <vt:i4>1310781</vt:i4>
      </vt:variant>
      <vt:variant>
        <vt:i4>146</vt:i4>
      </vt:variant>
      <vt:variant>
        <vt:i4>0</vt:i4>
      </vt:variant>
      <vt:variant>
        <vt:i4>5</vt:i4>
      </vt:variant>
      <vt:variant>
        <vt:lpwstr/>
      </vt:variant>
      <vt:variant>
        <vt:lpwstr>_Toc406063900</vt:lpwstr>
      </vt:variant>
      <vt:variant>
        <vt:i4>1900604</vt:i4>
      </vt:variant>
      <vt:variant>
        <vt:i4>140</vt:i4>
      </vt:variant>
      <vt:variant>
        <vt:i4>0</vt:i4>
      </vt:variant>
      <vt:variant>
        <vt:i4>5</vt:i4>
      </vt:variant>
      <vt:variant>
        <vt:lpwstr/>
      </vt:variant>
      <vt:variant>
        <vt:lpwstr>_Toc406063899</vt:lpwstr>
      </vt:variant>
      <vt:variant>
        <vt:i4>1900604</vt:i4>
      </vt:variant>
      <vt:variant>
        <vt:i4>134</vt:i4>
      </vt:variant>
      <vt:variant>
        <vt:i4>0</vt:i4>
      </vt:variant>
      <vt:variant>
        <vt:i4>5</vt:i4>
      </vt:variant>
      <vt:variant>
        <vt:lpwstr/>
      </vt:variant>
      <vt:variant>
        <vt:lpwstr>_Toc406063898</vt:lpwstr>
      </vt:variant>
      <vt:variant>
        <vt:i4>1900604</vt:i4>
      </vt:variant>
      <vt:variant>
        <vt:i4>128</vt:i4>
      </vt:variant>
      <vt:variant>
        <vt:i4>0</vt:i4>
      </vt:variant>
      <vt:variant>
        <vt:i4>5</vt:i4>
      </vt:variant>
      <vt:variant>
        <vt:lpwstr/>
      </vt:variant>
      <vt:variant>
        <vt:lpwstr>_Toc406063897</vt:lpwstr>
      </vt:variant>
      <vt:variant>
        <vt:i4>1900604</vt:i4>
      </vt:variant>
      <vt:variant>
        <vt:i4>122</vt:i4>
      </vt:variant>
      <vt:variant>
        <vt:i4>0</vt:i4>
      </vt:variant>
      <vt:variant>
        <vt:i4>5</vt:i4>
      </vt:variant>
      <vt:variant>
        <vt:lpwstr/>
      </vt:variant>
      <vt:variant>
        <vt:lpwstr>_Toc406063896</vt:lpwstr>
      </vt:variant>
      <vt:variant>
        <vt:i4>1900604</vt:i4>
      </vt:variant>
      <vt:variant>
        <vt:i4>116</vt:i4>
      </vt:variant>
      <vt:variant>
        <vt:i4>0</vt:i4>
      </vt:variant>
      <vt:variant>
        <vt:i4>5</vt:i4>
      </vt:variant>
      <vt:variant>
        <vt:lpwstr/>
      </vt:variant>
      <vt:variant>
        <vt:lpwstr>_Toc406063895</vt:lpwstr>
      </vt:variant>
      <vt:variant>
        <vt:i4>1900604</vt:i4>
      </vt:variant>
      <vt:variant>
        <vt:i4>110</vt:i4>
      </vt:variant>
      <vt:variant>
        <vt:i4>0</vt:i4>
      </vt:variant>
      <vt:variant>
        <vt:i4>5</vt:i4>
      </vt:variant>
      <vt:variant>
        <vt:lpwstr/>
      </vt:variant>
      <vt:variant>
        <vt:lpwstr>_Toc406063894</vt:lpwstr>
      </vt:variant>
      <vt:variant>
        <vt:i4>1900604</vt:i4>
      </vt:variant>
      <vt:variant>
        <vt:i4>104</vt:i4>
      </vt:variant>
      <vt:variant>
        <vt:i4>0</vt:i4>
      </vt:variant>
      <vt:variant>
        <vt:i4>5</vt:i4>
      </vt:variant>
      <vt:variant>
        <vt:lpwstr/>
      </vt:variant>
      <vt:variant>
        <vt:lpwstr>_Toc406063893</vt:lpwstr>
      </vt:variant>
      <vt:variant>
        <vt:i4>1900604</vt:i4>
      </vt:variant>
      <vt:variant>
        <vt:i4>98</vt:i4>
      </vt:variant>
      <vt:variant>
        <vt:i4>0</vt:i4>
      </vt:variant>
      <vt:variant>
        <vt:i4>5</vt:i4>
      </vt:variant>
      <vt:variant>
        <vt:lpwstr/>
      </vt:variant>
      <vt:variant>
        <vt:lpwstr>_Toc406063892</vt:lpwstr>
      </vt:variant>
      <vt:variant>
        <vt:i4>1900604</vt:i4>
      </vt:variant>
      <vt:variant>
        <vt:i4>92</vt:i4>
      </vt:variant>
      <vt:variant>
        <vt:i4>0</vt:i4>
      </vt:variant>
      <vt:variant>
        <vt:i4>5</vt:i4>
      </vt:variant>
      <vt:variant>
        <vt:lpwstr/>
      </vt:variant>
      <vt:variant>
        <vt:lpwstr>_Toc406063891</vt:lpwstr>
      </vt:variant>
      <vt:variant>
        <vt:i4>1900604</vt:i4>
      </vt:variant>
      <vt:variant>
        <vt:i4>86</vt:i4>
      </vt:variant>
      <vt:variant>
        <vt:i4>0</vt:i4>
      </vt:variant>
      <vt:variant>
        <vt:i4>5</vt:i4>
      </vt:variant>
      <vt:variant>
        <vt:lpwstr/>
      </vt:variant>
      <vt:variant>
        <vt:lpwstr>_Toc406063890</vt:lpwstr>
      </vt:variant>
      <vt:variant>
        <vt:i4>1835068</vt:i4>
      </vt:variant>
      <vt:variant>
        <vt:i4>80</vt:i4>
      </vt:variant>
      <vt:variant>
        <vt:i4>0</vt:i4>
      </vt:variant>
      <vt:variant>
        <vt:i4>5</vt:i4>
      </vt:variant>
      <vt:variant>
        <vt:lpwstr/>
      </vt:variant>
      <vt:variant>
        <vt:lpwstr>_Toc406063889</vt:lpwstr>
      </vt:variant>
      <vt:variant>
        <vt:i4>1835068</vt:i4>
      </vt:variant>
      <vt:variant>
        <vt:i4>74</vt:i4>
      </vt:variant>
      <vt:variant>
        <vt:i4>0</vt:i4>
      </vt:variant>
      <vt:variant>
        <vt:i4>5</vt:i4>
      </vt:variant>
      <vt:variant>
        <vt:lpwstr/>
      </vt:variant>
      <vt:variant>
        <vt:lpwstr>_Toc406063888</vt:lpwstr>
      </vt:variant>
      <vt:variant>
        <vt:i4>1835068</vt:i4>
      </vt:variant>
      <vt:variant>
        <vt:i4>68</vt:i4>
      </vt:variant>
      <vt:variant>
        <vt:i4>0</vt:i4>
      </vt:variant>
      <vt:variant>
        <vt:i4>5</vt:i4>
      </vt:variant>
      <vt:variant>
        <vt:lpwstr/>
      </vt:variant>
      <vt:variant>
        <vt:lpwstr>_Toc406063887</vt:lpwstr>
      </vt:variant>
      <vt:variant>
        <vt:i4>1835068</vt:i4>
      </vt:variant>
      <vt:variant>
        <vt:i4>62</vt:i4>
      </vt:variant>
      <vt:variant>
        <vt:i4>0</vt:i4>
      </vt:variant>
      <vt:variant>
        <vt:i4>5</vt:i4>
      </vt:variant>
      <vt:variant>
        <vt:lpwstr/>
      </vt:variant>
      <vt:variant>
        <vt:lpwstr>_Toc406063886</vt:lpwstr>
      </vt:variant>
      <vt:variant>
        <vt:i4>1835068</vt:i4>
      </vt:variant>
      <vt:variant>
        <vt:i4>56</vt:i4>
      </vt:variant>
      <vt:variant>
        <vt:i4>0</vt:i4>
      </vt:variant>
      <vt:variant>
        <vt:i4>5</vt:i4>
      </vt:variant>
      <vt:variant>
        <vt:lpwstr/>
      </vt:variant>
      <vt:variant>
        <vt:lpwstr>_Toc406063885</vt:lpwstr>
      </vt:variant>
      <vt:variant>
        <vt:i4>1835068</vt:i4>
      </vt:variant>
      <vt:variant>
        <vt:i4>50</vt:i4>
      </vt:variant>
      <vt:variant>
        <vt:i4>0</vt:i4>
      </vt:variant>
      <vt:variant>
        <vt:i4>5</vt:i4>
      </vt:variant>
      <vt:variant>
        <vt:lpwstr/>
      </vt:variant>
      <vt:variant>
        <vt:lpwstr>_Toc406063884</vt:lpwstr>
      </vt:variant>
      <vt:variant>
        <vt:i4>1835068</vt:i4>
      </vt:variant>
      <vt:variant>
        <vt:i4>44</vt:i4>
      </vt:variant>
      <vt:variant>
        <vt:i4>0</vt:i4>
      </vt:variant>
      <vt:variant>
        <vt:i4>5</vt:i4>
      </vt:variant>
      <vt:variant>
        <vt:lpwstr/>
      </vt:variant>
      <vt:variant>
        <vt:lpwstr>_Toc406063883</vt:lpwstr>
      </vt:variant>
      <vt:variant>
        <vt:i4>1835068</vt:i4>
      </vt:variant>
      <vt:variant>
        <vt:i4>38</vt:i4>
      </vt:variant>
      <vt:variant>
        <vt:i4>0</vt:i4>
      </vt:variant>
      <vt:variant>
        <vt:i4>5</vt:i4>
      </vt:variant>
      <vt:variant>
        <vt:lpwstr/>
      </vt:variant>
      <vt:variant>
        <vt:lpwstr>_Toc406063882</vt:lpwstr>
      </vt:variant>
      <vt:variant>
        <vt:i4>1835068</vt:i4>
      </vt:variant>
      <vt:variant>
        <vt:i4>32</vt:i4>
      </vt:variant>
      <vt:variant>
        <vt:i4>0</vt:i4>
      </vt:variant>
      <vt:variant>
        <vt:i4>5</vt:i4>
      </vt:variant>
      <vt:variant>
        <vt:lpwstr/>
      </vt:variant>
      <vt:variant>
        <vt:lpwstr>_Toc406063881</vt:lpwstr>
      </vt:variant>
      <vt:variant>
        <vt:i4>1835068</vt:i4>
      </vt:variant>
      <vt:variant>
        <vt:i4>26</vt:i4>
      </vt:variant>
      <vt:variant>
        <vt:i4>0</vt:i4>
      </vt:variant>
      <vt:variant>
        <vt:i4>5</vt:i4>
      </vt:variant>
      <vt:variant>
        <vt:lpwstr/>
      </vt:variant>
      <vt:variant>
        <vt:lpwstr>_Toc406063880</vt:lpwstr>
      </vt:variant>
      <vt:variant>
        <vt:i4>1245244</vt:i4>
      </vt:variant>
      <vt:variant>
        <vt:i4>20</vt:i4>
      </vt:variant>
      <vt:variant>
        <vt:i4>0</vt:i4>
      </vt:variant>
      <vt:variant>
        <vt:i4>5</vt:i4>
      </vt:variant>
      <vt:variant>
        <vt:lpwstr/>
      </vt:variant>
      <vt:variant>
        <vt:lpwstr>_Toc406063879</vt:lpwstr>
      </vt:variant>
      <vt:variant>
        <vt:i4>1245244</vt:i4>
      </vt:variant>
      <vt:variant>
        <vt:i4>14</vt:i4>
      </vt:variant>
      <vt:variant>
        <vt:i4>0</vt:i4>
      </vt:variant>
      <vt:variant>
        <vt:i4>5</vt:i4>
      </vt:variant>
      <vt:variant>
        <vt:lpwstr/>
      </vt:variant>
      <vt:variant>
        <vt:lpwstr>_Toc406063878</vt:lpwstr>
      </vt:variant>
      <vt:variant>
        <vt:i4>1245244</vt:i4>
      </vt:variant>
      <vt:variant>
        <vt:i4>8</vt:i4>
      </vt:variant>
      <vt:variant>
        <vt:i4>0</vt:i4>
      </vt:variant>
      <vt:variant>
        <vt:i4>5</vt:i4>
      </vt:variant>
      <vt:variant>
        <vt:lpwstr/>
      </vt:variant>
      <vt:variant>
        <vt:lpwstr>_Toc406063877</vt:lpwstr>
      </vt:variant>
      <vt:variant>
        <vt:i4>1245244</vt:i4>
      </vt:variant>
      <vt:variant>
        <vt:i4>2</vt:i4>
      </vt:variant>
      <vt:variant>
        <vt:i4>0</vt:i4>
      </vt:variant>
      <vt:variant>
        <vt:i4>5</vt:i4>
      </vt:variant>
      <vt:variant>
        <vt:lpwstr/>
      </vt:variant>
      <vt:variant>
        <vt:lpwstr>_Toc406063876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Damien DB. BLANC</cp:lastModifiedBy>
  <cp:revision>2</cp:revision>
  <cp:lastPrinted>2010-09-08T16:01:00Z</cp:lastPrinted>
  <dcterms:created xsi:type="dcterms:W3CDTF">2014-12-29T12:18:00Z</dcterms:created>
  <dcterms:modified xsi:type="dcterms:W3CDTF">2014-12-29T12:18:00Z</dcterms:modified>
</cp:coreProperties>
</file>