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4234" w:tblpY="1748"/>
        <w:tblOverlap w:val="never"/>
        <w:tblW w:w="5025" w:type="dxa"/>
        <w:tblLook w:val="01E0" w:firstRow="1" w:lastRow="1" w:firstColumn="1" w:lastColumn="1" w:noHBand="0" w:noVBand="0"/>
      </w:tblPr>
      <w:tblGrid>
        <w:gridCol w:w="5025"/>
      </w:tblGrid>
      <w:tr w:rsidR="00791588" w:rsidRPr="001346FF" w:rsidTr="0005617C">
        <w:trPr>
          <w:trHeight w:val="474"/>
        </w:trPr>
        <w:tc>
          <w:tcPr>
            <w:tcW w:w="5025" w:type="dxa"/>
            <w:vAlign w:val="center"/>
          </w:tcPr>
          <w:p w:rsidR="00791588" w:rsidRPr="003C5083" w:rsidRDefault="00791588" w:rsidP="00791588">
            <w:pPr>
              <w:pStyle w:val="CoverFWCreference"/>
            </w:pPr>
            <w:proofErr w:type="spellStart"/>
            <w:r w:rsidRPr="003C5083">
              <w:t>EuropeAid</w:t>
            </w:r>
            <w:proofErr w:type="spellEnd"/>
            <w:r w:rsidRPr="003C5083">
              <w:t>/129522/C/SER/Multi</w:t>
            </w:r>
          </w:p>
          <w:p w:rsidR="00791588" w:rsidRPr="003C5083" w:rsidRDefault="00791588" w:rsidP="00791588">
            <w:pPr>
              <w:pStyle w:val="CovercontractNumber"/>
              <w:rPr>
                <w:highlight w:val="yellow"/>
              </w:rPr>
            </w:pPr>
            <w:r w:rsidRPr="003C5083">
              <w:t>Contract number 2010/232-231</w:t>
            </w:r>
          </w:p>
        </w:tc>
      </w:tr>
      <w:tr w:rsidR="00D1144F" w:rsidRPr="001346FF" w:rsidTr="0005617C">
        <w:trPr>
          <w:trHeight w:val="1642"/>
        </w:trPr>
        <w:tc>
          <w:tcPr>
            <w:tcW w:w="5025" w:type="dxa"/>
          </w:tcPr>
          <w:p w:rsidR="00D1144F" w:rsidRPr="001346FF" w:rsidRDefault="00D1144F" w:rsidP="008D1D67">
            <w:pPr>
              <w:pStyle w:val="CoverTitle1"/>
              <w:suppressAutoHyphens/>
              <w:rPr>
                <w:rFonts w:cs="Arial"/>
                <w:sz w:val="20"/>
              </w:rPr>
            </w:pPr>
          </w:p>
        </w:tc>
      </w:tr>
      <w:tr w:rsidR="00D1144F" w:rsidRPr="001346FF" w:rsidTr="0005617C">
        <w:trPr>
          <w:trHeight w:val="2241"/>
        </w:trPr>
        <w:tc>
          <w:tcPr>
            <w:tcW w:w="5025" w:type="dxa"/>
          </w:tcPr>
          <w:p w:rsidR="008D1D67" w:rsidRDefault="008D1D67" w:rsidP="00AE42EC">
            <w:pPr>
              <w:pStyle w:val="CoverTitle1"/>
              <w:suppressAutoHyphens/>
              <w:rPr>
                <w:rFonts w:cs="Arial"/>
                <w:sz w:val="20"/>
                <w:szCs w:val="20"/>
              </w:rPr>
            </w:pPr>
          </w:p>
          <w:p w:rsidR="008D1D67" w:rsidRDefault="008D1D67" w:rsidP="00AE42EC">
            <w:pPr>
              <w:pStyle w:val="CoverTitle1"/>
              <w:suppressAutoHyphens/>
              <w:rPr>
                <w:rFonts w:cs="Arial"/>
                <w:sz w:val="20"/>
                <w:szCs w:val="20"/>
              </w:rPr>
            </w:pPr>
          </w:p>
          <w:p w:rsidR="008D1D67" w:rsidRPr="001346FF" w:rsidRDefault="008D1D67" w:rsidP="008D1D67">
            <w:pPr>
              <w:pStyle w:val="CoverTitle1"/>
              <w:suppressAutoHyphens/>
              <w:rPr>
                <w:rFonts w:ascii="Arial" w:hAnsi="Arial" w:cs="Arial"/>
                <w:spacing w:val="4"/>
              </w:rPr>
            </w:pPr>
            <w:r w:rsidRPr="001346FF">
              <w:rPr>
                <w:rFonts w:ascii="Arial" w:hAnsi="Arial" w:cs="Arial"/>
                <w:spacing w:val="4"/>
              </w:rPr>
              <w:t xml:space="preserve">Air Quality Governance in the ENPI East Countries </w:t>
            </w:r>
          </w:p>
          <w:p w:rsidR="00D1144F" w:rsidRPr="005116EE" w:rsidRDefault="00D1144F" w:rsidP="00AE42EC">
            <w:pPr>
              <w:pStyle w:val="CoverTitle1"/>
              <w:suppressAutoHyphens/>
              <w:rPr>
                <w:rFonts w:ascii="Arial" w:hAnsi="Arial" w:cs="Arial"/>
                <w:b w:val="0"/>
                <w:bCs w:val="0"/>
                <w:i/>
                <w:iCs/>
              </w:rPr>
            </w:pPr>
          </w:p>
        </w:tc>
      </w:tr>
      <w:tr w:rsidR="00D1144F" w:rsidRPr="001346FF" w:rsidTr="0005617C">
        <w:trPr>
          <w:trHeight w:val="1274"/>
        </w:trPr>
        <w:tc>
          <w:tcPr>
            <w:tcW w:w="5025" w:type="dxa"/>
          </w:tcPr>
          <w:p w:rsidR="00D1144F" w:rsidRPr="001346FF" w:rsidRDefault="00791588" w:rsidP="00791588">
            <w:pPr>
              <w:pStyle w:val="CoverTitle2"/>
              <w:spacing w:before="0" w:after="0" w:line="240" w:lineRule="auto"/>
              <w:rPr>
                <w:rFonts w:cs="Arial"/>
                <w:sz w:val="20"/>
              </w:rPr>
            </w:pPr>
            <w:r>
              <w:rPr>
                <w:rFonts w:cs="Arial"/>
                <w:b/>
                <w:sz w:val="20"/>
              </w:rPr>
              <w:t>T</w:t>
            </w:r>
            <w:r w:rsidR="008D1D67" w:rsidRPr="00791588">
              <w:rPr>
                <w:rFonts w:cs="Arial"/>
                <w:b/>
                <w:sz w:val="20"/>
              </w:rPr>
              <w:t>ools for policy makers for offering incentives to improve environmental behaviour</w:t>
            </w:r>
          </w:p>
        </w:tc>
      </w:tr>
      <w:tr w:rsidR="00D1144F" w:rsidRPr="001346FF" w:rsidTr="0005617C">
        <w:trPr>
          <w:trHeight w:val="2674"/>
        </w:trPr>
        <w:tc>
          <w:tcPr>
            <w:tcW w:w="5025" w:type="dxa"/>
          </w:tcPr>
          <w:p w:rsidR="00D1144F" w:rsidRPr="005116EE" w:rsidRDefault="00791588" w:rsidP="004624D6">
            <w:pPr>
              <w:pStyle w:val="Coverdate"/>
              <w:rPr>
                <w:rFonts w:cs="Arial"/>
                <w:b/>
                <w:sz w:val="20"/>
              </w:rPr>
            </w:pPr>
            <w:r>
              <w:rPr>
                <w:rFonts w:cs="Arial"/>
                <w:sz w:val="20"/>
              </w:rPr>
              <w:t xml:space="preserve">Report </w:t>
            </w:r>
            <w:r w:rsidR="00D1144F" w:rsidRPr="005116EE">
              <w:rPr>
                <w:rFonts w:cs="Arial"/>
                <w:sz w:val="20"/>
              </w:rPr>
              <w:t xml:space="preserve">Date: </w:t>
            </w:r>
            <w:r w:rsidR="004624D6" w:rsidRPr="005116EE">
              <w:rPr>
                <w:rFonts w:cs="Arial"/>
                <w:sz w:val="20"/>
              </w:rPr>
              <w:t>March 31, 2014</w:t>
            </w:r>
          </w:p>
        </w:tc>
      </w:tr>
      <w:tr w:rsidR="00D1144F" w:rsidRPr="001346FF" w:rsidTr="0005617C">
        <w:trPr>
          <w:trHeight w:val="169"/>
        </w:trPr>
        <w:tc>
          <w:tcPr>
            <w:tcW w:w="5025" w:type="dxa"/>
          </w:tcPr>
          <w:p w:rsidR="00D1144F" w:rsidRPr="001346FF" w:rsidRDefault="00D1144F" w:rsidP="00D1144F">
            <w:pPr>
              <w:pStyle w:val="Coverbrol"/>
              <w:rPr>
                <w:sz w:val="20"/>
                <w:szCs w:val="20"/>
                <w:lang w:val="en-GB"/>
              </w:rPr>
            </w:pPr>
          </w:p>
        </w:tc>
      </w:tr>
    </w:tbl>
    <w:p w:rsidR="00D1144F" w:rsidRPr="001346FF" w:rsidRDefault="00D1144F"/>
    <w:p w:rsidR="00864B74" w:rsidRPr="001346FF" w:rsidRDefault="00864B74">
      <w:pPr>
        <w:tabs>
          <w:tab w:val="right" w:pos="8789"/>
        </w:tabs>
        <w:rPr>
          <w:rFonts w:cs="Arial"/>
          <w:sz w:val="20"/>
        </w:rPr>
        <w:sectPr w:rsidR="00864B74" w:rsidRPr="001346FF" w:rsidSect="00514979">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094" w:right="1134" w:bottom="1276" w:left="1418" w:header="709" w:footer="560" w:gutter="0"/>
          <w:pgNumType w:start="1"/>
          <w:cols w:space="720"/>
          <w:formProt w:val="0"/>
          <w:titlePg/>
        </w:sectPr>
      </w:pPr>
      <w:bookmarkStart w:id="3" w:name="regelgeheim"/>
      <w:bookmarkEnd w:id="3"/>
    </w:p>
    <w:tbl>
      <w:tblPr>
        <w:tblpPr w:leftFromText="180" w:rightFromText="180" w:vertAnchor="page" w:horzAnchor="margin" w:tblpY="12871"/>
        <w:tblW w:w="9451"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firstRow="0" w:lastRow="0" w:firstColumn="0" w:lastColumn="0" w:noHBand="0" w:noVBand="0"/>
      </w:tblPr>
      <w:tblGrid>
        <w:gridCol w:w="1042"/>
        <w:gridCol w:w="1418"/>
        <w:gridCol w:w="2330"/>
        <w:gridCol w:w="2330"/>
        <w:gridCol w:w="2331"/>
      </w:tblGrid>
      <w:tr w:rsidR="008F2E48" w:rsidRPr="0069779E" w:rsidTr="008F2E48">
        <w:tc>
          <w:tcPr>
            <w:tcW w:w="1042" w:type="dxa"/>
            <w:shd w:val="clear" w:color="auto" w:fill="CCFFFF"/>
            <w:vAlign w:val="center"/>
          </w:tcPr>
          <w:p w:rsidR="008F2E48" w:rsidRPr="0069779E" w:rsidRDefault="008F2E48" w:rsidP="008F2E48">
            <w:pPr>
              <w:pStyle w:val="TableHeading"/>
              <w:ind w:left="-113" w:right="-113"/>
              <w:rPr>
                <w:rFonts w:ascii="Arial" w:hAnsi="Arial" w:cs="Arial"/>
              </w:rPr>
            </w:pPr>
            <w:bookmarkStart w:id="4" w:name="legebladzijdevoorinhoud"/>
            <w:bookmarkStart w:id="5" w:name="BijlagenInhoud"/>
            <w:bookmarkStart w:id="6" w:name="_Toc93819479"/>
            <w:bookmarkStart w:id="7" w:name="_Toc93898173"/>
            <w:bookmarkStart w:id="8" w:name="_Toc110659879"/>
            <w:bookmarkEnd w:id="4"/>
            <w:bookmarkEnd w:id="5"/>
            <w:r w:rsidRPr="0069779E">
              <w:rPr>
                <w:rFonts w:ascii="Arial" w:hAnsi="Arial" w:cs="Arial"/>
              </w:rPr>
              <w:lastRenderedPageBreak/>
              <w:t>Version</w:t>
            </w:r>
          </w:p>
        </w:tc>
        <w:tc>
          <w:tcPr>
            <w:tcW w:w="1418" w:type="dxa"/>
            <w:shd w:val="clear" w:color="auto" w:fill="CCFFFF"/>
            <w:vAlign w:val="center"/>
          </w:tcPr>
          <w:p w:rsidR="008F2E48" w:rsidRPr="0069779E" w:rsidRDefault="008F2E48" w:rsidP="008F2E48">
            <w:pPr>
              <w:pStyle w:val="TableHeading"/>
              <w:ind w:left="-113" w:right="-113"/>
              <w:rPr>
                <w:rFonts w:ascii="Arial" w:hAnsi="Arial" w:cs="Arial"/>
              </w:rPr>
            </w:pPr>
            <w:r w:rsidRPr="0069779E">
              <w:rPr>
                <w:rFonts w:ascii="Arial" w:hAnsi="Arial" w:cs="Arial"/>
              </w:rPr>
              <w:t>Date</w:t>
            </w:r>
          </w:p>
        </w:tc>
        <w:tc>
          <w:tcPr>
            <w:tcW w:w="2330" w:type="dxa"/>
            <w:shd w:val="clear" w:color="auto" w:fill="CCFFFF"/>
            <w:vAlign w:val="center"/>
          </w:tcPr>
          <w:p w:rsidR="008F2E48" w:rsidRPr="0069779E" w:rsidRDefault="008F2E48" w:rsidP="008F2E48">
            <w:pPr>
              <w:pStyle w:val="TableHeading"/>
              <w:ind w:left="-113" w:right="-113"/>
              <w:rPr>
                <w:rFonts w:ascii="Arial" w:hAnsi="Arial" w:cs="Arial"/>
              </w:rPr>
            </w:pPr>
            <w:r w:rsidRPr="0069779E">
              <w:rPr>
                <w:rFonts w:ascii="Arial" w:hAnsi="Arial" w:cs="Arial"/>
              </w:rPr>
              <w:t>Description</w:t>
            </w:r>
          </w:p>
        </w:tc>
        <w:tc>
          <w:tcPr>
            <w:tcW w:w="2330" w:type="dxa"/>
            <w:shd w:val="clear" w:color="auto" w:fill="CCFFFF"/>
            <w:vAlign w:val="center"/>
          </w:tcPr>
          <w:p w:rsidR="008F2E48" w:rsidRPr="0069779E" w:rsidRDefault="008F2E48" w:rsidP="008F2E48">
            <w:pPr>
              <w:pStyle w:val="TableHeading"/>
              <w:ind w:left="-113" w:right="-113"/>
              <w:rPr>
                <w:rFonts w:ascii="Arial" w:hAnsi="Arial" w:cs="Arial"/>
              </w:rPr>
            </w:pPr>
            <w:r w:rsidRPr="0069779E">
              <w:rPr>
                <w:rFonts w:ascii="Arial" w:hAnsi="Arial" w:cs="Arial"/>
              </w:rPr>
              <w:t>Prepared by</w:t>
            </w:r>
          </w:p>
        </w:tc>
        <w:tc>
          <w:tcPr>
            <w:tcW w:w="2331" w:type="dxa"/>
            <w:shd w:val="clear" w:color="auto" w:fill="CCFFFF"/>
            <w:vAlign w:val="center"/>
          </w:tcPr>
          <w:p w:rsidR="008F2E48" w:rsidRPr="0069779E" w:rsidRDefault="008F2E48" w:rsidP="008F2E48">
            <w:pPr>
              <w:pStyle w:val="TableHeading"/>
              <w:ind w:left="-113" w:right="-113"/>
              <w:rPr>
                <w:rFonts w:ascii="Arial" w:hAnsi="Arial" w:cs="Arial"/>
              </w:rPr>
            </w:pPr>
            <w:r w:rsidRPr="0069779E">
              <w:rPr>
                <w:rFonts w:ascii="Arial" w:hAnsi="Arial" w:cs="Arial"/>
              </w:rPr>
              <w:t>Reviewed by</w:t>
            </w:r>
          </w:p>
        </w:tc>
      </w:tr>
      <w:tr w:rsidR="008F2E48" w:rsidRPr="0069779E" w:rsidTr="008F2E48">
        <w:tc>
          <w:tcPr>
            <w:tcW w:w="1042" w:type="dxa"/>
            <w:vAlign w:val="center"/>
          </w:tcPr>
          <w:p w:rsidR="008F2E48" w:rsidRPr="0069779E" w:rsidRDefault="008F2E48" w:rsidP="008F2E48">
            <w:pPr>
              <w:pStyle w:val="TableText"/>
              <w:rPr>
                <w:rFonts w:ascii="Arial Narrow" w:hAnsi="Arial Narrow" w:cs="Arial"/>
              </w:rPr>
            </w:pPr>
            <w:r>
              <w:rPr>
                <w:rFonts w:ascii="Arial Narrow" w:hAnsi="Arial Narrow" w:cs="Arial"/>
              </w:rPr>
              <w:t>1</w:t>
            </w:r>
          </w:p>
        </w:tc>
        <w:tc>
          <w:tcPr>
            <w:tcW w:w="1418" w:type="dxa"/>
            <w:vAlign w:val="center"/>
          </w:tcPr>
          <w:p w:rsidR="008F2E48" w:rsidRPr="0069779E" w:rsidRDefault="008F2E48" w:rsidP="008F2E48">
            <w:pPr>
              <w:pStyle w:val="TableText"/>
              <w:rPr>
                <w:rFonts w:ascii="Arial Narrow" w:hAnsi="Arial Narrow" w:cs="Arial"/>
              </w:rPr>
            </w:pPr>
            <w:r>
              <w:rPr>
                <w:rFonts w:ascii="Arial Narrow" w:hAnsi="Arial Narrow" w:cs="Arial"/>
              </w:rPr>
              <w:t>31</w:t>
            </w:r>
            <w:r w:rsidRPr="0069779E">
              <w:rPr>
                <w:rFonts w:ascii="Arial Narrow" w:hAnsi="Arial Narrow" w:cs="Arial"/>
              </w:rPr>
              <w:t xml:space="preserve"> </w:t>
            </w:r>
            <w:r>
              <w:rPr>
                <w:rFonts w:ascii="Arial Narrow" w:hAnsi="Arial Narrow" w:cs="Arial"/>
              </w:rPr>
              <w:t>March</w:t>
            </w:r>
            <w:r w:rsidRPr="0069779E">
              <w:rPr>
                <w:rFonts w:ascii="Arial Narrow" w:hAnsi="Arial Narrow" w:cs="Arial"/>
              </w:rPr>
              <w:t xml:space="preserve"> </w:t>
            </w:r>
            <w:r>
              <w:rPr>
                <w:rFonts w:ascii="Arial Narrow" w:hAnsi="Arial Narrow" w:cs="Arial"/>
              </w:rPr>
              <w:t>2014</w:t>
            </w:r>
          </w:p>
        </w:tc>
        <w:tc>
          <w:tcPr>
            <w:tcW w:w="2330" w:type="dxa"/>
            <w:vAlign w:val="center"/>
          </w:tcPr>
          <w:p w:rsidR="008F2E48" w:rsidRPr="0069779E" w:rsidRDefault="008F2E48" w:rsidP="008F2E48">
            <w:pPr>
              <w:pStyle w:val="TableText"/>
              <w:rPr>
                <w:rFonts w:ascii="Arial Narrow" w:hAnsi="Arial Narrow" w:cs="Arial"/>
              </w:rPr>
            </w:pPr>
            <w:r w:rsidRPr="0069779E">
              <w:rPr>
                <w:rFonts w:ascii="Arial Narrow" w:hAnsi="Arial Narrow" w:cs="Arial"/>
              </w:rPr>
              <w:t xml:space="preserve">Task </w:t>
            </w:r>
            <w:r>
              <w:rPr>
                <w:rFonts w:ascii="Arial Narrow" w:hAnsi="Arial Narrow" w:cs="Arial"/>
              </w:rPr>
              <w:t xml:space="preserve">1.4 </w:t>
            </w:r>
            <w:r w:rsidRPr="008F2E48">
              <w:rPr>
                <w:rFonts w:ascii="Arial Narrow" w:hAnsi="Arial Narrow" w:cs="Arial"/>
              </w:rPr>
              <w:t>Provide tools for policy makers for offering incentives to improve environmental behaviour</w:t>
            </w:r>
          </w:p>
        </w:tc>
        <w:tc>
          <w:tcPr>
            <w:tcW w:w="2330" w:type="dxa"/>
            <w:vAlign w:val="center"/>
          </w:tcPr>
          <w:p w:rsidR="008F2E48" w:rsidRPr="008F2E48" w:rsidRDefault="008F2E48" w:rsidP="008F2E48">
            <w:pPr>
              <w:pStyle w:val="TableText"/>
              <w:ind w:left="162"/>
              <w:rPr>
                <w:rFonts w:ascii="Arial Narrow" w:hAnsi="Arial Narrow"/>
              </w:rPr>
            </w:pPr>
            <w:r w:rsidRPr="008F2E48">
              <w:rPr>
                <w:rFonts w:ascii="Arial Narrow" w:hAnsi="Arial Narrow"/>
              </w:rPr>
              <w:t xml:space="preserve">Anita </w:t>
            </w:r>
            <w:proofErr w:type="spellStart"/>
            <w:r w:rsidRPr="008F2E48">
              <w:rPr>
                <w:rFonts w:ascii="Arial Narrow" w:hAnsi="Arial Narrow"/>
              </w:rPr>
              <w:t>Rubene</w:t>
            </w:r>
            <w:proofErr w:type="spellEnd"/>
            <w:r w:rsidRPr="008F2E48">
              <w:rPr>
                <w:rFonts w:ascii="Arial Narrow" w:hAnsi="Arial Narrow"/>
              </w:rPr>
              <w:t>,</w:t>
            </w:r>
          </w:p>
          <w:p w:rsidR="008F2E48" w:rsidRPr="0069779E" w:rsidRDefault="008F2E48" w:rsidP="008F2E48">
            <w:pPr>
              <w:pStyle w:val="TableText"/>
              <w:ind w:left="162"/>
              <w:rPr>
                <w:rFonts w:ascii="Arial Narrow" w:hAnsi="Arial Narrow" w:cs="Arial"/>
              </w:rPr>
            </w:pPr>
            <w:r w:rsidRPr="008F2E48">
              <w:rPr>
                <w:rFonts w:ascii="Arial Narrow" w:hAnsi="Arial Narrow"/>
              </w:rPr>
              <w:t xml:space="preserve">Olga </w:t>
            </w:r>
            <w:proofErr w:type="spellStart"/>
            <w:r w:rsidRPr="008F2E48">
              <w:rPr>
                <w:rFonts w:ascii="Arial Narrow" w:hAnsi="Arial Narrow"/>
              </w:rPr>
              <w:t>Melnicenko</w:t>
            </w:r>
            <w:proofErr w:type="spellEnd"/>
          </w:p>
        </w:tc>
        <w:tc>
          <w:tcPr>
            <w:tcW w:w="2331" w:type="dxa"/>
            <w:vAlign w:val="center"/>
          </w:tcPr>
          <w:p w:rsidR="008F2E48" w:rsidRPr="008F2E48" w:rsidRDefault="008F2E48" w:rsidP="008F2E48">
            <w:pPr>
              <w:pStyle w:val="TableText"/>
              <w:ind w:left="162"/>
              <w:rPr>
                <w:rFonts w:ascii="Arial Narrow" w:hAnsi="Arial Narrow"/>
              </w:rPr>
            </w:pPr>
            <w:proofErr w:type="spellStart"/>
            <w:r w:rsidRPr="008F2E48">
              <w:rPr>
                <w:rFonts w:ascii="Arial Narrow" w:hAnsi="Arial Narrow"/>
              </w:rPr>
              <w:t>Aiga</w:t>
            </w:r>
            <w:proofErr w:type="spellEnd"/>
            <w:r w:rsidRPr="008F2E48">
              <w:rPr>
                <w:rFonts w:ascii="Arial Narrow" w:hAnsi="Arial Narrow"/>
              </w:rPr>
              <w:t xml:space="preserve"> </w:t>
            </w:r>
            <w:proofErr w:type="spellStart"/>
            <w:r w:rsidRPr="0069779E">
              <w:rPr>
                <w:rFonts w:ascii="Arial Narrow" w:hAnsi="Arial Narrow"/>
              </w:rPr>
              <w:t>Kāla</w:t>
            </w:r>
            <w:proofErr w:type="spellEnd"/>
            <w:r w:rsidRPr="008F2E48">
              <w:rPr>
                <w:rFonts w:ascii="Arial Narrow" w:hAnsi="Arial Narrow"/>
              </w:rPr>
              <w:t>, Key Expert 2 – Air Quality Assessment and Management</w:t>
            </w:r>
          </w:p>
        </w:tc>
      </w:tr>
    </w:tbl>
    <w:p w:rsidR="00864B74" w:rsidRPr="001346FF" w:rsidRDefault="008B0BCA" w:rsidP="00813956">
      <w:pPr>
        <w:pStyle w:val="TitlenotinTOC"/>
        <w:tabs>
          <w:tab w:val="right" w:pos="9354"/>
        </w:tabs>
        <w:spacing w:after="360"/>
        <w:rPr>
          <w:rFonts w:cs="Arial"/>
          <w:sz w:val="20"/>
        </w:rPr>
      </w:pPr>
      <w:r w:rsidRPr="001346FF">
        <w:rPr>
          <w:rFonts w:cs="Arial"/>
          <w:sz w:val="20"/>
        </w:rPr>
        <w:lastRenderedPageBreak/>
        <w:t>Summary</w:t>
      </w:r>
      <w:r w:rsidR="00813956" w:rsidRPr="001346FF">
        <w:rPr>
          <w:rFonts w:cs="Arial"/>
          <w:sz w:val="20"/>
        </w:rPr>
        <w:tab/>
      </w:r>
    </w:p>
    <w:p w:rsidR="008B0BCA" w:rsidRPr="001346FF" w:rsidRDefault="008B0BCA" w:rsidP="008B0BCA">
      <w:pPr>
        <w:tabs>
          <w:tab w:val="left" w:pos="1843"/>
        </w:tabs>
        <w:ind w:left="1843" w:hanging="1843"/>
        <w:jc w:val="left"/>
        <w:rPr>
          <w:rStyle w:val="TableHeadingChar"/>
          <w:rFonts w:ascii="Arial" w:hAnsi="Arial"/>
        </w:rPr>
      </w:pPr>
      <w:r w:rsidRPr="001346FF">
        <w:rPr>
          <w:rStyle w:val="TableHeadingChar"/>
          <w:rFonts w:ascii="Arial" w:hAnsi="Arial" w:cs="Arial"/>
          <w:sz w:val="20"/>
        </w:rPr>
        <w:t>Project Title:</w:t>
      </w:r>
      <w:r w:rsidR="008973A9" w:rsidRPr="001346FF">
        <w:rPr>
          <w:rFonts w:cs="Arial"/>
          <w:sz w:val="20"/>
        </w:rPr>
        <w:tab/>
      </w:r>
      <w:r w:rsidR="008D1D67" w:rsidRPr="008D1D67">
        <w:rPr>
          <w:rStyle w:val="TableHeadingChar"/>
          <w:rFonts w:ascii="Arial" w:hAnsi="Arial"/>
          <w:sz w:val="20"/>
        </w:rPr>
        <w:t>Air Quality Governance in the ENPI East Countries</w:t>
      </w:r>
    </w:p>
    <w:p w:rsidR="008B0BCA" w:rsidRPr="001346FF" w:rsidRDefault="00445C35" w:rsidP="008B0BCA">
      <w:pPr>
        <w:tabs>
          <w:tab w:val="left" w:pos="1843"/>
        </w:tabs>
        <w:ind w:left="1843" w:hanging="1843"/>
        <w:jc w:val="left"/>
        <w:rPr>
          <w:rStyle w:val="TableHeadingChar"/>
          <w:rFonts w:ascii="Arial" w:hAnsi="Arial"/>
        </w:rPr>
      </w:pPr>
      <w:r w:rsidRPr="001346FF">
        <w:rPr>
          <w:rStyle w:val="TableHeadingChar"/>
          <w:rFonts w:ascii="Arial" w:hAnsi="Arial" w:cs="Arial"/>
          <w:sz w:val="20"/>
        </w:rPr>
        <w:t>Contract</w:t>
      </w:r>
      <w:r w:rsidR="008B0BCA" w:rsidRPr="001346FF">
        <w:rPr>
          <w:rStyle w:val="TableHeadingChar"/>
          <w:rFonts w:ascii="Arial" w:hAnsi="Arial" w:cs="Arial"/>
          <w:sz w:val="20"/>
        </w:rPr>
        <w:t xml:space="preserve"> Number:</w:t>
      </w:r>
      <w:r w:rsidR="008B0BCA" w:rsidRPr="001346FF">
        <w:rPr>
          <w:rStyle w:val="TableHeadingChar"/>
          <w:rFonts w:ascii="Arial" w:hAnsi="Arial"/>
        </w:rPr>
        <w:tab/>
      </w:r>
      <w:r w:rsidR="005C0E3C" w:rsidRPr="005C0E3C">
        <w:rPr>
          <w:rStyle w:val="TableHeadingChar"/>
          <w:rFonts w:ascii="Arial" w:hAnsi="Arial"/>
          <w:sz w:val="20"/>
        </w:rPr>
        <w:t>2010/232-231</w:t>
      </w:r>
    </w:p>
    <w:p w:rsidR="008B0BCA" w:rsidRPr="001346FF" w:rsidRDefault="008B0BCA" w:rsidP="00F27755">
      <w:pPr>
        <w:tabs>
          <w:tab w:val="left" w:pos="1843"/>
        </w:tabs>
        <w:ind w:left="1843" w:hanging="1843"/>
        <w:jc w:val="left"/>
        <w:rPr>
          <w:rStyle w:val="TableHeadingChar"/>
          <w:rFonts w:ascii="Arial" w:hAnsi="Arial"/>
        </w:rPr>
      </w:pPr>
      <w:r w:rsidRPr="001346FF">
        <w:rPr>
          <w:rStyle w:val="TableHeadingChar"/>
          <w:rFonts w:ascii="Arial" w:hAnsi="Arial" w:cs="Arial"/>
          <w:sz w:val="20"/>
        </w:rPr>
        <w:t>Countr</w:t>
      </w:r>
      <w:r w:rsidR="00815A47" w:rsidRPr="001346FF">
        <w:rPr>
          <w:rStyle w:val="TableHeadingChar"/>
          <w:rFonts w:ascii="Arial" w:hAnsi="Arial" w:cs="Arial"/>
          <w:sz w:val="20"/>
        </w:rPr>
        <w:t>y</w:t>
      </w:r>
      <w:r w:rsidRPr="001346FF">
        <w:rPr>
          <w:rStyle w:val="TableHeadingChar"/>
          <w:rFonts w:ascii="Arial" w:hAnsi="Arial" w:cs="Arial"/>
          <w:sz w:val="20"/>
        </w:rPr>
        <w:t>:</w:t>
      </w:r>
      <w:r w:rsidRPr="001346FF">
        <w:rPr>
          <w:rStyle w:val="TableHeadingChar"/>
          <w:rFonts w:ascii="Arial" w:hAnsi="Arial"/>
        </w:rPr>
        <w:tab/>
      </w:r>
      <w:r w:rsidR="00815A47" w:rsidRPr="001346FF">
        <w:rPr>
          <w:rStyle w:val="TableHeadingChar"/>
          <w:rFonts w:ascii="Arial" w:hAnsi="Arial"/>
          <w:sz w:val="20"/>
        </w:rPr>
        <w:t>Armenia, Azerbaijan, Belarus, Georgia, Moldova, Russian federation, Ukraine</w:t>
      </w:r>
    </w:p>
    <w:p w:rsidR="008B0BCA" w:rsidRPr="001346FF" w:rsidRDefault="00CD66D6" w:rsidP="00E03498">
      <w:pPr>
        <w:pBdr>
          <w:top w:val="single" w:sz="4" w:space="11" w:color="000080"/>
        </w:pBdr>
        <w:tabs>
          <w:tab w:val="left" w:pos="1843"/>
        </w:tabs>
        <w:ind w:left="1843" w:hanging="1843"/>
        <w:jc w:val="left"/>
        <w:rPr>
          <w:rStyle w:val="TableHeadingChar"/>
          <w:rFonts w:ascii="Arial" w:hAnsi="Arial" w:cs="Arial"/>
          <w:b/>
          <w:sz w:val="20"/>
        </w:rPr>
      </w:pPr>
      <w:r>
        <w:rPr>
          <w:rStyle w:val="TableHeadingChar"/>
          <w:rFonts w:ascii="Arial" w:hAnsi="Arial" w:cs="Arial"/>
          <w:b/>
          <w:sz w:val="20"/>
        </w:rPr>
        <w:t>Lead Contractor</w:t>
      </w:r>
    </w:p>
    <w:p w:rsidR="008B0BCA" w:rsidRPr="001346FF" w:rsidRDefault="008B0BCA" w:rsidP="00CD66D6">
      <w:pPr>
        <w:tabs>
          <w:tab w:val="left" w:pos="1843"/>
        </w:tabs>
        <w:ind w:left="1843" w:hanging="1843"/>
        <w:jc w:val="left"/>
        <w:rPr>
          <w:rFonts w:cs="Arial"/>
          <w:sz w:val="18"/>
        </w:rPr>
      </w:pPr>
      <w:r w:rsidRPr="001346FF">
        <w:rPr>
          <w:rStyle w:val="TableHeadingChar"/>
          <w:rFonts w:ascii="Arial" w:hAnsi="Arial" w:cs="Arial"/>
          <w:sz w:val="20"/>
        </w:rPr>
        <w:t>Name</w:t>
      </w:r>
      <w:r w:rsidRPr="001346FF">
        <w:rPr>
          <w:rFonts w:cs="Arial"/>
          <w:sz w:val="20"/>
        </w:rPr>
        <w:tab/>
      </w:r>
      <w:r w:rsidR="00CD66D6">
        <w:rPr>
          <w:rStyle w:val="TableHeadingChar"/>
          <w:rFonts w:ascii="Arial" w:hAnsi="Arial"/>
          <w:sz w:val="20"/>
        </w:rPr>
        <w:t>MWH</w:t>
      </w:r>
    </w:p>
    <w:p w:rsidR="00CD66D6" w:rsidRDefault="008B0BCA" w:rsidP="00CD66D6">
      <w:pPr>
        <w:tabs>
          <w:tab w:val="left" w:pos="1843"/>
        </w:tabs>
        <w:spacing w:before="0"/>
        <w:ind w:left="1843" w:hanging="1843"/>
        <w:jc w:val="left"/>
        <w:rPr>
          <w:rStyle w:val="TableHeadingChar"/>
          <w:rFonts w:ascii="Arial" w:hAnsi="Arial" w:cs="Arial"/>
          <w:sz w:val="20"/>
        </w:rPr>
      </w:pPr>
      <w:r w:rsidRPr="001346FF">
        <w:rPr>
          <w:rStyle w:val="TableHeadingChar"/>
          <w:rFonts w:ascii="Arial" w:hAnsi="Arial" w:cs="Arial"/>
          <w:sz w:val="20"/>
        </w:rPr>
        <w:t>Address</w:t>
      </w:r>
      <w:r w:rsidR="008973A9" w:rsidRPr="001346FF">
        <w:rPr>
          <w:rStyle w:val="TableHeadingChar"/>
          <w:rFonts w:ascii="Arial" w:hAnsi="Arial" w:cs="Arial"/>
          <w:sz w:val="20"/>
        </w:rPr>
        <w:tab/>
      </w:r>
      <w:proofErr w:type="spellStart"/>
      <w:r w:rsidR="00CD66D6">
        <w:rPr>
          <w:rStyle w:val="TableHeadingChar"/>
          <w:rFonts w:ascii="Arial" w:hAnsi="Arial" w:cs="Arial"/>
          <w:sz w:val="20"/>
        </w:rPr>
        <w:t>Nysdam</w:t>
      </w:r>
      <w:proofErr w:type="spellEnd"/>
      <w:r w:rsidR="00CD66D6">
        <w:rPr>
          <w:rStyle w:val="TableHeadingChar"/>
          <w:rFonts w:ascii="Arial" w:hAnsi="Arial" w:cs="Arial"/>
          <w:sz w:val="20"/>
        </w:rPr>
        <w:t xml:space="preserve"> Office Park</w:t>
      </w:r>
    </w:p>
    <w:p w:rsidR="00CD66D6" w:rsidRDefault="00CD66D6" w:rsidP="00CD66D6">
      <w:pPr>
        <w:tabs>
          <w:tab w:val="left" w:pos="1843"/>
        </w:tabs>
        <w:spacing w:before="0"/>
        <w:ind w:left="1843"/>
        <w:jc w:val="left"/>
        <w:rPr>
          <w:rStyle w:val="TableHeadingChar"/>
          <w:rFonts w:ascii="Arial" w:hAnsi="Arial" w:cs="Arial"/>
          <w:sz w:val="20"/>
        </w:rPr>
      </w:pPr>
      <w:r>
        <w:rPr>
          <w:rStyle w:val="TableHeadingChar"/>
          <w:rFonts w:ascii="Arial" w:hAnsi="Arial" w:cs="Arial"/>
          <w:sz w:val="20"/>
        </w:rPr>
        <w:t xml:space="preserve">Avenue </w:t>
      </w:r>
      <w:proofErr w:type="spellStart"/>
      <w:r>
        <w:rPr>
          <w:rStyle w:val="TableHeadingChar"/>
          <w:rFonts w:ascii="Arial" w:hAnsi="Arial" w:cs="Arial"/>
          <w:sz w:val="20"/>
        </w:rPr>
        <w:t>Reine</w:t>
      </w:r>
      <w:proofErr w:type="spellEnd"/>
      <w:r>
        <w:rPr>
          <w:rStyle w:val="TableHeadingChar"/>
          <w:rFonts w:ascii="Arial" w:hAnsi="Arial" w:cs="Arial"/>
          <w:sz w:val="20"/>
        </w:rPr>
        <w:t xml:space="preserve"> Astrid, 92</w:t>
      </w:r>
    </w:p>
    <w:p w:rsidR="00CD66D6" w:rsidRDefault="00CD66D6" w:rsidP="00CD66D6">
      <w:pPr>
        <w:tabs>
          <w:tab w:val="left" w:pos="1843"/>
        </w:tabs>
        <w:spacing w:before="0"/>
        <w:ind w:left="1843"/>
        <w:jc w:val="left"/>
        <w:rPr>
          <w:rStyle w:val="TableHeadingChar"/>
          <w:rFonts w:ascii="Arial" w:hAnsi="Arial" w:cs="Arial"/>
          <w:sz w:val="20"/>
        </w:rPr>
      </w:pPr>
      <w:r>
        <w:rPr>
          <w:rStyle w:val="TableHeadingChar"/>
          <w:rFonts w:ascii="Arial" w:hAnsi="Arial" w:cs="Arial"/>
          <w:sz w:val="20"/>
        </w:rPr>
        <w:t xml:space="preserve">B-1310 La </w:t>
      </w:r>
      <w:proofErr w:type="spellStart"/>
      <w:r>
        <w:rPr>
          <w:rStyle w:val="TableHeadingChar"/>
          <w:rFonts w:ascii="Arial" w:hAnsi="Arial" w:cs="Arial"/>
          <w:sz w:val="20"/>
        </w:rPr>
        <w:t>Hulpe</w:t>
      </w:r>
      <w:proofErr w:type="spellEnd"/>
    </w:p>
    <w:p w:rsidR="00CD66D6" w:rsidRPr="001346FF" w:rsidRDefault="00CD66D6" w:rsidP="00CD66D6">
      <w:pPr>
        <w:tabs>
          <w:tab w:val="left" w:pos="1843"/>
        </w:tabs>
        <w:spacing w:before="0"/>
        <w:ind w:left="1843"/>
        <w:jc w:val="left"/>
        <w:rPr>
          <w:rStyle w:val="TableHeadingChar"/>
          <w:rFonts w:ascii="Arial" w:hAnsi="Arial" w:cs="Arial"/>
          <w:sz w:val="20"/>
        </w:rPr>
      </w:pPr>
      <w:r>
        <w:rPr>
          <w:rStyle w:val="TableHeadingChar"/>
          <w:rFonts w:ascii="Arial" w:hAnsi="Arial" w:cs="Arial"/>
          <w:sz w:val="20"/>
        </w:rPr>
        <w:t>Belgium</w:t>
      </w:r>
    </w:p>
    <w:p w:rsidR="008B0BCA" w:rsidRDefault="008B0BCA" w:rsidP="00CD66D6">
      <w:pPr>
        <w:tabs>
          <w:tab w:val="left" w:pos="1843"/>
        </w:tabs>
        <w:ind w:left="1843" w:hanging="1843"/>
        <w:jc w:val="left"/>
        <w:rPr>
          <w:rStyle w:val="TableHeadingChar"/>
          <w:rFonts w:ascii="Arial" w:hAnsi="Arial"/>
          <w:sz w:val="20"/>
        </w:rPr>
      </w:pPr>
      <w:r w:rsidRPr="001346FF">
        <w:rPr>
          <w:rStyle w:val="TableHeadingChar"/>
          <w:rFonts w:ascii="Arial" w:hAnsi="Arial" w:cs="Arial"/>
          <w:sz w:val="20"/>
        </w:rPr>
        <w:t>Tel. number</w:t>
      </w:r>
      <w:r w:rsidR="008973A9" w:rsidRPr="001346FF">
        <w:rPr>
          <w:rFonts w:cs="Arial"/>
          <w:sz w:val="20"/>
        </w:rPr>
        <w:tab/>
      </w:r>
      <w:r w:rsidR="00815A47" w:rsidRPr="001346FF">
        <w:rPr>
          <w:rStyle w:val="TableHeadingChar"/>
          <w:rFonts w:ascii="Arial" w:hAnsi="Arial"/>
          <w:sz w:val="20"/>
        </w:rPr>
        <w:t>+</w:t>
      </w:r>
      <w:r w:rsidR="00CD66D6">
        <w:rPr>
          <w:rStyle w:val="TableHeadingChar"/>
          <w:rFonts w:ascii="Arial" w:hAnsi="Arial"/>
          <w:sz w:val="20"/>
        </w:rPr>
        <w:t>32 2 6552230</w:t>
      </w:r>
    </w:p>
    <w:p w:rsidR="00CD66D6" w:rsidRPr="00CD66D6" w:rsidRDefault="00CD66D6" w:rsidP="00CD66D6">
      <w:pPr>
        <w:tabs>
          <w:tab w:val="left" w:pos="1843"/>
        </w:tabs>
        <w:ind w:left="1843" w:hanging="1843"/>
        <w:jc w:val="left"/>
        <w:rPr>
          <w:rFonts w:cs="Arial"/>
          <w:smallCaps/>
          <w:color w:val="000080"/>
          <w:sz w:val="20"/>
        </w:rPr>
      </w:pPr>
      <w:r>
        <w:rPr>
          <w:rFonts w:cs="Arial"/>
          <w:smallCaps/>
          <w:color w:val="000080"/>
          <w:sz w:val="20"/>
        </w:rPr>
        <w:t>Fax number                 +32 2 6552280</w:t>
      </w:r>
    </w:p>
    <w:p w:rsidR="008B0BCA" w:rsidRPr="001346FF" w:rsidRDefault="008B0BCA" w:rsidP="00CD66D6">
      <w:pPr>
        <w:tabs>
          <w:tab w:val="left" w:pos="1843"/>
        </w:tabs>
        <w:ind w:left="1843" w:hanging="1843"/>
        <w:jc w:val="left"/>
        <w:rPr>
          <w:rFonts w:cs="Arial"/>
          <w:sz w:val="20"/>
        </w:rPr>
      </w:pPr>
      <w:r w:rsidRPr="001346FF">
        <w:rPr>
          <w:rStyle w:val="TableHeadingChar"/>
          <w:rFonts w:ascii="Arial" w:hAnsi="Arial" w:cs="Arial"/>
          <w:sz w:val="20"/>
        </w:rPr>
        <w:t>Contact person</w:t>
      </w:r>
      <w:r w:rsidR="008973A9" w:rsidRPr="001346FF">
        <w:rPr>
          <w:rFonts w:cs="Arial"/>
          <w:sz w:val="20"/>
        </w:rPr>
        <w:tab/>
      </w:r>
      <w:proofErr w:type="spellStart"/>
      <w:r w:rsidR="008F2E48" w:rsidRPr="00866A85">
        <w:rPr>
          <w:rStyle w:val="TableHeadingChar"/>
          <w:rFonts w:ascii="Arial" w:hAnsi="Arial" w:cs="Arial"/>
          <w:sz w:val="20"/>
        </w:rPr>
        <w:t>Aïda</w:t>
      </w:r>
      <w:proofErr w:type="spellEnd"/>
      <w:r w:rsidR="008F2E48" w:rsidRPr="00866A85">
        <w:rPr>
          <w:rStyle w:val="TableHeadingChar"/>
          <w:rFonts w:ascii="Arial" w:hAnsi="Arial" w:cs="Arial"/>
          <w:sz w:val="20"/>
        </w:rPr>
        <w:t xml:space="preserve"> </w:t>
      </w:r>
      <w:proofErr w:type="spellStart"/>
      <w:r w:rsidR="008F2E48" w:rsidRPr="00866A85">
        <w:rPr>
          <w:rStyle w:val="TableHeadingChar"/>
          <w:rFonts w:ascii="Arial" w:hAnsi="Arial" w:cs="Arial"/>
          <w:sz w:val="20"/>
        </w:rPr>
        <w:t>Yassine</w:t>
      </w:r>
      <w:proofErr w:type="spellEnd"/>
      <w:r w:rsidR="008F2E48" w:rsidRPr="00866A85">
        <w:rPr>
          <w:rStyle w:val="TableHeadingChar"/>
          <w:rFonts w:ascii="Arial" w:hAnsi="Arial" w:cs="Arial"/>
          <w:sz w:val="20"/>
        </w:rPr>
        <w:t>, Project Manager</w:t>
      </w:r>
    </w:p>
    <w:p w:rsidR="008B0BCA" w:rsidRPr="001346FF" w:rsidRDefault="008B0BCA" w:rsidP="00E03498">
      <w:pPr>
        <w:pBdr>
          <w:top w:val="single" w:sz="4" w:space="11" w:color="000080"/>
        </w:pBdr>
        <w:tabs>
          <w:tab w:val="left" w:pos="1843"/>
        </w:tabs>
        <w:ind w:left="1843" w:hanging="1843"/>
        <w:jc w:val="left"/>
        <w:rPr>
          <w:rStyle w:val="TableHeadingChar"/>
          <w:rFonts w:ascii="Arial" w:hAnsi="Arial" w:cs="Arial"/>
          <w:b/>
          <w:bCs/>
          <w:sz w:val="20"/>
        </w:rPr>
      </w:pPr>
      <w:r w:rsidRPr="001346FF">
        <w:rPr>
          <w:rStyle w:val="TableHeadingChar"/>
          <w:rFonts w:ascii="Arial" w:hAnsi="Arial" w:cs="Arial"/>
          <w:b/>
          <w:bCs/>
          <w:sz w:val="20"/>
        </w:rPr>
        <w:t>Signature</w:t>
      </w:r>
    </w:p>
    <w:p w:rsidR="00AE42EC" w:rsidRPr="001346FF" w:rsidRDefault="00AE42EC" w:rsidP="00E03498">
      <w:pPr>
        <w:pBdr>
          <w:top w:val="single" w:sz="4" w:space="11" w:color="000080"/>
        </w:pBdr>
        <w:tabs>
          <w:tab w:val="left" w:pos="1843"/>
        </w:tabs>
        <w:ind w:left="1843" w:hanging="1843"/>
        <w:jc w:val="left"/>
        <w:rPr>
          <w:rStyle w:val="TableHeadingChar"/>
          <w:rFonts w:ascii="Arial" w:hAnsi="Arial" w:cs="Arial"/>
          <w:b/>
          <w:bCs/>
          <w:sz w:val="20"/>
        </w:rPr>
      </w:pPr>
    </w:p>
    <w:p w:rsidR="008B0BCA" w:rsidRPr="001346FF" w:rsidRDefault="008B0BCA" w:rsidP="008B0BCA">
      <w:pPr>
        <w:tabs>
          <w:tab w:val="left" w:pos="1843"/>
        </w:tabs>
        <w:ind w:left="1843" w:hanging="1843"/>
        <w:jc w:val="left"/>
        <w:rPr>
          <w:rFonts w:cs="Arial"/>
          <w:sz w:val="20"/>
        </w:rPr>
      </w:pPr>
      <w:r w:rsidRPr="001346FF">
        <w:rPr>
          <w:rStyle w:val="TableHeadingChar"/>
          <w:rFonts w:ascii="Arial" w:hAnsi="Arial" w:cs="Arial"/>
          <w:sz w:val="20"/>
        </w:rPr>
        <w:t>Date of report:</w:t>
      </w:r>
      <w:r w:rsidRPr="001346FF">
        <w:rPr>
          <w:rFonts w:cs="Arial"/>
          <w:sz w:val="20"/>
        </w:rPr>
        <w:tab/>
      </w:r>
      <w:r w:rsidR="00D924A4" w:rsidRPr="001346FF">
        <w:rPr>
          <w:rFonts w:cs="Arial"/>
          <w:sz w:val="20"/>
        </w:rPr>
        <w:tab/>
      </w:r>
      <w:r w:rsidR="008F2E48">
        <w:rPr>
          <w:rStyle w:val="TableHeadingChar"/>
          <w:rFonts w:ascii="Arial" w:hAnsi="Arial"/>
          <w:sz w:val="20"/>
        </w:rPr>
        <w:t xml:space="preserve">31 </w:t>
      </w:r>
      <w:r w:rsidR="008F2E48" w:rsidRPr="00566D4C">
        <w:rPr>
          <w:rStyle w:val="TableHeadingChar"/>
          <w:rFonts w:ascii="Arial" w:hAnsi="Arial"/>
          <w:smallCaps w:val="0"/>
          <w:sz w:val="20"/>
        </w:rPr>
        <w:t>March</w:t>
      </w:r>
      <w:r w:rsidR="008F2E48">
        <w:rPr>
          <w:rStyle w:val="TableHeadingChar"/>
          <w:rFonts w:ascii="Arial" w:hAnsi="Arial"/>
          <w:sz w:val="20"/>
        </w:rPr>
        <w:t xml:space="preserve"> 2014</w:t>
      </w:r>
    </w:p>
    <w:p w:rsidR="00027DF9" w:rsidRDefault="008F2E48" w:rsidP="008F2E48">
      <w:pPr>
        <w:rPr>
          <w:rStyle w:val="TableHeadingChar"/>
          <w:rFonts w:ascii="Arial" w:hAnsi="Arial" w:cs="Arial"/>
          <w:sz w:val="20"/>
        </w:rPr>
      </w:pPr>
      <w:r>
        <w:rPr>
          <w:rStyle w:val="TableHeadingChar"/>
          <w:rFonts w:ascii="Arial" w:hAnsi="Arial" w:cs="Arial"/>
          <w:sz w:val="20"/>
        </w:rPr>
        <w:t>Experts</w:t>
      </w:r>
      <w:r w:rsidR="008B0BCA" w:rsidRPr="001346FF">
        <w:rPr>
          <w:rStyle w:val="TableHeadingChar"/>
          <w:rFonts w:ascii="Arial" w:hAnsi="Arial" w:cs="Arial"/>
          <w:sz w:val="20"/>
        </w:rPr>
        <w:t>:</w:t>
      </w:r>
      <w:r w:rsidR="00D924A4" w:rsidRPr="001346FF">
        <w:rPr>
          <w:rStyle w:val="TableHeadingChar"/>
          <w:rFonts w:ascii="Arial" w:hAnsi="Arial" w:cs="Arial"/>
          <w:sz w:val="20"/>
        </w:rPr>
        <w:t xml:space="preserve"> </w:t>
      </w:r>
      <w:r w:rsidR="00D924A4" w:rsidRPr="001346FF">
        <w:rPr>
          <w:rStyle w:val="TableHeadingChar"/>
          <w:rFonts w:ascii="Arial" w:hAnsi="Arial" w:cs="Arial"/>
          <w:sz w:val="20"/>
        </w:rPr>
        <w:tab/>
      </w:r>
      <w:r w:rsidR="00D924A4" w:rsidRPr="001346FF">
        <w:rPr>
          <w:rStyle w:val="TableHeadingChar"/>
          <w:rFonts w:ascii="Arial" w:hAnsi="Arial" w:cs="Arial"/>
          <w:sz w:val="20"/>
        </w:rPr>
        <w:tab/>
      </w:r>
    </w:p>
    <w:p w:rsidR="008F2E48" w:rsidRDefault="008F2E48" w:rsidP="008F2E48">
      <w:pPr>
        <w:rPr>
          <w:rStyle w:val="TableHeadingChar"/>
          <w:rFonts w:ascii="Arial" w:hAnsi="Arial" w:cs="Arial"/>
          <w:smallCaps w:val="0"/>
          <w:sz w:val="20"/>
        </w:rPr>
      </w:pPr>
      <w:r w:rsidRPr="008F2E48">
        <w:rPr>
          <w:rStyle w:val="TableHeadingChar"/>
          <w:rFonts w:ascii="Arial" w:hAnsi="Arial" w:cs="Arial"/>
          <w:smallCaps w:val="0"/>
          <w:sz w:val="20"/>
        </w:rPr>
        <w:t xml:space="preserve">Anita </w:t>
      </w:r>
      <w:proofErr w:type="spellStart"/>
      <w:r>
        <w:rPr>
          <w:rStyle w:val="TableHeadingChar"/>
          <w:rFonts w:ascii="Arial" w:hAnsi="Arial" w:cs="Arial"/>
          <w:smallCaps w:val="0"/>
          <w:sz w:val="20"/>
        </w:rPr>
        <w:t>Rubene</w:t>
      </w:r>
      <w:proofErr w:type="spellEnd"/>
      <w:r>
        <w:rPr>
          <w:rStyle w:val="TableHeadingChar"/>
          <w:rFonts w:ascii="Arial" w:hAnsi="Arial" w:cs="Arial"/>
          <w:smallCaps w:val="0"/>
          <w:sz w:val="20"/>
        </w:rPr>
        <w:t xml:space="preserve">, International Non-Key expert, </w:t>
      </w:r>
      <w:r w:rsidRPr="008F2E48">
        <w:rPr>
          <w:rStyle w:val="TableHeadingChar"/>
          <w:rFonts w:ascii="Arial" w:hAnsi="Arial" w:cs="Arial"/>
          <w:smallCaps w:val="0"/>
          <w:sz w:val="20"/>
        </w:rPr>
        <w:t>Environmental investment policy analysis</w:t>
      </w:r>
    </w:p>
    <w:p w:rsidR="00866A85" w:rsidRDefault="008F2E48" w:rsidP="008F2E48">
      <w:pPr>
        <w:rPr>
          <w:rStyle w:val="TableHeadingChar"/>
          <w:rFonts w:ascii="Arial" w:hAnsi="Arial" w:cs="Arial"/>
          <w:smallCaps w:val="0"/>
          <w:sz w:val="20"/>
        </w:rPr>
      </w:pPr>
      <w:r>
        <w:rPr>
          <w:rStyle w:val="TableHeadingChar"/>
          <w:rFonts w:ascii="Arial" w:hAnsi="Arial" w:cs="Arial"/>
          <w:smallCaps w:val="0"/>
          <w:sz w:val="20"/>
        </w:rPr>
        <w:t xml:space="preserve">Olga </w:t>
      </w:r>
      <w:proofErr w:type="spellStart"/>
      <w:r>
        <w:rPr>
          <w:rStyle w:val="TableHeadingChar"/>
          <w:rFonts w:ascii="Arial" w:hAnsi="Arial" w:cs="Arial"/>
          <w:smallCaps w:val="0"/>
          <w:sz w:val="20"/>
        </w:rPr>
        <w:t>Melnicenko</w:t>
      </w:r>
      <w:proofErr w:type="spellEnd"/>
      <w:r>
        <w:rPr>
          <w:rStyle w:val="TableHeadingChar"/>
          <w:rFonts w:ascii="Arial" w:hAnsi="Arial" w:cs="Arial"/>
          <w:smallCaps w:val="0"/>
          <w:sz w:val="20"/>
        </w:rPr>
        <w:t xml:space="preserve">, International Non-Key expert, </w:t>
      </w:r>
      <w:r w:rsidRPr="008F2E48">
        <w:rPr>
          <w:rStyle w:val="TableHeadingChar"/>
          <w:rFonts w:ascii="Arial" w:hAnsi="Arial" w:cs="Arial"/>
          <w:smallCaps w:val="0"/>
          <w:sz w:val="20"/>
        </w:rPr>
        <w:t>Legal and institutional analysis</w:t>
      </w:r>
    </w:p>
    <w:p w:rsidR="00866A85" w:rsidRDefault="00866A85" w:rsidP="008F2E48">
      <w:pPr>
        <w:rPr>
          <w:rStyle w:val="TableHeadingChar"/>
          <w:rFonts w:ascii="Arial" w:hAnsi="Arial" w:cs="Arial"/>
          <w:smallCaps w:val="0"/>
          <w:sz w:val="20"/>
        </w:rPr>
      </w:pPr>
      <w:proofErr w:type="spellStart"/>
      <w:r w:rsidRPr="00866A85">
        <w:rPr>
          <w:rStyle w:val="TableHeadingChar"/>
          <w:rFonts w:ascii="Arial" w:hAnsi="Arial" w:cs="Arial"/>
          <w:smallCaps w:val="0"/>
          <w:sz w:val="20"/>
        </w:rPr>
        <w:t>Petros</w:t>
      </w:r>
      <w:proofErr w:type="spellEnd"/>
      <w:r w:rsidRPr="00866A85">
        <w:rPr>
          <w:rStyle w:val="TableHeadingChar"/>
          <w:rFonts w:ascii="Arial" w:hAnsi="Arial" w:cs="Arial"/>
          <w:smallCaps w:val="0"/>
          <w:sz w:val="20"/>
        </w:rPr>
        <w:t xml:space="preserve"> </w:t>
      </w:r>
      <w:proofErr w:type="spellStart"/>
      <w:r w:rsidRPr="00866A85">
        <w:rPr>
          <w:rStyle w:val="TableHeadingChar"/>
          <w:rFonts w:ascii="Arial" w:hAnsi="Arial" w:cs="Arial"/>
          <w:smallCaps w:val="0"/>
          <w:sz w:val="20"/>
        </w:rPr>
        <w:t>Tozalakyan</w:t>
      </w:r>
      <w:proofErr w:type="spellEnd"/>
      <w:r>
        <w:rPr>
          <w:rStyle w:val="TableHeadingChar"/>
          <w:rFonts w:ascii="Arial" w:hAnsi="Arial" w:cs="Arial"/>
          <w:smallCaps w:val="0"/>
          <w:sz w:val="20"/>
        </w:rPr>
        <w:t xml:space="preserve">, </w:t>
      </w:r>
      <w:r w:rsidRPr="00866A85">
        <w:rPr>
          <w:rStyle w:val="TableHeadingChar"/>
          <w:rFonts w:ascii="Arial" w:hAnsi="Arial" w:cs="Arial"/>
          <w:smallCaps w:val="0"/>
          <w:sz w:val="20"/>
        </w:rPr>
        <w:t>Local Non-Key expert</w:t>
      </w:r>
      <w:r>
        <w:rPr>
          <w:rStyle w:val="TableHeadingChar"/>
          <w:rFonts w:ascii="Arial" w:hAnsi="Arial" w:cs="Arial"/>
          <w:smallCaps w:val="0"/>
          <w:sz w:val="20"/>
        </w:rPr>
        <w:t>, Armenia</w:t>
      </w:r>
    </w:p>
    <w:p w:rsidR="00866A85" w:rsidRDefault="00866A85" w:rsidP="008F2E48">
      <w:pPr>
        <w:rPr>
          <w:rStyle w:val="TableHeadingChar"/>
          <w:rFonts w:ascii="Arial" w:hAnsi="Arial" w:cs="Arial"/>
          <w:smallCaps w:val="0"/>
          <w:sz w:val="20"/>
        </w:rPr>
      </w:pPr>
      <w:proofErr w:type="spellStart"/>
      <w:r w:rsidRPr="00866A85">
        <w:rPr>
          <w:rStyle w:val="TableHeadingChar"/>
          <w:rFonts w:ascii="Arial" w:hAnsi="Arial" w:cs="Arial"/>
          <w:smallCaps w:val="0"/>
          <w:sz w:val="20"/>
        </w:rPr>
        <w:t>Nigar</w:t>
      </w:r>
      <w:proofErr w:type="spellEnd"/>
      <w:r w:rsidRPr="00866A85">
        <w:rPr>
          <w:rStyle w:val="TableHeadingChar"/>
          <w:rFonts w:ascii="Arial" w:hAnsi="Arial" w:cs="Arial"/>
          <w:smallCaps w:val="0"/>
          <w:sz w:val="20"/>
        </w:rPr>
        <w:t xml:space="preserve"> </w:t>
      </w:r>
      <w:proofErr w:type="spellStart"/>
      <w:r w:rsidRPr="00866A85">
        <w:rPr>
          <w:rStyle w:val="TableHeadingChar"/>
          <w:rFonts w:ascii="Arial" w:hAnsi="Arial" w:cs="Arial"/>
          <w:smallCaps w:val="0"/>
          <w:sz w:val="20"/>
        </w:rPr>
        <w:t>Guliyeva</w:t>
      </w:r>
      <w:proofErr w:type="spellEnd"/>
      <w:r>
        <w:rPr>
          <w:rStyle w:val="TableHeadingChar"/>
          <w:rFonts w:ascii="Arial" w:hAnsi="Arial" w:cs="Arial"/>
          <w:smallCaps w:val="0"/>
          <w:sz w:val="20"/>
        </w:rPr>
        <w:t>, Local Non-Key expert, Azerbaijan</w:t>
      </w:r>
    </w:p>
    <w:p w:rsidR="00866A85" w:rsidRDefault="00866A85" w:rsidP="008F2E48">
      <w:pPr>
        <w:rPr>
          <w:rStyle w:val="TableHeadingChar"/>
          <w:rFonts w:ascii="Arial" w:hAnsi="Arial" w:cs="Arial"/>
          <w:smallCaps w:val="0"/>
          <w:sz w:val="20"/>
        </w:rPr>
      </w:pPr>
      <w:proofErr w:type="spellStart"/>
      <w:r w:rsidRPr="00866A85">
        <w:rPr>
          <w:rStyle w:val="TableHeadingChar"/>
          <w:rFonts w:ascii="Arial" w:hAnsi="Arial" w:cs="Arial"/>
          <w:smallCaps w:val="0"/>
          <w:sz w:val="20"/>
        </w:rPr>
        <w:t>Aleg</w:t>
      </w:r>
      <w:proofErr w:type="spellEnd"/>
      <w:r w:rsidRPr="00866A85">
        <w:rPr>
          <w:rStyle w:val="TableHeadingChar"/>
          <w:rFonts w:ascii="Arial" w:hAnsi="Arial" w:cs="Arial"/>
          <w:smallCaps w:val="0"/>
          <w:sz w:val="20"/>
        </w:rPr>
        <w:t xml:space="preserve"> </w:t>
      </w:r>
      <w:proofErr w:type="spellStart"/>
      <w:r w:rsidRPr="00866A85">
        <w:rPr>
          <w:rStyle w:val="TableHeadingChar"/>
          <w:rFonts w:ascii="Arial" w:hAnsi="Arial" w:cs="Arial"/>
          <w:smallCaps w:val="0"/>
          <w:sz w:val="20"/>
        </w:rPr>
        <w:t>Sivagrak</w:t>
      </w:r>
      <w:proofErr w:type="spellEnd"/>
      <w:r>
        <w:rPr>
          <w:rStyle w:val="TableHeadingChar"/>
          <w:rFonts w:ascii="Arial" w:hAnsi="Arial" w:cs="Arial"/>
          <w:smallCaps w:val="0"/>
          <w:sz w:val="20"/>
        </w:rPr>
        <w:t>, Local Non-Key expert, Belarus</w:t>
      </w:r>
    </w:p>
    <w:p w:rsidR="00866A85" w:rsidRDefault="00866A85" w:rsidP="008F2E48">
      <w:pPr>
        <w:rPr>
          <w:rStyle w:val="TableHeadingChar"/>
          <w:rFonts w:ascii="Arial" w:hAnsi="Arial" w:cs="Arial"/>
          <w:smallCaps w:val="0"/>
          <w:sz w:val="20"/>
        </w:rPr>
      </w:pPr>
      <w:r w:rsidRPr="00866A85">
        <w:rPr>
          <w:rStyle w:val="TableHeadingChar"/>
          <w:rFonts w:ascii="Arial" w:hAnsi="Arial" w:cs="Arial"/>
          <w:smallCaps w:val="0"/>
          <w:sz w:val="20"/>
        </w:rPr>
        <w:t xml:space="preserve">Nino </w:t>
      </w:r>
      <w:proofErr w:type="spellStart"/>
      <w:r w:rsidRPr="00866A85">
        <w:rPr>
          <w:rStyle w:val="TableHeadingChar"/>
          <w:rFonts w:ascii="Arial" w:hAnsi="Arial" w:cs="Arial"/>
          <w:smallCaps w:val="0"/>
          <w:sz w:val="20"/>
        </w:rPr>
        <w:t>Shavgulidze</w:t>
      </w:r>
      <w:proofErr w:type="spellEnd"/>
      <w:r>
        <w:rPr>
          <w:rStyle w:val="TableHeadingChar"/>
          <w:rFonts w:ascii="Arial" w:hAnsi="Arial" w:cs="Arial"/>
          <w:smallCaps w:val="0"/>
          <w:sz w:val="20"/>
        </w:rPr>
        <w:t>, Local Non-Key expert, Georgia</w:t>
      </w:r>
    </w:p>
    <w:p w:rsidR="00866A85" w:rsidRDefault="00866A85" w:rsidP="008F2E48">
      <w:pPr>
        <w:rPr>
          <w:rStyle w:val="TableHeadingChar"/>
          <w:rFonts w:ascii="Arial" w:hAnsi="Arial" w:cs="Arial"/>
          <w:smallCaps w:val="0"/>
          <w:sz w:val="20"/>
        </w:rPr>
      </w:pPr>
      <w:r>
        <w:rPr>
          <w:rStyle w:val="TableHeadingChar"/>
          <w:rFonts w:ascii="Arial" w:hAnsi="Arial" w:cs="Arial"/>
          <w:smallCaps w:val="0"/>
          <w:sz w:val="20"/>
        </w:rPr>
        <w:t xml:space="preserve">Andrei </w:t>
      </w:r>
      <w:proofErr w:type="spellStart"/>
      <w:r>
        <w:rPr>
          <w:rStyle w:val="TableHeadingChar"/>
          <w:rFonts w:ascii="Arial" w:hAnsi="Arial" w:cs="Arial"/>
          <w:smallCaps w:val="0"/>
          <w:sz w:val="20"/>
        </w:rPr>
        <w:t>Isac</w:t>
      </w:r>
      <w:proofErr w:type="spellEnd"/>
      <w:r>
        <w:rPr>
          <w:rStyle w:val="TableHeadingChar"/>
          <w:rFonts w:ascii="Arial" w:hAnsi="Arial" w:cs="Arial"/>
          <w:smallCaps w:val="0"/>
          <w:sz w:val="20"/>
        </w:rPr>
        <w:t>, Local Non-Key expert, Moldova</w:t>
      </w:r>
    </w:p>
    <w:p w:rsidR="00866A85" w:rsidRDefault="00866A85" w:rsidP="008F2E48">
      <w:pPr>
        <w:rPr>
          <w:rStyle w:val="TableHeadingChar"/>
          <w:rFonts w:ascii="Arial" w:hAnsi="Arial" w:cs="Arial"/>
          <w:smallCaps w:val="0"/>
          <w:sz w:val="20"/>
        </w:rPr>
      </w:pPr>
      <w:r>
        <w:rPr>
          <w:rStyle w:val="TableHeadingChar"/>
          <w:rFonts w:ascii="Arial" w:hAnsi="Arial" w:cs="Arial"/>
          <w:smallCaps w:val="0"/>
          <w:sz w:val="20"/>
        </w:rPr>
        <w:t xml:space="preserve">Tatiana </w:t>
      </w:r>
      <w:proofErr w:type="spellStart"/>
      <w:r>
        <w:rPr>
          <w:rStyle w:val="TableHeadingChar"/>
          <w:rFonts w:ascii="Arial" w:hAnsi="Arial" w:cs="Arial"/>
          <w:smallCaps w:val="0"/>
          <w:sz w:val="20"/>
        </w:rPr>
        <w:t>Boravskaya</w:t>
      </w:r>
      <w:proofErr w:type="spellEnd"/>
      <w:r>
        <w:rPr>
          <w:rStyle w:val="TableHeadingChar"/>
          <w:rFonts w:ascii="Arial" w:hAnsi="Arial" w:cs="Arial"/>
          <w:smallCaps w:val="0"/>
          <w:sz w:val="20"/>
        </w:rPr>
        <w:t>, Local Non-Key expert, Russian Federation</w:t>
      </w:r>
    </w:p>
    <w:p w:rsidR="00866A85" w:rsidRDefault="00866A85" w:rsidP="008F2E48">
      <w:pPr>
        <w:rPr>
          <w:rStyle w:val="TableHeadingChar"/>
          <w:rFonts w:ascii="Arial" w:hAnsi="Arial" w:cs="Arial"/>
          <w:smallCaps w:val="0"/>
          <w:sz w:val="20"/>
          <w:highlight w:val="yellow"/>
        </w:rPr>
      </w:pPr>
      <w:proofErr w:type="spellStart"/>
      <w:r>
        <w:rPr>
          <w:rStyle w:val="TableHeadingChar"/>
          <w:rFonts w:ascii="Arial" w:hAnsi="Arial" w:cs="Arial"/>
          <w:smallCaps w:val="0"/>
          <w:sz w:val="20"/>
        </w:rPr>
        <w:t>Kyryl</w:t>
      </w:r>
      <w:proofErr w:type="spellEnd"/>
      <w:r>
        <w:rPr>
          <w:rStyle w:val="TableHeadingChar"/>
          <w:rFonts w:ascii="Arial" w:hAnsi="Arial" w:cs="Arial"/>
          <w:smallCaps w:val="0"/>
          <w:sz w:val="20"/>
        </w:rPr>
        <w:t xml:space="preserve"> </w:t>
      </w:r>
      <w:proofErr w:type="spellStart"/>
      <w:r>
        <w:rPr>
          <w:rStyle w:val="TableHeadingChar"/>
          <w:rFonts w:ascii="Arial" w:hAnsi="Arial" w:cs="Arial"/>
          <w:smallCaps w:val="0"/>
          <w:sz w:val="20"/>
        </w:rPr>
        <w:t>Sereda</w:t>
      </w:r>
      <w:proofErr w:type="spellEnd"/>
      <w:r>
        <w:rPr>
          <w:rStyle w:val="TableHeadingChar"/>
          <w:rFonts w:ascii="Arial" w:hAnsi="Arial" w:cs="Arial"/>
          <w:smallCaps w:val="0"/>
          <w:sz w:val="20"/>
        </w:rPr>
        <w:t>, Local Non-Key expert, Ukraine</w:t>
      </w:r>
    </w:p>
    <w:p w:rsidR="00566D4C" w:rsidRPr="00566D4C" w:rsidRDefault="00566D4C" w:rsidP="008F2E48">
      <w:pPr>
        <w:rPr>
          <w:rStyle w:val="TableHeadingChar"/>
          <w:rFonts w:ascii="Arial" w:hAnsi="Arial" w:cs="Arial"/>
          <w:sz w:val="20"/>
        </w:rPr>
      </w:pPr>
    </w:p>
    <w:p w:rsidR="00230D7F" w:rsidRPr="001346FF" w:rsidRDefault="00875073" w:rsidP="00F347A2">
      <w:pPr>
        <w:tabs>
          <w:tab w:val="left" w:pos="1843"/>
          <w:tab w:val="right" w:leader="dot" w:pos="4820"/>
          <w:tab w:val="left" w:pos="5103"/>
          <w:tab w:val="right" w:leader="dot" w:pos="7371"/>
          <w:tab w:val="left" w:pos="7655"/>
          <w:tab w:val="right" w:leader="dot" w:pos="9356"/>
        </w:tabs>
        <w:spacing w:before="360"/>
        <w:ind w:left="1843" w:hanging="1843"/>
        <w:jc w:val="left"/>
        <w:rPr>
          <w:rFonts w:cs="Arial"/>
          <w:i/>
          <w:iCs/>
          <w:sz w:val="20"/>
        </w:rPr>
      </w:pPr>
      <w:r w:rsidRPr="001346FF">
        <w:rPr>
          <w:rStyle w:val="TableHeadingChar"/>
          <w:rFonts w:ascii="Arial" w:hAnsi="Arial" w:cs="Arial"/>
          <w:sz w:val="20"/>
        </w:rPr>
        <w:t>NAME OF K</w:t>
      </w:r>
      <w:r w:rsidR="00AE42EC" w:rsidRPr="001346FF">
        <w:rPr>
          <w:rStyle w:val="TableHeadingChar"/>
          <w:rFonts w:ascii="Arial" w:hAnsi="Arial" w:cs="Arial"/>
          <w:sz w:val="20"/>
        </w:rPr>
        <w:t>E Expert</w:t>
      </w:r>
      <w:r w:rsidR="008F2E48">
        <w:rPr>
          <w:rStyle w:val="TableHeadingChar"/>
          <w:rFonts w:ascii="Arial" w:hAnsi="Arial" w:cs="Arial"/>
          <w:sz w:val="20"/>
        </w:rPr>
        <w:t>:</w:t>
      </w:r>
      <w:r w:rsidRPr="001346FF">
        <w:rPr>
          <w:rStyle w:val="TableHeadingChar"/>
          <w:rFonts w:ascii="Arial" w:hAnsi="Arial" w:cs="Arial"/>
          <w:sz w:val="20"/>
        </w:rPr>
        <w:t xml:space="preserve">     </w:t>
      </w:r>
      <w:r w:rsidRPr="008F2E48">
        <w:rPr>
          <w:rStyle w:val="TableHeadingChar"/>
          <w:rFonts w:ascii="Arial" w:hAnsi="Arial" w:cs="Arial"/>
          <w:smallCaps w:val="0"/>
          <w:sz w:val="20"/>
        </w:rPr>
        <w:t xml:space="preserve"> </w:t>
      </w:r>
      <w:proofErr w:type="spellStart"/>
      <w:r w:rsidR="005C0E3C" w:rsidRPr="008F2E48">
        <w:rPr>
          <w:rStyle w:val="TableHeadingChar"/>
          <w:rFonts w:ascii="Arial" w:hAnsi="Arial" w:cs="Arial"/>
          <w:smallCaps w:val="0"/>
          <w:sz w:val="20"/>
        </w:rPr>
        <w:t>Aiga</w:t>
      </w:r>
      <w:proofErr w:type="spellEnd"/>
      <w:r w:rsidR="005C0E3C" w:rsidRPr="008F2E48">
        <w:rPr>
          <w:rStyle w:val="TableHeadingChar"/>
          <w:rFonts w:ascii="Arial" w:hAnsi="Arial" w:cs="Arial"/>
          <w:smallCaps w:val="0"/>
          <w:sz w:val="20"/>
        </w:rPr>
        <w:t xml:space="preserve"> </w:t>
      </w:r>
      <w:proofErr w:type="spellStart"/>
      <w:r w:rsidR="005C0E3C" w:rsidRPr="008F2E48">
        <w:rPr>
          <w:rStyle w:val="TableHeadingChar"/>
          <w:rFonts w:ascii="Arial" w:hAnsi="Arial" w:cs="Arial"/>
          <w:smallCaps w:val="0"/>
          <w:sz w:val="20"/>
        </w:rPr>
        <w:t>Kāla</w:t>
      </w:r>
      <w:proofErr w:type="spellEnd"/>
      <w:r w:rsidR="008F2E48">
        <w:rPr>
          <w:rStyle w:val="TableHeadingChar"/>
          <w:rFonts w:ascii="Arial" w:hAnsi="Arial" w:cs="Arial"/>
          <w:smallCaps w:val="0"/>
          <w:sz w:val="20"/>
        </w:rPr>
        <w:t xml:space="preserve">, </w:t>
      </w:r>
      <w:r w:rsidR="008F2E48" w:rsidRPr="008F2E48">
        <w:rPr>
          <w:rStyle w:val="TableHeadingChar"/>
          <w:rFonts w:ascii="Arial" w:hAnsi="Arial" w:cs="Arial"/>
          <w:smallCaps w:val="0"/>
          <w:sz w:val="20"/>
        </w:rPr>
        <w:t>Key Expert 2 – Air Quality Assessment and Management</w:t>
      </w:r>
    </w:p>
    <w:p w:rsidR="00951EFA" w:rsidRPr="001346FF" w:rsidRDefault="00951EFA" w:rsidP="0076294B">
      <w:pPr>
        <w:rPr>
          <w:rFonts w:cs="Arial"/>
          <w:sz w:val="20"/>
        </w:rPr>
      </w:pPr>
    </w:p>
    <w:p w:rsidR="00866A85" w:rsidRDefault="00866A85">
      <w:pPr>
        <w:pStyle w:val="TOCHeading"/>
        <w:rPr>
          <w:rFonts w:ascii="Arial" w:hAnsi="Arial" w:cs="Arial"/>
        </w:rPr>
      </w:pPr>
    </w:p>
    <w:p w:rsidR="001346FF" w:rsidRPr="00A83DAB" w:rsidRDefault="001346FF">
      <w:pPr>
        <w:pStyle w:val="TOCHeading"/>
        <w:rPr>
          <w:rFonts w:ascii="Arial" w:hAnsi="Arial" w:cs="Arial"/>
        </w:rPr>
      </w:pPr>
      <w:r w:rsidRPr="00A83DAB">
        <w:rPr>
          <w:rFonts w:ascii="Arial" w:hAnsi="Arial" w:cs="Arial"/>
        </w:rPr>
        <w:t>Contents</w:t>
      </w:r>
    </w:p>
    <w:bookmarkStart w:id="9" w:name="_GoBack"/>
    <w:bookmarkEnd w:id="9"/>
    <w:p w:rsidR="00791588" w:rsidRDefault="00640F16">
      <w:pPr>
        <w:pStyle w:val="TOC1"/>
        <w:tabs>
          <w:tab w:val="right" w:leader="dot" w:pos="9061"/>
        </w:tabs>
        <w:rPr>
          <w:rFonts w:asciiTheme="minorHAnsi" w:eastAsiaTheme="minorEastAsia" w:hAnsiTheme="minorHAnsi" w:cstheme="minorBidi"/>
          <w:b w:val="0"/>
          <w:bCs w:val="0"/>
          <w:caps w:val="0"/>
          <w:noProof/>
          <w:sz w:val="22"/>
          <w:szCs w:val="22"/>
          <w:lang w:eastAsia="en-GB"/>
        </w:rPr>
      </w:pPr>
      <w:r w:rsidRPr="00A83DAB">
        <w:rPr>
          <w:rFonts w:ascii="Arial" w:hAnsi="Arial" w:cs="Arial"/>
        </w:rPr>
        <w:fldChar w:fldCharType="begin"/>
      </w:r>
      <w:r w:rsidR="001346FF" w:rsidRPr="00A83DAB">
        <w:rPr>
          <w:rFonts w:ascii="Arial" w:hAnsi="Arial" w:cs="Arial"/>
        </w:rPr>
        <w:instrText xml:space="preserve"> TOC \o "1-3" \h \z \u </w:instrText>
      </w:r>
      <w:r w:rsidRPr="00A83DAB">
        <w:rPr>
          <w:rFonts w:ascii="Arial" w:hAnsi="Arial" w:cs="Arial"/>
        </w:rPr>
        <w:fldChar w:fldCharType="separate"/>
      </w:r>
      <w:hyperlink w:anchor="_Toc387396911" w:history="1">
        <w:r w:rsidR="00791588" w:rsidRPr="000E4AFD">
          <w:rPr>
            <w:rStyle w:val="Hyperlink"/>
            <w:noProof/>
          </w:rPr>
          <w:t>Abbreviations</w:t>
        </w:r>
        <w:r w:rsidR="00791588">
          <w:rPr>
            <w:noProof/>
            <w:webHidden/>
          </w:rPr>
          <w:tab/>
        </w:r>
        <w:r w:rsidR="00791588">
          <w:rPr>
            <w:noProof/>
            <w:webHidden/>
          </w:rPr>
          <w:fldChar w:fldCharType="begin"/>
        </w:r>
        <w:r w:rsidR="00791588">
          <w:rPr>
            <w:noProof/>
            <w:webHidden/>
          </w:rPr>
          <w:instrText xml:space="preserve"> PAGEREF _Toc387396911 \h </w:instrText>
        </w:r>
        <w:r w:rsidR="00791588">
          <w:rPr>
            <w:noProof/>
            <w:webHidden/>
          </w:rPr>
        </w:r>
        <w:r w:rsidR="00791588">
          <w:rPr>
            <w:noProof/>
            <w:webHidden/>
          </w:rPr>
          <w:fldChar w:fldCharType="separate"/>
        </w:r>
        <w:r w:rsidR="00791588">
          <w:rPr>
            <w:noProof/>
            <w:webHidden/>
          </w:rPr>
          <w:t>5</w:t>
        </w:r>
        <w:r w:rsidR="00791588">
          <w:rPr>
            <w:noProof/>
            <w:webHidden/>
          </w:rPr>
          <w:fldChar w:fldCharType="end"/>
        </w:r>
      </w:hyperlink>
    </w:p>
    <w:p w:rsidR="00791588" w:rsidRDefault="00791588">
      <w:pPr>
        <w:pStyle w:val="TOC1"/>
        <w:tabs>
          <w:tab w:val="right" w:leader="dot" w:pos="9061"/>
        </w:tabs>
        <w:rPr>
          <w:rFonts w:asciiTheme="minorHAnsi" w:eastAsiaTheme="minorEastAsia" w:hAnsiTheme="minorHAnsi" w:cstheme="minorBidi"/>
          <w:b w:val="0"/>
          <w:bCs w:val="0"/>
          <w:caps w:val="0"/>
          <w:noProof/>
          <w:sz w:val="22"/>
          <w:szCs w:val="22"/>
          <w:lang w:eastAsia="en-GB"/>
        </w:rPr>
      </w:pPr>
      <w:hyperlink w:anchor="_Toc387396912" w:history="1">
        <w:r w:rsidRPr="000E4AFD">
          <w:rPr>
            <w:rStyle w:val="Hyperlink"/>
            <w:noProof/>
          </w:rPr>
          <w:t>B</w:t>
        </w:r>
        <w:r w:rsidRPr="000E4AFD">
          <w:rPr>
            <w:rStyle w:val="Hyperlink"/>
            <w:noProof/>
            <w:lang w:val="lv-LV"/>
          </w:rPr>
          <w:t>ackground</w:t>
        </w:r>
        <w:r>
          <w:rPr>
            <w:noProof/>
            <w:webHidden/>
          </w:rPr>
          <w:tab/>
        </w:r>
        <w:r>
          <w:rPr>
            <w:noProof/>
            <w:webHidden/>
          </w:rPr>
          <w:fldChar w:fldCharType="begin"/>
        </w:r>
        <w:r>
          <w:rPr>
            <w:noProof/>
            <w:webHidden/>
          </w:rPr>
          <w:instrText xml:space="preserve"> PAGEREF _Toc387396912 \h </w:instrText>
        </w:r>
        <w:r>
          <w:rPr>
            <w:noProof/>
            <w:webHidden/>
          </w:rPr>
        </w:r>
        <w:r>
          <w:rPr>
            <w:noProof/>
            <w:webHidden/>
          </w:rPr>
          <w:fldChar w:fldCharType="separate"/>
        </w:r>
        <w:r>
          <w:rPr>
            <w:noProof/>
            <w:webHidden/>
          </w:rPr>
          <w:t>8</w:t>
        </w:r>
        <w:r>
          <w:rPr>
            <w:noProof/>
            <w:webHidden/>
          </w:rPr>
          <w:fldChar w:fldCharType="end"/>
        </w:r>
      </w:hyperlink>
    </w:p>
    <w:p w:rsidR="00791588" w:rsidRDefault="00791588">
      <w:pPr>
        <w:pStyle w:val="TOC1"/>
        <w:tabs>
          <w:tab w:val="left" w:pos="420"/>
          <w:tab w:val="right" w:leader="dot" w:pos="9061"/>
        </w:tabs>
        <w:rPr>
          <w:rFonts w:asciiTheme="minorHAnsi" w:eastAsiaTheme="minorEastAsia" w:hAnsiTheme="minorHAnsi" w:cstheme="minorBidi"/>
          <w:b w:val="0"/>
          <w:bCs w:val="0"/>
          <w:caps w:val="0"/>
          <w:noProof/>
          <w:sz w:val="22"/>
          <w:szCs w:val="22"/>
          <w:lang w:eastAsia="en-GB"/>
        </w:rPr>
      </w:pPr>
      <w:hyperlink w:anchor="_Toc387396913" w:history="1">
        <w:r w:rsidRPr="000E4AFD">
          <w:rPr>
            <w:rStyle w:val="Hyperlink"/>
            <w:noProof/>
          </w:rPr>
          <w:t>1.</w:t>
        </w:r>
        <w:r>
          <w:rPr>
            <w:rFonts w:asciiTheme="minorHAnsi" w:eastAsiaTheme="minorEastAsia" w:hAnsiTheme="minorHAnsi" w:cstheme="minorBidi"/>
            <w:b w:val="0"/>
            <w:bCs w:val="0"/>
            <w:caps w:val="0"/>
            <w:noProof/>
            <w:sz w:val="22"/>
            <w:szCs w:val="22"/>
            <w:lang w:eastAsia="en-GB"/>
          </w:rPr>
          <w:tab/>
        </w:r>
        <w:r w:rsidRPr="000E4AFD">
          <w:rPr>
            <w:rStyle w:val="Hyperlink"/>
            <w:noProof/>
          </w:rPr>
          <w:t>Relevant European experience</w:t>
        </w:r>
        <w:r>
          <w:rPr>
            <w:noProof/>
            <w:webHidden/>
          </w:rPr>
          <w:tab/>
        </w:r>
        <w:r>
          <w:rPr>
            <w:noProof/>
            <w:webHidden/>
          </w:rPr>
          <w:fldChar w:fldCharType="begin"/>
        </w:r>
        <w:r>
          <w:rPr>
            <w:noProof/>
            <w:webHidden/>
          </w:rPr>
          <w:instrText xml:space="preserve"> PAGEREF _Toc387396913 \h </w:instrText>
        </w:r>
        <w:r>
          <w:rPr>
            <w:noProof/>
            <w:webHidden/>
          </w:rPr>
        </w:r>
        <w:r>
          <w:rPr>
            <w:noProof/>
            <w:webHidden/>
          </w:rPr>
          <w:fldChar w:fldCharType="separate"/>
        </w:r>
        <w:r>
          <w:rPr>
            <w:noProof/>
            <w:webHidden/>
          </w:rPr>
          <w:t>9</w:t>
        </w:r>
        <w:r>
          <w:rPr>
            <w:noProof/>
            <w:webHidden/>
          </w:rPr>
          <w:fldChar w:fldCharType="end"/>
        </w:r>
      </w:hyperlink>
    </w:p>
    <w:p w:rsidR="00791588" w:rsidRDefault="00791588">
      <w:pPr>
        <w:pStyle w:val="TOC2"/>
        <w:tabs>
          <w:tab w:val="left" w:pos="840"/>
          <w:tab w:val="right" w:leader="dot" w:pos="9061"/>
        </w:tabs>
        <w:rPr>
          <w:rFonts w:asciiTheme="minorHAnsi" w:eastAsiaTheme="minorEastAsia" w:hAnsiTheme="minorHAnsi" w:cstheme="minorBidi"/>
          <w:smallCaps w:val="0"/>
          <w:noProof/>
          <w:sz w:val="22"/>
          <w:szCs w:val="22"/>
          <w:lang w:eastAsia="en-GB"/>
        </w:rPr>
      </w:pPr>
      <w:hyperlink w:anchor="_Toc387396914" w:history="1">
        <w:r w:rsidRPr="000E4AFD">
          <w:rPr>
            <w:rStyle w:val="Hyperlink"/>
            <w:noProof/>
          </w:rPr>
          <w:t>1.1.</w:t>
        </w:r>
        <w:r>
          <w:rPr>
            <w:rFonts w:asciiTheme="minorHAnsi" w:eastAsiaTheme="minorEastAsia" w:hAnsiTheme="minorHAnsi" w:cstheme="minorBidi"/>
            <w:smallCaps w:val="0"/>
            <w:noProof/>
            <w:sz w:val="22"/>
            <w:szCs w:val="22"/>
            <w:lang w:eastAsia="en-GB"/>
          </w:rPr>
          <w:tab/>
        </w:r>
        <w:r w:rsidRPr="000E4AFD">
          <w:rPr>
            <w:rStyle w:val="Hyperlink"/>
            <w:noProof/>
          </w:rPr>
          <w:t>Introduction</w:t>
        </w:r>
        <w:r>
          <w:rPr>
            <w:noProof/>
            <w:webHidden/>
          </w:rPr>
          <w:tab/>
        </w:r>
        <w:r>
          <w:rPr>
            <w:noProof/>
            <w:webHidden/>
          </w:rPr>
          <w:fldChar w:fldCharType="begin"/>
        </w:r>
        <w:r>
          <w:rPr>
            <w:noProof/>
            <w:webHidden/>
          </w:rPr>
          <w:instrText xml:space="preserve"> PAGEREF _Toc387396914 \h </w:instrText>
        </w:r>
        <w:r>
          <w:rPr>
            <w:noProof/>
            <w:webHidden/>
          </w:rPr>
        </w:r>
        <w:r>
          <w:rPr>
            <w:noProof/>
            <w:webHidden/>
          </w:rPr>
          <w:fldChar w:fldCharType="separate"/>
        </w:r>
        <w:r>
          <w:rPr>
            <w:noProof/>
            <w:webHidden/>
          </w:rPr>
          <w:t>9</w:t>
        </w:r>
        <w:r>
          <w:rPr>
            <w:noProof/>
            <w:webHidden/>
          </w:rPr>
          <w:fldChar w:fldCharType="end"/>
        </w:r>
      </w:hyperlink>
    </w:p>
    <w:p w:rsidR="00791588" w:rsidRDefault="00791588">
      <w:pPr>
        <w:pStyle w:val="TOC2"/>
        <w:tabs>
          <w:tab w:val="left" w:pos="840"/>
          <w:tab w:val="right" w:leader="dot" w:pos="9061"/>
        </w:tabs>
        <w:rPr>
          <w:rFonts w:asciiTheme="minorHAnsi" w:eastAsiaTheme="minorEastAsia" w:hAnsiTheme="minorHAnsi" w:cstheme="minorBidi"/>
          <w:smallCaps w:val="0"/>
          <w:noProof/>
          <w:sz w:val="22"/>
          <w:szCs w:val="22"/>
          <w:lang w:eastAsia="en-GB"/>
        </w:rPr>
      </w:pPr>
      <w:hyperlink w:anchor="_Toc387396915" w:history="1">
        <w:r w:rsidRPr="000E4AFD">
          <w:rPr>
            <w:rStyle w:val="Hyperlink"/>
            <w:noProof/>
          </w:rPr>
          <w:t>1.2.</w:t>
        </w:r>
        <w:r>
          <w:rPr>
            <w:rFonts w:asciiTheme="minorHAnsi" w:eastAsiaTheme="minorEastAsia" w:hAnsiTheme="minorHAnsi" w:cstheme="minorBidi"/>
            <w:smallCaps w:val="0"/>
            <w:noProof/>
            <w:sz w:val="22"/>
            <w:szCs w:val="22"/>
            <w:lang w:eastAsia="en-GB"/>
          </w:rPr>
          <w:tab/>
        </w:r>
        <w:r w:rsidRPr="000E4AFD">
          <w:rPr>
            <w:rStyle w:val="Hyperlink"/>
            <w:noProof/>
          </w:rPr>
          <w:t>Observation of relevant tools used in Europe</w:t>
        </w:r>
        <w:r>
          <w:rPr>
            <w:noProof/>
            <w:webHidden/>
          </w:rPr>
          <w:tab/>
        </w:r>
        <w:r>
          <w:rPr>
            <w:noProof/>
            <w:webHidden/>
          </w:rPr>
          <w:fldChar w:fldCharType="begin"/>
        </w:r>
        <w:r>
          <w:rPr>
            <w:noProof/>
            <w:webHidden/>
          </w:rPr>
          <w:instrText xml:space="preserve"> PAGEREF _Toc387396915 \h </w:instrText>
        </w:r>
        <w:r>
          <w:rPr>
            <w:noProof/>
            <w:webHidden/>
          </w:rPr>
        </w:r>
        <w:r>
          <w:rPr>
            <w:noProof/>
            <w:webHidden/>
          </w:rPr>
          <w:fldChar w:fldCharType="separate"/>
        </w:r>
        <w:r>
          <w:rPr>
            <w:noProof/>
            <w:webHidden/>
          </w:rPr>
          <w:t>9</w:t>
        </w:r>
        <w:r>
          <w:rPr>
            <w:noProof/>
            <w:webHidden/>
          </w:rPr>
          <w:fldChar w:fldCharType="end"/>
        </w:r>
      </w:hyperlink>
    </w:p>
    <w:p w:rsidR="00791588" w:rsidRDefault="00791588">
      <w:pPr>
        <w:pStyle w:val="TOC3"/>
        <w:tabs>
          <w:tab w:val="right" w:leader="dot" w:pos="9061"/>
        </w:tabs>
        <w:rPr>
          <w:rFonts w:asciiTheme="minorHAnsi" w:eastAsiaTheme="minorEastAsia" w:hAnsiTheme="minorHAnsi" w:cstheme="minorBidi"/>
          <w:i w:val="0"/>
          <w:iCs w:val="0"/>
          <w:noProof/>
          <w:sz w:val="22"/>
          <w:szCs w:val="22"/>
          <w:lang w:eastAsia="en-GB"/>
        </w:rPr>
      </w:pPr>
      <w:hyperlink w:anchor="_Toc387396916" w:history="1">
        <w:r w:rsidRPr="000E4AFD">
          <w:rPr>
            <w:rStyle w:val="Hyperlink"/>
            <w:noProof/>
          </w:rPr>
          <w:t>International tools</w:t>
        </w:r>
        <w:r>
          <w:rPr>
            <w:noProof/>
            <w:webHidden/>
          </w:rPr>
          <w:tab/>
        </w:r>
        <w:r>
          <w:rPr>
            <w:noProof/>
            <w:webHidden/>
          </w:rPr>
          <w:fldChar w:fldCharType="begin"/>
        </w:r>
        <w:r>
          <w:rPr>
            <w:noProof/>
            <w:webHidden/>
          </w:rPr>
          <w:instrText xml:space="preserve"> PAGEREF _Toc387396916 \h </w:instrText>
        </w:r>
        <w:r>
          <w:rPr>
            <w:noProof/>
            <w:webHidden/>
          </w:rPr>
        </w:r>
        <w:r>
          <w:rPr>
            <w:noProof/>
            <w:webHidden/>
          </w:rPr>
          <w:fldChar w:fldCharType="separate"/>
        </w:r>
        <w:r>
          <w:rPr>
            <w:noProof/>
            <w:webHidden/>
          </w:rPr>
          <w:t>10</w:t>
        </w:r>
        <w:r>
          <w:rPr>
            <w:noProof/>
            <w:webHidden/>
          </w:rPr>
          <w:fldChar w:fldCharType="end"/>
        </w:r>
      </w:hyperlink>
    </w:p>
    <w:p w:rsidR="00791588" w:rsidRDefault="00791588">
      <w:pPr>
        <w:pStyle w:val="TOC3"/>
        <w:tabs>
          <w:tab w:val="right" w:leader="dot" w:pos="9061"/>
        </w:tabs>
        <w:rPr>
          <w:rFonts w:asciiTheme="minorHAnsi" w:eastAsiaTheme="minorEastAsia" w:hAnsiTheme="minorHAnsi" w:cstheme="minorBidi"/>
          <w:i w:val="0"/>
          <w:iCs w:val="0"/>
          <w:noProof/>
          <w:sz w:val="22"/>
          <w:szCs w:val="22"/>
          <w:lang w:eastAsia="en-GB"/>
        </w:rPr>
      </w:pPr>
      <w:hyperlink w:anchor="_Toc387396917" w:history="1">
        <w:r w:rsidRPr="000E4AFD">
          <w:rPr>
            <w:rStyle w:val="Hyperlink"/>
            <w:noProof/>
          </w:rPr>
          <w:t>EU tools</w:t>
        </w:r>
        <w:r>
          <w:rPr>
            <w:noProof/>
            <w:webHidden/>
          </w:rPr>
          <w:tab/>
        </w:r>
        <w:r>
          <w:rPr>
            <w:noProof/>
            <w:webHidden/>
          </w:rPr>
          <w:fldChar w:fldCharType="begin"/>
        </w:r>
        <w:r>
          <w:rPr>
            <w:noProof/>
            <w:webHidden/>
          </w:rPr>
          <w:instrText xml:space="preserve"> PAGEREF _Toc387396917 \h </w:instrText>
        </w:r>
        <w:r>
          <w:rPr>
            <w:noProof/>
            <w:webHidden/>
          </w:rPr>
        </w:r>
        <w:r>
          <w:rPr>
            <w:noProof/>
            <w:webHidden/>
          </w:rPr>
          <w:fldChar w:fldCharType="separate"/>
        </w:r>
        <w:r>
          <w:rPr>
            <w:noProof/>
            <w:webHidden/>
          </w:rPr>
          <w:t>13</w:t>
        </w:r>
        <w:r>
          <w:rPr>
            <w:noProof/>
            <w:webHidden/>
          </w:rPr>
          <w:fldChar w:fldCharType="end"/>
        </w:r>
      </w:hyperlink>
    </w:p>
    <w:p w:rsidR="00791588" w:rsidRDefault="00791588">
      <w:pPr>
        <w:pStyle w:val="TOC2"/>
        <w:tabs>
          <w:tab w:val="left" w:pos="840"/>
          <w:tab w:val="right" w:leader="dot" w:pos="9061"/>
        </w:tabs>
        <w:rPr>
          <w:rFonts w:asciiTheme="minorHAnsi" w:eastAsiaTheme="minorEastAsia" w:hAnsiTheme="minorHAnsi" w:cstheme="minorBidi"/>
          <w:smallCaps w:val="0"/>
          <w:noProof/>
          <w:sz w:val="22"/>
          <w:szCs w:val="22"/>
          <w:lang w:eastAsia="en-GB"/>
        </w:rPr>
      </w:pPr>
      <w:hyperlink w:anchor="_Toc387396918" w:history="1">
        <w:r w:rsidRPr="000E4AFD">
          <w:rPr>
            <w:rStyle w:val="Hyperlink"/>
            <w:noProof/>
          </w:rPr>
          <w:t>1.3.</w:t>
        </w:r>
        <w:r>
          <w:rPr>
            <w:rFonts w:asciiTheme="minorHAnsi" w:eastAsiaTheme="minorEastAsia" w:hAnsiTheme="minorHAnsi" w:cstheme="minorBidi"/>
            <w:smallCaps w:val="0"/>
            <w:noProof/>
            <w:sz w:val="22"/>
            <w:szCs w:val="22"/>
            <w:lang w:eastAsia="en-GB"/>
          </w:rPr>
          <w:tab/>
        </w:r>
        <w:r w:rsidRPr="000E4AFD">
          <w:rPr>
            <w:rStyle w:val="Hyperlink"/>
            <w:noProof/>
          </w:rPr>
          <w:t>Measures implemented by Member States</w:t>
        </w:r>
        <w:r>
          <w:rPr>
            <w:noProof/>
            <w:webHidden/>
          </w:rPr>
          <w:tab/>
        </w:r>
        <w:r>
          <w:rPr>
            <w:noProof/>
            <w:webHidden/>
          </w:rPr>
          <w:fldChar w:fldCharType="begin"/>
        </w:r>
        <w:r>
          <w:rPr>
            <w:noProof/>
            <w:webHidden/>
          </w:rPr>
          <w:instrText xml:space="preserve"> PAGEREF _Toc387396918 \h </w:instrText>
        </w:r>
        <w:r>
          <w:rPr>
            <w:noProof/>
            <w:webHidden/>
          </w:rPr>
        </w:r>
        <w:r>
          <w:rPr>
            <w:noProof/>
            <w:webHidden/>
          </w:rPr>
          <w:fldChar w:fldCharType="separate"/>
        </w:r>
        <w:r>
          <w:rPr>
            <w:noProof/>
            <w:webHidden/>
          </w:rPr>
          <w:t>20</w:t>
        </w:r>
        <w:r>
          <w:rPr>
            <w:noProof/>
            <w:webHidden/>
          </w:rPr>
          <w:fldChar w:fldCharType="end"/>
        </w:r>
      </w:hyperlink>
    </w:p>
    <w:p w:rsidR="00791588" w:rsidRDefault="00791588">
      <w:pPr>
        <w:pStyle w:val="TOC3"/>
        <w:tabs>
          <w:tab w:val="right" w:leader="dot" w:pos="9061"/>
        </w:tabs>
        <w:rPr>
          <w:rFonts w:asciiTheme="minorHAnsi" w:eastAsiaTheme="minorEastAsia" w:hAnsiTheme="minorHAnsi" w:cstheme="minorBidi"/>
          <w:i w:val="0"/>
          <w:iCs w:val="0"/>
          <w:noProof/>
          <w:sz w:val="22"/>
          <w:szCs w:val="22"/>
          <w:lang w:eastAsia="en-GB"/>
        </w:rPr>
      </w:pPr>
      <w:hyperlink w:anchor="_Toc387396919" w:history="1">
        <w:r w:rsidRPr="000E4AFD">
          <w:rPr>
            <w:rStyle w:val="Hyperlink"/>
            <w:noProof/>
          </w:rPr>
          <w:t>Belgium</w:t>
        </w:r>
        <w:r>
          <w:rPr>
            <w:noProof/>
            <w:webHidden/>
          </w:rPr>
          <w:tab/>
        </w:r>
        <w:r>
          <w:rPr>
            <w:noProof/>
            <w:webHidden/>
          </w:rPr>
          <w:fldChar w:fldCharType="begin"/>
        </w:r>
        <w:r>
          <w:rPr>
            <w:noProof/>
            <w:webHidden/>
          </w:rPr>
          <w:instrText xml:space="preserve"> PAGEREF _Toc387396919 \h </w:instrText>
        </w:r>
        <w:r>
          <w:rPr>
            <w:noProof/>
            <w:webHidden/>
          </w:rPr>
        </w:r>
        <w:r>
          <w:rPr>
            <w:noProof/>
            <w:webHidden/>
          </w:rPr>
          <w:fldChar w:fldCharType="separate"/>
        </w:r>
        <w:r>
          <w:rPr>
            <w:noProof/>
            <w:webHidden/>
          </w:rPr>
          <w:t>20</w:t>
        </w:r>
        <w:r>
          <w:rPr>
            <w:noProof/>
            <w:webHidden/>
          </w:rPr>
          <w:fldChar w:fldCharType="end"/>
        </w:r>
      </w:hyperlink>
    </w:p>
    <w:p w:rsidR="00791588" w:rsidRDefault="00791588">
      <w:pPr>
        <w:pStyle w:val="TOC3"/>
        <w:tabs>
          <w:tab w:val="right" w:leader="dot" w:pos="9061"/>
        </w:tabs>
        <w:rPr>
          <w:rFonts w:asciiTheme="minorHAnsi" w:eastAsiaTheme="minorEastAsia" w:hAnsiTheme="minorHAnsi" w:cstheme="minorBidi"/>
          <w:i w:val="0"/>
          <w:iCs w:val="0"/>
          <w:noProof/>
          <w:sz w:val="22"/>
          <w:szCs w:val="22"/>
          <w:lang w:eastAsia="en-GB"/>
        </w:rPr>
      </w:pPr>
      <w:hyperlink w:anchor="_Toc387396920" w:history="1">
        <w:r w:rsidRPr="000E4AFD">
          <w:rPr>
            <w:rStyle w:val="Hyperlink"/>
            <w:noProof/>
          </w:rPr>
          <w:t>Latvia</w:t>
        </w:r>
        <w:r>
          <w:rPr>
            <w:noProof/>
            <w:webHidden/>
          </w:rPr>
          <w:tab/>
        </w:r>
        <w:r>
          <w:rPr>
            <w:noProof/>
            <w:webHidden/>
          </w:rPr>
          <w:fldChar w:fldCharType="begin"/>
        </w:r>
        <w:r>
          <w:rPr>
            <w:noProof/>
            <w:webHidden/>
          </w:rPr>
          <w:instrText xml:space="preserve"> PAGEREF _Toc387396920 \h </w:instrText>
        </w:r>
        <w:r>
          <w:rPr>
            <w:noProof/>
            <w:webHidden/>
          </w:rPr>
        </w:r>
        <w:r>
          <w:rPr>
            <w:noProof/>
            <w:webHidden/>
          </w:rPr>
          <w:fldChar w:fldCharType="separate"/>
        </w:r>
        <w:r>
          <w:rPr>
            <w:noProof/>
            <w:webHidden/>
          </w:rPr>
          <w:t>22</w:t>
        </w:r>
        <w:r>
          <w:rPr>
            <w:noProof/>
            <w:webHidden/>
          </w:rPr>
          <w:fldChar w:fldCharType="end"/>
        </w:r>
      </w:hyperlink>
    </w:p>
    <w:p w:rsidR="00791588" w:rsidRDefault="00791588">
      <w:pPr>
        <w:pStyle w:val="TOC3"/>
        <w:tabs>
          <w:tab w:val="right" w:leader="dot" w:pos="9061"/>
        </w:tabs>
        <w:rPr>
          <w:rFonts w:asciiTheme="minorHAnsi" w:eastAsiaTheme="minorEastAsia" w:hAnsiTheme="minorHAnsi" w:cstheme="minorBidi"/>
          <w:i w:val="0"/>
          <w:iCs w:val="0"/>
          <w:noProof/>
          <w:sz w:val="22"/>
          <w:szCs w:val="22"/>
          <w:lang w:eastAsia="en-GB"/>
        </w:rPr>
      </w:pPr>
      <w:hyperlink w:anchor="_Toc387396921" w:history="1">
        <w:r w:rsidRPr="000E4AFD">
          <w:rPr>
            <w:rStyle w:val="Hyperlink"/>
            <w:noProof/>
          </w:rPr>
          <w:t>Poland</w:t>
        </w:r>
        <w:r>
          <w:rPr>
            <w:noProof/>
            <w:webHidden/>
          </w:rPr>
          <w:tab/>
        </w:r>
        <w:r>
          <w:rPr>
            <w:noProof/>
            <w:webHidden/>
          </w:rPr>
          <w:fldChar w:fldCharType="begin"/>
        </w:r>
        <w:r>
          <w:rPr>
            <w:noProof/>
            <w:webHidden/>
          </w:rPr>
          <w:instrText xml:space="preserve"> PAGEREF _Toc387396921 \h </w:instrText>
        </w:r>
        <w:r>
          <w:rPr>
            <w:noProof/>
            <w:webHidden/>
          </w:rPr>
        </w:r>
        <w:r>
          <w:rPr>
            <w:noProof/>
            <w:webHidden/>
          </w:rPr>
          <w:fldChar w:fldCharType="separate"/>
        </w:r>
        <w:r>
          <w:rPr>
            <w:noProof/>
            <w:webHidden/>
          </w:rPr>
          <w:t>24</w:t>
        </w:r>
        <w:r>
          <w:rPr>
            <w:noProof/>
            <w:webHidden/>
          </w:rPr>
          <w:fldChar w:fldCharType="end"/>
        </w:r>
      </w:hyperlink>
    </w:p>
    <w:p w:rsidR="00791588" w:rsidRDefault="00791588">
      <w:pPr>
        <w:pStyle w:val="TOC1"/>
        <w:tabs>
          <w:tab w:val="left" w:pos="420"/>
          <w:tab w:val="right" w:leader="dot" w:pos="9061"/>
        </w:tabs>
        <w:rPr>
          <w:rFonts w:asciiTheme="minorHAnsi" w:eastAsiaTheme="minorEastAsia" w:hAnsiTheme="minorHAnsi" w:cstheme="minorBidi"/>
          <w:b w:val="0"/>
          <w:bCs w:val="0"/>
          <w:caps w:val="0"/>
          <w:noProof/>
          <w:sz w:val="22"/>
          <w:szCs w:val="22"/>
          <w:lang w:eastAsia="en-GB"/>
        </w:rPr>
      </w:pPr>
      <w:hyperlink w:anchor="_Toc387396922" w:history="1">
        <w:r w:rsidRPr="000E4AFD">
          <w:rPr>
            <w:rStyle w:val="Hyperlink"/>
            <w:noProof/>
          </w:rPr>
          <w:t>2.</w:t>
        </w:r>
        <w:r>
          <w:rPr>
            <w:rFonts w:asciiTheme="minorHAnsi" w:eastAsiaTheme="minorEastAsia" w:hAnsiTheme="minorHAnsi" w:cstheme="minorBidi"/>
            <w:b w:val="0"/>
            <w:bCs w:val="0"/>
            <w:caps w:val="0"/>
            <w:noProof/>
            <w:sz w:val="22"/>
            <w:szCs w:val="22"/>
            <w:lang w:eastAsia="en-GB"/>
          </w:rPr>
          <w:tab/>
        </w:r>
        <w:r w:rsidRPr="000E4AFD">
          <w:rPr>
            <w:rStyle w:val="Hyperlink"/>
            <w:noProof/>
          </w:rPr>
          <w:t>Existing situation in partner countries</w:t>
        </w:r>
        <w:r>
          <w:rPr>
            <w:noProof/>
            <w:webHidden/>
          </w:rPr>
          <w:tab/>
        </w:r>
        <w:r>
          <w:rPr>
            <w:noProof/>
            <w:webHidden/>
          </w:rPr>
          <w:fldChar w:fldCharType="begin"/>
        </w:r>
        <w:r>
          <w:rPr>
            <w:noProof/>
            <w:webHidden/>
          </w:rPr>
          <w:instrText xml:space="preserve"> PAGEREF _Toc387396922 \h </w:instrText>
        </w:r>
        <w:r>
          <w:rPr>
            <w:noProof/>
            <w:webHidden/>
          </w:rPr>
        </w:r>
        <w:r>
          <w:rPr>
            <w:noProof/>
            <w:webHidden/>
          </w:rPr>
          <w:fldChar w:fldCharType="separate"/>
        </w:r>
        <w:r>
          <w:rPr>
            <w:noProof/>
            <w:webHidden/>
          </w:rPr>
          <w:t>27</w:t>
        </w:r>
        <w:r>
          <w:rPr>
            <w:noProof/>
            <w:webHidden/>
          </w:rPr>
          <w:fldChar w:fldCharType="end"/>
        </w:r>
      </w:hyperlink>
    </w:p>
    <w:p w:rsidR="00791588" w:rsidRDefault="00791588">
      <w:pPr>
        <w:pStyle w:val="TOC2"/>
        <w:tabs>
          <w:tab w:val="left" w:pos="840"/>
          <w:tab w:val="right" w:leader="dot" w:pos="9061"/>
        </w:tabs>
        <w:rPr>
          <w:rFonts w:asciiTheme="minorHAnsi" w:eastAsiaTheme="minorEastAsia" w:hAnsiTheme="minorHAnsi" w:cstheme="minorBidi"/>
          <w:smallCaps w:val="0"/>
          <w:noProof/>
          <w:sz w:val="22"/>
          <w:szCs w:val="22"/>
          <w:lang w:eastAsia="en-GB"/>
        </w:rPr>
      </w:pPr>
      <w:hyperlink w:anchor="_Toc387396923" w:history="1">
        <w:r w:rsidRPr="000E4AFD">
          <w:rPr>
            <w:rStyle w:val="Hyperlink"/>
            <w:noProof/>
          </w:rPr>
          <w:t>2.1.</w:t>
        </w:r>
        <w:r>
          <w:rPr>
            <w:rFonts w:asciiTheme="minorHAnsi" w:eastAsiaTheme="minorEastAsia" w:hAnsiTheme="minorHAnsi" w:cstheme="minorBidi"/>
            <w:smallCaps w:val="0"/>
            <w:noProof/>
            <w:sz w:val="22"/>
            <w:szCs w:val="22"/>
            <w:lang w:eastAsia="en-GB"/>
          </w:rPr>
          <w:tab/>
        </w:r>
        <w:r w:rsidRPr="000E4AFD">
          <w:rPr>
            <w:rStyle w:val="Hyperlink"/>
            <w:noProof/>
          </w:rPr>
          <w:t>Introduction</w:t>
        </w:r>
        <w:r>
          <w:rPr>
            <w:noProof/>
            <w:webHidden/>
          </w:rPr>
          <w:tab/>
        </w:r>
        <w:r>
          <w:rPr>
            <w:noProof/>
            <w:webHidden/>
          </w:rPr>
          <w:fldChar w:fldCharType="begin"/>
        </w:r>
        <w:r>
          <w:rPr>
            <w:noProof/>
            <w:webHidden/>
          </w:rPr>
          <w:instrText xml:space="preserve"> PAGEREF _Toc387396923 \h </w:instrText>
        </w:r>
        <w:r>
          <w:rPr>
            <w:noProof/>
            <w:webHidden/>
          </w:rPr>
        </w:r>
        <w:r>
          <w:rPr>
            <w:noProof/>
            <w:webHidden/>
          </w:rPr>
          <w:fldChar w:fldCharType="separate"/>
        </w:r>
        <w:r>
          <w:rPr>
            <w:noProof/>
            <w:webHidden/>
          </w:rPr>
          <w:t>27</w:t>
        </w:r>
        <w:r>
          <w:rPr>
            <w:noProof/>
            <w:webHidden/>
          </w:rPr>
          <w:fldChar w:fldCharType="end"/>
        </w:r>
      </w:hyperlink>
    </w:p>
    <w:p w:rsidR="00791588" w:rsidRDefault="00791588">
      <w:pPr>
        <w:pStyle w:val="TOC2"/>
        <w:tabs>
          <w:tab w:val="left" w:pos="840"/>
          <w:tab w:val="right" w:leader="dot" w:pos="9061"/>
        </w:tabs>
        <w:rPr>
          <w:rFonts w:asciiTheme="minorHAnsi" w:eastAsiaTheme="minorEastAsia" w:hAnsiTheme="minorHAnsi" w:cstheme="minorBidi"/>
          <w:smallCaps w:val="0"/>
          <w:noProof/>
          <w:sz w:val="22"/>
          <w:szCs w:val="22"/>
          <w:lang w:eastAsia="en-GB"/>
        </w:rPr>
      </w:pPr>
      <w:hyperlink w:anchor="_Toc387396924" w:history="1">
        <w:r w:rsidRPr="000E4AFD">
          <w:rPr>
            <w:rStyle w:val="Hyperlink"/>
            <w:noProof/>
          </w:rPr>
          <w:t>2.2.</w:t>
        </w:r>
        <w:r>
          <w:rPr>
            <w:rFonts w:asciiTheme="minorHAnsi" w:eastAsiaTheme="minorEastAsia" w:hAnsiTheme="minorHAnsi" w:cstheme="minorBidi"/>
            <w:smallCaps w:val="0"/>
            <w:noProof/>
            <w:sz w:val="22"/>
            <w:szCs w:val="22"/>
            <w:lang w:eastAsia="en-GB"/>
          </w:rPr>
          <w:tab/>
        </w:r>
        <w:r w:rsidRPr="000E4AFD">
          <w:rPr>
            <w:rStyle w:val="Hyperlink"/>
            <w:noProof/>
          </w:rPr>
          <w:t>Armenia</w:t>
        </w:r>
        <w:r>
          <w:rPr>
            <w:noProof/>
            <w:webHidden/>
          </w:rPr>
          <w:tab/>
        </w:r>
        <w:r>
          <w:rPr>
            <w:noProof/>
            <w:webHidden/>
          </w:rPr>
          <w:fldChar w:fldCharType="begin"/>
        </w:r>
        <w:r>
          <w:rPr>
            <w:noProof/>
            <w:webHidden/>
          </w:rPr>
          <w:instrText xml:space="preserve"> PAGEREF _Toc387396924 \h </w:instrText>
        </w:r>
        <w:r>
          <w:rPr>
            <w:noProof/>
            <w:webHidden/>
          </w:rPr>
        </w:r>
        <w:r>
          <w:rPr>
            <w:noProof/>
            <w:webHidden/>
          </w:rPr>
          <w:fldChar w:fldCharType="separate"/>
        </w:r>
        <w:r>
          <w:rPr>
            <w:noProof/>
            <w:webHidden/>
          </w:rPr>
          <w:t>27</w:t>
        </w:r>
        <w:r>
          <w:rPr>
            <w:noProof/>
            <w:webHidden/>
          </w:rPr>
          <w:fldChar w:fldCharType="end"/>
        </w:r>
      </w:hyperlink>
    </w:p>
    <w:p w:rsidR="00791588" w:rsidRDefault="00791588">
      <w:pPr>
        <w:pStyle w:val="TOC2"/>
        <w:tabs>
          <w:tab w:val="left" w:pos="840"/>
          <w:tab w:val="right" w:leader="dot" w:pos="9061"/>
        </w:tabs>
        <w:rPr>
          <w:rFonts w:asciiTheme="minorHAnsi" w:eastAsiaTheme="minorEastAsia" w:hAnsiTheme="minorHAnsi" w:cstheme="minorBidi"/>
          <w:smallCaps w:val="0"/>
          <w:noProof/>
          <w:sz w:val="22"/>
          <w:szCs w:val="22"/>
          <w:lang w:eastAsia="en-GB"/>
        </w:rPr>
      </w:pPr>
      <w:hyperlink w:anchor="_Toc387396925" w:history="1">
        <w:r w:rsidRPr="000E4AFD">
          <w:rPr>
            <w:rStyle w:val="Hyperlink"/>
            <w:noProof/>
          </w:rPr>
          <w:t>2.3.</w:t>
        </w:r>
        <w:r>
          <w:rPr>
            <w:rFonts w:asciiTheme="minorHAnsi" w:eastAsiaTheme="minorEastAsia" w:hAnsiTheme="minorHAnsi" w:cstheme="minorBidi"/>
            <w:smallCaps w:val="0"/>
            <w:noProof/>
            <w:sz w:val="22"/>
            <w:szCs w:val="22"/>
            <w:lang w:eastAsia="en-GB"/>
          </w:rPr>
          <w:tab/>
        </w:r>
        <w:r w:rsidRPr="000E4AFD">
          <w:rPr>
            <w:rStyle w:val="Hyperlink"/>
            <w:noProof/>
          </w:rPr>
          <w:t>Azerbaijan</w:t>
        </w:r>
        <w:r>
          <w:rPr>
            <w:noProof/>
            <w:webHidden/>
          </w:rPr>
          <w:tab/>
        </w:r>
        <w:r>
          <w:rPr>
            <w:noProof/>
            <w:webHidden/>
          </w:rPr>
          <w:fldChar w:fldCharType="begin"/>
        </w:r>
        <w:r>
          <w:rPr>
            <w:noProof/>
            <w:webHidden/>
          </w:rPr>
          <w:instrText xml:space="preserve"> PAGEREF _Toc387396925 \h </w:instrText>
        </w:r>
        <w:r>
          <w:rPr>
            <w:noProof/>
            <w:webHidden/>
          </w:rPr>
        </w:r>
        <w:r>
          <w:rPr>
            <w:noProof/>
            <w:webHidden/>
          </w:rPr>
          <w:fldChar w:fldCharType="separate"/>
        </w:r>
        <w:r>
          <w:rPr>
            <w:noProof/>
            <w:webHidden/>
          </w:rPr>
          <w:t>29</w:t>
        </w:r>
        <w:r>
          <w:rPr>
            <w:noProof/>
            <w:webHidden/>
          </w:rPr>
          <w:fldChar w:fldCharType="end"/>
        </w:r>
      </w:hyperlink>
    </w:p>
    <w:p w:rsidR="00791588" w:rsidRDefault="00791588">
      <w:pPr>
        <w:pStyle w:val="TOC2"/>
        <w:tabs>
          <w:tab w:val="left" w:pos="840"/>
          <w:tab w:val="right" w:leader="dot" w:pos="9061"/>
        </w:tabs>
        <w:rPr>
          <w:rFonts w:asciiTheme="minorHAnsi" w:eastAsiaTheme="minorEastAsia" w:hAnsiTheme="minorHAnsi" w:cstheme="minorBidi"/>
          <w:smallCaps w:val="0"/>
          <w:noProof/>
          <w:sz w:val="22"/>
          <w:szCs w:val="22"/>
          <w:lang w:eastAsia="en-GB"/>
        </w:rPr>
      </w:pPr>
      <w:hyperlink w:anchor="_Toc387396926" w:history="1">
        <w:r w:rsidRPr="000E4AFD">
          <w:rPr>
            <w:rStyle w:val="Hyperlink"/>
            <w:noProof/>
          </w:rPr>
          <w:t>2.4.</w:t>
        </w:r>
        <w:r>
          <w:rPr>
            <w:rFonts w:asciiTheme="minorHAnsi" w:eastAsiaTheme="minorEastAsia" w:hAnsiTheme="minorHAnsi" w:cstheme="minorBidi"/>
            <w:smallCaps w:val="0"/>
            <w:noProof/>
            <w:sz w:val="22"/>
            <w:szCs w:val="22"/>
            <w:lang w:eastAsia="en-GB"/>
          </w:rPr>
          <w:tab/>
        </w:r>
        <w:r w:rsidRPr="000E4AFD">
          <w:rPr>
            <w:rStyle w:val="Hyperlink"/>
            <w:noProof/>
          </w:rPr>
          <w:t>Belarus</w:t>
        </w:r>
        <w:r>
          <w:rPr>
            <w:noProof/>
            <w:webHidden/>
          </w:rPr>
          <w:tab/>
        </w:r>
        <w:r>
          <w:rPr>
            <w:noProof/>
            <w:webHidden/>
          </w:rPr>
          <w:fldChar w:fldCharType="begin"/>
        </w:r>
        <w:r>
          <w:rPr>
            <w:noProof/>
            <w:webHidden/>
          </w:rPr>
          <w:instrText xml:space="preserve"> PAGEREF _Toc387396926 \h </w:instrText>
        </w:r>
        <w:r>
          <w:rPr>
            <w:noProof/>
            <w:webHidden/>
          </w:rPr>
        </w:r>
        <w:r>
          <w:rPr>
            <w:noProof/>
            <w:webHidden/>
          </w:rPr>
          <w:fldChar w:fldCharType="separate"/>
        </w:r>
        <w:r>
          <w:rPr>
            <w:noProof/>
            <w:webHidden/>
          </w:rPr>
          <w:t>31</w:t>
        </w:r>
        <w:r>
          <w:rPr>
            <w:noProof/>
            <w:webHidden/>
          </w:rPr>
          <w:fldChar w:fldCharType="end"/>
        </w:r>
      </w:hyperlink>
    </w:p>
    <w:p w:rsidR="00791588" w:rsidRDefault="00791588">
      <w:pPr>
        <w:pStyle w:val="TOC2"/>
        <w:tabs>
          <w:tab w:val="left" w:pos="840"/>
          <w:tab w:val="right" w:leader="dot" w:pos="9061"/>
        </w:tabs>
        <w:rPr>
          <w:rFonts w:asciiTheme="minorHAnsi" w:eastAsiaTheme="minorEastAsia" w:hAnsiTheme="minorHAnsi" w:cstheme="minorBidi"/>
          <w:smallCaps w:val="0"/>
          <w:noProof/>
          <w:sz w:val="22"/>
          <w:szCs w:val="22"/>
          <w:lang w:eastAsia="en-GB"/>
        </w:rPr>
      </w:pPr>
      <w:hyperlink w:anchor="_Toc387396927" w:history="1">
        <w:r w:rsidRPr="000E4AFD">
          <w:rPr>
            <w:rStyle w:val="Hyperlink"/>
            <w:noProof/>
          </w:rPr>
          <w:t>2.5.</w:t>
        </w:r>
        <w:r>
          <w:rPr>
            <w:rFonts w:asciiTheme="minorHAnsi" w:eastAsiaTheme="minorEastAsia" w:hAnsiTheme="minorHAnsi" w:cstheme="minorBidi"/>
            <w:smallCaps w:val="0"/>
            <w:noProof/>
            <w:sz w:val="22"/>
            <w:szCs w:val="22"/>
            <w:lang w:eastAsia="en-GB"/>
          </w:rPr>
          <w:tab/>
        </w:r>
        <w:r w:rsidRPr="000E4AFD">
          <w:rPr>
            <w:rStyle w:val="Hyperlink"/>
            <w:noProof/>
          </w:rPr>
          <w:t>Georgia</w:t>
        </w:r>
        <w:r>
          <w:rPr>
            <w:noProof/>
            <w:webHidden/>
          </w:rPr>
          <w:tab/>
        </w:r>
        <w:r>
          <w:rPr>
            <w:noProof/>
            <w:webHidden/>
          </w:rPr>
          <w:fldChar w:fldCharType="begin"/>
        </w:r>
        <w:r>
          <w:rPr>
            <w:noProof/>
            <w:webHidden/>
          </w:rPr>
          <w:instrText xml:space="preserve"> PAGEREF _Toc387396927 \h </w:instrText>
        </w:r>
        <w:r>
          <w:rPr>
            <w:noProof/>
            <w:webHidden/>
          </w:rPr>
        </w:r>
        <w:r>
          <w:rPr>
            <w:noProof/>
            <w:webHidden/>
          </w:rPr>
          <w:fldChar w:fldCharType="separate"/>
        </w:r>
        <w:r>
          <w:rPr>
            <w:noProof/>
            <w:webHidden/>
          </w:rPr>
          <w:t>34</w:t>
        </w:r>
        <w:r>
          <w:rPr>
            <w:noProof/>
            <w:webHidden/>
          </w:rPr>
          <w:fldChar w:fldCharType="end"/>
        </w:r>
      </w:hyperlink>
    </w:p>
    <w:p w:rsidR="00791588" w:rsidRDefault="00791588">
      <w:pPr>
        <w:pStyle w:val="TOC2"/>
        <w:tabs>
          <w:tab w:val="left" w:pos="840"/>
          <w:tab w:val="right" w:leader="dot" w:pos="9061"/>
        </w:tabs>
        <w:rPr>
          <w:rFonts w:asciiTheme="minorHAnsi" w:eastAsiaTheme="minorEastAsia" w:hAnsiTheme="minorHAnsi" w:cstheme="minorBidi"/>
          <w:smallCaps w:val="0"/>
          <w:noProof/>
          <w:sz w:val="22"/>
          <w:szCs w:val="22"/>
          <w:lang w:eastAsia="en-GB"/>
        </w:rPr>
      </w:pPr>
      <w:hyperlink w:anchor="_Toc387396928" w:history="1">
        <w:r w:rsidRPr="000E4AFD">
          <w:rPr>
            <w:rStyle w:val="Hyperlink"/>
            <w:noProof/>
          </w:rPr>
          <w:t>2.6.</w:t>
        </w:r>
        <w:r>
          <w:rPr>
            <w:rFonts w:asciiTheme="minorHAnsi" w:eastAsiaTheme="minorEastAsia" w:hAnsiTheme="minorHAnsi" w:cstheme="minorBidi"/>
            <w:smallCaps w:val="0"/>
            <w:noProof/>
            <w:sz w:val="22"/>
            <w:szCs w:val="22"/>
            <w:lang w:eastAsia="en-GB"/>
          </w:rPr>
          <w:tab/>
        </w:r>
        <w:r w:rsidRPr="000E4AFD">
          <w:rPr>
            <w:rStyle w:val="Hyperlink"/>
            <w:noProof/>
          </w:rPr>
          <w:t>Moldova</w:t>
        </w:r>
        <w:r>
          <w:rPr>
            <w:noProof/>
            <w:webHidden/>
          </w:rPr>
          <w:tab/>
        </w:r>
        <w:r>
          <w:rPr>
            <w:noProof/>
            <w:webHidden/>
          </w:rPr>
          <w:fldChar w:fldCharType="begin"/>
        </w:r>
        <w:r>
          <w:rPr>
            <w:noProof/>
            <w:webHidden/>
          </w:rPr>
          <w:instrText xml:space="preserve"> PAGEREF _Toc387396928 \h </w:instrText>
        </w:r>
        <w:r>
          <w:rPr>
            <w:noProof/>
            <w:webHidden/>
          </w:rPr>
        </w:r>
        <w:r>
          <w:rPr>
            <w:noProof/>
            <w:webHidden/>
          </w:rPr>
          <w:fldChar w:fldCharType="separate"/>
        </w:r>
        <w:r>
          <w:rPr>
            <w:noProof/>
            <w:webHidden/>
          </w:rPr>
          <w:t>36</w:t>
        </w:r>
        <w:r>
          <w:rPr>
            <w:noProof/>
            <w:webHidden/>
          </w:rPr>
          <w:fldChar w:fldCharType="end"/>
        </w:r>
      </w:hyperlink>
    </w:p>
    <w:p w:rsidR="00791588" w:rsidRDefault="00791588">
      <w:pPr>
        <w:pStyle w:val="TOC2"/>
        <w:tabs>
          <w:tab w:val="left" w:pos="840"/>
          <w:tab w:val="right" w:leader="dot" w:pos="9061"/>
        </w:tabs>
        <w:rPr>
          <w:rFonts w:asciiTheme="minorHAnsi" w:eastAsiaTheme="minorEastAsia" w:hAnsiTheme="minorHAnsi" w:cstheme="minorBidi"/>
          <w:smallCaps w:val="0"/>
          <w:noProof/>
          <w:sz w:val="22"/>
          <w:szCs w:val="22"/>
          <w:lang w:eastAsia="en-GB"/>
        </w:rPr>
      </w:pPr>
      <w:hyperlink w:anchor="_Toc387396929" w:history="1">
        <w:r w:rsidRPr="000E4AFD">
          <w:rPr>
            <w:rStyle w:val="Hyperlink"/>
            <w:noProof/>
          </w:rPr>
          <w:t>2.7.</w:t>
        </w:r>
        <w:r>
          <w:rPr>
            <w:rFonts w:asciiTheme="minorHAnsi" w:eastAsiaTheme="minorEastAsia" w:hAnsiTheme="minorHAnsi" w:cstheme="minorBidi"/>
            <w:smallCaps w:val="0"/>
            <w:noProof/>
            <w:sz w:val="22"/>
            <w:szCs w:val="22"/>
            <w:lang w:eastAsia="en-GB"/>
          </w:rPr>
          <w:tab/>
        </w:r>
        <w:r w:rsidRPr="000E4AFD">
          <w:rPr>
            <w:rStyle w:val="Hyperlink"/>
            <w:noProof/>
          </w:rPr>
          <w:t>Russian Federation</w:t>
        </w:r>
        <w:r>
          <w:rPr>
            <w:noProof/>
            <w:webHidden/>
          </w:rPr>
          <w:tab/>
        </w:r>
        <w:r>
          <w:rPr>
            <w:noProof/>
            <w:webHidden/>
          </w:rPr>
          <w:fldChar w:fldCharType="begin"/>
        </w:r>
        <w:r>
          <w:rPr>
            <w:noProof/>
            <w:webHidden/>
          </w:rPr>
          <w:instrText xml:space="preserve"> PAGEREF _Toc387396929 \h </w:instrText>
        </w:r>
        <w:r>
          <w:rPr>
            <w:noProof/>
            <w:webHidden/>
          </w:rPr>
        </w:r>
        <w:r>
          <w:rPr>
            <w:noProof/>
            <w:webHidden/>
          </w:rPr>
          <w:fldChar w:fldCharType="separate"/>
        </w:r>
        <w:r>
          <w:rPr>
            <w:noProof/>
            <w:webHidden/>
          </w:rPr>
          <w:t>38</w:t>
        </w:r>
        <w:r>
          <w:rPr>
            <w:noProof/>
            <w:webHidden/>
          </w:rPr>
          <w:fldChar w:fldCharType="end"/>
        </w:r>
      </w:hyperlink>
    </w:p>
    <w:p w:rsidR="00791588" w:rsidRDefault="00791588">
      <w:pPr>
        <w:pStyle w:val="TOC2"/>
        <w:tabs>
          <w:tab w:val="left" w:pos="840"/>
          <w:tab w:val="right" w:leader="dot" w:pos="9061"/>
        </w:tabs>
        <w:rPr>
          <w:rFonts w:asciiTheme="minorHAnsi" w:eastAsiaTheme="minorEastAsia" w:hAnsiTheme="minorHAnsi" w:cstheme="minorBidi"/>
          <w:smallCaps w:val="0"/>
          <w:noProof/>
          <w:sz w:val="22"/>
          <w:szCs w:val="22"/>
          <w:lang w:eastAsia="en-GB"/>
        </w:rPr>
      </w:pPr>
      <w:hyperlink w:anchor="_Toc387396930" w:history="1">
        <w:r w:rsidRPr="000E4AFD">
          <w:rPr>
            <w:rStyle w:val="Hyperlink"/>
            <w:noProof/>
          </w:rPr>
          <w:t>2.8.</w:t>
        </w:r>
        <w:r>
          <w:rPr>
            <w:rFonts w:asciiTheme="minorHAnsi" w:eastAsiaTheme="minorEastAsia" w:hAnsiTheme="minorHAnsi" w:cstheme="minorBidi"/>
            <w:smallCaps w:val="0"/>
            <w:noProof/>
            <w:sz w:val="22"/>
            <w:szCs w:val="22"/>
            <w:lang w:eastAsia="en-GB"/>
          </w:rPr>
          <w:tab/>
        </w:r>
        <w:r w:rsidRPr="000E4AFD">
          <w:rPr>
            <w:rStyle w:val="Hyperlink"/>
            <w:noProof/>
          </w:rPr>
          <w:t>Ukraine</w:t>
        </w:r>
        <w:r>
          <w:rPr>
            <w:noProof/>
            <w:webHidden/>
          </w:rPr>
          <w:tab/>
        </w:r>
        <w:r>
          <w:rPr>
            <w:noProof/>
            <w:webHidden/>
          </w:rPr>
          <w:fldChar w:fldCharType="begin"/>
        </w:r>
        <w:r>
          <w:rPr>
            <w:noProof/>
            <w:webHidden/>
          </w:rPr>
          <w:instrText xml:space="preserve"> PAGEREF _Toc387396930 \h </w:instrText>
        </w:r>
        <w:r>
          <w:rPr>
            <w:noProof/>
            <w:webHidden/>
          </w:rPr>
        </w:r>
        <w:r>
          <w:rPr>
            <w:noProof/>
            <w:webHidden/>
          </w:rPr>
          <w:fldChar w:fldCharType="separate"/>
        </w:r>
        <w:r>
          <w:rPr>
            <w:noProof/>
            <w:webHidden/>
          </w:rPr>
          <w:t>43</w:t>
        </w:r>
        <w:r>
          <w:rPr>
            <w:noProof/>
            <w:webHidden/>
          </w:rPr>
          <w:fldChar w:fldCharType="end"/>
        </w:r>
      </w:hyperlink>
    </w:p>
    <w:p w:rsidR="00791588" w:rsidRDefault="00791588">
      <w:pPr>
        <w:pStyle w:val="TOC1"/>
        <w:tabs>
          <w:tab w:val="left" w:pos="420"/>
          <w:tab w:val="right" w:leader="dot" w:pos="9061"/>
        </w:tabs>
        <w:rPr>
          <w:rFonts w:asciiTheme="minorHAnsi" w:eastAsiaTheme="minorEastAsia" w:hAnsiTheme="minorHAnsi" w:cstheme="minorBidi"/>
          <w:b w:val="0"/>
          <w:bCs w:val="0"/>
          <w:caps w:val="0"/>
          <w:noProof/>
          <w:sz w:val="22"/>
          <w:szCs w:val="22"/>
          <w:lang w:eastAsia="en-GB"/>
        </w:rPr>
      </w:pPr>
      <w:hyperlink w:anchor="_Toc387396931" w:history="1">
        <w:r w:rsidRPr="000E4AFD">
          <w:rPr>
            <w:rStyle w:val="Hyperlink"/>
            <w:noProof/>
          </w:rPr>
          <w:t>3.</w:t>
        </w:r>
        <w:r>
          <w:rPr>
            <w:rFonts w:asciiTheme="minorHAnsi" w:eastAsiaTheme="minorEastAsia" w:hAnsiTheme="minorHAnsi" w:cstheme="minorBidi"/>
            <w:b w:val="0"/>
            <w:bCs w:val="0"/>
            <w:caps w:val="0"/>
            <w:noProof/>
            <w:sz w:val="22"/>
            <w:szCs w:val="22"/>
            <w:lang w:eastAsia="en-GB"/>
          </w:rPr>
          <w:tab/>
        </w:r>
        <w:r w:rsidRPr="000E4AFD">
          <w:rPr>
            <w:rStyle w:val="Hyperlink"/>
            <w:noProof/>
          </w:rPr>
          <w:t>Available tools and instruments</w:t>
        </w:r>
        <w:r>
          <w:rPr>
            <w:noProof/>
            <w:webHidden/>
          </w:rPr>
          <w:tab/>
        </w:r>
        <w:r>
          <w:rPr>
            <w:noProof/>
            <w:webHidden/>
          </w:rPr>
          <w:fldChar w:fldCharType="begin"/>
        </w:r>
        <w:r>
          <w:rPr>
            <w:noProof/>
            <w:webHidden/>
          </w:rPr>
          <w:instrText xml:space="preserve"> PAGEREF _Toc387396931 \h </w:instrText>
        </w:r>
        <w:r>
          <w:rPr>
            <w:noProof/>
            <w:webHidden/>
          </w:rPr>
        </w:r>
        <w:r>
          <w:rPr>
            <w:noProof/>
            <w:webHidden/>
          </w:rPr>
          <w:fldChar w:fldCharType="separate"/>
        </w:r>
        <w:r>
          <w:rPr>
            <w:noProof/>
            <w:webHidden/>
          </w:rPr>
          <w:t>47</w:t>
        </w:r>
        <w:r>
          <w:rPr>
            <w:noProof/>
            <w:webHidden/>
          </w:rPr>
          <w:fldChar w:fldCharType="end"/>
        </w:r>
      </w:hyperlink>
    </w:p>
    <w:p w:rsidR="00791588" w:rsidRDefault="00791588">
      <w:pPr>
        <w:pStyle w:val="TOC2"/>
        <w:tabs>
          <w:tab w:val="left" w:pos="840"/>
          <w:tab w:val="right" w:leader="dot" w:pos="9061"/>
        </w:tabs>
        <w:rPr>
          <w:rFonts w:asciiTheme="minorHAnsi" w:eastAsiaTheme="minorEastAsia" w:hAnsiTheme="minorHAnsi" w:cstheme="minorBidi"/>
          <w:smallCaps w:val="0"/>
          <w:noProof/>
          <w:sz w:val="22"/>
          <w:szCs w:val="22"/>
          <w:lang w:eastAsia="en-GB"/>
        </w:rPr>
      </w:pPr>
      <w:hyperlink w:anchor="_Toc387396932" w:history="1">
        <w:r w:rsidRPr="000E4AFD">
          <w:rPr>
            <w:rStyle w:val="Hyperlink"/>
            <w:noProof/>
          </w:rPr>
          <w:t>3.1.</w:t>
        </w:r>
        <w:r>
          <w:rPr>
            <w:rFonts w:asciiTheme="minorHAnsi" w:eastAsiaTheme="minorEastAsia" w:hAnsiTheme="minorHAnsi" w:cstheme="minorBidi"/>
            <w:smallCaps w:val="0"/>
            <w:noProof/>
            <w:sz w:val="22"/>
            <w:szCs w:val="22"/>
            <w:lang w:eastAsia="en-GB"/>
          </w:rPr>
          <w:tab/>
        </w:r>
        <w:r w:rsidRPr="000E4AFD">
          <w:rPr>
            <w:rStyle w:val="Hyperlink"/>
            <w:noProof/>
          </w:rPr>
          <w:t>Introduction</w:t>
        </w:r>
        <w:r>
          <w:rPr>
            <w:noProof/>
            <w:webHidden/>
          </w:rPr>
          <w:tab/>
        </w:r>
        <w:r>
          <w:rPr>
            <w:noProof/>
            <w:webHidden/>
          </w:rPr>
          <w:fldChar w:fldCharType="begin"/>
        </w:r>
        <w:r>
          <w:rPr>
            <w:noProof/>
            <w:webHidden/>
          </w:rPr>
          <w:instrText xml:space="preserve"> PAGEREF _Toc387396932 \h </w:instrText>
        </w:r>
        <w:r>
          <w:rPr>
            <w:noProof/>
            <w:webHidden/>
          </w:rPr>
        </w:r>
        <w:r>
          <w:rPr>
            <w:noProof/>
            <w:webHidden/>
          </w:rPr>
          <w:fldChar w:fldCharType="separate"/>
        </w:r>
        <w:r>
          <w:rPr>
            <w:noProof/>
            <w:webHidden/>
          </w:rPr>
          <w:t>47</w:t>
        </w:r>
        <w:r>
          <w:rPr>
            <w:noProof/>
            <w:webHidden/>
          </w:rPr>
          <w:fldChar w:fldCharType="end"/>
        </w:r>
      </w:hyperlink>
    </w:p>
    <w:p w:rsidR="00791588" w:rsidRDefault="00791588">
      <w:pPr>
        <w:pStyle w:val="TOC2"/>
        <w:tabs>
          <w:tab w:val="left" w:pos="840"/>
          <w:tab w:val="right" w:leader="dot" w:pos="9061"/>
        </w:tabs>
        <w:rPr>
          <w:rFonts w:asciiTheme="minorHAnsi" w:eastAsiaTheme="minorEastAsia" w:hAnsiTheme="minorHAnsi" w:cstheme="minorBidi"/>
          <w:smallCaps w:val="0"/>
          <w:noProof/>
          <w:sz w:val="22"/>
          <w:szCs w:val="22"/>
          <w:lang w:eastAsia="en-GB"/>
        </w:rPr>
      </w:pPr>
      <w:hyperlink w:anchor="_Toc387396933" w:history="1">
        <w:r w:rsidRPr="000E4AFD">
          <w:rPr>
            <w:rStyle w:val="Hyperlink"/>
            <w:noProof/>
          </w:rPr>
          <w:t>3.2.</w:t>
        </w:r>
        <w:r>
          <w:rPr>
            <w:rFonts w:asciiTheme="minorHAnsi" w:eastAsiaTheme="minorEastAsia" w:hAnsiTheme="minorHAnsi" w:cstheme="minorBidi"/>
            <w:smallCaps w:val="0"/>
            <w:noProof/>
            <w:sz w:val="22"/>
            <w:szCs w:val="22"/>
            <w:lang w:eastAsia="en-GB"/>
          </w:rPr>
          <w:tab/>
        </w:r>
        <w:r w:rsidRPr="000E4AFD">
          <w:rPr>
            <w:rStyle w:val="Hyperlink"/>
            <w:noProof/>
          </w:rPr>
          <w:t>Tools and instruments available to business target groups</w:t>
        </w:r>
        <w:r>
          <w:rPr>
            <w:noProof/>
            <w:webHidden/>
          </w:rPr>
          <w:tab/>
        </w:r>
        <w:r>
          <w:rPr>
            <w:noProof/>
            <w:webHidden/>
          </w:rPr>
          <w:fldChar w:fldCharType="begin"/>
        </w:r>
        <w:r>
          <w:rPr>
            <w:noProof/>
            <w:webHidden/>
          </w:rPr>
          <w:instrText xml:space="preserve"> PAGEREF _Toc387396933 \h </w:instrText>
        </w:r>
        <w:r>
          <w:rPr>
            <w:noProof/>
            <w:webHidden/>
          </w:rPr>
        </w:r>
        <w:r>
          <w:rPr>
            <w:noProof/>
            <w:webHidden/>
          </w:rPr>
          <w:fldChar w:fldCharType="separate"/>
        </w:r>
        <w:r>
          <w:rPr>
            <w:noProof/>
            <w:webHidden/>
          </w:rPr>
          <w:t>47</w:t>
        </w:r>
        <w:r>
          <w:rPr>
            <w:noProof/>
            <w:webHidden/>
          </w:rPr>
          <w:fldChar w:fldCharType="end"/>
        </w:r>
      </w:hyperlink>
    </w:p>
    <w:p w:rsidR="00791588" w:rsidRDefault="00791588">
      <w:pPr>
        <w:pStyle w:val="TOC2"/>
        <w:tabs>
          <w:tab w:val="left" w:pos="840"/>
          <w:tab w:val="right" w:leader="dot" w:pos="9061"/>
        </w:tabs>
        <w:rPr>
          <w:rFonts w:asciiTheme="minorHAnsi" w:eastAsiaTheme="minorEastAsia" w:hAnsiTheme="minorHAnsi" w:cstheme="minorBidi"/>
          <w:smallCaps w:val="0"/>
          <w:noProof/>
          <w:sz w:val="22"/>
          <w:szCs w:val="22"/>
          <w:lang w:eastAsia="en-GB"/>
        </w:rPr>
      </w:pPr>
      <w:hyperlink w:anchor="_Toc387396934" w:history="1">
        <w:r w:rsidRPr="000E4AFD">
          <w:rPr>
            <w:rStyle w:val="Hyperlink"/>
            <w:noProof/>
          </w:rPr>
          <w:t>3.3.</w:t>
        </w:r>
        <w:r>
          <w:rPr>
            <w:rFonts w:asciiTheme="minorHAnsi" w:eastAsiaTheme="minorEastAsia" w:hAnsiTheme="minorHAnsi" w:cstheme="minorBidi"/>
            <w:smallCaps w:val="0"/>
            <w:noProof/>
            <w:sz w:val="22"/>
            <w:szCs w:val="22"/>
            <w:lang w:eastAsia="en-GB"/>
          </w:rPr>
          <w:tab/>
        </w:r>
        <w:r w:rsidRPr="000E4AFD">
          <w:rPr>
            <w:rStyle w:val="Hyperlink"/>
            <w:noProof/>
          </w:rPr>
          <w:t>Tools and instruments available to individuals</w:t>
        </w:r>
        <w:r>
          <w:rPr>
            <w:noProof/>
            <w:webHidden/>
          </w:rPr>
          <w:tab/>
        </w:r>
        <w:r>
          <w:rPr>
            <w:noProof/>
            <w:webHidden/>
          </w:rPr>
          <w:fldChar w:fldCharType="begin"/>
        </w:r>
        <w:r>
          <w:rPr>
            <w:noProof/>
            <w:webHidden/>
          </w:rPr>
          <w:instrText xml:space="preserve"> PAGEREF _Toc387396934 \h </w:instrText>
        </w:r>
        <w:r>
          <w:rPr>
            <w:noProof/>
            <w:webHidden/>
          </w:rPr>
        </w:r>
        <w:r>
          <w:rPr>
            <w:noProof/>
            <w:webHidden/>
          </w:rPr>
          <w:fldChar w:fldCharType="separate"/>
        </w:r>
        <w:r>
          <w:rPr>
            <w:noProof/>
            <w:webHidden/>
          </w:rPr>
          <w:t>53</w:t>
        </w:r>
        <w:r>
          <w:rPr>
            <w:noProof/>
            <w:webHidden/>
          </w:rPr>
          <w:fldChar w:fldCharType="end"/>
        </w:r>
      </w:hyperlink>
    </w:p>
    <w:p w:rsidR="00791588" w:rsidRDefault="00791588">
      <w:pPr>
        <w:pStyle w:val="TOC1"/>
        <w:tabs>
          <w:tab w:val="left" w:pos="420"/>
          <w:tab w:val="right" w:leader="dot" w:pos="9061"/>
        </w:tabs>
        <w:rPr>
          <w:rFonts w:asciiTheme="minorHAnsi" w:eastAsiaTheme="minorEastAsia" w:hAnsiTheme="minorHAnsi" w:cstheme="minorBidi"/>
          <w:b w:val="0"/>
          <w:bCs w:val="0"/>
          <w:caps w:val="0"/>
          <w:noProof/>
          <w:sz w:val="22"/>
          <w:szCs w:val="22"/>
          <w:lang w:eastAsia="en-GB"/>
        </w:rPr>
      </w:pPr>
      <w:hyperlink w:anchor="_Toc387396935" w:history="1">
        <w:r w:rsidRPr="000E4AFD">
          <w:rPr>
            <w:rStyle w:val="Hyperlink"/>
            <w:noProof/>
          </w:rPr>
          <w:t>4.</w:t>
        </w:r>
        <w:r>
          <w:rPr>
            <w:rFonts w:asciiTheme="minorHAnsi" w:eastAsiaTheme="minorEastAsia" w:hAnsiTheme="minorHAnsi" w:cstheme="minorBidi"/>
            <w:b w:val="0"/>
            <w:bCs w:val="0"/>
            <w:caps w:val="0"/>
            <w:noProof/>
            <w:sz w:val="22"/>
            <w:szCs w:val="22"/>
            <w:lang w:eastAsia="en-GB"/>
          </w:rPr>
          <w:tab/>
        </w:r>
        <w:r w:rsidRPr="000E4AFD">
          <w:rPr>
            <w:rStyle w:val="Hyperlink"/>
            <w:noProof/>
          </w:rPr>
          <w:t>Recommendations on appropriate incentive tools</w:t>
        </w:r>
        <w:r>
          <w:rPr>
            <w:noProof/>
            <w:webHidden/>
          </w:rPr>
          <w:tab/>
        </w:r>
        <w:r>
          <w:rPr>
            <w:noProof/>
            <w:webHidden/>
          </w:rPr>
          <w:fldChar w:fldCharType="begin"/>
        </w:r>
        <w:r>
          <w:rPr>
            <w:noProof/>
            <w:webHidden/>
          </w:rPr>
          <w:instrText xml:space="preserve"> PAGEREF _Toc387396935 \h </w:instrText>
        </w:r>
        <w:r>
          <w:rPr>
            <w:noProof/>
            <w:webHidden/>
          </w:rPr>
        </w:r>
        <w:r>
          <w:rPr>
            <w:noProof/>
            <w:webHidden/>
          </w:rPr>
          <w:fldChar w:fldCharType="separate"/>
        </w:r>
        <w:r>
          <w:rPr>
            <w:noProof/>
            <w:webHidden/>
          </w:rPr>
          <w:t>56</w:t>
        </w:r>
        <w:r>
          <w:rPr>
            <w:noProof/>
            <w:webHidden/>
          </w:rPr>
          <w:fldChar w:fldCharType="end"/>
        </w:r>
      </w:hyperlink>
    </w:p>
    <w:p w:rsidR="00791588" w:rsidRDefault="00791588">
      <w:pPr>
        <w:pStyle w:val="TOC2"/>
        <w:tabs>
          <w:tab w:val="left" w:pos="840"/>
          <w:tab w:val="right" w:leader="dot" w:pos="9061"/>
        </w:tabs>
        <w:rPr>
          <w:rFonts w:asciiTheme="minorHAnsi" w:eastAsiaTheme="minorEastAsia" w:hAnsiTheme="minorHAnsi" w:cstheme="minorBidi"/>
          <w:smallCaps w:val="0"/>
          <w:noProof/>
          <w:sz w:val="22"/>
          <w:szCs w:val="22"/>
          <w:lang w:eastAsia="en-GB"/>
        </w:rPr>
      </w:pPr>
      <w:hyperlink w:anchor="_Toc387396936" w:history="1">
        <w:r w:rsidRPr="000E4AFD">
          <w:rPr>
            <w:rStyle w:val="Hyperlink"/>
            <w:noProof/>
          </w:rPr>
          <w:t>4.1.</w:t>
        </w:r>
        <w:r>
          <w:rPr>
            <w:rFonts w:asciiTheme="minorHAnsi" w:eastAsiaTheme="minorEastAsia" w:hAnsiTheme="minorHAnsi" w:cstheme="minorBidi"/>
            <w:smallCaps w:val="0"/>
            <w:noProof/>
            <w:sz w:val="22"/>
            <w:szCs w:val="22"/>
            <w:lang w:eastAsia="en-GB"/>
          </w:rPr>
          <w:tab/>
        </w:r>
        <w:r w:rsidRPr="000E4AFD">
          <w:rPr>
            <w:rStyle w:val="Hyperlink"/>
            <w:noProof/>
          </w:rPr>
          <w:t>Introduction</w:t>
        </w:r>
        <w:r>
          <w:rPr>
            <w:noProof/>
            <w:webHidden/>
          </w:rPr>
          <w:tab/>
        </w:r>
        <w:r>
          <w:rPr>
            <w:noProof/>
            <w:webHidden/>
          </w:rPr>
          <w:fldChar w:fldCharType="begin"/>
        </w:r>
        <w:r>
          <w:rPr>
            <w:noProof/>
            <w:webHidden/>
          </w:rPr>
          <w:instrText xml:space="preserve"> PAGEREF _Toc387396936 \h </w:instrText>
        </w:r>
        <w:r>
          <w:rPr>
            <w:noProof/>
            <w:webHidden/>
          </w:rPr>
        </w:r>
        <w:r>
          <w:rPr>
            <w:noProof/>
            <w:webHidden/>
          </w:rPr>
          <w:fldChar w:fldCharType="separate"/>
        </w:r>
        <w:r>
          <w:rPr>
            <w:noProof/>
            <w:webHidden/>
          </w:rPr>
          <w:t>56</w:t>
        </w:r>
        <w:r>
          <w:rPr>
            <w:noProof/>
            <w:webHidden/>
          </w:rPr>
          <w:fldChar w:fldCharType="end"/>
        </w:r>
      </w:hyperlink>
    </w:p>
    <w:p w:rsidR="00791588" w:rsidRDefault="00791588">
      <w:pPr>
        <w:pStyle w:val="TOC2"/>
        <w:tabs>
          <w:tab w:val="left" w:pos="840"/>
          <w:tab w:val="right" w:leader="dot" w:pos="9061"/>
        </w:tabs>
        <w:rPr>
          <w:rFonts w:asciiTheme="minorHAnsi" w:eastAsiaTheme="minorEastAsia" w:hAnsiTheme="minorHAnsi" w:cstheme="minorBidi"/>
          <w:smallCaps w:val="0"/>
          <w:noProof/>
          <w:sz w:val="22"/>
          <w:szCs w:val="22"/>
          <w:lang w:eastAsia="en-GB"/>
        </w:rPr>
      </w:pPr>
      <w:hyperlink w:anchor="_Toc387396937" w:history="1">
        <w:r w:rsidRPr="000E4AFD">
          <w:rPr>
            <w:rStyle w:val="Hyperlink"/>
            <w:noProof/>
          </w:rPr>
          <w:t>4.2.</w:t>
        </w:r>
        <w:r>
          <w:rPr>
            <w:rFonts w:asciiTheme="minorHAnsi" w:eastAsiaTheme="minorEastAsia" w:hAnsiTheme="minorHAnsi" w:cstheme="minorBidi"/>
            <w:smallCaps w:val="0"/>
            <w:noProof/>
            <w:sz w:val="22"/>
            <w:szCs w:val="22"/>
            <w:lang w:eastAsia="en-GB"/>
          </w:rPr>
          <w:tab/>
        </w:r>
        <w:r w:rsidRPr="000E4AFD">
          <w:rPr>
            <w:rStyle w:val="Hyperlink"/>
            <w:noProof/>
          </w:rPr>
          <w:t>Recommendations</w:t>
        </w:r>
        <w:r>
          <w:rPr>
            <w:noProof/>
            <w:webHidden/>
          </w:rPr>
          <w:tab/>
        </w:r>
        <w:r>
          <w:rPr>
            <w:noProof/>
            <w:webHidden/>
          </w:rPr>
          <w:fldChar w:fldCharType="begin"/>
        </w:r>
        <w:r>
          <w:rPr>
            <w:noProof/>
            <w:webHidden/>
          </w:rPr>
          <w:instrText xml:space="preserve"> PAGEREF _Toc387396937 \h </w:instrText>
        </w:r>
        <w:r>
          <w:rPr>
            <w:noProof/>
            <w:webHidden/>
          </w:rPr>
        </w:r>
        <w:r>
          <w:rPr>
            <w:noProof/>
            <w:webHidden/>
          </w:rPr>
          <w:fldChar w:fldCharType="separate"/>
        </w:r>
        <w:r>
          <w:rPr>
            <w:noProof/>
            <w:webHidden/>
          </w:rPr>
          <w:t>56</w:t>
        </w:r>
        <w:r>
          <w:rPr>
            <w:noProof/>
            <w:webHidden/>
          </w:rPr>
          <w:fldChar w:fldCharType="end"/>
        </w:r>
      </w:hyperlink>
    </w:p>
    <w:p w:rsidR="00791588" w:rsidRDefault="00791588">
      <w:pPr>
        <w:pStyle w:val="TOC3"/>
        <w:tabs>
          <w:tab w:val="right" w:leader="dot" w:pos="9061"/>
        </w:tabs>
        <w:rPr>
          <w:rFonts w:asciiTheme="minorHAnsi" w:eastAsiaTheme="minorEastAsia" w:hAnsiTheme="minorHAnsi" w:cstheme="minorBidi"/>
          <w:i w:val="0"/>
          <w:iCs w:val="0"/>
          <w:noProof/>
          <w:sz w:val="22"/>
          <w:szCs w:val="22"/>
          <w:lang w:eastAsia="en-GB"/>
        </w:rPr>
      </w:pPr>
      <w:hyperlink w:anchor="_Toc387396938" w:history="1">
        <w:r w:rsidRPr="000E4AFD">
          <w:rPr>
            <w:rStyle w:val="Hyperlink"/>
            <w:noProof/>
          </w:rPr>
          <w:t>Business target group</w:t>
        </w:r>
        <w:r>
          <w:rPr>
            <w:noProof/>
            <w:webHidden/>
          </w:rPr>
          <w:tab/>
        </w:r>
        <w:r>
          <w:rPr>
            <w:noProof/>
            <w:webHidden/>
          </w:rPr>
          <w:fldChar w:fldCharType="begin"/>
        </w:r>
        <w:r>
          <w:rPr>
            <w:noProof/>
            <w:webHidden/>
          </w:rPr>
          <w:instrText xml:space="preserve"> PAGEREF _Toc387396938 \h </w:instrText>
        </w:r>
        <w:r>
          <w:rPr>
            <w:noProof/>
            <w:webHidden/>
          </w:rPr>
        </w:r>
        <w:r>
          <w:rPr>
            <w:noProof/>
            <w:webHidden/>
          </w:rPr>
          <w:fldChar w:fldCharType="separate"/>
        </w:r>
        <w:r>
          <w:rPr>
            <w:noProof/>
            <w:webHidden/>
          </w:rPr>
          <w:t>56</w:t>
        </w:r>
        <w:r>
          <w:rPr>
            <w:noProof/>
            <w:webHidden/>
          </w:rPr>
          <w:fldChar w:fldCharType="end"/>
        </w:r>
      </w:hyperlink>
    </w:p>
    <w:p w:rsidR="00791588" w:rsidRDefault="00791588">
      <w:pPr>
        <w:pStyle w:val="TOC3"/>
        <w:tabs>
          <w:tab w:val="right" w:leader="dot" w:pos="9061"/>
        </w:tabs>
        <w:rPr>
          <w:rFonts w:asciiTheme="minorHAnsi" w:eastAsiaTheme="minorEastAsia" w:hAnsiTheme="minorHAnsi" w:cstheme="minorBidi"/>
          <w:i w:val="0"/>
          <w:iCs w:val="0"/>
          <w:noProof/>
          <w:sz w:val="22"/>
          <w:szCs w:val="22"/>
          <w:lang w:eastAsia="en-GB"/>
        </w:rPr>
      </w:pPr>
      <w:hyperlink w:anchor="_Toc387396939" w:history="1">
        <w:r w:rsidRPr="000E4AFD">
          <w:rPr>
            <w:rStyle w:val="Hyperlink"/>
            <w:noProof/>
          </w:rPr>
          <w:t>Individual target group</w:t>
        </w:r>
        <w:r>
          <w:rPr>
            <w:noProof/>
            <w:webHidden/>
          </w:rPr>
          <w:tab/>
        </w:r>
        <w:r>
          <w:rPr>
            <w:noProof/>
            <w:webHidden/>
          </w:rPr>
          <w:fldChar w:fldCharType="begin"/>
        </w:r>
        <w:r>
          <w:rPr>
            <w:noProof/>
            <w:webHidden/>
          </w:rPr>
          <w:instrText xml:space="preserve"> PAGEREF _Toc387396939 \h </w:instrText>
        </w:r>
        <w:r>
          <w:rPr>
            <w:noProof/>
            <w:webHidden/>
          </w:rPr>
        </w:r>
        <w:r>
          <w:rPr>
            <w:noProof/>
            <w:webHidden/>
          </w:rPr>
          <w:fldChar w:fldCharType="separate"/>
        </w:r>
        <w:r>
          <w:rPr>
            <w:noProof/>
            <w:webHidden/>
          </w:rPr>
          <w:t>73</w:t>
        </w:r>
        <w:r>
          <w:rPr>
            <w:noProof/>
            <w:webHidden/>
          </w:rPr>
          <w:fldChar w:fldCharType="end"/>
        </w:r>
      </w:hyperlink>
    </w:p>
    <w:p w:rsidR="00791588" w:rsidRDefault="00791588">
      <w:pPr>
        <w:pStyle w:val="TOC1"/>
        <w:tabs>
          <w:tab w:val="right" w:leader="dot" w:pos="9061"/>
        </w:tabs>
        <w:rPr>
          <w:rFonts w:asciiTheme="minorHAnsi" w:eastAsiaTheme="minorEastAsia" w:hAnsiTheme="minorHAnsi" w:cstheme="minorBidi"/>
          <w:b w:val="0"/>
          <w:bCs w:val="0"/>
          <w:caps w:val="0"/>
          <w:noProof/>
          <w:sz w:val="22"/>
          <w:szCs w:val="22"/>
          <w:lang w:eastAsia="en-GB"/>
        </w:rPr>
      </w:pPr>
      <w:hyperlink w:anchor="_Toc387396940" w:history="1">
        <w:r w:rsidRPr="000E4AFD">
          <w:rPr>
            <w:rStyle w:val="Hyperlink"/>
            <w:noProof/>
            <w:lang w:val="lv-LV"/>
          </w:rPr>
          <w:t>Sources</w:t>
        </w:r>
        <w:r>
          <w:rPr>
            <w:noProof/>
            <w:webHidden/>
          </w:rPr>
          <w:tab/>
        </w:r>
        <w:r>
          <w:rPr>
            <w:noProof/>
            <w:webHidden/>
          </w:rPr>
          <w:fldChar w:fldCharType="begin"/>
        </w:r>
        <w:r>
          <w:rPr>
            <w:noProof/>
            <w:webHidden/>
          </w:rPr>
          <w:instrText xml:space="preserve"> PAGEREF _Toc387396940 \h </w:instrText>
        </w:r>
        <w:r>
          <w:rPr>
            <w:noProof/>
            <w:webHidden/>
          </w:rPr>
        </w:r>
        <w:r>
          <w:rPr>
            <w:noProof/>
            <w:webHidden/>
          </w:rPr>
          <w:fldChar w:fldCharType="separate"/>
        </w:r>
        <w:r>
          <w:rPr>
            <w:noProof/>
            <w:webHidden/>
          </w:rPr>
          <w:t>80</w:t>
        </w:r>
        <w:r>
          <w:rPr>
            <w:noProof/>
            <w:webHidden/>
          </w:rPr>
          <w:fldChar w:fldCharType="end"/>
        </w:r>
      </w:hyperlink>
    </w:p>
    <w:p w:rsidR="00791588" w:rsidRDefault="00791588">
      <w:pPr>
        <w:pStyle w:val="TOC1"/>
        <w:tabs>
          <w:tab w:val="right" w:leader="dot" w:pos="9061"/>
        </w:tabs>
        <w:rPr>
          <w:rFonts w:asciiTheme="minorHAnsi" w:eastAsiaTheme="minorEastAsia" w:hAnsiTheme="minorHAnsi" w:cstheme="minorBidi"/>
          <w:b w:val="0"/>
          <w:bCs w:val="0"/>
          <w:caps w:val="0"/>
          <w:noProof/>
          <w:sz w:val="22"/>
          <w:szCs w:val="22"/>
          <w:lang w:eastAsia="en-GB"/>
        </w:rPr>
      </w:pPr>
      <w:hyperlink w:anchor="_Toc387396941" w:history="1">
        <w:r w:rsidRPr="000E4AFD">
          <w:rPr>
            <w:rStyle w:val="Hyperlink"/>
            <w:noProof/>
          </w:rPr>
          <w:t>Annex I – Sample questionnaire in English</w:t>
        </w:r>
        <w:r>
          <w:rPr>
            <w:noProof/>
            <w:webHidden/>
          </w:rPr>
          <w:tab/>
        </w:r>
        <w:r>
          <w:rPr>
            <w:noProof/>
            <w:webHidden/>
          </w:rPr>
          <w:fldChar w:fldCharType="begin"/>
        </w:r>
        <w:r>
          <w:rPr>
            <w:noProof/>
            <w:webHidden/>
          </w:rPr>
          <w:instrText xml:space="preserve"> PAGEREF _Toc387396941 \h </w:instrText>
        </w:r>
        <w:r>
          <w:rPr>
            <w:noProof/>
            <w:webHidden/>
          </w:rPr>
        </w:r>
        <w:r>
          <w:rPr>
            <w:noProof/>
            <w:webHidden/>
          </w:rPr>
          <w:fldChar w:fldCharType="separate"/>
        </w:r>
        <w:r>
          <w:rPr>
            <w:noProof/>
            <w:webHidden/>
          </w:rPr>
          <w:t>85</w:t>
        </w:r>
        <w:r>
          <w:rPr>
            <w:noProof/>
            <w:webHidden/>
          </w:rPr>
          <w:fldChar w:fldCharType="end"/>
        </w:r>
      </w:hyperlink>
    </w:p>
    <w:p w:rsidR="00791588" w:rsidRDefault="00791588">
      <w:pPr>
        <w:pStyle w:val="TOC1"/>
        <w:tabs>
          <w:tab w:val="right" w:leader="dot" w:pos="9061"/>
        </w:tabs>
        <w:rPr>
          <w:rFonts w:asciiTheme="minorHAnsi" w:eastAsiaTheme="minorEastAsia" w:hAnsiTheme="minorHAnsi" w:cstheme="minorBidi"/>
          <w:b w:val="0"/>
          <w:bCs w:val="0"/>
          <w:caps w:val="0"/>
          <w:noProof/>
          <w:sz w:val="22"/>
          <w:szCs w:val="22"/>
          <w:lang w:eastAsia="en-GB"/>
        </w:rPr>
      </w:pPr>
      <w:hyperlink w:anchor="_Toc387396942" w:history="1">
        <w:r w:rsidRPr="000E4AFD">
          <w:rPr>
            <w:rStyle w:val="Hyperlink"/>
            <w:noProof/>
          </w:rPr>
          <w:t>Annex 2 -</w:t>
        </w:r>
        <w:r w:rsidRPr="000E4AFD">
          <w:rPr>
            <w:rStyle w:val="Hyperlink"/>
            <w:noProof/>
            <w:lang w:val="lv-LV"/>
          </w:rPr>
          <w:t xml:space="preserve"> WB, GEF and EBRD country strategies</w:t>
        </w:r>
        <w:r>
          <w:rPr>
            <w:noProof/>
            <w:webHidden/>
          </w:rPr>
          <w:tab/>
        </w:r>
        <w:r>
          <w:rPr>
            <w:noProof/>
            <w:webHidden/>
          </w:rPr>
          <w:fldChar w:fldCharType="begin"/>
        </w:r>
        <w:r>
          <w:rPr>
            <w:noProof/>
            <w:webHidden/>
          </w:rPr>
          <w:instrText xml:space="preserve"> PAGEREF _Toc387396942 \h </w:instrText>
        </w:r>
        <w:r>
          <w:rPr>
            <w:noProof/>
            <w:webHidden/>
          </w:rPr>
        </w:r>
        <w:r>
          <w:rPr>
            <w:noProof/>
            <w:webHidden/>
          </w:rPr>
          <w:fldChar w:fldCharType="separate"/>
        </w:r>
        <w:r>
          <w:rPr>
            <w:noProof/>
            <w:webHidden/>
          </w:rPr>
          <w:t>90</w:t>
        </w:r>
        <w:r>
          <w:rPr>
            <w:noProof/>
            <w:webHidden/>
          </w:rPr>
          <w:fldChar w:fldCharType="end"/>
        </w:r>
      </w:hyperlink>
    </w:p>
    <w:p w:rsidR="001346FF" w:rsidRDefault="00640F16">
      <w:r w:rsidRPr="00A83DAB">
        <w:rPr>
          <w:rFonts w:cs="Arial"/>
          <w:b/>
          <w:bCs/>
          <w:noProof/>
        </w:rPr>
        <w:fldChar w:fldCharType="end"/>
      </w:r>
    </w:p>
    <w:p w:rsidR="00586356" w:rsidRDefault="008D403D" w:rsidP="00C77CB9">
      <w:pPr>
        <w:pStyle w:val="Heading1"/>
        <w:numPr>
          <w:ilvl w:val="0"/>
          <w:numId w:val="0"/>
        </w:numPr>
        <w:ind w:left="425" w:hanging="425"/>
      </w:pPr>
      <w:r w:rsidRPr="001346FF">
        <w:br w:type="page"/>
      </w:r>
      <w:bookmarkStart w:id="10" w:name="_Toc153598580"/>
      <w:bookmarkStart w:id="11" w:name="_Toc162595435"/>
      <w:bookmarkEnd w:id="6"/>
      <w:bookmarkEnd w:id="7"/>
      <w:bookmarkEnd w:id="8"/>
    </w:p>
    <w:p w:rsidR="00C77CB9" w:rsidRPr="00C77CB9" w:rsidRDefault="00C77CB9" w:rsidP="00C77CB9">
      <w:pPr>
        <w:pStyle w:val="Heading1"/>
        <w:numPr>
          <w:ilvl w:val="0"/>
          <w:numId w:val="0"/>
        </w:numPr>
        <w:ind w:left="425" w:hanging="425"/>
      </w:pPr>
      <w:bookmarkStart w:id="12" w:name="_Toc387396911"/>
      <w:r w:rsidRPr="00C77CB9">
        <w:lastRenderedPageBreak/>
        <w:t>Abbreviations</w:t>
      </w:r>
      <w:bookmarkEnd w:id="12"/>
    </w:p>
    <w:tbl>
      <w:tblPr>
        <w:tblW w:w="0" w:type="auto"/>
        <w:tblLook w:val="04A0" w:firstRow="1" w:lastRow="0" w:firstColumn="1" w:lastColumn="0" w:noHBand="0" w:noVBand="1"/>
      </w:tblPr>
      <w:tblGrid>
        <w:gridCol w:w="1526"/>
        <w:gridCol w:w="7761"/>
      </w:tblGrid>
      <w:tr w:rsidR="00C77CB9" w:rsidRPr="000B0F42" w:rsidTr="000B0F42">
        <w:trPr>
          <w:trHeight w:hRule="exact" w:val="454"/>
        </w:trPr>
        <w:tc>
          <w:tcPr>
            <w:tcW w:w="1526" w:type="dxa"/>
            <w:shd w:val="clear" w:color="auto" w:fill="auto"/>
          </w:tcPr>
          <w:p w:rsidR="00C77CB9" w:rsidRPr="000B0F42" w:rsidRDefault="00C77CB9" w:rsidP="00586356">
            <w:pPr>
              <w:rPr>
                <w:rFonts w:cs="Arial"/>
              </w:rPr>
            </w:pPr>
            <w:r w:rsidRPr="000B0F42">
              <w:rPr>
                <w:rFonts w:cs="Arial"/>
              </w:rPr>
              <w:t>AAUs</w:t>
            </w:r>
          </w:p>
        </w:tc>
        <w:tc>
          <w:tcPr>
            <w:tcW w:w="7761" w:type="dxa"/>
            <w:shd w:val="clear" w:color="auto" w:fill="auto"/>
          </w:tcPr>
          <w:p w:rsidR="00C77CB9" w:rsidRPr="000B0F42" w:rsidRDefault="00C77CB9" w:rsidP="00586356">
            <w:pPr>
              <w:rPr>
                <w:rFonts w:cs="Arial"/>
              </w:rPr>
            </w:pPr>
            <w:r w:rsidRPr="000B0F42">
              <w:rPr>
                <w:rFonts w:cs="Arial"/>
              </w:rPr>
              <w:t>Assigned amount units in Kyoto Emission Trading mechanism</w:t>
            </w:r>
          </w:p>
        </w:tc>
      </w:tr>
      <w:tr w:rsidR="004E3C2B" w:rsidRPr="000B0F42" w:rsidTr="000B0F42">
        <w:trPr>
          <w:trHeight w:hRule="exact" w:val="454"/>
        </w:trPr>
        <w:tc>
          <w:tcPr>
            <w:tcW w:w="1526" w:type="dxa"/>
            <w:shd w:val="clear" w:color="auto" w:fill="auto"/>
          </w:tcPr>
          <w:p w:rsidR="004E3C2B" w:rsidRPr="000B0F42" w:rsidRDefault="004E3C2B" w:rsidP="00586356">
            <w:pPr>
              <w:rPr>
                <w:rFonts w:cs="Arial"/>
              </w:rPr>
            </w:pPr>
            <w:r w:rsidRPr="000B0F42">
              <w:rPr>
                <w:rFonts w:cs="Arial"/>
              </w:rPr>
              <w:t>BATs</w:t>
            </w:r>
          </w:p>
        </w:tc>
        <w:tc>
          <w:tcPr>
            <w:tcW w:w="7761" w:type="dxa"/>
            <w:shd w:val="clear" w:color="auto" w:fill="auto"/>
          </w:tcPr>
          <w:p w:rsidR="004E3C2B" w:rsidRPr="000B0F42" w:rsidRDefault="004E3C2B" w:rsidP="00586356">
            <w:pPr>
              <w:rPr>
                <w:rFonts w:cs="Arial"/>
              </w:rPr>
            </w:pPr>
            <w:r w:rsidRPr="000B0F42">
              <w:rPr>
                <w:rFonts w:cs="Arial"/>
              </w:rPr>
              <w:t>Best available technologies</w:t>
            </w:r>
          </w:p>
        </w:tc>
      </w:tr>
      <w:tr w:rsidR="008D2318" w:rsidRPr="000B0F42" w:rsidTr="000B0F42">
        <w:trPr>
          <w:trHeight w:hRule="exact" w:val="454"/>
        </w:trPr>
        <w:tc>
          <w:tcPr>
            <w:tcW w:w="1526" w:type="dxa"/>
            <w:shd w:val="clear" w:color="auto" w:fill="auto"/>
          </w:tcPr>
          <w:p w:rsidR="008D2318" w:rsidRPr="000B0F42" w:rsidRDefault="008D2318" w:rsidP="00586356">
            <w:pPr>
              <w:rPr>
                <w:rFonts w:cs="Arial"/>
              </w:rPr>
            </w:pPr>
            <w:r w:rsidRPr="000B0F42">
              <w:rPr>
                <w:rFonts w:cs="Arial"/>
              </w:rPr>
              <w:t>BREFs</w:t>
            </w:r>
          </w:p>
        </w:tc>
        <w:tc>
          <w:tcPr>
            <w:tcW w:w="7761" w:type="dxa"/>
            <w:shd w:val="clear" w:color="auto" w:fill="auto"/>
          </w:tcPr>
          <w:p w:rsidR="008D2318" w:rsidRPr="000B0F42" w:rsidRDefault="008D2318" w:rsidP="00586356">
            <w:pPr>
              <w:rPr>
                <w:rFonts w:cs="Arial"/>
              </w:rPr>
            </w:pPr>
            <w:r w:rsidRPr="000B0F42">
              <w:rPr>
                <w:rFonts w:cs="Arial"/>
              </w:rPr>
              <w:t>Best Available Techniques reference documents</w:t>
            </w:r>
          </w:p>
        </w:tc>
      </w:tr>
      <w:tr w:rsidR="00936103" w:rsidRPr="000B0F42" w:rsidTr="000B0F42">
        <w:trPr>
          <w:trHeight w:hRule="exact" w:val="454"/>
        </w:trPr>
        <w:tc>
          <w:tcPr>
            <w:tcW w:w="1526" w:type="dxa"/>
            <w:shd w:val="clear" w:color="auto" w:fill="auto"/>
          </w:tcPr>
          <w:p w:rsidR="00936103" w:rsidRPr="000B0F42" w:rsidRDefault="00936103" w:rsidP="00586356">
            <w:pPr>
              <w:rPr>
                <w:rFonts w:cs="Arial"/>
              </w:rPr>
            </w:pPr>
            <w:r w:rsidRPr="000B0F42">
              <w:rPr>
                <w:rFonts w:cs="Arial"/>
              </w:rPr>
              <w:t>CCS</w:t>
            </w:r>
          </w:p>
        </w:tc>
        <w:tc>
          <w:tcPr>
            <w:tcW w:w="7761" w:type="dxa"/>
            <w:shd w:val="clear" w:color="auto" w:fill="auto"/>
          </w:tcPr>
          <w:p w:rsidR="00936103" w:rsidRPr="000B0F42" w:rsidRDefault="00936103" w:rsidP="00586356">
            <w:pPr>
              <w:rPr>
                <w:rFonts w:cs="Arial"/>
              </w:rPr>
            </w:pPr>
            <w:r w:rsidRPr="000B0F42">
              <w:rPr>
                <w:rFonts w:cs="Arial"/>
              </w:rPr>
              <w:t>Carbon capture and storage</w:t>
            </w:r>
          </w:p>
        </w:tc>
      </w:tr>
      <w:tr w:rsidR="00C77CB9" w:rsidRPr="000B0F42" w:rsidTr="000B0F42">
        <w:trPr>
          <w:trHeight w:hRule="exact" w:val="454"/>
        </w:trPr>
        <w:tc>
          <w:tcPr>
            <w:tcW w:w="1526" w:type="dxa"/>
            <w:shd w:val="clear" w:color="auto" w:fill="auto"/>
          </w:tcPr>
          <w:p w:rsidR="00C77CB9" w:rsidRPr="000B0F42" w:rsidRDefault="00C77CB9" w:rsidP="00586356">
            <w:pPr>
              <w:rPr>
                <w:rFonts w:cs="Arial"/>
              </w:rPr>
            </w:pPr>
            <w:r w:rsidRPr="000B0F42">
              <w:rPr>
                <w:rFonts w:cs="Arial"/>
              </w:rPr>
              <w:t>CDM</w:t>
            </w:r>
          </w:p>
        </w:tc>
        <w:tc>
          <w:tcPr>
            <w:tcW w:w="7761" w:type="dxa"/>
            <w:shd w:val="clear" w:color="auto" w:fill="auto"/>
          </w:tcPr>
          <w:p w:rsidR="00C77CB9" w:rsidRPr="000B0F42" w:rsidRDefault="00C77CB9" w:rsidP="00586356">
            <w:pPr>
              <w:rPr>
                <w:rFonts w:cs="Arial"/>
              </w:rPr>
            </w:pPr>
            <w:r w:rsidRPr="000B0F42">
              <w:rPr>
                <w:rFonts w:cs="Arial"/>
              </w:rPr>
              <w:t>Clean Development mechanism</w:t>
            </w:r>
          </w:p>
        </w:tc>
      </w:tr>
      <w:tr w:rsidR="00C77CB9" w:rsidRPr="000B0F42" w:rsidTr="000B0F42">
        <w:trPr>
          <w:trHeight w:hRule="exact" w:val="454"/>
        </w:trPr>
        <w:tc>
          <w:tcPr>
            <w:tcW w:w="1526" w:type="dxa"/>
            <w:shd w:val="clear" w:color="auto" w:fill="auto"/>
          </w:tcPr>
          <w:p w:rsidR="00C77CB9" w:rsidRPr="000B0F42" w:rsidRDefault="00C77CB9" w:rsidP="00586356">
            <w:pPr>
              <w:rPr>
                <w:rFonts w:cs="Arial"/>
              </w:rPr>
            </w:pPr>
            <w:r w:rsidRPr="000B0F42">
              <w:rPr>
                <w:rFonts w:cs="Arial"/>
              </w:rPr>
              <w:t>CER</w:t>
            </w:r>
          </w:p>
        </w:tc>
        <w:tc>
          <w:tcPr>
            <w:tcW w:w="7761" w:type="dxa"/>
            <w:shd w:val="clear" w:color="auto" w:fill="auto"/>
          </w:tcPr>
          <w:p w:rsidR="00C77CB9" w:rsidRPr="000B0F42" w:rsidRDefault="00C77CB9" w:rsidP="00586356">
            <w:pPr>
              <w:rPr>
                <w:rFonts w:cs="Arial"/>
              </w:rPr>
            </w:pPr>
            <w:r w:rsidRPr="000B0F42">
              <w:rPr>
                <w:rFonts w:cs="Arial"/>
              </w:rPr>
              <w:t>Certified emission reduction (credits) under Kyoto Clean Development mechanism</w:t>
            </w:r>
          </w:p>
        </w:tc>
      </w:tr>
      <w:tr w:rsidR="004E3C2B" w:rsidRPr="000B0F42" w:rsidTr="000B0F42">
        <w:trPr>
          <w:trHeight w:hRule="exact" w:val="454"/>
        </w:trPr>
        <w:tc>
          <w:tcPr>
            <w:tcW w:w="1526" w:type="dxa"/>
            <w:shd w:val="clear" w:color="auto" w:fill="auto"/>
          </w:tcPr>
          <w:p w:rsidR="004E3C2B" w:rsidRPr="000B0F42" w:rsidRDefault="004E3C2B" w:rsidP="00586356">
            <w:pPr>
              <w:rPr>
                <w:rFonts w:cs="Arial"/>
              </w:rPr>
            </w:pPr>
            <w:r w:rsidRPr="000B0F42">
              <w:rPr>
                <w:rFonts w:cs="Arial"/>
              </w:rPr>
              <w:t>CJSC</w:t>
            </w:r>
          </w:p>
        </w:tc>
        <w:tc>
          <w:tcPr>
            <w:tcW w:w="7761" w:type="dxa"/>
            <w:shd w:val="clear" w:color="auto" w:fill="auto"/>
          </w:tcPr>
          <w:p w:rsidR="004E3C2B" w:rsidRPr="000B0F42" w:rsidRDefault="005023FD" w:rsidP="00586356">
            <w:pPr>
              <w:rPr>
                <w:rFonts w:cs="Arial"/>
              </w:rPr>
            </w:pPr>
            <w:r w:rsidRPr="000B0F42">
              <w:rPr>
                <w:rFonts w:cs="Arial"/>
              </w:rPr>
              <w:t>Closed Joint Stock C</w:t>
            </w:r>
            <w:r w:rsidR="004E3C2B" w:rsidRPr="000B0F42">
              <w:rPr>
                <w:rFonts w:cs="Arial"/>
              </w:rPr>
              <w:t>ompany</w:t>
            </w:r>
          </w:p>
        </w:tc>
      </w:tr>
      <w:tr w:rsidR="00C77CB9" w:rsidRPr="000B0F42" w:rsidTr="000B0F42">
        <w:trPr>
          <w:trHeight w:hRule="exact" w:val="454"/>
        </w:trPr>
        <w:tc>
          <w:tcPr>
            <w:tcW w:w="1526" w:type="dxa"/>
            <w:shd w:val="clear" w:color="auto" w:fill="auto"/>
          </w:tcPr>
          <w:p w:rsidR="00C77CB9" w:rsidRPr="000B0F42" w:rsidRDefault="00C77CB9" w:rsidP="00586356">
            <w:pPr>
              <w:rPr>
                <w:rFonts w:cs="Arial"/>
              </w:rPr>
            </w:pPr>
            <w:r w:rsidRPr="000B0F42">
              <w:rPr>
                <w:rFonts w:cs="Arial"/>
              </w:rPr>
              <w:t>CO</w:t>
            </w:r>
            <w:r w:rsidRPr="000B0F42">
              <w:rPr>
                <w:rFonts w:cs="Arial"/>
                <w:vertAlign w:val="subscript"/>
              </w:rPr>
              <w:t>2</w:t>
            </w:r>
          </w:p>
        </w:tc>
        <w:tc>
          <w:tcPr>
            <w:tcW w:w="7761" w:type="dxa"/>
            <w:shd w:val="clear" w:color="auto" w:fill="auto"/>
          </w:tcPr>
          <w:p w:rsidR="00C77CB9" w:rsidRPr="000B0F42" w:rsidRDefault="00C77CB9" w:rsidP="00586356">
            <w:pPr>
              <w:rPr>
                <w:rFonts w:cs="Arial"/>
              </w:rPr>
            </w:pPr>
            <w:r w:rsidRPr="000B0F42">
              <w:rPr>
                <w:rFonts w:cs="Arial"/>
              </w:rPr>
              <w:t>Carbon dioxide</w:t>
            </w:r>
          </w:p>
        </w:tc>
      </w:tr>
      <w:tr w:rsidR="00F256C3" w:rsidRPr="000B0F42" w:rsidTr="000B0F42">
        <w:trPr>
          <w:trHeight w:hRule="exact" w:val="454"/>
        </w:trPr>
        <w:tc>
          <w:tcPr>
            <w:tcW w:w="1526" w:type="dxa"/>
            <w:shd w:val="clear" w:color="auto" w:fill="auto"/>
          </w:tcPr>
          <w:p w:rsidR="00F256C3" w:rsidRPr="000B0F42" w:rsidRDefault="00F256C3" w:rsidP="00586356">
            <w:pPr>
              <w:rPr>
                <w:rFonts w:cs="Arial"/>
              </w:rPr>
            </w:pPr>
            <w:r w:rsidRPr="000B0F42">
              <w:rPr>
                <w:rFonts w:cs="Arial"/>
              </w:rPr>
              <w:t>CPS</w:t>
            </w:r>
          </w:p>
        </w:tc>
        <w:tc>
          <w:tcPr>
            <w:tcW w:w="7761" w:type="dxa"/>
            <w:shd w:val="clear" w:color="auto" w:fill="auto"/>
          </w:tcPr>
          <w:p w:rsidR="00F256C3" w:rsidRPr="000B0F42" w:rsidRDefault="00F256C3" w:rsidP="00586356">
            <w:pPr>
              <w:rPr>
                <w:rFonts w:cs="Arial"/>
              </w:rPr>
            </w:pPr>
            <w:r w:rsidRPr="000B0F42">
              <w:rPr>
                <w:rFonts w:cs="Arial"/>
              </w:rPr>
              <w:t>World Bank Group’s Country Partnership Strategy</w:t>
            </w:r>
          </w:p>
        </w:tc>
      </w:tr>
      <w:tr w:rsidR="00F256C3" w:rsidRPr="000B0F42" w:rsidTr="000B0F42">
        <w:trPr>
          <w:trHeight w:hRule="exact" w:val="454"/>
        </w:trPr>
        <w:tc>
          <w:tcPr>
            <w:tcW w:w="1526" w:type="dxa"/>
            <w:shd w:val="clear" w:color="auto" w:fill="auto"/>
          </w:tcPr>
          <w:p w:rsidR="00F256C3" w:rsidRPr="000B0F42" w:rsidRDefault="00F256C3" w:rsidP="00586356">
            <w:pPr>
              <w:rPr>
                <w:rFonts w:cs="Arial"/>
              </w:rPr>
            </w:pPr>
            <w:r w:rsidRPr="000B0F42">
              <w:rPr>
                <w:rFonts w:cs="Arial"/>
              </w:rPr>
              <w:t>CSOs</w:t>
            </w:r>
          </w:p>
        </w:tc>
        <w:tc>
          <w:tcPr>
            <w:tcW w:w="7761" w:type="dxa"/>
            <w:shd w:val="clear" w:color="auto" w:fill="auto"/>
          </w:tcPr>
          <w:p w:rsidR="00F256C3" w:rsidRPr="000B0F42" w:rsidRDefault="00F256C3" w:rsidP="00586356">
            <w:pPr>
              <w:rPr>
                <w:rFonts w:cs="Arial"/>
              </w:rPr>
            </w:pPr>
            <w:r w:rsidRPr="000B0F42">
              <w:rPr>
                <w:rFonts w:cs="Arial"/>
              </w:rPr>
              <w:t>Civil society organizations</w:t>
            </w:r>
          </w:p>
        </w:tc>
      </w:tr>
      <w:tr w:rsidR="00F256C3" w:rsidRPr="000B0F42" w:rsidTr="000B0F42">
        <w:trPr>
          <w:trHeight w:hRule="exact" w:val="454"/>
        </w:trPr>
        <w:tc>
          <w:tcPr>
            <w:tcW w:w="1526" w:type="dxa"/>
            <w:shd w:val="clear" w:color="auto" w:fill="auto"/>
          </w:tcPr>
          <w:p w:rsidR="00F256C3" w:rsidRPr="000B0F42" w:rsidRDefault="00F256C3" w:rsidP="00586356">
            <w:pPr>
              <w:rPr>
                <w:rFonts w:cs="Arial"/>
              </w:rPr>
            </w:pPr>
            <w:r w:rsidRPr="000B0F42">
              <w:rPr>
                <w:rFonts w:cs="Arial"/>
              </w:rPr>
              <w:t>DPO</w:t>
            </w:r>
          </w:p>
        </w:tc>
        <w:tc>
          <w:tcPr>
            <w:tcW w:w="7761" w:type="dxa"/>
            <w:shd w:val="clear" w:color="auto" w:fill="auto"/>
          </w:tcPr>
          <w:p w:rsidR="00F256C3" w:rsidRPr="000B0F42" w:rsidRDefault="00F256C3" w:rsidP="00586356">
            <w:pPr>
              <w:rPr>
                <w:rFonts w:cs="Arial"/>
              </w:rPr>
            </w:pPr>
            <w:r w:rsidRPr="000B0F42">
              <w:rPr>
                <w:rFonts w:cs="Arial"/>
              </w:rPr>
              <w:t>Development Policy Operations</w:t>
            </w:r>
          </w:p>
        </w:tc>
      </w:tr>
      <w:tr w:rsidR="0020318E" w:rsidRPr="000B0F42" w:rsidTr="000B0F42">
        <w:trPr>
          <w:trHeight w:hRule="exact" w:val="454"/>
        </w:trPr>
        <w:tc>
          <w:tcPr>
            <w:tcW w:w="1526" w:type="dxa"/>
            <w:shd w:val="clear" w:color="auto" w:fill="auto"/>
          </w:tcPr>
          <w:p w:rsidR="0020318E" w:rsidRPr="000B0F42" w:rsidRDefault="0020318E" w:rsidP="00586356">
            <w:pPr>
              <w:rPr>
                <w:rFonts w:cs="Arial"/>
              </w:rPr>
            </w:pPr>
            <w:r w:rsidRPr="000B0F42">
              <w:rPr>
                <w:rFonts w:cs="Arial"/>
              </w:rPr>
              <w:t>EBRD</w:t>
            </w:r>
          </w:p>
        </w:tc>
        <w:tc>
          <w:tcPr>
            <w:tcW w:w="7761" w:type="dxa"/>
            <w:shd w:val="clear" w:color="auto" w:fill="auto"/>
          </w:tcPr>
          <w:p w:rsidR="0020318E" w:rsidRPr="000B0F42" w:rsidRDefault="0020318E" w:rsidP="00586356">
            <w:pPr>
              <w:rPr>
                <w:rFonts w:cs="Arial"/>
              </w:rPr>
            </w:pPr>
            <w:r w:rsidRPr="000B0F42">
              <w:rPr>
                <w:rFonts w:cs="Arial"/>
              </w:rPr>
              <w:t>European Bank for Reconstruction and Development</w:t>
            </w:r>
          </w:p>
        </w:tc>
      </w:tr>
      <w:tr w:rsidR="00936103" w:rsidRPr="000B0F42" w:rsidTr="000B0F42">
        <w:trPr>
          <w:trHeight w:hRule="exact" w:val="454"/>
        </w:trPr>
        <w:tc>
          <w:tcPr>
            <w:tcW w:w="1526" w:type="dxa"/>
            <w:shd w:val="clear" w:color="auto" w:fill="auto"/>
          </w:tcPr>
          <w:p w:rsidR="00936103" w:rsidRPr="000B0F42" w:rsidRDefault="00936103" w:rsidP="00586356">
            <w:pPr>
              <w:rPr>
                <w:rFonts w:cs="Arial"/>
              </w:rPr>
            </w:pPr>
            <w:r w:rsidRPr="000B0F42">
              <w:rPr>
                <w:rFonts w:cs="Arial"/>
              </w:rPr>
              <w:t>EC</w:t>
            </w:r>
          </w:p>
        </w:tc>
        <w:tc>
          <w:tcPr>
            <w:tcW w:w="7761" w:type="dxa"/>
            <w:shd w:val="clear" w:color="auto" w:fill="auto"/>
          </w:tcPr>
          <w:p w:rsidR="00936103" w:rsidRPr="000B0F42" w:rsidRDefault="00936103" w:rsidP="00586356">
            <w:pPr>
              <w:rPr>
                <w:rFonts w:cs="Arial"/>
              </w:rPr>
            </w:pPr>
            <w:r w:rsidRPr="000B0F42">
              <w:rPr>
                <w:rFonts w:cs="Arial"/>
              </w:rPr>
              <w:t>European Commissions</w:t>
            </w:r>
          </w:p>
        </w:tc>
      </w:tr>
      <w:tr w:rsidR="004E3C2B" w:rsidRPr="000B0F42" w:rsidTr="000B0F42">
        <w:trPr>
          <w:trHeight w:hRule="exact" w:val="454"/>
        </w:trPr>
        <w:tc>
          <w:tcPr>
            <w:tcW w:w="1526" w:type="dxa"/>
            <w:shd w:val="clear" w:color="auto" w:fill="auto"/>
          </w:tcPr>
          <w:p w:rsidR="004E3C2B" w:rsidRPr="000B0F42" w:rsidRDefault="004E3C2B" w:rsidP="00586356">
            <w:pPr>
              <w:rPr>
                <w:rFonts w:cs="Arial"/>
              </w:rPr>
            </w:pPr>
            <w:r w:rsidRPr="000B0F42">
              <w:rPr>
                <w:rFonts w:cs="Arial"/>
              </w:rPr>
              <w:t>EIA</w:t>
            </w:r>
          </w:p>
        </w:tc>
        <w:tc>
          <w:tcPr>
            <w:tcW w:w="7761" w:type="dxa"/>
            <w:shd w:val="clear" w:color="auto" w:fill="auto"/>
          </w:tcPr>
          <w:p w:rsidR="004E3C2B" w:rsidRPr="000B0F42" w:rsidRDefault="004E3C2B" w:rsidP="00586356">
            <w:pPr>
              <w:rPr>
                <w:rFonts w:cs="Arial"/>
              </w:rPr>
            </w:pPr>
            <w:r w:rsidRPr="000B0F42">
              <w:rPr>
                <w:rFonts w:cs="Arial"/>
              </w:rPr>
              <w:t>Environmental Impact Assessment</w:t>
            </w:r>
          </w:p>
        </w:tc>
      </w:tr>
      <w:tr w:rsidR="001B6744" w:rsidRPr="000B0F42" w:rsidTr="000B0F42">
        <w:trPr>
          <w:trHeight w:hRule="exact" w:val="454"/>
        </w:trPr>
        <w:tc>
          <w:tcPr>
            <w:tcW w:w="1526" w:type="dxa"/>
            <w:shd w:val="clear" w:color="auto" w:fill="auto"/>
          </w:tcPr>
          <w:p w:rsidR="001B6744" w:rsidRPr="000B0F42" w:rsidRDefault="001B6744" w:rsidP="00586356">
            <w:pPr>
              <w:rPr>
                <w:rFonts w:cs="Arial"/>
              </w:rPr>
            </w:pPr>
            <w:r w:rsidRPr="000B0F42">
              <w:rPr>
                <w:rFonts w:cs="Arial"/>
              </w:rPr>
              <w:t>EIB</w:t>
            </w:r>
          </w:p>
        </w:tc>
        <w:tc>
          <w:tcPr>
            <w:tcW w:w="7761" w:type="dxa"/>
            <w:shd w:val="clear" w:color="auto" w:fill="auto"/>
          </w:tcPr>
          <w:p w:rsidR="001B6744" w:rsidRPr="000B0F42" w:rsidRDefault="001B6744" w:rsidP="00586356">
            <w:pPr>
              <w:rPr>
                <w:rFonts w:cs="Arial"/>
              </w:rPr>
            </w:pPr>
            <w:r w:rsidRPr="000B0F42">
              <w:rPr>
                <w:rFonts w:cs="Arial"/>
              </w:rPr>
              <w:t>European Investment Bank</w:t>
            </w:r>
          </w:p>
        </w:tc>
      </w:tr>
      <w:tr w:rsidR="00936103" w:rsidRPr="000B0F42" w:rsidTr="000B0F42">
        <w:trPr>
          <w:trHeight w:hRule="exact" w:val="454"/>
        </w:trPr>
        <w:tc>
          <w:tcPr>
            <w:tcW w:w="1526" w:type="dxa"/>
            <w:shd w:val="clear" w:color="auto" w:fill="auto"/>
          </w:tcPr>
          <w:p w:rsidR="00936103" w:rsidRPr="000B0F42" w:rsidRDefault="00936103" w:rsidP="00586356">
            <w:pPr>
              <w:rPr>
                <w:rFonts w:cs="Arial"/>
              </w:rPr>
            </w:pPr>
            <w:r w:rsidRPr="000B0F42">
              <w:rPr>
                <w:rFonts w:cs="Arial"/>
              </w:rPr>
              <w:t>EITT</w:t>
            </w:r>
          </w:p>
        </w:tc>
        <w:tc>
          <w:tcPr>
            <w:tcW w:w="7761" w:type="dxa"/>
            <w:shd w:val="clear" w:color="auto" w:fill="auto"/>
          </w:tcPr>
          <w:p w:rsidR="00936103" w:rsidRPr="000B0F42" w:rsidRDefault="00936103" w:rsidP="00586356">
            <w:pPr>
              <w:rPr>
                <w:rFonts w:cs="Arial"/>
              </w:rPr>
            </w:pPr>
            <w:r w:rsidRPr="000B0F42">
              <w:rPr>
                <w:rFonts w:cs="Arial"/>
              </w:rPr>
              <w:t>Energy, Infrastructure, Transport and Technology team</w:t>
            </w:r>
          </w:p>
        </w:tc>
      </w:tr>
      <w:tr w:rsidR="009770C5" w:rsidRPr="000B0F42" w:rsidTr="000B0F42">
        <w:trPr>
          <w:trHeight w:hRule="exact" w:val="454"/>
        </w:trPr>
        <w:tc>
          <w:tcPr>
            <w:tcW w:w="1526" w:type="dxa"/>
            <w:shd w:val="clear" w:color="auto" w:fill="auto"/>
          </w:tcPr>
          <w:p w:rsidR="009770C5" w:rsidRPr="000B0F42" w:rsidRDefault="009770C5" w:rsidP="00586356">
            <w:pPr>
              <w:rPr>
                <w:rFonts w:cs="Arial"/>
              </w:rPr>
            </w:pPr>
            <w:r w:rsidRPr="000B0F42">
              <w:rPr>
                <w:rFonts w:cs="Arial"/>
              </w:rPr>
              <w:t>EMAS</w:t>
            </w:r>
          </w:p>
        </w:tc>
        <w:tc>
          <w:tcPr>
            <w:tcW w:w="7761" w:type="dxa"/>
            <w:shd w:val="clear" w:color="auto" w:fill="auto"/>
          </w:tcPr>
          <w:p w:rsidR="009770C5" w:rsidRPr="000B0F42" w:rsidRDefault="009770C5" w:rsidP="00586356">
            <w:pPr>
              <w:rPr>
                <w:rFonts w:cs="Arial"/>
              </w:rPr>
            </w:pPr>
            <w:r w:rsidRPr="000B0F42">
              <w:rPr>
                <w:rFonts w:cs="Arial"/>
              </w:rPr>
              <w:t>European Eco-Management and Audit Scheme</w:t>
            </w:r>
          </w:p>
        </w:tc>
      </w:tr>
      <w:tr w:rsidR="008B4C8C" w:rsidRPr="000B0F42" w:rsidTr="000B0F42">
        <w:trPr>
          <w:trHeight w:hRule="exact" w:val="454"/>
        </w:trPr>
        <w:tc>
          <w:tcPr>
            <w:tcW w:w="1526" w:type="dxa"/>
            <w:shd w:val="clear" w:color="auto" w:fill="auto"/>
          </w:tcPr>
          <w:p w:rsidR="008B4C8C" w:rsidRPr="000B0F42" w:rsidRDefault="008B4C8C" w:rsidP="00586356">
            <w:pPr>
              <w:rPr>
                <w:rFonts w:cs="Arial"/>
              </w:rPr>
            </w:pPr>
            <w:r w:rsidRPr="000B0F42">
              <w:rPr>
                <w:rFonts w:cs="Arial"/>
              </w:rPr>
              <w:t>EMS</w:t>
            </w:r>
          </w:p>
        </w:tc>
        <w:tc>
          <w:tcPr>
            <w:tcW w:w="7761" w:type="dxa"/>
            <w:shd w:val="clear" w:color="auto" w:fill="auto"/>
          </w:tcPr>
          <w:p w:rsidR="008B4C8C" w:rsidRPr="000B0F42" w:rsidRDefault="008B4C8C" w:rsidP="00586356">
            <w:pPr>
              <w:rPr>
                <w:rFonts w:cs="Arial"/>
              </w:rPr>
            </w:pPr>
            <w:r w:rsidRPr="000B0F42">
              <w:rPr>
                <w:rFonts w:cs="Arial"/>
              </w:rPr>
              <w:t>Environmental management system</w:t>
            </w:r>
          </w:p>
        </w:tc>
      </w:tr>
      <w:tr w:rsidR="004E3C2B" w:rsidRPr="000B0F42" w:rsidTr="000B0F42">
        <w:trPr>
          <w:trHeight w:hRule="exact" w:val="454"/>
        </w:trPr>
        <w:tc>
          <w:tcPr>
            <w:tcW w:w="1526" w:type="dxa"/>
            <w:shd w:val="clear" w:color="auto" w:fill="auto"/>
          </w:tcPr>
          <w:p w:rsidR="004E3C2B" w:rsidRPr="000B0F42" w:rsidRDefault="004E3C2B" w:rsidP="00586356">
            <w:pPr>
              <w:rPr>
                <w:rFonts w:cs="Arial"/>
              </w:rPr>
            </w:pPr>
            <w:r w:rsidRPr="000B0F42">
              <w:rPr>
                <w:rFonts w:cs="Arial"/>
              </w:rPr>
              <w:t>EMU</w:t>
            </w:r>
          </w:p>
        </w:tc>
        <w:tc>
          <w:tcPr>
            <w:tcW w:w="7761" w:type="dxa"/>
            <w:shd w:val="clear" w:color="auto" w:fill="auto"/>
          </w:tcPr>
          <w:p w:rsidR="004E3C2B" w:rsidRPr="000B0F42" w:rsidRDefault="004E3C2B" w:rsidP="00586356">
            <w:pPr>
              <w:rPr>
                <w:rFonts w:cs="Arial"/>
              </w:rPr>
            </w:pPr>
            <w:r w:rsidRPr="000B0F42">
              <w:rPr>
                <w:rFonts w:cs="Arial"/>
              </w:rPr>
              <w:t>Economic and Monetary Union of the European Union</w:t>
            </w:r>
          </w:p>
        </w:tc>
      </w:tr>
      <w:tr w:rsidR="004E3C2B" w:rsidRPr="000B0F42" w:rsidTr="000B0F42">
        <w:trPr>
          <w:trHeight w:hRule="exact" w:val="454"/>
        </w:trPr>
        <w:tc>
          <w:tcPr>
            <w:tcW w:w="1526" w:type="dxa"/>
            <w:shd w:val="clear" w:color="auto" w:fill="auto"/>
          </w:tcPr>
          <w:p w:rsidR="004E3C2B" w:rsidRPr="000B0F42" w:rsidRDefault="004E3C2B" w:rsidP="00586356">
            <w:pPr>
              <w:rPr>
                <w:rFonts w:cs="Arial"/>
              </w:rPr>
            </w:pPr>
            <w:r w:rsidRPr="000B0F42">
              <w:rPr>
                <w:rFonts w:cs="Arial"/>
              </w:rPr>
              <w:t>ENI</w:t>
            </w:r>
          </w:p>
        </w:tc>
        <w:tc>
          <w:tcPr>
            <w:tcW w:w="7761" w:type="dxa"/>
            <w:shd w:val="clear" w:color="auto" w:fill="auto"/>
          </w:tcPr>
          <w:p w:rsidR="004E3C2B" w:rsidRPr="000B0F42" w:rsidRDefault="004E3C2B" w:rsidP="00586356">
            <w:pPr>
              <w:rPr>
                <w:rFonts w:cs="Arial"/>
              </w:rPr>
            </w:pPr>
            <w:r w:rsidRPr="000B0F42">
              <w:rPr>
                <w:rFonts w:cs="Arial"/>
              </w:rPr>
              <w:t>European Neighbourhood Instrument</w:t>
            </w:r>
          </w:p>
        </w:tc>
      </w:tr>
      <w:tr w:rsidR="001B6744" w:rsidRPr="000B0F42" w:rsidTr="000B0F42">
        <w:trPr>
          <w:trHeight w:hRule="exact" w:val="454"/>
        </w:trPr>
        <w:tc>
          <w:tcPr>
            <w:tcW w:w="1526" w:type="dxa"/>
            <w:shd w:val="clear" w:color="auto" w:fill="auto"/>
          </w:tcPr>
          <w:p w:rsidR="001B6744" w:rsidRPr="000B0F42" w:rsidRDefault="001B6744" w:rsidP="00586356">
            <w:pPr>
              <w:rPr>
                <w:rFonts w:cs="Arial"/>
              </w:rPr>
            </w:pPr>
            <w:r w:rsidRPr="000B0F42">
              <w:rPr>
                <w:rFonts w:cs="Arial"/>
              </w:rPr>
              <w:t>ENP</w:t>
            </w:r>
          </w:p>
        </w:tc>
        <w:tc>
          <w:tcPr>
            <w:tcW w:w="7761" w:type="dxa"/>
            <w:shd w:val="clear" w:color="auto" w:fill="auto"/>
          </w:tcPr>
          <w:p w:rsidR="001B6744" w:rsidRPr="000B0F42" w:rsidRDefault="001B6744" w:rsidP="00586356">
            <w:pPr>
              <w:rPr>
                <w:rFonts w:cs="Arial"/>
              </w:rPr>
            </w:pPr>
            <w:r w:rsidRPr="000B0F42">
              <w:rPr>
                <w:rFonts w:cs="Arial"/>
              </w:rPr>
              <w:t>European Neighbourhood Policy</w:t>
            </w:r>
          </w:p>
        </w:tc>
      </w:tr>
      <w:tr w:rsidR="001B6744" w:rsidRPr="000B0F42" w:rsidTr="000B0F42">
        <w:trPr>
          <w:trHeight w:hRule="exact" w:val="454"/>
        </w:trPr>
        <w:tc>
          <w:tcPr>
            <w:tcW w:w="1526" w:type="dxa"/>
            <w:shd w:val="clear" w:color="auto" w:fill="auto"/>
          </w:tcPr>
          <w:p w:rsidR="001B6744" w:rsidRPr="000B0F42" w:rsidRDefault="001B6744" w:rsidP="00586356">
            <w:pPr>
              <w:rPr>
                <w:rFonts w:cs="Arial"/>
              </w:rPr>
            </w:pPr>
            <w:r w:rsidRPr="000B0F42">
              <w:rPr>
                <w:rFonts w:cs="Arial"/>
              </w:rPr>
              <w:t>ENPI</w:t>
            </w:r>
          </w:p>
        </w:tc>
        <w:tc>
          <w:tcPr>
            <w:tcW w:w="7761" w:type="dxa"/>
            <w:shd w:val="clear" w:color="auto" w:fill="auto"/>
          </w:tcPr>
          <w:p w:rsidR="001B6744" w:rsidRPr="000B0F42" w:rsidRDefault="001B6744" w:rsidP="00586356">
            <w:pPr>
              <w:rPr>
                <w:rFonts w:cs="Arial"/>
              </w:rPr>
            </w:pPr>
            <w:r w:rsidRPr="000B0F42">
              <w:rPr>
                <w:rFonts w:cs="Arial"/>
              </w:rPr>
              <w:t>European Neighbourhood and Partnership Instrument</w:t>
            </w:r>
          </w:p>
        </w:tc>
      </w:tr>
      <w:tr w:rsidR="001B6744" w:rsidRPr="000B0F42" w:rsidTr="000B0F42">
        <w:trPr>
          <w:trHeight w:hRule="exact" w:val="454"/>
        </w:trPr>
        <w:tc>
          <w:tcPr>
            <w:tcW w:w="1526" w:type="dxa"/>
            <w:shd w:val="clear" w:color="auto" w:fill="auto"/>
          </w:tcPr>
          <w:p w:rsidR="001B6744" w:rsidRPr="000B0F42" w:rsidRDefault="001B6744" w:rsidP="00586356">
            <w:pPr>
              <w:rPr>
                <w:rFonts w:cs="Arial"/>
              </w:rPr>
            </w:pPr>
            <w:r w:rsidRPr="000B0F42">
              <w:rPr>
                <w:rFonts w:cs="Arial"/>
              </w:rPr>
              <w:t>EPF</w:t>
            </w:r>
          </w:p>
        </w:tc>
        <w:tc>
          <w:tcPr>
            <w:tcW w:w="7761" w:type="dxa"/>
            <w:shd w:val="clear" w:color="auto" w:fill="auto"/>
          </w:tcPr>
          <w:p w:rsidR="001B6744" w:rsidRPr="000B0F42" w:rsidRDefault="001B6744" w:rsidP="00586356">
            <w:pPr>
              <w:rPr>
                <w:rFonts w:cs="Arial"/>
              </w:rPr>
            </w:pPr>
            <w:r w:rsidRPr="000B0F42">
              <w:rPr>
                <w:rFonts w:cs="Arial"/>
              </w:rPr>
              <w:t>Eastern Partners Facility</w:t>
            </w:r>
          </w:p>
        </w:tc>
      </w:tr>
      <w:tr w:rsidR="004E3C2B" w:rsidRPr="000B0F42" w:rsidTr="000B0F42">
        <w:trPr>
          <w:trHeight w:hRule="exact" w:val="454"/>
        </w:trPr>
        <w:tc>
          <w:tcPr>
            <w:tcW w:w="1526" w:type="dxa"/>
            <w:shd w:val="clear" w:color="auto" w:fill="auto"/>
          </w:tcPr>
          <w:p w:rsidR="004E3C2B" w:rsidRPr="000B0F42" w:rsidRDefault="004E3C2B" w:rsidP="00586356">
            <w:pPr>
              <w:rPr>
                <w:rFonts w:cs="Arial"/>
              </w:rPr>
            </w:pPr>
            <w:r w:rsidRPr="000B0F42">
              <w:rPr>
                <w:rFonts w:cs="Arial"/>
              </w:rPr>
              <w:t>ERDF</w:t>
            </w:r>
          </w:p>
        </w:tc>
        <w:tc>
          <w:tcPr>
            <w:tcW w:w="7761" w:type="dxa"/>
            <w:shd w:val="clear" w:color="auto" w:fill="auto"/>
          </w:tcPr>
          <w:p w:rsidR="004E3C2B" w:rsidRPr="000B0F42" w:rsidRDefault="004E3C2B" w:rsidP="00586356">
            <w:pPr>
              <w:rPr>
                <w:rFonts w:cs="Arial"/>
              </w:rPr>
            </w:pPr>
            <w:r w:rsidRPr="000B0F42">
              <w:rPr>
                <w:rFonts w:cs="Arial"/>
              </w:rPr>
              <w:t>European Regional Development Fund</w:t>
            </w:r>
          </w:p>
        </w:tc>
      </w:tr>
      <w:tr w:rsidR="004E3C2B" w:rsidRPr="000B0F42" w:rsidTr="000B0F42">
        <w:trPr>
          <w:trHeight w:hRule="exact" w:val="454"/>
        </w:trPr>
        <w:tc>
          <w:tcPr>
            <w:tcW w:w="1526" w:type="dxa"/>
            <w:shd w:val="clear" w:color="auto" w:fill="auto"/>
          </w:tcPr>
          <w:p w:rsidR="004E3C2B" w:rsidRPr="000B0F42" w:rsidRDefault="004E3C2B" w:rsidP="00586356">
            <w:pPr>
              <w:rPr>
                <w:rFonts w:cs="Arial"/>
              </w:rPr>
            </w:pPr>
            <w:r w:rsidRPr="000B0F42">
              <w:rPr>
                <w:rFonts w:cs="Arial"/>
              </w:rPr>
              <w:t>ESF</w:t>
            </w:r>
          </w:p>
        </w:tc>
        <w:tc>
          <w:tcPr>
            <w:tcW w:w="7761" w:type="dxa"/>
            <w:shd w:val="clear" w:color="auto" w:fill="auto"/>
          </w:tcPr>
          <w:p w:rsidR="004E3C2B" w:rsidRPr="000B0F42" w:rsidRDefault="004E3C2B" w:rsidP="00586356">
            <w:pPr>
              <w:rPr>
                <w:rFonts w:cs="Arial"/>
              </w:rPr>
            </w:pPr>
            <w:r w:rsidRPr="000B0F42">
              <w:rPr>
                <w:rFonts w:cs="Arial"/>
              </w:rPr>
              <w:t>European Social Fund</w:t>
            </w:r>
          </w:p>
        </w:tc>
      </w:tr>
      <w:tr w:rsidR="00C77CB9" w:rsidRPr="000B0F42" w:rsidTr="000B0F42">
        <w:trPr>
          <w:trHeight w:hRule="exact" w:val="454"/>
        </w:trPr>
        <w:tc>
          <w:tcPr>
            <w:tcW w:w="1526" w:type="dxa"/>
            <w:shd w:val="clear" w:color="auto" w:fill="auto"/>
          </w:tcPr>
          <w:p w:rsidR="00C77CB9" w:rsidRPr="000B0F42" w:rsidRDefault="00C77CB9" w:rsidP="00586356">
            <w:pPr>
              <w:rPr>
                <w:rFonts w:cs="Arial"/>
              </w:rPr>
            </w:pPr>
            <w:r w:rsidRPr="000B0F42">
              <w:rPr>
                <w:rFonts w:cs="Arial"/>
              </w:rPr>
              <w:t>EU</w:t>
            </w:r>
          </w:p>
        </w:tc>
        <w:tc>
          <w:tcPr>
            <w:tcW w:w="7761" w:type="dxa"/>
            <w:shd w:val="clear" w:color="auto" w:fill="auto"/>
          </w:tcPr>
          <w:p w:rsidR="00C77CB9" w:rsidRPr="000B0F42" w:rsidRDefault="00C77CB9" w:rsidP="00586356">
            <w:pPr>
              <w:rPr>
                <w:rFonts w:cs="Arial"/>
              </w:rPr>
            </w:pPr>
            <w:r w:rsidRPr="000B0F42">
              <w:rPr>
                <w:rFonts w:cs="Arial"/>
              </w:rPr>
              <w:t>European Union</w:t>
            </w:r>
          </w:p>
        </w:tc>
      </w:tr>
      <w:tr w:rsidR="00936103" w:rsidRPr="000B0F42" w:rsidTr="000B0F42">
        <w:trPr>
          <w:trHeight w:hRule="exact" w:val="454"/>
        </w:trPr>
        <w:tc>
          <w:tcPr>
            <w:tcW w:w="1526" w:type="dxa"/>
            <w:shd w:val="clear" w:color="auto" w:fill="auto"/>
          </w:tcPr>
          <w:p w:rsidR="00936103" w:rsidRPr="000B0F42" w:rsidRDefault="00936103" w:rsidP="00586356">
            <w:pPr>
              <w:rPr>
                <w:rFonts w:cs="Arial"/>
              </w:rPr>
            </w:pPr>
            <w:r w:rsidRPr="000B0F42">
              <w:rPr>
                <w:rFonts w:cs="Arial"/>
              </w:rPr>
              <w:t>EU ETS</w:t>
            </w:r>
          </w:p>
        </w:tc>
        <w:tc>
          <w:tcPr>
            <w:tcW w:w="7761" w:type="dxa"/>
            <w:shd w:val="clear" w:color="auto" w:fill="auto"/>
          </w:tcPr>
          <w:p w:rsidR="00936103" w:rsidRPr="000B0F42" w:rsidRDefault="00936103" w:rsidP="00586356">
            <w:pPr>
              <w:rPr>
                <w:rFonts w:cs="Arial"/>
              </w:rPr>
            </w:pPr>
            <w:r w:rsidRPr="000B0F42">
              <w:rPr>
                <w:rFonts w:cs="Arial"/>
              </w:rPr>
              <w:t>EU Emission Trading System</w:t>
            </w:r>
          </w:p>
        </w:tc>
      </w:tr>
      <w:tr w:rsidR="001B6744" w:rsidRPr="000B0F42" w:rsidTr="000B0F42">
        <w:trPr>
          <w:trHeight w:hRule="exact" w:val="454"/>
        </w:trPr>
        <w:tc>
          <w:tcPr>
            <w:tcW w:w="1526" w:type="dxa"/>
            <w:shd w:val="clear" w:color="auto" w:fill="auto"/>
          </w:tcPr>
          <w:p w:rsidR="001B6744" w:rsidRPr="000B0F42" w:rsidRDefault="001B6744" w:rsidP="00586356">
            <w:pPr>
              <w:rPr>
                <w:rFonts w:cs="Arial"/>
              </w:rPr>
            </w:pPr>
            <w:r w:rsidRPr="000B0F42">
              <w:rPr>
                <w:rFonts w:cs="Arial"/>
              </w:rPr>
              <w:t>FDI</w:t>
            </w:r>
          </w:p>
        </w:tc>
        <w:tc>
          <w:tcPr>
            <w:tcW w:w="7761" w:type="dxa"/>
            <w:shd w:val="clear" w:color="auto" w:fill="auto"/>
          </w:tcPr>
          <w:p w:rsidR="001B6744" w:rsidRPr="000B0F42" w:rsidRDefault="001B6744" w:rsidP="00586356">
            <w:pPr>
              <w:rPr>
                <w:rFonts w:cs="Arial"/>
              </w:rPr>
            </w:pPr>
            <w:r w:rsidRPr="000B0F42">
              <w:rPr>
                <w:rFonts w:cs="Arial"/>
              </w:rPr>
              <w:t>EU Foreign Direct Investments</w:t>
            </w:r>
          </w:p>
        </w:tc>
      </w:tr>
      <w:tr w:rsidR="0020318E" w:rsidRPr="000B0F42" w:rsidTr="000B0F42">
        <w:trPr>
          <w:trHeight w:hRule="exact" w:val="454"/>
        </w:trPr>
        <w:tc>
          <w:tcPr>
            <w:tcW w:w="1526" w:type="dxa"/>
            <w:shd w:val="clear" w:color="auto" w:fill="auto"/>
          </w:tcPr>
          <w:p w:rsidR="0020318E" w:rsidRPr="000B0F42" w:rsidRDefault="0020318E" w:rsidP="00586356">
            <w:pPr>
              <w:rPr>
                <w:rFonts w:cs="Arial"/>
              </w:rPr>
            </w:pPr>
            <w:r w:rsidRPr="000B0F42">
              <w:rPr>
                <w:rFonts w:cs="Arial"/>
              </w:rPr>
              <w:t>FP7</w:t>
            </w:r>
          </w:p>
        </w:tc>
        <w:tc>
          <w:tcPr>
            <w:tcW w:w="7761" w:type="dxa"/>
            <w:shd w:val="clear" w:color="auto" w:fill="auto"/>
          </w:tcPr>
          <w:p w:rsidR="0020318E" w:rsidRPr="000B0F42" w:rsidRDefault="0020318E" w:rsidP="00586356">
            <w:pPr>
              <w:rPr>
                <w:rFonts w:cs="Arial"/>
              </w:rPr>
            </w:pPr>
            <w:r w:rsidRPr="000B0F42">
              <w:rPr>
                <w:rFonts w:cs="Arial"/>
              </w:rPr>
              <w:t>The EU 7th Framework Programme for Research</w:t>
            </w:r>
          </w:p>
        </w:tc>
      </w:tr>
      <w:tr w:rsidR="008D2318" w:rsidRPr="000B0F42" w:rsidTr="000B0F42">
        <w:trPr>
          <w:trHeight w:hRule="exact" w:val="454"/>
        </w:trPr>
        <w:tc>
          <w:tcPr>
            <w:tcW w:w="1526" w:type="dxa"/>
            <w:shd w:val="clear" w:color="auto" w:fill="auto"/>
          </w:tcPr>
          <w:p w:rsidR="008D2318" w:rsidRPr="000B0F42" w:rsidRDefault="008D2318" w:rsidP="00586356">
            <w:pPr>
              <w:rPr>
                <w:rFonts w:cs="Arial"/>
              </w:rPr>
            </w:pPr>
            <w:r w:rsidRPr="000B0F42">
              <w:rPr>
                <w:rFonts w:cs="Arial"/>
              </w:rPr>
              <w:t>GAP</w:t>
            </w:r>
          </w:p>
        </w:tc>
        <w:tc>
          <w:tcPr>
            <w:tcW w:w="7761" w:type="dxa"/>
            <w:shd w:val="clear" w:color="auto" w:fill="auto"/>
          </w:tcPr>
          <w:p w:rsidR="008D2318" w:rsidRPr="000B0F42" w:rsidRDefault="008D2318" w:rsidP="00586356">
            <w:pPr>
              <w:rPr>
                <w:rFonts w:cs="Arial"/>
              </w:rPr>
            </w:pPr>
            <w:r w:rsidRPr="000B0F42">
              <w:rPr>
                <w:rFonts w:cs="Arial"/>
              </w:rPr>
              <w:t>Good Agricultural Practice</w:t>
            </w:r>
          </w:p>
        </w:tc>
      </w:tr>
      <w:tr w:rsidR="004E3C2B" w:rsidRPr="000B0F42" w:rsidTr="000B0F42">
        <w:trPr>
          <w:trHeight w:hRule="exact" w:val="454"/>
        </w:trPr>
        <w:tc>
          <w:tcPr>
            <w:tcW w:w="1526" w:type="dxa"/>
            <w:shd w:val="clear" w:color="auto" w:fill="auto"/>
          </w:tcPr>
          <w:p w:rsidR="004E3C2B" w:rsidRPr="000B0F42" w:rsidRDefault="004E3C2B" w:rsidP="00586356">
            <w:pPr>
              <w:rPr>
                <w:rFonts w:cs="Arial"/>
              </w:rPr>
            </w:pPr>
            <w:r w:rsidRPr="000B0F42">
              <w:rPr>
                <w:rFonts w:cs="Arial"/>
              </w:rPr>
              <w:lastRenderedPageBreak/>
              <w:t>GDP</w:t>
            </w:r>
          </w:p>
        </w:tc>
        <w:tc>
          <w:tcPr>
            <w:tcW w:w="7761" w:type="dxa"/>
            <w:shd w:val="clear" w:color="auto" w:fill="auto"/>
          </w:tcPr>
          <w:p w:rsidR="004E3C2B" w:rsidRPr="000B0F42" w:rsidRDefault="004E3C2B" w:rsidP="00586356">
            <w:pPr>
              <w:rPr>
                <w:rFonts w:cs="Arial"/>
              </w:rPr>
            </w:pPr>
            <w:r w:rsidRPr="000B0F42">
              <w:rPr>
                <w:rFonts w:cs="Arial"/>
              </w:rPr>
              <w:t>Gross domestic product</w:t>
            </w:r>
          </w:p>
        </w:tc>
      </w:tr>
      <w:tr w:rsidR="00F256C3" w:rsidRPr="000B0F42" w:rsidTr="000B0F42">
        <w:trPr>
          <w:trHeight w:hRule="exact" w:val="454"/>
        </w:trPr>
        <w:tc>
          <w:tcPr>
            <w:tcW w:w="1526" w:type="dxa"/>
            <w:shd w:val="clear" w:color="auto" w:fill="auto"/>
          </w:tcPr>
          <w:p w:rsidR="00F256C3" w:rsidRPr="000B0F42" w:rsidRDefault="00F256C3" w:rsidP="00586356">
            <w:pPr>
              <w:rPr>
                <w:rFonts w:cs="Arial"/>
              </w:rPr>
            </w:pPr>
            <w:r w:rsidRPr="000B0F42">
              <w:rPr>
                <w:rFonts w:cs="Arial"/>
              </w:rPr>
              <w:t>GEF</w:t>
            </w:r>
          </w:p>
        </w:tc>
        <w:tc>
          <w:tcPr>
            <w:tcW w:w="7761" w:type="dxa"/>
            <w:shd w:val="clear" w:color="auto" w:fill="auto"/>
          </w:tcPr>
          <w:p w:rsidR="00F256C3" w:rsidRPr="000B0F42" w:rsidRDefault="00F256C3" w:rsidP="00586356">
            <w:pPr>
              <w:rPr>
                <w:rFonts w:cs="Arial"/>
              </w:rPr>
            </w:pPr>
            <w:r w:rsidRPr="000B0F42">
              <w:rPr>
                <w:rFonts w:cs="Arial"/>
              </w:rPr>
              <w:t>Global Environment Facility</w:t>
            </w:r>
          </w:p>
        </w:tc>
      </w:tr>
      <w:tr w:rsidR="00936103" w:rsidRPr="000B0F42" w:rsidTr="000B0F42">
        <w:trPr>
          <w:trHeight w:hRule="exact" w:val="454"/>
        </w:trPr>
        <w:tc>
          <w:tcPr>
            <w:tcW w:w="1526" w:type="dxa"/>
            <w:shd w:val="clear" w:color="auto" w:fill="auto"/>
          </w:tcPr>
          <w:p w:rsidR="00936103" w:rsidRPr="000B0F42" w:rsidRDefault="00936103" w:rsidP="00586356">
            <w:pPr>
              <w:rPr>
                <w:rFonts w:cs="Arial"/>
              </w:rPr>
            </w:pPr>
            <w:r w:rsidRPr="000B0F42">
              <w:rPr>
                <w:rFonts w:cs="Arial"/>
              </w:rPr>
              <w:t>GEF SGP</w:t>
            </w:r>
          </w:p>
        </w:tc>
        <w:tc>
          <w:tcPr>
            <w:tcW w:w="7761" w:type="dxa"/>
            <w:shd w:val="clear" w:color="auto" w:fill="auto"/>
          </w:tcPr>
          <w:p w:rsidR="00936103" w:rsidRPr="000B0F42" w:rsidRDefault="00936103" w:rsidP="00586356">
            <w:pPr>
              <w:rPr>
                <w:rFonts w:cs="Arial"/>
              </w:rPr>
            </w:pPr>
            <w:r w:rsidRPr="000B0F42">
              <w:rPr>
                <w:rFonts w:cs="Arial"/>
              </w:rPr>
              <w:t>Global Environment Facility Small Grants Programme</w:t>
            </w:r>
          </w:p>
        </w:tc>
      </w:tr>
      <w:tr w:rsidR="00C77CB9" w:rsidRPr="000B0F42" w:rsidTr="000B0F42">
        <w:trPr>
          <w:trHeight w:hRule="exact" w:val="454"/>
        </w:trPr>
        <w:tc>
          <w:tcPr>
            <w:tcW w:w="1526" w:type="dxa"/>
            <w:shd w:val="clear" w:color="auto" w:fill="auto"/>
          </w:tcPr>
          <w:p w:rsidR="00C77CB9" w:rsidRPr="000B0F42" w:rsidRDefault="00C77CB9" w:rsidP="00586356">
            <w:pPr>
              <w:rPr>
                <w:rFonts w:cs="Arial"/>
              </w:rPr>
            </w:pPr>
            <w:r w:rsidRPr="000B0F42">
              <w:rPr>
                <w:rFonts w:cs="Arial"/>
              </w:rPr>
              <w:t>GHG</w:t>
            </w:r>
          </w:p>
        </w:tc>
        <w:tc>
          <w:tcPr>
            <w:tcW w:w="7761" w:type="dxa"/>
            <w:shd w:val="clear" w:color="auto" w:fill="auto"/>
          </w:tcPr>
          <w:p w:rsidR="00C77CB9" w:rsidRPr="000B0F42" w:rsidRDefault="00C77CB9" w:rsidP="00586356">
            <w:pPr>
              <w:rPr>
                <w:rFonts w:cs="Arial"/>
              </w:rPr>
            </w:pPr>
            <w:r w:rsidRPr="000B0F42">
              <w:rPr>
                <w:rFonts w:cs="Arial"/>
              </w:rPr>
              <w:t>Greenhouse gases</w:t>
            </w:r>
          </w:p>
        </w:tc>
      </w:tr>
      <w:tr w:rsidR="008D2318" w:rsidRPr="000B0F42" w:rsidTr="000B0F42">
        <w:trPr>
          <w:trHeight w:hRule="exact" w:val="454"/>
        </w:trPr>
        <w:tc>
          <w:tcPr>
            <w:tcW w:w="1526" w:type="dxa"/>
            <w:shd w:val="clear" w:color="auto" w:fill="auto"/>
          </w:tcPr>
          <w:p w:rsidR="008D2318" w:rsidRPr="000B0F42" w:rsidRDefault="008D2318" w:rsidP="00586356">
            <w:pPr>
              <w:rPr>
                <w:rFonts w:cs="Arial"/>
              </w:rPr>
            </w:pPr>
            <w:r w:rsidRPr="000B0F42">
              <w:rPr>
                <w:rFonts w:cs="Arial"/>
              </w:rPr>
              <w:t>GIG</w:t>
            </w:r>
          </w:p>
        </w:tc>
        <w:tc>
          <w:tcPr>
            <w:tcW w:w="7761" w:type="dxa"/>
            <w:shd w:val="clear" w:color="auto" w:fill="auto"/>
          </w:tcPr>
          <w:p w:rsidR="008D2318" w:rsidRPr="000B0F42" w:rsidRDefault="008D2318" w:rsidP="00586356">
            <w:pPr>
              <w:rPr>
                <w:rFonts w:cs="Arial"/>
              </w:rPr>
            </w:pPr>
            <w:r w:rsidRPr="000B0F42">
              <w:rPr>
                <w:rFonts w:cs="Arial"/>
              </w:rPr>
              <w:t>Green Industry Guide</w:t>
            </w:r>
          </w:p>
        </w:tc>
      </w:tr>
      <w:tr w:rsidR="004E3C2B" w:rsidRPr="000B0F42" w:rsidTr="000B0F42">
        <w:trPr>
          <w:trHeight w:hRule="exact" w:val="454"/>
        </w:trPr>
        <w:tc>
          <w:tcPr>
            <w:tcW w:w="1526" w:type="dxa"/>
            <w:shd w:val="clear" w:color="auto" w:fill="auto"/>
          </w:tcPr>
          <w:p w:rsidR="004E3C2B" w:rsidRPr="000B0F42" w:rsidRDefault="004E3C2B" w:rsidP="00586356">
            <w:pPr>
              <w:rPr>
                <w:rFonts w:cs="Arial"/>
              </w:rPr>
            </w:pPr>
            <w:r w:rsidRPr="000B0F42">
              <w:rPr>
                <w:rFonts w:cs="Arial"/>
              </w:rPr>
              <w:t>GIS</w:t>
            </w:r>
          </w:p>
        </w:tc>
        <w:tc>
          <w:tcPr>
            <w:tcW w:w="7761" w:type="dxa"/>
            <w:shd w:val="clear" w:color="auto" w:fill="auto"/>
          </w:tcPr>
          <w:p w:rsidR="004E3C2B" w:rsidRPr="000B0F42" w:rsidRDefault="004E3C2B" w:rsidP="00586356">
            <w:pPr>
              <w:rPr>
                <w:rFonts w:cs="Arial"/>
              </w:rPr>
            </w:pPr>
            <w:r w:rsidRPr="000B0F42">
              <w:rPr>
                <w:rFonts w:cs="Arial"/>
              </w:rPr>
              <w:t>Green Investment Scheme</w:t>
            </w:r>
          </w:p>
        </w:tc>
      </w:tr>
      <w:tr w:rsidR="009770C5" w:rsidRPr="000B0F42" w:rsidTr="000B0F42">
        <w:trPr>
          <w:trHeight w:hRule="exact" w:val="454"/>
        </w:trPr>
        <w:tc>
          <w:tcPr>
            <w:tcW w:w="1526" w:type="dxa"/>
            <w:shd w:val="clear" w:color="auto" w:fill="auto"/>
          </w:tcPr>
          <w:p w:rsidR="009770C5" w:rsidRPr="000B0F42" w:rsidRDefault="009770C5" w:rsidP="00586356">
            <w:pPr>
              <w:rPr>
                <w:rFonts w:cs="Arial"/>
              </w:rPr>
            </w:pPr>
            <w:r w:rsidRPr="000B0F42">
              <w:rPr>
                <w:rFonts w:cs="Arial"/>
              </w:rPr>
              <w:t>GPP</w:t>
            </w:r>
          </w:p>
        </w:tc>
        <w:tc>
          <w:tcPr>
            <w:tcW w:w="7761" w:type="dxa"/>
            <w:shd w:val="clear" w:color="auto" w:fill="auto"/>
          </w:tcPr>
          <w:p w:rsidR="009770C5" w:rsidRPr="000B0F42" w:rsidRDefault="009770C5" w:rsidP="00586356">
            <w:pPr>
              <w:rPr>
                <w:rFonts w:cs="Arial"/>
              </w:rPr>
            </w:pPr>
            <w:r w:rsidRPr="000B0F42">
              <w:rPr>
                <w:rFonts w:cs="Arial"/>
              </w:rPr>
              <w:t>Green Public Procurement</w:t>
            </w:r>
          </w:p>
        </w:tc>
      </w:tr>
      <w:tr w:rsidR="00936103" w:rsidRPr="000B0F42" w:rsidTr="000B0F42">
        <w:trPr>
          <w:trHeight w:hRule="exact" w:val="454"/>
        </w:trPr>
        <w:tc>
          <w:tcPr>
            <w:tcW w:w="1526" w:type="dxa"/>
            <w:shd w:val="clear" w:color="auto" w:fill="auto"/>
          </w:tcPr>
          <w:p w:rsidR="00936103" w:rsidRPr="000B0F42" w:rsidRDefault="00936103" w:rsidP="00586356">
            <w:pPr>
              <w:rPr>
                <w:rFonts w:cs="Arial"/>
              </w:rPr>
            </w:pPr>
            <w:r w:rsidRPr="000B0F42">
              <w:rPr>
                <w:rFonts w:cs="Arial"/>
              </w:rPr>
              <w:t>HCFCs</w:t>
            </w:r>
          </w:p>
        </w:tc>
        <w:tc>
          <w:tcPr>
            <w:tcW w:w="7761" w:type="dxa"/>
            <w:shd w:val="clear" w:color="auto" w:fill="auto"/>
          </w:tcPr>
          <w:p w:rsidR="00936103" w:rsidRPr="000B0F42" w:rsidRDefault="00936103" w:rsidP="00586356">
            <w:pPr>
              <w:rPr>
                <w:rFonts w:cs="Arial"/>
              </w:rPr>
            </w:pPr>
            <w:proofErr w:type="spellStart"/>
            <w:r w:rsidRPr="000B0F42">
              <w:rPr>
                <w:rFonts w:cs="Arial"/>
              </w:rPr>
              <w:t>Hydrochlorofluorocarbons</w:t>
            </w:r>
            <w:proofErr w:type="spellEnd"/>
          </w:p>
        </w:tc>
      </w:tr>
      <w:tr w:rsidR="009770C5" w:rsidRPr="000B0F42" w:rsidTr="000B0F42">
        <w:trPr>
          <w:trHeight w:hRule="exact" w:val="454"/>
        </w:trPr>
        <w:tc>
          <w:tcPr>
            <w:tcW w:w="1526" w:type="dxa"/>
            <w:shd w:val="clear" w:color="auto" w:fill="auto"/>
          </w:tcPr>
          <w:p w:rsidR="009770C5" w:rsidRPr="000B0F42" w:rsidRDefault="009770C5" w:rsidP="00586356">
            <w:pPr>
              <w:rPr>
                <w:rFonts w:cs="Arial"/>
              </w:rPr>
            </w:pPr>
            <w:r w:rsidRPr="000B0F42">
              <w:rPr>
                <w:rFonts w:cs="Arial"/>
              </w:rPr>
              <w:t>HIPP</w:t>
            </w:r>
          </w:p>
        </w:tc>
        <w:tc>
          <w:tcPr>
            <w:tcW w:w="7761" w:type="dxa"/>
            <w:shd w:val="clear" w:color="auto" w:fill="auto"/>
          </w:tcPr>
          <w:p w:rsidR="009770C5" w:rsidRPr="000B0F42" w:rsidRDefault="009770C5" w:rsidP="00586356">
            <w:pPr>
              <w:rPr>
                <w:rFonts w:cs="Arial"/>
              </w:rPr>
            </w:pPr>
            <w:r w:rsidRPr="000B0F42">
              <w:rPr>
                <w:rFonts w:cs="Arial"/>
              </w:rPr>
              <w:t>Hydropower Investment Promotion Project</w:t>
            </w:r>
          </w:p>
        </w:tc>
      </w:tr>
      <w:tr w:rsidR="009770C5" w:rsidRPr="000B0F42" w:rsidTr="000B0F42">
        <w:trPr>
          <w:trHeight w:hRule="exact" w:val="454"/>
        </w:trPr>
        <w:tc>
          <w:tcPr>
            <w:tcW w:w="1526" w:type="dxa"/>
            <w:shd w:val="clear" w:color="auto" w:fill="auto"/>
          </w:tcPr>
          <w:p w:rsidR="009770C5" w:rsidRPr="000B0F42" w:rsidRDefault="009770C5" w:rsidP="00586356">
            <w:pPr>
              <w:rPr>
                <w:rFonts w:cs="Arial"/>
              </w:rPr>
            </w:pPr>
            <w:r w:rsidRPr="000B0F42">
              <w:rPr>
                <w:rFonts w:cs="Arial"/>
              </w:rPr>
              <w:t>HPEP</w:t>
            </w:r>
          </w:p>
        </w:tc>
        <w:tc>
          <w:tcPr>
            <w:tcW w:w="7761" w:type="dxa"/>
            <w:shd w:val="clear" w:color="auto" w:fill="auto"/>
          </w:tcPr>
          <w:p w:rsidR="009770C5" w:rsidRPr="000B0F42" w:rsidRDefault="009770C5" w:rsidP="00586356">
            <w:pPr>
              <w:rPr>
                <w:rFonts w:cs="Arial"/>
              </w:rPr>
            </w:pPr>
            <w:r w:rsidRPr="000B0F42">
              <w:rPr>
                <w:rFonts w:cs="Arial"/>
              </w:rPr>
              <w:t>Hydro Power and Energy Planning Project</w:t>
            </w:r>
          </w:p>
        </w:tc>
      </w:tr>
      <w:tr w:rsidR="00F256C3" w:rsidRPr="000B0F42" w:rsidTr="000B0F42">
        <w:trPr>
          <w:trHeight w:hRule="exact" w:val="454"/>
        </w:trPr>
        <w:tc>
          <w:tcPr>
            <w:tcW w:w="1526" w:type="dxa"/>
            <w:shd w:val="clear" w:color="auto" w:fill="auto"/>
          </w:tcPr>
          <w:p w:rsidR="00F256C3" w:rsidRPr="000B0F42" w:rsidRDefault="00F256C3" w:rsidP="00586356">
            <w:pPr>
              <w:rPr>
                <w:rFonts w:cs="Arial"/>
              </w:rPr>
            </w:pPr>
            <w:r w:rsidRPr="000B0F42">
              <w:rPr>
                <w:rFonts w:cs="Arial"/>
              </w:rPr>
              <w:t>IBRD</w:t>
            </w:r>
          </w:p>
        </w:tc>
        <w:tc>
          <w:tcPr>
            <w:tcW w:w="7761" w:type="dxa"/>
            <w:shd w:val="clear" w:color="auto" w:fill="auto"/>
          </w:tcPr>
          <w:p w:rsidR="00F256C3" w:rsidRPr="000B0F42" w:rsidRDefault="00F256C3" w:rsidP="00586356">
            <w:pPr>
              <w:rPr>
                <w:rFonts w:cs="Arial"/>
              </w:rPr>
            </w:pPr>
            <w:r w:rsidRPr="000B0F42">
              <w:rPr>
                <w:rFonts w:cs="Arial"/>
              </w:rPr>
              <w:t>International Bank for Reconstruction and Development</w:t>
            </w:r>
          </w:p>
        </w:tc>
      </w:tr>
      <w:tr w:rsidR="00F256C3" w:rsidRPr="000B0F42" w:rsidTr="000B0F42">
        <w:trPr>
          <w:trHeight w:hRule="exact" w:val="454"/>
        </w:trPr>
        <w:tc>
          <w:tcPr>
            <w:tcW w:w="1526" w:type="dxa"/>
            <w:shd w:val="clear" w:color="auto" w:fill="auto"/>
          </w:tcPr>
          <w:p w:rsidR="00F256C3" w:rsidRPr="000B0F42" w:rsidRDefault="00F256C3" w:rsidP="00586356">
            <w:pPr>
              <w:rPr>
                <w:rFonts w:cs="Arial"/>
              </w:rPr>
            </w:pPr>
            <w:r w:rsidRPr="000B0F42">
              <w:rPr>
                <w:rFonts w:cs="Arial"/>
              </w:rPr>
              <w:t>ICSID</w:t>
            </w:r>
          </w:p>
        </w:tc>
        <w:tc>
          <w:tcPr>
            <w:tcW w:w="7761" w:type="dxa"/>
            <w:shd w:val="clear" w:color="auto" w:fill="auto"/>
          </w:tcPr>
          <w:p w:rsidR="00F256C3" w:rsidRPr="000B0F42" w:rsidRDefault="00F256C3" w:rsidP="00586356">
            <w:pPr>
              <w:rPr>
                <w:rFonts w:cs="Arial"/>
              </w:rPr>
            </w:pPr>
            <w:r w:rsidRPr="000B0F42">
              <w:rPr>
                <w:rFonts w:cs="Arial"/>
              </w:rPr>
              <w:t>International Centre for Settlement of Investment Disputes</w:t>
            </w:r>
          </w:p>
        </w:tc>
      </w:tr>
      <w:tr w:rsidR="00F256C3" w:rsidRPr="000B0F42" w:rsidTr="000B0F42">
        <w:trPr>
          <w:trHeight w:hRule="exact" w:val="454"/>
        </w:trPr>
        <w:tc>
          <w:tcPr>
            <w:tcW w:w="1526" w:type="dxa"/>
            <w:shd w:val="clear" w:color="auto" w:fill="auto"/>
          </w:tcPr>
          <w:p w:rsidR="00F256C3" w:rsidRPr="000B0F42" w:rsidRDefault="00F256C3" w:rsidP="00586356">
            <w:pPr>
              <w:rPr>
                <w:rFonts w:cs="Arial"/>
              </w:rPr>
            </w:pPr>
            <w:r w:rsidRPr="000B0F42">
              <w:rPr>
                <w:rFonts w:cs="Arial"/>
              </w:rPr>
              <w:t>IDA</w:t>
            </w:r>
          </w:p>
        </w:tc>
        <w:tc>
          <w:tcPr>
            <w:tcW w:w="7761" w:type="dxa"/>
            <w:shd w:val="clear" w:color="auto" w:fill="auto"/>
          </w:tcPr>
          <w:p w:rsidR="00F256C3" w:rsidRPr="000B0F42" w:rsidRDefault="00F256C3" w:rsidP="00586356">
            <w:pPr>
              <w:rPr>
                <w:rFonts w:cs="Arial"/>
              </w:rPr>
            </w:pPr>
            <w:r w:rsidRPr="000B0F42">
              <w:rPr>
                <w:rFonts w:cs="Arial"/>
              </w:rPr>
              <w:t>International Development Association</w:t>
            </w:r>
          </w:p>
        </w:tc>
      </w:tr>
      <w:tr w:rsidR="003770BA" w:rsidRPr="000B0F42" w:rsidTr="000B0F42">
        <w:trPr>
          <w:trHeight w:hRule="exact" w:val="454"/>
        </w:trPr>
        <w:tc>
          <w:tcPr>
            <w:tcW w:w="1526" w:type="dxa"/>
            <w:shd w:val="clear" w:color="auto" w:fill="auto"/>
          </w:tcPr>
          <w:p w:rsidR="003770BA" w:rsidRPr="000B0F42" w:rsidRDefault="003770BA" w:rsidP="00586356">
            <w:pPr>
              <w:rPr>
                <w:rFonts w:cs="Arial"/>
              </w:rPr>
            </w:pPr>
            <w:r w:rsidRPr="000B0F42">
              <w:rPr>
                <w:rFonts w:cs="Arial"/>
              </w:rPr>
              <w:t>IEE</w:t>
            </w:r>
          </w:p>
        </w:tc>
        <w:tc>
          <w:tcPr>
            <w:tcW w:w="7761" w:type="dxa"/>
            <w:shd w:val="clear" w:color="auto" w:fill="auto"/>
          </w:tcPr>
          <w:p w:rsidR="003770BA" w:rsidRPr="000B0F42" w:rsidRDefault="003770BA" w:rsidP="00586356">
            <w:pPr>
              <w:rPr>
                <w:rFonts w:cs="Arial"/>
              </w:rPr>
            </w:pPr>
            <w:r w:rsidRPr="000B0F42">
              <w:rPr>
                <w:rFonts w:cs="Arial"/>
              </w:rPr>
              <w:t>Intelligent Energy Europe</w:t>
            </w:r>
          </w:p>
        </w:tc>
      </w:tr>
      <w:tr w:rsidR="00F256C3" w:rsidRPr="000B0F42" w:rsidTr="000B0F42">
        <w:trPr>
          <w:trHeight w:hRule="exact" w:val="454"/>
        </w:trPr>
        <w:tc>
          <w:tcPr>
            <w:tcW w:w="1526" w:type="dxa"/>
            <w:shd w:val="clear" w:color="auto" w:fill="auto"/>
          </w:tcPr>
          <w:p w:rsidR="00F256C3" w:rsidRPr="000B0F42" w:rsidRDefault="00F256C3" w:rsidP="00586356">
            <w:pPr>
              <w:rPr>
                <w:rFonts w:cs="Arial"/>
              </w:rPr>
            </w:pPr>
            <w:r w:rsidRPr="000B0F42">
              <w:rPr>
                <w:rFonts w:cs="Arial"/>
              </w:rPr>
              <w:t>IFC</w:t>
            </w:r>
          </w:p>
        </w:tc>
        <w:tc>
          <w:tcPr>
            <w:tcW w:w="7761" w:type="dxa"/>
            <w:shd w:val="clear" w:color="auto" w:fill="auto"/>
          </w:tcPr>
          <w:p w:rsidR="00F256C3" w:rsidRPr="000B0F42" w:rsidRDefault="00F256C3" w:rsidP="00586356">
            <w:pPr>
              <w:rPr>
                <w:rFonts w:cs="Arial"/>
              </w:rPr>
            </w:pPr>
            <w:r w:rsidRPr="000B0F42">
              <w:rPr>
                <w:rFonts w:cs="Arial"/>
              </w:rPr>
              <w:t>International Finance Corporation</w:t>
            </w:r>
          </w:p>
        </w:tc>
      </w:tr>
      <w:tr w:rsidR="001B6744" w:rsidRPr="000B0F42" w:rsidTr="000B0F42">
        <w:trPr>
          <w:trHeight w:hRule="exact" w:val="454"/>
        </w:trPr>
        <w:tc>
          <w:tcPr>
            <w:tcW w:w="1526" w:type="dxa"/>
            <w:shd w:val="clear" w:color="auto" w:fill="auto"/>
          </w:tcPr>
          <w:p w:rsidR="001B6744" w:rsidRPr="000B0F42" w:rsidRDefault="001B6744" w:rsidP="00586356">
            <w:pPr>
              <w:rPr>
                <w:rFonts w:cs="Arial"/>
              </w:rPr>
            </w:pPr>
            <w:r w:rsidRPr="000B0F42">
              <w:rPr>
                <w:rFonts w:cs="Arial"/>
              </w:rPr>
              <w:t>IFIs</w:t>
            </w:r>
          </w:p>
        </w:tc>
        <w:tc>
          <w:tcPr>
            <w:tcW w:w="7761" w:type="dxa"/>
            <w:shd w:val="clear" w:color="auto" w:fill="auto"/>
          </w:tcPr>
          <w:p w:rsidR="001B6744" w:rsidRPr="000B0F42" w:rsidRDefault="001B6744" w:rsidP="00586356">
            <w:pPr>
              <w:rPr>
                <w:rFonts w:cs="Arial"/>
              </w:rPr>
            </w:pPr>
            <w:r w:rsidRPr="000B0F42">
              <w:rPr>
                <w:rFonts w:cs="Arial"/>
              </w:rPr>
              <w:t>International financial institutions</w:t>
            </w:r>
          </w:p>
        </w:tc>
      </w:tr>
      <w:tr w:rsidR="00C77CB9" w:rsidRPr="000B0F42" w:rsidTr="000B0F42">
        <w:trPr>
          <w:trHeight w:hRule="exact" w:val="731"/>
        </w:trPr>
        <w:tc>
          <w:tcPr>
            <w:tcW w:w="1526" w:type="dxa"/>
            <w:shd w:val="clear" w:color="auto" w:fill="auto"/>
          </w:tcPr>
          <w:p w:rsidR="00C77CB9" w:rsidRPr="000B0F42" w:rsidRDefault="00C77CB9" w:rsidP="00586356">
            <w:pPr>
              <w:rPr>
                <w:rFonts w:cs="Arial"/>
              </w:rPr>
            </w:pPr>
            <w:r w:rsidRPr="000B0F42">
              <w:rPr>
                <w:rFonts w:cs="Arial"/>
              </w:rPr>
              <w:t>IMPEL</w:t>
            </w:r>
          </w:p>
        </w:tc>
        <w:tc>
          <w:tcPr>
            <w:tcW w:w="7761" w:type="dxa"/>
            <w:shd w:val="clear" w:color="auto" w:fill="auto"/>
          </w:tcPr>
          <w:p w:rsidR="00C77CB9" w:rsidRPr="000B0F42" w:rsidRDefault="00C77CB9" w:rsidP="00586356">
            <w:pPr>
              <w:rPr>
                <w:rFonts w:cs="Arial"/>
              </w:rPr>
            </w:pPr>
            <w:r w:rsidRPr="000B0F42">
              <w:rPr>
                <w:rFonts w:cs="Arial"/>
              </w:rPr>
              <w:t>European Union Network for the Implementation and E</w:t>
            </w:r>
            <w:r w:rsidR="00936103" w:rsidRPr="000B0F42">
              <w:rPr>
                <w:rFonts w:cs="Arial"/>
              </w:rPr>
              <w:t>nforcement of Environmental Law</w:t>
            </w:r>
          </w:p>
        </w:tc>
      </w:tr>
      <w:tr w:rsidR="004E3C2B" w:rsidRPr="000B0F42" w:rsidTr="000B0F42">
        <w:trPr>
          <w:trHeight w:hRule="exact" w:val="454"/>
        </w:trPr>
        <w:tc>
          <w:tcPr>
            <w:tcW w:w="1526" w:type="dxa"/>
            <w:shd w:val="clear" w:color="auto" w:fill="auto"/>
          </w:tcPr>
          <w:p w:rsidR="004E3C2B" w:rsidRPr="000B0F42" w:rsidRDefault="004E3C2B" w:rsidP="00586356">
            <w:pPr>
              <w:rPr>
                <w:rFonts w:cs="Arial"/>
              </w:rPr>
            </w:pPr>
            <w:r w:rsidRPr="000B0F42">
              <w:rPr>
                <w:rFonts w:cs="Arial"/>
              </w:rPr>
              <w:t>IPPC</w:t>
            </w:r>
          </w:p>
        </w:tc>
        <w:tc>
          <w:tcPr>
            <w:tcW w:w="7761" w:type="dxa"/>
            <w:shd w:val="clear" w:color="auto" w:fill="auto"/>
          </w:tcPr>
          <w:p w:rsidR="004E3C2B" w:rsidRPr="000B0F42" w:rsidRDefault="004E3C2B" w:rsidP="00586356">
            <w:pPr>
              <w:rPr>
                <w:rFonts w:cs="Arial"/>
              </w:rPr>
            </w:pPr>
            <w:r w:rsidRPr="000B0F42">
              <w:rPr>
                <w:rFonts w:cs="Arial"/>
              </w:rPr>
              <w:t>Integrated pollution prevention and control</w:t>
            </w:r>
          </w:p>
        </w:tc>
      </w:tr>
      <w:tr w:rsidR="00C77CB9" w:rsidRPr="000B0F42" w:rsidTr="000B0F42">
        <w:trPr>
          <w:trHeight w:hRule="exact" w:val="454"/>
        </w:trPr>
        <w:tc>
          <w:tcPr>
            <w:tcW w:w="1526" w:type="dxa"/>
            <w:shd w:val="clear" w:color="auto" w:fill="auto"/>
          </w:tcPr>
          <w:p w:rsidR="00C77CB9" w:rsidRPr="000B0F42" w:rsidRDefault="00C77CB9" w:rsidP="00586356">
            <w:pPr>
              <w:rPr>
                <w:rFonts w:cs="Arial"/>
              </w:rPr>
            </w:pPr>
            <w:r w:rsidRPr="000B0F42">
              <w:rPr>
                <w:rFonts w:cs="Arial"/>
              </w:rPr>
              <w:t>JI</w:t>
            </w:r>
          </w:p>
        </w:tc>
        <w:tc>
          <w:tcPr>
            <w:tcW w:w="7761" w:type="dxa"/>
            <w:shd w:val="clear" w:color="auto" w:fill="auto"/>
          </w:tcPr>
          <w:p w:rsidR="00C77CB9" w:rsidRPr="000B0F42" w:rsidRDefault="00C77CB9" w:rsidP="00586356">
            <w:pPr>
              <w:rPr>
                <w:rFonts w:cs="Arial"/>
              </w:rPr>
            </w:pPr>
            <w:r w:rsidRPr="000B0F42">
              <w:rPr>
                <w:rFonts w:cs="Arial"/>
              </w:rPr>
              <w:t>Joint Implementation mechanism</w:t>
            </w:r>
          </w:p>
        </w:tc>
      </w:tr>
      <w:tr w:rsidR="009770C5" w:rsidRPr="000B0F42" w:rsidTr="000B0F42">
        <w:trPr>
          <w:trHeight w:hRule="exact" w:val="454"/>
        </w:trPr>
        <w:tc>
          <w:tcPr>
            <w:tcW w:w="1526" w:type="dxa"/>
            <w:shd w:val="clear" w:color="auto" w:fill="auto"/>
          </w:tcPr>
          <w:p w:rsidR="009770C5" w:rsidRPr="000B0F42" w:rsidRDefault="009770C5" w:rsidP="00586356">
            <w:pPr>
              <w:rPr>
                <w:rFonts w:cs="Arial"/>
              </w:rPr>
            </w:pPr>
            <w:r w:rsidRPr="000B0F42">
              <w:rPr>
                <w:rFonts w:cs="Arial"/>
              </w:rPr>
              <w:t>JSC</w:t>
            </w:r>
          </w:p>
        </w:tc>
        <w:tc>
          <w:tcPr>
            <w:tcW w:w="7761" w:type="dxa"/>
            <w:shd w:val="clear" w:color="auto" w:fill="auto"/>
          </w:tcPr>
          <w:p w:rsidR="009770C5" w:rsidRPr="000B0F42" w:rsidRDefault="009770C5" w:rsidP="00586356">
            <w:pPr>
              <w:rPr>
                <w:rFonts w:cs="Arial"/>
              </w:rPr>
            </w:pPr>
            <w:r w:rsidRPr="000B0F42">
              <w:rPr>
                <w:rFonts w:cs="Arial"/>
              </w:rPr>
              <w:t>Joint Stock Company</w:t>
            </w:r>
          </w:p>
        </w:tc>
      </w:tr>
      <w:tr w:rsidR="008B4C8C" w:rsidRPr="000B0F42" w:rsidTr="000B0F42">
        <w:trPr>
          <w:trHeight w:hRule="exact" w:val="454"/>
        </w:trPr>
        <w:tc>
          <w:tcPr>
            <w:tcW w:w="1526" w:type="dxa"/>
            <w:shd w:val="clear" w:color="auto" w:fill="auto"/>
          </w:tcPr>
          <w:p w:rsidR="008B4C8C" w:rsidRPr="000B0F42" w:rsidRDefault="008B4C8C" w:rsidP="00586356">
            <w:pPr>
              <w:rPr>
                <w:rFonts w:cs="Arial"/>
              </w:rPr>
            </w:pPr>
            <w:r w:rsidRPr="000B0F42">
              <w:rPr>
                <w:rFonts w:cs="Arial"/>
              </w:rPr>
              <w:t>LEZs</w:t>
            </w:r>
          </w:p>
        </w:tc>
        <w:tc>
          <w:tcPr>
            <w:tcW w:w="7761" w:type="dxa"/>
            <w:shd w:val="clear" w:color="auto" w:fill="auto"/>
          </w:tcPr>
          <w:p w:rsidR="008B4C8C" w:rsidRPr="000B0F42" w:rsidRDefault="008B4C8C" w:rsidP="00586356">
            <w:pPr>
              <w:rPr>
                <w:rFonts w:cs="Arial"/>
              </w:rPr>
            </w:pPr>
            <w:r w:rsidRPr="000B0F42">
              <w:rPr>
                <w:rFonts w:cs="Arial"/>
              </w:rPr>
              <w:t>Low Emission Zones</w:t>
            </w:r>
          </w:p>
        </w:tc>
      </w:tr>
      <w:tr w:rsidR="004E3C2B" w:rsidRPr="000B0F42" w:rsidTr="000B0F42">
        <w:trPr>
          <w:trHeight w:hRule="exact" w:val="454"/>
        </w:trPr>
        <w:tc>
          <w:tcPr>
            <w:tcW w:w="1526" w:type="dxa"/>
            <w:shd w:val="clear" w:color="auto" w:fill="auto"/>
          </w:tcPr>
          <w:p w:rsidR="004E3C2B" w:rsidRPr="000B0F42" w:rsidRDefault="004E3C2B" w:rsidP="00586356">
            <w:pPr>
              <w:rPr>
                <w:rFonts w:cs="Arial"/>
              </w:rPr>
            </w:pPr>
            <w:r w:rsidRPr="000B0F42">
              <w:rPr>
                <w:rFonts w:cs="Arial"/>
              </w:rPr>
              <w:t>MFF</w:t>
            </w:r>
          </w:p>
        </w:tc>
        <w:tc>
          <w:tcPr>
            <w:tcW w:w="7761" w:type="dxa"/>
            <w:shd w:val="clear" w:color="auto" w:fill="auto"/>
          </w:tcPr>
          <w:p w:rsidR="004E3C2B" w:rsidRPr="000B0F42" w:rsidRDefault="004E3C2B" w:rsidP="00586356">
            <w:pPr>
              <w:rPr>
                <w:rFonts w:cs="Arial"/>
              </w:rPr>
            </w:pPr>
            <w:r w:rsidRPr="000B0F42">
              <w:rPr>
                <w:rFonts w:cs="Arial"/>
              </w:rPr>
              <w:t>Multiannual Financial Framework</w:t>
            </w:r>
          </w:p>
        </w:tc>
      </w:tr>
      <w:tr w:rsidR="00C77CB9" w:rsidRPr="000B0F42" w:rsidTr="000B0F42">
        <w:trPr>
          <w:trHeight w:hRule="exact" w:val="454"/>
        </w:trPr>
        <w:tc>
          <w:tcPr>
            <w:tcW w:w="1526" w:type="dxa"/>
            <w:shd w:val="clear" w:color="auto" w:fill="auto"/>
          </w:tcPr>
          <w:p w:rsidR="00C77CB9" w:rsidRPr="000B0F42" w:rsidRDefault="00F256C3" w:rsidP="00586356">
            <w:pPr>
              <w:rPr>
                <w:rFonts w:cs="Arial"/>
              </w:rPr>
            </w:pPr>
            <w:r w:rsidRPr="000B0F42">
              <w:rPr>
                <w:rFonts w:cs="Arial"/>
              </w:rPr>
              <w:t>MIGA</w:t>
            </w:r>
          </w:p>
        </w:tc>
        <w:tc>
          <w:tcPr>
            <w:tcW w:w="7761" w:type="dxa"/>
            <w:shd w:val="clear" w:color="auto" w:fill="auto"/>
          </w:tcPr>
          <w:p w:rsidR="00C77CB9" w:rsidRPr="000B0F42" w:rsidRDefault="00F256C3" w:rsidP="00586356">
            <w:pPr>
              <w:rPr>
                <w:rFonts w:cs="Arial"/>
              </w:rPr>
            </w:pPr>
            <w:r w:rsidRPr="000B0F42">
              <w:rPr>
                <w:rFonts w:cs="Arial"/>
              </w:rPr>
              <w:t>Multilateral Investment Guarantee Agency</w:t>
            </w:r>
          </w:p>
        </w:tc>
      </w:tr>
      <w:tr w:rsidR="007E008B" w:rsidRPr="000B0F42" w:rsidTr="000B0F42">
        <w:trPr>
          <w:trHeight w:hRule="exact" w:val="454"/>
        </w:trPr>
        <w:tc>
          <w:tcPr>
            <w:tcW w:w="1526" w:type="dxa"/>
            <w:shd w:val="clear" w:color="auto" w:fill="auto"/>
          </w:tcPr>
          <w:p w:rsidR="007E008B" w:rsidRPr="000B0F42" w:rsidRDefault="007E008B" w:rsidP="00586356">
            <w:pPr>
              <w:rPr>
                <w:rFonts w:cs="Arial"/>
              </w:rPr>
            </w:pPr>
            <w:r w:rsidRPr="000B0F42">
              <w:rPr>
                <w:rFonts w:cs="Arial"/>
              </w:rPr>
              <w:t>MSMEs</w:t>
            </w:r>
          </w:p>
        </w:tc>
        <w:tc>
          <w:tcPr>
            <w:tcW w:w="7761" w:type="dxa"/>
            <w:shd w:val="clear" w:color="auto" w:fill="auto"/>
          </w:tcPr>
          <w:p w:rsidR="007E008B" w:rsidRPr="000B0F42" w:rsidRDefault="007E008B" w:rsidP="00586356">
            <w:pPr>
              <w:rPr>
                <w:rFonts w:cs="Arial"/>
              </w:rPr>
            </w:pPr>
            <w:r w:rsidRPr="000B0F42">
              <w:rPr>
                <w:rFonts w:cs="Arial"/>
              </w:rPr>
              <w:t>Micro, small and medium enterprises</w:t>
            </w:r>
          </w:p>
        </w:tc>
      </w:tr>
      <w:tr w:rsidR="00936103" w:rsidRPr="000B0F42" w:rsidTr="000B0F42">
        <w:trPr>
          <w:trHeight w:hRule="exact" w:val="454"/>
        </w:trPr>
        <w:tc>
          <w:tcPr>
            <w:tcW w:w="1526" w:type="dxa"/>
            <w:shd w:val="clear" w:color="auto" w:fill="auto"/>
          </w:tcPr>
          <w:p w:rsidR="00936103" w:rsidRPr="000B0F42" w:rsidRDefault="00936103" w:rsidP="00586356">
            <w:pPr>
              <w:rPr>
                <w:rFonts w:cs="Arial"/>
              </w:rPr>
            </w:pPr>
            <w:r w:rsidRPr="000B0F42">
              <w:rPr>
                <w:rFonts w:cs="Arial"/>
              </w:rPr>
              <w:t>N</w:t>
            </w:r>
            <w:r w:rsidRPr="000B0F42">
              <w:rPr>
                <w:rFonts w:cs="Arial"/>
                <w:vertAlign w:val="subscript"/>
              </w:rPr>
              <w:t>2</w:t>
            </w:r>
            <w:r w:rsidRPr="000B0F42">
              <w:rPr>
                <w:rFonts w:cs="Arial"/>
              </w:rPr>
              <w:t>O</w:t>
            </w:r>
          </w:p>
        </w:tc>
        <w:tc>
          <w:tcPr>
            <w:tcW w:w="7761" w:type="dxa"/>
            <w:shd w:val="clear" w:color="auto" w:fill="auto"/>
          </w:tcPr>
          <w:p w:rsidR="00936103" w:rsidRPr="000B0F42" w:rsidRDefault="00936103" w:rsidP="00586356">
            <w:pPr>
              <w:rPr>
                <w:rFonts w:cs="Arial"/>
              </w:rPr>
            </w:pPr>
            <w:r w:rsidRPr="000B0F42">
              <w:rPr>
                <w:rFonts w:cs="Arial"/>
              </w:rPr>
              <w:t>Nitrous oxide</w:t>
            </w:r>
          </w:p>
        </w:tc>
      </w:tr>
      <w:tr w:rsidR="004E3C2B" w:rsidRPr="000B0F42" w:rsidTr="000B0F42">
        <w:trPr>
          <w:trHeight w:hRule="exact" w:val="777"/>
        </w:trPr>
        <w:tc>
          <w:tcPr>
            <w:tcW w:w="1526" w:type="dxa"/>
            <w:shd w:val="clear" w:color="auto" w:fill="auto"/>
          </w:tcPr>
          <w:p w:rsidR="004E3C2B" w:rsidRPr="000B0F42" w:rsidRDefault="004E3C2B" w:rsidP="00586356">
            <w:pPr>
              <w:rPr>
                <w:rFonts w:cs="Arial"/>
              </w:rPr>
            </w:pPr>
            <w:r w:rsidRPr="000B0F42">
              <w:rPr>
                <w:rFonts w:cs="Arial"/>
              </w:rPr>
              <w:t>NECD</w:t>
            </w:r>
          </w:p>
        </w:tc>
        <w:tc>
          <w:tcPr>
            <w:tcW w:w="7761" w:type="dxa"/>
            <w:shd w:val="clear" w:color="auto" w:fill="auto"/>
          </w:tcPr>
          <w:p w:rsidR="004E3C2B" w:rsidRPr="000B0F42" w:rsidRDefault="004E3C2B" w:rsidP="00586356">
            <w:pPr>
              <w:rPr>
                <w:rFonts w:cs="Arial"/>
              </w:rPr>
            </w:pPr>
            <w:r w:rsidRPr="000B0F42">
              <w:rPr>
                <w:rFonts w:cs="Arial"/>
              </w:rPr>
              <w:t>Directive 2001/81/EC of the European Parliament and the Council on National Emission Ceilings for certain pollutants</w:t>
            </w:r>
          </w:p>
        </w:tc>
      </w:tr>
      <w:tr w:rsidR="008B4C8C" w:rsidRPr="000B0F42" w:rsidTr="000B0F42">
        <w:trPr>
          <w:trHeight w:hRule="exact" w:val="454"/>
        </w:trPr>
        <w:tc>
          <w:tcPr>
            <w:tcW w:w="1526" w:type="dxa"/>
            <w:shd w:val="clear" w:color="auto" w:fill="auto"/>
          </w:tcPr>
          <w:p w:rsidR="008B4C8C" w:rsidRPr="000B0F42" w:rsidRDefault="008B4C8C" w:rsidP="00586356">
            <w:pPr>
              <w:rPr>
                <w:rFonts w:cs="Arial"/>
              </w:rPr>
            </w:pPr>
            <w:r w:rsidRPr="000B0F42">
              <w:rPr>
                <w:rFonts w:cs="Arial"/>
              </w:rPr>
              <w:t>NEF</w:t>
            </w:r>
          </w:p>
        </w:tc>
        <w:tc>
          <w:tcPr>
            <w:tcW w:w="7761" w:type="dxa"/>
            <w:shd w:val="clear" w:color="auto" w:fill="auto"/>
          </w:tcPr>
          <w:p w:rsidR="008B4C8C" w:rsidRPr="000B0F42" w:rsidRDefault="008B4C8C" w:rsidP="00586356">
            <w:pPr>
              <w:rPr>
                <w:rFonts w:cs="Arial"/>
              </w:rPr>
            </w:pPr>
            <w:r w:rsidRPr="000B0F42">
              <w:rPr>
                <w:rFonts w:cs="Arial"/>
              </w:rPr>
              <w:t>National Ecological Fund</w:t>
            </w:r>
          </w:p>
        </w:tc>
      </w:tr>
      <w:tr w:rsidR="008B4C8C" w:rsidRPr="000B0F42" w:rsidTr="000B0F42">
        <w:trPr>
          <w:trHeight w:hRule="exact" w:val="454"/>
        </w:trPr>
        <w:tc>
          <w:tcPr>
            <w:tcW w:w="1526" w:type="dxa"/>
            <w:shd w:val="clear" w:color="auto" w:fill="auto"/>
          </w:tcPr>
          <w:p w:rsidR="008B4C8C" w:rsidRPr="000B0F42" w:rsidRDefault="008B4C8C" w:rsidP="00586356">
            <w:pPr>
              <w:rPr>
                <w:rFonts w:cs="Arial"/>
              </w:rPr>
            </w:pPr>
            <w:r w:rsidRPr="000B0F42">
              <w:rPr>
                <w:rFonts w:cs="Arial"/>
              </w:rPr>
              <w:t>NGOs</w:t>
            </w:r>
          </w:p>
        </w:tc>
        <w:tc>
          <w:tcPr>
            <w:tcW w:w="7761" w:type="dxa"/>
            <w:shd w:val="clear" w:color="auto" w:fill="auto"/>
          </w:tcPr>
          <w:p w:rsidR="008B4C8C" w:rsidRPr="000B0F42" w:rsidRDefault="008B4C8C" w:rsidP="00586356">
            <w:pPr>
              <w:rPr>
                <w:rFonts w:cs="Arial"/>
              </w:rPr>
            </w:pPr>
            <w:r w:rsidRPr="000B0F42">
              <w:rPr>
                <w:rFonts w:cs="Arial"/>
              </w:rPr>
              <w:t>Non-governmental organizations</w:t>
            </w:r>
          </w:p>
        </w:tc>
      </w:tr>
      <w:tr w:rsidR="008B4C8C" w:rsidRPr="000B0F42" w:rsidTr="000B0F42">
        <w:trPr>
          <w:trHeight w:hRule="exact" w:val="454"/>
        </w:trPr>
        <w:tc>
          <w:tcPr>
            <w:tcW w:w="1526" w:type="dxa"/>
            <w:shd w:val="clear" w:color="auto" w:fill="auto"/>
          </w:tcPr>
          <w:p w:rsidR="008B4C8C" w:rsidRPr="000B0F42" w:rsidRDefault="008B4C8C" w:rsidP="00586356">
            <w:pPr>
              <w:rPr>
                <w:rFonts w:cs="Arial"/>
              </w:rPr>
            </w:pPr>
            <w:r w:rsidRPr="000B0F42">
              <w:rPr>
                <w:rFonts w:cs="Arial"/>
              </w:rPr>
              <w:t>NH</w:t>
            </w:r>
            <w:r w:rsidRPr="000B0F42">
              <w:rPr>
                <w:rFonts w:cs="Arial"/>
                <w:vertAlign w:val="subscript"/>
              </w:rPr>
              <w:t>3</w:t>
            </w:r>
          </w:p>
        </w:tc>
        <w:tc>
          <w:tcPr>
            <w:tcW w:w="7761" w:type="dxa"/>
            <w:shd w:val="clear" w:color="auto" w:fill="auto"/>
          </w:tcPr>
          <w:p w:rsidR="008B4C8C" w:rsidRPr="000B0F42" w:rsidRDefault="008B4C8C" w:rsidP="00586356">
            <w:pPr>
              <w:rPr>
                <w:rFonts w:cs="Arial"/>
              </w:rPr>
            </w:pPr>
            <w:r w:rsidRPr="000B0F42">
              <w:rPr>
                <w:rFonts w:cs="Arial"/>
              </w:rPr>
              <w:t>Ammonia</w:t>
            </w:r>
          </w:p>
        </w:tc>
      </w:tr>
      <w:tr w:rsidR="008B4C8C" w:rsidRPr="000B0F42" w:rsidTr="000B0F42">
        <w:trPr>
          <w:trHeight w:hRule="exact" w:val="454"/>
        </w:trPr>
        <w:tc>
          <w:tcPr>
            <w:tcW w:w="1526" w:type="dxa"/>
            <w:shd w:val="clear" w:color="auto" w:fill="auto"/>
          </w:tcPr>
          <w:p w:rsidR="008B4C8C" w:rsidRPr="000B0F42" w:rsidRDefault="008B4C8C" w:rsidP="00586356">
            <w:pPr>
              <w:rPr>
                <w:rFonts w:cs="Arial"/>
              </w:rPr>
            </w:pPr>
            <w:proofErr w:type="spellStart"/>
            <w:r w:rsidRPr="000B0F42">
              <w:rPr>
                <w:rFonts w:cs="Arial"/>
              </w:rPr>
              <w:t>NOx</w:t>
            </w:r>
            <w:proofErr w:type="spellEnd"/>
          </w:p>
        </w:tc>
        <w:tc>
          <w:tcPr>
            <w:tcW w:w="7761" w:type="dxa"/>
            <w:shd w:val="clear" w:color="auto" w:fill="auto"/>
          </w:tcPr>
          <w:p w:rsidR="008B4C8C" w:rsidRPr="000B0F42" w:rsidRDefault="008B4C8C" w:rsidP="00586356">
            <w:pPr>
              <w:rPr>
                <w:rFonts w:cs="Arial"/>
              </w:rPr>
            </w:pPr>
            <w:r w:rsidRPr="000B0F42">
              <w:rPr>
                <w:rFonts w:cs="Arial"/>
              </w:rPr>
              <w:t>Nitrogen oxides</w:t>
            </w:r>
          </w:p>
        </w:tc>
      </w:tr>
      <w:tr w:rsidR="008B4C8C" w:rsidRPr="000B0F42" w:rsidTr="000B0F42">
        <w:trPr>
          <w:trHeight w:hRule="exact" w:val="454"/>
        </w:trPr>
        <w:tc>
          <w:tcPr>
            <w:tcW w:w="1526" w:type="dxa"/>
            <w:shd w:val="clear" w:color="auto" w:fill="auto"/>
          </w:tcPr>
          <w:p w:rsidR="008B4C8C" w:rsidRPr="000B0F42" w:rsidRDefault="008B4C8C" w:rsidP="00586356">
            <w:pPr>
              <w:rPr>
                <w:rFonts w:cs="Arial"/>
              </w:rPr>
            </w:pPr>
            <w:r w:rsidRPr="000B0F42">
              <w:rPr>
                <w:rFonts w:cs="Arial"/>
              </w:rPr>
              <w:lastRenderedPageBreak/>
              <w:t>OECD</w:t>
            </w:r>
          </w:p>
        </w:tc>
        <w:tc>
          <w:tcPr>
            <w:tcW w:w="7761" w:type="dxa"/>
            <w:shd w:val="clear" w:color="auto" w:fill="auto"/>
          </w:tcPr>
          <w:p w:rsidR="008B4C8C" w:rsidRPr="000B0F42" w:rsidRDefault="008B4C8C" w:rsidP="00586356">
            <w:pPr>
              <w:rPr>
                <w:rFonts w:cs="Arial"/>
              </w:rPr>
            </w:pPr>
            <w:r w:rsidRPr="000B0F42">
              <w:rPr>
                <w:rFonts w:cs="Arial"/>
              </w:rPr>
              <w:t>Organisation for Economic Co-operation and Development</w:t>
            </w:r>
          </w:p>
        </w:tc>
      </w:tr>
      <w:tr w:rsidR="008B4C8C" w:rsidRPr="000B0F42" w:rsidTr="000B0F42">
        <w:trPr>
          <w:trHeight w:hRule="exact" w:val="454"/>
        </w:trPr>
        <w:tc>
          <w:tcPr>
            <w:tcW w:w="1526" w:type="dxa"/>
            <w:shd w:val="clear" w:color="auto" w:fill="auto"/>
          </w:tcPr>
          <w:p w:rsidR="008B4C8C" w:rsidRPr="000B0F42" w:rsidRDefault="008B4C8C" w:rsidP="00586356">
            <w:pPr>
              <w:rPr>
                <w:rFonts w:cs="Arial"/>
              </w:rPr>
            </w:pPr>
            <w:r w:rsidRPr="000B0F42">
              <w:rPr>
                <w:rFonts w:cs="Arial"/>
              </w:rPr>
              <w:t>PFCs</w:t>
            </w:r>
          </w:p>
        </w:tc>
        <w:tc>
          <w:tcPr>
            <w:tcW w:w="7761" w:type="dxa"/>
            <w:shd w:val="clear" w:color="auto" w:fill="auto"/>
          </w:tcPr>
          <w:p w:rsidR="008B4C8C" w:rsidRPr="000B0F42" w:rsidRDefault="008B4C8C" w:rsidP="00586356">
            <w:pPr>
              <w:rPr>
                <w:rFonts w:cs="Arial"/>
              </w:rPr>
            </w:pPr>
            <w:proofErr w:type="spellStart"/>
            <w:r w:rsidRPr="000B0F42">
              <w:rPr>
                <w:rFonts w:cs="Arial"/>
              </w:rPr>
              <w:t>Perfluorocarbons</w:t>
            </w:r>
            <w:proofErr w:type="spellEnd"/>
          </w:p>
        </w:tc>
      </w:tr>
      <w:tr w:rsidR="008B4C8C" w:rsidRPr="000B0F42" w:rsidTr="000B0F42">
        <w:trPr>
          <w:trHeight w:hRule="exact" w:val="454"/>
        </w:trPr>
        <w:tc>
          <w:tcPr>
            <w:tcW w:w="1526" w:type="dxa"/>
            <w:shd w:val="clear" w:color="auto" w:fill="auto"/>
          </w:tcPr>
          <w:p w:rsidR="008B4C8C" w:rsidRPr="000B0F42" w:rsidRDefault="008B4C8C" w:rsidP="00586356">
            <w:pPr>
              <w:rPr>
                <w:rFonts w:cs="Arial"/>
              </w:rPr>
            </w:pPr>
            <w:r w:rsidRPr="000B0F42">
              <w:rPr>
                <w:rFonts w:cs="Arial"/>
              </w:rPr>
              <w:t>RES</w:t>
            </w:r>
          </w:p>
        </w:tc>
        <w:tc>
          <w:tcPr>
            <w:tcW w:w="7761" w:type="dxa"/>
            <w:shd w:val="clear" w:color="auto" w:fill="auto"/>
          </w:tcPr>
          <w:p w:rsidR="008B4C8C" w:rsidRPr="000B0F42" w:rsidRDefault="008B4C8C" w:rsidP="00586356">
            <w:pPr>
              <w:rPr>
                <w:rFonts w:cs="Arial"/>
              </w:rPr>
            </w:pPr>
            <w:r w:rsidRPr="000B0F42">
              <w:rPr>
                <w:rFonts w:cs="Arial"/>
              </w:rPr>
              <w:t>Renewable energy sources</w:t>
            </w:r>
          </w:p>
        </w:tc>
      </w:tr>
      <w:tr w:rsidR="008B4C8C" w:rsidRPr="000B0F42" w:rsidTr="000B0F42">
        <w:trPr>
          <w:trHeight w:hRule="exact" w:val="454"/>
        </w:trPr>
        <w:tc>
          <w:tcPr>
            <w:tcW w:w="1526" w:type="dxa"/>
            <w:shd w:val="clear" w:color="auto" w:fill="auto"/>
          </w:tcPr>
          <w:p w:rsidR="008B4C8C" w:rsidRPr="000B0F42" w:rsidRDefault="008B4C8C" w:rsidP="00586356">
            <w:pPr>
              <w:rPr>
                <w:rFonts w:cs="Arial"/>
              </w:rPr>
            </w:pPr>
            <w:r w:rsidRPr="000B0F42">
              <w:rPr>
                <w:rFonts w:cs="Arial"/>
              </w:rPr>
              <w:t>SCCF</w:t>
            </w:r>
          </w:p>
        </w:tc>
        <w:tc>
          <w:tcPr>
            <w:tcW w:w="7761" w:type="dxa"/>
            <w:shd w:val="clear" w:color="auto" w:fill="auto"/>
          </w:tcPr>
          <w:p w:rsidR="008B4C8C" w:rsidRPr="000B0F42" w:rsidRDefault="008B4C8C" w:rsidP="00586356">
            <w:pPr>
              <w:rPr>
                <w:rFonts w:cs="Arial"/>
              </w:rPr>
            </w:pPr>
            <w:r w:rsidRPr="000B0F42">
              <w:rPr>
                <w:rFonts w:cs="Arial"/>
              </w:rPr>
              <w:t>Special Climate Change Fund</w:t>
            </w:r>
          </w:p>
        </w:tc>
      </w:tr>
      <w:tr w:rsidR="008B4C8C" w:rsidRPr="000B0F42" w:rsidTr="000B0F42">
        <w:trPr>
          <w:trHeight w:hRule="exact" w:val="454"/>
        </w:trPr>
        <w:tc>
          <w:tcPr>
            <w:tcW w:w="1526" w:type="dxa"/>
            <w:shd w:val="clear" w:color="auto" w:fill="auto"/>
          </w:tcPr>
          <w:p w:rsidR="008B4C8C" w:rsidRPr="000B0F42" w:rsidRDefault="008B4C8C" w:rsidP="00586356">
            <w:pPr>
              <w:rPr>
                <w:rFonts w:cs="Arial"/>
              </w:rPr>
            </w:pPr>
            <w:r w:rsidRPr="000B0F42">
              <w:rPr>
                <w:rFonts w:cs="Arial"/>
              </w:rPr>
              <w:t>SIDS</w:t>
            </w:r>
          </w:p>
        </w:tc>
        <w:tc>
          <w:tcPr>
            <w:tcW w:w="7761" w:type="dxa"/>
            <w:shd w:val="clear" w:color="auto" w:fill="auto"/>
          </w:tcPr>
          <w:p w:rsidR="008B4C8C" w:rsidRPr="000B0F42" w:rsidRDefault="008B4C8C" w:rsidP="00586356">
            <w:pPr>
              <w:rPr>
                <w:rFonts w:cs="Arial"/>
              </w:rPr>
            </w:pPr>
            <w:r w:rsidRPr="000B0F42">
              <w:rPr>
                <w:rFonts w:cs="Arial"/>
              </w:rPr>
              <w:t>Small Island Developing States</w:t>
            </w:r>
          </w:p>
        </w:tc>
      </w:tr>
      <w:tr w:rsidR="008B4C8C" w:rsidRPr="000B0F42" w:rsidTr="000B0F42">
        <w:trPr>
          <w:trHeight w:hRule="exact" w:val="454"/>
        </w:trPr>
        <w:tc>
          <w:tcPr>
            <w:tcW w:w="1526" w:type="dxa"/>
            <w:shd w:val="clear" w:color="auto" w:fill="auto"/>
          </w:tcPr>
          <w:p w:rsidR="008B4C8C" w:rsidRPr="000B0F42" w:rsidRDefault="008B4C8C" w:rsidP="00586356">
            <w:pPr>
              <w:rPr>
                <w:rFonts w:cs="Arial"/>
              </w:rPr>
            </w:pPr>
            <w:r w:rsidRPr="000B0F42">
              <w:rPr>
                <w:rFonts w:cs="Arial"/>
              </w:rPr>
              <w:t>SMEs</w:t>
            </w:r>
          </w:p>
        </w:tc>
        <w:tc>
          <w:tcPr>
            <w:tcW w:w="7761" w:type="dxa"/>
            <w:shd w:val="clear" w:color="auto" w:fill="auto"/>
          </w:tcPr>
          <w:p w:rsidR="008B4C8C" w:rsidRPr="000B0F42" w:rsidRDefault="008B4C8C" w:rsidP="00586356">
            <w:pPr>
              <w:rPr>
                <w:rFonts w:cs="Arial"/>
              </w:rPr>
            </w:pPr>
            <w:r w:rsidRPr="000B0F42">
              <w:rPr>
                <w:rFonts w:cs="Arial"/>
              </w:rPr>
              <w:t>Small and medium enterprises</w:t>
            </w:r>
          </w:p>
        </w:tc>
      </w:tr>
      <w:tr w:rsidR="008B4C8C" w:rsidRPr="000B0F42" w:rsidTr="000B0F42">
        <w:trPr>
          <w:trHeight w:hRule="exact" w:val="454"/>
        </w:trPr>
        <w:tc>
          <w:tcPr>
            <w:tcW w:w="1526" w:type="dxa"/>
            <w:shd w:val="clear" w:color="auto" w:fill="auto"/>
          </w:tcPr>
          <w:p w:rsidR="008B4C8C" w:rsidRPr="000B0F42" w:rsidRDefault="008B4C8C" w:rsidP="00586356">
            <w:pPr>
              <w:rPr>
                <w:rFonts w:cs="Arial"/>
              </w:rPr>
            </w:pPr>
            <w:r w:rsidRPr="000B0F42">
              <w:rPr>
                <w:rFonts w:cs="Arial"/>
              </w:rPr>
              <w:t>UN</w:t>
            </w:r>
          </w:p>
        </w:tc>
        <w:tc>
          <w:tcPr>
            <w:tcW w:w="7761" w:type="dxa"/>
            <w:shd w:val="clear" w:color="auto" w:fill="auto"/>
          </w:tcPr>
          <w:p w:rsidR="008B4C8C" w:rsidRPr="000B0F42" w:rsidRDefault="008B4C8C" w:rsidP="00586356">
            <w:pPr>
              <w:rPr>
                <w:rFonts w:cs="Arial"/>
              </w:rPr>
            </w:pPr>
            <w:r w:rsidRPr="000B0F42">
              <w:rPr>
                <w:rFonts w:cs="Arial"/>
              </w:rPr>
              <w:t>United Nations</w:t>
            </w:r>
          </w:p>
        </w:tc>
      </w:tr>
      <w:tr w:rsidR="008B4C8C" w:rsidRPr="000B0F42" w:rsidTr="000B0F42">
        <w:trPr>
          <w:trHeight w:hRule="exact" w:val="454"/>
        </w:trPr>
        <w:tc>
          <w:tcPr>
            <w:tcW w:w="1526" w:type="dxa"/>
            <w:shd w:val="clear" w:color="auto" w:fill="auto"/>
          </w:tcPr>
          <w:p w:rsidR="008B4C8C" w:rsidRPr="000B0F42" w:rsidRDefault="008B4C8C" w:rsidP="00586356">
            <w:pPr>
              <w:rPr>
                <w:rFonts w:cs="Arial"/>
              </w:rPr>
            </w:pPr>
            <w:r w:rsidRPr="000B0F42">
              <w:rPr>
                <w:rFonts w:cs="Arial"/>
              </w:rPr>
              <w:t>UNDP</w:t>
            </w:r>
          </w:p>
        </w:tc>
        <w:tc>
          <w:tcPr>
            <w:tcW w:w="7761" w:type="dxa"/>
            <w:shd w:val="clear" w:color="auto" w:fill="auto"/>
          </w:tcPr>
          <w:p w:rsidR="008B4C8C" w:rsidRPr="000B0F42" w:rsidRDefault="008B4C8C" w:rsidP="00586356">
            <w:pPr>
              <w:rPr>
                <w:rFonts w:cs="Arial"/>
              </w:rPr>
            </w:pPr>
            <w:r w:rsidRPr="000B0F42">
              <w:rPr>
                <w:rFonts w:cs="Arial"/>
              </w:rPr>
              <w:t>United Nations Development Programme</w:t>
            </w:r>
          </w:p>
        </w:tc>
      </w:tr>
      <w:tr w:rsidR="008B4C8C" w:rsidRPr="000B0F42" w:rsidTr="000B0F42">
        <w:trPr>
          <w:trHeight w:hRule="exact" w:val="454"/>
        </w:trPr>
        <w:tc>
          <w:tcPr>
            <w:tcW w:w="1526" w:type="dxa"/>
            <w:shd w:val="clear" w:color="auto" w:fill="auto"/>
          </w:tcPr>
          <w:p w:rsidR="008B4C8C" w:rsidRPr="000B0F42" w:rsidRDefault="008B4C8C" w:rsidP="00586356">
            <w:pPr>
              <w:rPr>
                <w:rFonts w:cs="Arial"/>
              </w:rPr>
            </w:pPr>
            <w:r w:rsidRPr="000B0F42">
              <w:rPr>
                <w:rFonts w:cs="Arial"/>
              </w:rPr>
              <w:t>UNFCCC</w:t>
            </w:r>
          </w:p>
        </w:tc>
        <w:tc>
          <w:tcPr>
            <w:tcW w:w="7761" w:type="dxa"/>
            <w:shd w:val="clear" w:color="auto" w:fill="auto"/>
          </w:tcPr>
          <w:p w:rsidR="008B4C8C" w:rsidRPr="000B0F42" w:rsidRDefault="008B4C8C" w:rsidP="00586356">
            <w:pPr>
              <w:rPr>
                <w:rFonts w:cs="Arial"/>
              </w:rPr>
            </w:pPr>
            <w:r w:rsidRPr="000B0F42">
              <w:rPr>
                <w:rFonts w:cs="Arial"/>
              </w:rPr>
              <w:t>United Nations Framework Convention on Climate Change</w:t>
            </w:r>
          </w:p>
        </w:tc>
      </w:tr>
      <w:tr w:rsidR="008B4C8C" w:rsidRPr="000B0F42" w:rsidTr="000B0F42">
        <w:trPr>
          <w:trHeight w:hRule="exact" w:val="454"/>
        </w:trPr>
        <w:tc>
          <w:tcPr>
            <w:tcW w:w="1526" w:type="dxa"/>
            <w:shd w:val="clear" w:color="auto" w:fill="auto"/>
          </w:tcPr>
          <w:p w:rsidR="008B4C8C" w:rsidRPr="000B0F42" w:rsidRDefault="008B4C8C" w:rsidP="00586356">
            <w:pPr>
              <w:rPr>
                <w:rFonts w:cs="Arial"/>
              </w:rPr>
            </w:pPr>
            <w:r w:rsidRPr="000B0F42">
              <w:rPr>
                <w:rFonts w:cs="Arial"/>
              </w:rPr>
              <w:t>WB</w:t>
            </w:r>
          </w:p>
        </w:tc>
        <w:tc>
          <w:tcPr>
            <w:tcW w:w="7761" w:type="dxa"/>
            <w:shd w:val="clear" w:color="auto" w:fill="auto"/>
          </w:tcPr>
          <w:p w:rsidR="008B4C8C" w:rsidRPr="000B0F42" w:rsidRDefault="008B4C8C" w:rsidP="00586356">
            <w:pPr>
              <w:rPr>
                <w:rFonts w:cs="Arial"/>
              </w:rPr>
            </w:pPr>
            <w:r w:rsidRPr="000B0F42">
              <w:rPr>
                <w:rFonts w:cs="Arial"/>
              </w:rPr>
              <w:t>World Bank</w:t>
            </w:r>
          </w:p>
        </w:tc>
      </w:tr>
      <w:tr w:rsidR="008B4C8C" w:rsidRPr="000B0F42" w:rsidTr="000B0F42">
        <w:trPr>
          <w:trHeight w:hRule="exact" w:val="454"/>
        </w:trPr>
        <w:tc>
          <w:tcPr>
            <w:tcW w:w="1526" w:type="dxa"/>
            <w:shd w:val="clear" w:color="auto" w:fill="auto"/>
          </w:tcPr>
          <w:p w:rsidR="008B4C8C" w:rsidRPr="000B0F42" w:rsidRDefault="008B4C8C" w:rsidP="00586356">
            <w:pPr>
              <w:rPr>
                <w:rFonts w:cs="Arial"/>
              </w:rPr>
            </w:pPr>
          </w:p>
        </w:tc>
        <w:tc>
          <w:tcPr>
            <w:tcW w:w="7761" w:type="dxa"/>
            <w:shd w:val="clear" w:color="auto" w:fill="auto"/>
          </w:tcPr>
          <w:p w:rsidR="008B4C8C" w:rsidRPr="000B0F42" w:rsidRDefault="008B4C8C" w:rsidP="00586356">
            <w:pPr>
              <w:rPr>
                <w:rFonts w:cs="Arial"/>
              </w:rPr>
            </w:pPr>
          </w:p>
        </w:tc>
      </w:tr>
    </w:tbl>
    <w:p w:rsidR="00566D4C" w:rsidRPr="00AF527F" w:rsidRDefault="00C77CB9" w:rsidP="00AF527F">
      <w:pPr>
        <w:pStyle w:val="Heading1"/>
        <w:numPr>
          <w:ilvl w:val="0"/>
          <w:numId w:val="0"/>
        </w:numPr>
        <w:ind w:left="425" w:hanging="425"/>
        <w:rPr>
          <w:rFonts w:cs="Arial"/>
          <w:sz w:val="20"/>
          <w:lang w:val="lv-LV"/>
        </w:rPr>
      </w:pPr>
      <w:r>
        <w:rPr>
          <w:rFonts w:cs="Arial"/>
          <w:sz w:val="20"/>
        </w:rPr>
        <w:br w:type="page"/>
      </w:r>
      <w:bookmarkStart w:id="13" w:name="_Toc387396912"/>
      <w:r w:rsidR="00566D4C" w:rsidRPr="008E49E0">
        <w:lastRenderedPageBreak/>
        <w:t>B</w:t>
      </w:r>
      <w:r w:rsidR="00AF527F">
        <w:rPr>
          <w:lang w:val="lv-LV"/>
        </w:rPr>
        <w:t>ackground</w:t>
      </w:r>
      <w:bookmarkEnd w:id="13"/>
    </w:p>
    <w:p w:rsidR="00566D4C" w:rsidRPr="007A4389" w:rsidRDefault="007A4389" w:rsidP="007A4389">
      <w:pPr>
        <w:spacing w:before="0" w:after="120"/>
      </w:pPr>
      <w:r>
        <w:t>This report is</w:t>
      </w:r>
      <w:r w:rsidR="00566D4C" w:rsidRPr="007A4389">
        <w:t xml:space="preserve"> prepared in the frame</w:t>
      </w:r>
      <w:r w:rsidR="00EB478E" w:rsidRPr="007A4389">
        <w:t>work</w:t>
      </w:r>
      <w:r w:rsidR="00566D4C" w:rsidRPr="007A4389">
        <w:t xml:space="preserve"> of Air Quality</w:t>
      </w:r>
      <w:r w:rsidRPr="007A4389">
        <w:t xml:space="preserve"> Governance project, Component 1</w:t>
      </w:r>
      <w:r w:rsidR="00566D4C" w:rsidRPr="007A4389">
        <w:t xml:space="preserve"> </w:t>
      </w:r>
      <w:r w:rsidRPr="007A4389">
        <w:t>–</w:t>
      </w:r>
      <w:r w:rsidR="00566D4C" w:rsidRPr="007A4389">
        <w:t xml:space="preserve"> </w:t>
      </w:r>
      <w:r w:rsidRPr="007A4389">
        <w:rPr>
          <w:i/>
          <w:iCs/>
        </w:rPr>
        <w:t>Common Activities</w:t>
      </w:r>
      <w:r w:rsidRPr="007A4389">
        <w:t xml:space="preserve">, Task 1.4 </w:t>
      </w:r>
      <w:r w:rsidRPr="007A4389">
        <w:rPr>
          <w:i/>
        </w:rPr>
        <w:t>Provide tools for policy makers for offering incentives to improve environmental behaviour</w:t>
      </w:r>
      <w:r w:rsidR="00566D4C" w:rsidRPr="007A4389">
        <w:rPr>
          <w:i/>
        </w:rPr>
        <w:t>.</w:t>
      </w:r>
    </w:p>
    <w:p w:rsidR="007A4389" w:rsidRDefault="007A4389" w:rsidP="00566D4C">
      <w:pPr>
        <w:spacing w:before="0" w:after="120"/>
      </w:pPr>
      <w:r w:rsidRPr="007A4389">
        <w:t xml:space="preserve">The aim of the report is to </w:t>
      </w:r>
      <w:r>
        <w:t xml:space="preserve">provide a set of recommendations for policy makers of appropriate incentive tools for improvement of environmental behaviour of undertakings and individuals, based on the assessment of the current situation in the partner countries, as well as practices used in the selected EU Member States. The countries to whom the recommendations at issue are addressed are </w:t>
      </w:r>
      <w:r w:rsidRPr="007A4389">
        <w:t>Armenia, Azerbaijan, Belarus, Georgia, the Republic of Moldova, the Russian Federation, and Ukraine</w:t>
      </w:r>
      <w:r>
        <w:t>.</w:t>
      </w:r>
    </w:p>
    <w:p w:rsidR="007A4389" w:rsidRDefault="007A4389" w:rsidP="00566D4C">
      <w:pPr>
        <w:spacing w:before="0" w:after="120"/>
      </w:pPr>
      <w:r>
        <w:t xml:space="preserve">Prior to drafting of recommendations, the relevant European experience was analysed, outlining the tools provided at international, European and Member States’ levels. Following the assessment of experience, the analysis of existing situation in partner countries was carried out, based on the publicly available information and </w:t>
      </w:r>
      <w:r w:rsidR="00184FFA">
        <w:t xml:space="preserve">questionnaires </w:t>
      </w:r>
      <w:r w:rsidR="008E49E0">
        <w:t xml:space="preserve">filled in by the local experts, who provided insight in the existing incentive mechanisms in the countries, based on the legislation, communication with relevant authorities and general information derived from the publicly accessible local information sources. </w:t>
      </w:r>
    </w:p>
    <w:p w:rsidR="008733DA" w:rsidRDefault="008733DA" w:rsidP="00566D4C">
      <w:pPr>
        <w:spacing w:before="0" w:after="120"/>
      </w:pPr>
      <w:r>
        <w:t xml:space="preserve">Remaining stages of the project encompassed delineation of relevant tools and instruments </w:t>
      </w:r>
      <w:r w:rsidR="00AF527F">
        <w:t xml:space="preserve">that can be applied in the partner countries, and provision of background information on such instruments, including, </w:t>
      </w:r>
      <w:r w:rsidR="00AF527F" w:rsidRPr="00AF527F">
        <w:rPr>
          <w:i/>
        </w:rPr>
        <w:t>inter alia</w:t>
      </w:r>
      <w:r w:rsidR="00AF527F">
        <w:t>, implementation considerations and potential constraints. The recommendations were tailored to two target groups – business and individual -, where the former included incentives of administrative, economic and fiscal, and reputational nature, while latter provided a wide range of possible measures, starting with informational campaigns, and ending with financial support.</w:t>
      </w:r>
    </w:p>
    <w:p w:rsidR="00AC1179" w:rsidRPr="007A4389" w:rsidRDefault="00AC1179" w:rsidP="00566D4C">
      <w:pPr>
        <w:spacing w:before="0" w:after="120"/>
      </w:pPr>
      <w:r>
        <w:t xml:space="preserve">These recommendations are drafted to encourage the introduction of wider scope of incentive tools that facilitate behavioural changes towards more sustainable choices, with particular emphasis on tools that are of a value in respect of reduction of emissions of air pollutants.  </w:t>
      </w:r>
    </w:p>
    <w:p w:rsidR="00B51BB4" w:rsidRPr="001346FF" w:rsidRDefault="00566D4C" w:rsidP="00AE42EC">
      <w:pPr>
        <w:pStyle w:val="Heading1"/>
        <w:numPr>
          <w:ilvl w:val="0"/>
          <w:numId w:val="0"/>
        </w:numPr>
        <w:spacing w:after="120"/>
        <w:rPr>
          <w:rFonts w:cs="Arial"/>
          <w:sz w:val="22"/>
          <w:szCs w:val="22"/>
        </w:rPr>
      </w:pPr>
      <w:r>
        <w:rPr>
          <w:rFonts w:cs="Arial"/>
          <w:b w:val="0"/>
          <w:caps w:val="0"/>
          <w:color w:val="auto"/>
          <w:sz w:val="20"/>
        </w:rPr>
        <w:br w:type="page"/>
      </w:r>
    </w:p>
    <w:p w:rsidR="00762C9B" w:rsidRPr="001346FF" w:rsidRDefault="00762C9B" w:rsidP="00762C9B">
      <w:pPr>
        <w:pStyle w:val="Heading1"/>
      </w:pPr>
      <w:bookmarkStart w:id="14" w:name="_Toc384307247"/>
      <w:bookmarkStart w:id="15" w:name="_Toc387396913"/>
      <w:bookmarkEnd w:id="10"/>
      <w:bookmarkEnd w:id="11"/>
      <w:r w:rsidRPr="001346FF">
        <w:lastRenderedPageBreak/>
        <w:t>Relevant European experience</w:t>
      </w:r>
      <w:bookmarkEnd w:id="14"/>
      <w:bookmarkEnd w:id="15"/>
    </w:p>
    <w:p w:rsidR="00762C9B" w:rsidRPr="001346FF" w:rsidRDefault="00762C9B" w:rsidP="00762C9B">
      <w:pPr>
        <w:pStyle w:val="Heading2"/>
      </w:pPr>
      <w:bookmarkStart w:id="16" w:name="_Toc384307248"/>
      <w:r w:rsidRPr="001346FF">
        <w:t xml:space="preserve"> </w:t>
      </w:r>
      <w:bookmarkStart w:id="17" w:name="_Toc387396914"/>
      <w:r w:rsidRPr="001346FF">
        <w:t>Introduction</w:t>
      </w:r>
      <w:bookmarkEnd w:id="16"/>
      <w:bookmarkEnd w:id="17"/>
    </w:p>
    <w:p w:rsidR="00762C9B" w:rsidRPr="00476619" w:rsidRDefault="00762C9B" w:rsidP="00762C9B">
      <w:pPr>
        <w:spacing w:after="120"/>
      </w:pPr>
      <w:r w:rsidRPr="001346FF">
        <w:t>State can generally apply two types of measures, when developing tools contributing to the achievement of particular policy objectives – 1) measures requiring compliance and entailing responsibilities and sanctions for non-compliance; and 2) measures of a voluntary nature, where the compliance is based on the target group’s decision to comply with a rule. These two dimensions are also reflected in IMPEL’s “Table of Eleven”</w:t>
      </w:r>
      <w:r w:rsidRPr="001346FF">
        <w:rPr>
          <w:rStyle w:val="FootnoteReference"/>
        </w:rPr>
        <w:footnoteReference w:id="1"/>
      </w:r>
      <w:r w:rsidRPr="001346FF">
        <w:t xml:space="preserve">, referring to them as “enforcement dimension” and “spontaneous compliance dimension” (which, not to be misled by its title, also foresee certain types of enforcement activities). This work will focus on analysis of the latter type of instruments, mainly, on instruments serving more as incentives, and will provide examples of economic and financial instruments available at the EU level and practices implemented by a selected </w:t>
      </w:r>
      <w:r w:rsidRPr="00476619">
        <w:t>representative Member States, focusing on the sectors, most relevant to the pollution of the ambient air.</w:t>
      </w:r>
    </w:p>
    <w:p w:rsidR="00D15E57" w:rsidRPr="00476619" w:rsidRDefault="00D15E57" w:rsidP="00762C9B">
      <w:pPr>
        <w:spacing w:after="120"/>
      </w:pPr>
      <w:r w:rsidRPr="00476619">
        <w:t xml:space="preserve">The observed practices can be divided in three types – administrative, economic (fiscal), and reputational. In addition to these incentives there are also various individuals-targeting measures, like public awareness campaigns (e.g. Earth Day, Earth Hour etc.), financial support and other tools, to be discussed further in the report. </w:t>
      </w:r>
      <w:r w:rsidR="00986389" w:rsidRPr="00476619">
        <w:t>Informational campaigns can also be used in the case of undertakings, educating entrepreneurs about the benefits of being more environment-friendly.</w:t>
      </w:r>
    </w:p>
    <w:p w:rsidR="00D15E57" w:rsidRPr="00476619" w:rsidRDefault="00D15E57" w:rsidP="00D15E57">
      <w:pPr>
        <w:spacing w:after="120"/>
      </w:pPr>
      <w:r w:rsidRPr="00476619">
        <w:rPr>
          <w:u w:val="single"/>
        </w:rPr>
        <w:t>Administrative incentives</w:t>
      </w:r>
      <w:r w:rsidRPr="00476619">
        <w:t xml:space="preserve"> encourage undertakings to improve their environmental behaviour by providing instruments that give more flexibility or reduce the burden imposed by the respective legislation. This type of incentives is available to undertakings that are subject to the relevant legislation (e.g., legislation on industrial permits), meaning that, for example, the undertakings that introduce less polluting technologies will have less stringent or more flexible regulatory compliance burden.</w:t>
      </w:r>
    </w:p>
    <w:p w:rsidR="00D15E57" w:rsidRPr="00476619" w:rsidRDefault="00D15E57" w:rsidP="00D15E57">
      <w:pPr>
        <w:spacing w:after="120"/>
      </w:pPr>
      <w:r w:rsidRPr="00476619">
        <w:rPr>
          <w:u w:val="single"/>
        </w:rPr>
        <w:t>Economic incentives</w:t>
      </w:r>
      <w:r w:rsidRPr="00476619">
        <w:t xml:space="preserve"> are introduced either through voluntary or compulsory instruments. They stimulate shift towards more environment-friendly behaviour by providing reduced fiscal rates (taxes) or financial support (as well as reduced costs) for undertakings/individuals as a reward for exceeding minimum mandatory environmental standards.</w:t>
      </w:r>
    </w:p>
    <w:p w:rsidR="00D15E57" w:rsidRPr="001346FF" w:rsidRDefault="00D15E57" w:rsidP="00762C9B">
      <w:pPr>
        <w:spacing w:after="120"/>
      </w:pPr>
      <w:r w:rsidRPr="00476619">
        <w:rPr>
          <w:u w:val="single"/>
        </w:rPr>
        <w:t>Reputation incentives</w:t>
      </w:r>
      <w:r w:rsidRPr="00476619">
        <w:t xml:space="preserve"> motivate undertakings to choose more environment-friendly behaviour in order to create a reputation as an environmentally conscious undertaking, which in turn ensures recognition among the consumers and general public at large. Usually the information on the undertaking’s choice to be more environment-conscious is provided to the general public in an easily accessible manner.</w:t>
      </w:r>
    </w:p>
    <w:p w:rsidR="00762C9B" w:rsidRPr="001346FF" w:rsidRDefault="00762C9B" w:rsidP="00762C9B">
      <w:pPr>
        <w:spacing w:after="120"/>
      </w:pPr>
    </w:p>
    <w:p w:rsidR="00762C9B" w:rsidRPr="001346FF" w:rsidRDefault="00762C9B" w:rsidP="00762C9B">
      <w:pPr>
        <w:pStyle w:val="Heading2"/>
      </w:pPr>
      <w:bookmarkStart w:id="18" w:name="_Toc384307249"/>
      <w:bookmarkStart w:id="19" w:name="_Toc387396915"/>
      <w:r w:rsidRPr="001346FF">
        <w:t>Observation of relevant tools used in Europe</w:t>
      </w:r>
      <w:bookmarkEnd w:id="18"/>
      <w:bookmarkEnd w:id="19"/>
    </w:p>
    <w:p w:rsidR="00762C9B" w:rsidRPr="001346FF" w:rsidRDefault="00762C9B" w:rsidP="00762C9B">
      <w:pPr>
        <w:spacing w:after="120"/>
        <w:rPr>
          <w:lang w:eastAsia="en-GB"/>
        </w:rPr>
      </w:pPr>
      <w:r w:rsidRPr="001346FF">
        <w:rPr>
          <w:lang w:eastAsia="en-GB"/>
        </w:rPr>
        <w:t xml:space="preserve">As it was already mentioned, one of the ways, how to facilitate the achievement of environmental targets, either imposed by means of international agreements or being a part of environmental policy, is by using available tools serving “incentive” purpose, such as certain types of funding or support mechanisms. In the context of tools applicable at the EU level, probably the most illustrative examples in this case relate to various funding options and financial instruments as </w:t>
      </w:r>
      <w:r w:rsidRPr="001346FF">
        <w:rPr>
          <w:lang w:eastAsia="en-GB"/>
        </w:rPr>
        <w:lastRenderedPageBreak/>
        <w:t>such, that are available either internationally or are developed within the EU for application in EU Member States. Both of these categories will be briefly described in the subsequent chapters.</w:t>
      </w:r>
    </w:p>
    <w:p w:rsidR="00762C9B" w:rsidRPr="001346FF" w:rsidRDefault="00762C9B" w:rsidP="00762C9B">
      <w:pPr>
        <w:pStyle w:val="Heading3"/>
        <w:numPr>
          <w:ilvl w:val="0"/>
          <w:numId w:val="0"/>
        </w:numPr>
        <w:ind w:left="709" w:hanging="709"/>
      </w:pPr>
      <w:bookmarkStart w:id="20" w:name="_Toc384307250"/>
      <w:bookmarkStart w:id="21" w:name="_Toc387396916"/>
      <w:r w:rsidRPr="001346FF">
        <w:t>International tools</w:t>
      </w:r>
      <w:bookmarkEnd w:id="20"/>
      <w:bookmarkEnd w:id="21"/>
    </w:p>
    <w:p w:rsidR="00762C9B" w:rsidRPr="001346FF" w:rsidRDefault="00762C9B" w:rsidP="00762C9B">
      <w:pPr>
        <w:spacing w:after="120"/>
        <w:rPr>
          <w:lang w:eastAsia="en-GB"/>
        </w:rPr>
      </w:pPr>
      <w:r w:rsidRPr="001346FF">
        <w:rPr>
          <w:lang w:eastAsia="en-GB"/>
        </w:rPr>
        <w:t xml:space="preserve">Taking into consideration the acknowledged fact that air pollution at national level may significantly influence the air quality outside state’s </w:t>
      </w:r>
      <w:proofErr w:type="gramStart"/>
      <w:r w:rsidRPr="001346FF">
        <w:rPr>
          <w:lang w:eastAsia="en-GB"/>
        </w:rPr>
        <w:t>borders,</w:t>
      </w:r>
      <w:proofErr w:type="gramEnd"/>
      <w:r w:rsidRPr="001346FF">
        <w:rPr>
          <w:lang w:eastAsia="en-GB"/>
        </w:rPr>
        <w:t xml:space="preserve"> various international bodies provide various mechanisms for improvement of situation in relation to air quality and tackling climate change. International commitments and a </w:t>
      </w:r>
      <w:proofErr w:type="spellStart"/>
      <w:r w:rsidRPr="001346FF">
        <w:rPr>
          <w:lang w:eastAsia="en-GB"/>
        </w:rPr>
        <w:t>transboundary</w:t>
      </w:r>
      <w:proofErr w:type="spellEnd"/>
      <w:r w:rsidRPr="001346FF">
        <w:rPr>
          <w:lang w:eastAsia="en-GB"/>
        </w:rPr>
        <w:t xml:space="preserve"> context of the issue of air pollution stimulated the development of various international funding options that can be applicable in the case of definite regions, for the purposes of particular agreement etc. The most common examples of such tools used by the European countries include mechanisms under Kyoto Protocol, Global Environment Facility and World Bank, which is a funding source for various environment-related activities. </w:t>
      </w:r>
    </w:p>
    <w:p w:rsidR="00762C9B" w:rsidRPr="001346FF" w:rsidRDefault="00762C9B" w:rsidP="001346FF">
      <w:pPr>
        <w:keepNext/>
        <w:keepLines/>
        <w:spacing w:after="120"/>
        <w:rPr>
          <w:i/>
          <w:u w:val="single"/>
          <w:lang w:eastAsia="en-GB"/>
        </w:rPr>
      </w:pPr>
      <w:r w:rsidRPr="001346FF">
        <w:rPr>
          <w:i/>
          <w:u w:val="single"/>
          <w:lang w:eastAsia="en-GB"/>
        </w:rPr>
        <w:t>Flexibility mechanisms under the Kyoto Protocol</w:t>
      </w:r>
    </w:p>
    <w:p w:rsidR="00762C9B" w:rsidRPr="001346FF" w:rsidRDefault="00762C9B" w:rsidP="001346FF">
      <w:pPr>
        <w:keepNext/>
        <w:keepLines/>
        <w:spacing w:after="120"/>
        <w:rPr>
          <w:lang w:eastAsia="en-GB"/>
        </w:rPr>
      </w:pPr>
      <w:r w:rsidRPr="001346FF">
        <w:rPr>
          <w:lang w:eastAsia="en-GB"/>
        </w:rPr>
        <w:t xml:space="preserve">Even though the commitments under the Kyoto Protocol, adopted in the framework of the United Nations Framework Convention on Climate Change, are primarily to be achieved by the national measures, it provides a set of additional market-based mechanisms for reaching the greenhouse gas (GHG) emission reduction targets. The mechanisms at issue are - emissions trading, the clean development mechanism, and joint implementation. </w:t>
      </w:r>
    </w:p>
    <w:p w:rsidR="00762C9B" w:rsidRPr="001346FF" w:rsidRDefault="00762C9B" w:rsidP="00762C9B">
      <w:pPr>
        <w:spacing w:after="120"/>
        <w:rPr>
          <w:lang w:eastAsia="en-GB"/>
        </w:rPr>
      </w:pPr>
      <w:r w:rsidRPr="001346FF">
        <w:rPr>
          <w:lang w:eastAsia="en-GB"/>
        </w:rPr>
        <w:t xml:space="preserve">Under the </w:t>
      </w:r>
      <w:r w:rsidRPr="001346FF">
        <w:rPr>
          <w:i/>
          <w:lang w:eastAsia="en-GB"/>
        </w:rPr>
        <w:t>Emission Trading mechanism</w:t>
      </w:r>
      <w:r w:rsidRPr="001346FF">
        <w:rPr>
          <w:lang w:eastAsia="en-GB"/>
        </w:rPr>
        <w:t xml:space="preserve"> the GHG emissions are treated as a type of commodities. The emission targets are described as “assigned amounts”, and these allowed emissions are divided into “assigned amount units” (AAUs). Therefore countries that have “spare” amounts of emissions (i.e. not all of the assigned amount units have been used) can sell these capacities to countries that are exceeding their AAUs.</w:t>
      </w:r>
    </w:p>
    <w:p w:rsidR="00762C9B" w:rsidRPr="001346FF" w:rsidRDefault="00762C9B" w:rsidP="00762C9B">
      <w:pPr>
        <w:spacing w:after="120"/>
        <w:rPr>
          <w:lang w:eastAsia="en-GB"/>
        </w:rPr>
      </w:pPr>
      <w:r w:rsidRPr="001346FF">
        <w:rPr>
          <w:lang w:eastAsia="en-GB"/>
        </w:rPr>
        <w:t xml:space="preserve">As far as it goes to the European countries, emission trading has been widely used by such states as Latvia and Estonia that have previously been a part of the Soviet Union with especially active industry. Taking into consideration that after the collapse of the Soviet Union a lot of factories were shut down, the resultant emission reductions provided a possibility for trading their spare units. The actual prices of AAU may vary, and due to the bilateral nature of transactions they are not reported on a public exchange, therefore the prices are usually confidential; for example, in the case of Slovakian trade with </w:t>
      </w:r>
      <w:proofErr w:type="spellStart"/>
      <w:r w:rsidRPr="001346FF">
        <w:rPr>
          <w:lang w:eastAsia="en-GB"/>
        </w:rPr>
        <w:t>Interblue</w:t>
      </w:r>
      <w:proofErr w:type="spellEnd"/>
      <w:r w:rsidRPr="001346FF">
        <w:rPr>
          <w:lang w:eastAsia="en-GB"/>
        </w:rPr>
        <w:t xml:space="preserve"> the price was set at 5.05 EUR per AAU, but trade between Poland as the seller and Ireland and the World Bank as the buyers occurred at 10 EUR per AAU.</w:t>
      </w:r>
      <w:r w:rsidRPr="001346FF">
        <w:rPr>
          <w:rStyle w:val="FootnoteReference"/>
          <w:lang w:eastAsia="en-GB"/>
        </w:rPr>
        <w:footnoteReference w:id="2"/>
      </w:r>
    </w:p>
    <w:p w:rsidR="00762C9B" w:rsidRPr="001346FF" w:rsidRDefault="00762C9B" w:rsidP="00762C9B">
      <w:pPr>
        <w:spacing w:after="120"/>
        <w:rPr>
          <w:lang w:eastAsia="en-GB"/>
        </w:rPr>
      </w:pPr>
      <w:r w:rsidRPr="001346FF">
        <w:rPr>
          <w:lang w:eastAsia="en-GB"/>
        </w:rPr>
        <w:t xml:space="preserve">At the same time </w:t>
      </w:r>
      <w:r w:rsidRPr="001346FF">
        <w:rPr>
          <w:i/>
          <w:lang w:eastAsia="en-GB"/>
        </w:rPr>
        <w:t>Clean Development mechanism</w:t>
      </w:r>
      <w:r w:rsidRPr="001346FF">
        <w:rPr>
          <w:lang w:eastAsia="en-GB"/>
        </w:rPr>
        <w:t xml:space="preserve"> (CDM) provides a possibility for a country with binding emission target (Annex B party) to implement emission reduction project in developing countries, in return earning certified emission reduction (CER) credits, each equivalent to one tonne of CO</w:t>
      </w:r>
      <w:r w:rsidRPr="001346FF">
        <w:rPr>
          <w:vertAlign w:val="subscript"/>
          <w:lang w:eastAsia="en-GB"/>
        </w:rPr>
        <w:t>2</w:t>
      </w:r>
      <w:r w:rsidRPr="001346FF">
        <w:rPr>
          <w:lang w:eastAsia="en-GB"/>
        </w:rPr>
        <w:t>. These CER credits can be used for attaining emission targets. CDM may be applied in case of various projects, like introduction of energy efficient technologies, solar panels or wind farms etc. Such projects not only contribute to achieving the established targets for Annex B parties, but also stimulate sustainable development in developing countries.</w:t>
      </w:r>
    </w:p>
    <w:p w:rsidR="00762C9B" w:rsidRPr="001346FF" w:rsidRDefault="00762C9B" w:rsidP="00762C9B">
      <w:pPr>
        <w:spacing w:after="120"/>
        <w:rPr>
          <w:lang w:eastAsia="en-GB"/>
        </w:rPr>
      </w:pPr>
      <w:r w:rsidRPr="001346FF">
        <w:rPr>
          <w:lang w:eastAsia="en-GB"/>
        </w:rPr>
        <w:t xml:space="preserve">Similar to the CDM, also </w:t>
      </w:r>
      <w:r w:rsidRPr="001346FF">
        <w:rPr>
          <w:i/>
          <w:lang w:eastAsia="en-GB"/>
        </w:rPr>
        <w:t>Joint Implementation</w:t>
      </w:r>
      <w:r w:rsidRPr="001346FF">
        <w:rPr>
          <w:lang w:eastAsia="en-GB"/>
        </w:rPr>
        <w:t xml:space="preserve"> (JI) is a project-based mechanism. The difference lies in a fact that JI project is implemented by Annex B party in another Annex B party. By applying JI mechanism, the implementing party earns emission reduction units (ERUs), which can </w:t>
      </w:r>
      <w:r w:rsidRPr="001346FF">
        <w:rPr>
          <w:lang w:eastAsia="en-GB"/>
        </w:rPr>
        <w:lastRenderedPageBreak/>
        <w:t>be used for attainment of Kyoto targets. As to the types of activities – JI projects must provide a reduction in emissions by sources, or an enhancement of removals by sinks</w:t>
      </w:r>
      <w:r w:rsidRPr="001346FF">
        <w:rPr>
          <w:rStyle w:val="FootnoteReference"/>
          <w:lang w:eastAsia="en-GB"/>
        </w:rPr>
        <w:footnoteReference w:id="3"/>
      </w:r>
      <w:r w:rsidRPr="001346FF">
        <w:rPr>
          <w:lang w:eastAsia="en-GB"/>
        </w:rPr>
        <w:t>, in addition to what would otherwise have occurred.</w:t>
      </w:r>
    </w:p>
    <w:p w:rsidR="00762C9B" w:rsidRPr="001346FF" w:rsidRDefault="00762C9B" w:rsidP="00762C9B">
      <w:pPr>
        <w:spacing w:after="120"/>
        <w:rPr>
          <w:i/>
          <w:u w:val="single"/>
          <w:lang w:eastAsia="en-GB"/>
        </w:rPr>
      </w:pPr>
      <w:r w:rsidRPr="001346FF">
        <w:rPr>
          <w:i/>
          <w:u w:val="single"/>
          <w:lang w:eastAsia="en-GB"/>
        </w:rPr>
        <w:t>World Bank</w:t>
      </w:r>
    </w:p>
    <w:p w:rsidR="00762C9B" w:rsidRPr="001346FF" w:rsidRDefault="00762C9B" w:rsidP="00762C9B">
      <w:pPr>
        <w:spacing w:after="120"/>
        <w:rPr>
          <w:lang w:eastAsia="en-GB"/>
        </w:rPr>
      </w:pPr>
      <w:r w:rsidRPr="001346FF">
        <w:rPr>
          <w:lang w:eastAsia="en-GB"/>
        </w:rPr>
        <w:t>The World Bank provides low-interest loans, interest-free credits, and grants to developing countries. These support a wide range of investments in such areas as education, health, public administration, infrastructure, financial and private sector development, agriculture, and environmental and natural resource management. Some of the World Bank’s projects are co-financed with governments, other multilateral institutions, commercial banks, export credit agencies, and private sector investors. The Wold Bank also provides or facilitates financing through trust fund partnerships with bilateral and multilateral donors.</w:t>
      </w:r>
    </w:p>
    <w:p w:rsidR="00762C9B" w:rsidRPr="001346FF" w:rsidRDefault="00762C9B" w:rsidP="00762C9B">
      <w:pPr>
        <w:spacing w:after="120"/>
        <w:rPr>
          <w:lang w:eastAsia="en-GB"/>
        </w:rPr>
      </w:pPr>
      <w:r w:rsidRPr="001346FF">
        <w:rPr>
          <w:lang w:eastAsia="en-GB"/>
        </w:rPr>
        <w:t>The World Bank group consists of five organisations</w:t>
      </w:r>
      <w:r w:rsidRPr="001346FF">
        <w:rPr>
          <w:rStyle w:val="FootnoteReference"/>
          <w:lang w:eastAsia="en-GB"/>
        </w:rPr>
        <w:footnoteReference w:id="4"/>
      </w:r>
      <w:r w:rsidRPr="001346FF">
        <w:rPr>
          <w:lang w:eastAsia="en-GB"/>
        </w:rPr>
        <w:t>:</w:t>
      </w:r>
    </w:p>
    <w:p w:rsidR="00762C9B" w:rsidRPr="001346FF" w:rsidRDefault="00762C9B" w:rsidP="00762C9B">
      <w:pPr>
        <w:spacing w:after="120"/>
        <w:rPr>
          <w:lang w:eastAsia="en-GB"/>
        </w:rPr>
      </w:pPr>
      <w:r w:rsidRPr="001346FF">
        <w:rPr>
          <w:b/>
          <w:lang w:eastAsia="en-GB"/>
        </w:rPr>
        <w:t>The International Bank for Reconstruction and Development (IBRD)</w:t>
      </w:r>
      <w:r w:rsidRPr="001346FF">
        <w:rPr>
          <w:lang w:eastAsia="en-GB"/>
        </w:rPr>
        <w:t xml:space="preserve"> lends to governments of middle-income and creditworthy low-income countries at low cost to clients.</w:t>
      </w:r>
    </w:p>
    <w:p w:rsidR="00762C9B" w:rsidRPr="001346FF" w:rsidRDefault="00762C9B" w:rsidP="00762C9B">
      <w:pPr>
        <w:spacing w:after="120"/>
        <w:rPr>
          <w:lang w:eastAsia="en-GB"/>
        </w:rPr>
      </w:pPr>
      <w:r w:rsidRPr="001346FF">
        <w:rPr>
          <w:b/>
          <w:lang w:eastAsia="en-GB"/>
        </w:rPr>
        <w:t>The International Development Association (IDA)</w:t>
      </w:r>
      <w:r w:rsidRPr="001346FF">
        <w:rPr>
          <w:lang w:eastAsia="en-GB"/>
        </w:rPr>
        <w:t xml:space="preserve"> provides interest-free, long-term loans and grants to governments of the world’s 79 poorest countries, which have little or no capacity to borrow on market terms. IDA’s lending is financed by contributions to IDA from donor countries. Additional funds come from the World Bank Group and from borrowers’ repayments to earlier IDA loans.</w:t>
      </w:r>
    </w:p>
    <w:p w:rsidR="00762C9B" w:rsidRPr="001346FF" w:rsidRDefault="00762C9B" w:rsidP="00762C9B">
      <w:pPr>
        <w:spacing w:after="120"/>
        <w:rPr>
          <w:lang w:eastAsia="en-GB"/>
        </w:rPr>
      </w:pPr>
      <w:r w:rsidRPr="001346FF">
        <w:rPr>
          <w:b/>
          <w:lang w:eastAsia="en-GB"/>
        </w:rPr>
        <w:t>The International Finance Corporation (IFC)</w:t>
      </w:r>
      <w:r w:rsidRPr="001346FF">
        <w:rPr>
          <w:lang w:eastAsia="en-GB"/>
        </w:rPr>
        <w:t>, the private sector “arm” of the World Bank Group, provides long-term loans, equity, structured and securitized products, and advisory and risk mitigation services to private enterprises in developing and transition countries.</w:t>
      </w:r>
    </w:p>
    <w:p w:rsidR="00762C9B" w:rsidRPr="001346FF" w:rsidRDefault="00762C9B" w:rsidP="00762C9B">
      <w:pPr>
        <w:spacing w:after="120"/>
        <w:rPr>
          <w:lang w:eastAsia="en-GB"/>
        </w:rPr>
      </w:pPr>
      <w:r w:rsidRPr="001346FF">
        <w:rPr>
          <w:b/>
          <w:lang w:eastAsia="en-GB"/>
        </w:rPr>
        <w:t>The Multilateral Investment Guarantee Agency (MIGA)</w:t>
      </w:r>
      <w:r w:rsidRPr="001346FF">
        <w:rPr>
          <w:lang w:eastAsia="en-GB"/>
        </w:rPr>
        <w:t xml:space="preserve"> provides political risk insurance or guarantees to promote foreign direct investment into developing countries.</w:t>
      </w:r>
    </w:p>
    <w:p w:rsidR="00762C9B" w:rsidRPr="001346FF" w:rsidRDefault="00762C9B" w:rsidP="00762C9B">
      <w:pPr>
        <w:spacing w:after="120"/>
        <w:rPr>
          <w:lang w:eastAsia="en-GB"/>
        </w:rPr>
      </w:pPr>
      <w:r w:rsidRPr="001346FF">
        <w:rPr>
          <w:b/>
          <w:lang w:eastAsia="en-GB"/>
        </w:rPr>
        <w:t>The International Centre for Settlement of Investment Disputes (ICSID)</w:t>
      </w:r>
      <w:r w:rsidRPr="001346FF">
        <w:rPr>
          <w:lang w:eastAsia="en-GB"/>
        </w:rPr>
        <w:t xml:space="preserve"> provides facilities for conciliation and arbitration of international investment disputes between foreign investors and host states. ICSID also researches and publishes on international arbitration and foreign investment law.</w:t>
      </w:r>
    </w:p>
    <w:p w:rsidR="003B6461" w:rsidRPr="003B6461" w:rsidRDefault="003B6461" w:rsidP="00762C9B">
      <w:pPr>
        <w:spacing w:after="120"/>
        <w:rPr>
          <w:i/>
          <w:lang w:eastAsia="en-GB"/>
        </w:rPr>
      </w:pPr>
      <w:r w:rsidRPr="003B6461">
        <w:rPr>
          <w:i/>
          <w:lang w:eastAsia="en-GB"/>
        </w:rPr>
        <w:t xml:space="preserve">(Please see the World Bank’s Country strategies in the </w:t>
      </w:r>
      <w:r w:rsidRPr="003B6461">
        <w:rPr>
          <w:b/>
          <w:i/>
          <w:lang w:eastAsia="en-GB"/>
        </w:rPr>
        <w:t>Annex 2</w:t>
      </w:r>
      <w:r w:rsidRPr="003B6461">
        <w:rPr>
          <w:i/>
          <w:lang w:eastAsia="en-GB"/>
        </w:rPr>
        <w:t>)</w:t>
      </w:r>
    </w:p>
    <w:p w:rsidR="00762C9B" w:rsidRPr="001346FF" w:rsidRDefault="00762C9B" w:rsidP="00762C9B">
      <w:pPr>
        <w:spacing w:after="120"/>
        <w:rPr>
          <w:i/>
          <w:u w:val="single"/>
          <w:lang w:eastAsia="en-GB"/>
        </w:rPr>
      </w:pPr>
      <w:r w:rsidRPr="001346FF">
        <w:rPr>
          <w:i/>
          <w:u w:val="single"/>
          <w:lang w:eastAsia="en-GB"/>
        </w:rPr>
        <w:t xml:space="preserve">Global Environment Facility </w:t>
      </w:r>
    </w:p>
    <w:p w:rsidR="00762C9B" w:rsidRPr="001346FF" w:rsidRDefault="00762C9B" w:rsidP="00762C9B">
      <w:pPr>
        <w:rPr>
          <w:lang w:eastAsia="en-GB"/>
        </w:rPr>
      </w:pPr>
      <w:r w:rsidRPr="001346FF">
        <w:rPr>
          <w:lang w:eastAsia="en-GB"/>
        </w:rPr>
        <w:t>The GEF unites 182 countries in partnership with international institutions, civil society organizations (CSOs), and the private sector to address global environmental issues while supporting national sustainable development initiatives. The GEF provides grants for projects related to biodiversity, climate change, international waters, land degradation, the ozone layer, and persistent organic pollutants.</w:t>
      </w:r>
    </w:p>
    <w:p w:rsidR="00762C9B" w:rsidRPr="001346FF" w:rsidRDefault="00762C9B" w:rsidP="00762C9B">
      <w:pPr>
        <w:spacing w:after="120"/>
        <w:rPr>
          <w:lang w:eastAsia="en-GB"/>
        </w:rPr>
      </w:pPr>
      <w:r w:rsidRPr="001346FF">
        <w:rPr>
          <w:lang w:eastAsia="en-GB"/>
        </w:rPr>
        <w:t xml:space="preserve">As part of the restructuring, the GEF was entrusted to become the financial mechanism for both the UN Convention on Biological Diversity and the UN Framework Convention on Climate Change. In partnership with the Montreal Protocol of the Vienna Convention on Ozone Layer </w:t>
      </w:r>
      <w:r w:rsidRPr="001346FF">
        <w:rPr>
          <w:lang w:eastAsia="en-GB"/>
        </w:rPr>
        <w:lastRenderedPageBreak/>
        <w:t>Depleting Substances, the GEF started funding projects that enable the Russian Federation and nations in Eastern Europe and Central Asia to phase out their use of ozone-depleting chemicals.</w:t>
      </w:r>
    </w:p>
    <w:p w:rsidR="00762C9B" w:rsidRPr="001346FF" w:rsidRDefault="00762C9B" w:rsidP="00762C9B">
      <w:pPr>
        <w:spacing w:after="120"/>
        <w:rPr>
          <w:lang w:eastAsia="en-GB"/>
        </w:rPr>
      </w:pPr>
      <w:r w:rsidRPr="001346FF">
        <w:rPr>
          <w:lang w:eastAsia="en-GB"/>
        </w:rPr>
        <w:t>In order to make the use and supply of energy more environmentally sustainable, affordable and accessible and to promote low emission and climate resilient urban and transport infrastructure, the Energy, Infrastructure, Transport and Technology team (EITT) works with partner countries and UNDP Country Offices to design projects addressing the following three Signature Programmes: SP1 - Clean Energy: promoting access to clean and affordable energy; SP2 - Urban infrastructure: promoting low emission urban and transport infrastructure; SP3 - Access to new finance mechanisms.</w:t>
      </w:r>
      <w:r w:rsidRPr="001346FF">
        <w:rPr>
          <w:rStyle w:val="FootnoteReference"/>
          <w:lang w:eastAsia="en-GB"/>
        </w:rPr>
        <w:footnoteReference w:id="5"/>
      </w:r>
      <w:r w:rsidRPr="001346FF">
        <w:rPr>
          <w:lang w:eastAsia="en-GB"/>
        </w:rPr>
        <w:t xml:space="preserve"> </w:t>
      </w:r>
    </w:p>
    <w:p w:rsidR="00762C9B" w:rsidRPr="001346FF" w:rsidRDefault="00762C9B" w:rsidP="00762C9B">
      <w:pPr>
        <w:spacing w:after="120"/>
        <w:rPr>
          <w:lang w:eastAsia="en-GB"/>
        </w:rPr>
      </w:pPr>
      <w:r w:rsidRPr="001346FF">
        <w:rPr>
          <w:lang w:eastAsia="en-GB"/>
        </w:rPr>
        <w:t xml:space="preserve">Another GEF team, which actions are oriented on climate change adaptation instead of </w:t>
      </w:r>
      <w:proofErr w:type="gramStart"/>
      <w:r w:rsidRPr="001346FF">
        <w:rPr>
          <w:lang w:eastAsia="en-GB"/>
        </w:rPr>
        <w:t>mitigation, that is at the core of the above-mentioned Signature Programmes,</w:t>
      </w:r>
      <w:proofErr w:type="gramEnd"/>
      <w:r w:rsidRPr="001346FF">
        <w:rPr>
          <w:lang w:eastAsia="en-GB"/>
        </w:rPr>
        <w:t xml:space="preserve"> supports countries to achieve pro-poor and pro-growth sustainable economic development and livelihoods in the face of climate change. This is done through strengthening adaptive capacity and enabling environments to create robust and responsive state institutions, capable public and private sector management, and skilled human resources to innovate and adapt to changing conditions.</w:t>
      </w:r>
      <w:r w:rsidRPr="001346FF">
        <w:rPr>
          <w:rStyle w:val="FootnoteReference"/>
          <w:lang w:eastAsia="en-GB"/>
        </w:rPr>
        <w:footnoteReference w:id="6"/>
      </w:r>
    </w:p>
    <w:p w:rsidR="00762C9B" w:rsidRPr="001346FF" w:rsidRDefault="00762C9B" w:rsidP="00762C9B">
      <w:pPr>
        <w:spacing w:after="120"/>
        <w:rPr>
          <w:lang w:eastAsia="en-GB"/>
        </w:rPr>
      </w:pPr>
      <w:r w:rsidRPr="001346FF">
        <w:rPr>
          <w:lang w:eastAsia="en-GB"/>
        </w:rPr>
        <w:t>Also Chemicals programme provides financial support to implementation of projects that have great weight on the improvement of air quality. Signature programme 2 - SP2 – Ozone – is focused on phasing out ozone depleting substances and maximizing climate benefits of the HCFCs phase-out through the introduction and promotion of best technologies and practices in Europe and “Commonwealth of Independent States” countries.</w:t>
      </w:r>
    </w:p>
    <w:p w:rsidR="00762C9B" w:rsidRPr="001346FF" w:rsidRDefault="00762C9B" w:rsidP="00762C9B">
      <w:pPr>
        <w:spacing w:after="120"/>
        <w:rPr>
          <w:lang w:eastAsia="en-GB"/>
        </w:rPr>
      </w:pPr>
      <w:r w:rsidRPr="001346FF">
        <w:rPr>
          <w:lang w:eastAsia="en-GB"/>
        </w:rPr>
        <w:t xml:space="preserve">The abovementioned programmes that are available to Commonwealth of Independent States countries represent a voluntary mechanism for tackling air pollution and climate change problems by gaining financial support from the fund. The projects at issue vary significantly – starting with provision of financing for implementation of energy efficiency of buildings on the relatively small scale, and finishing with projects introducing transformations in the market system in accordance with the goals of the programme. </w:t>
      </w:r>
    </w:p>
    <w:p w:rsidR="00762C9B" w:rsidRPr="003B6461" w:rsidRDefault="003B6461" w:rsidP="00762C9B">
      <w:pPr>
        <w:spacing w:after="120"/>
        <w:rPr>
          <w:i/>
          <w:lang w:eastAsia="en-GB"/>
        </w:rPr>
      </w:pPr>
      <w:r>
        <w:rPr>
          <w:i/>
          <w:lang w:eastAsia="en-GB"/>
        </w:rPr>
        <w:t>(</w:t>
      </w:r>
      <w:r w:rsidRPr="003B6461">
        <w:rPr>
          <w:i/>
          <w:lang w:eastAsia="en-GB"/>
        </w:rPr>
        <w:t xml:space="preserve">Please see the available GEF financing for the specific countries in the </w:t>
      </w:r>
      <w:r w:rsidRPr="003B6461">
        <w:rPr>
          <w:b/>
          <w:i/>
          <w:lang w:eastAsia="en-GB"/>
        </w:rPr>
        <w:t>Annex 2</w:t>
      </w:r>
      <w:r>
        <w:rPr>
          <w:b/>
          <w:i/>
          <w:lang w:eastAsia="en-GB"/>
        </w:rPr>
        <w:t>)</w:t>
      </w:r>
    </w:p>
    <w:p w:rsidR="00762C9B" w:rsidRPr="001346FF" w:rsidRDefault="00762C9B" w:rsidP="00762C9B">
      <w:pPr>
        <w:tabs>
          <w:tab w:val="left" w:pos="3256"/>
        </w:tabs>
        <w:spacing w:after="120"/>
        <w:rPr>
          <w:i/>
          <w:u w:val="single"/>
          <w:lang w:eastAsia="en-GB"/>
        </w:rPr>
      </w:pPr>
      <w:r w:rsidRPr="001346FF">
        <w:rPr>
          <w:i/>
          <w:u w:val="single"/>
          <w:lang w:eastAsia="en-GB"/>
        </w:rPr>
        <w:t>Special Climate Change Fund</w:t>
      </w:r>
    </w:p>
    <w:p w:rsidR="00762C9B" w:rsidRPr="001346FF" w:rsidRDefault="00762C9B" w:rsidP="00762C9B">
      <w:pPr>
        <w:spacing w:after="120"/>
        <w:rPr>
          <w:lang w:eastAsia="en-GB"/>
        </w:rPr>
      </w:pPr>
      <w:r w:rsidRPr="001346FF">
        <w:rPr>
          <w:lang w:eastAsia="en-GB"/>
        </w:rPr>
        <w:t xml:space="preserve">The Special Climate Change Fund (SCCF) was established to support adaptation and technology transfer in all developing country parties to the UNFCCC. The SCCF is intended to catalyse and leverage additional finance from bilateral and multilateral sources, and is administered by the Global Environment Facility. It supports both long-term and short-term adaptation activities in water resources management, land management, agriculture, health, </w:t>
      </w:r>
      <w:proofErr w:type="gramStart"/>
      <w:r w:rsidRPr="001346FF">
        <w:rPr>
          <w:lang w:eastAsia="en-GB"/>
        </w:rPr>
        <w:t>infrastructure</w:t>
      </w:r>
      <w:proofErr w:type="gramEnd"/>
      <w:r w:rsidRPr="001346FF">
        <w:rPr>
          <w:lang w:eastAsia="en-GB"/>
        </w:rPr>
        <w:t xml:space="preserve"> development, fragile ecosystems, including mountainous ecosystems, and integrated coastal zone management.</w:t>
      </w:r>
    </w:p>
    <w:p w:rsidR="00762C9B" w:rsidRPr="001346FF" w:rsidRDefault="00762C9B" w:rsidP="00762C9B">
      <w:pPr>
        <w:spacing w:after="120"/>
        <w:rPr>
          <w:lang w:eastAsia="en-GB"/>
        </w:rPr>
      </w:pPr>
      <w:r w:rsidRPr="001346FF">
        <w:rPr>
          <w:lang w:eastAsia="en-GB"/>
        </w:rPr>
        <w:t xml:space="preserve">All Non-Annex 1 countries are eligible to apply, although the needs of the most vulnerable countries in Africa, Asia, and the Small Island Developing States (SIDS) are to be prioritised. The project size can be small, medium or large, but must focus on the “additional costs” imposed by climate change on the development baseline. Funding is only provided to address impacts of climate change in addition to basic development needs in vulnerable socio-economic sectors. </w:t>
      </w:r>
      <w:r w:rsidRPr="001346FF">
        <w:rPr>
          <w:lang w:eastAsia="en-GB"/>
        </w:rPr>
        <w:lastRenderedPageBreak/>
        <w:t xml:space="preserve">However, projects do not need to generate global environmental benefits as long as </w:t>
      </w:r>
      <w:r w:rsidR="00476619" w:rsidRPr="001346FF">
        <w:rPr>
          <w:lang w:eastAsia="en-GB"/>
        </w:rPr>
        <w:t>additionally</w:t>
      </w:r>
      <w:r w:rsidRPr="001346FF">
        <w:rPr>
          <w:lang w:eastAsia="en-GB"/>
        </w:rPr>
        <w:t xml:space="preserve"> can be demonstrated.</w:t>
      </w:r>
      <w:r w:rsidRPr="001346FF">
        <w:rPr>
          <w:rStyle w:val="FootnoteReference"/>
          <w:lang w:eastAsia="en-GB"/>
        </w:rPr>
        <w:footnoteReference w:id="7"/>
      </w:r>
    </w:p>
    <w:p w:rsidR="00762C9B" w:rsidRPr="001346FF" w:rsidRDefault="00762C9B" w:rsidP="00762C9B">
      <w:pPr>
        <w:spacing w:after="120"/>
        <w:rPr>
          <w:lang w:eastAsia="en-GB"/>
        </w:rPr>
      </w:pPr>
      <w:r w:rsidRPr="001346FF">
        <w:rPr>
          <w:lang w:eastAsia="en-GB"/>
        </w:rPr>
        <w:t xml:space="preserve">The difference between SCCF and conventional GEF funds is outlined in table 1. </w:t>
      </w:r>
    </w:p>
    <w:p w:rsidR="00762C9B" w:rsidRPr="001346FF" w:rsidRDefault="00762C9B" w:rsidP="00762C9B">
      <w:pPr>
        <w:spacing w:after="120"/>
        <w:ind w:left="-142"/>
        <w:rPr>
          <w:b/>
          <w:i/>
          <w:lang w:eastAsia="en-GB"/>
        </w:rPr>
      </w:pPr>
      <w:proofErr w:type="gramStart"/>
      <w:r w:rsidRPr="001346FF">
        <w:rPr>
          <w:b/>
          <w:i/>
          <w:lang w:eastAsia="en-GB"/>
        </w:rPr>
        <w:t>Table 1.</w:t>
      </w:r>
      <w:proofErr w:type="gramEnd"/>
      <w:r w:rsidRPr="001346FF">
        <w:rPr>
          <w:b/>
          <w:i/>
          <w:lang w:eastAsia="en-GB"/>
        </w:rPr>
        <w:t xml:space="preserve"> Key distinctions between GEF trust fund and SCCF</w:t>
      </w:r>
      <w:r w:rsidRPr="001346FF">
        <w:rPr>
          <w:rStyle w:val="FootnoteReference"/>
          <w:b/>
          <w:i/>
          <w:lang w:eastAsia="en-GB"/>
        </w:rPr>
        <w:footnoteReference w:id="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2400"/>
        <w:gridCol w:w="2410"/>
      </w:tblGrid>
      <w:tr w:rsidR="001346FF" w:rsidRPr="001346FF" w:rsidTr="001346FF">
        <w:tc>
          <w:tcPr>
            <w:tcW w:w="3095" w:type="dxa"/>
            <w:shd w:val="clear" w:color="auto" w:fill="C6D9F1"/>
          </w:tcPr>
          <w:p w:rsidR="00762C9B" w:rsidRPr="001346FF" w:rsidRDefault="00762C9B" w:rsidP="001346FF">
            <w:pPr>
              <w:spacing w:after="120"/>
              <w:rPr>
                <w:sz w:val="20"/>
                <w:lang w:eastAsia="en-GB"/>
              </w:rPr>
            </w:pPr>
          </w:p>
        </w:tc>
        <w:tc>
          <w:tcPr>
            <w:tcW w:w="2400" w:type="dxa"/>
            <w:shd w:val="clear" w:color="auto" w:fill="C6D9F1"/>
            <w:vAlign w:val="center"/>
          </w:tcPr>
          <w:p w:rsidR="00762C9B" w:rsidRPr="001346FF" w:rsidRDefault="00762C9B" w:rsidP="001346FF">
            <w:pPr>
              <w:spacing w:after="120"/>
              <w:jc w:val="center"/>
              <w:rPr>
                <w:b/>
                <w:sz w:val="20"/>
                <w:lang w:eastAsia="en-GB"/>
              </w:rPr>
            </w:pPr>
            <w:r w:rsidRPr="001346FF">
              <w:rPr>
                <w:b/>
                <w:sz w:val="20"/>
                <w:lang w:eastAsia="en-GB"/>
              </w:rPr>
              <w:t>Conventional GEF trust funds</w:t>
            </w:r>
          </w:p>
        </w:tc>
        <w:tc>
          <w:tcPr>
            <w:tcW w:w="2410" w:type="dxa"/>
            <w:shd w:val="clear" w:color="auto" w:fill="C6D9F1"/>
            <w:vAlign w:val="center"/>
          </w:tcPr>
          <w:p w:rsidR="00762C9B" w:rsidRPr="001346FF" w:rsidRDefault="00762C9B" w:rsidP="001346FF">
            <w:pPr>
              <w:spacing w:after="120"/>
              <w:jc w:val="center"/>
              <w:rPr>
                <w:b/>
                <w:sz w:val="20"/>
                <w:lang w:eastAsia="en-GB"/>
              </w:rPr>
            </w:pPr>
            <w:r w:rsidRPr="001346FF">
              <w:rPr>
                <w:b/>
                <w:sz w:val="20"/>
                <w:lang w:eastAsia="en-GB"/>
              </w:rPr>
              <w:t>SCCF</w:t>
            </w:r>
          </w:p>
        </w:tc>
      </w:tr>
      <w:tr w:rsidR="00762C9B" w:rsidRPr="001346FF" w:rsidTr="001346FF">
        <w:tc>
          <w:tcPr>
            <w:tcW w:w="3095" w:type="dxa"/>
            <w:shd w:val="clear" w:color="auto" w:fill="auto"/>
          </w:tcPr>
          <w:p w:rsidR="00762C9B" w:rsidRPr="001346FF" w:rsidRDefault="00762C9B" w:rsidP="001346FF">
            <w:pPr>
              <w:spacing w:after="120"/>
              <w:jc w:val="left"/>
              <w:rPr>
                <w:sz w:val="20"/>
                <w:lang w:eastAsia="en-GB"/>
              </w:rPr>
            </w:pPr>
            <w:r w:rsidRPr="001346FF">
              <w:rPr>
                <w:sz w:val="20"/>
                <w:lang w:eastAsia="en-GB"/>
              </w:rPr>
              <w:t>Project must generate global benefits</w:t>
            </w:r>
          </w:p>
        </w:tc>
        <w:tc>
          <w:tcPr>
            <w:tcW w:w="2400" w:type="dxa"/>
            <w:shd w:val="clear" w:color="auto" w:fill="auto"/>
          </w:tcPr>
          <w:p w:rsidR="00762C9B" w:rsidRPr="001346FF" w:rsidRDefault="00762C9B" w:rsidP="001346FF">
            <w:pPr>
              <w:spacing w:after="120"/>
              <w:jc w:val="center"/>
              <w:rPr>
                <w:sz w:val="20"/>
                <w:lang w:eastAsia="en-GB"/>
              </w:rPr>
            </w:pPr>
            <w:r w:rsidRPr="001346FF">
              <w:rPr>
                <w:sz w:val="20"/>
                <w:lang w:eastAsia="en-GB"/>
              </w:rPr>
              <w:t>Yes</w:t>
            </w:r>
          </w:p>
        </w:tc>
        <w:tc>
          <w:tcPr>
            <w:tcW w:w="2410" w:type="dxa"/>
            <w:shd w:val="clear" w:color="auto" w:fill="auto"/>
          </w:tcPr>
          <w:p w:rsidR="00762C9B" w:rsidRPr="001346FF" w:rsidRDefault="00762C9B" w:rsidP="001346FF">
            <w:pPr>
              <w:spacing w:after="120"/>
              <w:jc w:val="center"/>
              <w:rPr>
                <w:sz w:val="20"/>
                <w:lang w:eastAsia="en-GB"/>
              </w:rPr>
            </w:pPr>
            <w:r w:rsidRPr="001346FF">
              <w:rPr>
                <w:sz w:val="20"/>
                <w:lang w:eastAsia="en-GB"/>
              </w:rPr>
              <w:t>No*</w:t>
            </w:r>
          </w:p>
        </w:tc>
      </w:tr>
      <w:tr w:rsidR="00762C9B" w:rsidRPr="001346FF" w:rsidTr="001346FF">
        <w:tc>
          <w:tcPr>
            <w:tcW w:w="3095" w:type="dxa"/>
            <w:shd w:val="clear" w:color="auto" w:fill="auto"/>
          </w:tcPr>
          <w:p w:rsidR="00762C9B" w:rsidRPr="001346FF" w:rsidRDefault="00762C9B" w:rsidP="001346FF">
            <w:pPr>
              <w:spacing w:after="120"/>
              <w:jc w:val="left"/>
              <w:rPr>
                <w:sz w:val="20"/>
                <w:lang w:eastAsia="en-GB"/>
              </w:rPr>
            </w:pPr>
            <w:r w:rsidRPr="001346FF">
              <w:rPr>
                <w:sz w:val="20"/>
                <w:lang w:eastAsia="en-GB"/>
              </w:rPr>
              <w:t>Project must generate adaptation benefits</w:t>
            </w:r>
          </w:p>
        </w:tc>
        <w:tc>
          <w:tcPr>
            <w:tcW w:w="2400" w:type="dxa"/>
            <w:shd w:val="clear" w:color="auto" w:fill="auto"/>
          </w:tcPr>
          <w:p w:rsidR="00762C9B" w:rsidRPr="001346FF" w:rsidRDefault="00762C9B" w:rsidP="001346FF">
            <w:pPr>
              <w:spacing w:after="120"/>
              <w:jc w:val="center"/>
              <w:rPr>
                <w:sz w:val="20"/>
                <w:lang w:eastAsia="en-GB"/>
              </w:rPr>
            </w:pPr>
            <w:r w:rsidRPr="001346FF">
              <w:rPr>
                <w:sz w:val="20"/>
                <w:lang w:eastAsia="en-GB"/>
              </w:rPr>
              <w:t>No</w:t>
            </w:r>
          </w:p>
        </w:tc>
        <w:tc>
          <w:tcPr>
            <w:tcW w:w="2410" w:type="dxa"/>
            <w:shd w:val="clear" w:color="auto" w:fill="auto"/>
          </w:tcPr>
          <w:p w:rsidR="00762C9B" w:rsidRPr="001346FF" w:rsidRDefault="00762C9B" w:rsidP="001346FF">
            <w:pPr>
              <w:spacing w:after="120"/>
              <w:jc w:val="center"/>
              <w:rPr>
                <w:sz w:val="20"/>
                <w:lang w:eastAsia="en-GB"/>
              </w:rPr>
            </w:pPr>
            <w:r w:rsidRPr="001346FF">
              <w:rPr>
                <w:sz w:val="20"/>
                <w:lang w:eastAsia="en-GB"/>
              </w:rPr>
              <w:t>Yes*</w:t>
            </w:r>
          </w:p>
        </w:tc>
      </w:tr>
      <w:tr w:rsidR="00762C9B" w:rsidRPr="001346FF" w:rsidTr="001346FF">
        <w:tc>
          <w:tcPr>
            <w:tcW w:w="3095" w:type="dxa"/>
            <w:shd w:val="clear" w:color="auto" w:fill="auto"/>
          </w:tcPr>
          <w:p w:rsidR="00762C9B" w:rsidRPr="001346FF" w:rsidRDefault="00762C9B" w:rsidP="001346FF">
            <w:pPr>
              <w:spacing w:after="120"/>
              <w:jc w:val="left"/>
              <w:rPr>
                <w:sz w:val="20"/>
                <w:lang w:eastAsia="en-GB"/>
              </w:rPr>
            </w:pPr>
            <w:r w:rsidRPr="001346FF">
              <w:rPr>
                <w:sz w:val="20"/>
                <w:lang w:eastAsia="en-GB"/>
              </w:rPr>
              <w:t>Funding allocated according to Resource Allocation Framework or STAR</w:t>
            </w:r>
            <w:r w:rsidRPr="001346FF">
              <w:rPr>
                <w:rStyle w:val="FootnoteReference"/>
                <w:sz w:val="20"/>
                <w:lang w:eastAsia="en-GB"/>
              </w:rPr>
              <w:footnoteReference w:id="9"/>
            </w:r>
          </w:p>
        </w:tc>
        <w:tc>
          <w:tcPr>
            <w:tcW w:w="2400" w:type="dxa"/>
            <w:shd w:val="clear" w:color="auto" w:fill="auto"/>
          </w:tcPr>
          <w:p w:rsidR="00762C9B" w:rsidRPr="001346FF" w:rsidRDefault="00762C9B" w:rsidP="001346FF">
            <w:pPr>
              <w:spacing w:after="120"/>
              <w:jc w:val="center"/>
              <w:rPr>
                <w:sz w:val="20"/>
                <w:lang w:eastAsia="en-GB"/>
              </w:rPr>
            </w:pPr>
            <w:r w:rsidRPr="001346FF">
              <w:rPr>
                <w:sz w:val="20"/>
                <w:lang w:eastAsia="en-GB"/>
              </w:rPr>
              <w:t>Yes</w:t>
            </w:r>
          </w:p>
        </w:tc>
        <w:tc>
          <w:tcPr>
            <w:tcW w:w="2410" w:type="dxa"/>
            <w:shd w:val="clear" w:color="auto" w:fill="auto"/>
          </w:tcPr>
          <w:p w:rsidR="00762C9B" w:rsidRPr="001346FF" w:rsidRDefault="00762C9B" w:rsidP="001346FF">
            <w:pPr>
              <w:spacing w:after="120"/>
              <w:jc w:val="center"/>
              <w:rPr>
                <w:sz w:val="20"/>
                <w:lang w:eastAsia="en-GB"/>
              </w:rPr>
            </w:pPr>
            <w:r w:rsidRPr="001346FF">
              <w:rPr>
                <w:sz w:val="20"/>
                <w:lang w:eastAsia="en-GB"/>
              </w:rPr>
              <w:t>No</w:t>
            </w:r>
          </w:p>
        </w:tc>
      </w:tr>
      <w:tr w:rsidR="00762C9B" w:rsidRPr="001346FF" w:rsidTr="001346FF">
        <w:tc>
          <w:tcPr>
            <w:tcW w:w="3095" w:type="dxa"/>
            <w:shd w:val="clear" w:color="auto" w:fill="auto"/>
          </w:tcPr>
          <w:p w:rsidR="00762C9B" w:rsidRPr="001346FF" w:rsidRDefault="00762C9B" w:rsidP="001346FF">
            <w:pPr>
              <w:spacing w:after="120"/>
              <w:jc w:val="left"/>
              <w:rPr>
                <w:sz w:val="20"/>
                <w:lang w:eastAsia="en-GB"/>
              </w:rPr>
            </w:pPr>
            <w:r w:rsidRPr="001346FF">
              <w:rPr>
                <w:sz w:val="20"/>
                <w:lang w:eastAsia="en-GB"/>
              </w:rPr>
              <w:t>Projects financed according to the “incremental cost” principle</w:t>
            </w:r>
          </w:p>
        </w:tc>
        <w:tc>
          <w:tcPr>
            <w:tcW w:w="2400" w:type="dxa"/>
            <w:shd w:val="clear" w:color="auto" w:fill="auto"/>
          </w:tcPr>
          <w:p w:rsidR="00762C9B" w:rsidRPr="001346FF" w:rsidRDefault="00762C9B" w:rsidP="001346FF">
            <w:pPr>
              <w:spacing w:after="120"/>
              <w:jc w:val="center"/>
              <w:rPr>
                <w:sz w:val="20"/>
                <w:lang w:eastAsia="en-GB"/>
              </w:rPr>
            </w:pPr>
            <w:r w:rsidRPr="001346FF">
              <w:rPr>
                <w:sz w:val="20"/>
                <w:lang w:eastAsia="en-GB"/>
              </w:rPr>
              <w:t>Yes</w:t>
            </w:r>
          </w:p>
        </w:tc>
        <w:tc>
          <w:tcPr>
            <w:tcW w:w="2410" w:type="dxa"/>
            <w:shd w:val="clear" w:color="auto" w:fill="auto"/>
          </w:tcPr>
          <w:p w:rsidR="00762C9B" w:rsidRPr="001346FF" w:rsidRDefault="00762C9B" w:rsidP="001346FF">
            <w:pPr>
              <w:spacing w:after="120"/>
              <w:jc w:val="center"/>
              <w:rPr>
                <w:sz w:val="20"/>
                <w:lang w:eastAsia="en-GB"/>
              </w:rPr>
            </w:pPr>
            <w:r w:rsidRPr="001346FF">
              <w:rPr>
                <w:sz w:val="20"/>
                <w:lang w:eastAsia="en-GB"/>
              </w:rPr>
              <w:t>No*</w:t>
            </w:r>
          </w:p>
        </w:tc>
      </w:tr>
    </w:tbl>
    <w:p w:rsidR="00762C9B" w:rsidRPr="001346FF" w:rsidRDefault="00762C9B" w:rsidP="00762C9B">
      <w:pPr>
        <w:spacing w:after="120"/>
        <w:rPr>
          <w:sz w:val="20"/>
          <w:lang w:eastAsia="en-GB"/>
        </w:rPr>
      </w:pPr>
      <w:r w:rsidRPr="001346FF">
        <w:rPr>
          <w:sz w:val="20"/>
          <w:lang w:eastAsia="en-GB"/>
        </w:rPr>
        <w:t xml:space="preserve">*Technology Transfer for Mitigation projects </w:t>
      </w:r>
      <w:proofErr w:type="gramStart"/>
      <w:r w:rsidRPr="001346FF">
        <w:rPr>
          <w:sz w:val="20"/>
          <w:lang w:eastAsia="en-GB"/>
        </w:rPr>
        <w:t>are</w:t>
      </w:r>
      <w:proofErr w:type="gramEnd"/>
      <w:r w:rsidRPr="001346FF">
        <w:rPr>
          <w:sz w:val="20"/>
          <w:lang w:eastAsia="en-GB"/>
        </w:rPr>
        <w:t xml:space="preserve"> excepted.</w:t>
      </w:r>
    </w:p>
    <w:p w:rsidR="00762C9B" w:rsidRPr="001346FF" w:rsidRDefault="00762C9B" w:rsidP="00762C9B">
      <w:pPr>
        <w:spacing w:after="120"/>
        <w:rPr>
          <w:sz w:val="20"/>
          <w:lang w:eastAsia="en-GB"/>
        </w:rPr>
      </w:pPr>
    </w:p>
    <w:p w:rsidR="00762C9B" w:rsidRPr="001346FF" w:rsidRDefault="00762C9B" w:rsidP="00762C9B">
      <w:pPr>
        <w:pStyle w:val="Heading3"/>
        <w:numPr>
          <w:ilvl w:val="0"/>
          <w:numId w:val="0"/>
        </w:numPr>
        <w:ind w:left="709" w:hanging="709"/>
      </w:pPr>
      <w:bookmarkStart w:id="22" w:name="_Toc384307251"/>
      <w:bookmarkStart w:id="23" w:name="_Toc387396917"/>
      <w:r w:rsidRPr="00476619">
        <w:t>E</w:t>
      </w:r>
      <w:r w:rsidR="00B223EF" w:rsidRPr="00476619">
        <w:t>U</w:t>
      </w:r>
      <w:r w:rsidRPr="00476619">
        <w:t xml:space="preserve"> tools</w:t>
      </w:r>
      <w:bookmarkEnd w:id="22"/>
      <w:bookmarkEnd w:id="23"/>
    </w:p>
    <w:p w:rsidR="00762C9B" w:rsidRPr="001346FF" w:rsidRDefault="00762C9B" w:rsidP="00762C9B">
      <w:pPr>
        <w:spacing w:after="120"/>
        <w:rPr>
          <w:lang w:eastAsia="en-GB"/>
        </w:rPr>
      </w:pPr>
      <w:r w:rsidRPr="001346FF">
        <w:rPr>
          <w:lang w:eastAsia="en-GB"/>
        </w:rPr>
        <w:t>Without the internationally available tools there is a broad range of instruments developed under the auspices of the EU or being available only to European countries. Such tools may be available in form of EC grants and funding from a number of Directorates General (not only DG Environment provides funding for projects that might have a positive influence on air quality or facilitate reduction of emissions). Further some selected tools available at the EU level will be briefly deliberated on.</w:t>
      </w:r>
    </w:p>
    <w:p w:rsidR="00762C9B" w:rsidRPr="001346FF" w:rsidRDefault="00762C9B" w:rsidP="00762C9B">
      <w:pPr>
        <w:spacing w:after="120"/>
        <w:rPr>
          <w:i/>
          <w:u w:val="single"/>
          <w:lang w:eastAsia="en-GB"/>
        </w:rPr>
      </w:pPr>
      <w:r w:rsidRPr="001346FF">
        <w:rPr>
          <w:i/>
          <w:u w:val="single"/>
          <w:lang w:eastAsia="en-GB"/>
        </w:rPr>
        <w:t>EU Emission Trading System</w:t>
      </w:r>
    </w:p>
    <w:p w:rsidR="00762C9B" w:rsidRPr="001346FF" w:rsidRDefault="00762C9B" w:rsidP="00762C9B">
      <w:pPr>
        <w:spacing w:after="120"/>
        <w:rPr>
          <w:lang w:eastAsia="en-GB"/>
        </w:rPr>
      </w:pPr>
      <w:r w:rsidRPr="001346FF">
        <w:rPr>
          <w:lang w:eastAsia="en-GB"/>
        </w:rPr>
        <w:t>Similar to the above-described Emission Trading mechanism under the Kyoto Protocol, there is an intra-European Emission Trading System (EU ETS). EU ETS is a key tool for cost-effective reduction of industrial</w:t>
      </w:r>
      <w:r w:rsidRPr="001346FF">
        <w:rPr>
          <w:rStyle w:val="FootnoteReference"/>
          <w:lang w:eastAsia="en-GB"/>
        </w:rPr>
        <w:footnoteReference w:id="10"/>
      </w:r>
      <w:r w:rsidRPr="001346FF">
        <w:rPr>
          <w:lang w:eastAsia="en-GB"/>
        </w:rPr>
        <w:t xml:space="preserve"> GHG emissions within the EU. </w:t>
      </w:r>
    </w:p>
    <w:p w:rsidR="00762C9B" w:rsidRPr="001346FF" w:rsidRDefault="00762C9B" w:rsidP="00762C9B">
      <w:pPr>
        <w:spacing w:after="120"/>
        <w:rPr>
          <w:lang w:eastAsia="en-GB"/>
        </w:rPr>
      </w:pPr>
      <w:r w:rsidRPr="001346FF">
        <w:rPr>
          <w:lang w:eastAsia="en-GB"/>
        </w:rPr>
        <w:t xml:space="preserve">The system operates on a basis of “cap and trade” principle. Cap represents the overall volume of greenhouse gases that can be emitted by the power plants, factories and other fixed installations covered by the EU Emissions Trading System (there is a separate cap applicable to </w:t>
      </w:r>
      <w:r w:rsidRPr="001346FF">
        <w:rPr>
          <w:lang w:eastAsia="en-GB"/>
        </w:rPr>
        <w:lastRenderedPageBreak/>
        <w:t xml:space="preserve">the aviation sector). In the framework of these caps companies receive or buy emission allowances, which afterwards can be traded, if there is a need for that. </w:t>
      </w:r>
    </w:p>
    <w:p w:rsidR="00762C9B" w:rsidRPr="001346FF" w:rsidRDefault="00762C9B" w:rsidP="00762C9B">
      <w:pPr>
        <w:spacing w:after="120"/>
        <w:rPr>
          <w:lang w:eastAsia="en-GB"/>
        </w:rPr>
      </w:pPr>
      <w:r w:rsidRPr="001346FF">
        <w:rPr>
          <w:lang w:eastAsia="en-GB"/>
        </w:rPr>
        <w:t>The system covers following GHGs and sectors:</w:t>
      </w:r>
    </w:p>
    <w:p w:rsidR="00762C9B" w:rsidRPr="001346FF" w:rsidRDefault="00762C9B" w:rsidP="005116EE">
      <w:pPr>
        <w:numPr>
          <w:ilvl w:val="0"/>
          <w:numId w:val="10"/>
        </w:numPr>
        <w:spacing w:before="0" w:line="240" w:lineRule="auto"/>
        <w:ind w:hanging="357"/>
        <w:jc w:val="left"/>
        <w:rPr>
          <w:rFonts w:cs="Arial"/>
          <w:szCs w:val="21"/>
          <w:lang w:eastAsia="lv-LV"/>
        </w:rPr>
      </w:pPr>
      <w:r w:rsidRPr="001346FF">
        <w:rPr>
          <w:rFonts w:cs="Arial"/>
          <w:b/>
          <w:bCs/>
          <w:szCs w:val="21"/>
          <w:lang w:eastAsia="lv-LV"/>
        </w:rPr>
        <w:t>Carbon dioxide (CO</w:t>
      </w:r>
      <w:r w:rsidRPr="001346FF">
        <w:rPr>
          <w:rFonts w:cs="Arial"/>
          <w:b/>
          <w:bCs/>
          <w:szCs w:val="21"/>
          <w:vertAlign w:val="subscript"/>
          <w:lang w:eastAsia="lv-LV"/>
        </w:rPr>
        <w:t>2</w:t>
      </w:r>
      <w:r w:rsidRPr="001346FF">
        <w:rPr>
          <w:rFonts w:cs="Arial"/>
          <w:b/>
          <w:bCs/>
          <w:szCs w:val="21"/>
          <w:lang w:eastAsia="lv-LV"/>
        </w:rPr>
        <w:t>) from</w:t>
      </w:r>
      <w:r w:rsidRPr="001346FF">
        <w:rPr>
          <w:rFonts w:cs="Arial"/>
          <w:szCs w:val="21"/>
          <w:lang w:eastAsia="lv-LV"/>
        </w:rPr>
        <w:t xml:space="preserve"> </w:t>
      </w:r>
    </w:p>
    <w:p w:rsidR="00762C9B" w:rsidRPr="001346FF" w:rsidRDefault="00762C9B" w:rsidP="005116EE">
      <w:pPr>
        <w:numPr>
          <w:ilvl w:val="1"/>
          <w:numId w:val="10"/>
        </w:numPr>
        <w:spacing w:before="0" w:line="240" w:lineRule="auto"/>
        <w:ind w:hanging="357"/>
        <w:jc w:val="left"/>
        <w:rPr>
          <w:rFonts w:cs="Arial"/>
          <w:szCs w:val="21"/>
          <w:lang w:eastAsia="lv-LV"/>
        </w:rPr>
      </w:pPr>
      <w:r w:rsidRPr="001346FF">
        <w:rPr>
          <w:rFonts w:cs="Arial"/>
          <w:szCs w:val="21"/>
          <w:lang w:eastAsia="lv-LV"/>
        </w:rPr>
        <w:t>Power and heat generation</w:t>
      </w:r>
    </w:p>
    <w:p w:rsidR="00762C9B" w:rsidRPr="001346FF" w:rsidRDefault="00762C9B" w:rsidP="005116EE">
      <w:pPr>
        <w:numPr>
          <w:ilvl w:val="1"/>
          <w:numId w:val="10"/>
        </w:numPr>
        <w:spacing w:before="0" w:line="240" w:lineRule="auto"/>
        <w:ind w:hanging="357"/>
        <w:jc w:val="left"/>
        <w:rPr>
          <w:rFonts w:cs="Arial"/>
          <w:szCs w:val="21"/>
          <w:lang w:eastAsia="lv-LV"/>
        </w:rPr>
      </w:pPr>
      <w:r w:rsidRPr="001346FF">
        <w:rPr>
          <w:rFonts w:cs="Arial"/>
          <w:szCs w:val="21"/>
          <w:lang w:eastAsia="lv-LV"/>
        </w:rPr>
        <w:t>Energy-intensive industry sectors including oil refineries, steel works and production of iron, aluminium, metals, cement, lime, glass, ceramics, pulp, paper, cardboard, acids and bulk organic chemicals</w:t>
      </w:r>
    </w:p>
    <w:p w:rsidR="00762C9B" w:rsidRPr="001346FF" w:rsidRDefault="00762C9B" w:rsidP="005116EE">
      <w:pPr>
        <w:numPr>
          <w:ilvl w:val="1"/>
          <w:numId w:val="10"/>
        </w:numPr>
        <w:spacing w:before="0" w:line="240" w:lineRule="auto"/>
        <w:ind w:hanging="357"/>
        <w:jc w:val="left"/>
        <w:rPr>
          <w:rFonts w:cs="Arial"/>
          <w:szCs w:val="21"/>
          <w:lang w:eastAsia="lv-LV"/>
        </w:rPr>
      </w:pPr>
      <w:r w:rsidRPr="001346FF">
        <w:rPr>
          <w:rFonts w:cs="Arial"/>
          <w:szCs w:val="21"/>
          <w:lang w:eastAsia="lv-LV"/>
        </w:rPr>
        <w:t>Commercial aviation</w:t>
      </w:r>
    </w:p>
    <w:p w:rsidR="00762C9B" w:rsidRPr="001346FF" w:rsidRDefault="00762C9B" w:rsidP="005116EE">
      <w:pPr>
        <w:numPr>
          <w:ilvl w:val="0"/>
          <w:numId w:val="10"/>
        </w:numPr>
        <w:spacing w:before="0" w:line="240" w:lineRule="auto"/>
        <w:ind w:hanging="357"/>
        <w:jc w:val="left"/>
        <w:rPr>
          <w:rFonts w:cs="Arial"/>
          <w:szCs w:val="21"/>
          <w:lang w:eastAsia="lv-LV"/>
        </w:rPr>
      </w:pPr>
      <w:r w:rsidRPr="001346FF">
        <w:rPr>
          <w:rFonts w:cs="Arial"/>
          <w:b/>
          <w:bCs/>
          <w:szCs w:val="21"/>
          <w:lang w:eastAsia="lv-LV"/>
        </w:rPr>
        <w:t>Nitrous oxide (N</w:t>
      </w:r>
      <w:r w:rsidRPr="001346FF">
        <w:rPr>
          <w:rFonts w:cs="Arial"/>
          <w:b/>
          <w:bCs/>
          <w:szCs w:val="21"/>
          <w:vertAlign w:val="subscript"/>
          <w:lang w:eastAsia="lv-LV"/>
        </w:rPr>
        <w:t>2</w:t>
      </w:r>
      <w:r w:rsidRPr="001346FF">
        <w:rPr>
          <w:rFonts w:cs="Arial"/>
          <w:b/>
          <w:bCs/>
          <w:szCs w:val="21"/>
          <w:lang w:eastAsia="lv-LV"/>
        </w:rPr>
        <w:t>O)</w:t>
      </w:r>
      <w:r w:rsidRPr="001346FF">
        <w:rPr>
          <w:rFonts w:cs="Arial"/>
          <w:szCs w:val="21"/>
          <w:lang w:eastAsia="lv-LV"/>
        </w:rPr>
        <w:t xml:space="preserve"> from production of nitric, </w:t>
      </w:r>
      <w:proofErr w:type="spellStart"/>
      <w:r w:rsidRPr="001346FF">
        <w:rPr>
          <w:rFonts w:cs="Arial"/>
          <w:szCs w:val="21"/>
          <w:lang w:eastAsia="lv-LV"/>
        </w:rPr>
        <w:t>adipic</w:t>
      </w:r>
      <w:proofErr w:type="spellEnd"/>
      <w:r w:rsidRPr="001346FF">
        <w:rPr>
          <w:rFonts w:cs="Arial"/>
          <w:szCs w:val="21"/>
          <w:lang w:eastAsia="lv-LV"/>
        </w:rPr>
        <w:t xml:space="preserve">, </w:t>
      </w:r>
      <w:proofErr w:type="spellStart"/>
      <w:r w:rsidRPr="001346FF">
        <w:rPr>
          <w:rFonts w:cs="Arial"/>
          <w:szCs w:val="21"/>
          <w:lang w:eastAsia="lv-LV"/>
        </w:rPr>
        <w:t>glyoxal</w:t>
      </w:r>
      <w:proofErr w:type="spellEnd"/>
      <w:r w:rsidRPr="001346FF">
        <w:rPr>
          <w:rFonts w:cs="Arial"/>
          <w:szCs w:val="21"/>
          <w:lang w:eastAsia="lv-LV"/>
        </w:rPr>
        <w:t xml:space="preserve"> and </w:t>
      </w:r>
      <w:proofErr w:type="spellStart"/>
      <w:r w:rsidRPr="001346FF">
        <w:rPr>
          <w:rFonts w:cs="Arial"/>
          <w:szCs w:val="21"/>
          <w:lang w:eastAsia="lv-LV"/>
        </w:rPr>
        <w:t>glyoxlic</w:t>
      </w:r>
      <w:proofErr w:type="spellEnd"/>
      <w:r w:rsidRPr="001346FF">
        <w:rPr>
          <w:rFonts w:cs="Arial"/>
          <w:szCs w:val="21"/>
          <w:lang w:eastAsia="lv-LV"/>
        </w:rPr>
        <w:t xml:space="preserve"> acids</w:t>
      </w:r>
    </w:p>
    <w:p w:rsidR="00762C9B" w:rsidRPr="001346FF" w:rsidRDefault="00762C9B" w:rsidP="005116EE">
      <w:pPr>
        <w:numPr>
          <w:ilvl w:val="0"/>
          <w:numId w:val="10"/>
        </w:numPr>
        <w:spacing w:before="0" w:line="240" w:lineRule="auto"/>
        <w:ind w:hanging="357"/>
        <w:jc w:val="left"/>
        <w:rPr>
          <w:rFonts w:cs="Arial"/>
          <w:szCs w:val="21"/>
          <w:lang w:eastAsia="lv-LV"/>
        </w:rPr>
      </w:pPr>
      <w:proofErr w:type="spellStart"/>
      <w:r w:rsidRPr="001346FF">
        <w:rPr>
          <w:rFonts w:cs="Arial"/>
          <w:b/>
          <w:bCs/>
          <w:szCs w:val="21"/>
          <w:lang w:eastAsia="lv-LV"/>
        </w:rPr>
        <w:t>Perfluorocarbons</w:t>
      </w:r>
      <w:proofErr w:type="spellEnd"/>
      <w:r w:rsidRPr="001346FF">
        <w:rPr>
          <w:rFonts w:cs="Arial"/>
          <w:b/>
          <w:bCs/>
          <w:szCs w:val="21"/>
          <w:lang w:eastAsia="lv-LV"/>
        </w:rPr>
        <w:t xml:space="preserve"> (PFCs)</w:t>
      </w:r>
      <w:r w:rsidRPr="001346FF">
        <w:rPr>
          <w:rFonts w:cs="Arial"/>
          <w:szCs w:val="21"/>
          <w:lang w:eastAsia="lv-LV"/>
        </w:rPr>
        <w:t xml:space="preserve"> from aluminium production</w:t>
      </w:r>
    </w:p>
    <w:p w:rsidR="00762C9B" w:rsidRPr="001346FF" w:rsidRDefault="00762C9B" w:rsidP="00762C9B">
      <w:pPr>
        <w:spacing w:before="100" w:beforeAutospacing="1" w:after="100" w:afterAutospacing="1"/>
        <w:rPr>
          <w:rFonts w:cs="Arial"/>
          <w:lang w:eastAsia="lv-LV"/>
        </w:rPr>
      </w:pPr>
      <w:r w:rsidRPr="001346FF">
        <w:rPr>
          <w:rFonts w:cs="Arial"/>
          <w:szCs w:val="21"/>
          <w:lang w:eastAsia="lv-LV"/>
        </w:rPr>
        <w:t>The price of allowances within EU ETS system depends on supply and</w:t>
      </w:r>
      <w:r w:rsidRPr="001346FF">
        <w:rPr>
          <w:rFonts w:cs="Arial"/>
          <w:lang w:eastAsia="lv-LV"/>
        </w:rPr>
        <w:t xml:space="preserve"> demand structure. For example, in 2011, about six billion allowances were traded with a total value of </w:t>
      </w:r>
      <w:r w:rsidRPr="001346FF">
        <w:rPr>
          <w:rFonts w:cs="Arial"/>
          <w:lang w:eastAsia="en-GB"/>
        </w:rPr>
        <w:t xml:space="preserve">€ </w:t>
      </w:r>
      <w:r w:rsidRPr="001346FF">
        <w:rPr>
          <w:rFonts w:cs="Arial"/>
          <w:lang w:eastAsia="lv-LV"/>
        </w:rPr>
        <w:t>77 billion.</w:t>
      </w:r>
      <w:r w:rsidRPr="001346FF">
        <w:rPr>
          <w:rStyle w:val="FootnoteReference"/>
          <w:lang w:eastAsia="lv-LV"/>
        </w:rPr>
        <w:footnoteReference w:id="11"/>
      </w:r>
    </w:p>
    <w:p w:rsidR="00762C9B" w:rsidRPr="001346FF" w:rsidRDefault="00762C9B" w:rsidP="00762C9B">
      <w:pPr>
        <w:keepNext/>
        <w:keepLines/>
        <w:spacing w:after="120"/>
        <w:rPr>
          <w:i/>
          <w:u w:val="single"/>
          <w:lang w:eastAsia="en-GB"/>
        </w:rPr>
      </w:pPr>
      <w:r w:rsidRPr="001346FF">
        <w:rPr>
          <w:i/>
          <w:u w:val="single"/>
          <w:lang w:eastAsia="en-GB"/>
        </w:rPr>
        <w:t>NER 300</w:t>
      </w:r>
    </w:p>
    <w:p w:rsidR="00762C9B" w:rsidRPr="001346FF" w:rsidRDefault="00762C9B" w:rsidP="00762C9B">
      <w:pPr>
        <w:keepNext/>
        <w:keepLines/>
        <w:spacing w:after="120"/>
        <w:rPr>
          <w:lang w:eastAsia="en-GB"/>
        </w:rPr>
      </w:pPr>
      <w:r w:rsidRPr="001346FF">
        <w:rPr>
          <w:lang w:eastAsia="en-GB"/>
        </w:rPr>
        <w:t xml:space="preserve">Another instrument playing a significant role in the carbon market is NER 300. It is a financial tool managed jointly by the European Commission, European Investment Bank and Member States and acts as a catalyst for the demonstration of environmentally safe carbon capture and storage (CCS) and innovative renewable energy sources (RES) technologies on a commercial scale within the European Union. The support is provided for demonstration of technologies in such areas as bioenergy, concentrated solar power, </w:t>
      </w:r>
      <w:proofErr w:type="spellStart"/>
      <w:r w:rsidRPr="001346FF">
        <w:rPr>
          <w:lang w:eastAsia="en-GB"/>
        </w:rPr>
        <w:t>photovoltaics</w:t>
      </w:r>
      <w:proofErr w:type="spellEnd"/>
      <w:r w:rsidRPr="001346FF">
        <w:rPr>
          <w:lang w:eastAsia="en-GB"/>
        </w:rPr>
        <w:t>, geothermal energy, wind energy, ocean energy, hydropower energy and smart grids.</w:t>
      </w:r>
    </w:p>
    <w:p w:rsidR="00762C9B" w:rsidRPr="001346FF" w:rsidRDefault="00762C9B" w:rsidP="00762C9B">
      <w:pPr>
        <w:keepNext/>
        <w:keepLines/>
        <w:spacing w:after="120"/>
        <w:rPr>
          <w:lang w:eastAsia="en-GB"/>
        </w:rPr>
      </w:pPr>
      <w:r w:rsidRPr="001346FF">
        <w:rPr>
          <w:lang w:eastAsia="en-GB"/>
        </w:rPr>
        <w:t>The basis for introduction of NER 300 can be found in Article 10(a) 8 of the revised Emissions Trading Directive 2009/29/EC, which contains the provision to set aside 300 million allowances in the New Entrants’ Reserve of the European Emissions Trading Scheme for subsidising installations of innovative renewable energy technology and CCS. The amount of money raised from selling the allowances is invested in the relevant NER 300 projects.</w:t>
      </w:r>
    </w:p>
    <w:p w:rsidR="00762C9B" w:rsidRPr="001346FF" w:rsidRDefault="00762C9B" w:rsidP="00762C9B">
      <w:pPr>
        <w:spacing w:after="120"/>
        <w:rPr>
          <w:i/>
          <w:u w:val="single"/>
          <w:lang w:eastAsia="en-GB"/>
        </w:rPr>
      </w:pPr>
      <w:r w:rsidRPr="001346FF">
        <w:rPr>
          <w:i/>
          <w:u w:val="single"/>
          <w:lang w:eastAsia="en-GB"/>
        </w:rPr>
        <w:t>LIFE +</w:t>
      </w:r>
    </w:p>
    <w:p w:rsidR="00762C9B" w:rsidRPr="001346FF" w:rsidRDefault="00762C9B" w:rsidP="00762C9B">
      <w:pPr>
        <w:spacing w:after="120"/>
        <w:rPr>
          <w:lang w:eastAsia="en-GB"/>
        </w:rPr>
      </w:pPr>
      <w:r w:rsidRPr="001346FF">
        <w:rPr>
          <w:lang w:eastAsia="en-GB"/>
        </w:rPr>
        <w:t>LIFE programme is an EU funding instrument for environment. The programme has been operating since 1992 and has gone through three complete phases (LIFE I: 1992-1995, LIFE II: 1996-1999 and LIFE III: 2000-2006), currently being in the fourth cycle, en</w:t>
      </w:r>
      <w:r w:rsidR="00A83DAB">
        <w:rPr>
          <w:lang w:eastAsia="en-GB"/>
        </w:rPr>
        <w:t>titled LIFE</w:t>
      </w:r>
      <w:r w:rsidRPr="001346FF">
        <w:rPr>
          <w:lang w:eastAsia="en-GB"/>
        </w:rPr>
        <w:t xml:space="preserve">+ running from 2007-2013. </w:t>
      </w:r>
    </w:p>
    <w:p w:rsidR="00762C9B" w:rsidRPr="001346FF" w:rsidRDefault="00762C9B" w:rsidP="00762C9B">
      <w:pPr>
        <w:spacing w:after="120"/>
        <w:rPr>
          <w:lang w:eastAsia="en-GB"/>
        </w:rPr>
      </w:pPr>
      <w:r w:rsidRPr="001346FF">
        <w:rPr>
          <w:lang w:eastAsia="en-GB"/>
        </w:rPr>
        <w:t xml:space="preserve">With a </w:t>
      </w:r>
      <w:r w:rsidR="00A83DAB">
        <w:rPr>
          <w:lang w:eastAsia="en-GB"/>
        </w:rPr>
        <w:t>budget of € 2.143 billion, LIFE</w:t>
      </w:r>
      <w:r w:rsidRPr="001346FF">
        <w:rPr>
          <w:lang w:eastAsia="en-GB"/>
        </w:rPr>
        <w:t>+ contributes to the implementation, updating and development of the EU environmental policy and legislation by co-financing pilot or demonstration projects with European added value. The programme has three components - LIFE+ Nature and Biodiversity, LIFE+ Environment Policy and Governance</w:t>
      </w:r>
      <w:r w:rsidRPr="001346FF">
        <w:rPr>
          <w:rStyle w:val="FootnoteReference"/>
          <w:lang w:eastAsia="en-GB"/>
        </w:rPr>
        <w:footnoteReference w:id="12"/>
      </w:r>
      <w:r w:rsidRPr="001346FF">
        <w:rPr>
          <w:lang w:eastAsia="en-GB"/>
        </w:rPr>
        <w:t xml:space="preserve">, and LIFE+ Information and Communication -, and in order for project to be eligible, it first of all has to fall within the scope of one of these areas. In addition, there are also a number of other criteria, to be fulfilled in order to acquire financing. Taking into consideration that the programme encourages projects with synergies, a lot of LIFE projects related to air quality also provide benefits in other fields, like mitigation of noise. The example of one of the all-time best projects is focuses on absorption and </w:t>
      </w:r>
      <w:r w:rsidRPr="001346FF">
        <w:rPr>
          <w:lang w:eastAsia="en-GB"/>
        </w:rPr>
        <w:lastRenderedPageBreak/>
        <w:t>recovery of sulphur from flue gas of the Fluid Catalytic Cracking (FCC), by a special reusable buffer</w:t>
      </w:r>
      <w:r w:rsidRPr="001346FF">
        <w:rPr>
          <w:rStyle w:val="FootnoteReference"/>
          <w:lang w:eastAsia="en-GB"/>
        </w:rPr>
        <w:footnoteReference w:id="13"/>
      </w:r>
      <w:r w:rsidRPr="001346FF">
        <w:rPr>
          <w:lang w:eastAsia="en-GB"/>
        </w:rPr>
        <w:t>.</w:t>
      </w:r>
    </w:p>
    <w:p w:rsidR="00762C9B" w:rsidRPr="001346FF" w:rsidRDefault="00762C9B" w:rsidP="00762C9B">
      <w:pPr>
        <w:spacing w:after="120"/>
        <w:rPr>
          <w:i/>
          <w:u w:val="single"/>
          <w:lang w:eastAsia="en-GB"/>
        </w:rPr>
      </w:pPr>
      <w:r w:rsidRPr="001346FF">
        <w:rPr>
          <w:i/>
          <w:u w:val="single"/>
          <w:lang w:eastAsia="en-GB"/>
        </w:rPr>
        <w:t>Intelligent Energy Europe</w:t>
      </w:r>
    </w:p>
    <w:p w:rsidR="00762C9B" w:rsidRPr="001346FF" w:rsidRDefault="00762C9B" w:rsidP="00762C9B">
      <w:pPr>
        <w:spacing w:after="120"/>
        <w:rPr>
          <w:lang w:eastAsia="en-GB"/>
        </w:rPr>
      </w:pPr>
      <w:r w:rsidRPr="001346FF">
        <w:rPr>
          <w:lang w:eastAsia="en-GB"/>
        </w:rPr>
        <w:t>Intelligent Energy Europe (IEE) funding programme provides support to organisations willing to improve energy sustainability. Taking into consideration that energy sector plays an important role in relation to air quality, being one of the largest emission sources, by facilitating clean and sustainable energy, the programme directly relates to the improvement of air quality.</w:t>
      </w:r>
    </w:p>
    <w:p w:rsidR="00762C9B" w:rsidRPr="001346FF" w:rsidRDefault="00762C9B" w:rsidP="00762C9B">
      <w:pPr>
        <w:spacing w:after="120"/>
        <w:rPr>
          <w:lang w:eastAsia="en-GB"/>
        </w:rPr>
      </w:pPr>
      <w:r w:rsidRPr="001346FF">
        <w:rPr>
          <w:lang w:eastAsia="en-GB"/>
        </w:rPr>
        <w:t xml:space="preserve">The programme encompasses several funding strands - Energy efficiency and the rational use of energy (SAVE), New and renewable resources (ALTENER), Energy in transport (STEER), and Integrated initiatives -, focusing on achievement of EU 2020 targets, which are: 20% cut in greenhouse gas emissions, 20% improvement in energy efficiency and 20% of renewables in EU energy consumption. </w:t>
      </w:r>
    </w:p>
    <w:p w:rsidR="00762C9B" w:rsidRPr="001346FF" w:rsidRDefault="00762C9B" w:rsidP="00762C9B">
      <w:pPr>
        <w:spacing w:after="120"/>
        <w:rPr>
          <w:lang w:eastAsia="en-GB"/>
        </w:rPr>
      </w:pPr>
      <w:r w:rsidRPr="001346FF">
        <w:rPr>
          <w:lang w:eastAsia="en-GB"/>
        </w:rPr>
        <w:t>The programme runs until 2013 (inclusive) and has a budget of € 730 million. Since its introduction in 2003, more than 600 projects in such diverse fields as education and electrical appliances across Europe have been co-funded by the IEE programme.</w:t>
      </w:r>
    </w:p>
    <w:p w:rsidR="00762C9B" w:rsidRPr="001346FF" w:rsidRDefault="00762C9B" w:rsidP="00762C9B">
      <w:pPr>
        <w:spacing w:after="120"/>
        <w:rPr>
          <w:i/>
          <w:u w:val="single"/>
          <w:lang w:eastAsia="en-GB"/>
        </w:rPr>
      </w:pPr>
      <w:r w:rsidRPr="001346FF">
        <w:rPr>
          <w:i/>
          <w:u w:val="single"/>
          <w:lang w:eastAsia="en-GB"/>
        </w:rPr>
        <w:t>Seventh Framework Programme</w:t>
      </w:r>
    </w:p>
    <w:p w:rsidR="00762C9B" w:rsidRPr="001346FF" w:rsidRDefault="00762C9B" w:rsidP="00762C9B">
      <w:pPr>
        <w:spacing w:after="120"/>
        <w:rPr>
          <w:lang w:eastAsia="en-GB"/>
        </w:rPr>
      </w:pPr>
      <w:r w:rsidRPr="001346FF">
        <w:rPr>
          <w:lang w:eastAsia="en-GB"/>
        </w:rPr>
        <w:t>The EU 7</w:t>
      </w:r>
      <w:r w:rsidRPr="001346FF">
        <w:rPr>
          <w:vertAlign w:val="superscript"/>
          <w:lang w:eastAsia="en-GB"/>
        </w:rPr>
        <w:t>th</w:t>
      </w:r>
      <w:r w:rsidRPr="001346FF">
        <w:rPr>
          <w:lang w:eastAsia="en-GB"/>
        </w:rPr>
        <w:t xml:space="preserve"> Framework Programme for Research (FP7) is oriented towards facilitation of research-related EU initiatives. FP7 operates on a basis of four categories: Cooperation, Ideas, People and Capacities, each covered by corresponding programme. The funding is allocated through calls for proposals, and is available for a wide group of applicants, starting with individuals, SMEs, and ending with international organisations. </w:t>
      </w:r>
    </w:p>
    <w:p w:rsidR="00762C9B" w:rsidRPr="001346FF" w:rsidRDefault="00762C9B" w:rsidP="00762C9B">
      <w:pPr>
        <w:spacing w:after="120"/>
        <w:rPr>
          <w:lang w:eastAsia="en-GB"/>
        </w:rPr>
      </w:pPr>
      <w:r w:rsidRPr="001346FF">
        <w:rPr>
          <w:lang w:eastAsia="en-GB"/>
        </w:rPr>
        <w:t xml:space="preserve">The “cooperation” programme is the core of FP7, representing two thirds of overall budget, and is also the most relevant category of the FP7 in the context of air quality. The programme fosters research through projects implemented through collaboration of industry and academics, carried out in ten thematic areas. Among the listed areas are “energy”, “environment” and “transport” that provide a possibility for introduction of projects with potential to reduce emissions. </w:t>
      </w:r>
    </w:p>
    <w:p w:rsidR="00762C9B" w:rsidRPr="001346FF" w:rsidRDefault="00762C9B" w:rsidP="00762C9B">
      <w:pPr>
        <w:spacing w:after="120"/>
        <w:rPr>
          <w:i/>
          <w:u w:val="single"/>
          <w:lang w:eastAsia="en-GB"/>
        </w:rPr>
      </w:pPr>
      <w:r w:rsidRPr="001346FF">
        <w:rPr>
          <w:i/>
          <w:u w:val="single"/>
          <w:lang w:eastAsia="en-GB"/>
        </w:rPr>
        <w:t>Mobility Week</w:t>
      </w:r>
    </w:p>
    <w:p w:rsidR="00762C9B" w:rsidRPr="001346FF" w:rsidRDefault="00762C9B" w:rsidP="00762C9B">
      <w:pPr>
        <w:spacing w:after="120"/>
        <w:rPr>
          <w:lang w:eastAsia="en-GB"/>
        </w:rPr>
      </w:pPr>
      <w:r w:rsidRPr="001346FF">
        <w:rPr>
          <w:lang w:eastAsia="en-GB"/>
        </w:rPr>
        <w:t xml:space="preserve">Without provision of various subsidies and funding mechanisms, it is also relevant to mention that the EC has developed a number of voluntary programmes, where cities and towns of Member States can participate by implementing measures in accordance with the thematic topic of the programme at issue. One of such programmes, worthy of addressing, is the Mobility Week. </w:t>
      </w:r>
    </w:p>
    <w:p w:rsidR="00762C9B" w:rsidRPr="001346FF" w:rsidRDefault="00762C9B" w:rsidP="00762C9B">
      <w:pPr>
        <w:spacing w:after="120"/>
        <w:ind w:left="567" w:right="566"/>
        <w:rPr>
          <w:sz w:val="22"/>
          <w:lang w:eastAsia="en-GB"/>
        </w:rPr>
      </w:pPr>
      <w:r w:rsidRPr="001346FF">
        <w:rPr>
          <w:sz w:val="22"/>
          <w:lang w:eastAsia="en-GB"/>
        </w:rPr>
        <w:t>European Mobility Week is an annual campaign on sustainable urban mobility, organised with the political and financial support of the Directorates-General for the Environment and Transport of the European Commission. The aim of the campaign, which runs from 16 to 22 September every year, is to encourage European local authorities to introduce and promote sustainable transport measures and to invite their citizens to try out alternatives to car use.</w:t>
      </w:r>
      <w:r w:rsidRPr="001346FF">
        <w:rPr>
          <w:rStyle w:val="FootnoteReference"/>
          <w:sz w:val="22"/>
          <w:lang w:eastAsia="en-GB"/>
        </w:rPr>
        <w:footnoteReference w:id="14"/>
      </w:r>
    </w:p>
    <w:p w:rsidR="00762C9B" w:rsidRPr="001346FF" w:rsidRDefault="00762C9B" w:rsidP="00762C9B">
      <w:pPr>
        <w:spacing w:after="120"/>
        <w:ind w:right="-1"/>
        <w:rPr>
          <w:lang w:eastAsia="en-GB"/>
        </w:rPr>
      </w:pPr>
      <w:r w:rsidRPr="001346FF">
        <w:rPr>
          <w:lang w:eastAsia="en-GB"/>
        </w:rPr>
        <w:t xml:space="preserve">In the framework of the Mobility Week, the participating cities organize a vast amount of informative events, and in addition also implement permanent measures that mainly focus on such aspects as development of infrastructure for cycling and walking, traffic calming, improving </w:t>
      </w:r>
      <w:r w:rsidRPr="001346FF">
        <w:rPr>
          <w:lang w:eastAsia="en-GB"/>
        </w:rPr>
        <w:lastRenderedPageBreak/>
        <w:t xml:space="preserve">transport accessibility, and raising awareness about sustainable travel behaviour. The closing event of the week is entitled “In Town </w:t>
      </w:r>
      <w:proofErr w:type="gramStart"/>
      <w:r w:rsidRPr="001346FF">
        <w:rPr>
          <w:lang w:eastAsia="en-GB"/>
        </w:rPr>
        <w:t>Without</w:t>
      </w:r>
      <w:proofErr w:type="gramEnd"/>
      <w:r w:rsidRPr="001346FF">
        <w:rPr>
          <w:lang w:eastAsia="en-GB"/>
        </w:rPr>
        <w:t xml:space="preserve"> My Car!” where the participating cities designate areas that in the duration of the day may be used only by pedestrians, cyclists and public transport. </w:t>
      </w:r>
    </w:p>
    <w:p w:rsidR="00762C9B" w:rsidRPr="00476619" w:rsidRDefault="00762C9B" w:rsidP="00762C9B">
      <w:pPr>
        <w:spacing w:after="120"/>
        <w:ind w:right="-1"/>
        <w:rPr>
          <w:lang w:eastAsia="en-GB"/>
        </w:rPr>
      </w:pPr>
      <w:r w:rsidRPr="001346FF">
        <w:rPr>
          <w:lang w:eastAsia="en-GB"/>
        </w:rPr>
        <w:t xml:space="preserve">Each year the local authority, which has done the most in raising public awareness in terms of sustainable mobility and implemented the most effective measures facilitating shift of mobility, is </w:t>
      </w:r>
      <w:r w:rsidRPr="00476619">
        <w:rPr>
          <w:lang w:eastAsia="en-GB"/>
        </w:rPr>
        <w:t>awarded by the EC in a special European Mobility Week award ceremony.</w:t>
      </w:r>
    </w:p>
    <w:p w:rsidR="007B0B08" w:rsidRPr="00476619" w:rsidRDefault="007B0B08" w:rsidP="00762C9B">
      <w:pPr>
        <w:spacing w:after="120"/>
        <w:ind w:right="-1"/>
        <w:rPr>
          <w:i/>
          <w:u w:val="single"/>
          <w:lang w:eastAsia="en-GB"/>
        </w:rPr>
      </w:pPr>
      <w:r w:rsidRPr="00476619">
        <w:rPr>
          <w:i/>
          <w:u w:val="single"/>
          <w:lang w:eastAsia="en-GB"/>
        </w:rPr>
        <w:t>The EU Eco-Management and Audit Scheme (EMAS)</w:t>
      </w:r>
    </w:p>
    <w:p w:rsidR="007B0B08" w:rsidRPr="00476619" w:rsidRDefault="00775B7C" w:rsidP="00762C9B">
      <w:pPr>
        <w:spacing w:after="120"/>
        <w:ind w:right="-1"/>
        <w:rPr>
          <w:lang w:eastAsia="en-GB"/>
        </w:rPr>
      </w:pPr>
      <w:r w:rsidRPr="00476619">
        <w:rPr>
          <w:lang w:eastAsia="en-GB"/>
        </w:rPr>
        <w:t>EMAS is a management instrument developed by the EC for companies and other organisations to evaluate, report, and improve their environmental performance. EMAS is open to every type of organisation eager to improve its environmental behaviour. It spans all economic and service sectors and is applicable worldwide.</w:t>
      </w:r>
      <w:r w:rsidRPr="00476619">
        <w:rPr>
          <w:rStyle w:val="FootnoteReference"/>
          <w:lang w:eastAsia="en-GB"/>
        </w:rPr>
        <w:footnoteReference w:id="15"/>
      </w:r>
    </w:p>
    <w:p w:rsidR="007A5BF7" w:rsidRPr="00476619" w:rsidRDefault="007A5BF7" w:rsidP="00762C9B">
      <w:pPr>
        <w:spacing w:after="120"/>
        <w:ind w:right="-1"/>
        <w:rPr>
          <w:lang w:eastAsia="en-GB"/>
        </w:rPr>
      </w:pPr>
      <w:r w:rsidRPr="00476619">
        <w:rPr>
          <w:lang w:eastAsia="en-GB"/>
        </w:rPr>
        <w:t>Considering the burdens that can deter SMEs to introduce implement EMAS, a more SMEs friendly tool has been developed by EMAS. In order to facilitate the process towards EMAS-registration and to facilitate maintenance of EMAS registration for SMEs, EMAS Easy, a lean and standardized methodology has been developed for small and micro businesses.</w:t>
      </w:r>
    </w:p>
    <w:p w:rsidR="004857B4" w:rsidRPr="001346FF" w:rsidRDefault="004857B4" w:rsidP="00762C9B">
      <w:pPr>
        <w:spacing w:after="120"/>
        <w:ind w:right="-1"/>
        <w:rPr>
          <w:lang w:eastAsia="en-GB"/>
        </w:rPr>
      </w:pPr>
      <w:r w:rsidRPr="00476619">
        <w:rPr>
          <w:lang w:eastAsia="en-GB"/>
        </w:rPr>
        <w:t>Currently, more than 4,500 organisations and approximately 7,800 sites are EMAS registered.</w:t>
      </w:r>
      <w:r w:rsidR="00B420C7" w:rsidRPr="00476619">
        <w:rPr>
          <w:lang w:eastAsia="en-GB"/>
        </w:rPr>
        <w:t xml:space="preserve"> Authorities of Member States can choose to integrate EMAS system in legislation, facilitating its wider application. Among such cases example of Latvia can be mentioned, where EMAS system is included in IPPC legislation (see description of tools available in Latvia in the sections below).</w:t>
      </w:r>
      <w:r w:rsidR="00B420C7">
        <w:rPr>
          <w:lang w:eastAsia="en-GB"/>
        </w:rPr>
        <w:t xml:space="preserve"> </w:t>
      </w:r>
    </w:p>
    <w:p w:rsidR="00762C9B" w:rsidRPr="001346FF" w:rsidRDefault="00762C9B" w:rsidP="00762C9B">
      <w:pPr>
        <w:spacing w:after="120"/>
        <w:ind w:right="-1"/>
        <w:rPr>
          <w:i/>
          <w:u w:val="single"/>
          <w:lang w:eastAsia="en-GB"/>
        </w:rPr>
      </w:pPr>
      <w:r w:rsidRPr="001346FF">
        <w:rPr>
          <w:i/>
          <w:u w:val="single"/>
          <w:lang w:eastAsia="en-GB"/>
        </w:rPr>
        <w:t xml:space="preserve">EU </w:t>
      </w:r>
      <w:proofErr w:type="spellStart"/>
      <w:r w:rsidRPr="001346FF">
        <w:rPr>
          <w:i/>
          <w:u w:val="single"/>
          <w:lang w:eastAsia="en-GB"/>
        </w:rPr>
        <w:t>Ecolabel</w:t>
      </w:r>
      <w:proofErr w:type="spellEnd"/>
    </w:p>
    <w:p w:rsidR="00762C9B" w:rsidRPr="001346FF" w:rsidRDefault="00762C9B" w:rsidP="00762C9B">
      <w:pPr>
        <w:spacing w:after="120"/>
        <w:ind w:right="-1"/>
        <w:rPr>
          <w:lang w:eastAsia="en-GB"/>
        </w:rPr>
      </w:pPr>
      <w:r w:rsidRPr="001346FF">
        <w:rPr>
          <w:lang w:eastAsia="en-GB"/>
        </w:rPr>
        <w:t xml:space="preserve">Another purely voluntary mechanism that can be used by the undertakings committed to reduce their impact on the environment is the EU </w:t>
      </w:r>
      <w:proofErr w:type="spellStart"/>
      <w:r w:rsidRPr="001346FF">
        <w:rPr>
          <w:lang w:eastAsia="en-GB"/>
        </w:rPr>
        <w:t>Ecolabel</w:t>
      </w:r>
      <w:proofErr w:type="spellEnd"/>
      <w:r w:rsidRPr="001346FF">
        <w:rPr>
          <w:lang w:eastAsia="en-GB"/>
        </w:rPr>
        <w:t xml:space="preserve">. EU </w:t>
      </w:r>
      <w:proofErr w:type="spellStart"/>
      <w:r w:rsidRPr="001346FF">
        <w:rPr>
          <w:lang w:eastAsia="en-GB"/>
        </w:rPr>
        <w:t>Ecolabel</w:t>
      </w:r>
      <w:proofErr w:type="spellEnd"/>
      <w:r w:rsidRPr="001346FF">
        <w:rPr>
          <w:lang w:eastAsia="en-GB"/>
        </w:rPr>
        <w:t xml:space="preserve"> serves as an indicator of corporate social responsibility for products and services with reduced impact on environment (incl. air, where relevant) and is recognizable throughout the EU.</w:t>
      </w:r>
    </w:p>
    <w:p w:rsidR="00762C9B" w:rsidRPr="001346FF" w:rsidRDefault="00762C9B" w:rsidP="00762C9B">
      <w:pPr>
        <w:spacing w:after="120"/>
        <w:ind w:right="-1"/>
        <w:rPr>
          <w:lang w:eastAsia="en-GB"/>
        </w:rPr>
      </w:pPr>
      <w:r w:rsidRPr="001346FF">
        <w:rPr>
          <w:lang w:eastAsia="en-GB"/>
        </w:rPr>
        <w:t xml:space="preserve">The EU </w:t>
      </w:r>
      <w:proofErr w:type="spellStart"/>
      <w:r w:rsidRPr="001346FF">
        <w:rPr>
          <w:lang w:eastAsia="en-GB"/>
        </w:rPr>
        <w:t>Ecolabel</w:t>
      </w:r>
      <w:proofErr w:type="spellEnd"/>
      <w:r w:rsidRPr="001346FF">
        <w:rPr>
          <w:lang w:eastAsia="en-GB"/>
        </w:rPr>
        <w:t xml:space="preserve"> is applicable to a designated number of products and services, though its coverage is expanding every year. Taking into consideration that the requirements for participation in the scheme has been developed by scientists, the compliance checks by independent and qualified scientists are required in order to ascertain if an undertaking at issue qualifies. In order to make process easier, each Member State has a competent institution responsible for received applications and provision of consultations.</w:t>
      </w:r>
    </w:p>
    <w:p w:rsidR="00762C9B" w:rsidRDefault="00762C9B" w:rsidP="00762C9B">
      <w:pPr>
        <w:spacing w:after="120"/>
        <w:ind w:right="-1"/>
        <w:rPr>
          <w:lang w:eastAsia="en-GB"/>
        </w:rPr>
      </w:pPr>
      <w:r w:rsidRPr="001346FF">
        <w:rPr>
          <w:lang w:eastAsia="en-GB"/>
        </w:rPr>
        <w:t xml:space="preserve">In addition, there is also a number of </w:t>
      </w:r>
      <w:proofErr w:type="spellStart"/>
      <w:r w:rsidRPr="001346FF">
        <w:rPr>
          <w:lang w:eastAsia="en-GB"/>
        </w:rPr>
        <w:t>ecolabels</w:t>
      </w:r>
      <w:proofErr w:type="spellEnd"/>
      <w:r w:rsidRPr="001346FF">
        <w:rPr>
          <w:lang w:eastAsia="en-GB"/>
        </w:rPr>
        <w:t xml:space="preserve"> developed by the Member States. Even though without such a wide coverage as the EU </w:t>
      </w:r>
      <w:proofErr w:type="spellStart"/>
      <w:r w:rsidRPr="001346FF">
        <w:rPr>
          <w:lang w:eastAsia="en-GB"/>
        </w:rPr>
        <w:t>Ecolabel</w:t>
      </w:r>
      <w:proofErr w:type="spellEnd"/>
      <w:r w:rsidRPr="001346FF">
        <w:rPr>
          <w:lang w:eastAsia="en-GB"/>
        </w:rPr>
        <w:t>, some of them, such as Nordic Swan</w:t>
      </w:r>
      <w:r w:rsidRPr="001346FF">
        <w:rPr>
          <w:rStyle w:val="FootnoteReference"/>
          <w:lang w:eastAsia="en-GB"/>
        </w:rPr>
        <w:footnoteReference w:id="16"/>
      </w:r>
      <w:r w:rsidRPr="001346FF">
        <w:rPr>
          <w:lang w:eastAsia="en-GB"/>
        </w:rPr>
        <w:t xml:space="preserve"> (designed for Nordic states) has gradually gained acknowledgment outside the initial target area and is being applied also in other countries.</w:t>
      </w:r>
    </w:p>
    <w:p w:rsidR="00001DEE" w:rsidRPr="00476619" w:rsidRDefault="00001DEE" w:rsidP="00762C9B">
      <w:pPr>
        <w:spacing w:after="120"/>
        <w:ind w:right="-1"/>
        <w:rPr>
          <w:i/>
          <w:u w:val="single"/>
          <w:lang w:eastAsia="en-GB"/>
        </w:rPr>
      </w:pPr>
      <w:r w:rsidRPr="00476619">
        <w:rPr>
          <w:i/>
          <w:u w:val="single"/>
          <w:lang w:eastAsia="en-GB"/>
        </w:rPr>
        <w:t>Green Public Procurement</w:t>
      </w:r>
    </w:p>
    <w:p w:rsidR="00001DEE" w:rsidRPr="00476619" w:rsidRDefault="00001DEE" w:rsidP="00001DEE">
      <w:pPr>
        <w:spacing w:after="120"/>
        <w:ind w:right="-1"/>
        <w:rPr>
          <w:lang w:eastAsia="en-GB"/>
        </w:rPr>
      </w:pPr>
      <w:r w:rsidRPr="00476619">
        <w:rPr>
          <w:lang w:eastAsia="en-GB"/>
        </w:rPr>
        <w:t xml:space="preserve">“Green Public Procurement (GPP) is a process whereby public authorities seek to procure goods, services and works with a reduced environmental impact throughout their life cycle when compared to goods, services and works with the same primary function that would otherwise be </w:t>
      </w:r>
      <w:r w:rsidRPr="00476619">
        <w:rPr>
          <w:lang w:eastAsia="en-GB"/>
        </w:rPr>
        <w:lastRenderedPageBreak/>
        <w:t>procured”.</w:t>
      </w:r>
      <w:r w:rsidRPr="00476619">
        <w:rPr>
          <w:rStyle w:val="FootnoteReference"/>
          <w:lang w:eastAsia="en-GB"/>
        </w:rPr>
        <w:footnoteReference w:id="17"/>
      </w:r>
      <w:r w:rsidRPr="00476619">
        <w:rPr>
          <w:lang w:eastAsia="en-GB"/>
        </w:rPr>
        <w:t xml:space="preserve"> Taking into consideration that the GPP relies on having clear, justifiable and verifiable criteria, the EC has introduced common criteria for GPP in all EU MS. The criteria are based on life-cycle approach and scientific base, and cover a range of products and services, gradually expanding the coverage.</w:t>
      </w:r>
    </w:p>
    <w:p w:rsidR="00001DEE" w:rsidRPr="00476619" w:rsidRDefault="00001DEE" w:rsidP="00001DEE">
      <w:pPr>
        <w:spacing w:after="120"/>
        <w:ind w:right="-1"/>
        <w:rPr>
          <w:lang w:eastAsia="en-GB"/>
        </w:rPr>
      </w:pPr>
      <w:r w:rsidRPr="00476619">
        <w:rPr>
          <w:lang w:eastAsia="en-GB"/>
        </w:rPr>
        <w:t xml:space="preserve">MS implement GPP through their National Action Plans, which address the environmental, and in some cases also social, impacts, and </w:t>
      </w:r>
      <w:r w:rsidR="008C15BA" w:rsidRPr="00476619">
        <w:rPr>
          <w:lang w:eastAsia="en-GB"/>
        </w:rPr>
        <w:t>oftentimes</w:t>
      </w:r>
      <w:r w:rsidRPr="00476619">
        <w:rPr>
          <w:lang w:eastAsia="en-GB"/>
        </w:rPr>
        <w:t xml:space="preserve"> contain ambitious t</w:t>
      </w:r>
      <w:r w:rsidR="005813A9" w:rsidRPr="00476619">
        <w:rPr>
          <w:lang w:eastAsia="en-GB"/>
        </w:rPr>
        <w:t xml:space="preserve">argets and specific measures to </w:t>
      </w:r>
      <w:r w:rsidRPr="00476619">
        <w:rPr>
          <w:lang w:eastAsia="en-GB"/>
        </w:rPr>
        <w:t>promote and implement GPP and give an overv</w:t>
      </w:r>
      <w:r w:rsidR="005813A9" w:rsidRPr="00476619">
        <w:rPr>
          <w:lang w:eastAsia="en-GB"/>
        </w:rPr>
        <w:t xml:space="preserve">iew of training, communication, </w:t>
      </w:r>
      <w:r w:rsidRPr="00476619">
        <w:rPr>
          <w:lang w:eastAsia="en-GB"/>
        </w:rPr>
        <w:t>monitoring and other activities undertaken by Member States i</w:t>
      </w:r>
      <w:r w:rsidR="005813A9" w:rsidRPr="00476619">
        <w:rPr>
          <w:lang w:eastAsia="en-GB"/>
        </w:rPr>
        <w:t>n the field of GPP.</w:t>
      </w:r>
      <w:r w:rsidR="005813A9" w:rsidRPr="00476619">
        <w:rPr>
          <w:rStyle w:val="FootnoteReference"/>
          <w:lang w:eastAsia="en-GB"/>
        </w:rPr>
        <w:footnoteReference w:id="18"/>
      </w:r>
    </w:p>
    <w:p w:rsidR="009B61C5" w:rsidRPr="00476619" w:rsidRDefault="009B61C5" w:rsidP="00001DEE">
      <w:pPr>
        <w:spacing w:after="120"/>
        <w:ind w:right="-1"/>
        <w:rPr>
          <w:i/>
          <w:u w:val="single"/>
          <w:lang w:eastAsia="en-GB"/>
        </w:rPr>
      </w:pPr>
      <w:r w:rsidRPr="00476619">
        <w:rPr>
          <w:i/>
          <w:u w:val="single"/>
          <w:lang w:eastAsia="en-GB"/>
        </w:rPr>
        <w:t>IMPEL</w:t>
      </w:r>
    </w:p>
    <w:p w:rsidR="009B61C5" w:rsidRPr="00476619" w:rsidRDefault="009B61C5" w:rsidP="00001DEE">
      <w:pPr>
        <w:spacing w:after="120"/>
        <w:ind w:right="-1"/>
        <w:rPr>
          <w:lang w:eastAsia="en-GB"/>
        </w:rPr>
      </w:pPr>
      <w:r w:rsidRPr="00476619">
        <w:rPr>
          <w:lang w:eastAsia="en-GB"/>
        </w:rPr>
        <w:t xml:space="preserve">The European Union Network for the Implementation and Enforcement of Environmental Law (IMPEL) is an international non-profit association of the environmental authorities of the European Union Member States, acceding and candidate countries of the EU, EEA and EFTA countries. The mission of IMPEL is to contribute to protecting the environment by promoting the effective implementation and enforcement of EU environmental law, by </w:t>
      </w:r>
      <w:r w:rsidRPr="00476619">
        <w:rPr>
          <w:i/>
          <w:lang w:eastAsia="en-GB"/>
        </w:rPr>
        <w:t>inter alia</w:t>
      </w:r>
      <w:r w:rsidRPr="00476619">
        <w:rPr>
          <w:lang w:eastAsia="en-GB"/>
        </w:rPr>
        <w:t xml:space="preserve"> exploring the use of innovative regulatory and non-regulatory instruments as alternatives for or complementary to existing regulation.</w:t>
      </w:r>
      <w:r w:rsidR="001602DA" w:rsidRPr="00476619">
        <w:rPr>
          <w:lang w:eastAsia="en-GB"/>
        </w:rPr>
        <w:t xml:space="preserve"> IMPEL has facilitated introduction of best practices and developments in the field of environmental law making, permitting, inspection, and enforcement. Among IMPEL’s achievements </w:t>
      </w:r>
      <w:r w:rsidR="00ED4BDC" w:rsidRPr="00476619">
        <w:rPr>
          <w:lang w:eastAsia="en-GB"/>
        </w:rPr>
        <w:t>is</w:t>
      </w:r>
      <w:r w:rsidR="001602DA" w:rsidRPr="00476619">
        <w:rPr>
          <w:lang w:eastAsia="en-GB"/>
        </w:rPr>
        <w:t xml:space="preserve"> introduction of Recommendation 2001/331/EC of the European Parliament and of the Council of 3 April 2001 proving for minimum criteria for environmental inspections (RMCEI), which </w:t>
      </w:r>
      <w:r w:rsidR="005E1B9A" w:rsidRPr="00476619">
        <w:rPr>
          <w:lang w:eastAsia="en-GB"/>
        </w:rPr>
        <w:t>sets out the relevance of EMAS when planning environmental inspections</w:t>
      </w:r>
      <w:r w:rsidR="00ED4BDC" w:rsidRPr="00476619">
        <w:rPr>
          <w:lang w:eastAsia="en-GB"/>
        </w:rPr>
        <w:t>.</w:t>
      </w:r>
      <w:r w:rsidR="00681826" w:rsidRPr="00476619">
        <w:rPr>
          <w:rStyle w:val="FootnoteReference"/>
          <w:lang w:eastAsia="en-GB"/>
        </w:rPr>
        <w:footnoteReference w:id="19"/>
      </w:r>
      <w:r w:rsidR="00ED4BDC" w:rsidRPr="00476619">
        <w:rPr>
          <w:lang w:eastAsia="en-GB"/>
        </w:rPr>
        <w:t xml:space="preserve"> </w:t>
      </w:r>
    </w:p>
    <w:p w:rsidR="001602DA" w:rsidRPr="00001DEE" w:rsidRDefault="001A49E0" w:rsidP="00001DEE">
      <w:pPr>
        <w:spacing w:after="120"/>
        <w:ind w:right="-1"/>
        <w:rPr>
          <w:lang w:eastAsia="en-GB"/>
        </w:rPr>
      </w:pPr>
      <w:r w:rsidRPr="00476619">
        <w:rPr>
          <w:lang w:eastAsia="en-GB"/>
        </w:rPr>
        <w:t xml:space="preserve">Accordingly, building on the knowledge of existing situation and needs in the countries represented in the network, IMPEL introduces tools that </w:t>
      </w:r>
      <w:r w:rsidR="00681826" w:rsidRPr="00476619">
        <w:rPr>
          <w:lang w:eastAsia="en-GB"/>
        </w:rPr>
        <w:t xml:space="preserve">enhance enforcement of environmental requirements. In the framework </w:t>
      </w:r>
      <w:r w:rsidR="00AE5646" w:rsidRPr="00476619">
        <w:rPr>
          <w:lang w:eastAsia="en-GB"/>
        </w:rPr>
        <w:t xml:space="preserve">of </w:t>
      </w:r>
      <w:r w:rsidR="00B2348A" w:rsidRPr="00476619">
        <w:rPr>
          <w:lang w:eastAsia="en-GB"/>
        </w:rPr>
        <w:t>its activities</w:t>
      </w:r>
      <w:r w:rsidR="00AE5646" w:rsidRPr="00476619">
        <w:rPr>
          <w:lang w:eastAsia="en-GB"/>
        </w:rPr>
        <w:t xml:space="preserve">, IMPEL </w:t>
      </w:r>
      <w:r w:rsidR="00B2348A" w:rsidRPr="00476619">
        <w:rPr>
          <w:lang w:eastAsia="en-GB"/>
        </w:rPr>
        <w:t>has a capacity to develop incentive tools of an administrative nature (as its scope of activities is foremost focused on implementation and enforcement of environmental law)</w:t>
      </w:r>
      <w:r w:rsidR="00AE5646" w:rsidRPr="00476619">
        <w:rPr>
          <w:lang w:eastAsia="en-GB"/>
        </w:rPr>
        <w:t xml:space="preserve">. In the case of the abovementioned RMCEI, administrative incentive </w:t>
      </w:r>
      <w:r w:rsidR="00B2348A" w:rsidRPr="00476619">
        <w:rPr>
          <w:lang w:eastAsia="en-GB"/>
        </w:rPr>
        <w:t xml:space="preserve">of considering existence of EMAS, when planning environmental inspections, </w:t>
      </w:r>
      <w:r w:rsidR="00AE5646" w:rsidRPr="00476619">
        <w:rPr>
          <w:lang w:eastAsia="en-GB"/>
        </w:rPr>
        <w:t>was integrated in the recommendations.</w:t>
      </w:r>
      <w:r w:rsidR="00AE5646">
        <w:rPr>
          <w:lang w:eastAsia="en-GB"/>
        </w:rPr>
        <w:t xml:space="preserve"> </w:t>
      </w:r>
    </w:p>
    <w:p w:rsidR="00762C9B" w:rsidRPr="001346FF" w:rsidRDefault="00762C9B" w:rsidP="00550F2B">
      <w:pPr>
        <w:keepNext/>
        <w:keepLines/>
        <w:spacing w:after="120"/>
        <w:rPr>
          <w:i/>
          <w:u w:val="single"/>
          <w:lang w:eastAsia="en-GB"/>
        </w:rPr>
      </w:pPr>
      <w:r w:rsidRPr="001346FF">
        <w:rPr>
          <w:i/>
          <w:u w:val="single"/>
          <w:lang w:eastAsia="en-GB"/>
        </w:rPr>
        <w:t>European Bank for Reconstruction and Development (EBRD)</w:t>
      </w:r>
    </w:p>
    <w:p w:rsidR="00762C9B" w:rsidRPr="001346FF" w:rsidRDefault="00762C9B" w:rsidP="00550F2B">
      <w:pPr>
        <w:keepNext/>
        <w:keepLines/>
        <w:spacing w:after="120"/>
        <w:rPr>
          <w:lang w:eastAsia="en-GB"/>
        </w:rPr>
      </w:pPr>
      <w:r w:rsidRPr="001346FF">
        <w:rPr>
          <w:lang w:eastAsia="en-GB"/>
        </w:rPr>
        <w:t>EBRD provides project financing for banks, industries and businesses, both new ventures and investments in existing companies. The Bank also works with publicly owned companies.</w:t>
      </w:r>
    </w:p>
    <w:p w:rsidR="00762C9B" w:rsidRPr="001346FF" w:rsidRDefault="00762C9B" w:rsidP="00762C9B">
      <w:pPr>
        <w:spacing w:after="120"/>
        <w:rPr>
          <w:lang w:eastAsia="en-GB"/>
        </w:rPr>
      </w:pPr>
      <w:r w:rsidRPr="001346FF">
        <w:rPr>
          <w:lang w:eastAsia="en-GB"/>
        </w:rPr>
        <w:t xml:space="preserve">Each of EBRD’s projects is tailored to the needs of the client and to the specific situation of the country, region and sector. Direct investments generally range from €5 million to €230 million. EBRD provides loan and equity finance, guarantees, leasing facilities and trade finance. Typically EBRD funds up to 35 per cent of the total project cost. The Bank invests only in projects that could not otherwise attract financing on similar terms. </w:t>
      </w:r>
    </w:p>
    <w:p w:rsidR="00762C9B" w:rsidRPr="001346FF" w:rsidRDefault="00762C9B" w:rsidP="00762C9B">
      <w:pPr>
        <w:spacing w:after="120"/>
        <w:rPr>
          <w:lang w:eastAsia="en-GB"/>
        </w:rPr>
      </w:pPr>
      <w:r w:rsidRPr="001346FF">
        <w:rPr>
          <w:lang w:eastAsia="en-GB"/>
        </w:rPr>
        <w:t xml:space="preserve">Donor programmes are funded by governments and international institutions, and are managed by the EBRD, it also manages six nuclear safety and decommissioning funds. The biggest of </w:t>
      </w:r>
      <w:r w:rsidRPr="001346FF">
        <w:rPr>
          <w:lang w:eastAsia="en-GB"/>
        </w:rPr>
        <w:lastRenderedPageBreak/>
        <w:t>these is for the transformation of the destroyed reactor in Chernobyl into an environmentally safe state.</w:t>
      </w:r>
    </w:p>
    <w:p w:rsidR="00762C9B" w:rsidRPr="001346FF" w:rsidRDefault="00762C9B" w:rsidP="00762C9B">
      <w:pPr>
        <w:spacing w:after="120"/>
        <w:rPr>
          <w:lang w:eastAsia="en-GB"/>
        </w:rPr>
      </w:pPr>
      <w:r w:rsidRPr="001346FF">
        <w:rPr>
          <w:lang w:eastAsia="en-GB"/>
        </w:rPr>
        <w:t>The EBRD is committed to undertaking operations throughout the region and has signed projects in each of its countries of operations. To coordinate local activities, the EBRD has established resident offices in all of these countries. Staffed by both internationally and locally recruited professionals, these offices are fully involved in generating new projects and in monitoring the growing number of Bank operations.</w:t>
      </w:r>
    </w:p>
    <w:p w:rsidR="00762C9B" w:rsidRPr="001346FF" w:rsidRDefault="00762C9B" w:rsidP="00762C9B">
      <w:pPr>
        <w:spacing w:after="120"/>
        <w:rPr>
          <w:lang w:eastAsia="en-GB"/>
        </w:rPr>
      </w:pPr>
      <w:r w:rsidRPr="001346FF">
        <w:rPr>
          <w:lang w:eastAsia="en-GB"/>
        </w:rPr>
        <w:t>Current countries of operations:</w:t>
      </w:r>
    </w:p>
    <w:p w:rsidR="00762C9B" w:rsidRPr="001346FF" w:rsidRDefault="00762C9B" w:rsidP="00762C9B">
      <w:pPr>
        <w:spacing w:after="120"/>
        <w:rPr>
          <w:lang w:eastAsia="en-GB"/>
        </w:rPr>
      </w:pPr>
      <w:r w:rsidRPr="001346FF">
        <w:rPr>
          <w:lang w:eastAsia="en-GB"/>
        </w:rPr>
        <w:t>Albania, Armenia, Azerbaijan, Belarus, Bosnia and Herzegovina, Bulgaria, Croatia, Estonia, FYR Macedonia, Georgia, Hungary, Kazakhstan, Kosovo, Kyrgyz Republic, Latvia, Lithuania, Moldova, Mongolia, Montenegro, Poland, Romania, Russia, Serbia, Slovak Republic, Slovenia, Tajikistan, Turkey, Turkmenistan, Ukraine, Uzbekistan</w:t>
      </w:r>
    </w:p>
    <w:p w:rsidR="00762C9B" w:rsidRPr="003B6461" w:rsidRDefault="003B6461" w:rsidP="00762C9B">
      <w:pPr>
        <w:spacing w:after="120"/>
        <w:rPr>
          <w:i/>
          <w:lang w:eastAsia="en-GB"/>
        </w:rPr>
      </w:pPr>
      <w:r w:rsidRPr="003B6461">
        <w:rPr>
          <w:i/>
          <w:lang w:eastAsia="en-GB"/>
        </w:rPr>
        <w:t xml:space="preserve">(Please see the EBRD </w:t>
      </w:r>
      <w:r w:rsidR="00762C9B" w:rsidRPr="003B6461">
        <w:rPr>
          <w:i/>
          <w:lang w:eastAsia="en-GB"/>
        </w:rPr>
        <w:t>Country strategies</w:t>
      </w:r>
      <w:r w:rsidRPr="003B6461">
        <w:rPr>
          <w:i/>
          <w:lang w:eastAsia="en-GB"/>
        </w:rPr>
        <w:t xml:space="preserve"> in the </w:t>
      </w:r>
      <w:r w:rsidRPr="003B6461">
        <w:rPr>
          <w:b/>
          <w:i/>
          <w:lang w:eastAsia="en-GB"/>
        </w:rPr>
        <w:t>Annex 2</w:t>
      </w:r>
      <w:r w:rsidRPr="003B6461">
        <w:rPr>
          <w:i/>
          <w:lang w:eastAsia="en-GB"/>
        </w:rPr>
        <w:t>)</w:t>
      </w:r>
    </w:p>
    <w:p w:rsidR="00762C9B" w:rsidRPr="001346FF" w:rsidRDefault="00762C9B" w:rsidP="00762C9B">
      <w:pPr>
        <w:spacing w:after="120"/>
        <w:rPr>
          <w:lang w:eastAsia="en-GB"/>
        </w:rPr>
      </w:pPr>
    </w:p>
    <w:p w:rsidR="00762C9B" w:rsidRPr="001346FF" w:rsidRDefault="00762C9B" w:rsidP="00762C9B">
      <w:pPr>
        <w:spacing w:after="120"/>
        <w:rPr>
          <w:i/>
          <w:u w:val="single"/>
          <w:lang w:eastAsia="en-GB"/>
        </w:rPr>
      </w:pPr>
      <w:r w:rsidRPr="001346FF">
        <w:rPr>
          <w:i/>
          <w:u w:val="single"/>
          <w:lang w:eastAsia="en-GB"/>
        </w:rPr>
        <w:t>European Investment Bank (EIB)</w:t>
      </w:r>
    </w:p>
    <w:p w:rsidR="00762C9B" w:rsidRPr="001346FF" w:rsidRDefault="00762C9B" w:rsidP="00762C9B">
      <w:pPr>
        <w:spacing w:after="120"/>
        <w:rPr>
          <w:lang w:eastAsia="en-GB"/>
        </w:rPr>
      </w:pPr>
      <w:r w:rsidRPr="001346FF">
        <w:rPr>
          <w:lang w:eastAsia="en-GB"/>
        </w:rPr>
        <w:t>The EIB is the European Union's bank. It is the only bank owned by and representing the interests of the European Union Member States. The Bank works closely with other EU institutions to implement EU policy.</w:t>
      </w:r>
    </w:p>
    <w:p w:rsidR="00762C9B" w:rsidRPr="001346FF" w:rsidRDefault="00762C9B" w:rsidP="00762C9B">
      <w:pPr>
        <w:spacing w:after="120"/>
        <w:rPr>
          <w:lang w:eastAsia="en-GB"/>
        </w:rPr>
      </w:pPr>
      <w:r w:rsidRPr="001346FF">
        <w:rPr>
          <w:lang w:eastAsia="en-GB"/>
        </w:rPr>
        <w:t>As the largest multilateral borrower and lender by volume, EIB provides finance and expertise for sound and sustainable investment projects which contribute to furthering EU policy objectives. More than 90% of the Bank’s activity is focused on Europe but it also implements the financial aspects of the EU's external and development policies.</w:t>
      </w:r>
    </w:p>
    <w:p w:rsidR="00762C9B" w:rsidRPr="001346FF" w:rsidRDefault="00762C9B" w:rsidP="00762C9B">
      <w:pPr>
        <w:spacing w:after="120"/>
        <w:rPr>
          <w:lang w:eastAsia="en-GB"/>
        </w:rPr>
      </w:pPr>
      <w:r w:rsidRPr="001346FF">
        <w:rPr>
          <w:lang w:eastAsia="en-GB"/>
        </w:rPr>
        <w:t>The vast majority of EIB’s financing is through loans, but the Bank also offers guarantees, microfinance, equity investment, etc.</w:t>
      </w:r>
    </w:p>
    <w:p w:rsidR="00762C9B" w:rsidRPr="001346FF" w:rsidRDefault="00762C9B" w:rsidP="00762C9B">
      <w:pPr>
        <w:spacing w:after="120"/>
        <w:rPr>
          <w:lang w:eastAsia="en-GB"/>
        </w:rPr>
      </w:pPr>
      <w:r w:rsidRPr="001346FF">
        <w:rPr>
          <w:lang w:eastAsia="en-GB"/>
        </w:rPr>
        <w:t>EIB supports projects that make a significant contribution to growth, employment, economic and social cohesion and environmental sustainability in Europe and beyond. The Bank’s priorities are:</w:t>
      </w:r>
    </w:p>
    <w:p w:rsidR="00762C9B" w:rsidRPr="001346FF" w:rsidRDefault="00762C9B" w:rsidP="005116EE">
      <w:pPr>
        <w:pStyle w:val="ListParagraph"/>
        <w:numPr>
          <w:ilvl w:val="0"/>
          <w:numId w:val="11"/>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Supporting the creators of 80% of new jobs (small and medium sized enterprises SMEs)</w:t>
      </w:r>
    </w:p>
    <w:p w:rsidR="00762C9B" w:rsidRPr="001346FF" w:rsidRDefault="00762C9B" w:rsidP="005116EE">
      <w:pPr>
        <w:pStyle w:val="ListParagraph"/>
        <w:numPr>
          <w:ilvl w:val="0"/>
          <w:numId w:val="11"/>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Addressing economic and social imbalances between the regions (cohesion)</w:t>
      </w:r>
    </w:p>
    <w:p w:rsidR="00762C9B" w:rsidRPr="001346FF" w:rsidRDefault="00762C9B" w:rsidP="005116EE">
      <w:pPr>
        <w:pStyle w:val="ListParagraph"/>
        <w:numPr>
          <w:ilvl w:val="0"/>
          <w:numId w:val="11"/>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Protecting and improving the natural and urban environment (environmental sustainability)</w:t>
      </w:r>
    </w:p>
    <w:p w:rsidR="00762C9B" w:rsidRPr="001346FF" w:rsidRDefault="00762C9B" w:rsidP="005116EE">
      <w:pPr>
        <w:pStyle w:val="ListParagraph"/>
        <w:numPr>
          <w:ilvl w:val="0"/>
          <w:numId w:val="11"/>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Promoting innovation through investment in ICT and human and social capital (innovation)</w:t>
      </w:r>
    </w:p>
    <w:p w:rsidR="00762C9B" w:rsidRPr="001346FF" w:rsidRDefault="00762C9B" w:rsidP="005116EE">
      <w:pPr>
        <w:pStyle w:val="ListParagraph"/>
        <w:numPr>
          <w:ilvl w:val="0"/>
          <w:numId w:val="11"/>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Linking regional and national infrastructure of transport and energy (Trans-European Networks)</w:t>
      </w:r>
    </w:p>
    <w:p w:rsidR="00762C9B" w:rsidRPr="001346FF" w:rsidRDefault="00762C9B" w:rsidP="005116EE">
      <w:pPr>
        <w:pStyle w:val="ListParagraph"/>
        <w:numPr>
          <w:ilvl w:val="0"/>
          <w:numId w:val="11"/>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Supporting a competitive and secure energy supply (sustainable energy)</w:t>
      </w:r>
    </w:p>
    <w:p w:rsidR="00762C9B" w:rsidRPr="001346FF" w:rsidRDefault="00762C9B" w:rsidP="00762C9B">
      <w:pPr>
        <w:spacing w:after="120"/>
        <w:rPr>
          <w:lang w:eastAsia="en-GB"/>
        </w:rPr>
      </w:pPr>
      <w:r w:rsidRPr="001346FF">
        <w:rPr>
          <w:lang w:eastAsia="en-GB"/>
        </w:rPr>
        <w:t>The EIB is active both inside and outside the European Union. The majority of EIB lending is attributed to promoters in the EU countries (about 90 percent of the total volume) supporting the continued development and integration of the Union. Outside the Union, EIB lending is governed by a series of mandates from the European Union in support of EU development and cooperation policies in partner countries.</w:t>
      </w:r>
    </w:p>
    <w:p w:rsidR="00762C9B" w:rsidRPr="001346FF" w:rsidRDefault="00762C9B" w:rsidP="00762C9B">
      <w:pPr>
        <w:spacing w:after="120"/>
        <w:rPr>
          <w:lang w:eastAsia="en-GB"/>
        </w:rPr>
      </w:pPr>
      <w:r w:rsidRPr="001346FF">
        <w:rPr>
          <w:lang w:eastAsia="en-GB"/>
        </w:rPr>
        <w:t xml:space="preserve">The EIB supports the EU Neighbourhood Policy in the Eastern Partner Countries by financing projects of significant EU interest. The current EUR 3.7bn mandate runs from 2007 to 2013 and covers Russia, Ukraine, Moldova, Armenia, Azerbaijan, Georgia, and subject to future Council and European Parliament Agreement,  Belarus. This mandate is for projects of significant interest </w:t>
      </w:r>
      <w:r w:rsidRPr="001346FF">
        <w:rPr>
          <w:lang w:eastAsia="en-GB"/>
        </w:rPr>
        <w:lastRenderedPageBreak/>
        <w:t>to the EU in transport, energy, telecommunications and environmental infrastructure, and as of mid-2009 has been extended to cover also loans for SMEs via banks in Eastern Partnership countries within the framework of the Joint IFI Action Plan. With a view to supporting EU external action without affecting the EIB's credit standing, the EIB is offered a Community budgetary guarantee for operations carried out outside the Community, including the Eastern Partner Countries.</w:t>
      </w:r>
    </w:p>
    <w:p w:rsidR="00762C9B" w:rsidRPr="001346FF" w:rsidRDefault="00762C9B" w:rsidP="00762C9B">
      <w:pPr>
        <w:spacing w:after="120"/>
        <w:rPr>
          <w:u w:val="single"/>
          <w:lang w:eastAsia="en-GB"/>
        </w:rPr>
      </w:pPr>
      <w:r w:rsidRPr="001346FF">
        <w:rPr>
          <w:lang w:eastAsia="en-GB"/>
        </w:rPr>
        <w:t xml:space="preserve">To complement the Mandate, the EIB set up in December 2009 the Eastern Partners Facility (EPF), a EUR 1.5 </w:t>
      </w:r>
      <w:proofErr w:type="spellStart"/>
      <w:r w:rsidRPr="001346FF">
        <w:rPr>
          <w:lang w:eastAsia="en-GB"/>
        </w:rPr>
        <w:t>bn</w:t>
      </w:r>
      <w:proofErr w:type="spellEnd"/>
      <w:r w:rsidRPr="001346FF">
        <w:rPr>
          <w:lang w:eastAsia="en-GB"/>
        </w:rPr>
        <w:t xml:space="preserve"> facility under which financing will be extended at the EIB's own risk (i.e. without EC guarantee). The EPF enables the Bank to support EU Foreign Direct Investments (FDI) in Eastern Neighbour countries, with a EUR 500 million ceiling for projects in Russia.  The bulk of the facility will be used to support investment-grade projects/structures; financing up to EUR 150 m can be structured pursuant to the Structured Finance Facility, which provides for a higher risk bearing capacity. </w:t>
      </w:r>
    </w:p>
    <w:p w:rsidR="00762C9B" w:rsidRPr="001346FF" w:rsidRDefault="00762C9B" w:rsidP="00762C9B">
      <w:pPr>
        <w:spacing w:after="120"/>
        <w:rPr>
          <w:i/>
          <w:u w:val="single"/>
          <w:lang w:eastAsia="en-GB"/>
        </w:rPr>
      </w:pPr>
      <w:proofErr w:type="spellStart"/>
      <w:r w:rsidRPr="001346FF">
        <w:rPr>
          <w:i/>
          <w:u w:val="single"/>
          <w:lang w:eastAsia="en-GB"/>
        </w:rPr>
        <w:t>EuropeAid</w:t>
      </w:r>
      <w:proofErr w:type="spellEnd"/>
    </w:p>
    <w:p w:rsidR="00762C9B" w:rsidRPr="001346FF" w:rsidRDefault="00762C9B" w:rsidP="00762C9B">
      <w:pPr>
        <w:spacing w:after="120"/>
        <w:rPr>
          <w:lang w:eastAsia="en-GB"/>
        </w:rPr>
      </w:pPr>
      <w:r w:rsidRPr="001346FF">
        <w:rPr>
          <w:lang w:eastAsia="en-GB"/>
        </w:rPr>
        <w:t xml:space="preserve">The European Commission's </w:t>
      </w:r>
      <w:proofErr w:type="spellStart"/>
      <w:r w:rsidRPr="001346FF">
        <w:rPr>
          <w:lang w:eastAsia="en-GB"/>
        </w:rPr>
        <w:t>EuropeAid</w:t>
      </w:r>
      <w:proofErr w:type="spellEnd"/>
      <w:r w:rsidRPr="001346FF">
        <w:rPr>
          <w:lang w:eastAsia="en-GB"/>
        </w:rPr>
        <w:t xml:space="preserve"> cooperation office implements the funding instruments for external assistance in the frame of the 2007 to 2013 financial perspectives. The overall goal of these instruments is the eradication of poverty in partner countries and regions in the context of sustainable development. Based on strategy papers and annual action programmes, EU funding is delivered through budget support, grants and contracts. </w:t>
      </w:r>
    </w:p>
    <w:p w:rsidR="003B6461" w:rsidRDefault="00762C9B" w:rsidP="00762C9B">
      <w:pPr>
        <w:spacing w:after="120"/>
        <w:rPr>
          <w:lang w:eastAsia="en-GB"/>
        </w:rPr>
      </w:pPr>
      <w:r w:rsidRPr="001346FF">
        <w:rPr>
          <w:lang w:eastAsia="en-GB"/>
        </w:rPr>
        <w:t xml:space="preserve">The European Neighbourhood and Partnership Instrument (ENPI) </w:t>
      </w:r>
      <w:proofErr w:type="gramStart"/>
      <w:r w:rsidRPr="001346FF">
        <w:rPr>
          <w:lang w:eastAsia="en-GB"/>
        </w:rPr>
        <w:t>supports</w:t>
      </w:r>
      <w:proofErr w:type="gramEnd"/>
      <w:r w:rsidRPr="001346FF">
        <w:rPr>
          <w:lang w:eastAsia="en-GB"/>
        </w:rPr>
        <w:t xml:space="preserve"> the European Neighbourhood Policy (ENP). The ENPI’s beneficiary countries are the ENP partner countries (incl. Armenia, Azerbaijan, Belarus, Georgia, Moldova, </w:t>
      </w:r>
      <w:proofErr w:type="gramStart"/>
      <w:r w:rsidRPr="001346FF">
        <w:rPr>
          <w:lang w:eastAsia="en-GB"/>
        </w:rPr>
        <w:t>Ukraine</w:t>
      </w:r>
      <w:proofErr w:type="gramEnd"/>
      <w:r w:rsidRPr="001346FF">
        <w:rPr>
          <w:lang w:eastAsia="en-GB"/>
        </w:rPr>
        <w:t xml:space="preserve">) and Russia. </w:t>
      </w:r>
    </w:p>
    <w:p w:rsidR="00762C9B" w:rsidRPr="001346FF" w:rsidRDefault="00762C9B" w:rsidP="00762C9B">
      <w:pPr>
        <w:spacing w:after="120"/>
        <w:rPr>
          <w:lang w:eastAsia="en-GB"/>
        </w:rPr>
      </w:pPr>
      <w:r w:rsidRPr="001346FF">
        <w:rPr>
          <w:lang w:eastAsia="en-GB"/>
        </w:rPr>
        <w:t>The ENPI has the following strategic objectives:</w:t>
      </w:r>
    </w:p>
    <w:p w:rsidR="00762C9B" w:rsidRPr="001346FF" w:rsidRDefault="00762C9B" w:rsidP="005116EE">
      <w:pPr>
        <w:pStyle w:val="ListParagraph"/>
        <w:numPr>
          <w:ilvl w:val="0"/>
          <w:numId w:val="16"/>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supporting democratic transition and promoting human rights,</w:t>
      </w:r>
    </w:p>
    <w:p w:rsidR="00762C9B" w:rsidRPr="001346FF" w:rsidRDefault="00762C9B" w:rsidP="005116EE">
      <w:pPr>
        <w:pStyle w:val="ListParagraph"/>
        <w:numPr>
          <w:ilvl w:val="0"/>
          <w:numId w:val="16"/>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the transition towards the market economy,</w:t>
      </w:r>
    </w:p>
    <w:p w:rsidR="00762C9B" w:rsidRPr="001346FF" w:rsidRDefault="00762C9B" w:rsidP="005116EE">
      <w:pPr>
        <w:pStyle w:val="ListParagraph"/>
        <w:numPr>
          <w:ilvl w:val="0"/>
          <w:numId w:val="16"/>
        </w:numPr>
        <w:spacing w:after="120" w:line="240" w:lineRule="auto"/>
        <w:rPr>
          <w:rFonts w:ascii="Arial" w:hAnsi="Arial" w:cs="Arial"/>
          <w:sz w:val="21"/>
          <w:szCs w:val="21"/>
          <w:lang w:val="en-GB" w:eastAsia="en-GB"/>
        </w:rPr>
      </w:pPr>
      <w:proofErr w:type="gramStart"/>
      <w:r w:rsidRPr="001346FF">
        <w:rPr>
          <w:rFonts w:ascii="Arial" w:hAnsi="Arial" w:cs="Arial"/>
          <w:sz w:val="21"/>
          <w:szCs w:val="21"/>
          <w:lang w:val="en-GB" w:eastAsia="en-GB"/>
        </w:rPr>
        <w:t>the</w:t>
      </w:r>
      <w:proofErr w:type="gramEnd"/>
      <w:r w:rsidRPr="001346FF">
        <w:rPr>
          <w:rFonts w:ascii="Arial" w:hAnsi="Arial" w:cs="Arial"/>
          <w:sz w:val="21"/>
          <w:szCs w:val="21"/>
          <w:lang w:val="en-GB" w:eastAsia="en-GB"/>
        </w:rPr>
        <w:t xml:space="preserve"> promotion of sustainable development; and policies of common interests (antiterrorism, the proliferation of weapons of mass destruction, conflict resolution, the rule of international law, etc.).</w:t>
      </w:r>
    </w:p>
    <w:p w:rsidR="00762C9B" w:rsidRPr="001346FF" w:rsidRDefault="00762C9B" w:rsidP="00762C9B">
      <w:pPr>
        <w:spacing w:after="120"/>
        <w:rPr>
          <w:lang w:eastAsia="en-GB"/>
        </w:rPr>
      </w:pPr>
      <w:r w:rsidRPr="001346FF">
        <w:rPr>
          <w:lang w:eastAsia="en-GB"/>
        </w:rPr>
        <w:t>The ENPI finances actions in the various sectors, including: more equitable development; regulatory trade and reforms; the liberalisation of certain sectors; justice and home affairs; energy; transport; information society; environmental sustainability; research and innovation. In addition, it can provide support to electoral observation and post-crisis missions and to disaster preparedness.</w:t>
      </w:r>
    </w:p>
    <w:p w:rsidR="00762C9B" w:rsidRPr="001346FF" w:rsidRDefault="00762C9B" w:rsidP="00762C9B">
      <w:pPr>
        <w:spacing w:after="120"/>
        <w:rPr>
          <w:lang w:eastAsia="en-GB"/>
        </w:rPr>
      </w:pPr>
      <w:r w:rsidRPr="001346FF">
        <w:rPr>
          <w:lang w:eastAsia="en-GB"/>
        </w:rPr>
        <w:t>The funds allocation is policy driven, and depends on the needs and absorption capacity of the beneficiary countries as well as on their implementation of agreed reforms.</w:t>
      </w:r>
      <w:r w:rsidR="003B6461">
        <w:rPr>
          <w:lang w:eastAsia="en-GB"/>
        </w:rPr>
        <w:t xml:space="preserve"> </w:t>
      </w:r>
      <w:r w:rsidRPr="001346FF">
        <w:rPr>
          <w:lang w:eastAsia="en-GB"/>
        </w:rPr>
        <w:t>The actions can be co-funded by the EU and other donors; they can also be funded by the EU and implemented by an international organisation.</w:t>
      </w:r>
    </w:p>
    <w:p w:rsidR="00762C9B" w:rsidRPr="001346FF" w:rsidRDefault="00762C9B" w:rsidP="00762C9B">
      <w:pPr>
        <w:spacing w:after="120"/>
        <w:rPr>
          <w:lang w:eastAsia="en-GB"/>
        </w:rPr>
      </w:pPr>
      <w:r w:rsidRPr="001346FF">
        <w:rPr>
          <w:lang w:eastAsia="en-GB"/>
        </w:rPr>
        <w:t>In December 2013 the EC adopted Multiannual Financial Framework (MFF) for the period 2014 – 2020. The total amount envisaged for external financial instruments – Global Europe is EUR 51.4 billion (current prices), including European Neighbourhood Instrument (ENI): EUR 15.4 billion.</w:t>
      </w:r>
    </w:p>
    <w:p w:rsidR="00762C9B" w:rsidRPr="001346FF" w:rsidRDefault="00762C9B" w:rsidP="00762C9B">
      <w:pPr>
        <w:spacing w:after="120"/>
        <w:rPr>
          <w:i/>
          <w:u w:val="single"/>
          <w:lang w:eastAsia="en-GB"/>
        </w:rPr>
      </w:pPr>
      <w:r w:rsidRPr="001346FF">
        <w:rPr>
          <w:i/>
          <w:u w:val="single"/>
          <w:lang w:eastAsia="en-GB"/>
        </w:rPr>
        <w:t>Structural Funds</w:t>
      </w:r>
    </w:p>
    <w:p w:rsidR="00762C9B" w:rsidRPr="001346FF" w:rsidRDefault="00762C9B" w:rsidP="00762C9B">
      <w:pPr>
        <w:spacing w:after="120"/>
        <w:rPr>
          <w:lang w:eastAsia="en-GB"/>
        </w:rPr>
      </w:pPr>
      <w:r w:rsidRPr="001346FF">
        <w:rPr>
          <w:lang w:eastAsia="en-GB"/>
        </w:rPr>
        <w:t xml:space="preserve">The Structural Funds and the Cohesion Fund are the financial instruments of European Union (EU) regional policy, which is intended to narrow the development disparities among regions and </w:t>
      </w:r>
      <w:r w:rsidRPr="001346FF">
        <w:rPr>
          <w:lang w:eastAsia="en-GB"/>
        </w:rPr>
        <w:lastRenderedPageBreak/>
        <w:t>Member States. The Funds participate fully, therefore, in pursuing the goal of economic, social and territorial cohesion.</w:t>
      </w:r>
    </w:p>
    <w:p w:rsidR="00762C9B" w:rsidRPr="001346FF" w:rsidRDefault="00762C9B" w:rsidP="00762C9B">
      <w:pPr>
        <w:spacing w:after="120"/>
        <w:rPr>
          <w:lang w:eastAsia="en-GB"/>
        </w:rPr>
      </w:pPr>
      <w:r w:rsidRPr="001346FF">
        <w:rPr>
          <w:lang w:eastAsia="en-GB"/>
        </w:rPr>
        <w:t>Cohesion policy 2014-2020 represents approximately 1/3 of the EU budget, reinforcing its role as the Union's main investment policy for growth and jobs and implementing EU policies. The Commission is working with national and local authorities to define priorities for investment for each country for the next financial period, ensuring the investment's maximum impact on competitiveness and employment creation, and reinforcing the thematic concentration and  focus on results of the reformed policy.</w:t>
      </w:r>
    </w:p>
    <w:p w:rsidR="00762C9B" w:rsidRPr="001346FF" w:rsidRDefault="00762C9B" w:rsidP="00762C9B">
      <w:pPr>
        <w:spacing w:after="120"/>
        <w:ind w:right="-1"/>
        <w:rPr>
          <w:lang w:eastAsia="en-GB"/>
        </w:rPr>
      </w:pPr>
    </w:p>
    <w:p w:rsidR="00762C9B" w:rsidRPr="001346FF" w:rsidRDefault="00762C9B" w:rsidP="00762C9B">
      <w:pPr>
        <w:pStyle w:val="Heading2"/>
      </w:pPr>
      <w:bookmarkStart w:id="24" w:name="_Toc384307252"/>
      <w:bookmarkStart w:id="25" w:name="_Toc387396918"/>
      <w:r w:rsidRPr="001346FF">
        <w:t>Measures implemented by Member States</w:t>
      </w:r>
      <w:bookmarkEnd w:id="24"/>
      <w:bookmarkEnd w:id="25"/>
    </w:p>
    <w:p w:rsidR="00762C9B" w:rsidRPr="001346FF" w:rsidRDefault="00762C9B" w:rsidP="00762C9B">
      <w:pPr>
        <w:spacing w:after="120"/>
        <w:rPr>
          <w:lang w:eastAsia="en-GB"/>
        </w:rPr>
      </w:pPr>
      <w:r w:rsidRPr="001346FF">
        <w:rPr>
          <w:lang w:eastAsia="en-GB"/>
        </w:rPr>
        <w:t xml:space="preserve">Another way of facilitating the actions that would lead to improvement of air quality is through national incentive-oriented tools that oftentimes are described by the so-called win-win scenario. In such case Member States develop a set of instruments fostering environment-friendly behaviour, that at the same time are not of a compulsory nature. The following paragraphs will describe a number of examples from several EU Member States. </w:t>
      </w:r>
    </w:p>
    <w:p w:rsidR="00762C9B" w:rsidRPr="001346FF" w:rsidRDefault="00762C9B" w:rsidP="00762C9B">
      <w:pPr>
        <w:pStyle w:val="Heading3"/>
        <w:numPr>
          <w:ilvl w:val="0"/>
          <w:numId w:val="0"/>
        </w:numPr>
        <w:ind w:left="709" w:hanging="709"/>
      </w:pPr>
      <w:bookmarkStart w:id="26" w:name="_Toc384307253"/>
      <w:bookmarkStart w:id="27" w:name="_Toc387396919"/>
      <w:r w:rsidRPr="001346FF">
        <w:t>Belgium</w:t>
      </w:r>
      <w:r w:rsidRPr="001346FF">
        <w:rPr>
          <w:rStyle w:val="FootnoteReference"/>
        </w:rPr>
        <w:footnoteReference w:id="20"/>
      </w:r>
      <w:bookmarkEnd w:id="26"/>
      <w:bookmarkEnd w:id="27"/>
    </w:p>
    <w:p w:rsidR="00762C9B" w:rsidRPr="001346FF" w:rsidRDefault="00762C9B" w:rsidP="00762C9B">
      <w:pPr>
        <w:spacing w:after="120"/>
        <w:rPr>
          <w:lang w:eastAsia="en-GB"/>
        </w:rPr>
      </w:pPr>
      <w:r w:rsidRPr="001346FF">
        <w:rPr>
          <w:lang w:eastAsia="en-GB"/>
        </w:rPr>
        <w:t>Taking into consideration the federal system of Belgium, the environmental legislation is mainly a regional competence, therefore there is a variety of policy and legislative tools oriented towards stimulation of environment-friendly behaviour in major polluting sectors. The introduction of various additional emission-reducing instruments is especially relevant to Belgium due to compliance</w:t>
      </w:r>
      <w:r w:rsidRPr="001346FF">
        <w:rPr>
          <w:rStyle w:val="FootnoteReference"/>
          <w:lang w:eastAsia="en-GB"/>
        </w:rPr>
        <w:footnoteReference w:id="21"/>
      </w:r>
      <w:r w:rsidRPr="001346FF">
        <w:rPr>
          <w:lang w:eastAsia="en-GB"/>
        </w:rPr>
        <w:t xml:space="preserve"> with NECD</w:t>
      </w:r>
      <w:r w:rsidRPr="001346FF">
        <w:rPr>
          <w:rStyle w:val="FootnoteReference"/>
          <w:lang w:eastAsia="en-GB"/>
        </w:rPr>
        <w:footnoteReference w:id="22"/>
      </w:r>
      <w:r w:rsidRPr="001346FF">
        <w:rPr>
          <w:lang w:eastAsia="en-GB"/>
        </w:rPr>
        <w:t xml:space="preserve"> issues. In order to grasp the general overview of country’s approach, few illustrative measures will be briefly discussed.</w:t>
      </w:r>
    </w:p>
    <w:p w:rsidR="00762C9B" w:rsidRPr="001346FF" w:rsidRDefault="00762C9B" w:rsidP="00762C9B">
      <w:pPr>
        <w:spacing w:after="120"/>
        <w:rPr>
          <w:i/>
          <w:u w:val="single"/>
          <w:lang w:eastAsia="en-GB"/>
        </w:rPr>
      </w:pPr>
      <w:r w:rsidRPr="001346FF">
        <w:rPr>
          <w:i/>
          <w:u w:val="single"/>
          <w:lang w:eastAsia="en-GB"/>
        </w:rPr>
        <w:t>Energy</w:t>
      </w:r>
    </w:p>
    <w:p w:rsidR="00762C9B" w:rsidRPr="001346FF" w:rsidRDefault="00762C9B" w:rsidP="00762C9B">
      <w:pPr>
        <w:spacing w:after="120"/>
        <w:rPr>
          <w:lang w:eastAsia="en-GB"/>
        </w:rPr>
      </w:pPr>
      <w:r w:rsidRPr="001346FF">
        <w:rPr>
          <w:lang w:eastAsia="en-GB"/>
        </w:rPr>
        <w:t xml:space="preserve">Belgium sets a positive example by providing miscellaneous “soft” mechanisms for promotion of emission reduction. As far as it goes to energy, one example to mention is an </w:t>
      </w:r>
      <w:r w:rsidRPr="001346FF">
        <w:rPr>
          <w:u w:val="single"/>
          <w:lang w:eastAsia="en-GB"/>
        </w:rPr>
        <w:t>Environmental Policy Agreement</w:t>
      </w:r>
      <w:r w:rsidRPr="001346FF">
        <w:rPr>
          <w:lang w:eastAsia="en-GB"/>
        </w:rPr>
        <w:t xml:space="preserve"> concluded between Flemish government and electricity production sector. Under the agreement, the sector commits to reduce its emissions in accordance with special emission ceilings; in exchange the Flemish government imposes limit values for installations in this sector that are less strict than they would be in case the agreement was not concluded. Such agreement is in force for a particular period of time, and it covers all existing installations, operated by or in collaboration with an electricity producer, thus excluding new plants, for which the standard regulatory measures apply. Under the agreement the sector has to draw up an annual plan, indicating, how the targets will be met, which is determined, taking into consideration a number of assumptions relating to expected demand for electricity, imports and production in the region at issue.</w:t>
      </w:r>
    </w:p>
    <w:p w:rsidR="00762C9B" w:rsidRPr="001346FF" w:rsidRDefault="00762C9B" w:rsidP="00762C9B">
      <w:pPr>
        <w:spacing w:after="120"/>
        <w:rPr>
          <w:lang w:eastAsia="en-GB"/>
        </w:rPr>
      </w:pPr>
      <w:r w:rsidRPr="001346FF">
        <w:rPr>
          <w:lang w:eastAsia="en-GB"/>
        </w:rPr>
        <w:t xml:space="preserve">Another example can be observed from the experience of Brussels Capital Region (BCR), where a system of premiums designed to provide financial support to actions aimed at </w:t>
      </w:r>
      <w:r w:rsidRPr="001346FF">
        <w:rPr>
          <w:u w:val="single"/>
          <w:lang w:eastAsia="en-GB"/>
        </w:rPr>
        <w:t>improving energy performance of buildings</w:t>
      </w:r>
      <w:r w:rsidRPr="001346FF">
        <w:rPr>
          <w:lang w:eastAsia="en-GB"/>
        </w:rPr>
        <w:t xml:space="preserve"> in the services and industrial sectors has been set up. In framework of </w:t>
      </w:r>
      <w:r w:rsidRPr="001346FF">
        <w:rPr>
          <w:lang w:eastAsia="en-GB"/>
        </w:rPr>
        <w:lastRenderedPageBreak/>
        <w:t xml:space="preserve">the funding programme the support is provided to innovative designs for new buildings, as well as to measures manifesting good energy management in existing buildings. </w:t>
      </w:r>
    </w:p>
    <w:p w:rsidR="00762C9B" w:rsidRPr="001346FF" w:rsidRDefault="00762C9B" w:rsidP="00762C9B">
      <w:pPr>
        <w:spacing w:after="120"/>
        <w:rPr>
          <w:i/>
          <w:u w:val="single"/>
          <w:lang w:eastAsia="en-GB"/>
        </w:rPr>
      </w:pPr>
      <w:r w:rsidRPr="001346FF">
        <w:rPr>
          <w:i/>
          <w:u w:val="single"/>
          <w:lang w:eastAsia="en-GB"/>
        </w:rPr>
        <w:t>Residential sector</w:t>
      </w:r>
    </w:p>
    <w:p w:rsidR="00762C9B" w:rsidRPr="001346FF" w:rsidRDefault="00762C9B" w:rsidP="00762C9B">
      <w:pPr>
        <w:spacing w:after="120"/>
        <w:rPr>
          <w:lang w:eastAsia="en-GB"/>
        </w:rPr>
      </w:pPr>
      <w:r w:rsidRPr="001346FF">
        <w:rPr>
          <w:lang w:eastAsia="en-GB"/>
        </w:rPr>
        <w:t xml:space="preserve">A lot of incentive-underlining measures have been introduced in the residential sector. A great number of such measures pertain to </w:t>
      </w:r>
      <w:r w:rsidRPr="001346FF">
        <w:rPr>
          <w:u w:val="single"/>
          <w:lang w:eastAsia="en-GB"/>
        </w:rPr>
        <w:t>informing the public</w:t>
      </w:r>
      <w:r w:rsidRPr="001346FF">
        <w:rPr>
          <w:lang w:eastAsia="en-GB"/>
        </w:rPr>
        <w:t xml:space="preserve"> by such means as free-of-charge assistance and information centres, preparation of easily comprehensible and more informative energy bills, and provision of information on potential energy savings. In addition each year, “Brussels Environment” invites Brussels families to participate in the “Energy Challenge”. Its objective is to help them reduce their energy bill by taking a series of simple and “economical” steps in their home.</w:t>
      </w:r>
      <w:r w:rsidRPr="001346FF">
        <w:rPr>
          <w:rStyle w:val="FootnoteReference"/>
          <w:lang w:eastAsia="en-GB"/>
        </w:rPr>
        <w:footnoteReference w:id="23"/>
      </w:r>
      <w:r w:rsidRPr="001346FF">
        <w:rPr>
          <w:lang w:eastAsia="en-GB"/>
        </w:rPr>
        <w:t xml:space="preserve"> Such measures are purely dependent on public decision to comply with them, as required actions root in the change of public behaviour. Such behavioural changes are expected to lead to reduced consumption of energy, resulting in reduction of emissions.</w:t>
      </w:r>
    </w:p>
    <w:p w:rsidR="00762C9B" w:rsidRPr="001346FF" w:rsidRDefault="00762C9B" w:rsidP="00762C9B">
      <w:pPr>
        <w:spacing w:after="120"/>
        <w:rPr>
          <w:lang w:eastAsia="en-GB"/>
        </w:rPr>
      </w:pPr>
      <w:r w:rsidRPr="001346FF">
        <w:rPr>
          <w:lang w:eastAsia="en-GB"/>
        </w:rPr>
        <w:t xml:space="preserve">Another efficient tool for reduction of energy consumption is by means of </w:t>
      </w:r>
      <w:r w:rsidRPr="001346FF">
        <w:rPr>
          <w:u w:val="single"/>
          <w:lang w:eastAsia="en-GB"/>
        </w:rPr>
        <w:t>financial aid to households</w:t>
      </w:r>
      <w:r w:rsidRPr="001346FF">
        <w:rPr>
          <w:lang w:eastAsia="en-GB"/>
        </w:rPr>
        <w:t>. Financial incentives are focused on investments in energy performance (i.e. Energy and renovation premiums). Since 2004, the Brussels-Capital Region has offered a set of such “Energy” subsidies to individuals, groups and businesses to encourage them to renovate, better insulate and better equip their buildings to save energy and reduce CO</w:t>
      </w:r>
      <w:r w:rsidRPr="001346FF">
        <w:rPr>
          <w:vertAlign w:val="subscript"/>
          <w:lang w:eastAsia="en-GB"/>
        </w:rPr>
        <w:t>2</w:t>
      </w:r>
      <w:r w:rsidRPr="001346FF">
        <w:rPr>
          <w:lang w:eastAsia="en-GB"/>
        </w:rPr>
        <w:t xml:space="preserve"> emissions (insulation works, high-performance appliances, etc.). They are now adjusted depending on household income, to provide more support to low-income families (who also receive a zero-interest “green loan” for these works). The Region also offers subsidies for residential renovation, improvement of façades, acoustic insulation and a soil study.</w:t>
      </w:r>
      <w:r w:rsidRPr="001346FF">
        <w:rPr>
          <w:rStyle w:val="FootnoteReference"/>
          <w:lang w:eastAsia="en-GB"/>
        </w:rPr>
        <w:footnoteReference w:id="24"/>
      </w:r>
    </w:p>
    <w:p w:rsidR="00762C9B" w:rsidRPr="001346FF" w:rsidRDefault="00762C9B" w:rsidP="00762C9B">
      <w:pPr>
        <w:spacing w:after="120"/>
        <w:rPr>
          <w:i/>
          <w:u w:val="single"/>
          <w:lang w:eastAsia="en-GB"/>
        </w:rPr>
      </w:pPr>
      <w:r w:rsidRPr="001346FF">
        <w:rPr>
          <w:i/>
          <w:u w:val="single"/>
          <w:lang w:eastAsia="en-GB"/>
        </w:rPr>
        <w:t>Transport</w:t>
      </w:r>
    </w:p>
    <w:p w:rsidR="00762C9B" w:rsidRPr="001346FF" w:rsidRDefault="00762C9B" w:rsidP="00762C9B">
      <w:pPr>
        <w:spacing w:after="120"/>
        <w:rPr>
          <w:lang w:eastAsia="en-GB"/>
        </w:rPr>
      </w:pPr>
      <w:r w:rsidRPr="001346FF">
        <w:rPr>
          <w:lang w:eastAsia="en-GB"/>
        </w:rPr>
        <w:t xml:space="preserve">Taking into consideration that the transport sector accounts for a great part of </w:t>
      </w:r>
      <w:proofErr w:type="spellStart"/>
      <w:r w:rsidRPr="001346FF">
        <w:rPr>
          <w:lang w:eastAsia="en-GB"/>
        </w:rPr>
        <w:t>NOx</w:t>
      </w:r>
      <w:proofErr w:type="spellEnd"/>
      <w:r w:rsidRPr="001346FF">
        <w:rPr>
          <w:lang w:eastAsia="en-GB"/>
        </w:rPr>
        <w:t xml:space="preserve"> emissions, which have been general concern of Belgium in terms of compliance with its national emission ceilings, a lot of incentive-oriented measures, tackling the problem with transport emissions, have been introduced both at federal and regional levels. These include </w:t>
      </w:r>
      <w:r w:rsidRPr="001346FF">
        <w:rPr>
          <w:u w:val="single"/>
          <w:lang w:eastAsia="en-GB"/>
        </w:rPr>
        <w:t>incentives of a fiscal nature</w:t>
      </w:r>
      <w:r w:rsidRPr="001346FF">
        <w:rPr>
          <w:lang w:eastAsia="en-GB"/>
        </w:rPr>
        <w:t xml:space="preserve"> at federal level - adjustment of taxation of diesel fuel aimed at reduction of gap in price between petrol and diesel fuels, tax reduction for purchase of electric vehicles, fiscal</w:t>
      </w:r>
      <w:r w:rsidRPr="001346FF">
        <w:t xml:space="preserve"> </w:t>
      </w:r>
      <w:r w:rsidRPr="001346FF">
        <w:rPr>
          <w:lang w:eastAsia="en-GB"/>
        </w:rPr>
        <w:t xml:space="preserve">aid scheme operating for the benefit of combined goods transport operators using rail for distances of less than 300 km – or such tools as provision of </w:t>
      </w:r>
      <w:r w:rsidRPr="001346FF">
        <w:rPr>
          <w:u w:val="single"/>
          <w:lang w:eastAsia="en-GB"/>
        </w:rPr>
        <w:t>subsidies for journey to work covered by bicycle</w:t>
      </w:r>
      <w:r w:rsidRPr="001346FF">
        <w:rPr>
          <w:lang w:eastAsia="en-GB"/>
        </w:rPr>
        <w:t>. Fiscal measures as increased tax for more polluting vehicles/fuels and decreased tax for environment-friendly technologies can be generally perceived as an effective and also rather flexible tool, as the tax rate can be changed taking into consideration technological developments and most recent findings.</w:t>
      </w:r>
    </w:p>
    <w:p w:rsidR="00762C9B" w:rsidRPr="001346FF" w:rsidRDefault="00762C9B" w:rsidP="00762C9B">
      <w:pPr>
        <w:spacing w:after="120"/>
        <w:rPr>
          <w:lang w:eastAsia="en-GB"/>
        </w:rPr>
      </w:pPr>
      <w:r w:rsidRPr="001346FF">
        <w:rPr>
          <w:lang w:eastAsia="en-GB"/>
        </w:rPr>
        <w:t xml:space="preserve">Starting with June 2011, any company in Brussels region with more than 100 workers on a site must draw up a </w:t>
      </w:r>
      <w:r w:rsidRPr="001346FF">
        <w:rPr>
          <w:u w:val="single"/>
          <w:lang w:eastAsia="en-GB"/>
        </w:rPr>
        <w:t xml:space="preserve">Company Travel Plan </w:t>
      </w:r>
      <w:r w:rsidRPr="001346FF">
        <w:rPr>
          <w:lang w:eastAsia="en-GB"/>
        </w:rPr>
        <w:t xml:space="preserve">(Plans de </w:t>
      </w:r>
      <w:proofErr w:type="spellStart"/>
      <w:r w:rsidRPr="001346FF">
        <w:rPr>
          <w:lang w:eastAsia="en-GB"/>
        </w:rPr>
        <w:t>déplacements</w:t>
      </w:r>
      <w:proofErr w:type="spellEnd"/>
      <w:r w:rsidRPr="001346FF">
        <w:rPr>
          <w:lang w:eastAsia="en-GB"/>
        </w:rPr>
        <w:t xml:space="preserve"> </w:t>
      </w:r>
      <w:proofErr w:type="spellStart"/>
      <w:r w:rsidRPr="001346FF">
        <w:rPr>
          <w:lang w:eastAsia="en-GB"/>
        </w:rPr>
        <w:t>d’entreprises</w:t>
      </w:r>
      <w:proofErr w:type="spellEnd"/>
      <w:r w:rsidRPr="001346FF">
        <w:rPr>
          <w:lang w:eastAsia="en-GB"/>
        </w:rPr>
        <w:t xml:space="preserve">, PDEs). This involves 600 companies and over one-third of the jobs in the Brussels region. Companies can thus contribute to reducing the automobile pressure, notably by reducing travel in individual cars. The Region also supports schools to aid them in drawing up their </w:t>
      </w:r>
      <w:r w:rsidRPr="001346FF">
        <w:rPr>
          <w:u w:val="single"/>
          <w:lang w:eastAsia="en-GB"/>
        </w:rPr>
        <w:t>School Travel Plan</w:t>
      </w:r>
      <w:r w:rsidRPr="001346FF">
        <w:rPr>
          <w:lang w:eastAsia="en-GB"/>
        </w:rPr>
        <w:t>.</w:t>
      </w:r>
      <w:r w:rsidRPr="001346FF">
        <w:rPr>
          <w:rStyle w:val="FootnoteReference"/>
          <w:lang w:eastAsia="en-GB"/>
        </w:rPr>
        <w:footnoteReference w:id="25"/>
      </w:r>
    </w:p>
    <w:p w:rsidR="00762C9B" w:rsidRPr="001346FF" w:rsidRDefault="00762C9B" w:rsidP="00762C9B">
      <w:pPr>
        <w:spacing w:after="120"/>
        <w:rPr>
          <w:lang w:eastAsia="en-GB"/>
        </w:rPr>
      </w:pPr>
      <w:r w:rsidRPr="001346FF">
        <w:rPr>
          <w:lang w:eastAsia="en-GB"/>
        </w:rPr>
        <w:t xml:space="preserve">As well as in residential sector, also in relation to transport great importance is devoted to the measures encompassing behavioural component. Noteworthy example in this respect is </w:t>
      </w:r>
      <w:r w:rsidRPr="001346FF">
        <w:rPr>
          <w:u w:val="single"/>
          <w:lang w:eastAsia="en-GB"/>
        </w:rPr>
        <w:lastRenderedPageBreak/>
        <w:t>“</w:t>
      </w:r>
      <w:proofErr w:type="spellStart"/>
      <w:r w:rsidRPr="001346FF">
        <w:rPr>
          <w:u w:val="single"/>
          <w:lang w:eastAsia="en-GB"/>
        </w:rPr>
        <w:t>ecodriving</w:t>
      </w:r>
      <w:proofErr w:type="spellEnd"/>
      <w:r w:rsidRPr="001346FF">
        <w:rPr>
          <w:u w:val="single"/>
          <w:lang w:eastAsia="en-GB"/>
        </w:rPr>
        <w:t>”</w:t>
      </w:r>
      <w:r w:rsidRPr="001346FF">
        <w:rPr>
          <w:lang w:eastAsia="en-GB"/>
        </w:rPr>
        <w:t>, which has been included as a required knowledge in the drivers’ licencing system and is a part of a driver’s exam, focusing on environment friendly driving behaviour.</w:t>
      </w:r>
    </w:p>
    <w:p w:rsidR="00762C9B" w:rsidRPr="001346FF" w:rsidRDefault="00762C9B" w:rsidP="00762C9B">
      <w:pPr>
        <w:pStyle w:val="Heading3"/>
        <w:numPr>
          <w:ilvl w:val="0"/>
          <w:numId w:val="0"/>
        </w:numPr>
      </w:pPr>
      <w:bookmarkStart w:id="28" w:name="_Toc384307254"/>
      <w:bookmarkStart w:id="29" w:name="_Toc387396920"/>
      <w:r w:rsidRPr="001346FF">
        <w:t>Latvia</w:t>
      </w:r>
      <w:r w:rsidRPr="001346FF">
        <w:rPr>
          <w:rStyle w:val="FootnoteReference"/>
        </w:rPr>
        <w:footnoteReference w:id="26"/>
      </w:r>
      <w:bookmarkEnd w:id="28"/>
      <w:bookmarkEnd w:id="29"/>
    </w:p>
    <w:p w:rsidR="00762C9B" w:rsidRPr="001346FF" w:rsidRDefault="00762C9B" w:rsidP="00762C9B">
      <w:pPr>
        <w:spacing w:after="120"/>
        <w:rPr>
          <w:lang w:eastAsia="en-GB"/>
        </w:rPr>
      </w:pPr>
      <w:r w:rsidRPr="001346FF">
        <w:rPr>
          <w:lang w:eastAsia="en-GB"/>
        </w:rPr>
        <w:t>The example of Latvia is interesting due to such factors as its historical background – being part of the Soviet Union – and economic development. These conditions make the description of Latvian system especially relevant in the context of the project at issue. Taking into consideration that Latvia joined the EU in 2004, a lot of instruments, reported in 2006 programme</w:t>
      </w:r>
      <w:r w:rsidRPr="001346FF">
        <w:rPr>
          <w:rStyle w:val="FootnoteReference"/>
          <w:lang w:eastAsia="en-GB"/>
        </w:rPr>
        <w:footnoteReference w:id="27"/>
      </w:r>
      <w:r w:rsidRPr="001346FF">
        <w:rPr>
          <w:lang w:eastAsia="en-GB"/>
        </w:rPr>
        <w:t xml:space="preserve"> ensure implementation of the relevant EU legal acts and are of a regulatory nature. Yet taking into consideration the aim of the current report, the following paragraphs will focus exclusively on “soft” non-compulsory measures.</w:t>
      </w:r>
    </w:p>
    <w:p w:rsidR="00762C9B" w:rsidRPr="001346FF" w:rsidRDefault="00762C9B" w:rsidP="00762C9B">
      <w:pPr>
        <w:spacing w:after="120"/>
        <w:rPr>
          <w:i/>
          <w:u w:val="single"/>
          <w:lang w:eastAsia="en-GB"/>
        </w:rPr>
      </w:pPr>
      <w:r w:rsidRPr="001346FF">
        <w:rPr>
          <w:i/>
          <w:u w:val="single"/>
          <w:lang w:eastAsia="en-GB"/>
        </w:rPr>
        <w:t>Energy</w:t>
      </w:r>
    </w:p>
    <w:p w:rsidR="00762C9B" w:rsidRPr="001346FF" w:rsidRDefault="00762C9B" w:rsidP="00762C9B">
      <w:pPr>
        <w:spacing w:after="120"/>
        <w:rPr>
          <w:lang w:eastAsia="en-GB"/>
        </w:rPr>
      </w:pPr>
      <w:r w:rsidRPr="001346FF">
        <w:rPr>
          <w:lang w:eastAsia="en-GB"/>
        </w:rPr>
        <w:t xml:space="preserve">Taking into consideration that combustion in stationary sources for the purposes of generation of energy constitutes the largest source of emissions in the country, there are a lot of measures addressing shift towards renewable energy resources and general reduction in energy consumption. One of the examples pertaining to promotion of renewable energy is </w:t>
      </w:r>
      <w:r w:rsidRPr="001346FF">
        <w:rPr>
          <w:u w:val="single"/>
          <w:lang w:eastAsia="en-GB"/>
        </w:rPr>
        <w:t>support of small hydroelectric power plants</w:t>
      </w:r>
      <w:r w:rsidRPr="001346FF">
        <w:rPr>
          <w:lang w:eastAsia="en-GB"/>
        </w:rPr>
        <w:t xml:space="preserve">. The support mechanism for such installations has been present since 1990s, and it focuses on renovation of small hydroelectric power plants of regional importance, as well as on production of relative equipment. Lately it has been acknowledged that the emphasis has to be put on the pilot projects facilitating innovative, environment-friendly technologies. </w:t>
      </w:r>
    </w:p>
    <w:p w:rsidR="00762C9B" w:rsidRPr="001346FF" w:rsidRDefault="00762C9B" w:rsidP="00762C9B">
      <w:pPr>
        <w:spacing w:after="120"/>
        <w:rPr>
          <w:lang w:eastAsia="en-GB"/>
        </w:rPr>
      </w:pPr>
      <w:r w:rsidRPr="001346FF">
        <w:rPr>
          <w:lang w:eastAsia="en-GB"/>
        </w:rPr>
        <w:t xml:space="preserve">Another example of energy-directed measures is provision of </w:t>
      </w:r>
      <w:r w:rsidRPr="001346FF">
        <w:rPr>
          <w:u w:val="single"/>
          <w:lang w:eastAsia="en-GB"/>
        </w:rPr>
        <w:t>support to construction of cogeneration stations and increase in energy efficiency.</w:t>
      </w:r>
      <w:r w:rsidRPr="001346FF">
        <w:rPr>
          <w:lang w:eastAsia="en-GB"/>
        </w:rPr>
        <w:t xml:space="preserve"> The support of cogeneration has been provided in the form of economic means – setting higher rates for energy purchase, ensuring availability of financial resources –, as well as provision of information and trainings. </w:t>
      </w:r>
    </w:p>
    <w:p w:rsidR="00762C9B" w:rsidRPr="001346FF" w:rsidRDefault="00762C9B" w:rsidP="00762C9B">
      <w:pPr>
        <w:spacing w:after="120"/>
        <w:rPr>
          <w:lang w:eastAsia="en-GB"/>
        </w:rPr>
      </w:pPr>
      <w:r w:rsidRPr="001346FF">
        <w:rPr>
          <w:lang w:eastAsia="en-GB"/>
        </w:rPr>
        <w:t xml:space="preserve">Yet it is also possible to ensure the shift in behaviour by applying fiscal measures in the energy sector. One example in this respect is the increased </w:t>
      </w:r>
      <w:r w:rsidRPr="001346FF">
        <w:rPr>
          <w:u w:val="single"/>
          <w:lang w:eastAsia="en-GB"/>
        </w:rPr>
        <w:t>nature resource tax</w:t>
      </w:r>
      <w:r w:rsidRPr="001346FF">
        <w:rPr>
          <w:lang w:eastAsia="en-GB"/>
        </w:rPr>
        <w:t xml:space="preserve"> for more polluting substances. Nature resource tax applies to all natural or legal persons, which in accordance with a permit for polluting activity (if the legislation prescribes the necessity for particular undertakings to obtain such permit) emit polluting substances covered by the tax. The tax is also applicable to use of such energy resources as coal, coke and lignite, so as to motivate the use of less polluting resources. In addition to nature resource tax, the energy products are also subject to </w:t>
      </w:r>
      <w:r w:rsidRPr="001346FF">
        <w:rPr>
          <w:u w:val="single"/>
          <w:lang w:eastAsia="en-GB"/>
        </w:rPr>
        <w:t>excise tax</w:t>
      </w:r>
      <w:r w:rsidRPr="001346FF">
        <w:rPr>
          <w:lang w:eastAsia="en-GB"/>
        </w:rPr>
        <w:t>, which is applicable to a number of types of fossil fuel. Such fiscal measures are introduced with a purpose to foster a shift towards more environment-friendly fuel types.</w:t>
      </w:r>
    </w:p>
    <w:p w:rsidR="00762C9B" w:rsidRPr="001346FF" w:rsidRDefault="00762C9B" w:rsidP="00762C9B">
      <w:pPr>
        <w:spacing w:after="120"/>
        <w:rPr>
          <w:i/>
          <w:u w:val="single"/>
          <w:lang w:eastAsia="en-GB"/>
        </w:rPr>
      </w:pPr>
      <w:r w:rsidRPr="001346FF">
        <w:rPr>
          <w:i/>
          <w:u w:val="single"/>
          <w:lang w:eastAsia="en-GB"/>
        </w:rPr>
        <w:t>Transport</w:t>
      </w:r>
    </w:p>
    <w:p w:rsidR="00762C9B" w:rsidRPr="001346FF" w:rsidRDefault="00762C9B" w:rsidP="00762C9B">
      <w:pPr>
        <w:spacing w:after="120"/>
        <w:rPr>
          <w:lang w:eastAsia="en-GB"/>
        </w:rPr>
      </w:pPr>
      <w:r w:rsidRPr="001346FF">
        <w:rPr>
          <w:lang w:eastAsia="en-GB"/>
        </w:rPr>
        <w:t>Some potentially emission-reducing measures in transport sector are dedicated to the</w:t>
      </w:r>
      <w:r w:rsidRPr="001346FF">
        <w:rPr>
          <w:u w:val="single"/>
          <w:lang w:eastAsia="en-GB"/>
        </w:rPr>
        <w:t xml:space="preserve"> improvement of infrastructure</w:t>
      </w:r>
      <w:r w:rsidRPr="001346FF">
        <w:rPr>
          <w:lang w:eastAsia="en-GB"/>
        </w:rPr>
        <w:t>, for example, ensuring construction of intra-city bike paths, connecting different parts of the city. Respective measures, requiring shift in the behaviour, and consequent emission reduction, resulting from change of transport modality, might be an effective way of tackling air pollution problems in cities.</w:t>
      </w:r>
    </w:p>
    <w:p w:rsidR="00762C9B" w:rsidRPr="001346FF" w:rsidRDefault="00762C9B" w:rsidP="00476619">
      <w:pPr>
        <w:keepNext/>
        <w:keepLines/>
        <w:spacing w:after="120"/>
        <w:rPr>
          <w:i/>
          <w:u w:val="single"/>
          <w:lang w:eastAsia="en-GB"/>
        </w:rPr>
      </w:pPr>
      <w:r w:rsidRPr="001346FF">
        <w:rPr>
          <w:i/>
          <w:u w:val="single"/>
          <w:lang w:eastAsia="en-GB"/>
        </w:rPr>
        <w:lastRenderedPageBreak/>
        <w:t xml:space="preserve">Industry </w:t>
      </w:r>
    </w:p>
    <w:p w:rsidR="00762C9B" w:rsidRPr="001346FF" w:rsidRDefault="00762C9B" w:rsidP="00476619">
      <w:pPr>
        <w:keepNext/>
        <w:keepLines/>
        <w:spacing w:after="120"/>
        <w:rPr>
          <w:lang w:eastAsia="en-GB"/>
        </w:rPr>
      </w:pPr>
      <w:r w:rsidRPr="001346FF">
        <w:rPr>
          <w:lang w:eastAsia="en-GB"/>
        </w:rPr>
        <w:t xml:space="preserve">In the same vein as in other EU Member States, also in Latvia the industrial emissions are regulated under IPPC permitting system. In addition to the requirements stipulated in the related permits, the introduction of yet even more environmentally sound technologies and processes can be stimulated by such measures as: </w:t>
      </w:r>
      <w:r w:rsidRPr="001346FF">
        <w:rPr>
          <w:u w:val="single"/>
          <w:lang w:eastAsia="en-GB"/>
        </w:rPr>
        <w:t xml:space="preserve">provision of information on BATs, ensuring sophisticated environmental auditing system, and </w:t>
      </w:r>
      <w:r w:rsidRPr="00476619">
        <w:rPr>
          <w:u w:val="single"/>
          <w:lang w:eastAsia="en-GB"/>
        </w:rPr>
        <w:t>provision of financial support for implementation of projects focusing on environmentally sound production</w:t>
      </w:r>
      <w:r w:rsidR="00FD3BBA" w:rsidRPr="00476619">
        <w:rPr>
          <w:u w:val="single"/>
          <w:lang w:eastAsia="en-GB"/>
        </w:rPr>
        <w:t>, as well as tax reductions for cleaner production</w:t>
      </w:r>
      <w:r w:rsidRPr="00476619">
        <w:rPr>
          <w:lang w:eastAsia="en-GB"/>
        </w:rPr>
        <w:t xml:space="preserve">. These measures are included in </w:t>
      </w:r>
      <w:r w:rsidR="00415D4F" w:rsidRPr="00476619">
        <w:rPr>
          <w:lang w:eastAsia="en-GB"/>
        </w:rPr>
        <w:t>the National Programme under the National Emission Ceilings Directive</w:t>
      </w:r>
      <w:r w:rsidRPr="00476619">
        <w:rPr>
          <w:lang w:eastAsia="en-GB"/>
        </w:rPr>
        <w:t>, yet are not fully implemented in practice.</w:t>
      </w:r>
      <w:r w:rsidRPr="001346FF">
        <w:rPr>
          <w:lang w:eastAsia="en-GB"/>
        </w:rPr>
        <w:t xml:space="preserve">  </w:t>
      </w:r>
    </w:p>
    <w:p w:rsidR="00762C9B" w:rsidRPr="00476619" w:rsidRDefault="00762C9B" w:rsidP="00762C9B">
      <w:pPr>
        <w:spacing w:after="120"/>
        <w:rPr>
          <w:lang w:eastAsia="en-GB"/>
        </w:rPr>
      </w:pPr>
      <w:r w:rsidRPr="001346FF">
        <w:rPr>
          <w:lang w:eastAsia="en-GB"/>
        </w:rPr>
        <w:t xml:space="preserve">Another important element in regards to industrial emissions is participation </w:t>
      </w:r>
      <w:r w:rsidRPr="001346FF">
        <w:rPr>
          <w:u w:val="single"/>
          <w:lang w:eastAsia="en-GB"/>
        </w:rPr>
        <w:t>in Emission Trading System,</w:t>
      </w:r>
      <w:r w:rsidRPr="001346FF">
        <w:rPr>
          <w:lang w:eastAsia="en-GB"/>
        </w:rPr>
        <w:t xml:space="preserve"> which facilitates the increase of energy-efficiency in industrial enterprises that take part in </w:t>
      </w:r>
      <w:r w:rsidRPr="00476619">
        <w:rPr>
          <w:lang w:eastAsia="en-GB"/>
        </w:rPr>
        <w:t>the ETS. The purpose and functional nature of ETS has already been discussed above.</w:t>
      </w:r>
    </w:p>
    <w:p w:rsidR="004910CB" w:rsidRPr="001346FF" w:rsidRDefault="004910CB" w:rsidP="00762C9B">
      <w:pPr>
        <w:spacing w:after="120"/>
        <w:rPr>
          <w:lang w:eastAsia="en-GB"/>
        </w:rPr>
      </w:pPr>
      <w:r w:rsidRPr="00476619">
        <w:rPr>
          <w:lang w:eastAsia="en-GB"/>
        </w:rPr>
        <w:t>In addition to the abovementioned considerations, Latvian legislation on pollution foresees a type of administrative incentive, being more lenient towards pollutants that have registered EMAS system. The pollution permitting requirements foresee review and renewal of polluting activity permit every seven years. Yet, for installations, which are located in organisations registered in the Environmental Management and Audit System (EMAS), a permit shall be reviewed and renewed after every ten years.</w:t>
      </w:r>
    </w:p>
    <w:p w:rsidR="00762C9B" w:rsidRPr="001346FF" w:rsidRDefault="00762C9B" w:rsidP="00762C9B">
      <w:pPr>
        <w:spacing w:after="120"/>
        <w:rPr>
          <w:i/>
          <w:u w:val="single"/>
          <w:lang w:eastAsia="en-GB"/>
        </w:rPr>
      </w:pPr>
      <w:r w:rsidRPr="001346FF">
        <w:rPr>
          <w:i/>
          <w:u w:val="single"/>
          <w:lang w:eastAsia="en-GB"/>
        </w:rPr>
        <w:t>Agriculture</w:t>
      </w:r>
    </w:p>
    <w:p w:rsidR="00762C9B" w:rsidRPr="00476619" w:rsidRDefault="00762C9B" w:rsidP="00762C9B">
      <w:pPr>
        <w:spacing w:after="120"/>
        <w:rPr>
          <w:lang w:eastAsia="en-GB"/>
        </w:rPr>
      </w:pPr>
      <w:r w:rsidRPr="001346FF">
        <w:rPr>
          <w:lang w:eastAsia="en-GB"/>
        </w:rPr>
        <w:t xml:space="preserve">Taking into consideration that agriculture is one of the most important sectors of the economy in Latvia, it is important to find a way to reduce emissions without significantly impeding productivity of the sector. The incentive-oriented measures in agriculture sector are mainly determined in the Rural Development </w:t>
      </w:r>
      <w:r w:rsidRPr="00476619">
        <w:rPr>
          <w:lang w:eastAsia="en-GB"/>
        </w:rPr>
        <w:t xml:space="preserve">Programme.  Activities with potential to tackle air pollution from agriculture problems include improvement of existing and construction of new </w:t>
      </w:r>
      <w:r w:rsidRPr="00476619">
        <w:rPr>
          <w:u w:val="single"/>
          <w:lang w:eastAsia="en-GB"/>
        </w:rPr>
        <w:t xml:space="preserve">manure storages, </w:t>
      </w:r>
      <w:r w:rsidRPr="00476619">
        <w:rPr>
          <w:lang w:eastAsia="en-GB"/>
        </w:rPr>
        <w:t xml:space="preserve">which would ensure reduction of nitrate and ammonia emissions. The requirement for ensuring appropriate manure storages in sensitive areas is stipulated in legislation. </w:t>
      </w:r>
    </w:p>
    <w:p w:rsidR="00762C9B" w:rsidRPr="00476619" w:rsidRDefault="00762C9B" w:rsidP="00762C9B">
      <w:pPr>
        <w:spacing w:after="120"/>
        <w:rPr>
          <w:lang w:eastAsia="en-GB"/>
        </w:rPr>
      </w:pPr>
      <w:r w:rsidRPr="00476619">
        <w:rPr>
          <w:lang w:eastAsia="en-GB"/>
        </w:rPr>
        <w:t xml:space="preserve">A number of other environment-friendly practices and measures can be derived from </w:t>
      </w:r>
      <w:r w:rsidRPr="00476619">
        <w:rPr>
          <w:u w:val="single"/>
          <w:lang w:eastAsia="en-GB"/>
        </w:rPr>
        <w:t>Good Agricultural Practices</w:t>
      </w:r>
      <w:r w:rsidRPr="00476619">
        <w:rPr>
          <w:lang w:eastAsia="en-GB"/>
        </w:rPr>
        <w:t xml:space="preserve">. The recommended measures include progressive feeding of animals, featuring control of proteins in a dose, appropriate storage of organic manure etc. These and other measures can be implemented applying direct </w:t>
      </w:r>
      <w:r w:rsidR="00FD3BBA" w:rsidRPr="00476619">
        <w:rPr>
          <w:lang w:eastAsia="en-GB"/>
        </w:rPr>
        <w:t>payment</w:t>
      </w:r>
      <w:r w:rsidRPr="00476619">
        <w:rPr>
          <w:lang w:eastAsia="en-GB"/>
        </w:rPr>
        <w:t xml:space="preserve"> mechanisms</w:t>
      </w:r>
      <w:r w:rsidR="00FD3BBA" w:rsidRPr="00476619">
        <w:rPr>
          <w:rStyle w:val="FootnoteReference"/>
          <w:lang w:eastAsia="en-GB"/>
        </w:rPr>
        <w:footnoteReference w:id="28"/>
      </w:r>
      <w:r w:rsidRPr="00476619">
        <w:rPr>
          <w:lang w:eastAsia="en-GB"/>
        </w:rPr>
        <w:t xml:space="preserve">. </w:t>
      </w:r>
    </w:p>
    <w:p w:rsidR="00762C9B" w:rsidRPr="001346FF" w:rsidRDefault="00762C9B" w:rsidP="00762C9B">
      <w:pPr>
        <w:spacing w:after="120"/>
        <w:rPr>
          <w:i/>
          <w:u w:val="single"/>
          <w:lang w:eastAsia="en-GB"/>
        </w:rPr>
      </w:pPr>
      <w:r w:rsidRPr="00476619">
        <w:rPr>
          <w:i/>
          <w:u w:val="single"/>
          <w:lang w:eastAsia="en-GB"/>
        </w:rPr>
        <w:t>National financial instruments</w:t>
      </w:r>
    </w:p>
    <w:p w:rsidR="00762C9B" w:rsidRPr="001346FF" w:rsidRDefault="00762C9B" w:rsidP="00762C9B">
      <w:pPr>
        <w:spacing w:after="120"/>
        <w:rPr>
          <w:lang w:eastAsia="en-GB"/>
        </w:rPr>
      </w:pPr>
      <w:r w:rsidRPr="001346FF">
        <w:rPr>
          <w:b/>
          <w:lang w:eastAsia="en-GB"/>
        </w:rPr>
        <w:t xml:space="preserve">The Climate Change Financial Instrument </w:t>
      </w:r>
      <w:r w:rsidRPr="001346FF">
        <w:rPr>
          <w:lang w:eastAsia="en-GB"/>
        </w:rPr>
        <w:t>(CCFI) is a Government budget program of Republic of Latvia.</w:t>
      </w:r>
    </w:p>
    <w:p w:rsidR="00762C9B" w:rsidRPr="001346FF" w:rsidRDefault="00762C9B" w:rsidP="00762C9B">
      <w:pPr>
        <w:spacing w:after="120"/>
        <w:rPr>
          <w:lang w:eastAsia="en-GB"/>
        </w:rPr>
      </w:pPr>
      <w:r w:rsidRPr="001346FF">
        <w:rPr>
          <w:lang w:eastAsia="en-GB"/>
        </w:rPr>
        <w:t>Aim of CCFI is to prevent global climate change, adaptation to the effects of climate change and contribute the reduction of greenhouse gas emissions (for example, implementing activities to improve the energy performance of buildings in both public and private sectors, the development and implementation of technologies that use renewable energy resources, as well as the implementation of the integrated solutions to reduce greenhouse gas emissions).</w:t>
      </w:r>
    </w:p>
    <w:p w:rsidR="00762C9B" w:rsidRPr="001346FF" w:rsidRDefault="00762C9B" w:rsidP="00762C9B">
      <w:pPr>
        <w:spacing w:after="120"/>
        <w:rPr>
          <w:lang w:eastAsia="en-GB"/>
        </w:rPr>
      </w:pPr>
      <w:r w:rsidRPr="001346FF">
        <w:rPr>
          <w:lang w:eastAsia="en-GB"/>
        </w:rPr>
        <w:lastRenderedPageBreak/>
        <w:t xml:space="preserve">The financing is formed by the Proceeds from the Assigned Amount Units (AAU) Purchase Agreements which are made within the international emissions trading under the Kyoto Protocol. The AAU sales are possible, because in the Kyoto Protocol for period of 2008-2012 for the enforcement of obligations (8% total reduction compared to 1990 levels) Latvia will not need all available AAU, and the potential excess will be at least 40 million units. Use of all remaining AAU for other purposes, such as granting to the trading companies of European Union Emission quotas is not possible - AAU it is not possible to convert into emissions quotas or use instead of emission quotas. However, the AAU is possible to sell, all income to invest in the development of Latvia. </w:t>
      </w:r>
    </w:p>
    <w:p w:rsidR="00762C9B" w:rsidRPr="001346FF" w:rsidRDefault="00762C9B" w:rsidP="00762C9B">
      <w:pPr>
        <w:pStyle w:val="Heading3"/>
        <w:numPr>
          <w:ilvl w:val="0"/>
          <w:numId w:val="0"/>
        </w:numPr>
      </w:pPr>
      <w:bookmarkStart w:id="30" w:name="_Toc384307255"/>
      <w:bookmarkStart w:id="31" w:name="_Toc387396921"/>
      <w:r w:rsidRPr="001346FF">
        <w:t>Poland</w:t>
      </w:r>
      <w:r w:rsidRPr="001346FF">
        <w:rPr>
          <w:rStyle w:val="FootnoteReference"/>
        </w:rPr>
        <w:footnoteReference w:id="29"/>
      </w:r>
      <w:bookmarkEnd w:id="30"/>
      <w:bookmarkEnd w:id="31"/>
    </w:p>
    <w:p w:rsidR="00762C9B" w:rsidRPr="001346FF" w:rsidRDefault="00762C9B" w:rsidP="00762C9B">
      <w:pPr>
        <w:spacing w:after="120"/>
        <w:rPr>
          <w:lang w:eastAsia="en-GB"/>
        </w:rPr>
      </w:pPr>
      <w:r w:rsidRPr="001346FF">
        <w:rPr>
          <w:lang w:eastAsia="en-GB"/>
        </w:rPr>
        <w:t>Despite the intensive development of Poland’s economy over the past two decades, not only it has managed to prevent the increase in atmospheric emissions, but also has ensured improvement of air quality.</w:t>
      </w:r>
      <w:r w:rsidRPr="001346FF">
        <w:rPr>
          <w:rStyle w:val="FootnoteReference"/>
          <w:lang w:eastAsia="en-GB"/>
        </w:rPr>
        <w:footnoteReference w:id="30"/>
      </w:r>
      <w:r w:rsidRPr="001346FF">
        <w:rPr>
          <w:lang w:eastAsia="en-GB"/>
        </w:rPr>
        <w:t xml:space="preserve"> The balance between environmental impact and economic growth can be reached by introduction of various “smartly” developed tools and mechanisms, where important role is devoted to environmental awareness and change in the behaviour of the main stakeholders and general public.  The following sub-chapters will provide a brief insight into Poland’s approach for tackling air pollution by development of measures with environment-friendly rationale. </w:t>
      </w:r>
    </w:p>
    <w:p w:rsidR="00762C9B" w:rsidRPr="001346FF" w:rsidRDefault="00762C9B" w:rsidP="00762C9B">
      <w:pPr>
        <w:spacing w:after="120"/>
        <w:rPr>
          <w:i/>
          <w:u w:val="single"/>
          <w:lang w:eastAsia="en-GB"/>
        </w:rPr>
      </w:pPr>
      <w:r w:rsidRPr="001346FF">
        <w:rPr>
          <w:i/>
          <w:u w:val="single"/>
          <w:lang w:eastAsia="en-GB"/>
        </w:rPr>
        <w:t>Energy</w:t>
      </w:r>
      <w:r w:rsidRPr="001346FF">
        <w:rPr>
          <w:rStyle w:val="FootnoteReference"/>
          <w:i/>
          <w:u w:val="single"/>
          <w:lang w:eastAsia="en-GB"/>
        </w:rPr>
        <w:footnoteReference w:id="31"/>
      </w:r>
    </w:p>
    <w:p w:rsidR="00762C9B" w:rsidRPr="001346FF" w:rsidRDefault="00762C9B" w:rsidP="00762C9B">
      <w:pPr>
        <w:spacing w:after="120"/>
        <w:rPr>
          <w:lang w:eastAsia="en-GB"/>
        </w:rPr>
      </w:pPr>
      <w:r w:rsidRPr="001346FF">
        <w:rPr>
          <w:lang w:eastAsia="en-GB"/>
        </w:rPr>
        <w:t xml:space="preserve">Particular difficulties in regards to emissions generated in energy sector arise due to the fact that it is based principally on coal combustion and cannot easily shift to new means of energy production. Therefore a set of tools had to be developed in order to ensure gradual decrease of emissions. Sophisticated support mechanism provided under the umbrella of the Green Investment Scheme (GIS; to be discussed in a more detail under “Industry” section) is available for the stakeholders in energy sector. First example to mention relates to the activities carried out in the framework of </w:t>
      </w:r>
      <w:r w:rsidRPr="001346FF">
        <w:rPr>
          <w:u w:val="single"/>
          <w:lang w:eastAsia="en-GB"/>
        </w:rPr>
        <w:t>power management in public utility buildings</w:t>
      </w:r>
      <w:r w:rsidRPr="001346FF">
        <w:rPr>
          <w:lang w:eastAsia="en-GB"/>
        </w:rPr>
        <w:t xml:space="preserve"> programme. The programme provides subsidies for measures oriented towards decrease in energy consumption in buildings used by self-governments, health care institutions, higher education institutions, non-governmental organisations, volunteer fire departments and church legal entities. Similar programme is also available for selected entities within the public finances sector - government administration, the Polish Academy of Sciences and its scientific institutes, state cultural institutions and public sector enterprises.</w:t>
      </w:r>
    </w:p>
    <w:p w:rsidR="00762C9B" w:rsidRPr="001346FF" w:rsidRDefault="00762C9B" w:rsidP="00762C9B">
      <w:pPr>
        <w:spacing w:after="120"/>
        <w:rPr>
          <w:u w:val="single"/>
          <w:lang w:eastAsia="en-GB"/>
        </w:rPr>
      </w:pPr>
      <w:r w:rsidRPr="001346FF">
        <w:rPr>
          <w:lang w:eastAsia="en-GB"/>
        </w:rPr>
        <w:t xml:space="preserve">Another strand of financing is available to </w:t>
      </w:r>
      <w:r w:rsidRPr="001346FF">
        <w:rPr>
          <w:u w:val="single"/>
          <w:lang w:eastAsia="en-GB"/>
        </w:rPr>
        <w:t>biomass heating plants and combined heat and power plants.</w:t>
      </w:r>
      <w:r w:rsidRPr="001346FF">
        <w:rPr>
          <w:lang w:eastAsia="en-GB"/>
        </w:rPr>
        <w:t xml:space="preserve"> The objective of this programme is to support undertakings in modernisation or construction of biomass heating plants and combined heat and power plants with thermal capacity of less than 20 MW. In addition, there are two separate programmes provided for other types of energy production installations - subsidies for the construction or modernisation of </w:t>
      </w:r>
      <w:r w:rsidRPr="001346FF">
        <w:rPr>
          <w:u w:val="single"/>
          <w:lang w:eastAsia="en-GB"/>
        </w:rPr>
        <w:t xml:space="preserve">agricultural biogas plants </w:t>
      </w:r>
      <w:r w:rsidRPr="001346FF">
        <w:rPr>
          <w:lang w:eastAsia="en-GB"/>
        </w:rPr>
        <w:t xml:space="preserve">and subsidies for undertakings oriented at the construction or modernisation of electric power grids in order to connect new sources of </w:t>
      </w:r>
      <w:r w:rsidRPr="001346FF">
        <w:rPr>
          <w:u w:val="single"/>
          <w:lang w:eastAsia="en-GB"/>
        </w:rPr>
        <w:t>wind energy.</w:t>
      </w:r>
    </w:p>
    <w:p w:rsidR="00762C9B" w:rsidRPr="001346FF" w:rsidRDefault="00762C9B" w:rsidP="00762C9B">
      <w:pPr>
        <w:spacing w:after="120"/>
        <w:rPr>
          <w:lang w:eastAsia="en-GB"/>
        </w:rPr>
      </w:pPr>
      <w:r w:rsidRPr="001346FF">
        <w:rPr>
          <w:lang w:eastAsia="en-GB"/>
        </w:rPr>
        <w:lastRenderedPageBreak/>
        <w:t xml:space="preserve">Another tool, which is predominantly oriented on shift in behaviour, is </w:t>
      </w:r>
      <w:r w:rsidRPr="001346FF">
        <w:rPr>
          <w:u w:val="single"/>
          <w:lang w:eastAsia="en-GB"/>
        </w:rPr>
        <w:t>increase of energy prices</w:t>
      </w:r>
      <w:r w:rsidRPr="001346FF">
        <w:rPr>
          <w:lang w:eastAsia="en-GB"/>
        </w:rPr>
        <w:t xml:space="preserve"> underpinning energy savings.</w:t>
      </w:r>
      <w:r w:rsidRPr="001346FF">
        <w:rPr>
          <w:rStyle w:val="FootnoteReference"/>
          <w:lang w:eastAsia="en-GB"/>
        </w:rPr>
        <w:footnoteReference w:id="32"/>
      </w:r>
      <w:r w:rsidRPr="001346FF">
        <w:rPr>
          <w:lang w:eastAsia="en-GB"/>
        </w:rPr>
        <w:t xml:space="preserve"> This measure differs from the ones described above, which were representing “different side” of incentive-oriented measures, namely, provision of finances for environment-friendly practices; increase in energy tariffs requires general public to pay more for energy consumption, thus stimulating behavioural changes and facilitating more economical use of energy.</w:t>
      </w:r>
    </w:p>
    <w:p w:rsidR="00762C9B" w:rsidRPr="001346FF" w:rsidRDefault="00762C9B" w:rsidP="00762C9B">
      <w:pPr>
        <w:spacing w:after="120"/>
        <w:rPr>
          <w:i/>
          <w:u w:val="single"/>
          <w:lang w:eastAsia="en-GB"/>
        </w:rPr>
      </w:pPr>
      <w:r w:rsidRPr="001346FF">
        <w:rPr>
          <w:i/>
          <w:u w:val="single"/>
          <w:lang w:eastAsia="en-GB"/>
        </w:rPr>
        <w:t>Transport</w:t>
      </w:r>
    </w:p>
    <w:p w:rsidR="00762C9B" w:rsidRPr="001346FF" w:rsidRDefault="00762C9B" w:rsidP="00762C9B">
      <w:pPr>
        <w:spacing w:after="120"/>
        <w:rPr>
          <w:lang w:eastAsia="en-GB"/>
        </w:rPr>
      </w:pPr>
      <w:r w:rsidRPr="001346FF">
        <w:rPr>
          <w:lang w:eastAsia="en-GB"/>
        </w:rPr>
        <w:t xml:space="preserve">Also the transport sector in Poland can gain from the existence of GIS funds, as it also covers activities related to “avoiding or reducing greenhouse gas emissions in the transport sector”. </w:t>
      </w:r>
    </w:p>
    <w:p w:rsidR="00762C9B" w:rsidRPr="001346FF" w:rsidRDefault="00762C9B" w:rsidP="00762C9B">
      <w:pPr>
        <w:spacing w:after="120"/>
        <w:rPr>
          <w:lang w:eastAsia="en-GB"/>
        </w:rPr>
      </w:pPr>
      <w:r w:rsidRPr="001346FF">
        <w:rPr>
          <w:lang w:eastAsia="en-GB"/>
        </w:rPr>
        <w:t>Measures focused on environment-friendly transport are also an important aspect of “Infrastructure and Environment” programme</w:t>
      </w:r>
      <w:r w:rsidRPr="001346FF">
        <w:rPr>
          <w:rStyle w:val="FootnoteReference"/>
          <w:lang w:eastAsia="en-GB"/>
        </w:rPr>
        <w:footnoteReference w:id="33"/>
      </w:r>
      <w:r w:rsidRPr="001346FF">
        <w:rPr>
          <w:lang w:eastAsia="en-GB"/>
        </w:rPr>
        <w:t xml:space="preserve">, which provides basis for such actions as </w:t>
      </w:r>
      <w:r w:rsidRPr="001346FF">
        <w:rPr>
          <w:u w:val="single"/>
          <w:lang w:eastAsia="en-GB"/>
        </w:rPr>
        <w:t>improving the condition of the railway connections system</w:t>
      </w:r>
      <w:r w:rsidRPr="001346FF">
        <w:rPr>
          <w:lang w:eastAsia="en-GB"/>
        </w:rPr>
        <w:t xml:space="preserve"> included in the TEN-T network, and particular sections of the system, which are not included in the network, as well as improving passenger service in the international and inter-regional railway transport system, thus encouraging the use of railway transport instead of vehicles. Taking into consideration that the programme delineates particular means of transport (i.e. railway transport, sea transport, municipal public transport in metropolitan areas, multimodal transport, and inland water-way transport), it is relevant to outline that a lot of attention is devoted to </w:t>
      </w:r>
      <w:r w:rsidRPr="001346FF">
        <w:rPr>
          <w:u w:val="single"/>
          <w:lang w:eastAsia="en-GB"/>
        </w:rPr>
        <w:t>public transport</w:t>
      </w:r>
      <w:r w:rsidRPr="001346FF">
        <w:rPr>
          <w:lang w:eastAsia="en-GB"/>
        </w:rPr>
        <w:t>, so as to make it more practical for general public to use public transport instead of private cars. For this purpose the programme provides support to projects concerning extension of the railway network (fast city trains, tramway lines, subway) and trolleybus lines, along with the purchase of rolling stock, construction and reconstruction of change stations, with particular attention to their integration with other transport branches, including “park and go” projects and points and telematics systems, ensuring improvement of functioning of public transport network.</w:t>
      </w:r>
    </w:p>
    <w:p w:rsidR="00762C9B" w:rsidRPr="001346FF" w:rsidRDefault="00762C9B" w:rsidP="00762C9B">
      <w:pPr>
        <w:spacing w:after="120"/>
        <w:rPr>
          <w:i/>
          <w:u w:val="single"/>
          <w:lang w:eastAsia="en-GB"/>
        </w:rPr>
      </w:pPr>
      <w:r w:rsidRPr="001346FF">
        <w:rPr>
          <w:i/>
          <w:u w:val="single"/>
          <w:lang w:eastAsia="en-GB"/>
        </w:rPr>
        <w:t>Industry</w:t>
      </w:r>
    </w:p>
    <w:p w:rsidR="00762C9B" w:rsidRPr="001346FF" w:rsidRDefault="00762C9B" w:rsidP="00762C9B">
      <w:pPr>
        <w:spacing w:after="120"/>
        <w:rPr>
          <w:lang w:eastAsia="en-GB"/>
        </w:rPr>
      </w:pPr>
      <w:r w:rsidRPr="001346FF">
        <w:rPr>
          <w:lang w:eastAsia="en-GB"/>
        </w:rPr>
        <w:t xml:space="preserve">In addition to implementation of mandatory requirements set in the EU legal instruments, Poland has also been facilitating decrease of atmospheric emissions by providing sophisticated financial mechanisms, such as the </w:t>
      </w:r>
      <w:r w:rsidRPr="001346FF">
        <w:rPr>
          <w:u w:val="single"/>
          <w:lang w:eastAsia="en-GB"/>
        </w:rPr>
        <w:t>National Fund of Environmental Protection and Water Management (NFEP&amp;WM)</w:t>
      </w:r>
      <w:r w:rsidRPr="001346FF">
        <w:rPr>
          <w:rStyle w:val="FootnoteReference"/>
          <w:lang w:eastAsia="en-GB"/>
        </w:rPr>
        <w:footnoteReference w:id="34"/>
      </w:r>
      <w:r w:rsidRPr="001346FF">
        <w:rPr>
          <w:lang w:eastAsia="en-GB"/>
        </w:rPr>
        <w:t xml:space="preserve">, which also plays the role of the National Green Investment Scheme (to be discussed below). The fund covers a broad spectrum of issues related to environmental protection, among those – air and climate protection, scientific and research expertise and works, and ecological education, which are all relevant in case of decrease of industrial emissions. </w:t>
      </w:r>
    </w:p>
    <w:p w:rsidR="00762C9B" w:rsidRPr="001346FF" w:rsidRDefault="00762C9B" w:rsidP="00762C9B">
      <w:pPr>
        <w:spacing w:after="120"/>
        <w:rPr>
          <w:lang w:eastAsia="en-GB"/>
        </w:rPr>
      </w:pPr>
      <w:r w:rsidRPr="001346FF">
        <w:rPr>
          <w:lang w:eastAsia="en-GB"/>
        </w:rPr>
        <w:t xml:space="preserve">Projects with a significant importance to emissions’ reduction may also be implemented in the framework of </w:t>
      </w:r>
      <w:r w:rsidRPr="001346FF">
        <w:rPr>
          <w:u w:val="single"/>
          <w:lang w:eastAsia="en-GB"/>
        </w:rPr>
        <w:t>Green Investment Scheme (GIS)</w:t>
      </w:r>
      <w:r w:rsidRPr="001346FF">
        <w:rPr>
          <w:lang w:eastAsia="en-GB"/>
        </w:rPr>
        <w:t>, which guarantees that funds from the sale of surplus assigned amount units (AAU) are allocated to the “green projects” as promotion of low-emission solutions, related research and educational operations etc.</w:t>
      </w:r>
      <w:r w:rsidRPr="001346FF">
        <w:rPr>
          <w:rStyle w:val="FootnoteReference"/>
          <w:lang w:eastAsia="en-GB"/>
        </w:rPr>
        <w:footnoteReference w:id="35"/>
      </w:r>
    </w:p>
    <w:p w:rsidR="00762C9B" w:rsidRPr="001346FF" w:rsidRDefault="00762C9B" w:rsidP="00762C9B">
      <w:pPr>
        <w:spacing w:after="120"/>
        <w:rPr>
          <w:i/>
          <w:u w:val="single"/>
          <w:lang w:eastAsia="en-GB"/>
        </w:rPr>
      </w:pPr>
      <w:r w:rsidRPr="001346FF">
        <w:rPr>
          <w:i/>
          <w:u w:val="single"/>
          <w:lang w:eastAsia="en-GB"/>
        </w:rPr>
        <w:t>National financial instruments</w:t>
      </w:r>
    </w:p>
    <w:p w:rsidR="00762C9B" w:rsidRPr="001346FF" w:rsidRDefault="00762C9B" w:rsidP="00762C9B">
      <w:pPr>
        <w:spacing w:after="120"/>
        <w:rPr>
          <w:lang w:eastAsia="en-GB"/>
        </w:rPr>
      </w:pPr>
      <w:r w:rsidRPr="001346FF">
        <w:rPr>
          <w:lang w:eastAsia="en-GB"/>
        </w:rPr>
        <w:lastRenderedPageBreak/>
        <w:t xml:space="preserve">The </w:t>
      </w:r>
      <w:r w:rsidRPr="001346FF">
        <w:rPr>
          <w:b/>
          <w:lang w:eastAsia="en-GB"/>
        </w:rPr>
        <w:t>National Fund of Environmental Protection and Water Management</w:t>
      </w:r>
      <w:r w:rsidRPr="001346FF">
        <w:rPr>
          <w:lang w:eastAsia="en-GB"/>
        </w:rPr>
        <w:t xml:space="preserve"> (NFEP&amp;WM) which was established in 1989 as a result of the regime transformation in Poland, in cooperation with </w:t>
      </w:r>
      <w:proofErr w:type="spellStart"/>
      <w:r w:rsidRPr="001346FF">
        <w:rPr>
          <w:lang w:eastAsia="en-GB"/>
        </w:rPr>
        <w:t>voivodeship</w:t>
      </w:r>
      <w:proofErr w:type="spellEnd"/>
      <w:r w:rsidRPr="001346FF">
        <w:rPr>
          <w:lang w:eastAsia="en-GB"/>
        </w:rPr>
        <w:t xml:space="preserve"> funds for environmental protection and water management is the pillar of the Polish system of financing environmental protection. The basis of the National Fund’s operation as a State legal person is the Act on Environmental Protection Law.</w:t>
      </w:r>
    </w:p>
    <w:p w:rsidR="00762C9B" w:rsidRPr="001346FF" w:rsidRDefault="00762C9B" w:rsidP="00762C9B">
      <w:pPr>
        <w:spacing w:after="120"/>
        <w:rPr>
          <w:highlight w:val="yellow"/>
          <w:lang w:eastAsia="en-GB"/>
        </w:rPr>
      </w:pPr>
      <w:r w:rsidRPr="001346FF">
        <w:rPr>
          <w:lang w:eastAsia="en-GB"/>
        </w:rPr>
        <w:t xml:space="preserve">The mission of the National Fund, according to the NFEP&amp;WM Strategy for 2009-2012, is to financially support undertakings intended for environmental protection and respecting its value, on the basis of the principle of sustainable development included in the constitution. The Fund participates in implementation of the environmental policy of Poland as a source of financing and </w:t>
      </w:r>
      <w:proofErr w:type="gramStart"/>
      <w:r w:rsidRPr="001346FF">
        <w:rPr>
          <w:lang w:eastAsia="en-GB"/>
        </w:rPr>
        <w:t>cooperate</w:t>
      </w:r>
      <w:proofErr w:type="gramEnd"/>
      <w:r w:rsidRPr="001346FF">
        <w:rPr>
          <w:lang w:eastAsia="en-GB"/>
        </w:rPr>
        <w:t xml:space="preserve">, along with the Ministry of the Environment, with commissions of environmental protection at the Sejm and Senate. The National Fund and </w:t>
      </w:r>
      <w:proofErr w:type="spellStart"/>
      <w:r w:rsidRPr="001346FF">
        <w:rPr>
          <w:lang w:eastAsia="en-GB"/>
        </w:rPr>
        <w:t>voivodeship</w:t>
      </w:r>
      <w:proofErr w:type="spellEnd"/>
      <w:r w:rsidRPr="001346FF">
        <w:rPr>
          <w:lang w:eastAsia="en-GB"/>
        </w:rPr>
        <w:t xml:space="preserve"> funds provide financial support for projects which contribute to enforcement of Polish obligations resulting from the Accession Treaty and other EU directives. The National Fund also supports activities undertaken by the Minister of the Environment in the scope of meeting Polish obligations resulting from the Climate Convention, Biodiversity Convention, implementing the LIFE+ Financial Instrument, NATURA 2000 and environmental education. </w:t>
      </w:r>
    </w:p>
    <w:p w:rsidR="00762C9B" w:rsidRPr="001346FF" w:rsidRDefault="00762C9B" w:rsidP="00762C9B">
      <w:pPr>
        <w:spacing w:after="120"/>
        <w:rPr>
          <w:highlight w:val="yellow"/>
          <w:lang w:eastAsia="en-GB"/>
        </w:rPr>
      </w:pPr>
    </w:p>
    <w:p w:rsidR="00762C9B" w:rsidRPr="001346FF" w:rsidRDefault="00762C9B" w:rsidP="00762C9B">
      <w:pPr>
        <w:rPr>
          <w:lang w:eastAsia="en-GB"/>
        </w:rPr>
      </w:pPr>
      <w:r w:rsidRPr="001346FF">
        <w:rPr>
          <w:lang w:eastAsia="en-GB"/>
        </w:rPr>
        <w:br w:type="page"/>
      </w:r>
    </w:p>
    <w:p w:rsidR="00762C9B" w:rsidRPr="001346FF" w:rsidRDefault="00762C9B" w:rsidP="00516EF9">
      <w:pPr>
        <w:pStyle w:val="Heading1"/>
      </w:pPr>
      <w:bookmarkStart w:id="32" w:name="_Toc384307256"/>
      <w:bookmarkStart w:id="33" w:name="_Toc387396922"/>
      <w:r w:rsidRPr="001346FF">
        <w:lastRenderedPageBreak/>
        <w:t>Existing situation in partner countries</w:t>
      </w:r>
      <w:bookmarkEnd w:id="32"/>
      <w:bookmarkEnd w:id="33"/>
    </w:p>
    <w:p w:rsidR="00762C9B" w:rsidRPr="001346FF" w:rsidRDefault="00762C9B" w:rsidP="00762C9B">
      <w:pPr>
        <w:pStyle w:val="Heading2"/>
      </w:pPr>
      <w:bookmarkStart w:id="34" w:name="_Toc384307257"/>
      <w:bookmarkStart w:id="35" w:name="_Toc387396923"/>
      <w:r w:rsidRPr="001346FF">
        <w:t>Introduction</w:t>
      </w:r>
      <w:bookmarkEnd w:id="34"/>
      <w:bookmarkEnd w:id="35"/>
    </w:p>
    <w:p w:rsidR="00762C9B" w:rsidRPr="001346FF" w:rsidRDefault="00762C9B" w:rsidP="00762C9B">
      <w:pPr>
        <w:spacing w:after="120"/>
      </w:pPr>
      <w:r w:rsidRPr="001346FF">
        <w:t>Before commencement of drafting the recommendations for introduction of particular incentive-based instruments, it is crucial to acquire sufficiently detailed information reflecting the existing situation in the partner countries. Timely identification of the exiting instruments and assessment of their effectiveness would allow ensuring the selection of most appropriate tools tailored for specifics of the countries at issue.</w:t>
      </w:r>
    </w:p>
    <w:p w:rsidR="00762C9B" w:rsidRPr="001346FF" w:rsidRDefault="00762C9B" w:rsidP="00762C9B">
      <w:pPr>
        <w:spacing w:after="120"/>
      </w:pPr>
      <w:r w:rsidRPr="001346FF">
        <w:t xml:space="preserve">The following chapters will provide an insight in the current situation in regards to the existing incentives for improvement of environmental behaviour in the partner countries. The analysis of existing situation is based on the information provided in the questionnaires filled in by the independent local experts (see Annex 1 for sample questionnaire). In the questionnaires three types of incentives – administrative, economic (and fiscal), and reputational – have been assessed. </w:t>
      </w:r>
    </w:p>
    <w:p w:rsidR="00762C9B" w:rsidRPr="001346FF" w:rsidRDefault="00762C9B" w:rsidP="00762C9B">
      <w:pPr>
        <w:pStyle w:val="Heading2"/>
      </w:pPr>
      <w:bookmarkStart w:id="36" w:name="_Toc384307258"/>
      <w:bookmarkStart w:id="37" w:name="_Toc387396924"/>
      <w:r w:rsidRPr="001346FF">
        <w:t>Armenia</w:t>
      </w:r>
      <w:bookmarkEnd w:id="36"/>
      <w:bookmarkEnd w:id="37"/>
    </w:p>
    <w:p w:rsidR="00762C9B" w:rsidRPr="001346FF" w:rsidRDefault="00762C9B" w:rsidP="00762C9B">
      <w:pPr>
        <w:spacing w:after="120"/>
        <w:rPr>
          <w:lang w:eastAsia="en-GB"/>
        </w:rPr>
      </w:pPr>
      <w:r w:rsidRPr="001346FF">
        <w:rPr>
          <w:lang w:eastAsia="en-GB"/>
        </w:rPr>
        <w:t xml:space="preserve">The “Law on Atmospheric Air Protection” (1994) and relevant bylaws, ensuring the enforcement thereof, regulate management atmospheric air in the Republic of Armenia. With a view to updating the Law and preventing some negative impacts on atmosphere, amendments to the Law were made, the latest one being adopted in 2011. At present, state registration and regulation of emissions cover 1,301 entities with over 3,850 sources of emissions into the atmosphere. This accounts for about 96 percent of emissions from stationary sources across the country, which is subject to state control. </w:t>
      </w:r>
    </w:p>
    <w:p w:rsidR="00762C9B" w:rsidRPr="001346FF" w:rsidRDefault="00762C9B" w:rsidP="00762C9B">
      <w:pPr>
        <w:spacing w:after="120"/>
        <w:rPr>
          <w:lang w:eastAsia="en-GB"/>
        </w:rPr>
      </w:pPr>
      <w:r w:rsidRPr="001346FF">
        <w:rPr>
          <w:lang w:eastAsia="en-GB"/>
        </w:rPr>
        <w:t xml:space="preserve">With a view to reducing emissions from motor vehicles, the Government has adopted a Concept Paper and an Action Programme, prohibiting the use of leaded petroleum and the import of cars lacking emission neutralizers. In recent years, the permissible quantity of sulphur contained in petrol and diesel fuels has been decreased about ten times. Year in year out, the use of compressed natural gas prevails over petroleum. As a result, hazardous emissions from motor vehicles have been significantly decreased. </w:t>
      </w:r>
    </w:p>
    <w:p w:rsidR="00762C9B" w:rsidRPr="001346FF" w:rsidRDefault="00762C9B" w:rsidP="00762C9B">
      <w:pPr>
        <w:spacing w:after="120"/>
        <w:rPr>
          <w:lang w:eastAsia="en-GB"/>
        </w:rPr>
      </w:pPr>
      <w:r w:rsidRPr="001346FF">
        <w:rPr>
          <w:lang w:eastAsia="en-GB"/>
        </w:rPr>
        <w:t>Since 2004, efforts have been taken to introduce the principle of territorial and technological regulation of hazardous substance emissions. Principles for calculating the share of motor transport emissions into the background pollution of atmosphere in residential areas have been elaborated, and efforts are taken towards developing a mechanism for introduction of best technologies.</w:t>
      </w:r>
      <w:r w:rsidRPr="001346FF">
        <w:rPr>
          <w:rStyle w:val="FootnoteReference"/>
          <w:lang w:eastAsia="en-GB"/>
        </w:rPr>
        <w:footnoteReference w:id="36"/>
      </w:r>
      <w:r w:rsidRPr="001346FF">
        <w:rPr>
          <w:lang w:eastAsia="en-GB"/>
        </w:rPr>
        <w:t xml:space="preserve"> </w:t>
      </w:r>
    </w:p>
    <w:p w:rsidR="00762C9B" w:rsidRPr="001346FF" w:rsidRDefault="00762C9B" w:rsidP="00762C9B">
      <w:pPr>
        <w:spacing w:after="120"/>
        <w:rPr>
          <w:lang w:eastAsia="en-GB"/>
        </w:rPr>
      </w:pPr>
      <w:r w:rsidRPr="001346FF">
        <w:rPr>
          <w:lang w:eastAsia="en-GB"/>
        </w:rPr>
        <w:t xml:space="preserve">Such regulatory measures imply the predisposition to tackle air pollution related problems by strict, compliance requiring legislation. Even though not so popular, but Armenia also has some incentive measures, which will be briefly discussed in the following sections. </w:t>
      </w:r>
    </w:p>
    <w:p w:rsidR="00762C9B" w:rsidRPr="001346FF" w:rsidRDefault="00762C9B" w:rsidP="00762C9B">
      <w:pPr>
        <w:spacing w:after="120"/>
        <w:rPr>
          <w:lang w:eastAsia="en-GB"/>
        </w:rPr>
      </w:pPr>
      <w:r w:rsidRPr="001346FF">
        <w:rPr>
          <w:lang w:eastAsia="en-GB"/>
        </w:rPr>
        <w:t xml:space="preserve">Some incentive measures are prescribed by the legislation. For example, The Law of the Republic of Armenia “On Energy Saving and Renewable Energy” </w:t>
      </w:r>
      <w:r w:rsidRPr="001346FF">
        <w:rPr>
          <w:i/>
          <w:lang w:eastAsia="en-GB"/>
        </w:rPr>
        <w:t>inter alia</w:t>
      </w:r>
      <w:r w:rsidRPr="001346FF">
        <w:rPr>
          <w:lang w:eastAsia="en-GB"/>
        </w:rPr>
        <w:t xml:space="preserve"> lists the following principles among “Principles of State Policy in the Area of Energy Saving and Renewable Energy”:</w:t>
      </w:r>
    </w:p>
    <w:p w:rsidR="00762C9B" w:rsidRPr="001346FF" w:rsidRDefault="00762C9B" w:rsidP="005116EE">
      <w:pPr>
        <w:pStyle w:val="ListParagraph"/>
        <w:numPr>
          <w:ilvl w:val="0"/>
          <w:numId w:val="33"/>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 xml:space="preserve">Implementation of energy saving, as well as development and enforcement of legal and </w:t>
      </w:r>
      <w:r w:rsidRPr="001346FF">
        <w:rPr>
          <w:rFonts w:ascii="Arial" w:hAnsi="Arial" w:cs="Arial"/>
          <w:sz w:val="21"/>
          <w:szCs w:val="21"/>
          <w:u w:val="single"/>
          <w:lang w:val="en-GB" w:eastAsia="en-GB"/>
        </w:rPr>
        <w:t>economic mechanisms for the promotion of renewable energy</w:t>
      </w:r>
      <w:r w:rsidRPr="001346FF">
        <w:rPr>
          <w:rFonts w:ascii="Arial" w:hAnsi="Arial" w:cs="Arial"/>
          <w:sz w:val="21"/>
          <w:szCs w:val="21"/>
          <w:lang w:val="en-GB" w:eastAsia="en-GB"/>
        </w:rPr>
        <w:t>;</w:t>
      </w:r>
    </w:p>
    <w:p w:rsidR="00762C9B" w:rsidRPr="001346FF" w:rsidRDefault="00762C9B" w:rsidP="005116EE">
      <w:pPr>
        <w:pStyle w:val="ListParagraph"/>
        <w:numPr>
          <w:ilvl w:val="0"/>
          <w:numId w:val="33"/>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lastRenderedPageBreak/>
        <w:t>Promotion of consumer choices and use of different energy carriers and energy efficiency technologies;</w:t>
      </w:r>
    </w:p>
    <w:p w:rsidR="00762C9B" w:rsidRPr="001346FF" w:rsidRDefault="00762C9B" w:rsidP="005116EE">
      <w:pPr>
        <w:pStyle w:val="ListParagraph"/>
        <w:numPr>
          <w:ilvl w:val="0"/>
          <w:numId w:val="33"/>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etc.</w:t>
      </w:r>
    </w:p>
    <w:p w:rsidR="00762C9B" w:rsidRPr="001346FF" w:rsidRDefault="00762C9B" w:rsidP="00762C9B">
      <w:pPr>
        <w:spacing w:after="120"/>
        <w:rPr>
          <w:lang w:eastAsia="en-GB"/>
        </w:rPr>
      </w:pPr>
      <w:r w:rsidRPr="001346FF">
        <w:rPr>
          <w:lang w:eastAsia="en-GB"/>
        </w:rPr>
        <w:t>Though, the noteworthy observation is that the majority of incentives are derived from the regulatory, compliance-requiring instruments (administrative and fiscal measures), which means that even though they are present and companies comply with them, they might not serve as incentives, as the operators might chose to comply with stricter requirements instead of turning to environment friendly entrepreneurship. At the same time almost no reputational incentives are used in Armenia.</w:t>
      </w:r>
    </w:p>
    <w:p w:rsidR="00762C9B" w:rsidRPr="001346FF" w:rsidRDefault="00762C9B" w:rsidP="00762C9B">
      <w:pPr>
        <w:spacing w:after="120"/>
        <w:rPr>
          <w:u w:val="single"/>
          <w:lang w:eastAsia="en-GB"/>
        </w:rPr>
      </w:pPr>
      <w:r w:rsidRPr="001346FF">
        <w:rPr>
          <w:u w:val="single"/>
          <w:lang w:eastAsia="en-GB"/>
        </w:rPr>
        <w:t>Administrative incentives</w:t>
      </w:r>
    </w:p>
    <w:p w:rsidR="00762C9B" w:rsidRPr="001346FF" w:rsidRDefault="00762C9B" w:rsidP="00762C9B">
      <w:pPr>
        <w:spacing w:after="120"/>
        <w:rPr>
          <w:lang w:eastAsia="en-GB"/>
        </w:rPr>
      </w:pPr>
      <w:r w:rsidRPr="001346FF">
        <w:rPr>
          <w:lang w:eastAsia="en-GB"/>
        </w:rPr>
        <w:t xml:space="preserve">The main administrative incentive is related to application of increased administrative burden to operators holding industrial pollution permit, whose activities are associated with higher levels of pollution. For example, when assessing the requirements governing inspections, in Armenia the frequency of inspections depends on the level of risk of the object at issue: high risk objects are inspected not more than once a year, middle risk objects – not more than once every 3 years, low risk objects – not more than once every 5 years. Generally undertakings performing low pollution activities are referred to as low risk objects. </w:t>
      </w:r>
    </w:p>
    <w:p w:rsidR="00762C9B" w:rsidRPr="001346FF" w:rsidRDefault="00762C9B" w:rsidP="00762C9B">
      <w:pPr>
        <w:spacing w:after="120"/>
        <w:rPr>
          <w:u w:val="single"/>
          <w:lang w:eastAsia="en-GB"/>
        </w:rPr>
      </w:pPr>
      <w:r w:rsidRPr="001346FF">
        <w:rPr>
          <w:u w:val="single"/>
          <w:lang w:eastAsia="en-GB"/>
        </w:rPr>
        <w:t>Economic and fiscal incentives</w:t>
      </w:r>
    </w:p>
    <w:p w:rsidR="00762C9B" w:rsidRPr="001346FF" w:rsidRDefault="00762C9B" w:rsidP="00762C9B">
      <w:pPr>
        <w:spacing w:after="120"/>
        <w:rPr>
          <w:lang w:eastAsia="en-GB"/>
        </w:rPr>
      </w:pPr>
      <w:r w:rsidRPr="001346FF">
        <w:rPr>
          <w:lang w:eastAsia="en-GB"/>
        </w:rPr>
        <w:t xml:space="preserve">As to incentives of economic nature, volume-based charges apply to emissions, spillages and generation of waste. For emission volumes above those determined in the legal acts, the operator pays 20 times increased charge. The legislation on environmental charges also stimulates use of cleaner vehicles and fuels, differentiating the vehicle charges depending on type, weigh and age of the vehicle, presence of catalytic convertor, and type of the fuel. </w:t>
      </w:r>
    </w:p>
    <w:p w:rsidR="00762C9B" w:rsidRPr="001346FF" w:rsidRDefault="00762C9B" w:rsidP="00762C9B">
      <w:pPr>
        <w:spacing w:after="120"/>
        <w:rPr>
          <w:lang w:eastAsia="en-GB"/>
        </w:rPr>
      </w:pPr>
      <w:r w:rsidRPr="001346FF">
        <w:rPr>
          <w:lang w:eastAsia="en-GB"/>
        </w:rPr>
        <w:t xml:space="preserve">Yet there </w:t>
      </w:r>
      <w:proofErr w:type="gramStart"/>
      <w:r w:rsidRPr="001346FF">
        <w:rPr>
          <w:lang w:eastAsia="en-GB"/>
        </w:rPr>
        <w:t>are no special loan</w:t>
      </w:r>
      <w:proofErr w:type="gramEnd"/>
      <w:r w:rsidRPr="001346FF">
        <w:rPr>
          <w:lang w:eastAsia="en-GB"/>
        </w:rPr>
        <w:t xml:space="preserve"> or grant programmes, reduced insurance rates or free business support services for environment-friendly undertakings. There are also no specific economic incentives for support of introduction of green technologies. Accordingly, the economic and fiscal incentives are mostly of a negative nature – i.e., higher charges imposed on more polluting companies, while normal charges apply to less polluting operations. </w:t>
      </w:r>
    </w:p>
    <w:p w:rsidR="00762C9B" w:rsidRPr="001346FF" w:rsidRDefault="00762C9B" w:rsidP="00762C9B">
      <w:pPr>
        <w:keepNext/>
        <w:keepLines/>
        <w:spacing w:after="120"/>
        <w:rPr>
          <w:lang w:eastAsia="en-GB"/>
        </w:rPr>
      </w:pPr>
      <w:r w:rsidRPr="001346FF">
        <w:rPr>
          <w:lang w:eastAsia="en-GB"/>
        </w:rPr>
        <w:t xml:space="preserve">Notwithstanding the fact that there are no programmes promoting generally environment-friendly practices, there is a special energy efficiency fund - Armenia Renewable Resources and Energy Efficiency Fund – operating in Armenia. </w:t>
      </w:r>
    </w:p>
    <w:p w:rsidR="00762C9B" w:rsidRPr="001346FF" w:rsidRDefault="00762C9B" w:rsidP="00762C9B">
      <w:pPr>
        <w:ind w:left="567" w:right="567"/>
        <w:rPr>
          <w:szCs w:val="21"/>
          <w:lang w:eastAsia="en-GB"/>
        </w:rPr>
      </w:pPr>
      <w:r w:rsidRPr="001346FF">
        <w:rPr>
          <w:szCs w:val="21"/>
          <w:lang w:eastAsia="en-GB"/>
        </w:rPr>
        <w:t>The Fund started its operation in 2006. It has been established by Government of Armenia as an independent NGO following the provisions of “Law on Energy Efficiency and Renewable Energy” of Armenia. The mission of the Fund is to facilitate investments in energy efficiency and renewable energy in Armenia. Within a short period of time the Fund gained a reputation of a reliable advocate for sustainable energy development in Armenia.</w:t>
      </w:r>
    </w:p>
    <w:p w:rsidR="00762C9B" w:rsidRPr="001346FF" w:rsidRDefault="00762C9B" w:rsidP="00762C9B">
      <w:pPr>
        <w:ind w:left="567" w:right="567"/>
        <w:rPr>
          <w:szCs w:val="21"/>
          <w:lang w:eastAsia="en-GB"/>
        </w:rPr>
      </w:pPr>
      <w:r w:rsidRPr="001346FF">
        <w:rPr>
          <w:szCs w:val="21"/>
          <w:lang w:eastAsia="en-GB"/>
        </w:rPr>
        <w:t>Under the umbrella of one organization the Fund provides an array of comprehensive assistance to renewable energy and energy efficiency project developers, investors, banks, condominiums, researchers, etc. It is professional expertise for government in issues related to the green energy development strategy and legislation. The Fund continuously analyses situation identifying barriers and proposing solutions to the government responsible agencies.</w:t>
      </w:r>
    </w:p>
    <w:p w:rsidR="00762C9B" w:rsidRPr="001346FF" w:rsidRDefault="00762C9B" w:rsidP="00516EF9">
      <w:pPr>
        <w:spacing w:after="120"/>
        <w:ind w:left="567" w:right="567"/>
        <w:rPr>
          <w:szCs w:val="21"/>
          <w:lang w:eastAsia="en-GB"/>
        </w:rPr>
      </w:pPr>
      <w:r w:rsidRPr="001346FF">
        <w:rPr>
          <w:szCs w:val="21"/>
          <w:lang w:eastAsia="en-GB"/>
        </w:rPr>
        <w:lastRenderedPageBreak/>
        <w:t>The Fund also established financing mechanism through a revolving lending tool, which finances energy efficiency and renewable energy projects through the banks or credit organizations.</w:t>
      </w:r>
      <w:r w:rsidRPr="001346FF">
        <w:rPr>
          <w:rStyle w:val="FootnoteReference"/>
          <w:lang w:eastAsia="en-GB"/>
        </w:rPr>
        <w:footnoteReference w:id="37"/>
      </w:r>
    </w:p>
    <w:p w:rsidR="00762C9B" w:rsidRPr="001346FF" w:rsidRDefault="00762C9B" w:rsidP="00516EF9">
      <w:pPr>
        <w:spacing w:after="120"/>
        <w:rPr>
          <w:lang w:eastAsia="en-GB"/>
        </w:rPr>
      </w:pPr>
      <w:r w:rsidRPr="001346FF">
        <w:rPr>
          <w:lang w:eastAsia="en-GB"/>
        </w:rPr>
        <w:t>In November, 2013 the Government of Armenia approved Decision N. 47 - “The program of implementation of measures arising from the concept of creating innovative financial and economic mechanisms in the environmental field” - , which provides for eight measures, their objectives, outputs, responsible ministries, timetable and sources for financial provision. The program introduces a new financing mechanism for environment friendly projects.</w:t>
      </w:r>
    </w:p>
    <w:p w:rsidR="00762C9B" w:rsidRPr="001346FF" w:rsidRDefault="00762C9B" w:rsidP="00516EF9">
      <w:pPr>
        <w:spacing w:after="120"/>
        <w:rPr>
          <w:u w:val="single"/>
          <w:lang w:eastAsia="en-GB"/>
        </w:rPr>
      </w:pPr>
      <w:r w:rsidRPr="001346FF">
        <w:rPr>
          <w:u w:val="single"/>
          <w:lang w:eastAsia="en-GB"/>
        </w:rPr>
        <w:t>Reputational incentives</w:t>
      </w:r>
    </w:p>
    <w:p w:rsidR="00762C9B" w:rsidRPr="001346FF" w:rsidRDefault="00762C9B" w:rsidP="00516EF9">
      <w:pPr>
        <w:spacing w:after="120"/>
        <w:rPr>
          <w:lang w:eastAsia="en-GB"/>
        </w:rPr>
      </w:pPr>
      <w:r w:rsidRPr="001346FF">
        <w:rPr>
          <w:lang w:eastAsia="en-GB"/>
        </w:rPr>
        <w:t>Voluntary instruments encouraging environmentally-conscious behaviour for reputational purposes can be met in a limited number of cases. The sole reputational voluntary instrument present in Armenia is ISO 14001 scheme, which has been implemented in few companies (e.g. CJSC “</w:t>
      </w:r>
      <w:proofErr w:type="spellStart"/>
      <w:r w:rsidRPr="001346FF">
        <w:rPr>
          <w:lang w:eastAsia="en-GB"/>
        </w:rPr>
        <w:t>Nairit</w:t>
      </w:r>
      <w:proofErr w:type="spellEnd"/>
      <w:r w:rsidRPr="001346FF">
        <w:rPr>
          <w:lang w:eastAsia="en-GB"/>
        </w:rPr>
        <w:t xml:space="preserve"> Plant”). No such measures as eco-labelling or sustainability indices are available in Armenia.</w:t>
      </w:r>
    </w:p>
    <w:p w:rsidR="00762C9B" w:rsidRPr="001346FF" w:rsidRDefault="00762C9B" w:rsidP="00762C9B">
      <w:pPr>
        <w:keepNext/>
        <w:keepLines/>
        <w:spacing w:after="120"/>
        <w:rPr>
          <w:lang w:eastAsia="en-GB"/>
        </w:rPr>
      </w:pPr>
    </w:p>
    <w:p w:rsidR="00762C9B" w:rsidRPr="001346FF" w:rsidRDefault="00762C9B" w:rsidP="00762C9B">
      <w:pPr>
        <w:pStyle w:val="Heading2"/>
      </w:pPr>
      <w:bookmarkStart w:id="38" w:name="_Toc384307259"/>
      <w:bookmarkStart w:id="39" w:name="_Toc387396925"/>
      <w:r w:rsidRPr="001346FF">
        <w:t>Azerbaijan</w:t>
      </w:r>
      <w:bookmarkEnd w:id="38"/>
      <w:bookmarkEnd w:id="39"/>
    </w:p>
    <w:p w:rsidR="00762C9B" w:rsidRPr="001346FF" w:rsidRDefault="00762C9B" w:rsidP="00762C9B">
      <w:pPr>
        <w:spacing w:after="120"/>
        <w:rPr>
          <w:lang w:eastAsia="en-GB"/>
        </w:rPr>
      </w:pPr>
      <w:r w:rsidRPr="001346FF">
        <w:rPr>
          <w:lang w:eastAsia="en-GB"/>
        </w:rPr>
        <w:t>Legislation designed to protect environment has been based on the principles stipulated in the Constitutional Act on the Independence of Azerbaijan, adopted in the Constitution of the Republic of Azerbaijan (1995), the Law of the Azerbaijan Republic on Environmental Protection and Utilization of Natural Resources, and the Statute of the State Committee for the Environment is aimed at providing:</w:t>
      </w:r>
    </w:p>
    <w:p w:rsidR="00762C9B" w:rsidRPr="001346FF" w:rsidRDefault="00762C9B" w:rsidP="005116EE">
      <w:pPr>
        <w:pStyle w:val="ListParagraph"/>
        <w:numPr>
          <w:ilvl w:val="0"/>
          <w:numId w:val="22"/>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the establishment and development of the Environmental Impact Assessment (EIA) Program;</w:t>
      </w:r>
    </w:p>
    <w:p w:rsidR="00762C9B" w:rsidRPr="001346FF" w:rsidRDefault="00762C9B" w:rsidP="005116EE">
      <w:pPr>
        <w:pStyle w:val="ListParagraph"/>
        <w:numPr>
          <w:ilvl w:val="0"/>
          <w:numId w:val="22"/>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review of the existing ecological standards with the purpose of their improvement to the level of standards recommended by the European Community;</w:t>
      </w:r>
    </w:p>
    <w:p w:rsidR="00762C9B" w:rsidRPr="001346FF" w:rsidRDefault="00762C9B" w:rsidP="005116EE">
      <w:pPr>
        <w:pStyle w:val="ListParagraph"/>
        <w:numPr>
          <w:ilvl w:val="0"/>
          <w:numId w:val="22"/>
        </w:numPr>
        <w:spacing w:after="120" w:line="240" w:lineRule="auto"/>
        <w:rPr>
          <w:rFonts w:ascii="Arial" w:hAnsi="Arial" w:cs="Arial"/>
          <w:sz w:val="21"/>
          <w:szCs w:val="21"/>
          <w:lang w:val="en-GB" w:eastAsia="en-GB"/>
        </w:rPr>
      </w:pPr>
      <w:r w:rsidRPr="001346FF">
        <w:rPr>
          <w:rFonts w:ascii="Arial" w:hAnsi="Arial" w:cs="Arial"/>
          <w:sz w:val="21"/>
          <w:szCs w:val="21"/>
          <w:u w:val="single"/>
          <w:lang w:val="en-GB" w:eastAsia="en-GB"/>
        </w:rPr>
        <w:t>use of economical mechanisms to decrease contamination levels</w:t>
      </w:r>
      <w:r w:rsidRPr="001346FF">
        <w:rPr>
          <w:rFonts w:ascii="Arial" w:hAnsi="Arial" w:cs="Arial"/>
          <w:sz w:val="21"/>
          <w:szCs w:val="21"/>
          <w:lang w:val="en-GB" w:eastAsia="en-GB"/>
        </w:rPr>
        <w:t>;</w:t>
      </w:r>
    </w:p>
    <w:p w:rsidR="00762C9B" w:rsidRPr="001346FF" w:rsidRDefault="00762C9B" w:rsidP="005116EE">
      <w:pPr>
        <w:pStyle w:val="ListParagraph"/>
        <w:numPr>
          <w:ilvl w:val="0"/>
          <w:numId w:val="22"/>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improvement of the system of ecological awareness and education;</w:t>
      </w:r>
    </w:p>
    <w:p w:rsidR="00762C9B" w:rsidRPr="001346FF" w:rsidRDefault="00762C9B" w:rsidP="005116EE">
      <w:pPr>
        <w:pStyle w:val="ListParagraph"/>
        <w:numPr>
          <w:ilvl w:val="0"/>
          <w:numId w:val="22"/>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intensification of the cooperation in the field of environmental protection with regional and international organizations;</w:t>
      </w:r>
    </w:p>
    <w:p w:rsidR="00762C9B" w:rsidRPr="001346FF" w:rsidRDefault="00762C9B" w:rsidP="005116EE">
      <w:pPr>
        <w:pStyle w:val="ListParagraph"/>
        <w:numPr>
          <w:ilvl w:val="0"/>
          <w:numId w:val="22"/>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establishment of the “polluter pays” principle;</w:t>
      </w:r>
    </w:p>
    <w:p w:rsidR="00762C9B" w:rsidRPr="001346FF" w:rsidRDefault="00762C9B" w:rsidP="005116EE">
      <w:pPr>
        <w:pStyle w:val="ListParagraph"/>
        <w:numPr>
          <w:ilvl w:val="0"/>
          <w:numId w:val="22"/>
        </w:numPr>
        <w:spacing w:after="120" w:line="240" w:lineRule="auto"/>
        <w:rPr>
          <w:rFonts w:ascii="Arial" w:hAnsi="Arial" w:cs="Arial"/>
          <w:sz w:val="21"/>
          <w:szCs w:val="21"/>
          <w:lang w:val="en-GB" w:eastAsia="en-GB"/>
        </w:rPr>
      </w:pPr>
      <w:proofErr w:type="gramStart"/>
      <w:r w:rsidRPr="001346FF">
        <w:rPr>
          <w:rFonts w:ascii="Arial" w:hAnsi="Arial" w:cs="Arial"/>
          <w:sz w:val="21"/>
          <w:szCs w:val="21"/>
          <w:lang w:val="en-GB" w:eastAsia="en-GB"/>
        </w:rPr>
        <w:t>improvement</w:t>
      </w:r>
      <w:proofErr w:type="gramEnd"/>
      <w:r w:rsidRPr="001346FF">
        <w:rPr>
          <w:rFonts w:ascii="Arial" w:hAnsi="Arial" w:cs="Arial"/>
          <w:sz w:val="21"/>
          <w:szCs w:val="21"/>
          <w:lang w:val="en-GB" w:eastAsia="en-GB"/>
        </w:rPr>
        <w:t xml:space="preserve"> of the system of ecological monitoring.</w:t>
      </w:r>
      <w:r w:rsidRPr="001346FF">
        <w:rPr>
          <w:rStyle w:val="FootnoteReference"/>
          <w:rFonts w:ascii="Arial" w:hAnsi="Arial"/>
          <w:sz w:val="21"/>
          <w:lang w:val="en-GB" w:eastAsia="en-GB"/>
        </w:rPr>
        <w:footnoteReference w:id="38"/>
      </w:r>
      <w:r w:rsidRPr="001346FF">
        <w:rPr>
          <w:rFonts w:ascii="Arial" w:hAnsi="Arial" w:cs="Arial"/>
          <w:sz w:val="21"/>
          <w:szCs w:val="21"/>
          <w:lang w:val="en-GB" w:eastAsia="en-GB"/>
        </w:rPr>
        <w:t xml:space="preserve"> </w:t>
      </w:r>
    </w:p>
    <w:p w:rsidR="00762C9B" w:rsidRPr="001346FF" w:rsidRDefault="00762C9B" w:rsidP="00762C9B">
      <w:pPr>
        <w:spacing w:after="120"/>
        <w:rPr>
          <w:lang w:eastAsia="en-GB"/>
        </w:rPr>
      </w:pPr>
      <w:r w:rsidRPr="001346FF">
        <w:rPr>
          <w:lang w:eastAsia="en-GB"/>
        </w:rPr>
        <w:t>Law of the Republic of Azerbaijan on Protection of Environment (June 8, 1999, №678-IQ) and Law on Protection of Atmospheric Air (2001) both include provisions that imply support for environment-friendly entrepreneurship, accordingly</w:t>
      </w:r>
      <w:r w:rsidRPr="001346FF">
        <w:t xml:space="preserve"> the laws further the idea that protection of environment through stimulation of economy </w:t>
      </w:r>
      <w:r w:rsidRPr="001346FF">
        <w:rPr>
          <w:lang w:eastAsia="en-GB"/>
        </w:rPr>
        <w:t xml:space="preserve">is possible through ecological subsidies or other incentive-oriented tools. </w:t>
      </w:r>
    </w:p>
    <w:p w:rsidR="00762C9B" w:rsidRPr="001346FF" w:rsidRDefault="00762C9B" w:rsidP="00762C9B">
      <w:pPr>
        <w:spacing w:after="120"/>
        <w:rPr>
          <w:u w:val="single"/>
          <w:lang w:eastAsia="en-GB"/>
        </w:rPr>
      </w:pPr>
      <w:r w:rsidRPr="001346FF">
        <w:rPr>
          <w:u w:val="single"/>
          <w:lang w:eastAsia="en-GB"/>
        </w:rPr>
        <w:t>Administrative incentives</w:t>
      </w:r>
    </w:p>
    <w:p w:rsidR="00762C9B" w:rsidRPr="001346FF" w:rsidRDefault="00762C9B" w:rsidP="00762C9B">
      <w:pPr>
        <w:spacing w:after="120"/>
        <w:rPr>
          <w:u w:val="single"/>
          <w:lang w:eastAsia="en-GB"/>
        </w:rPr>
      </w:pPr>
      <w:r w:rsidRPr="001346FF">
        <w:rPr>
          <w:lang w:eastAsia="en-GB"/>
        </w:rPr>
        <w:t>The industrial pollution permitting system does not foresee issuance of extended permits for less polluting activities. Yet the permitting system envisages lower frequency of the inspections for the low-waste industries in comparison to that for other industries.</w:t>
      </w:r>
    </w:p>
    <w:p w:rsidR="00762C9B" w:rsidRPr="001346FF" w:rsidRDefault="00762C9B" w:rsidP="00762C9B">
      <w:pPr>
        <w:spacing w:after="120"/>
        <w:rPr>
          <w:u w:val="single"/>
          <w:lang w:eastAsia="en-GB"/>
        </w:rPr>
      </w:pPr>
      <w:r w:rsidRPr="001346FF">
        <w:rPr>
          <w:u w:val="single"/>
          <w:lang w:eastAsia="en-GB"/>
        </w:rPr>
        <w:t>Economic and fiscal incentives</w:t>
      </w:r>
    </w:p>
    <w:p w:rsidR="00762C9B" w:rsidRPr="001346FF" w:rsidRDefault="00762C9B" w:rsidP="00762C9B">
      <w:pPr>
        <w:spacing w:after="120"/>
        <w:rPr>
          <w:u w:val="single"/>
          <w:lang w:eastAsia="en-GB"/>
        </w:rPr>
      </w:pPr>
      <w:r w:rsidRPr="001346FF">
        <w:rPr>
          <w:lang w:eastAsia="en-GB"/>
        </w:rPr>
        <w:lastRenderedPageBreak/>
        <w:t>According to the Decision of the Cabinet of Ministers “Payment for natural resources, applying payment in emission of polluting substances to environment, and use of funds received from these payments” (March 3, 1992, № 122) the system applies differentiated charges in accordance with the category of pollution (I-IV) of the industry. Accordingly, undertakings falling within category I have to pay higher charges than those representing the IV category.</w:t>
      </w:r>
    </w:p>
    <w:p w:rsidR="00762C9B" w:rsidRPr="001346FF" w:rsidRDefault="00762C9B" w:rsidP="00762C9B">
      <w:pPr>
        <w:spacing w:after="120"/>
        <w:rPr>
          <w:u w:val="single"/>
          <w:lang w:eastAsia="en-GB"/>
        </w:rPr>
      </w:pPr>
      <w:r w:rsidRPr="001346FF">
        <w:rPr>
          <w:lang w:eastAsia="en-GB"/>
        </w:rPr>
        <w:t xml:space="preserve">Another economic incentive is available particularly to undertakings realizing agricultural activities. Law of the Republic of Azerbaijan on “Ecologically Clean Agriculture” (13.06.2008, № 650-IIIQ) promotes clean agriculture practices and stipulates that the financing of the development of ecologically clean agriculture </w:t>
      </w:r>
      <w:r w:rsidRPr="001346FF">
        <w:rPr>
          <w:i/>
          <w:lang w:eastAsia="en-GB"/>
        </w:rPr>
        <w:t>inter alia</w:t>
      </w:r>
      <w:r w:rsidRPr="001346FF">
        <w:rPr>
          <w:lang w:eastAsia="en-GB"/>
        </w:rPr>
        <w:t xml:space="preserve"> consists of investments, loans, and grants. </w:t>
      </w:r>
    </w:p>
    <w:p w:rsidR="00762C9B" w:rsidRPr="001346FF" w:rsidRDefault="00762C9B" w:rsidP="00762C9B">
      <w:pPr>
        <w:spacing w:after="120"/>
        <w:rPr>
          <w:lang w:eastAsia="en-GB"/>
        </w:rPr>
      </w:pPr>
      <w:r w:rsidRPr="001346FF">
        <w:rPr>
          <w:lang w:eastAsia="en-GB"/>
        </w:rPr>
        <w:t>In addition, as it was already mentioned, the Article 25 of the Law on Protection of Environment stipulates that stimulation of environment friendly economic activities is possible through such economic measures as ecological subsidies or other incentive-oriented tools. One of such tools is the State Fund on Environment Protection, which is primarily ensuring economic stimulation of nature conservation, but the financial resources of the fund are also used for activities related to environmental protection and sustainable use of natural resources and their restoration. The funding means are mostly acquired through:</w:t>
      </w:r>
    </w:p>
    <w:p w:rsidR="00762C9B" w:rsidRPr="001346FF" w:rsidRDefault="00762C9B" w:rsidP="005116EE">
      <w:pPr>
        <w:pStyle w:val="ListParagraph"/>
        <w:numPr>
          <w:ilvl w:val="0"/>
          <w:numId w:val="21"/>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 xml:space="preserve">Fines imposed for violation of the law on Protection of Environment; </w:t>
      </w:r>
    </w:p>
    <w:p w:rsidR="00762C9B" w:rsidRPr="001346FF" w:rsidRDefault="00762C9B" w:rsidP="005116EE">
      <w:pPr>
        <w:pStyle w:val="ListParagraph"/>
        <w:numPr>
          <w:ilvl w:val="0"/>
          <w:numId w:val="21"/>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 xml:space="preserve">Nature resources’ payments; </w:t>
      </w:r>
    </w:p>
    <w:p w:rsidR="00762C9B" w:rsidRPr="001346FF" w:rsidRDefault="00762C9B" w:rsidP="005116EE">
      <w:pPr>
        <w:pStyle w:val="ListParagraph"/>
        <w:numPr>
          <w:ilvl w:val="0"/>
          <w:numId w:val="21"/>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 xml:space="preserve">Means confiscated in accordance with legislation; </w:t>
      </w:r>
    </w:p>
    <w:p w:rsidR="00762C9B" w:rsidRPr="001346FF" w:rsidRDefault="00762C9B" w:rsidP="005116EE">
      <w:pPr>
        <w:pStyle w:val="ListParagraph"/>
        <w:numPr>
          <w:ilvl w:val="0"/>
          <w:numId w:val="21"/>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Voluntary endowments by state, non-governmental organizations, private and legal persons;</w:t>
      </w:r>
    </w:p>
    <w:p w:rsidR="00762C9B" w:rsidRPr="001346FF" w:rsidRDefault="00762C9B" w:rsidP="005116EE">
      <w:pPr>
        <w:pStyle w:val="ListParagraph"/>
        <w:numPr>
          <w:ilvl w:val="0"/>
          <w:numId w:val="21"/>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Other incomes.</w:t>
      </w:r>
    </w:p>
    <w:p w:rsidR="00762C9B" w:rsidRPr="001346FF" w:rsidRDefault="00762C9B" w:rsidP="00762C9B">
      <w:pPr>
        <w:spacing w:after="120"/>
        <w:rPr>
          <w:u w:val="single"/>
          <w:lang w:eastAsia="en-GB"/>
        </w:rPr>
      </w:pPr>
      <w:r w:rsidRPr="001346FF">
        <w:rPr>
          <w:u w:val="single"/>
          <w:lang w:eastAsia="en-GB"/>
        </w:rPr>
        <w:t>Reputational incentives</w:t>
      </w:r>
    </w:p>
    <w:p w:rsidR="00762C9B" w:rsidRPr="001346FF" w:rsidRDefault="00762C9B" w:rsidP="00762C9B">
      <w:pPr>
        <w:spacing w:after="120"/>
        <w:rPr>
          <w:lang w:eastAsia="en-GB"/>
        </w:rPr>
      </w:pPr>
      <w:r w:rsidRPr="001346FF">
        <w:rPr>
          <w:lang w:eastAsia="en-GB"/>
        </w:rPr>
        <w:t>As far as it goes to reputational incentives, Azerbaijan has a strong and well proved practice of eco-labelling scheme applicable in field of agriculture and food products. The legal basis of the scheme can be found in the Law of the Republic of Azerbaijan on “Ecologically Clean Agriculture” (13.06.2008, № 650-IIIQ). The competent institution responsible for administration of the scheme has authority to certify ecologically clean products by indicating “EKO-</w:t>
      </w:r>
      <w:proofErr w:type="spellStart"/>
      <w:r w:rsidRPr="001346FF">
        <w:rPr>
          <w:lang w:eastAsia="en-GB"/>
        </w:rPr>
        <w:t>keçid</w:t>
      </w:r>
      <w:proofErr w:type="spellEnd"/>
      <w:r w:rsidRPr="001346FF">
        <w:rPr>
          <w:lang w:eastAsia="en-GB"/>
        </w:rPr>
        <w:t>” or “EKO” on the labelling. The requirements that have to be fulfilled are developed in accordance with the provisions of the legislation. The certified product has to have a label indicating the following information:</w:t>
      </w:r>
    </w:p>
    <w:p w:rsidR="00762C9B" w:rsidRPr="001346FF" w:rsidRDefault="00762C9B" w:rsidP="005116EE">
      <w:pPr>
        <w:pStyle w:val="ListParagraph"/>
        <w:numPr>
          <w:ilvl w:val="0"/>
          <w:numId w:val="20"/>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 xml:space="preserve">name, address, national trade mark of company, where the product was made (produced and processed); </w:t>
      </w:r>
    </w:p>
    <w:p w:rsidR="00762C9B" w:rsidRPr="001346FF" w:rsidRDefault="00762C9B" w:rsidP="005116EE">
      <w:pPr>
        <w:pStyle w:val="ListParagraph"/>
        <w:numPr>
          <w:ilvl w:val="0"/>
          <w:numId w:val="20"/>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name of product indicating that it is produced by ecologically clean agriculture;</w:t>
      </w:r>
    </w:p>
    <w:p w:rsidR="00762C9B" w:rsidRPr="001346FF" w:rsidRDefault="00762C9B" w:rsidP="005116EE">
      <w:pPr>
        <w:pStyle w:val="ListParagraph"/>
        <w:numPr>
          <w:ilvl w:val="0"/>
          <w:numId w:val="20"/>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name and index of accredited agencies on ecological inspection and certification body;</w:t>
      </w:r>
    </w:p>
    <w:p w:rsidR="00762C9B" w:rsidRPr="001346FF" w:rsidRDefault="00762C9B" w:rsidP="005116EE">
      <w:pPr>
        <w:pStyle w:val="ListParagraph"/>
        <w:numPr>
          <w:ilvl w:val="0"/>
          <w:numId w:val="20"/>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requirements for storage;</w:t>
      </w:r>
    </w:p>
    <w:p w:rsidR="00762C9B" w:rsidRPr="001346FF" w:rsidRDefault="00762C9B" w:rsidP="005116EE">
      <w:pPr>
        <w:pStyle w:val="ListParagraph"/>
        <w:numPr>
          <w:ilvl w:val="0"/>
          <w:numId w:val="20"/>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date of production and expiry;</w:t>
      </w:r>
    </w:p>
    <w:p w:rsidR="00762C9B" w:rsidRPr="001346FF" w:rsidRDefault="00762C9B" w:rsidP="005116EE">
      <w:pPr>
        <w:pStyle w:val="ListParagraph"/>
        <w:numPr>
          <w:ilvl w:val="0"/>
          <w:numId w:val="20"/>
        </w:numPr>
        <w:spacing w:after="120" w:line="240" w:lineRule="auto"/>
        <w:rPr>
          <w:rFonts w:ascii="Arial" w:hAnsi="Arial" w:cs="Arial"/>
          <w:sz w:val="21"/>
          <w:szCs w:val="21"/>
          <w:lang w:val="en-GB" w:eastAsia="en-GB"/>
        </w:rPr>
      </w:pPr>
      <w:proofErr w:type="gramStart"/>
      <w:r w:rsidRPr="001346FF">
        <w:rPr>
          <w:rFonts w:ascii="Arial" w:hAnsi="Arial" w:cs="Arial"/>
          <w:sz w:val="21"/>
          <w:szCs w:val="21"/>
          <w:lang w:val="en-GB" w:eastAsia="en-GB"/>
        </w:rPr>
        <w:t>disposal</w:t>
      </w:r>
      <w:proofErr w:type="gramEnd"/>
      <w:r w:rsidRPr="001346FF">
        <w:rPr>
          <w:rFonts w:ascii="Arial" w:hAnsi="Arial" w:cs="Arial"/>
          <w:sz w:val="21"/>
          <w:szCs w:val="21"/>
          <w:lang w:val="en-GB" w:eastAsia="en-GB"/>
        </w:rPr>
        <w:t xml:space="preserve"> and forbidden storage of ecologically clean agriculture products and foodstuffs with other products.</w:t>
      </w:r>
    </w:p>
    <w:p w:rsidR="00762C9B" w:rsidRPr="001346FF" w:rsidRDefault="00762C9B" w:rsidP="00762C9B">
      <w:pPr>
        <w:spacing w:after="120"/>
        <w:rPr>
          <w:lang w:eastAsia="en-GB"/>
        </w:rPr>
      </w:pPr>
      <w:r w:rsidRPr="001346FF">
        <w:rPr>
          <w:lang w:eastAsia="en-GB"/>
        </w:rPr>
        <w:t>Eco labelling supplies internal and external market with qualified products that are more competitive than non-ecological products. This system stimulates the decrease of low-quality products and increases the production’s compatibility with the environmental requirements and consumers’ interest in buying ecologically certified products. As a result many industries are drawn to shift to such production, by that improving the overall quality of products produced in the country.</w:t>
      </w:r>
    </w:p>
    <w:p w:rsidR="00762C9B" w:rsidRPr="001346FF" w:rsidRDefault="00762C9B" w:rsidP="00516EF9">
      <w:pPr>
        <w:spacing w:after="120"/>
        <w:rPr>
          <w:lang w:eastAsia="en-GB"/>
        </w:rPr>
      </w:pPr>
      <w:r w:rsidRPr="001346FF">
        <w:rPr>
          <w:lang w:eastAsia="en-GB"/>
        </w:rPr>
        <w:t xml:space="preserve">In addition, some transnational companies have been certified in accordance with ISO 14001:2004 standard. In order to introduce ISO standard in the national system, the proposal on </w:t>
      </w:r>
      <w:r w:rsidRPr="001346FF">
        <w:rPr>
          <w:lang w:eastAsia="en-GB"/>
        </w:rPr>
        <w:lastRenderedPageBreak/>
        <w:t xml:space="preserve">introduction of ISO 14001:2004(E) has been presented to the State Committee for Standardization Metrology and Patent of the Republic </w:t>
      </w:r>
      <w:r w:rsidR="00516EF9" w:rsidRPr="001346FF">
        <w:rPr>
          <w:lang w:eastAsia="en-GB"/>
        </w:rPr>
        <w:t>of Azerbaijan for approval.</w:t>
      </w:r>
    </w:p>
    <w:p w:rsidR="00762C9B" w:rsidRPr="001346FF" w:rsidRDefault="00762C9B" w:rsidP="00762C9B">
      <w:pPr>
        <w:pStyle w:val="Heading2"/>
      </w:pPr>
      <w:bookmarkStart w:id="40" w:name="_Toc384307260"/>
      <w:bookmarkStart w:id="41" w:name="_Toc387396926"/>
      <w:r w:rsidRPr="001346FF">
        <w:t>Belarus</w:t>
      </w:r>
      <w:bookmarkEnd w:id="40"/>
      <w:bookmarkEnd w:id="41"/>
    </w:p>
    <w:p w:rsidR="00762C9B" w:rsidRPr="001346FF" w:rsidRDefault="00762C9B" w:rsidP="00762C9B">
      <w:pPr>
        <w:spacing w:after="120"/>
        <w:rPr>
          <w:lang w:eastAsia="en-GB"/>
        </w:rPr>
      </w:pPr>
      <w:r w:rsidRPr="001346FF">
        <w:rPr>
          <w:lang w:eastAsia="en-GB"/>
        </w:rPr>
        <w:t xml:space="preserve">The central instrument setting the main principles in the field of environmental protection and serving as a basis for introduction of the main measures, incl., voluntary mechanisms, in the Republic of Belarus is the Law “On Environmental Protection”. </w:t>
      </w:r>
    </w:p>
    <w:p w:rsidR="00762C9B" w:rsidRPr="001346FF" w:rsidRDefault="00762C9B" w:rsidP="00762C9B">
      <w:pPr>
        <w:spacing w:after="120"/>
        <w:rPr>
          <w:lang w:eastAsia="en-GB"/>
        </w:rPr>
      </w:pPr>
      <w:r w:rsidRPr="001346FF">
        <w:rPr>
          <w:lang w:eastAsia="en-GB"/>
        </w:rPr>
        <w:t xml:space="preserve">The most successful incentives are related to the administrative measures, yet economic measures have proven to be less successful. This situation persists due to the fact that the system of economic incentives is still in the phase of development in the Republic of Belarus. The most commonly met economic measure in Belarus is tax deduction for certain activities benefiting the environment. The legislation also identifies accelerated depreciation of equipment and other facilities designed to protect and improve the environment. Yet such tool is not popular as it leads to increase of the production price in the named period. </w:t>
      </w:r>
    </w:p>
    <w:p w:rsidR="00762C9B" w:rsidRPr="001346FF" w:rsidRDefault="00762C9B" w:rsidP="00762C9B">
      <w:pPr>
        <w:spacing w:after="120"/>
        <w:rPr>
          <w:lang w:eastAsia="en-GB"/>
        </w:rPr>
      </w:pPr>
      <w:r w:rsidRPr="001346FF">
        <w:rPr>
          <w:lang w:eastAsia="en-GB"/>
        </w:rPr>
        <w:t xml:space="preserve">In addition, there are no sufficient conditions that would encourage the use of certain environmental legal instruments, such as environmental auditing, environmental insurance, partly also environmental certification. The increase in administrative fines and fines for harm to the environment and non-compliance with environmental legislation would encourage undertakings to carry out environmental audits and apply for environmental insurance. </w:t>
      </w:r>
    </w:p>
    <w:p w:rsidR="00762C9B" w:rsidRPr="001346FF" w:rsidRDefault="00762C9B" w:rsidP="00762C9B">
      <w:pPr>
        <w:spacing w:after="120"/>
        <w:rPr>
          <w:lang w:eastAsia="en-GB"/>
        </w:rPr>
      </w:pPr>
      <w:r w:rsidRPr="001346FF">
        <w:rPr>
          <w:lang w:eastAsia="en-GB"/>
        </w:rPr>
        <w:t xml:space="preserve">The more detailed analysis of the abovementioned types of incentives, as well as other incentives available in the Republic of Belarus are discussed below. </w:t>
      </w:r>
    </w:p>
    <w:p w:rsidR="00762C9B" w:rsidRPr="001346FF" w:rsidRDefault="00762C9B" w:rsidP="00762C9B">
      <w:pPr>
        <w:spacing w:after="120"/>
        <w:rPr>
          <w:u w:val="single"/>
          <w:lang w:eastAsia="en-GB"/>
        </w:rPr>
      </w:pPr>
      <w:r w:rsidRPr="001346FF">
        <w:rPr>
          <w:u w:val="single"/>
          <w:lang w:eastAsia="en-GB"/>
        </w:rPr>
        <w:t>Administrative incentives</w:t>
      </w:r>
    </w:p>
    <w:p w:rsidR="00762C9B" w:rsidRPr="001346FF" w:rsidRDefault="00762C9B" w:rsidP="00762C9B">
      <w:pPr>
        <w:spacing w:after="120"/>
        <w:rPr>
          <w:lang w:eastAsia="en-GB"/>
        </w:rPr>
      </w:pPr>
      <w:r w:rsidRPr="001346FF">
        <w:rPr>
          <w:lang w:eastAsia="en-GB"/>
        </w:rPr>
        <w:t>According to the requirements of the legislation of Belarus</w:t>
      </w:r>
      <w:r w:rsidRPr="001346FF">
        <w:rPr>
          <w:rStyle w:val="FootnoteReference"/>
          <w:lang w:eastAsia="en-GB"/>
        </w:rPr>
        <w:footnoteReference w:id="39"/>
      </w:r>
      <w:r w:rsidRPr="001346FF">
        <w:rPr>
          <w:lang w:eastAsia="en-GB"/>
        </w:rPr>
        <w:t xml:space="preserve">, the industrial polluting activities are divided in categories of 1 to 5 in accordance with the levels of pollution, where 1 is representing the most polluting objects and 5 – less polluting. The validity of permit is dependent on level of pollution of the activity – objects falling in categories 1-3 have to renew their permit every 5 years, categories 4-5 – every 10 years, thus less polluting activities have extended validity of permits. The aspects surrounding the determinations of level of pollution include </w:t>
      </w:r>
      <w:r w:rsidRPr="001346FF">
        <w:rPr>
          <w:i/>
          <w:lang w:eastAsia="en-GB"/>
        </w:rPr>
        <w:t>inter alia</w:t>
      </w:r>
      <w:r w:rsidRPr="001346FF">
        <w:rPr>
          <w:lang w:eastAsia="en-GB"/>
        </w:rPr>
        <w:t xml:space="preserve"> volumes and types of emission of pollutants into atmospheric air, number of stationary pollution sources, number of mobile pollution sources etc. </w:t>
      </w:r>
    </w:p>
    <w:p w:rsidR="00762C9B" w:rsidRPr="001346FF" w:rsidRDefault="00762C9B" w:rsidP="00762C9B">
      <w:pPr>
        <w:spacing w:after="120"/>
        <w:rPr>
          <w:lang w:eastAsia="en-GB"/>
        </w:rPr>
      </w:pPr>
      <w:r w:rsidRPr="001346FF">
        <w:rPr>
          <w:lang w:eastAsia="en-GB"/>
        </w:rPr>
        <w:t>Also the frequency of ecological inspections of the object varies depending on the specifics of the object at issue.</w:t>
      </w:r>
      <w:r w:rsidRPr="001346FF">
        <w:rPr>
          <w:rStyle w:val="FootnoteReference"/>
          <w:lang w:eastAsia="en-GB"/>
        </w:rPr>
        <w:footnoteReference w:id="40"/>
      </w:r>
      <w:r w:rsidRPr="001346FF">
        <w:rPr>
          <w:lang w:eastAsia="en-GB"/>
        </w:rPr>
        <w:t xml:space="preserve"> For these purposes the industrial objects are divided into three risk groups – high, medium, and low. Low risk activities correspond to the objects fulfilling the following requirements:</w:t>
      </w:r>
    </w:p>
    <w:p w:rsidR="00762C9B" w:rsidRPr="001346FF" w:rsidRDefault="00762C9B" w:rsidP="005116EE">
      <w:pPr>
        <w:pStyle w:val="ListParagraph"/>
        <w:numPr>
          <w:ilvl w:val="0"/>
          <w:numId w:val="23"/>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operation of stationary sources of emissions for which the total emissions of pollutants into the air constitute less than 25 tonnes per year, and (or) emissions of substances of hazard class 1 constitute less than 1 kilogram per year;</w:t>
      </w:r>
    </w:p>
    <w:p w:rsidR="00762C9B" w:rsidRPr="001346FF" w:rsidRDefault="00762C9B" w:rsidP="005116EE">
      <w:pPr>
        <w:pStyle w:val="ListParagraph"/>
        <w:numPr>
          <w:ilvl w:val="0"/>
          <w:numId w:val="23"/>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operation of less than 50 mobile pollution sources;</w:t>
      </w:r>
    </w:p>
    <w:p w:rsidR="00762C9B" w:rsidRPr="001346FF" w:rsidRDefault="00762C9B" w:rsidP="005116EE">
      <w:pPr>
        <w:pStyle w:val="ListParagraph"/>
        <w:numPr>
          <w:ilvl w:val="0"/>
          <w:numId w:val="23"/>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consumption of less than 50 thousand m</w:t>
      </w:r>
      <w:r w:rsidRPr="001346FF">
        <w:rPr>
          <w:rFonts w:ascii="Arial" w:hAnsi="Arial" w:cs="Arial"/>
          <w:sz w:val="21"/>
          <w:szCs w:val="21"/>
          <w:vertAlign w:val="superscript"/>
          <w:lang w:val="en-GB" w:eastAsia="en-GB"/>
        </w:rPr>
        <w:t xml:space="preserve">3 </w:t>
      </w:r>
      <w:r w:rsidRPr="001346FF">
        <w:rPr>
          <w:rFonts w:ascii="Arial" w:hAnsi="Arial" w:cs="Arial"/>
          <w:sz w:val="21"/>
          <w:szCs w:val="21"/>
          <w:lang w:val="en-GB" w:eastAsia="en-GB"/>
        </w:rPr>
        <w:t>of water per year;</w:t>
      </w:r>
    </w:p>
    <w:p w:rsidR="00762C9B" w:rsidRPr="001346FF" w:rsidRDefault="00762C9B" w:rsidP="005116EE">
      <w:pPr>
        <w:pStyle w:val="ListParagraph"/>
        <w:numPr>
          <w:ilvl w:val="0"/>
          <w:numId w:val="23"/>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lastRenderedPageBreak/>
        <w:t>operation of facilities for breeding and fattening of cattle - less than 200 animals, of pigs - less than 100 animals , birds - less than 5,000 seats;</w:t>
      </w:r>
    </w:p>
    <w:p w:rsidR="00762C9B" w:rsidRPr="001346FF" w:rsidRDefault="00762C9B" w:rsidP="005116EE">
      <w:pPr>
        <w:pStyle w:val="ListParagraph"/>
        <w:numPr>
          <w:ilvl w:val="0"/>
          <w:numId w:val="23"/>
        </w:numPr>
        <w:spacing w:after="120" w:line="240" w:lineRule="auto"/>
        <w:rPr>
          <w:rFonts w:ascii="Arial" w:hAnsi="Arial" w:cs="Arial"/>
          <w:sz w:val="21"/>
          <w:szCs w:val="21"/>
          <w:lang w:val="en-GB" w:eastAsia="en-GB"/>
        </w:rPr>
      </w:pPr>
      <w:proofErr w:type="gramStart"/>
      <w:r w:rsidRPr="001346FF">
        <w:rPr>
          <w:rFonts w:ascii="Arial" w:hAnsi="Arial" w:cs="Arial"/>
          <w:sz w:val="21"/>
          <w:szCs w:val="21"/>
          <w:lang w:val="en-GB" w:eastAsia="en-GB"/>
        </w:rPr>
        <w:t>operation</w:t>
      </w:r>
      <w:proofErr w:type="gramEnd"/>
      <w:r w:rsidRPr="001346FF">
        <w:rPr>
          <w:rFonts w:ascii="Arial" w:hAnsi="Arial" w:cs="Arial"/>
          <w:sz w:val="21"/>
          <w:szCs w:val="21"/>
          <w:lang w:val="en-GB" w:eastAsia="en-GB"/>
        </w:rPr>
        <w:t xml:space="preserve"> of facilities with greenhouse gas emissions of less than 5,000 tons per year.</w:t>
      </w:r>
    </w:p>
    <w:p w:rsidR="00762C9B" w:rsidRPr="001346FF" w:rsidRDefault="00762C9B" w:rsidP="00762C9B">
      <w:pPr>
        <w:spacing w:after="120"/>
        <w:rPr>
          <w:lang w:eastAsia="en-GB"/>
        </w:rPr>
      </w:pPr>
      <w:r w:rsidRPr="001346FF">
        <w:rPr>
          <w:lang w:eastAsia="en-GB"/>
        </w:rPr>
        <w:t>The frequency of inspection of such objects is not more than once every five years, with no evidence for an unscheduled inspection.</w:t>
      </w:r>
    </w:p>
    <w:p w:rsidR="00762C9B" w:rsidRPr="001346FF" w:rsidRDefault="00762C9B" w:rsidP="00762C9B">
      <w:pPr>
        <w:spacing w:after="120"/>
        <w:rPr>
          <w:lang w:eastAsia="en-GB"/>
        </w:rPr>
      </w:pPr>
    </w:p>
    <w:p w:rsidR="00762C9B" w:rsidRPr="001346FF" w:rsidRDefault="00762C9B" w:rsidP="00762C9B">
      <w:pPr>
        <w:spacing w:after="120"/>
        <w:rPr>
          <w:u w:val="single"/>
          <w:lang w:eastAsia="en-GB"/>
        </w:rPr>
      </w:pPr>
      <w:r w:rsidRPr="001346FF">
        <w:rPr>
          <w:u w:val="single"/>
          <w:lang w:eastAsia="en-GB"/>
        </w:rPr>
        <w:t>Economic and fiscal incentives</w:t>
      </w:r>
    </w:p>
    <w:p w:rsidR="00762C9B" w:rsidRPr="001346FF" w:rsidRDefault="00762C9B" w:rsidP="00762C9B">
      <w:pPr>
        <w:spacing w:after="120"/>
        <w:rPr>
          <w:lang w:eastAsia="en-GB"/>
        </w:rPr>
      </w:pPr>
      <w:r w:rsidRPr="001346FF">
        <w:rPr>
          <w:lang w:eastAsia="en-GB"/>
        </w:rPr>
        <w:t>One of the most widely used fiscal measures in Belarus is the application of environmental tax for polluting activities.</w:t>
      </w:r>
      <w:r w:rsidRPr="001346FF">
        <w:rPr>
          <w:rStyle w:val="FootnoteReference"/>
          <w:lang w:eastAsia="en-GB"/>
        </w:rPr>
        <w:footnoteReference w:id="41"/>
      </w:r>
      <w:r w:rsidRPr="001346FF">
        <w:rPr>
          <w:lang w:eastAsia="en-GB"/>
        </w:rPr>
        <w:t xml:space="preserve"> The rate of environmental tax on emissions of pollutants into the atmospheric air is differentiated depending on the level of hazard of the emitted pollutant. Environmental tax is also applicable to other types of pollution, e.g. generation of wastewater and storage of waste as a result of performing polluting activity by operators holding environmental permit. The charges for polluting activities in the framework of environmental taxation system are reduced for operators that invest in construction and/or reconstruction of air pollutant filters, technologies using renewable energy sources, as well as for operators that introduce automated systems for control of emissions of air pollutants into atmospheric air. </w:t>
      </w:r>
    </w:p>
    <w:p w:rsidR="00762C9B" w:rsidRPr="001346FF" w:rsidRDefault="00762C9B" w:rsidP="00762C9B">
      <w:pPr>
        <w:spacing w:after="120"/>
        <w:rPr>
          <w:lang w:eastAsia="en-GB"/>
        </w:rPr>
      </w:pPr>
      <w:r w:rsidRPr="001346FF">
        <w:rPr>
          <w:lang w:eastAsia="en-GB"/>
        </w:rPr>
        <w:t>In the framework of state and regional programmes for energy saving, energy efficiency and protection of the environment, undertakings can apply for partial financing for introduction of green technologies. Equivalent financing options can be acquired by Belarusian undertakings from international funds as “Northern Dimension”, GEF and UNDP. Belarus is also in the process of introducing environmental insurance system.</w:t>
      </w:r>
    </w:p>
    <w:p w:rsidR="00762C9B" w:rsidRPr="001346FF" w:rsidRDefault="00762C9B" w:rsidP="00762C9B">
      <w:pPr>
        <w:spacing w:after="120"/>
        <w:rPr>
          <w:lang w:eastAsia="en-GB"/>
        </w:rPr>
      </w:pPr>
      <w:r w:rsidRPr="001346FF">
        <w:rPr>
          <w:lang w:eastAsia="en-GB"/>
        </w:rPr>
        <w:t>In addition, a softer form of incentive of economic nature can be associated with a provision of free business support services for environment-friendly undertakings. At this point it is crucial to mention a project of permanent collaboration between the Ministry of Natural Resources and Environmental Protection of the Republic of Belarus and Belarusian business structures in form of the “Business and Ecology” club. The club was established in 2011 on the basis of Memorandum on development of mechanisms for interaction of business structures and the Ministry of Natural Resources and Environmental Protection.</w:t>
      </w:r>
      <w:r w:rsidRPr="001346FF">
        <w:rPr>
          <w:rStyle w:val="FootnoteReference"/>
          <w:lang w:eastAsia="en-GB"/>
        </w:rPr>
        <w:footnoteReference w:id="42"/>
      </w:r>
    </w:p>
    <w:p w:rsidR="00762C9B" w:rsidRPr="001346FF" w:rsidRDefault="00762C9B" w:rsidP="00762C9B">
      <w:pPr>
        <w:spacing w:after="120"/>
        <w:rPr>
          <w:lang w:eastAsia="en-GB"/>
        </w:rPr>
      </w:pPr>
      <w:r w:rsidRPr="001346FF">
        <w:rPr>
          <w:lang w:eastAsia="en-GB"/>
        </w:rPr>
        <w:t xml:space="preserve">As to the other economic and fiscal incentives available in Belarus, there are number of measures that stimulate shift towards more environment-friendly activities. These measures include </w:t>
      </w:r>
      <w:r w:rsidRPr="001346FF">
        <w:rPr>
          <w:i/>
          <w:lang w:eastAsia="en-GB"/>
        </w:rPr>
        <w:t>inter alia</w:t>
      </w:r>
      <w:r w:rsidRPr="001346FF">
        <w:rPr>
          <w:lang w:eastAsia="en-GB"/>
        </w:rPr>
        <w:t>:</w:t>
      </w:r>
    </w:p>
    <w:p w:rsidR="00762C9B" w:rsidRPr="001346FF" w:rsidRDefault="00762C9B" w:rsidP="005116EE">
      <w:pPr>
        <w:pStyle w:val="ListParagraph"/>
        <w:numPr>
          <w:ilvl w:val="0"/>
          <w:numId w:val="24"/>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Exemption from payment of real estate tax in respect of permanent structures (buildings) designed to protect the environment and improve the environmental situation as specified in the list approved by the President of the Republic of Belarus (p. 1.5 of Art. 186, Tax Code).</w:t>
      </w:r>
    </w:p>
    <w:p w:rsidR="00762C9B" w:rsidRPr="001346FF" w:rsidRDefault="00762C9B" w:rsidP="005116EE">
      <w:pPr>
        <w:pStyle w:val="ListParagraph"/>
        <w:numPr>
          <w:ilvl w:val="0"/>
          <w:numId w:val="24"/>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Exemption from payment of land tax for land occupied by the facilities and installations for use of renewable energy, as well as land plots allocated for the period of construction (reconstruction) of objects and installations for use of renewable energy (p. 1.21 Art. 194, Tax Code).</w:t>
      </w:r>
    </w:p>
    <w:p w:rsidR="00762C9B" w:rsidRPr="001346FF" w:rsidRDefault="00762C9B" w:rsidP="005116EE">
      <w:pPr>
        <w:pStyle w:val="ListParagraph"/>
        <w:numPr>
          <w:ilvl w:val="0"/>
          <w:numId w:val="24"/>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Exemption from value added tax on imports into the territory of the Republic of Belarus installations for use of renewable energy sources (p. 1.16 Art. 96, Tax Code).</w:t>
      </w:r>
    </w:p>
    <w:p w:rsidR="00762C9B" w:rsidRPr="001346FF" w:rsidRDefault="00762C9B" w:rsidP="005116EE">
      <w:pPr>
        <w:pStyle w:val="ListParagraph"/>
        <w:numPr>
          <w:ilvl w:val="0"/>
          <w:numId w:val="24"/>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Exemption from income tax:</w:t>
      </w:r>
    </w:p>
    <w:p w:rsidR="00762C9B" w:rsidRPr="001346FF" w:rsidRDefault="00762C9B" w:rsidP="005116EE">
      <w:pPr>
        <w:pStyle w:val="ListParagraph"/>
        <w:numPr>
          <w:ilvl w:val="1"/>
          <w:numId w:val="24"/>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lastRenderedPageBreak/>
        <w:t>in terms of corporate profits derived from the sale of self-produced high-tech goods, in accordance with the list established by the Council of Ministers with consultation with the President of the Republic of Belarus (p. 1.13-3, Art. 140, Tax Code);</w:t>
      </w:r>
    </w:p>
    <w:p w:rsidR="00762C9B" w:rsidRPr="001346FF" w:rsidRDefault="00762C9B" w:rsidP="005116EE">
      <w:pPr>
        <w:pStyle w:val="ListParagraph"/>
        <w:numPr>
          <w:ilvl w:val="1"/>
          <w:numId w:val="24"/>
        </w:numPr>
        <w:spacing w:after="120" w:line="240" w:lineRule="auto"/>
        <w:rPr>
          <w:rFonts w:ascii="Arial" w:hAnsi="Arial" w:cs="Arial"/>
          <w:sz w:val="21"/>
          <w:szCs w:val="21"/>
          <w:lang w:val="en-GB" w:eastAsia="en-GB"/>
        </w:rPr>
      </w:pPr>
      <w:proofErr w:type="gramStart"/>
      <w:r w:rsidRPr="001346FF">
        <w:rPr>
          <w:rFonts w:ascii="Arial" w:hAnsi="Arial" w:cs="Arial"/>
          <w:sz w:val="21"/>
          <w:szCs w:val="21"/>
          <w:lang w:val="en-GB" w:eastAsia="en-GB"/>
        </w:rPr>
        <w:t>in</w:t>
      </w:r>
      <w:proofErr w:type="gramEnd"/>
      <w:r w:rsidRPr="001346FF">
        <w:rPr>
          <w:rFonts w:ascii="Arial" w:hAnsi="Arial" w:cs="Arial"/>
          <w:sz w:val="21"/>
          <w:szCs w:val="21"/>
          <w:lang w:val="en-GB" w:eastAsia="en-GB"/>
        </w:rPr>
        <w:t xml:space="preserve"> terms of other corporate profits as determined by the President of the Republic of Belarus (p. 1.14 Art. 140, Tax Code). According to the Decree № 625 of 08.12.2010, income received from the sales of voluntary reduction of emissions of greenhouse gases, the operator is exempted from income tax for income equivalent to capital investments (with exception of investments from the budget) for the implementation of such project.</w:t>
      </w:r>
    </w:p>
    <w:p w:rsidR="00762C9B" w:rsidRPr="001346FF" w:rsidRDefault="00762C9B" w:rsidP="005116EE">
      <w:pPr>
        <w:pStyle w:val="ListParagraph"/>
        <w:numPr>
          <w:ilvl w:val="0"/>
          <w:numId w:val="24"/>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Provision of state support in the area of renewable energy resources. Support includes development of favourable price policy, encouraging investments in renewable energy projects, favourable fiscal policy, direct financing (from state and municipal budgets, means of legal and private persons and other sources not prohibited by the legislation), etc.</w:t>
      </w:r>
      <w:r w:rsidRPr="001346FF">
        <w:rPr>
          <w:rStyle w:val="FootnoteReference"/>
          <w:rFonts w:ascii="Arial" w:hAnsi="Arial"/>
          <w:sz w:val="21"/>
          <w:lang w:val="en-GB" w:eastAsia="en-GB"/>
        </w:rPr>
        <w:footnoteReference w:id="43"/>
      </w:r>
    </w:p>
    <w:p w:rsidR="00762C9B" w:rsidRPr="001346FF" w:rsidRDefault="00762C9B" w:rsidP="00762C9B">
      <w:pPr>
        <w:spacing w:after="120"/>
        <w:rPr>
          <w:lang w:eastAsia="en-GB"/>
        </w:rPr>
      </w:pPr>
      <w:r w:rsidRPr="001346FF">
        <w:rPr>
          <w:lang w:eastAsia="en-GB"/>
        </w:rPr>
        <w:t>Another possible method of economic incentive is associated with the existence of funds for environmental protection. Such funds were operating in Belarus previously, yet the work of State, Municipal and Minsk City Environmental Funds has been suspended for the period 2012 – 2013. Currently the financing in the field of environmental protection can be acquired from state and municipal budgets on the basis of the Law “On Environmental Protection”. The financial means streamed to projects related to environmental protection are acquired from collected environmental taxes.</w:t>
      </w:r>
    </w:p>
    <w:p w:rsidR="00762C9B" w:rsidRPr="001346FF" w:rsidRDefault="00762C9B" w:rsidP="00762C9B">
      <w:pPr>
        <w:spacing w:after="120"/>
        <w:rPr>
          <w:lang w:eastAsia="en-GB"/>
        </w:rPr>
      </w:pPr>
      <w:r w:rsidRPr="001346FF">
        <w:rPr>
          <w:lang w:eastAsia="en-GB"/>
        </w:rPr>
        <w:t>In addition to the above described incentive measures, there are also deterrence measures as fining the operator that emits volumes of atmospheric pollutants exceeding the limit values established by the legislation, thus encouraging operators to comply with requirements and reduce the emissions. There are also a number of other “negative” stimulation tools that envisage the penalties and administrative responsibility for breaching the requirements stipulated in the provisions of legal acts. Yet such regulatory measures represent “enforcement dimension” and require strict compliance, therefore cannot actually be perceived as voluntary mechanisms, stimulating shift towards environment-friendly entrepreneurship.</w:t>
      </w:r>
    </w:p>
    <w:p w:rsidR="00762C9B" w:rsidRPr="001346FF" w:rsidRDefault="00762C9B" w:rsidP="00762C9B">
      <w:pPr>
        <w:spacing w:after="120"/>
        <w:rPr>
          <w:u w:val="single"/>
          <w:lang w:eastAsia="en-GB"/>
        </w:rPr>
      </w:pPr>
      <w:r w:rsidRPr="001346FF">
        <w:rPr>
          <w:u w:val="single"/>
          <w:lang w:eastAsia="en-GB"/>
        </w:rPr>
        <w:t>Reputational incentives</w:t>
      </w:r>
    </w:p>
    <w:p w:rsidR="00762C9B" w:rsidRPr="001346FF" w:rsidRDefault="00762C9B" w:rsidP="00762C9B">
      <w:pPr>
        <w:spacing w:after="120"/>
        <w:rPr>
          <w:lang w:eastAsia="en-GB"/>
        </w:rPr>
      </w:pPr>
      <w:r w:rsidRPr="001346FF">
        <w:rPr>
          <w:lang w:eastAsia="en-GB"/>
        </w:rPr>
        <w:t xml:space="preserve">As to the presence of tools that provide possibility for companies to choose environment-friendly operation in return receiving a status of environment-conscious enterprise, there are few mechanisms operational in the Republic of Belarus. Such mechanisms are based on the idea of promotion of the ecological status of the enterprise or the produced product. </w:t>
      </w:r>
    </w:p>
    <w:p w:rsidR="00762C9B" w:rsidRPr="001346FF" w:rsidRDefault="00762C9B" w:rsidP="00762C9B">
      <w:pPr>
        <w:spacing w:after="120"/>
        <w:rPr>
          <w:lang w:eastAsia="en-GB"/>
        </w:rPr>
      </w:pPr>
      <w:r w:rsidRPr="001346FF">
        <w:rPr>
          <w:lang w:eastAsia="en-GB"/>
        </w:rPr>
        <w:t>The first mechanisms to mention in this respect are related to eco-labelling. There are three eco-labelling-related systems operating in Belarus:</w:t>
      </w:r>
    </w:p>
    <w:p w:rsidR="00762C9B" w:rsidRPr="001346FF" w:rsidRDefault="00762C9B" w:rsidP="005116EE">
      <w:pPr>
        <w:pStyle w:val="ListParagraph"/>
        <w:numPr>
          <w:ilvl w:val="0"/>
          <w:numId w:val="25"/>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ISO (СТБ ИСО) 14020-2003 “Environmental Management. Environmental Labels and Declarations. General Principles”;</w:t>
      </w:r>
    </w:p>
    <w:p w:rsidR="00762C9B" w:rsidRPr="001346FF" w:rsidRDefault="00762C9B" w:rsidP="005116EE">
      <w:pPr>
        <w:pStyle w:val="ListParagraph"/>
        <w:numPr>
          <w:ilvl w:val="0"/>
          <w:numId w:val="25"/>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ISO (СТБ ИСО) 14024-2003 “Environmental Management. Environmental Labels and Declarations: Environmental Labelling Type I, Guiding Principles and Procedures”;</w:t>
      </w:r>
    </w:p>
    <w:p w:rsidR="00762C9B" w:rsidRPr="001346FF" w:rsidRDefault="00762C9B" w:rsidP="005116EE">
      <w:pPr>
        <w:pStyle w:val="ListParagraph"/>
        <w:numPr>
          <w:ilvl w:val="0"/>
          <w:numId w:val="25"/>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(СТБ) 1458-2004 “Eco-label. Shape, size and technical requirements”.</w:t>
      </w:r>
    </w:p>
    <w:p w:rsidR="00762C9B" w:rsidRPr="001346FF" w:rsidRDefault="00762C9B" w:rsidP="00762C9B">
      <w:pPr>
        <w:spacing w:after="120"/>
        <w:rPr>
          <w:lang w:eastAsia="en-GB"/>
        </w:rPr>
      </w:pPr>
      <w:r w:rsidRPr="001346FF">
        <w:rPr>
          <w:lang w:eastAsia="en-GB"/>
        </w:rPr>
        <w:t xml:space="preserve">Two of the above-listed standards are developed on the basis of international ISO standards; the latter standard on eco-label is a national scheme. The existence of such tools represents a purely voluntary system, based solely on undertaking’s wish to compete in the market bearing the status of environment-friendly production. Acquisition of such status does not guarantee immediate </w:t>
      </w:r>
      <w:r w:rsidRPr="001346FF">
        <w:rPr>
          <w:lang w:eastAsia="en-GB"/>
        </w:rPr>
        <w:lastRenderedPageBreak/>
        <w:t>financial benefits, yet, if accompanied with sophisticated system of public education on ecological production, can serve promotional purposes and gain attention of the potential clients.</w:t>
      </w:r>
    </w:p>
    <w:p w:rsidR="00762C9B" w:rsidRPr="001346FF" w:rsidRDefault="00762C9B" w:rsidP="00762C9B">
      <w:pPr>
        <w:spacing w:after="120"/>
        <w:rPr>
          <w:lang w:eastAsia="en-GB"/>
        </w:rPr>
      </w:pPr>
      <w:r w:rsidRPr="001346FF">
        <w:rPr>
          <w:lang w:eastAsia="en-GB"/>
        </w:rPr>
        <w:t xml:space="preserve">Without the eco-labelling options, ISO standards have also more general environmental management scheme, which is enshrined in ISO 14001 </w:t>
      </w:r>
      <w:proofErr w:type="gramStart"/>
      <w:r w:rsidRPr="001346FF">
        <w:rPr>
          <w:lang w:eastAsia="en-GB"/>
        </w:rPr>
        <w:t>standard</w:t>
      </w:r>
      <w:proofErr w:type="gramEnd"/>
      <w:r w:rsidRPr="001346FF">
        <w:rPr>
          <w:lang w:eastAsia="en-GB"/>
        </w:rPr>
        <w:t xml:space="preserve">. General issues on environmental certification are regulated by the Law “On Environmental Protection” of the Republic of Belarus (26.11.1992 № 1982 –XII) and technical regulations that establish requirements for the conformity assessment and certification procedures of various objects. Certification of environmental management systems implemented to meet the requirements of ISO (СТБ ИСО) 14001-2005 in accordance with the procedure established by TAP 5.1.05-2012 “National System of Conformity Approval of the Republic of Belarus. </w:t>
      </w:r>
      <w:proofErr w:type="gramStart"/>
      <w:r w:rsidRPr="001346FF">
        <w:rPr>
          <w:lang w:eastAsia="en-GB"/>
        </w:rPr>
        <w:t>Certification of Management Systems.</w:t>
      </w:r>
      <w:proofErr w:type="gramEnd"/>
      <w:r w:rsidRPr="001346FF">
        <w:rPr>
          <w:lang w:eastAsia="en-GB"/>
        </w:rPr>
        <w:t xml:space="preserve"> General Principles” is operating in the Republic of Belarus.</w:t>
      </w:r>
    </w:p>
    <w:p w:rsidR="00762C9B" w:rsidRPr="001346FF" w:rsidRDefault="00762C9B" w:rsidP="00762C9B">
      <w:pPr>
        <w:spacing w:after="120"/>
        <w:rPr>
          <w:lang w:eastAsia="en-GB"/>
        </w:rPr>
      </w:pPr>
      <w:r w:rsidRPr="001346FF">
        <w:rPr>
          <w:lang w:eastAsia="en-GB"/>
        </w:rPr>
        <w:t>Besides the reputational advantages stemming from the introduction of certified environmental management systems, the legislation provides fiscal benefits for undertakings that have implemented the environmental management systems. According to the Tax Code the operator of polluting activity that holds the certificate on environmental management systems has a decreased tax rate for emission of air pollutants, wastewater and for storage and disposal of waste. Such preferential conditions apply for three years since the date of acquiring the environmental certification.</w:t>
      </w:r>
    </w:p>
    <w:p w:rsidR="00762C9B" w:rsidRPr="001346FF" w:rsidRDefault="00762C9B" w:rsidP="00762C9B">
      <w:pPr>
        <w:spacing w:after="120"/>
        <w:rPr>
          <w:lang w:eastAsia="en-GB"/>
        </w:rPr>
      </w:pPr>
      <w:r w:rsidRPr="001346FF">
        <w:rPr>
          <w:lang w:eastAsia="en-GB"/>
        </w:rPr>
        <w:t>In addition to the more commonly met reputational incentives, as the ones described above, Belarus promotes environment friendly behaviour by organizing a competition for the best auto transport undertaking (in terms of protection of atmospheric air).</w:t>
      </w:r>
      <w:r w:rsidRPr="001346FF">
        <w:rPr>
          <w:rStyle w:val="FootnoteReference"/>
          <w:lang w:eastAsia="en-GB"/>
        </w:rPr>
        <w:footnoteReference w:id="44"/>
      </w:r>
      <w:r w:rsidRPr="001346FF">
        <w:rPr>
          <w:lang w:eastAsia="en-GB"/>
        </w:rPr>
        <w:t xml:space="preserve"> The commission composed of representatives from the Ministry of Natural Resources and Environmental Protection, following the results of selection of nominees at municipal and regional levels, selects 1 first prize winner, 2 second prize winners, and 3 third prize winners. Such activities help to disseminate information on importance of environment-friendly behaviour to the general public and also promote particular undertakings, thus stimulating shift towards ecol</w:t>
      </w:r>
      <w:r w:rsidR="00516EF9" w:rsidRPr="001346FF">
        <w:rPr>
          <w:lang w:eastAsia="en-GB"/>
        </w:rPr>
        <w:t>ogical thinking.</w:t>
      </w:r>
    </w:p>
    <w:p w:rsidR="00762C9B" w:rsidRPr="001346FF" w:rsidRDefault="00762C9B" w:rsidP="00762C9B">
      <w:pPr>
        <w:pStyle w:val="Heading2"/>
      </w:pPr>
      <w:bookmarkStart w:id="42" w:name="_Toc384307261"/>
      <w:bookmarkStart w:id="43" w:name="_Toc387396927"/>
      <w:r w:rsidRPr="001346FF">
        <w:t>Georgia</w:t>
      </w:r>
      <w:bookmarkEnd w:id="42"/>
      <w:bookmarkEnd w:id="43"/>
    </w:p>
    <w:p w:rsidR="00762C9B" w:rsidRPr="001346FF" w:rsidRDefault="00762C9B" w:rsidP="00762C9B">
      <w:pPr>
        <w:spacing w:after="120"/>
        <w:rPr>
          <w:lang w:eastAsia="en-GB"/>
        </w:rPr>
      </w:pPr>
      <w:r w:rsidRPr="001346FF">
        <w:rPr>
          <w:lang w:eastAsia="en-GB"/>
        </w:rPr>
        <w:t>Along with the national environmental measures, the Georgian legislation also transposes the requirements of international agreements that Georgia is a party to. The main national legal acts in this respect are – “The Constitution of Georgia”, “The Law of Georgia on Environmental Protection”, “The General Administrative Code of Georgia” and “The Law on Environmental Impact Permits”.</w:t>
      </w:r>
    </w:p>
    <w:p w:rsidR="00762C9B" w:rsidRPr="001346FF" w:rsidRDefault="00762C9B" w:rsidP="00762C9B">
      <w:pPr>
        <w:spacing w:after="120"/>
        <w:rPr>
          <w:lang w:eastAsia="en-GB"/>
        </w:rPr>
      </w:pPr>
      <w:r w:rsidRPr="001346FF">
        <w:rPr>
          <w:lang w:eastAsia="en-GB"/>
        </w:rPr>
        <w:t>Even though the environmental protection in Georgia is almost solely ensured by means of strict compliance requiring regulative legal acts, some of the incentive mechanisms are established by international agreements, which according to the Law on International Agreements of Georgia, if ratified by the Georgian Parliament have the priority over the national legislation, if they do not contradict to the Constitution of Georgia. One of such examples is Georgia’s participation in the Clean Development Mechanism (CDM) under the Kyoto Protocol. From the three mechanisms defined by the Kyoto Protocol, Georgia, as a Non-annex I party to the UNFCCC, can participate only in the CDM, which encourages Annex I parties to implement emission reduction projects in non-Annex I countries.</w:t>
      </w:r>
    </w:p>
    <w:p w:rsidR="00762C9B" w:rsidRPr="001346FF" w:rsidRDefault="00762C9B" w:rsidP="00762C9B">
      <w:pPr>
        <w:spacing w:after="120"/>
        <w:rPr>
          <w:lang w:eastAsia="en-GB"/>
        </w:rPr>
      </w:pPr>
      <w:r w:rsidRPr="001346FF">
        <w:rPr>
          <w:lang w:eastAsia="en-GB"/>
        </w:rPr>
        <w:t>Georgia satisfies CDM participation requirements:</w:t>
      </w:r>
    </w:p>
    <w:p w:rsidR="00762C9B" w:rsidRPr="001346FF" w:rsidRDefault="00762C9B" w:rsidP="005116EE">
      <w:pPr>
        <w:pStyle w:val="ListParagraph"/>
        <w:numPr>
          <w:ilvl w:val="0"/>
          <w:numId w:val="25"/>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lastRenderedPageBreak/>
        <w:t>Georgia participates voluntary in CDM;</w:t>
      </w:r>
    </w:p>
    <w:p w:rsidR="00762C9B" w:rsidRPr="001346FF" w:rsidRDefault="00762C9B" w:rsidP="005116EE">
      <w:pPr>
        <w:pStyle w:val="ListParagraph"/>
        <w:numPr>
          <w:ilvl w:val="0"/>
          <w:numId w:val="25"/>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Georgia has appointed a CDM “Designated National Authority” (the Ministry of Environment Protection and Natural Resources of Georgia);</w:t>
      </w:r>
    </w:p>
    <w:p w:rsidR="00762C9B" w:rsidRPr="001346FF" w:rsidRDefault="00762C9B" w:rsidP="005116EE">
      <w:pPr>
        <w:pStyle w:val="ListParagraph"/>
        <w:numPr>
          <w:ilvl w:val="0"/>
          <w:numId w:val="25"/>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Georgia is a Party to the Kyoto Protocol.</w:t>
      </w:r>
    </w:p>
    <w:p w:rsidR="00762C9B" w:rsidRPr="001346FF" w:rsidRDefault="00762C9B" w:rsidP="00762C9B">
      <w:pPr>
        <w:spacing w:after="120"/>
        <w:rPr>
          <w:u w:val="single"/>
          <w:lang w:eastAsia="en-GB"/>
        </w:rPr>
      </w:pPr>
      <w:r w:rsidRPr="001346FF">
        <w:rPr>
          <w:u w:val="single"/>
          <w:lang w:eastAsia="en-GB"/>
        </w:rPr>
        <w:t>Administrative incentives</w:t>
      </w:r>
    </w:p>
    <w:p w:rsidR="00762C9B" w:rsidRPr="001346FF" w:rsidRDefault="00762C9B" w:rsidP="00762C9B">
      <w:pPr>
        <w:spacing w:after="120"/>
        <w:rPr>
          <w:lang w:eastAsia="en-GB"/>
        </w:rPr>
      </w:pPr>
      <w:r w:rsidRPr="001346FF">
        <w:rPr>
          <w:lang w:eastAsia="en-GB"/>
        </w:rPr>
        <w:t>The Law of Georgia on Environmental Impact Permit establishes a list of activities subject to ecological expertise in the territory of Georgia, as well as provides legal basis for permitting system, carrying out ecological expertise, when issuing permits and ensuring public information and participation. Yet, there is no gradation of pollution sources (small, big) according to the volume of pollution emitted by separate activities, neither in the Law, nor in any other legal acts. Therefore there is no preferential treatment for less polluting activities in Georgia.</w:t>
      </w:r>
    </w:p>
    <w:p w:rsidR="00762C9B" w:rsidRPr="001346FF" w:rsidRDefault="00762C9B" w:rsidP="00762C9B">
      <w:pPr>
        <w:spacing w:after="120"/>
        <w:rPr>
          <w:u w:val="single"/>
          <w:lang w:eastAsia="en-GB"/>
        </w:rPr>
      </w:pPr>
      <w:r w:rsidRPr="001346FF">
        <w:rPr>
          <w:u w:val="single"/>
          <w:lang w:eastAsia="en-GB"/>
        </w:rPr>
        <w:t>Economic and fiscal incentives</w:t>
      </w:r>
    </w:p>
    <w:p w:rsidR="00762C9B" w:rsidRPr="001346FF" w:rsidRDefault="00762C9B" w:rsidP="00762C9B">
      <w:pPr>
        <w:spacing w:after="120"/>
        <w:rPr>
          <w:lang w:eastAsia="en-GB"/>
        </w:rPr>
      </w:pPr>
      <w:r w:rsidRPr="001346FF">
        <w:rPr>
          <w:lang w:eastAsia="en-GB"/>
        </w:rPr>
        <w:t xml:space="preserve">The legislation of Georgia does not entail charges for environmental pollution, with exception of cases, where the fine is imposed for violation of the permit requirements. There is no set charge and the amount of the fines is established for different cases. </w:t>
      </w:r>
    </w:p>
    <w:p w:rsidR="00762C9B" w:rsidRPr="001346FF" w:rsidRDefault="00762C9B" w:rsidP="00762C9B">
      <w:pPr>
        <w:spacing w:after="120"/>
        <w:rPr>
          <w:lang w:eastAsia="en-GB"/>
        </w:rPr>
      </w:pPr>
      <w:r w:rsidRPr="001346FF">
        <w:rPr>
          <w:lang w:eastAsia="en-GB"/>
        </w:rPr>
        <w:t>As to the provision of funding to introduction of green technologies or carrying out environment-friendly activities, it is important to mention that the US Government has launched Hydro Power and Energy Planning Project (HPEP) on November 14, 2013. HPEP is USAID’s follow-on project to the Hydropower Investment Promotion Project (HIPP) and will continue supporting Georgia for market-based initiatives to stimulate investments into the hydro power sector. HPEP will facilitate private sector development of hydro power resources of Georgia that are environmentally, socially and economically sound, support Georgia in adopting and implementing the Georgia Electricity Market Model of 2015 (GEMM 2015) developed under HIPP, and help establish an electricity trading mechanism in Georgia and beyond.</w:t>
      </w:r>
    </w:p>
    <w:p w:rsidR="00762C9B" w:rsidRPr="001346FF" w:rsidRDefault="00762C9B" w:rsidP="00762C9B">
      <w:pPr>
        <w:spacing w:after="120"/>
        <w:rPr>
          <w:lang w:eastAsia="en-GB"/>
        </w:rPr>
      </w:pPr>
      <w:r w:rsidRPr="001346FF">
        <w:rPr>
          <w:lang w:eastAsia="en-GB"/>
        </w:rPr>
        <w:t xml:space="preserve">Another possibility to attract funding for implementation of projects in the field of renewable energy is through the Georgian Energy Development Fund, JSC (GEDF). GEDF was established in 2010 by the Government of Georgia to facilitate investment in and development of the country’s renewable energy sector. The fund supports </w:t>
      </w:r>
      <w:r w:rsidRPr="001346FF">
        <w:rPr>
          <w:i/>
          <w:lang w:eastAsia="en-GB"/>
        </w:rPr>
        <w:t>inter alia</w:t>
      </w:r>
      <w:r w:rsidRPr="001346FF">
        <w:rPr>
          <w:lang w:eastAsia="en-GB"/>
        </w:rPr>
        <w:t xml:space="preserve"> such activities:</w:t>
      </w:r>
    </w:p>
    <w:p w:rsidR="00762C9B" w:rsidRPr="001346FF" w:rsidRDefault="00762C9B" w:rsidP="005116EE">
      <w:pPr>
        <w:pStyle w:val="ListParagraph"/>
        <w:numPr>
          <w:ilvl w:val="0"/>
          <w:numId w:val="26"/>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Identification and analysis of potential “greenfield” renewable energy plant development sites;</w:t>
      </w:r>
    </w:p>
    <w:p w:rsidR="00762C9B" w:rsidRPr="001346FF" w:rsidRDefault="00762C9B" w:rsidP="005116EE">
      <w:pPr>
        <w:pStyle w:val="ListParagraph"/>
        <w:numPr>
          <w:ilvl w:val="0"/>
          <w:numId w:val="26"/>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Support developing renewable energy project;</w:t>
      </w:r>
    </w:p>
    <w:p w:rsidR="00762C9B" w:rsidRPr="001346FF" w:rsidRDefault="00762C9B" w:rsidP="005116EE">
      <w:pPr>
        <w:pStyle w:val="ListParagraph"/>
        <w:numPr>
          <w:ilvl w:val="0"/>
          <w:numId w:val="26"/>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etc.</w:t>
      </w:r>
    </w:p>
    <w:p w:rsidR="00762C9B" w:rsidRPr="001346FF" w:rsidRDefault="00762C9B" w:rsidP="00762C9B">
      <w:pPr>
        <w:spacing w:after="120"/>
        <w:rPr>
          <w:lang w:eastAsia="en-GB"/>
        </w:rPr>
      </w:pPr>
      <w:r w:rsidRPr="001346FF">
        <w:rPr>
          <w:lang w:eastAsia="en-GB"/>
        </w:rPr>
        <w:t>As it goes to the fiscal measures, Georgia’s Tax Code actually sets an excise tax, which is higher to new vehicles, thus contradicting with emission reduction practices in the transport sector. Namely, in many countries newer, less polluting vehicles are subject to lower tax than older, more polluting vehicles. The excise tax rates are determined as follows according to the age and engine volume of the vehicle:</w:t>
      </w:r>
    </w:p>
    <w:p w:rsidR="00762C9B" w:rsidRPr="001346FF" w:rsidRDefault="00762C9B" w:rsidP="005116EE">
      <w:pPr>
        <w:pStyle w:val="ListParagraph"/>
        <w:numPr>
          <w:ilvl w:val="0"/>
          <w:numId w:val="25"/>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1 year or less: 1,5 GEL/engine cm</w:t>
      </w:r>
      <w:r w:rsidRPr="001346FF">
        <w:rPr>
          <w:rFonts w:ascii="Arial" w:hAnsi="Arial" w:cs="Arial"/>
          <w:sz w:val="21"/>
          <w:szCs w:val="21"/>
          <w:vertAlign w:val="superscript"/>
          <w:lang w:val="en-GB" w:eastAsia="en-GB"/>
        </w:rPr>
        <w:t>3</w:t>
      </w:r>
    </w:p>
    <w:p w:rsidR="00762C9B" w:rsidRPr="001346FF" w:rsidRDefault="00762C9B" w:rsidP="005116EE">
      <w:pPr>
        <w:pStyle w:val="ListParagraph"/>
        <w:numPr>
          <w:ilvl w:val="0"/>
          <w:numId w:val="25"/>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2 years: 1,4 GEL/engine cm</w:t>
      </w:r>
      <w:r w:rsidRPr="001346FF">
        <w:rPr>
          <w:rFonts w:ascii="Arial" w:hAnsi="Arial" w:cs="Arial"/>
          <w:sz w:val="21"/>
          <w:szCs w:val="21"/>
          <w:vertAlign w:val="superscript"/>
          <w:lang w:val="en-GB" w:eastAsia="en-GB"/>
        </w:rPr>
        <w:t>3</w:t>
      </w:r>
      <w:r w:rsidRPr="001346FF">
        <w:rPr>
          <w:rFonts w:ascii="Arial" w:hAnsi="Arial" w:cs="Arial"/>
          <w:sz w:val="21"/>
          <w:szCs w:val="21"/>
          <w:lang w:val="en-GB" w:eastAsia="en-GB"/>
        </w:rPr>
        <w:t xml:space="preserve"> </w:t>
      </w:r>
    </w:p>
    <w:p w:rsidR="00762C9B" w:rsidRPr="001346FF" w:rsidRDefault="00762C9B" w:rsidP="005116EE">
      <w:pPr>
        <w:pStyle w:val="ListParagraph"/>
        <w:numPr>
          <w:ilvl w:val="0"/>
          <w:numId w:val="25"/>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3 years: 1,3 GEL/engine cm</w:t>
      </w:r>
      <w:r w:rsidRPr="001346FF">
        <w:rPr>
          <w:rFonts w:ascii="Arial" w:hAnsi="Arial" w:cs="Arial"/>
          <w:sz w:val="21"/>
          <w:szCs w:val="21"/>
          <w:vertAlign w:val="superscript"/>
          <w:lang w:val="en-GB" w:eastAsia="en-GB"/>
        </w:rPr>
        <w:t>3</w:t>
      </w:r>
    </w:p>
    <w:p w:rsidR="00762C9B" w:rsidRPr="001346FF" w:rsidRDefault="00762C9B" w:rsidP="005116EE">
      <w:pPr>
        <w:pStyle w:val="ListParagraph"/>
        <w:numPr>
          <w:ilvl w:val="0"/>
          <w:numId w:val="25"/>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4 years: 1,2 GEL/engine cm</w:t>
      </w:r>
      <w:r w:rsidRPr="001346FF">
        <w:rPr>
          <w:rFonts w:ascii="Arial" w:hAnsi="Arial" w:cs="Arial"/>
          <w:sz w:val="21"/>
          <w:szCs w:val="21"/>
          <w:vertAlign w:val="superscript"/>
          <w:lang w:val="en-GB" w:eastAsia="en-GB"/>
        </w:rPr>
        <w:t>3</w:t>
      </w:r>
    </w:p>
    <w:p w:rsidR="00762C9B" w:rsidRPr="001346FF" w:rsidRDefault="00762C9B" w:rsidP="005116EE">
      <w:pPr>
        <w:pStyle w:val="ListParagraph"/>
        <w:numPr>
          <w:ilvl w:val="0"/>
          <w:numId w:val="25"/>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5 years: 1 GEL/engine cm</w:t>
      </w:r>
      <w:r w:rsidRPr="001346FF">
        <w:rPr>
          <w:rFonts w:ascii="Arial" w:hAnsi="Arial" w:cs="Arial"/>
          <w:sz w:val="21"/>
          <w:szCs w:val="21"/>
          <w:vertAlign w:val="superscript"/>
          <w:lang w:val="en-GB" w:eastAsia="en-GB"/>
        </w:rPr>
        <w:t>3</w:t>
      </w:r>
    </w:p>
    <w:p w:rsidR="00762C9B" w:rsidRPr="001346FF" w:rsidRDefault="00762C9B" w:rsidP="005116EE">
      <w:pPr>
        <w:pStyle w:val="ListParagraph"/>
        <w:numPr>
          <w:ilvl w:val="0"/>
          <w:numId w:val="25"/>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6 years: 0,7 GEL/engine cm</w:t>
      </w:r>
      <w:r w:rsidRPr="001346FF">
        <w:rPr>
          <w:rFonts w:ascii="Arial" w:hAnsi="Arial" w:cs="Arial"/>
          <w:sz w:val="21"/>
          <w:szCs w:val="21"/>
          <w:vertAlign w:val="superscript"/>
          <w:lang w:val="en-GB" w:eastAsia="en-GB"/>
        </w:rPr>
        <w:t>3</w:t>
      </w:r>
    </w:p>
    <w:p w:rsidR="00762C9B" w:rsidRPr="001346FF" w:rsidRDefault="00762C9B" w:rsidP="005116EE">
      <w:pPr>
        <w:pStyle w:val="ListParagraph"/>
        <w:numPr>
          <w:ilvl w:val="0"/>
          <w:numId w:val="25"/>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7-12 years: 0,5 GEL/engine cm</w:t>
      </w:r>
      <w:r w:rsidRPr="001346FF">
        <w:rPr>
          <w:rFonts w:ascii="Arial" w:hAnsi="Arial" w:cs="Arial"/>
          <w:sz w:val="21"/>
          <w:szCs w:val="21"/>
          <w:vertAlign w:val="superscript"/>
          <w:lang w:val="en-GB" w:eastAsia="en-GB"/>
        </w:rPr>
        <w:t>3</w:t>
      </w:r>
    </w:p>
    <w:p w:rsidR="00762C9B" w:rsidRPr="001346FF" w:rsidRDefault="00762C9B" w:rsidP="005116EE">
      <w:pPr>
        <w:pStyle w:val="ListParagraph"/>
        <w:numPr>
          <w:ilvl w:val="0"/>
          <w:numId w:val="25"/>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13 years: 0,6 GEL/engine cm</w:t>
      </w:r>
      <w:r w:rsidRPr="001346FF">
        <w:rPr>
          <w:rFonts w:ascii="Arial" w:hAnsi="Arial" w:cs="Arial"/>
          <w:sz w:val="21"/>
          <w:szCs w:val="21"/>
          <w:vertAlign w:val="superscript"/>
          <w:lang w:val="en-GB" w:eastAsia="en-GB"/>
        </w:rPr>
        <w:t>3</w:t>
      </w:r>
    </w:p>
    <w:p w:rsidR="00762C9B" w:rsidRPr="001346FF" w:rsidRDefault="00762C9B" w:rsidP="005116EE">
      <w:pPr>
        <w:pStyle w:val="ListParagraph"/>
        <w:numPr>
          <w:ilvl w:val="0"/>
          <w:numId w:val="25"/>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14 years: 0,7 GEL/engine cm</w:t>
      </w:r>
      <w:r w:rsidRPr="001346FF">
        <w:rPr>
          <w:rFonts w:ascii="Arial" w:hAnsi="Arial" w:cs="Arial"/>
          <w:sz w:val="21"/>
          <w:szCs w:val="21"/>
          <w:vertAlign w:val="superscript"/>
          <w:lang w:val="en-GB" w:eastAsia="en-GB"/>
        </w:rPr>
        <w:t>3</w:t>
      </w:r>
    </w:p>
    <w:p w:rsidR="00762C9B" w:rsidRPr="001346FF" w:rsidRDefault="00762C9B" w:rsidP="005116EE">
      <w:pPr>
        <w:pStyle w:val="ListParagraph"/>
        <w:numPr>
          <w:ilvl w:val="0"/>
          <w:numId w:val="25"/>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More than 14 years: 0,8 GEL/engine cm</w:t>
      </w:r>
      <w:r w:rsidRPr="001346FF">
        <w:rPr>
          <w:rFonts w:ascii="Arial" w:hAnsi="Arial" w:cs="Arial"/>
          <w:sz w:val="21"/>
          <w:szCs w:val="21"/>
          <w:vertAlign w:val="superscript"/>
          <w:lang w:val="en-GB" w:eastAsia="en-GB"/>
        </w:rPr>
        <w:t>3</w:t>
      </w:r>
    </w:p>
    <w:p w:rsidR="00762C9B" w:rsidRPr="001346FF" w:rsidRDefault="00762C9B" w:rsidP="00762C9B">
      <w:pPr>
        <w:spacing w:after="120"/>
        <w:rPr>
          <w:lang w:eastAsia="en-GB"/>
        </w:rPr>
      </w:pPr>
      <w:r w:rsidRPr="001346FF">
        <w:rPr>
          <w:lang w:eastAsia="en-GB"/>
        </w:rPr>
        <w:lastRenderedPageBreak/>
        <w:t>According to the clause 197 of the Georgian Tax Code, alongside the excise tax, vehicles are subject to an import tax. When importing a car, one shall pay 0</w:t>
      </w:r>
      <w:proofErr w:type="gramStart"/>
      <w:r w:rsidRPr="001346FF">
        <w:rPr>
          <w:lang w:eastAsia="en-GB"/>
        </w:rPr>
        <w:t>,05</w:t>
      </w:r>
      <w:proofErr w:type="gramEnd"/>
      <w:r w:rsidRPr="001346FF">
        <w:rPr>
          <w:lang w:eastAsia="en-GB"/>
        </w:rPr>
        <w:t xml:space="preserve"> GEL per engine cm</w:t>
      </w:r>
      <w:r w:rsidRPr="001346FF">
        <w:rPr>
          <w:vertAlign w:val="superscript"/>
          <w:lang w:eastAsia="en-GB"/>
        </w:rPr>
        <w:t>3</w:t>
      </w:r>
      <w:r w:rsidRPr="001346FF">
        <w:rPr>
          <w:lang w:eastAsia="en-GB"/>
        </w:rPr>
        <w:t>, as well as an additional 5 % to this initial amount for every year based on the age of the car. Although the import tax stimulates the import of newer cars, the amount to be paid per year of exploitation is very small in comparison with that to be paid for the excise tax.</w:t>
      </w:r>
    </w:p>
    <w:p w:rsidR="00762C9B" w:rsidRPr="001346FF" w:rsidRDefault="00762C9B" w:rsidP="00762C9B">
      <w:pPr>
        <w:spacing w:after="120"/>
        <w:rPr>
          <w:u w:val="single"/>
          <w:lang w:eastAsia="en-GB"/>
        </w:rPr>
      </w:pPr>
      <w:r w:rsidRPr="001346FF">
        <w:rPr>
          <w:u w:val="single"/>
          <w:lang w:eastAsia="en-GB"/>
        </w:rPr>
        <w:t>Reputational incentives</w:t>
      </w:r>
    </w:p>
    <w:p w:rsidR="00762C9B" w:rsidRPr="001346FF" w:rsidRDefault="00762C9B" w:rsidP="00762C9B">
      <w:pPr>
        <w:spacing w:after="120"/>
        <w:rPr>
          <w:lang w:eastAsia="en-GB"/>
        </w:rPr>
      </w:pPr>
      <w:r w:rsidRPr="001346FF">
        <w:rPr>
          <w:lang w:eastAsia="en-GB"/>
        </w:rPr>
        <w:t>On September 20, 2013 the Ministry of Environment and Natural Resources Protection of Georgia announced a competition – “Georgian Green Business Award”</w:t>
      </w:r>
      <w:r w:rsidRPr="001346FF">
        <w:rPr>
          <w:rStyle w:val="FootnoteReference"/>
          <w:lang w:eastAsia="en-GB"/>
        </w:rPr>
        <w:footnoteReference w:id="45"/>
      </w:r>
      <w:r w:rsidRPr="001346FF">
        <w:rPr>
          <w:lang w:eastAsia="en-GB"/>
        </w:rPr>
        <w:t xml:space="preserve">. The aim of the competition is to motivate the business sector to act in compliance with the environmental and social responsibility requirements. A survey was developed that should be filled out by industry representatives to reveal the winners in the following nominations:  Green business of the year, green service, green practice, green building, green vision, green campaign, and green mobility. </w:t>
      </w:r>
    </w:p>
    <w:p w:rsidR="00762C9B" w:rsidRPr="001346FF" w:rsidRDefault="00762C9B" w:rsidP="00762C9B">
      <w:pPr>
        <w:spacing w:after="120"/>
        <w:rPr>
          <w:lang w:eastAsia="en-GB"/>
        </w:rPr>
      </w:pPr>
      <w:r w:rsidRPr="001346FF">
        <w:rPr>
          <w:lang w:eastAsia="en-GB"/>
        </w:rPr>
        <w:t>The legislation of Georgia does not set a legal framework for development of reputational incentives as eco-labelling and there is no system for introduction of ISO 14001 standard in the companies, yet there are some international companies that are certified</w:t>
      </w:r>
      <w:r w:rsidR="00516EF9" w:rsidRPr="001346FF">
        <w:rPr>
          <w:lang w:eastAsia="en-GB"/>
        </w:rPr>
        <w:t xml:space="preserve"> in accordance with ISO 14001. </w:t>
      </w:r>
    </w:p>
    <w:p w:rsidR="00762C9B" w:rsidRPr="001346FF" w:rsidRDefault="00762C9B" w:rsidP="00762C9B">
      <w:pPr>
        <w:pStyle w:val="Heading2"/>
      </w:pPr>
      <w:bookmarkStart w:id="44" w:name="_Toc384307262"/>
      <w:bookmarkStart w:id="45" w:name="_Toc387396928"/>
      <w:r w:rsidRPr="001346FF">
        <w:t>Moldova</w:t>
      </w:r>
      <w:bookmarkEnd w:id="44"/>
      <w:bookmarkEnd w:id="45"/>
    </w:p>
    <w:p w:rsidR="00762C9B" w:rsidRPr="001346FF" w:rsidRDefault="00762C9B" w:rsidP="00762C9B">
      <w:pPr>
        <w:spacing w:after="120"/>
        <w:rPr>
          <w:lang w:eastAsia="en-GB"/>
        </w:rPr>
      </w:pPr>
      <w:r w:rsidRPr="001346FF">
        <w:rPr>
          <w:lang w:eastAsia="en-GB"/>
        </w:rPr>
        <w:t xml:space="preserve">Moldova adopted a framework law on Environmental Protection in 1993, which is being revised with a view to aim at convergence with the EU </w:t>
      </w:r>
      <w:proofErr w:type="spellStart"/>
      <w:r w:rsidRPr="001346FF">
        <w:rPr>
          <w:i/>
          <w:lang w:eastAsia="en-GB"/>
        </w:rPr>
        <w:t>acquis</w:t>
      </w:r>
      <w:proofErr w:type="spellEnd"/>
      <w:r w:rsidRPr="001346FF">
        <w:rPr>
          <w:lang w:eastAsia="en-GB"/>
        </w:rPr>
        <w:t xml:space="preserve">. A set of legislative acts provides a legal basis for access to information, including information on the environment. Further implementing rules are needed on public participation. In the field of air quality, the law on air protection was adopted in 1997. However, current air quality standards need to be reviewed. </w:t>
      </w:r>
    </w:p>
    <w:p w:rsidR="00762C9B" w:rsidRPr="009770C5" w:rsidRDefault="00762C9B" w:rsidP="00762C9B">
      <w:pPr>
        <w:autoSpaceDE w:val="0"/>
        <w:autoSpaceDN w:val="0"/>
        <w:adjustRightInd w:val="0"/>
        <w:rPr>
          <w:rFonts w:cs="Arial"/>
          <w:lang w:eastAsia="en-GB"/>
        </w:rPr>
      </w:pPr>
      <w:r w:rsidRPr="009770C5">
        <w:rPr>
          <w:rFonts w:cs="Arial"/>
          <w:lang w:eastAsia="en-GB"/>
        </w:rPr>
        <w:t xml:space="preserve">Overall, environmental legislation is in place in many areas but it needs further development. Implementation process is not fully developed or legal requirements are not applied at a sufficient level. </w:t>
      </w:r>
      <w:r w:rsidRPr="009770C5">
        <w:rPr>
          <w:rFonts w:cs="Arial"/>
        </w:rPr>
        <w:t xml:space="preserve">More than 20 legal and normative acts (laws, regulations etc.) are in preparation stage, mainly with external assistance. </w:t>
      </w:r>
      <w:r w:rsidRPr="009770C5">
        <w:rPr>
          <w:rFonts w:cs="Arial"/>
          <w:lang w:eastAsia="en-GB"/>
        </w:rPr>
        <w:t>Implementation of an integrated cross-</w:t>
      </w:r>
      <w:proofErr w:type="spellStart"/>
      <w:r w:rsidRPr="009770C5">
        <w:rPr>
          <w:rFonts w:cs="Arial"/>
          <w:lang w:eastAsia="en-GB"/>
        </w:rPr>
        <w:t>sectoral</w:t>
      </w:r>
      <w:proofErr w:type="spellEnd"/>
      <w:r w:rsidRPr="009770C5">
        <w:rPr>
          <w:rFonts w:cs="Arial"/>
          <w:lang w:eastAsia="en-GB"/>
        </w:rPr>
        <w:t xml:space="preserve"> approach to environmental protection (such as the implementation of integrated pollution prevention and control) is a challenge. Moldova faces difficulties with implementation and enforcement of environment legislation due to limited administrative capacities and financial resources.</w:t>
      </w:r>
      <w:r w:rsidRPr="009770C5">
        <w:rPr>
          <w:rStyle w:val="FootnoteReference"/>
          <w:lang w:eastAsia="en-GB"/>
        </w:rPr>
        <w:footnoteReference w:id="46"/>
      </w:r>
      <w:r w:rsidRPr="009770C5">
        <w:rPr>
          <w:rStyle w:val="FootnoteReference"/>
          <w:lang w:eastAsia="en-GB"/>
        </w:rPr>
        <w:footnoteReference w:id="47"/>
      </w:r>
    </w:p>
    <w:p w:rsidR="00762C9B" w:rsidRPr="001346FF" w:rsidRDefault="00762C9B" w:rsidP="00762C9B">
      <w:pPr>
        <w:spacing w:after="120"/>
        <w:rPr>
          <w:lang w:eastAsia="en-GB"/>
        </w:rPr>
      </w:pPr>
      <w:r w:rsidRPr="001346FF">
        <w:rPr>
          <w:lang w:eastAsia="en-GB"/>
        </w:rPr>
        <w:t>Yet, the current problem in application of incentive tools in Moldova is mostly associated not with the lack or insufficiently developed legislation and enforcement mechanisms, but with the general political and socio-economic situation in the country, which does not provide encouragement for application of voluntary mechanisms.</w:t>
      </w:r>
    </w:p>
    <w:p w:rsidR="00762C9B" w:rsidRPr="001346FF" w:rsidRDefault="00762C9B" w:rsidP="00762C9B">
      <w:pPr>
        <w:spacing w:after="120"/>
        <w:rPr>
          <w:u w:val="single"/>
          <w:lang w:eastAsia="en-GB"/>
        </w:rPr>
      </w:pPr>
      <w:r w:rsidRPr="001346FF">
        <w:rPr>
          <w:u w:val="single"/>
          <w:lang w:eastAsia="en-GB"/>
        </w:rPr>
        <w:t>Administrative incentives</w:t>
      </w:r>
    </w:p>
    <w:p w:rsidR="00762C9B" w:rsidRPr="001346FF" w:rsidRDefault="00762C9B" w:rsidP="00762C9B">
      <w:pPr>
        <w:spacing w:after="120"/>
        <w:rPr>
          <w:lang w:eastAsia="en-GB"/>
        </w:rPr>
      </w:pPr>
      <w:r w:rsidRPr="001346FF">
        <w:rPr>
          <w:lang w:eastAsia="en-GB"/>
        </w:rPr>
        <w:t>Currently a number of environmental legal acts are in the drafting stage and the draft versions of many of these acts are available, indicating possible development of national legislation. Among these draft legal acts is the</w:t>
      </w:r>
      <w:r w:rsidRPr="001346FF">
        <w:t xml:space="preserve"> </w:t>
      </w:r>
      <w:r w:rsidRPr="001346FF">
        <w:rPr>
          <w:lang w:eastAsia="en-GB"/>
        </w:rPr>
        <w:t xml:space="preserve">draft Law “On Environmental Protection” (2013), which foresees the integrated environmental authorisation system that, within its provisions, could create incentives </w:t>
      </w:r>
      <w:r w:rsidRPr="001346FF">
        <w:rPr>
          <w:lang w:eastAsia="en-GB"/>
        </w:rPr>
        <w:lastRenderedPageBreak/>
        <w:t>for companies to reduce pollution, by differentiating the validity of permits and other administrative issues in accordance with the level of pollution. Though, considering that this system is not yet in force and there are no such measures in place, it is too early to speculate on possible developments in relation to administrative incentives.</w:t>
      </w:r>
    </w:p>
    <w:p w:rsidR="00762C9B" w:rsidRPr="001346FF" w:rsidRDefault="00762C9B" w:rsidP="00762C9B">
      <w:pPr>
        <w:spacing w:after="120"/>
        <w:rPr>
          <w:lang w:eastAsia="en-GB"/>
        </w:rPr>
      </w:pPr>
      <w:r w:rsidRPr="001346FF">
        <w:rPr>
          <w:lang w:eastAsia="en-GB"/>
        </w:rPr>
        <w:t xml:space="preserve">At the same time the incentives of administrative nature might also be observed in the case of already binding legislation. The Law “On State Control of the Economic Activities” (2012) (which regulates the state control in all domains, including ecological inspection) </w:t>
      </w:r>
      <w:proofErr w:type="gramStart"/>
      <w:r w:rsidRPr="001346FF">
        <w:rPr>
          <w:lang w:eastAsia="en-GB"/>
        </w:rPr>
        <w:t>indicates,</w:t>
      </w:r>
      <w:proofErr w:type="gramEnd"/>
      <w:r w:rsidRPr="001346FF">
        <w:rPr>
          <w:lang w:eastAsia="en-GB"/>
        </w:rPr>
        <w:t xml:space="preserve"> that the inspection can carry out control checks of the operator no more than once during the year (Chapter III, article 14). That has to be a planned control, and the operator has to know in advance about inspection plans.  Also the unplanned control is possible (article 19), but it can take place only in case of existing risks for the environment, and in the case of presence of comparable conditions. Accordingly, such mechanism cannot actually be addressed as an incentive tool, yet it might encourage operators to act in accordance with the legal requirements and avoid creation of situations that might bring about environmental harm in order to reduce the possible administrative burden, which may further result in some penalty imposing measures. </w:t>
      </w:r>
    </w:p>
    <w:p w:rsidR="00762C9B" w:rsidRPr="001346FF" w:rsidRDefault="00762C9B" w:rsidP="00762C9B">
      <w:pPr>
        <w:spacing w:after="120"/>
        <w:rPr>
          <w:u w:val="single"/>
          <w:lang w:eastAsia="en-GB"/>
        </w:rPr>
      </w:pPr>
      <w:r w:rsidRPr="001346FF">
        <w:rPr>
          <w:u w:val="single"/>
          <w:lang w:eastAsia="en-GB"/>
        </w:rPr>
        <w:t>Economic and fiscal incentives</w:t>
      </w:r>
    </w:p>
    <w:p w:rsidR="00762C9B" w:rsidRPr="001346FF" w:rsidRDefault="00762C9B" w:rsidP="00762C9B">
      <w:pPr>
        <w:spacing w:after="120"/>
        <w:rPr>
          <w:lang w:eastAsia="en-GB"/>
        </w:rPr>
      </w:pPr>
      <w:r w:rsidRPr="001346FF">
        <w:rPr>
          <w:lang w:eastAsia="en-GB"/>
        </w:rPr>
        <w:t>The abovementioned draft Law “On Environmental Protection” (art. 153-154) establishes the basis for the economic stimulatory instruments for environmental protection. Yet the incentives of economic and fiscal nature are also provided in the current legal framework. Annex 1 of the Law “On Payment for Pollution” (1998) indicates 7 measures/activities for environmental protection, which could be taken into consideration when the payment for pollution is calculated. Though, it has to be noted that in practice these activities are not often taken into consideration, when the charge is being calculated. Annex 2 of the same Law sets the calculation methodology, indicating that:</w:t>
      </w:r>
    </w:p>
    <w:p w:rsidR="00762C9B" w:rsidRPr="001346FF" w:rsidRDefault="00762C9B" w:rsidP="005116EE">
      <w:pPr>
        <w:pStyle w:val="ListParagraph"/>
        <w:numPr>
          <w:ilvl w:val="0"/>
          <w:numId w:val="25"/>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For pollution exceeding the allowed limits the payment fee is multiplied by 5;</w:t>
      </w:r>
    </w:p>
    <w:p w:rsidR="00762C9B" w:rsidRPr="001346FF" w:rsidRDefault="00762C9B" w:rsidP="005116EE">
      <w:pPr>
        <w:pStyle w:val="ListParagraph"/>
        <w:numPr>
          <w:ilvl w:val="0"/>
          <w:numId w:val="25"/>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For accidental pollution the payment fee is multiplied by 50.</w:t>
      </w:r>
    </w:p>
    <w:p w:rsidR="00762C9B" w:rsidRPr="001346FF" w:rsidRDefault="00762C9B" w:rsidP="00762C9B">
      <w:pPr>
        <w:spacing w:after="120"/>
        <w:rPr>
          <w:lang w:eastAsia="en-GB"/>
        </w:rPr>
      </w:pPr>
      <w:r w:rsidRPr="001346FF">
        <w:rPr>
          <w:lang w:eastAsia="en-GB"/>
        </w:rPr>
        <w:t>Accordingly, the Law encourages the operators to develop the system that would minimize the risk of pollution to the maximum possible extent, by establishing deterring fine system.</w:t>
      </w:r>
    </w:p>
    <w:p w:rsidR="00762C9B" w:rsidRPr="001346FF" w:rsidRDefault="00762C9B" w:rsidP="00762C9B">
      <w:pPr>
        <w:spacing w:after="120"/>
        <w:rPr>
          <w:lang w:eastAsia="en-GB"/>
        </w:rPr>
      </w:pPr>
      <w:r w:rsidRPr="001346FF">
        <w:rPr>
          <w:lang w:eastAsia="en-GB"/>
        </w:rPr>
        <w:t>Currently there is no environmental insurance system in place. Draft Law “On Environmental Insurance” was developed by the Ministry of Environment in 2000-2001, but blocked by the governing party and not promoted since then. The current draft of Law “On Environmental Protection” (art. 155) introduces the mechanism of environmental insurance.</w:t>
      </w:r>
    </w:p>
    <w:p w:rsidR="00762C9B" w:rsidRPr="001346FF" w:rsidRDefault="00762C9B" w:rsidP="00762C9B">
      <w:pPr>
        <w:spacing w:after="120"/>
        <w:rPr>
          <w:lang w:eastAsia="en-GB"/>
        </w:rPr>
      </w:pPr>
      <w:r w:rsidRPr="001346FF">
        <w:rPr>
          <w:lang w:eastAsia="en-GB"/>
        </w:rPr>
        <w:t xml:space="preserve">As to the system providing special loan and grant programme for establishing environment-friendly businesses or introduction of environmental technologies, in 2001 the intention to establish a 0% loan mechanism from the National Ecological Fund (NEF) was proposed, yet the proposal was blocked by the Ministry of Finance. Grants and loans are mainly provided by donors or banks (EBRD, WB, EIB, etc.). The National Ecological Fund is a public fund administered by the Government. The aim of the fund is to contribute to the environmental protection measures by financing environmental protection activities. The source of means is payments for pollution and environmentally harmful products. The support is allocated in the form of grants and the main domains for the financial allocations are water supply and sanitation, waste management (including toxic wastes elimination), planting activities, awareness and co-financing of external projects, grants and loans. According to the evaluation by independent experts (EU, OECD, UNDP, Expert Group) NEF is political interest driven, not transparent and not efficient in terms of achieving major environmental goals of the country (both in terms of quantity and quality). According to the draft provisions in the draft Law “On Budget for 2014” all extra budgetary funds, </w:t>
      </w:r>
      <w:r w:rsidRPr="001346FF">
        <w:rPr>
          <w:lang w:eastAsia="en-GB"/>
        </w:rPr>
        <w:lastRenderedPageBreak/>
        <w:t>including the NEF, will be consolidated in the state budget, as of 2014. Operational procedure of the fund will be revised.</w:t>
      </w:r>
    </w:p>
    <w:p w:rsidR="00762C9B" w:rsidRPr="001346FF" w:rsidRDefault="00762C9B" w:rsidP="00762C9B">
      <w:pPr>
        <w:spacing w:after="120"/>
        <w:rPr>
          <w:lang w:eastAsia="en-GB"/>
        </w:rPr>
      </w:pPr>
      <w:r w:rsidRPr="001346FF">
        <w:rPr>
          <w:lang w:eastAsia="en-GB"/>
        </w:rPr>
        <w:t>Another option to attract funding for environment-related projects is through the Moldovan Sustainable Energy Financing Facility (</w:t>
      </w:r>
      <w:proofErr w:type="spellStart"/>
      <w:r w:rsidRPr="001346FF">
        <w:rPr>
          <w:lang w:eastAsia="en-GB"/>
        </w:rPr>
        <w:t>MoSEFF</w:t>
      </w:r>
      <w:proofErr w:type="spellEnd"/>
      <w:r w:rsidRPr="001346FF">
        <w:rPr>
          <w:lang w:eastAsia="en-GB"/>
        </w:rPr>
        <w:t>)</w:t>
      </w:r>
      <w:r w:rsidRPr="001346FF">
        <w:rPr>
          <w:rStyle w:val="FootnoteReference"/>
          <w:lang w:eastAsia="en-GB"/>
        </w:rPr>
        <w:footnoteReference w:id="48"/>
      </w:r>
      <w:r w:rsidRPr="001346FF">
        <w:rPr>
          <w:lang w:eastAsia="en-GB"/>
        </w:rPr>
        <w:t xml:space="preserve">, which was launched by the European Bank for Reconstruction and Development (EBRD) in order to support energy efficiency investments of Moldovan enterprises. Under </w:t>
      </w:r>
      <w:proofErr w:type="spellStart"/>
      <w:r w:rsidRPr="001346FF">
        <w:rPr>
          <w:lang w:eastAsia="en-GB"/>
        </w:rPr>
        <w:t>MoSEFF</w:t>
      </w:r>
      <w:proofErr w:type="spellEnd"/>
      <w:r w:rsidRPr="001346FF">
        <w:rPr>
          <w:lang w:eastAsia="en-GB"/>
        </w:rPr>
        <w:t xml:space="preserve">, the EBRD made a total of € 42 million available for on-lending through local partner banks. To make investments into energy efficiency projects even more attractive, </w:t>
      </w:r>
      <w:proofErr w:type="spellStart"/>
      <w:r w:rsidRPr="001346FF">
        <w:rPr>
          <w:lang w:eastAsia="en-GB"/>
        </w:rPr>
        <w:t>MoSEFF</w:t>
      </w:r>
      <w:proofErr w:type="spellEnd"/>
      <w:r w:rsidRPr="001346FF">
        <w:rPr>
          <w:lang w:eastAsia="en-GB"/>
        </w:rPr>
        <w:t xml:space="preserve"> contains a grant component for eligible projects. Depending on the energy savings and CO</w:t>
      </w:r>
      <w:r w:rsidRPr="001346FF">
        <w:rPr>
          <w:vertAlign w:val="subscript"/>
          <w:lang w:eastAsia="en-GB"/>
        </w:rPr>
        <w:t>2</w:t>
      </w:r>
      <w:r w:rsidRPr="001346FF">
        <w:rPr>
          <w:lang w:eastAsia="en-GB"/>
        </w:rPr>
        <w:t xml:space="preserve"> emission reductions achieved, the grant may reach from 5% to 20% of the loan amount. To facilitate and speed-up investments in energy efficiency, </w:t>
      </w:r>
      <w:proofErr w:type="spellStart"/>
      <w:r w:rsidRPr="001346FF">
        <w:rPr>
          <w:lang w:eastAsia="en-GB"/>
        </w:rPr>
        <w:t>MoSEFF</w:t>
      </w:r>
      <w:proofErr w:type="spellEnd"/>
      <w:r w:rsidRPr="001346FF">
        <w:rPr>
          <w:lang w:eastAsia="en-GB"/>
        </w:rPr>
        <w:t xml:space="preserve"> provides technical assistance and advice on the optimisation of the energy consumption and supply. </w:t>
      </w:r>
      <w:proofErr w:type="spellStart"/>
      <w:r w:rsidRPr="001346FF">
        <w:rPr>
          <w:lang w:eastAsia="en-GB"/>
        </w:rPr>
        <w:t>MoSEFF's</w:t>
      </w:r>
      <w:proofErr w:type="spellEnd"/>
      <w:r w:rsidRPr="001346FF">
        <w:rPr>
          <w:lang w:eastAsia="en-GB"/>
        </w:rPr>
        <w:t xml:space="preserve"> technical assistance is financed by the European Union and is available free of charge for eligible projects.</w:t>
      </w:r>
    </w:p>
    <w:p w:rsidR="00762C9B" w:rsidRPr="001346FF" w:rsidRDefault="00762C9B" w:rsidP="00762C9B">
      <w:pPr>
        <w:spacing w:after="120"/>
        <w:rPr>
          <w:lang w:eastAsia="en-GB"/>
        </w:rPr>
      </w:pPr>
      <w:r w:rsidRPr="001346FF">
        <w:rPr>
          <w:lang w:eastAsia="en-GB"/>
        </w:rPr>
        <w:t>Access to funding for energy efficiency related projects can also be acquired through Energy Efficiency Fund, whose main objective is to attract and manage financial resources to finance and implement energy efficiency and renewable energy projects, in accordance with strategies and programs developed by the Government. The funding can also be accessed through the Regional Development Fund (grants for water supply and sanitation, waste management (including separate wastes collection) projects), and EU/UNDP JILDP</w:t>
      </w:r>
      <w:r w:rsidRPr="001346FF">
        <w:rPr>
          <w:rStyle w:val="FootnoteReference"/>
          <w:lang w:eastAsia="en-GB"/>
        </w:rPr>
        <w:footnoteReference w:id="49"/>
      </w:r>
      <w:r w:rsidRPr="001346FF">
        <w:rPr>
          <w:lang w:eastAsia="en-GB"/>
        </w:rPr>
        <w:t xml:space="preserve"> and CBM</w:t>
      </w:r>
      <w:r w:rsidRPr="001346FF">
        <w:rPr>
          <w:rStyle w:val="FootnoteReference"/>
          <w:lang w:eastAsia="en-GB"/>
        </w:rPr>
        <w:footnoteReference w:id="50"/>
      </w:r>
      <w:r w:rsidRPr="001346FF">
        <w:rPr>
          <w:lang w:eastAsia="en-GB"/>
        </w:rPr>
        <w:t xml:space="preserve"> Programmes. </w:t>
      </w:r>
    </w:p>
    <w:p w:rsidR="00762C9B" w:rsidRPr="001346FF" w:rsidRDefault="00762C9B" w:rsidP="00762C9B">
      <w:pPr>
        <w:spacing w:after="120"/>
        <w:rPr>
          <w:u w:val="single"/>
          <w:lang w:eastAsia="en-GB"/>
        </w:rPr>
      </w:pPr>
      <w:r w:rsidRPr="001346FF">
        <w:rPr>
          <w:u w:val="single"/>
          <w:lang w:eastAsia="en-GB"/>
        </w:rPr>
        <w:t>Reputational incentives</w:t>
      </w:r>
    </w:p>
    <w:p w:rsidR="00762C9B" w:rsidRPr="001346FF" w:rsidRDefault="00762C9B" w:rsidP="00762C9B">
      <w:pPr>
        <w:spacing w:after="120"/>
        <w:rPr>
          <w:lang w:eastAsia="en-GB"/>
        </w:rPr>
      </w:pPr>
      <w:r w:rsidRPr="001346FF">
        <w:rPr>
          <w:lang w:eastAsia="en-GB"/>
        </w:rPr>
        <w:t xml:space="preserve">The existing national legislation does not entail any reputational incentives in the field of environmental protection. Yet the present draft of National Environmental Strategy (2014-2023) indicates the need for introduction of such reputational tools as sustainability index, eco-labelling and ISO 14001 scheme. In the case of ISO 14001 system, the draft Strategy also provides the relevant indicators. </w:t>
      </w:r>
    </w:p>
    <w:p w:rsidR="00762C9B" w:rsidRPr="001346FF" w:rsidRDefault="00762C9B" w:rsidP="00762C9B">
      <w:pPr>
        <w:spacing w:after="120"/>
        <w:rPr>
          <w:lang w:eastAsia="en-GB"/>
        </w:rPr>
      </w:pPr>
      <w:r w:rsidRPr="001346FF">
        <w:rPr>
          <w:lang w:eastAsia="en-GB"/>
        </w:rPr>
        <w:t>In the period of 1999-2001 an initiative for introduction of eco-label for cleaner technologies was developed by the Ministry of Environment (the label was designed and the Regulation, based on which the label could be awarded, was developed) and the procedure of its registration was initiated, but after the governmental change in 2001 that initiative was stopped and no progress</w:t>
      </w:r>
      <w:r w:rsidR="00516EF9" w:rsidRPr="001346FF">
        <w:rPr>
          <w:lang w:eastAsia="en-GB"/>
        </w:rPr>
        <w:t xml:space="preserve"> was made since then.</w:t>
      </w:r>
    </w:p>
    <w:p w:rsidR="00762C9B" w:rsidRPr="001346FF" w:rsidRDefault="00762C9B" w:rsidP="00762C9B">
      <w:pPr>
        <w:pStyle w:val="Heading2"/>
        <w:keepNext w:val="0"/>
      </w:pPr>
      <w:bookmarkStart w:id="46" w:name="_Toc384307263"/>
      <w:bookmarkStart w:id="47" w:name="_Toc387396929"/>
      <w:r w:rsidRPr="001346FF">
        <w:t>Russian Federation</w:t>
      </w:r>
      <w:bookmarkEnd w:id="46"/>
      <w:bookmarkEnd w:id="47"/>
    </w:p>
    <w:p w:rsidR="00762C9B" w:rsidRPr="001346FF" w:rsidRDefault="00762C9B" w:rsidP="00762C9B">
      <w:pPr>
        <w:spacing w:after="120"/>
        <w:rPr>
          <w:lang w:eastAsia="en-GB"/>
        </w:rPr>
      </w:pPr>
      <w:r w:rsidRPr="001346FF">
        <w:rPr>
          <w:lang w:eastAsia="en-GB"/>
        </w:rPr>
        <w:t>Pursuant to the constitution of the Russian Federation, environmental protection falls within the joint competence of the Russian Federation and its constituent entities; therefore, Russian environmental legislation is enacted at both federal and regional levels.</w:t>
      </w:r>
    </w:p>
    <w:p w:rsidR="00762C9B" w:rsidRPr="001346FF" w:rsidRDefault="00762C9B" w:rsidP="00762C9B">
      <w:pPr>
        <w:spacing w:after="120"/>
        <w:rPr>
          <w:lang w:eastAsia="en-GB"/>
        </w:rPr>
      </w:pPr>
      <w:r w:rsidRPr="001346FF">
        <w:rPr>
          <w:lang w:eastAsia="en-GB"/>
        </w:rPr>
        <w:t>The main federal laws regulating environmental protection are Federal Law No. 7-FZ, “On Environmental Protection,” dated 10 January 2001 (the “Environmental Protection Law”), and Federal Law No. 174-FZ, “On Environmental Expert Review,” dated 23 November 1995 (the “Environmental Expert Review Law”).</w:t>
      </w:r>
    </w:p>
    <w:p w:rsidR="00762C9B" w:rsidRPr="001346FF" w:rsidRDefault="00762C9B" w:rsidP="00762C9B">
      <w:pPr>
        <w:spacing w:after="120"/>
        <w:rPr>
          <w:lang w:eastAsia="en-GB"/>
        </w:rPr>
      </w:pPr>
      <w:r w:rsidRPr="001346FF">
        <w:rPr>
          <w:lang w:eastAsia="en-GB"/>
        </w:rPr>
        <w:t>The Environmental Protection Law:</w:t>
      </w:r>
    </w:p>
    <w:p w:rsidR="00762C9B" w:rsidRPr="001346FF" w:rsidRDefault="00762C9B" w:rsidP="005116EE">
      <w:pPr>
        <w:pStyle w:val="ListParagraph"/>
        <w:numPr>
          <w:ilvl w:val="0"/>
          <w:numId w:val="32"/>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lastRenderedPageBreak/>
        <w:t>sets out the fundamental principles of Russian environmental regulation,</w:t>
      </w:r>
    </w:p>
    <w:p w:rsidR="00762C9B" w:rsidRPr="001346FF" w:rsidRDefault="00762C9B" w:rsidP="005116EE">
      <w:pPr>
        <w:pStyle w:val="ListParagraph"/>
        <w:numPr>
          <w:ilvl w:val="0"/>
          <w:numId w:val="32"/>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provides an overall framework for environmental management, and</w:t>
      </w:r>
    </w:p>
    <w:p w:rsidR="00762C9B" w:rsidRPr="001346FF" w:rsidRDefault="00762C9B" w:rsidP="005116EE">
      <w:pPr>
        <w:pStyle w:val="ListParagraph"/>
        <w:numPr>
          <w:ilvl w:val="0"/>
          <w:numId w:val="32"/>
        </w:numPr>
        <w:spacing w:after="120" w:line="240" w:lineRule="auto"/>
        <w:rPr>
          <w:rFonts w:ascii="Arial" w:hAnsi="Arial" w:cs="Arial"/>
          <w:sz w:val="21"/>
          <w:szCs w:val="21"/>
          <w:lang w:val="en-GB" w:eastAsia="en-GB"/>
        </w:rPr>
      </w:pPr>
      <w:proofErr w:type="gramStart"/>
      <w:r w:rsidRPr="001346FF">
        <w:rPr>
          <w:rFonts w:ascii="Arial" w:hAnsi="Arial" w:cs="Arial"/>
          <w:sz w:val="21"/>
          <w:szCs w:val="21"/>
          <w:lang w:val="en-GB" w:eastAsia="en-GB"/>
        </w:rPr>
        <w:t>imposes</w:t>
      </w:r>
      <w:proofErr w:type="gramEnd"/>
      <w:r w:rsidRPr="001346FF">
        <w:rPr>
          <w:rFonts w:ascii="Arial" w:hAnsi="Arial" w:cs="Arial"/>
          <w:sz w:val="21"/>
          <w:szCs w:val="21"/>
          <w:lang w:val="en-GB" w:eastAsia="en-GB"/>
        </w:rPr>
        <w:t xml:space="preserve"> general environmental protection requirements related to the construction and operation of various facilities that may be harmful to the environment.</w:t>
      </w:r>
    </w:p>
    <w:p w:rsidR="00762C9B" w:rsidRPr="001346FF" w:rsidRDefault="00762C9B" w:rsidP="00762C9B">
      <w:pPr>
        <w:spacing w:after="120"/>
        <w:rPr>
          <w:highlight w:val="yellow"/>
          <w:lang w:eastAsia="en-GB"/>
        </w:rPr>
      </w:pPr>
      <w:r w:rsidRPr="001346FF">
        <w:rPr>
          <w:lang w:eastAsia="en-GB"/>
        </w:rPr>
        <w:t>Russian environmental legislation at the regional level comprises various standards and procedures related to environmental permits and approvals that largely fall within the regulations established by the federal laws. In most cases, the regional legislation simply provides additional details with respect to the federal laws rather than sets forth entirely new region-specific regulations.</w:t>
      </w:r>
    </w:p>
    <w:p w:rsidR="00762C9B" w:rsidRPr="001346FF" w:rsidRDefault="00762C9B" w:rsidP="00762C9B">
      <w:pPr>
        <w:spacing w:after="120"/>
        <w:rPr>
          <w:highlight w:val="yellow"/>
          <w:lang w:eastAsia="en-GB"/>
        </w:rPr>
      </w:pPr>
      <w:r w:rsidRPr="001346FF">
        <w:rPr>
          <w:lang w:eastAsia="en-GB"/>
        </w:rPr>
        <w:t>The right to emit hazardous substances into the atmosphere requires a permit that sets out the maximum permissible emission levels of the applicable hazardous substances. In certain cases (e.g., during the commissioning of a facility), a company may operate under a permit that temporarily allows it to emit in excess of the established maximum permissible emission levels. The air pollution permits are issued by federal or regional authorities, depending on whether the relevant source of pollution is subject to regional or federal environmental control.</w:t>
      </w:r>
      <w:r w:rsidRPr="001346FF">
        <w:rPr>
          <w:rStyle w:val="FootnoteReference"/>
          <w:lang w:eastAsia="en-GB"/>
        </w:rPr>
        <w:footnoteReference w:id="51"/>
      </w:r>
    </w:p>
    <w:p w:rsidR="00762C9B" w:rsidRPr="001346FF" w:rsidRDefault="00762C9B" w:rsidP="00762C9B">
      <w:pPr>
        <w:spacing w:after="120"/>
        <w:rPr>
          <w:lang w:eastAsia="en-GB"/>
        </w:rPr>
      </w:pPr>
      <w:r w:rsidRPr="001346FF">
        <w:rPr>
          <w:lang w:eastAsia="en-GB"/>
        </w:rPr>
        <w:t>When discussing the existing system of incentive-oriented measures in the Russian federation, it is crucial to note, that in the majority of cases there is a legislative basis for such measures. Yet in practice they might not be used as frequently, due to the fact that the entrepreneurs do not see the possible gain from (especially when addressing reputational incentives). According to the indication in the questionnaire, the current system of measures stimulating ecological behaviour by enterprises in the Russian Federation can be divided in three groups:</w:t>
      </w:r>
    </w:p>
    <w:p w:rsidR="00762C9B" w:rsidRPr="001346FF" w:rsidRDefault="00762C9B" w:rsidP="005116EE">
      <w:pPr>
        <w:pStyle w:val="ListParagraph"/>
        <w:numPr>
          <w:ilvl w:val="0"/>
          <w:numId w:val="31"/>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measures are working, but are not characterized as having particular environmental-behaviour stimulating effect (e.g., administrative and fiscal incentives available for operators of polluting activity in the context of permitting system);</w:t>
      </w:r>
    </w:p>
    <w:p w:rsidR="00762C9B" w:rsidRPr="001346FF" w:rsidRDefault="00762C9B" w:rsidP="005116EE">
      <w:pPr>
        <w:pStyle w:val="ListParagraph"/>
        <w:numPr>
          <w:ilvl w:val="0"/>
          <w:numId w:val="31"/>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potentially effective, but do not provide the legal basis and, accordingly, are not suitable for application prior to the development of an appropriate regulatory framework (e.g., ISO standards);</w:t>
      </w:r>
    </w:p>
    <w:p w:rsidR="00762C9B" w:rsidRPr="001346FF" w:rsidRDefault="00762C9B" w:rsidP="005116EE">
      <w:pPr>
        <w:pStyle w:val="ListParagraph"/>
        <w:numPr>
          <w:ilvl w:val="0"/>
          <w:numId w:val="31"/>
        </w:numPr>
        <w:spacing w:after="120" w:line="240" w:lineRule="auto"/>
        <w:rPr>
          <w:rFonts w:ascii="Arial" w:hAnsi="Arial" w:cs="Arial"/>
          <w:sz w:val="21"/>
          <w:szCs w:val="21"/>
          <w:lang w:val="en-GB" w:eastAsia="en-GB"/>
        </w:rPr>
      </w:pPr>
      <w:proofErr w:type="gramStart"/>
      <w:r w:rsidRPr="001346FF">
        <w:rPr>
          <w:rFonts w:ascii="Arial" w:hAnsi="Arial" w:cs="Arial"/>
          <w:sz w:val="21"/>
          <w:szCs w:val="21"/>
          <w:lang w:val="en-GB" w:eastAsia="en-GB"/>
        </w:rPr>
        <w:t>proved</w:t>
      </w:r>
      <w:proofErr w:type="gramEnd"/>
      <w:r w:rsidRPr="001346FF">
        <w:rPr>
          <w:rFonts w:ascii="Arial" w:hAnsi="Arial" w:cs="Arial"/>
          <w:sz w:val="21"/>
          <w:szCs w:val="21"/>
          <w:lang w:val="en-GB" w:eastAsia="en-GB"/>
        </w:rPr>
        <w:t xml:space="preserve"> to be ineffective during trial period of application in different economic conditions and are therefore not subject to prompt re-introduction (e.g., decreased insurance interest rates for environment-friendly undertakings). </w:t>
      </w:r>
    </w:p>
    <w:p w:rsidR="00762C9B" w:rsidRPr="001346FF" w:rsidRDefault="00762C9B" w:rsidP="00762C9B">
      <w:pPr>
        <w:spacing w:after="120"/>
        <w:rPr>
          <w:u w:val="single"/>
          <w:lang w:eastAsia="en-GB"/>
        </w:rPr>
      </w:pPr>
      <w:r w:rsidRPr="001346FF">
        <w:rPr>
          <w:u w:val="single"/>
          <w:lang w:eastAsia="en-GB"/>
        </w:rPr>
        <w:t>Administrative incentives</w:t>
      </w:r>
    </w:p>
    <w:p w:rsidR="00762C9B" w:rsidRPr="001346FF" w:rsidRDefault="00762C9B" w:rsidP="00762C9B">
      <w:pPr>
        <w:spacing w:after="120"/>
        <w:rPr>
          <w:lang w:eastAsia="en-GB"/>
        </w:rPr>
      </w:pPr>
      <w:r w:rsidRPr="001346FF">
        <w:rPr>
          <w:lang w:eastAsia="en-GB"/>
        </w:rPr>
        <w:t>According to the current Russian federal legislation, less polluting activities are not treated as a separate group and thus generally are not subject to preferential administrative conditions in the framework of industrial permitting system. However, to some extent the level of ecological control and supervision can be more or less strict depending on a number of factors surrounding industrial object. Without industrial activities subject to specific control (e.g., activities using radioactive materials, explosive materials) the hierarchy of levels of ecological control, depending on the object’s environmental impact, is as follows (using example of emission of pollutants into atmospheric air from stationary emission sources):</w:t>
      </w:r>
    </w:p>
    <w:p w:rsidR="00762C9B" w:rsidRPr="001346FF" w:rsidRDefault="00762C9B" w:rsidP="005116EE">
      <w:pPr>
        <w:pStyle w:val="ListParagraph"/>
        <w:numPr>
          <w:ilvl w:val="0"/>
          <w:numId w:val="25"/>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The most stringent federal environmental control, currently not entailing any incentives (as tax deductions), and /or instruments for stimulation of sustainable use of resources, applies to industrial installations, using certain types of raw materials, equipment, producing certain products, characterized by particular industry or territorial affiliation (in accordance with list/criteria established by certain federal legal acts).</w:t>
      </w:r>
    </w:p>
    <w:p w:rsidR="00762C9B" w:rsidRPr="001346FF" w:rsidRDefault="00762C9B" w:rsidP="005116EE">
      <w:pPr>
        <w:pStyle w:val="ListParagraph"/>
        <w:numPr>
          <w:ilvl w:val="0"/>
          <w:numId w:val="25"/>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lastRenderedPageBreak/>
        <w:t>Industrial installations not subject to federal environmental control are regulated by municipal legislation, which can entail incentives or sanctions not foreseen by federal legislation.</w:t>
      </w:r>
    </w:p>
    <w:p w:rsidR="00762C9B" w:rsidRPr="001346FF" w:rsidRDefault="00762C9B" w:rsidP="005116EE">
      <w:pPr>
        <w:pStyle w:val="ListParagraph"/>
        <w:numPr>
          <w:ilvl w:val="0"/>
          <w:numId w:val="25"/>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Industrial installation not falling under the scope of above-described systems, are not required to hold industrial pollution permit.</w:t>
      </w:r>
    </w:p>
    <w:p w:rsidR="00762C9B" w:rsidRPr="001346FF" w:rsidRDefault="00762C9B" w:rsidP="00762C9B">
      <w:pPr>
        <w:spacing w:after="120"/>
        <w:rPr>
          <w:u w:val="single"/>
          <w:lang w:eastAsia="en-GB"/>
        </w:rPr>
      </w:pPr>
      <w:r w:rsidRPr="001346FF">
        <w:rPr>
          <w:u w:val="single"/>
          <w:lang w:eastAsia="en-GB"/>
        </w:rPr>
        <w:t>Economic and fiscal incentives</w:t>
      </w:r>
    </w:p>
    <w:p w:rsidR="00762C9B" w:rsidRPr="001346FF" w:rsidRDefault="00762C9B" w:rsidP="00762C9B">
      <w:pPr>
        <w:spacing w:after="120"/>
        <w:rPr>
          <w:lang w:eastAsia="en-GB"/>
        </w:rPr>
      </w:pPr>
      <w:r w:rsidRPr="001346FF">
        <w:rPr>
          <w:lang w:eastAsia="en-GB"/>
        </w:rPr>
        <w:t>The existing legislation of the Russian Federation sets lower charges for emissions, discharges of pollutants, waste disposal and other harmful activities having effect on environment if they are within the permissible limits. In addition, according to “Instructions and guidelines on charging for pollution of the environment” (approved by the Ministry of Natural Resources of the Russian Federation, 26.01.1993.), the charges for use of natural resources can be decreased, if the undertaking implements environmental protection activities in accordance with the list of environmental measures listed in the annex of the abovementioned document. For example, the decreased charge applies in case of implementation of one of the following technological approaches, aimed towards reduction of the pollution:</w:t>
      </w:r>
    </w:p>
    <w:p w:rsidR="00762C9B" w:rsidRPr="001346FF" w:rsidRDefault="00762C9B" w:rsidP="005116EE">
      <w:pPr>
        <w:pStyle w:val="ListParagraph"/>
        <w:numPr>
          <w:ilvl w:val="0"/>
          <w:numId w:val="27"/>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end-of-pipe measures for capture and neutralization of harmful substances from the flue gases from process units and from the ventilation before release into the atmosphere;</w:t>
      </w:r>
    </w:p>
    <w:p w:rsidR="00762C9B" w:rsidRPr="001346FF" w:rsidRDefault="00762C9B" w:rsidP="005116EE">
      <w:pPr>
        <w:pStyle w:val="ListParagraph"/>
        <w:numPr>
          <w:ilvl w:val="0"/>
          <w:numId w:val="27"/>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construction of pilot plants and plants for the development of methods for purification of exhaust gases from harmful emissions;</w:t>
      </w:r>
    </w:p>
    <w:p w:rsidR="00762C9B" w:rsidRPr="001346FF" w:rsidRDefault="00762C9B" w:rsidP="005116EE">
      <w:pPr>
        <w:pStyle w:val="ListParagraph"/>
        <w:numPr>
          <w:ilvl w:val="0"/>
          <w:numId w:val="27"/>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installation of devices for the recycling of materials from waste gases;</w:t>
      </w:r>
    </w:p>
    <w:p w:rsidR="00762C9B" w:rsidRPr="001346FF" w:rsidRDefault="00762C9B" w:rsidP="005116EE">
      <w:pPr>
        <w:pStyle w:val="ListParagraph"/>
        <w:numPr>
          <w:ilvl w:val="0"/>
          <w:numId w:val="27"/>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etc.</w:t>
      </w:r>
    </w:p>
    <w:p w:rsidR="00762C9B" w:rsidRPr="001346FF" w:rsidRDefault="00762C9B" w:rsidP="00762C9B">
      <w:pPr>
        <w:spacing w:after="120"/>
        <w:rPr>
          <w:lang w:eastAsia="en-GB"/>
        </w:rPr>
      </w:pPr>
      <w:r w:rsidRPr="001346FF">
        <w:rPr>
          <w:lang w:eastAsia="en-GB"/>
        </w:rPr>
        <w:t xml:space="preserve">Fee for pollution, which exceeds the set limit values, is determined by multiplying the pollution charge rate within the determined  limits by the volume of actual pollution limit </w:t>
      </w:r>
      <w:proofErr w:type="spellStart"/>
      <w:r w:rsidRPr="001346FF">
        <w:rPr>
          <w:lang w:eastAsia="en-GB"/>
        </w:rPr>
        <w:t>exceedance</w:t>
      </w:r>
      <w:proofErr w:type="spellEnd"/>
      <w:r w:rsidRPr="001346FF">
        <w:rPr>
          <w:lang w:eastAsia="en-GB"/>
        </w:rPr>
        <w:t xml:space="preserve"> (such as emission of air pollutants, discharges of pollutants into water, volume of disposed harmful waste). The calculated fees for each type of environmental pollution are summed up and multiplied by 5.</w:t>
      </w:r>
    </w:p>
    <w:p w:rsidR="00762C9B" w:rsidRPr="001346FF" w:rsidRDefault="00762C9B" w:rsidP="00762C9B">
      <w:pPr>
        <w:spacing w:after="120"/>
        <w:rPr>
          <w:lang w:eastAsia="en-GB"/>
        </w:rPr>
      </w:pPr>
      <w:r w:rsidRPr="001346FF">
        <w:rPr>
          <w:lang w:eastAsia="en-GB"/>
        </w:rPr>
        <w:t xml:space="preserve">Russian legislation does not foresee special loan programme for environmental-friendly businesses or introduction of green technologies. Yet there are some purpose-oriented programmes for regional development or development of particular sectors. In the framework of such programmes the partial subsidizing of loans for establishment of ecological business or introduction of green technologies is available. </w:t>
      </w:r>
    </w:p>
    <w:p w:rsidR="00762C9B" w:rsidRPr="001346FF" w:rsidRDefault="00762C9B" w:rsidP="00762C9B">
      <w:pPr>
        <w:spacing w:after="120"/>
        <w:rPr>
          <w:lang w:eastAsia="en-GB"/>
        </w:rPr>
      </w:pPr>
      <w:r w:rsidRPr="001346FF">
        <w:rPr>
          <w:lang w:eastAsia="en-GB"/>
        </w:rPr>
        <w:t xml:space="preserve">According to the Federal Law of 05.04.2013 N 44 “On the contract system in the procurement of goods, works and services for state and municipal needs”, when evaluating tender proposals the contracting authority considers </w:t>
      </w:r>
      <w:r w:rsidRPr="001346FF">
        <w:rPr>
          <w:i/>
          <w:lang w:eastAsia="en-GB"/>
        </w:rPr>
        <w:t>inter alia</w:t>
      </w:r>
      <w:r w:rsidRPr="001346FF">
        <w:rPr>
          <w:lang w:eastAsia="en-GB"/>
        </w:rPr>
        <w:t xml:space="preserve"> the criterion on “ecological characteristics of the tender object”. Accordingly, the Russian Federal legislation sets a basis for green public procurement, which motivates the potential applicants to shift towards more ecological production or provision of services. At the same time it is important to mention that the existence of legal basis does not ultimately mean that the authorities will use the possibility to practice green public procurement.</w:t>
      </w:r>
    </w:p>
    <w:p w:rsidR="00762C9B" w:rsidRPr="001346FF" w:rsidRDefault="00762C9B" w:rsidP="00762C9B">
      <w:pPr>
        <w:spacing w:after="120"/>
        <w:rPr>
          <w:lang w:eastAsia="en-GB"/>
        </w:rPr>
      </w:pPr>
      <w:r w:rsidRPr="001346FF">
        <w:rPr>
          <w:lang w:eastAsia="en-GB"/>
        </w:rPr>
        <w:t xml:space="preserve">In addition, when announcing tenders in the sector of natural monopolies, the legislation provides a possibility to sign additional contract on energy efficiency in regards to certain products and services, thus stimulating introduction of energy efficient technologies. </w:t>
      </w:r>
    </w:p>
    <w:p w:rsidR="00762C9B" w:rsidRPr="001346FF" w:rsidRDefault="00762C9B" w:rsidP="00762C9B">
      <w:pPr>
        <w:spacing w:after="120"/>
        <w:rPr>
          <w:lang w:eastAsia="en-GB"/>
        </w:rPr>
      </w:pPr>
      <w:r w:rsidRPr="001346FF">
        <w:rPr>
          <w:lang w:eastAsia="en-GB"/>
        </w:rPr>
        <w:t xml:space="preserve">Another economic incentive envisaged in the Federal legislation is application of decreased interest rates for loans issued for implementation of green projects or establishment of environment-friendly businesses, and for reduction of environmental risks of the insured activity. </w:t>
      </w:r>
      <w:r w:rsidRPr="001346FF">
        <w:rPr>
          <w:lang w:eastAsia="en-GB"/>
        </w:rPr>
        <w:lastRenderedPageBreak/>
        <w:t>According to the legislation</w:t>
      </w:r>
      <w:r w:rsidRPr="001346FF">
        <w:rPr>
          <w:rStyle w:val="FootnoteReference"/>
          <w:lang w:eastAsia="en-GB"/>
        </w:rPr>
        <w:footnoteReference w:id="52"/>
      </w:r>
      <w:r w:rsidRPr="001346FF">
        <w:rPr>
          <w:lang w:eastAsia="en-GB"/>
        </w:rPr>
        <w:t>, when calculating the insurance premiums, the insurer has rights to apply additional reduction factor on the basis of the level of safety at the dangerous object. This level of safety shall be as close as possible to the one applicable to the “green enterprises”. Even more substantial decreases in interest rates can be observed when applying provisions stipulated in the Law “On Environmental Protection”. According to the law, it is possible to introduce mandatory environmental insurance system. This clause provided grounds for adoption of Resolution</w:t>
      </w:r>
      <w:r w:rsidRPr="001346FF">
        <w:rPr>
          <w:rStyle w:val="FootnoteReference"/>
          <w:lang w:eastAsia="en-GB"/>
        </w:rPr>
        <w:footnoteReference w:id="53"/>
      </w:r>
      <w:r w:rsidRPr="001346FF">
        <w:rPr>
          <w:lang w:eastAsia="en-GB"/>
        </w:rPr>
        <w:t>, which provides that the insurer has the right to recalculate the premium with the application of discounts for the implementation of environmental protection measures that reduce environmental risks of the activity.</w:t>
      </w:r>
    </w:p>
    <w:p w:rsidR="00762C9B" w:rsidRPr="001346FF" w:rsidRDefault="00762C9B" w:rsidP="00762C9B">
      <w:pPr>
        <w:spacing w:after="120"/>
        <w:rPr>
          <w:lang w:eastAsia="en-GB"/>
        </w:rPr>
      </w:pPr>
      <w:r w:rsidRPr="001346FF">
        <w:rPr>
          <w:lang w:eastAsia="en-GB"/>
        </w:rPr>
        <w:t xml:space="preserve">As it goes to the provision of financing to activities related to environmental protection, there are few mechanisms available in the Russian Federation. The state-wide funding facility, as the one that was available during the operation of Federal Environmental Fund of Russia, is not currently available in Russian Federation; therefore the funding has to be acquired through special programmes. Some of the programmes are aimed towards stimulation of development in particular areas, like territory of Baikal, or sectors – e.g. development of water management in the Russian Federation, but there are also more general programmes  - programme on environmental protection – that provides both, special loans programmes and direct subsidies. Banks, as private institutions, also provide funding or support for implementation of environmental projects, introduction of green technologies etc. Such banks are, for example, Bank for Development and Foreign Economic Affairs (i.e. </w:t>
      </w:r>
      <w:proofErr w:type="spellStart"/>
      <w:r w:rsidRPr="001346FF">
        <w:rPr>
          <w:lang w:eastAsia="en-GB"/>
        </w:rPr>
        <w:t>Vnesheconombank</w:t>
      </w:r>
      <w:proofErr w:type="spellEnd"/>
      <w:r w:rsidRPr="001346FF">
        <w:rPr>
          <w:lang w:eastAsia="en-GB"/>
        </w:rPr>
        <w:t xml:space="preserve">), </w:t>
      </w:r>
      <w:proofErr w:type="spellStart"/>
      <w:r w:rsidRPr="001346FF">
        <w:rPr>
          <w:lang w:eastAsia="en-GB"/>
        </w:rPr>
        <w:t>Eximbank</w:t>
      </w:r>
      <w:proofErr w:type="spellEnd"/>
      <w:r w:rsidRPr="001346FF">
        <w:rPr>
          <w:lang w:eastAsia="en-GB"/>
        </w:rPr>
        <w:t xml:space="preserve"> of Russia etc. In addition, the funding can be attracted through a number of international programmes. </w:t>
      </w:r>
    </w:p>
    <w:p w:rsidR="00762C9B" w:rsidRPr="001346FF" w:rsidRDefault="00762C9B" w:rsidP="00762C9B">
      <w:pPr>
        <w:spacing w:after="120"/>
        <w:rPr>
          <w:lang w:eastAsia="en-GB"/>
        </w:rPr>
      </w:pPr>
      <w:r w:rsidRPr="001346FF">
        <w:rPr>
          <w:lang w:eastAsia="en-GB"/>
        </w:rPr>
        <w:t xml:space="preserve">In general it has to be noted that the legal framework of Russian Federation does not specifically address low polluting processes as a separate form of activities, thus there are no economic incentives envisaged specifically for low polluting operations. </w:t>
      </w:r>
    </w:p>
    <w:p w:rsidR="00762C9B" w:rsidRPr="001346FF" w:rsidRDefault="00762C9B" w:rsidP="00762C9B">
      <w:pPr>
        <w:spacing w:after="120"/>
        <w:rPr>
          <w:u w:val="single"/>
          <w:lang w:eastAsia="en-GB"/>
        </w:rPr>
      </w:pPr>
      <w:r w:rsidRPr="001346FF">
        <w:rPr>
          <w:u w:val="single"/>
          <w:lang w:eastAsia="en-GB"/>
        </w:rPr>
        <w:t>Reputational incentives</w:t>
      </w:r>
    </w:p>
    <w:p w:rsidR="00762C9B" w:rsidRPr="001346FF" w:rsidRDefault="00762C9B" w:rsidP="00762C9B">
      <w:pPr>
        <w:spacing w:after="120"/>
        <w:rPr>
          <w:lang w:eastAsia="en-GB"/>
        </w:rPr>
      </w:pPr>
      <w:r w:rsidRPr="001346FF">
        <w:rPr>
          <w:lang w:eastAsia="en-GB"/>
        </w:rPr>
        <w:t>Environmental ratings/ indices are actively used in a number of municipalities at regional level. As it goes to the federal level - rankings on transparency of environmental and energy reporting, as well as eco- energy efficiency, technical efficiency and effectiveness dynamics of private undertakings are being published on a regular basis by the Interfax Environmental and Energy Rating Agency</w:t>
      </w:r>
      <w:r w:rsidRPr="001346FF">
        <w:rPr>
          <w:rStyle w:val="FootnoteReference"/>
          <w:lang w:eastAsia="en-GB"/>
        </w:rPr>
        <w:footnoteReference w:id="54"/>
      </w:r>
      <w:r w:rsidRPr="001346FF">
        <w:rPr>
          <w:lang w:eastAsia="en-GB"/>
        </w:rPr>
        <w:t>. The leadership in such rankings does not give any preferences secured by the legislation – it serves a reputational purpose and informs public on environmental performance of the undertakings at issue, thus allowing the potential clients to choose the most suitable and/or environment-friendly company.</w:t>
      </w:r>
    </w:p>
    <w:p w:rsidR="00762C9B" w:rsidRPr="001346FF" w:rsidRDefault="00762C9B" w:rsidP="00762C9B">
      <w:pPr>
        <w:spacing w:after="120"/>
        <w:rPr>
          <w:lang w:eastAsia="en-GB"/>
        </w:rPr>
      </w:pPr>
      <w:r w:rsidRPr="001346FF">
        <w:rPr>
          <w:lang w:eastAsia="en-GB"/>
        </w:rPr>
        <w:t>Another type of reputational incentives operating in Russia is eco-labelling. There are several instruments regulating eco-labelling, as well as different types of schemes available for producers in Russia. Yet, before turning to a more detailed description of eco-labels, it is noteworthy to mention, that notwithstanding the existence of the system, they are not used widely in the Russian Federation.</w:t>
      </w:r>
    </w:p>
    <w:p w:rsidR="00762C9B" w:rsidRPr="001346FF" w:rsidRDefault="00762C9B" w:rsidP="00762C9B">
      <w:pPr>
        <w:spacing w:after="120"/>
        <w:rPr>
          <w:lang w:eastAsia="en-GB"/>
        </w:rPr>
      </w:pPr>
      <w:r w:rsidRPr="001346FF">
        <w:rPr>
          <w:lang w:eastAsia="en-GB"/>
        </w:rPr>
        <w:lastRenderedPageBreak/>
        <w:t xml:space="preserve">The first type refers to labelling regulated by the national standards on marking and labelling of products, which is derived from the international ISO standards, transposing them to national order. These standards governing labelling include </w:t>
      </w:r>
      <w:r w:rsidRPr="001346FF">
        <w:rPr>
          <w:i/>
          <w:lang w:eastAsia="en-GB"/>
        </w:rPr>
        <w:t>inter alia</w:t>
      </w:r>
      <w:r w:rsidRPr="001346FF">
        <w:rPr>
          <w:lang w:eastAsia="en-GB"/>
        </w:rPr>
        <w:t>:</w:t>
      </w:r>
    </w:p>
    <w:p w:rsidR="00762C9B" w:rsidRPr="001346FF" w:rsidRDefault="00762C9B" w:rsidP="005116EE">
      <w:pPr>
        <w:pStyle w:val="ListParagraph"/>
        <w:numPr>
          <w:ilvl w:val="0"/>
          <w:numId w:val="28"/>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ISO 14020 “Environmental Labelling: General Principles”;</w:t>
      </w:r>
    </w:p>
    <w:p w:rsidR="00762C9B" w:rsidRPr="001346FF" w:rsidRDefault="00762C9B" w:rsidP="005116EE">
      <w:pPr>
        <w:pStyle w:val="ListParagraph"/>
        <w:numPr>
          <w:ilvl w:val="0"/>
          <w:numId w:val="28"/>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ISO 14021 “Environmental Labels and Declarations: Self-Declaration Environmental Claims, Terms and Definitions”;</w:t>
      </w:r>
    </w:p>
    <w:p w:rsidR="00762C9B" w:rsidRPr="001346FF" w:rsidRDefault="00762C9B" w:rsidP="005116EE">
      <w:pPr>
        <w:pStyle w:val="ListParagraph"/>
        <w:numPr>
          <w:ilvl w:val="0"/>
          <w:numId w:val="28"/>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ISO 14025 “Environmental labels and declarations - Type III environmental declarations - Principles and procedures”.</w:t>
      </w:r>
    </w:p>
    <w:p w:rsidR="00762C9B" w:rsidRPr="001346FF" w:rsidRDefault="00762C9B" w:rsidP="00762C9B">
      <w:pPr>
        <w:spacing w:after="120"/>
        <w:rPr>
          <w:lang w:eastAsia="en-GB"/>
        </w:rPr>
      </w:pPr>
      <w:r w:rsidRPr="001346FF">
        <w:rPr>
          <w:lang w:eastAsia="en-GB"/>
        </w:rPr>
        <w:t>In addition to the labelling requirements stemming directly from the international ISO standards, there are also other national eco-labelling schemes. Some examples of such schemes are:</w:t>
      </w:r>
    </w:p>
    <w:p w:rsidR="00762C9B" w:rsidRPr="001346FF" w:rsidRDefault="00762C9B" w:rsidP="005116EE">
      <w:pPr>
        <w:pStyle w:val="ListParagraph"/>
        <w:numPr>
          <w:ilvl w:val="0"/>
          <w:numId w:val="29"/>
        </w:numPr>
        <w:spacing w:after="120" w:line="240" w:lineRule="auto"/>
        <w:rPr>
          <w:rFonts w:ascii="Arial" w:hAnsi="Arial" w:cs="Arial"/>
          <w:sz w:val="21"/>
          <w:szCs w:val="21"/>
          <w:lang w:val="en-GB" w:eastAsia="en-GB"/>
        </w:rPr>
      </w:pPr>
      <w:r w:rsidRPr="001346FF">
        <w:rPr>
          <w:sz w:val="21"/>
          <w:szCs w:val="21"/>
          <w:lang w:val="en-GB" w:eastAsia="en-GB"/>
        </w:rPr>
        <w:t>“</w:t>
      </w:r>
      <w:r w:rsidRPr="001346FF">
        <w:rPr>
          <w:rFonts w:ascii="Arial" w:hAnsi="Arial" w:cs="Arial"/>
          <w:sz w:val="21"/>
          <w:szCs w:val="21"/>
          <w:lang w:val="en-GB" w:eastAsia="en-GB"/>
        </w:rPr>
        <w:t xml:space="preserve">Vitality leaf”- life cycle eco-labelling programme based on requirements of international ISO 14024 standard; </w:t>
      </w:r>
    </w:p>
    <w:tbl>
      <w:tblPr>
        <w:tblW w:w="0" w:type="auto"/>
        <w:tblLook w:val="04A0" w:firstRow="1" w:lastRow="0" w:firstColumn="1" w:lastColumn="0" w:noHBand="0" w:noVBand="1"/>
      </w:tblPr>
      <w:tblGrid>
        <w:gridCol w:w="4643"/>
        <w:gridCol w:w="4644"/>
      </w:tblGrid>
      <w:tr w:rsidR="00762C9B" w:rsidRPr="001346FF" w:rsidTr="001346FF">
        <w:tc>
          <w:tcPr>
            <w:tcW w:w="4643" w:type="dxa"/>
            <w:shd w:val="clear" w:color="auto" w:fill="auto"/>
          </w:tcPr>
          <w:p w:rsidR="00762C9B" w:rsidRPr="001346FF" w:rsidRDefault="00762C9B" w:rsidP="001346FF">
            <w:pPr>
              <w:spacing w:after="120"/>
              <w:jc w:val="center"/>
              <w:rPr>
                <w:rFonts w:cs="Arial"/>
                <w:lang w:eastAsia="en-GB"/>
              </w:rPr>
            </w:pPr>
          </w:p>
          <w:p w:rsidR="00762C9B" w:rsidRPr="001346FF" w:rsidRDefault="00762C9B" w:rsidP="001346FF">
            <w:pPr>
              <w:spacing w:after="120"/>
              <w:jc w:val="center"/>
              <w:rPr>
                <w:rFonts w:cs="Arial"/>
                <w:lang w:eastAsia="en-GB"/>
              </w:rPr>
            </w:pPr>
          </w:p>
          <w:p w:rsidR="00762C9B" w:rsidRPr="001346FF" w:rsidRDefault="00762C9B" w:rsidP="001346FF">
            <w:pPr>
              <w:spacing w:after="120"/>
              <w:jc w:val="center"/>
              <w:rPr>
                <w:rFonts w:cs="Arial"/>
                <w:lang w:eastAsia="en-GB"/>
              </w:rPr>
            </w:pPr>
          </w:p>
          <w:p w:rsidR="00762C9B" w:rsidRPr="001346FF" w:rsidRDefault="00762C9B" w:rsidP="001346FF">
            <w:pPr>
              <w:spacing w:after="120"/>
              <w:jc w:val="center"/>
              <w:rPr>
                <w:rFonts w:cs="Arial"/>
                <w:lang w:eastAsia="en-GB"/>
              </w:rPr>
            </w:pPr>
          </w:p>
          <w:p w:rsidR="00762C9B" w:rsidRPr="001346FF" w:rsidRDefault="00E06DC4" w:rsidP="001346FF">
            <w:pPr>
              <w:spacing w:after="120"/>
              <w:jc w:val="center"/>
              <w:rPr>
                <w:rFonts w:cs="Arial"/>
                <w:lang w:eastAsia="en-GB"/>
              </w:rPr>
            </w:pPr>
            <w:r>
              <w:rPr>
                <w:rFonts w:cs="Arial"/>
                <w:noProof/>
                <w:lang w:eastAsia="en-GB"/>
              </w:rPr>
              <w:drawing>
                <wp:anchor distT="95250" distB="95250" distL="180975" distR="180975" simplePos="0" relativeHeight="251657728" behindDoc="0" locked="0" layoutInCell="1" allowOverlap="0">
                  <wp:simplePos x="0" y="0"/>
                  <wp:positionH relativeFrom="column">
                    <wp:posOffset>805180</wp:posOffset>
                  </wp:positionH>
                  <wp:positionV relativeFrom="line">
                    <wp:posOffset>-993140</wp:posOffset>
                  </wp:positionV>
                  <wp:extent cx="981075" cy="981075"/>
                  <wp:effectExtent l="19050" t="0" r="9525" b="0"/>
                  <wp:wrapSquare wrapText="bothSides"/>
                  <wp:docPr id="9" name="Picture 1" descr="Description: Ecolabel «Vitality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colabel «Vitality leaf»"/>
                          <pic:cNvPicPr>
                            <a:picLocks noChangeAspect="1" noChangeArrowheads="1"/>
                          </pic:cNvPicPr>
                        </pic:nvPicPr>
                        <pic:blipFill>
                          <a:blip r:embed="rId15" cstate="print"/>
                          <a:srcRect/>
                          <a:stretch>
                            <a:fillRect/>
                          </a:stretch>
                        </pic:blipFill>
                        <pic:spPr bwMode="auto">
                          <a:xfrm>
                            <a:off x="0" y="0"/>
                            <a:ext cx="981075" cy="981075"/>
                          </a:xfrm>
                          <a:prstGeom prst="rect">
                            <a:avLst/>
                          </a:prstGeom>
                          <a:noFill/>
                          <a:ln w="9525">
                            <a:noFill/>
                            <a:miter lim="800000"/>
                            <a:headEnd/>
                            <a:tailEnd/>
                          </a:ln>
                        </pic:spPr>
                      </pic:pic>
                    </a:graphicData>
                  </a:graphic>
                </wp:anchor>
              </w:drawing>
            </w:r>
          </w:p>
          <w:p w:rsidR="00762C9B" w:rsidRPr="001346FF" w:rsidRDefault="00762C9B" w:rsidP="001346FF">
            <w:pPr>
              <w:spacing w:after="120"/>
              <w:jc w:val="center"/>
              <w:rPr>
                <w:rFonts w:cs="Arial"/>
                <w:b/>
                <w:i/>
                <w:lang w:eastAsia="en-GB"/>
              </w:rPr>
            </w:pPr>
            <w:r w:rsidRPr="001346FF">
              <w:rPr>
                <w:rFonts w:cs="Arial"/>
                <w:b/>
                <w:i/>
                <w:lang w:eastAsia="en-GB"/>
              </w:rPr>
              <w:t>Figure 1: “Vitality Leaf” eco-label</w:t>
            </w:r>
          </w:p>
          <w:p w:rsidR="00762C9B" w:rsidRPr="001346FF" w:rsidRDefault="00762C9B" w:rsidP="001346FF">
            <w:pPr>
              <w:spacing w:after="120"/>
              <w:jc w:val="center"/>
              <w:rPr>
                <w:rFonts w:cs="Arial"/>
                <w:lang w:eastAsia="en-GB"/>
              </w:rPr>
            </w:pPr>
          </w:p>
        </w:tc>
        <w:tc>
          <w:tcPr>
            <w:tcW w:w="4644" w:type="dxa"/>
            <w:shd w:val="clear" w:color="auto" w:fill="auto"/>
          </w:tcPr>
          <w:p w:rsidR="00762C9B" w:rsidRPr="001346FF" w:rsidRDefault="00762C9B" w:rsidP="001346FF">
            <w:pPr>
              <w:spacing w:after="120"/>
              <w:rPr>
                <w:rFonts w:cs="Arial"/>
                <w:szCs w:val="21"/>
                <w:lang w:eastAsia="en-GB"/>
              </w:rPr>
            </w:pPr>
            <w:r w:rsidRPr="001346FF">
              <w:rPr>
                <w:rFonts w:cs="Arial"/>
                <w:szCs w:val="21"/>
                <w:lang w:eastAsia="en-GB"/>
              </w:rPr>
              <w:t>Criteria for eco-labelling under the “Vitality Leaf” include the following specific areas:</w:t>
            </w:r>
          </w:p>
          <w:p w:rsidR="00762C9B" w:rsidRPr="001346FF" w:rsidRDefault="00762C9B" w:rsidP="005116EE">
            <w:pPr>
              <w:pStyle w:val="ListParagraph"/>
              <w:numPr>
                <w:ilvl w:val="0"/>
                <w:numId w:val="30"/>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The level of environmental pollution.</w:t>
            </w:r>
          </w:p>
          <w:p w:rsidR="00762C9B" w:rsidRPr="001346FF" w:rsidRDefault="00762C9B" w:rsidP="005116EE">
            <w:pPr>
              <w:pStyle w:val="ListParagraph"/>
              <w:numPr>
                <w:ilvl w:val="0"/>
                <w:numId w:val="30"/>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The level of safety for human’s health.</w:t>
            </w:r>
          </w:p>
          <w:p w:rsidR="00762C9B" w:rsidRPr="001346FF" w:rsidRDefault="00762C9B" w:rsidP="005116EE">
            <w:pPr>
              <w:pStyle w:val="ListParagraph"/>
              <w:numPr>
                <w:ilvl w:val="0"/>
                <w:numId w:val="30"/>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The content of recyclable/recycled components.</w:t>
            </w:r>
          </w:p>
          <w:p w:rsidR="00762C9B" w:rsidRPr="001346FF" w:rsidRDefault="00762C9B" w:rsidP="005116EE">
            <w:pPr>
              <w:pStyle w:val="ListParagraph"/>
              <w:numPr>
                <w:ilvl w:val="0"/>
                <w:numId w:val="30"/>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Rational use of nature resources during the product’ lifecycle.</w:t>
            </w:r>
          </w:p>
          <w:p w:rsidR="00762C9B" w:rsidRPr="001346FF" w:rsidRDefault="00762C9B" w:rsidP="005116EE">
            <w:pPr>
              <w:pStyle w:val="ListParagraph"/>
              <w:numPr>
                <w:ilvl w:val="0"/>
                <w:numId w:val="30"/>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Use of renewable resources during the product’ lifecycle.</w:t>
            </w:r>
          </w:p>
          <w:p w:rsidR="00762C9B" w:rsidRPr="001346FF" w:rsidRDefault="00762C9B" w:rsidP="005116EE">
            <w:pPr>
              <w:pStyle w:val="ListParagraph"/>
              <w:numPr>
                <w:ilvl w:val="0"/>
                <w:numId w:val="30"/>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Waste management</w:t>
            </w:r>
          </w:p>
          <w:p w:rsidR="00762C9B" w:rsidRPr="001346FF" w:rsidRDefault="00762C9B" w:rsidP="005116EE">
            <w:pPr>
              <w:pStyle w:val="ListParagraph"/>
              <w:numPr>
                <w:ilvl w:val="0"/>
                <w:numId w:val="30"/>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Using of the best available technologies.</w:t>
            </w:r>
          </w:p>
        </w:tc>
      </w:tr>
    </w:tbl>
    <w:p w:rsidR="00762C9B" w:rsidRPr="001346FF" w:rsidRDefault="00762C9B" w:rsidP="00762C9B">
      <w:pPr>
        <w:spacing w:after="120"/>
        <w:rPr>
          <w:lang w:eastAsia="en-GB"/>
        </w:rPr>
      </w:pPr>
    </w:p>
    <w:p w:rsidR="00762C9B" w:rsidRPr="001346FF" w:rsidRDefault="00762C9B" w:rsidP="005116EE">
      <w:pPr>
        <w:pStyle w:val="ListParagraph"/>
        <w:numPr>
          <w:ilvl w:val="0"/>
          <w:numId w:val="29"/>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“Ecological Products” – the certification system that evaluates products for compliance with standards on safety levels set to products for infant feeding;</w:t>
      </w:r>
    </w:p>
    <w:p w:rsidR="00762C9B" w:rsidRPr="001346FF" w:rsidRDefault="00E06DC4" w:rsidP="00762C9B">
      <w:pPr>
        <w:spacing w:after="120"/>
        <w:jc w:val="center"/>
        <w:rPr>
          <w:rFonts w:cs="Arial"/>
          <w:lang w:eastAsia="en-GB"/>
        </w:rPr>
      </w:pPr>
      <w:r>
        <w:rPr>
          <w:rFonts w:cs="Arial"/>
          <w:noProof/>
          <w:lang w:eastAsia="en-GB"/>
        </w:rPr>
        <w:drawing>
          <wp:inline distT="0" distB="0" distL="0" distR="0">
            <wp:extent cx="1733550" cy="1739900"/>
            <wp:effectExtent l="19050" t="0" r="0" b="0"/>
            <wp:docPr id="8" name="Picture 4" descr="Description: экологич_этикетка_правиль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экологич_этикетка_правильная"/>
                    <pic:cNvPicPr>
                      <a:picLocks noChangeAspect="1" noChangeArrowheads="1"/>
                    </pic:cNvPicPr>
                  </pic:nvPicPr>
                  <pic:blipFill>
                    <a:blip r:embed="rId16" cstate="print">
                      <a:clrChange>
                        <a:clrFrom>
                          <a:srgbClr val="FFFFFF"/>
                        </a:clrFrom>
                        <a:clrTo>
                          <a:srgbClr val="FFFFFF">
                            <a:alpha val="0"/>
                          </a:srgbClr>
                        </a:clrTo>
                      </a:clrChange>
                    </a:blip>
                    <a:srcRect/>
                    <a:stretch>
                      <a:fillRect/>
                    </a:stretch>
                  </pic:blipFill>
                  <pic:spPr bwMode="auto">
                    <a:xfrm>
                      <a:off x="0" y="0"/>
                      <a:ext cx="1733550" cy="1739900"/>
                    </a:xfrm>
                    <a:prstGeom prst="rect">
                      <a:avLst/>
                    </a:prstGeom>
                    <a:noFill/>
                    <a:ln w="9525">
                      <a:noFill/>
                      <a:miter lim="800000"/>
                      <a:headEnd/>
                      <a:tailEnd/>
                    </a:ln>
                  </pic:spPr>
                </pic:pic>
              </a:graphicData>
            </a:graphic>
          </wp:inline>
        </w:drawing>
      </w:r>
    </w:p>
    <w:p w:rsidR="00762C9B" w:rsidRPr="001346FF" w:rsidRDefault="00762C9B" w:rsidP="00762C9B">
      <w:pPr>
        <w:spacing w:after="120"/>
        <w:jc w:val="center"/>
        <w:rPr>
          <w:rFonts w:cs="Arial"/>
          <w:b/>
          <w:i/>
          <w:lang w:eastAsia="en-GB"/>
        </w:rPr>
      </w:pPr>
      <w:r w:rsidRPr="001346FF">
        <w:rPr>
          <w:rFonts w:cs="Arial"/>
          <w:b/>
          <w:i/>
          <w:lang w:eastAsia="en-GB"/>
        </w:rPr>
        <w:t>Figure 2: “Ecological Product” eco-label</w:t>
      </w:r>
    </w:p>
    <w:p w:rsidR="00762C9B" w:rsidRPr="001346FF" w:rsidRDefault="00762C9B" w:rsidP="00762C9B">
      <w:pPr>
        <w:spacing w:after="120"/>
        <w:rPr>
          <w:rFonts w:cs="Arial"/>
          <w:lang w:eastAsia="en-GB"/>
        </w:rPr>
      </w:pPr>
    </w:p>
    <w:p w:rsidR="00762C9B" w:rsidRPr="001346FF" w:rsidRDefault="00762C9B" w:rsidP="005116EE">
      <w:pPr>
        <w:pStyle w:val="ListParagraph"/>
        <w:numPr>
          <w:ilvl w:val="0"/>
          <w:numId w:val="29"/>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“Clear Dew” - “ЧИСТЫЕ РОСЫ” – development of “BIO” direction includes the following aspects: ecological and biodynamic agriculture and natural resources, responsible market of Bio-products, environmental certification, environmental consulting, community for bio-manufacturers, and government support for environmental industry.</w:t>
      </w:r>
    </w:p>
    <w:p w:rsidR="00762C9B" w:rsidRPr="001346FF" w:rsidRDefault="00762C9B" w:rsidP="00762C9B">
      <w:pPr>
        <w:spacing w:after="120"/>
        <w:jc w:val="center"/>
        <w:rPr>
          <w:lang w:eastAsia="en-GB"/>
        </w:rPr>
      </w:pPr>
      <w:r w:rsidRPr="001346FF">
        <w:rPr>
          <w:lang w:eastAsia="en-GB"/>
        </w:rPr>
        <w:lastRenderedPageBreak/>
        <w:t xml:space="preserve">              </w:t>
      </w:r>
      <w:r w:rsidR="00E06DC4">
        <w:rPr>
          <w:noProof/>
          <w:lang w:eastAsia="en-GB"/>
        </w:rPr>
        <w:drawing>
          <wp:inline distT="0" distB="0" distL="0" distR="0">
            <wp:extent cx="2381250" cy="1781175"/>
            <wp:effectExtent l="19050" t="0" r="0" b="0"/>
            <wp:docPr id="2" name="Picture 2" descr="Description: http://www.biodynamic.ru/pics/12539285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www.biodynamic.ru/pics/1253928549.jpg"/>
                    <pic:cNvPicPr>
                      <a:picLocks noChangeAspect="1" noChangeArrowheads="1"/>
                    </pic:cNvPicPr>
                  </pic:nvPicPr>
                  <pic:blipFill>
                    <a:blip r:embed="rId17" cstate="print"/>
                    <a:srcRect/>
                    <a:stretch>
                      <a:fillRect/>
                    </a:stretch>
                  </pic:blipFill>
                  <pic:spPr bwMode="auto">
                    <a:xfrm>
                      <a:off x="0" y="0"/>
                      <a:ext cx="2381250" cy="1781175"/>
                    </a:xfrm>
                    <a:prstGeom prst="rect">
                      <a:avLst/>
                    </a:prstGeom>
                    <a:noFill/>
                    <a:ln w="9525">
                      <a:noFill/>
                      <a:miter lim="800000"/>
                      <a:headEnd/>
                      <a:tailEnd/>
                    </a:ln>
                  </pic:spPr>
                </pic:pic>
              </a:graphicData>
            </a:graphic>
          </wp:inline>
        </w:drawing>
      </w:r>
    </w:p>
    <w:p w:rsidR="00762C9B" w:rsidRPr="001346FF" w:rsidRDefault="00762C9B" w:rsidP="00762C9B">
      <w:pPr>
        <w:spacing w:after="120"/>
        <w:jc w:val="center"/>
        <w:rPr>
          <w:b/>
          <w:i/>
          <w:lang w:eastAsia="en-GB"/>
        </w:rPr>
      </w:pPr>
      <w:r w:rsidRPr="001346FF">
        <w:rPr>
          <w:b/>
          <w:i/>
          <w:lang w:eastAsia="en-GB"/>
        </w:rPr>
        <w:t>Figure 3: “Clear Dew” eco-label</w:t>
      </w:r>
    </w:p>
    <w:p w:rsidR="00762C9B" w:rsidRPr="001346FF" w:rsidRDefault="00762C9B" w:rsidP="00762C9B">
      <w:pPr>
        <w:spacing w:after="120"/>
        <w:jc w:val="center"/>
        <w:rPr>
          <w:b/>
          <w:i/>
          <w:lang w:eastAsia="en-GB"/>
        </w:rPr>
      </w:pPr>
    </w:p>
    <w:p w:rsidR="00762C9B" w:rsidRPr="001346FF" w:rsidRDefault="00762C9B" w:rsidP="00762C9B">
      <w:pPr>
        <w:spacing w:after="120"/>
        <w:rPr>
          <w:lang w:eastAsia="en-GB"/>
        </w:rPr>
      </w:pPr>
      <w:r w:rsidRPr="001346FF">
        <w:rPr>
          <w:lang w:eastAsia="en-GB"/>
        </w:rPr>
        <w:t>In addition to eco-labelling related ISO standards in the Russian Federation, undertaking can also acquire ISO 14001 “Environmental management” certificate. Yet, taking into consideration that companies do not receive any privileged treatment that would be set by the legislation if they have the certificate, there are less than 500 companies holding certificate in accordance with ISO 14001 standard. The similar situation applies to ISO 14040 (“Environmental management - Life cycle assessment - Principles and framework”) and ISO 14044 (“Environmental management - Life cycle assessment - Requirements and guidelines”).</w:t>
      </w:r>
    </w:p>
    <w:p w:rsidR="00762C9B" w:rsidRPr="001346FF" w:rsidRDefault="00762C9B" w:rsidP="00762C9B">
      <w:pPr>
        <w:spacing w:after="120"/>
        <w:rPr>
          <w:lang w:eastAsia="en-GB"/>
        </w:rPr>
      </w:pPr>
    </w:p>
    <w:p w:rsidR="00762C9B" w:rsidRPr="001346FF" w:rsidRDefault="00762C9B" w:rsidP="00762C9B">
      <w:pPr>
        <w:pStyle w:val="Heading2"/>
      </w:pPr>
      <w:bookmarkStart w:id="48" w:name="_Toc384307264"/>
      <w:bookmarkStart w:id="49" w:name="_Toc387396930"/>
      <w:r w:rsidRPr="001346FF">
        <w:t>Ukraine</w:t>
      </w:r>
      <w:bookmarkEnd w:id="48"/>
      <w:bookmarkEnd w:id="49"/>
    </w:p>
    <w:p w:rsidR="00762C9B" w:rsidRPr="001346FF" w:rsidRDefault="00762C9B" w:rsidP="00762C9B">
      <w:pPr>
        <w:spacing w:after="120"/>
        <w:rPr>
          <w:lang w:eastAsia="en-GB"/>
        </w:rPr>
      </w:pPr>
      <w:r w:rsidRPr="001346FF">
        <w:rPr>
          <w:lang w:eastAsia="en-GB"/>
        </w:rPr>
        <w:t>Environmental policy in Ukraine is based on the several provisions of the Constitution of Ukraine. They are:</w:t>
      </w:r>
    </w:p>
    <w:p w:rsidR="00762C9B" w:rsidRPr="001346FF" w:rsidRDefault="00762C9B" w:rsidP="005116EE">
      <w:pPr>
        <w:pStyle w:val="ListParagraph"/>
        <w:numPr>
          <w:ilvl w:val="0"/>
          <w:numId w:val="28"/>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right to ensure ecological safety in Ukraine,</w:t>
      </w:r>
    </w:p>
    <w:p w:rsidR="00762C9B" w:rsidRPr="001346FF" w:rsidRDefault="00762C9B" w:rsidP="005116EE">
      <w:pPr>
        <w:pStyle w:val="ListParagraph"/>
        <w:numPr>
          <w:ilvl w:val="0"/>
          <w:numId w:val="28"/>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right of citizens to healthy and safe environment, and</w:t>
      </w:r>
    </w:p>
    <w:p w:rsidR="00762C9B" w:rsidRPr="001346FF" w:rsidRDefault="00762C9B" w:rsidP="005116EE">
      <w:pPr>
        <w:pStyle w:val="ListParagraph"/>
        <w:numPr>
          <w:ilvl w:val="0"/>
          <w:numId w:val="28"/>
        </w:numPr>
        <w:spacing w:after="120" w:line="240" w:lineRule="auto"/>
        <w:rPr>
          <w:rFonts w:ascii="Arial" w:hAnsi="Arial" w:cs="Arial"/>
          <w:sz w:val="21"/>
          <w:szCs w:val="21"/>
          <w:lang w:val="en-GB" w:eastAsia="en-GB"/>
        </w:rPr>
      </w:pPr>
      <w:proofErr w:type="gramStart"/>
      <w:r w:rsidRPr="001346FF">
        <w:rPr>
          <w:rFonts w:ascii="Arial" w:hAnsi="Arial" w:cs="Arial"/>
          <w:sz w:val="21"/>
          <w:szCs w:val="21"/>
          <w:lang w:val="en-GB" w:eastAsia="en-GB"/>
        </w:rPr>
        <w:t>right</w:t>
      </w:r>
      <w:proofErr w:type="gramEnd"/>
      <w:r w:rsidRPr="001346FF">
        <w:rPr>
          <w:rFonts w:ascii="Arial" w:hAnsi="Arial" w:cs="Arial"/>
          <w:sz w:val="21"/>
          <w:szCs w:val="21"/>
          <w:lang w:val="en-GB" w:eastAsia="en-GB"/>
        </w:rPr>
        <w:t xml:space="preserve"> to free access to information regarding the environment .</w:t>
      </w:r>
    </w:p>
    <w:p w:rsidR="00762C9B" w:rsidRPr="001346FF" w:rsidRDefault="00762C9B" w:rsidP="00762C9B">
      <w:pPr>
        <w:spacing w:after="120"/>
        <w:rPr>
          <w:lang w:eastAsia="en-GB"/>
        </w:rPr>
      </w:pPr>
      <w:r w:rsidRPr="001346FF">
        <w:rPr>
          <w:lang w:eastAsia="en-GB"/>
        </w:rPr>
        <w:t xml:space="preserve">The framework Law </w:t>
      </w:r>
      <w:proofErr w:type="gramStart"/>
      <w:r w:rsidRPr="001346FF">
        <w:rPr>
          <w:lang w:eastAsia="en-GB"/>
        </w:rPr>
        <w:t>On</w:t>
      </w:r>
      <w:proofErr w:type="gramEnd"/>
      <w:r w:rsidRPr="001346FF">
        <w:rPr>
          <w:lang w:eastAsia="en-GB"/>
        </w:rPr>
        <w:t xml:space="preserve"> Environmental Protection was adopted in 1991 and has been amended a number of times since then. The Law regulates different relations in the sphere of environmental protection, use and restoration of natural resources, ensuring ecological safety, prevention and abatement of  adverse impact of economic activity on environment, conservation of natural resources, living nature genetic fund, landscapes and other natural complexes, unique territories and objects, connected with historical-cultural heritage. As a follow-up, the Law </w:t>
      </w:r>
      <w:proofErr w:type="gramStart"/>
      <w:r w:rsidRPr="001346FF">
        <w:rPr>
          <w:lang w:eastAsia="en-GB"/>
        </w:rPr>
        <w:t>On</w:t>
      </w:r>
      <w:proofErr w:type="gramEnd"/>
      <w:r w:rsidRPr="001346FF">
        <w:rPr>
          <w:lang w:eastAsia="en-GB"/>
        </w:rPr>
        <w:t xml:space="preserve"> Air Protection (1992, new version dated 2001), the Water Code (1995), and Law On Waste (1998) were subsequently enacted to create regulatory frameworks for each of those aspects. </w:t>
      </w:r>
    </w:p>
    <w:p w:rsidR="00762C9B" w:rsidRPr="001346FF" w:rsidRDefault="00762C9B" w:rsidP="00762C9B">
      <w:pPr>
        <w:spacing w:after="120"/>
        <w:rPr>
          <w:lang w:eastAsia="en-GB"/>
        </w:rPr>
      </w:pPr>
      <w:r w:rsidRPr="001346FF">
        <w:rPr>
          <w:lang w:eastAsia="en-GB"/>
        </w:rPr>
        <w:t xml:space="preserve">Regulatory requirements on air emissions are primarily stipulated in the Law </w:t>
      </w:r>
      <w:proofErr w:type="gramStart"/>
      <w:r w:rsidRPr="001346FF">
        <w:rPr>
          <w:lang w:eastAsia="en-GB"/>
        </w:rPr>
        <w:t>On</w:t>
      </w:r>
      <w:proofErr w:type="gramEnd"/>
      <w:r w:rsidRPr="001346FF">
        <w:rPr>
          <w:lang w:eastAsia="en-GB"/>
        </w:rPr>
        <w:t xml:space="preserve"> Air protection. Along with the framework legal act – Law </w:t>
      </w:r>
      <w:proofErr w:type="gramStart"/>
      <w:r w:rsidRPr="001346FF">
        <w:rPr>
          <w:lang w:eastAsia="en-GB"/>
        </w:rPr>
        <w:t>On</w:t>
      </w:r>
      <w:proofErr w:type="gramEnd"/>
      <w:r w:rsidRPr="001346FF">
        <w:rPr>
          <w:lang w:eastAsia="en-GB"/>
        </w:rPr>
        <w:t xml:space="preserve"> Environmental Protection – it introduces a system of standards and norms governing emission of pollutants from the commercial activity. The focus is on "end-of-pipe" emission treatment rather than on the analysis of the production process as it is and pollution prevention through improvements of production techniques. The law provides for issuance of permits for emission of pollutants into air, wastewater discharge into water bodies, and placement of waste. Such standards identify permissible levels of discharges by companies </w:t>
      </w:r>
      <w:r w:rsidRPr="001346FF">
        <w:rPr>
          <w:lang w:eastAsia="en-GB"/>
        </w:rPr>
        <w:lastRenderedPageBreak/>
        <w:t>of particular pollutants and establish a schedule of payments for discharges of pollutants within these established limits.</w:t>
      </w:r>
      <w:r w:rsidRPr="001346FF">
        <w:rPr>
          <w:rStyle w:val="FootnoteReference"/>
          <w:lang w:eastAsia="en-GB"/>
        </w:rPr>
        <w:footnoteReference w:id="55"/>
      </w:r>
    </w:p>
    <w:p w:rsidR="00762C9B" w:rsidRPr="001346FF" w:rsidRDefault="00762C9B" w:rsidP="00762C9B">
      <w:pPr>
        <w:spacing w:after="120"/>
        <w:rPr>
          <w:lang w:eastAsia="en-GB"/>
        </w:rPr>
      </w:pPr>
      <w:r w:rsidRPr="001346FF">
        <w:rPr>
          <w:lang w:eastAsia="en-GB"/>
        </w:rPr>
        <w:t xml:space="preserve">In the recent years the attempts were made to amend the legislation and introduce the technique-based approach to environmental regulation. Accordingly, the current legislation is mostly focused on a provision of solid regulatory basis for compliance-requiring provisions for environmental protection, paying less attention to providing a legal basis for introduction of instruments of voluntary nature. Some of the existing and also planned incentives are described in the paragraphs below. </w:t>
      </w:r>
    </w:p>
    <w:p w:rsidR="00762C9B" w:rsidRPr="001346FF" w:rsidRDefault="00762C9B" w:rsidP="00762C9B">
      <w:pPr>
        <w:keepNext/>
        <w:keepLines/>
        <w:spacing w:after="120"/>
        <w:rPr>
          <w:u w:val="single"/>
          <w:lang w:eastAsia="en-GB"/>
        </w:rPr>
      </w:pPr>
      <w:r w:rsidRPr="001346FF">
        <w:rPr>
          <w:u w:val="single"/>
          <w:lang w:eastAsia="en-GB"/>
        </w:rPr>
        <w:t>Administrative incentives</w:t>
      </w:r>
    </w:p>
    <w:p w:rsidR="00762C9B" w:rsidRPr="001346FF" w:rsidRDefault="00762C9B" w:rsidP="00762C9B">
      <w:pPr>
        <w:spacing w:after="120"/>
        <w:rPr>
          <w:lang w:eastAsia="en-GB"/>
        </w:rPr>
      </w:pPr>
      <w:r w:rsidRPr="001346FF">
        <w:rPr>
          <w:lang w:eastAsia="en-GB"/>
        </w:rPr>
        <w:t xml:space="preserve">The frequency of environmental inspections for operator performing polluting activity in Ukraine depends on the environmental risk level of the activity at issue. There operator’s activities can be divided in three risk levels – high, medium, and low – which are defined in the legislation. The inspections for high risk activities are carried out not more than once a year, medium risk – not more than once every two years, and for low risk – not more than once every three years. </w:t>
      </w:r>
    </w:p>
    <w:p w:rsidR="00762C9B" w:rsidRPr="001346FF" w:rsidRDefault="00762C9B" w:rsidP="00762C9B">
      <w:pPr>
        <w:spacing w:after="120"/>
        <w:rPr>
          <w:lang w:eastAsia="en-GB"/>
        </w:rPr>
      </w:pPr>
      <w:r w:rsidRPr="001346FF">
        <w:rPr>
          <w:lang w:eastAsia="en-GB"/>
        </w:rPr>
        <w:t xml:space="preserve">Additional administrative measure practiced in the Ukraine is the establishment of a list of activities that produce volume of air emissions exceeding the established values, prescribed in the legal acts. The operators of such activities are subject to reporting obligations in accordance with 2-TP (air) statistical form. </w:t>
      </w:r>
    </w:p>
    <w:p w:rsidR="00762C9B" w:rsidRPr="001346FF" w:rsidRDefault="00762C9B" w:rsidP="00516EF9">
      <w:pPr>
        <w:keepNext/>
        <w:keepLines/>
        <w:spacing w:after="120"/>
        <w:rPr>
          <w:u w:val="single"/>
          <w:lang w:eastAsia="en-GB"/>
        </w:rPr>
      </w:pPr>
      <w:r w:rsidRPr="001346FF">
        <w:rPr>
          <w:u w:val="single"/>
          <w:lang w:eastAsia="en-GB"/>
        </w:rPr>
        <w:t>Economic and fiscal incentives</w:t>
      </w:r>
    </w:p>
    <w:p w:rsidR="00762C9B" w:rsidRPr="001346FF" w:rsidRDefault="00762C9B" w:rsidP="00516EF9">
      <w:pPr>
        <w:keepNext/>
        <w:keepLines/>
        <w:spacing w:after="120"/>
        <w:rPr>
          <w:rStyle w:val="hps"/>
        </w:rPr>
      </w:pPr>
      <w:r w:rsidRPr="001346FF">
        <w:rPr>
          <w:lang w:eastAsia="en-GB"/>
        </w:rPr>
        <w:t xml:space="preserve">As to the measures of fiscal nature, according to the legislation </w:t>
      </w:r>
      <w:r w:rsidRPr="001346FF">
        <w:rPr>
          <w:rStyle w:val="hps"/>
        </w:rPr>
        <w:t>the tax is levied</w:t>
      </w:r>
      <w:r w:rsidRPr="001346FF">
        <w:t xml:space="preserve"> </w:t>
      </w:r>
      <w:r w:rsidRPr="001346FF">
        <w:rPr>
          <w:rStyle w:val="hps"/>
        </w:rPr>
        <w:t>on emissions</w:t>
      </w:r>
      <w:r w:rsidRPr="001346FF">
        <w:t xml:space="preserve"> </w:t>
      </w:r>
      <w:r w:rsidRPr="001346FF">
        <w:rPr>
          <w:rStyle w:val="hps"/>
        </w:rPr>
        <w:t>of pollutants</w:t>
      </w:r>
      <w:r w:rsidRPr="001346FF">
        <w:t xml:space="preserve"> </w:t>
      </w:r>
      <w:r w:rsidRPr="001346FF">
        <w:rPr>
          <w:rStyle w:val="hps"/>
        </w:rPr>
        <w:t>into the atmosphere.</w:t>
      </w:r>
      <w:r w:rsidRPr="001346FF">
        <w:t xml:space="preserve"> </w:t>
      </w:r>
      <w:r w:rsidRPr="001346FF">
        <w:rPr>
          <w:rStyle w:val="hps"/>
        </w:rPr>
        <w:t>Environmental tax</w:t>
      </w:r>
      <w:r w:rsidRPr="001346FF">
        <w:t xml:space="preserve"> </w:t>
      </w:r>
      <w:r w:rsidRPr="001346FF">
        <w:rPr>
          <w:rStyle w:val="hps"/>
        </w:rPr>
        <w:t>rates</w:t>
      </w:r>
      <w:r w:rsidRPr="001346FF">
        <w:t xml:space="preserve"> </w:t>
      </w:r>
      <w:r w:rsidRPr="001346FF">
        <w:rPr>
          <w:rStyle w:val="hps"/>
        </w:rPr>
        <w:t>are set</w:t>
      </w:r>
      <w:r w:rsidRPr="001346FF">
        <w:t xml:space="preserve"> </w:t>
      </w:r>
      <w:r w:rsidRPr="001346FF">
        <w:rPr>
          <w:rStyle w:val="hps"/>
        </w:rPr>
        <w:t>depending on the</w:t>
      </w:r>
      <w:r w:rsidRPr="001346FF">
        <w:t xml:space="preserve"> </w:t>
      </w:r>
      <w:r w:rsidRPr="001346FF">
        <w:rPr>
          <w:rStyle w:val="hps"/>
        </w:rPr>
        <w:t>types of pollutants</w:t>
      </w:r>
      <w:r w:rsidRPr="001346FF">
        <w:t xml:space="preserve">, their </w:t>
      </w:r>
      <w:r w:rsidRPr="001346FF">
        <w:rPr>
          <w:rStyle w:val="hps"/>
        </w:rPr>
        <w:t xml:space="preserve">hazard class and actual volumes of emissions. Accordingly, the more hazardous is the type of activity and the more pollution is </w:t>
      </w:r>
      <w:proofErr w:type="gramStart"/>
      <w:r w:rsidRPr="001346FF">
        <w:rPr>
          <w:rStyle w:val="hps"/>
        </w:rPr>
        <w:t>emitted,</w:t>
      </w:r>
      <w:proofErr w:type="gramEnd"/>
      <w:r w:rsidRPr="001346FF">
        <w:rPr>
          <w:rStyle w:val="hps"/>
        </w:rPr>
        <w:t xml:space="preserve"> the higher are the levied tax rates. </w:t>
      </w:r>
    </w:p>
    <w:p w:rsidR="00762C9B" w:rsidRPr="001346FF" w:rsidRDefault="00762C9B" w:rsidP="00762C9B">
      <w:pPr>
        <w:spacing w:after="120"/>
        <w:rPr>
          <w:rStyle w:val="hps"/>
        </w:rPr>
      </w:pPr>
      <w:r w:rsidRPr="001346FF">
        <w:rPr>
          <w:rStyle w:val="hps"/>
        </w:rPr>
        <w:t xml:space="preserve">A positive example of fiscal/economic incentives can be found in the Budgetary Code of Ukraine, which foresees that starting with 2013 a part of means acquired through environmental taxes is returned to the operator to carry out special projects on ecological modernization of the undertaking. Ecological modernization encompasses technological modernization, expansion and reconstruction of existing enterprises, in order to reduce the negative impact on the environment through the introduction of environmental technologies. Thus the undertakings carrying out ecological modernization will get back a part of the paid tax (not exceeding the actually paid amount) to invest in the implementation of environmental measures. </w:t>
      </w:r>
    </w:p>
    <w:p w:rsidR="00762C9B" w:rsidRPr="001346FF" w:rsidRDefault="00762C9B" w:rsidP="00762C9B">
      <w:pPr>
        <w:spacing w:after="120"/>
        <w:rPr>
          <w:rStyle w:val="hps"/>
        </w:rPr>
      </w:pPr>
      <w:r w:rsidRPr="001346FF">
        <w:rPr>
          <w:rStyle w:val="hps"/>
        </w:rPr>
        <w:t xml:space="preserve">In addition, National Environmental Protection Action Plan for 2011 – 2015 envisages the development of legal framework for introduction of green procurement concept in the procurement procedures. This system departs from the “green public procurement” notion as understood in the EU – the Ukrainian order defines the procedure for the examination, approval and implementation of targeted environmental (green) investments (the projects), and proposals for the implementation of activities related to the implementation of such projects and the implementation of measures for </w:t>
      </w:r>
      <w:proofErr w:type="spellStart"/>
      <w:r w:rsidRPr="001346FF">
        <w:rPr>
          <w:rStyle w:val="hps"/>
        </w:rPr>
        <w:t>fulfillment</w:t>
      </w:r>
      <w:proofErr w:type="spellEnd"/>
      <w:r w:rsidRPr="001346FF">
        <w:rPr>
          <w:rStyle w:val="hps"/>
        </w:rPr>
        <w:t xml:space="preserve"> of the obligations of parties to the Kyoto Protocol to the UN Framework Convention on Climate Change. Accordingly, the green procurement in the context of the abovementioned Action Plan can be paralleled to the environmental investments.</w:t>
      </w:r>
    </w:p>
    <w:p w:rsidR="00762C9B" w:rsidRPr="001346FF" w:rsidRDefault="00762C9B" w:rsidP="00762C9B">
      <w:pPr>
        <w:spacing w:after="120"/>
        <w:rPr>
          <w:lang w:eastAsia="en-GB"/>
        </w:rPr>
      </w:pPr>
      <w:r w:rsidRPr="001346FF">
        <w:rPr>
          <w:lang w:eastAsia="en-GB"/>
        </w:rPr>
        <w:t>Goal 3 “Achieving state of natural environment that is safe for human health” of the Law “On Basic Principles (strategy) of State Environmental Policy of Ukraine for the period up to 2020”</w:t>
      </w:r>
      <w:r w:rsidRPr="001346FF">
        <w:rPr>
          <w:rStyle w:val="FootnoteReference"/>
          <w:lang w:eastAsia="en-GB"/>
        </w:rPr>
        <w:footnoteReference w:id="56"/>
      </w:r>
      <w:r w:rsidRPr="001346FF">
        <w:rPr>
          <w:lang w:eastAsia="en-GB"/>
        </w:rPr>
        <w:t xml:space="preserve"> </w:t>
      </w:r>
      <w:r w:rsidRPr="001346FF">
        <w:rPr>
          <w:lang w:eastAsia="en-GB"/>
        </w:rPr>
        <w:lastRenderedPageBreak/>
        <w:t xml:space="preserve">envisages the development of legal framework for introduction of environmental insurance system that would be based on determination of possible harm to human health. Accordingly, such system does not explicitly refer to risks of harming the environment, but rather emphasizes the risk of harming human population. Environmental insurance is perceived as a part of civil liability insurance system, finding basis in the fact that the insured facility carries out high risk activities related to probable pollution of environment and harm to the vital interests of third parties in case of the accident. </w:t>
      </w:r>
    </w:p>
    <w:p w:rsidR="00762C9B" w:rsidRPr="001346FF" w:rsidRDefault="00762C9B" w:rsidP="00762C9B">
      <w:pPr>
        <w:spacing w:after="120"/>
        <w:rPr>
          <w:lang w:eastAsia="en-GB"/>
        </w:rPr>
      </w:pPr>
      <w:r w:rsidRPr="001346FF">
        <w:rPr>
          <w:lang w:eastAsia="en-GB"/>
        </w:rPr>
        <w:t xml:space="preserve">As to the attraction of financing for implementation of environment-friendly projects or introduction of green technologies, one of the main funding sources is the Ukrainian National Agency for Environmental Investments, which administers the funds acquired from selling the emission units in the framework of ETS of the UNFCCC Kyoto Protocol. The funding covers projects in the field of energy efficiency of social facilities, purchase and installation of heating boilers and modernization of heating systems etc. In relation to funding, it is also important to mention the State Fund for the Environmental Protection, which is a state-administered body, providing funding for implementation of environmental projects and measures related to rational use of natural resources. The activities to be financed are determined in accordance with the objectives set in the environmental programmes and plans. </w:t>
      </w:r>
    </w:p>
    <w:p w:rsidR="00762C9B" w:rsidRPr="001346FF" w:rsidRDefault="00762C9B" w:rsidP="00762C9B">
      <w:pPr>
        <w:spacing w:after="120"/>
        <w:rPr>
          <w:lang w:eastAsia="en-GB"/>
        </w:rPr>
      </w:pPr>
      <w:r w:rsidRPr="001346FF">
        <w:rPr>
          <w:lang w:eastAsia="en-GB"/>
        </w:rPr>
        <w:t>Another incentive tool, which is remotely related to the economic incentives, yet is still a meaningful tool stimulating a shift towards environmental entrepreneurship, is availability of consultations and educational events for environment-friendly businesses. There is a number of organizations in Ukraine providing consulting services (for a fee), as well as organizing special educational events and conferences. Taking into consideration that the former type of services are not provided free of charge, they do not possess such a high incentive “value” as they would, if such consultations would be available free of charge.</w:t>
      </w:r>
    </w:p>
    <w:p w:rsidR="00762C9B" w:rsidRPr="001346FF" w:rsidRDefault="00762C9B" w:rsidP="00762C9B">
      <w:pPr>
        <w:keepNext/>
        <w:keepLines/>
        <w:spacing w:after="120"/>
        <w:rPr>
          <w:u w:val="single"/>
          <w:lang w:eastAsia="en-GB"/>
        </w:rPr>
      </w:pPr>
      <w:r w:rsidRPr="001346FF">
        <w:rPr>
          <w:u w:val="single"/>
          <w:lang w:eastAsia="en-GB"/>
        </w:rPr>
        <w:t>Reputational incentives</w:t>
      </w:r>
    </w:p>
    <w:p w:rsidR="00762C9B" w:rsidRPr="001346FF" w:rsidRDefault="00762C9B" w:rsidP="00762C9B">
      <w:pPr>
        <w:keepNext/>
        <w:keepLines/>
        <w:spacing w:after="120"/>
        <w:rPr>
          <w:lang w:eastAsia="en-GB"/>
        </w:rPr>
      </w:pPr>
      <w:r w:rsidRPr="001346FF">
        <w:rPr>
          <w:lang w:eastAsia="en-GB"/>
        </w:rPr>
        <w:t xml:space="preserve">One of the voluntary tools for stimulation of environmental behaviour is introduction of system for eco-labelling that encourages </w:t>
      </w:r>
      <w:proofErr w:type="gramStart"/>
      <w:r w:rsidRPr="001346FF">
        <w:rPr>
          <w:lang w:eastAsia="en-GB"/>
        </w:rPr>
        <w:t>to pay</w:t>
      </w:r>
      <w:proofErr w:type="gramEnd"/>
      <w:r w:rsidRPr="001346FF">
        <w:rPr>
          <w:lang w:eastAsia="en-GB"/>
        </w:rPr>
        <w:t xml:space="preserve"> attention to environmental aspects of production not only for producers, but also for consumers. There is a technical regulation in force in Ukraine, setting the requirements surrounding the system for issuing voluntary eco-label. The national </w:t>
      </w:r>
      <w:proofErr w:type="spellStart"/>
      <w:r w:rsidRPr="001346FF">
        <w:rPr>
          <w:lang w:eastAsia="en-GB"/>
        </w:rPr>
        <w:t>UkrSEPRO</w:t>
      </w:r>
      <w:proofErr w:type="spellEnd"/>
      <w:r w:rsidRPr="001346FF">
        <w:rPr>
          <w:lang w:eastAsia="en-GB"/>
        </w:rPr>
        <w:t xml:space="preserve"> certificate proves conformity of products with standards and technical rules which are demanded by the government of Ukraine both on voluntary and mandatory basis. For the products that are required to get certificate on a mandatory basis, it is not possible to export and distribute them without such certificate in system.</w:t>
      </w:r>
    </w:p>
    <w:tbl>
      <w:tblPr>
        <w:tblW w:w="0" w:type="auto"/>
        <w:tblLook w:val="04A0" w:firstRow="1" w:lastRow="0" w:firstColumn="1" w:lastColumn="0" w:noHBand="0" w:noVBand="1"/>
      </w:tblPr>
      <w:tblGrid>
        <w:gridCol w:w="4643"/>
        <w:gridCol w:w="4644"/>
      </w:tblGrid>
      <w:tr w:rsidR="00762C9B" w:rsidRPr="001346FF" w:rsidTr="001346FF">
        <w:tc>
          <w:tcPr>
            <w:tcW w:w="4643" w:type="dxa"/>
            <w:shd w:val="clear" w:color="auto" w:fill="auto"/>
          </w:tcPr>
          <w:p w:rsidR="00762C9B" w:rsidRPr="001346FF" w:rsidRDefault="00E06DC4" w:rsidP="001346FF">
            <w:pPr>
              <w:spacing w:after="120"/>
              <w:jc w:val="center"/>
              <w:rPr>
                <w:lang w:eastAsia="en-GB"/>
              </w:rPr>
            </w:pPr>
            <w:r>
              <w:rPr>
                <w:noProof/>
                <w:lang w:eastAsia="en-GB"/>
              </w:rPr>
              <w:drawing>
                <wp:inline distT="0" distB="0" distL="0" distR="0">
                  <wp:extent cx="2096135" cy="2096135"/>
                  <wp:effectExtent l="0" t="0" r="0" b="0"/>
                  <wp:docPr id="3" name="Picture 3" descr="Description: http://upload.wikimedia.org/wikipedia/uk/thumb/0/04/UkrSEPRO.svg/220px-UkrSEPR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upload.wikimedia.org/wikipedia/uk/thumb/0/04/UkrSEPRO.svg/220px-UkrSEPRO.svg.png"/>
                          <pic:cNvPicPr>
                            <a:picLocks noChangeAspect="1" noChangeArrowheads="1"/>
                          </pic:cNvPicPr>
                        </pic:nvPicPr>
                        <pic:blipFill>
                          <a:blip r:embed="rId18" cstate="print"/>
                          <a:srcRect/>
                          <a:stretch>
                            <a:fillRect/>
                          </a:stretch>
                        </pic:blipFill>
                        <pic:spPr bwMode="auto">
                          <a:xfrm>
                            <a:off x="0" y="0"/>
                            <a:ext cx="2096135" cy="2096135"/>
                          </a:xfrm>
                          <a:prstGeom prst="rect">
                            <a:avLst/>
                          </a:prstGeom>
                          <a:noFill/>
                          <a:ln w="9525">
                            <a:noFill/>
                            <a:miter lim="800000"/>
                            <a:headEnd/>
                            <a:tailEnd/>
                          </a:ln>
                        </pic:spPr>
                      </pic:pic>
                    </a:graphicData>
                  </a:graphic>
                </wp:inline>
              </w:drawing>
            </w:r>
          </w:p>
          <w:p w:rsidR="00762C9B" w:rsidRPr="001346FF" w:rsidRDefault="00762C9B" w:rsidP="001346FF">
            <w:pPr>
              <w:spacing w:after="120"/>
              <w:rPr>
                <w:b/>
                <w:i/>
                <w:lang w:eastAsia="en-GB"/>
              </w:rPr>
            </w:pPr>
            <w:r w:rsidRPr="001346FF">
              <w:rPr>
                <w:b/>
                <w:i/>
                <w:lang w:eastAsia="en-GB"/>
              </w:rPr>
              <w:t>Figure 4: “</w:t>
            </w:r>
            <w:proofErr w:type="spellStart"/>
            <w:r w:rsidRPr="001346FF">
              <w:rPr>
                <w:b/>
                <w:i/>
                <w:lang w:eastAsia="en-GB"/>
              </w:rPr>
              <w:t>UkrSEPRO</w:t>
            </w:r>
            <w:proofErr w:type="spellEnd"/>
            <w:r w:rsidRPr="001346FF">
              <w:rPr>
                <w:b/>
                <w:i/>
                <w:lang w:eastAsia="en-GB"/>
              </w:rPr>
              <w:t>” mandatory eco-label</w:t>
            </w:r>
          </w:p>
        </w:tc>
        <w:tc>
          <w:tcPr>
            <w:tcW w:w="4644" w:type="dxa"/>
            <w:shd w:val="clear" w:color="auto" w:fill="auto"/>
          </w:tcPr>
          <w:p w:rsidR="00762C9B" w:rsidRPr="001346FF" w:rsidRDefault="00E06DC4" w:rsidP="001346FF">
            <w:pPr>
              <w:spacing w:after="120"/>
              <w:jc w:val="center"/>
              <w:rPr>
                <w:lang w:eastAsia="en-GB"/>
              </w:rPr>
            </w:pPr>
            <w:r>
              <w:rPr>
                <w:noProof/>
                <w:lang w:eastAsia="en-GB"/>
              </w:rPr>
              <w:drawing>
                <wp:inline distT="0" distB="0" distL="0" distR="0">
                  <wp:extent cx="2096135" cy="2096135"/>
                  <wp:effectExtent l="19050" t="0" r="0" b="0"/>
                  <wp:docPr id="4" name="Picture 4" descr="Description: http://upload.wikimedia.org/wikipedia/uk/thumb/6/63/UkrSEPRO_Voluntary.svg/220px-UkrSEPRO_Voluntar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upload.wikimedia.org/wikipedia/uk/thumb/6/63/UkrSEPRO_Voluntary.svg/220px-UkrSEPRO_Voluntary.svg.png"/>
                          <pic:cNvPicPr>
                            <a:picLocks noChangeAspect="1" noChangeArrowheads="1"/>
                          </pic:cNvPicPr>
                        </pic:nvPicPr>
                        <pic:blipFill>
                          <a:blip r:embed="rId19" cstate="print"/>
                          <a:srcRect/>
                          <a:stretch>
                            <a:fillRect/>
                          </a:stretch>
                        </pic:blipFill>
                        <pic:spPr bwMode="auto">
                          <a:xfrm>
                            <a:off x="0" y="0"/>
                            <a:ext cx="2096135" cy="2096135"/>
                          </a:xfrm>
                          <a:prstGeom prst="rect">
                            <a:avLst/>
                          </a:prstGeom>
                          <a:noFill/>
                          <a:ln w="9525">
                            <a:noFill/>
                            <a:miter lim="800000"/>
                            <a:headEnd/>
                            <a:tailEnd/>
                          </a:ln>
                        </pic:spPr>
                      </pic:pic>
                    </a:graphicData>
                  </a:graphic>
                </wp:inline>
              </w:drawing>
            </w:r>
          </w:p>
          <w:p w:rsidR="00762C9B" w:rsidRPr="001346FF" w:rsidRDefault="00762C9B" w:rsidP="001346FF">
            <w:pPr>
              <w:spacing w:after="120"/>
              <w:jc w:val="center"/>
              <w:rPr>
                <w:b/>
                <w:i/>
                <w:lang w:eastAsia="en-GB"/>
              </w:rPr>
            </w:pPr>
            <w:r w:rsidRPr="001346FF">
              <w:rPr>
                <w:b/>
                <w:i/>
                <w:lang w:eastAsia="en-GB"/>
              </w:rPr>
              <w:t>Figure 5: “</w:t>
            </w:r>
            <w:proofErr w:type="spellStart"/>
            <w:r w:rsidRPr="001346FF">
              <w:rPr>
                <w:b/>
                <w:i/>
                <w:lang w:eastAsia="en-GB"/>
              </w:rPr>
              <w:t>UkrSEPRO</w:t>
            </w:r>
            <w:proofErr w:type="spellEnd"/>
            <w:r w:rsidRPr="001346FF">
              <w:rPr>
                <w:b/>
                <w:i/>
                <w:lang w:eastAsia="en-GB"/>
              </w:rPr>
              <w:t>” voluntary eco-label</w:t>
            </w:r>
          </w:p>
        </w:tc>
      </w:tr>
    </w:tbl>
    <w:p w:rsidR="00762C9B" w:rsidRPr="001346FF" w:rsidRDefault="00762C9B" w:rsidP="00762C9B">
      <w:pPr>
        <w:spacing w:after="120"/>
        <w:rPr>
          <w:lang w:eastAsia="en-GB"/>
        </w:rPr>
      </w:pPr>
    </w:p>
    <w:p w:rsidR="00762C9B" w:rsidRPr="001346FF" w:rsidRDefault="00762C9B" w:rsidP="00762C9B">
      <w:pPr>
        <w:spacing w:after="120"/>
        <w:rPr>
          <w:lang w:eastAsia="en-GB"/>
        </w:rPr>
      </w:pPr>
      <w:r w:rsidRPr="001346FF">
        <w:rPr>
          <w:lang w:eastAsia="en-GB"/>
        </w:rPr>
        <w:t>As to the other reputational incentives, the necessity to introduce a system of provision of information on environmental “status” of the undertakings (i.e., list of environment-friendly enterprises) has been recognized, yet currently there is no mechanism in place. Introduction of certified environmental management systems (as ISO 14001 or EMAS) is also an issue, as the self-announced management in accordance with environmental requirements cannot be proved and therefore oftentimes is not representing actual situation, thus deceiving the potential consumers.</w:t>
      </w:r>
    </w:p>
    <w:p w:rsidR="00762C9B" w:rsidRPr="001346FF" w:rsidRDefault="00762C9B" w:rsidP="00762C9B">
      <w:pPr>
        <w:rPr>
          <w:lang w:eastAsia="en-GB"/>
        </w:rPr>
      </w:pPr>
      <w:r w:rsidRPr="001346FF">
        <w:rPr>
          <w:lang w:eastAsia="en-GB"/>
        </w:rPr>
        <w:br w:type="page"/>
      </w:r>
    </w:p>
    <w:p w:rsidR="00762C9B" w:rsidRPr="001346FF" w:rsidRDefault="00762C9B" w:rsidP="00762C9B">
      <w:pPr>
        <w:pStyle w:val="Heading1"/>
        <w:spacing w:after="120"/>
      </w:pPr>
      <w:bookmarkStart w:id="50" w:name="_Toc384307265"/>
      <w:bookmarkStart w:id="51" w:name="_Toc387396931"/>
      <w:r w:rsidRPr="001346FF">
        <w:lastRenderedPageBreak/>
        <w:t>Available tools and instruments</w:t>
      </w:r>
      <w:bookmarkEnd w:id="50"/>
      <w:bookmarkEnd w:id="51"/>
    </w:p>
    <w:p w:rsidR="00762C9B" w:rsidRPr="001346FF" w:rsidRDefault="00762C9B" w:rsidP="00762C9B">
      <w:pPr>
        <w:pStyle w:val="Heading2"/>
      </w:pPr>
      <w:bookmarkStart w:id="52" w:name="_Toc384307266"/>
      <w:bookmarkStart w:id="53" w:name="_Toc387396932"/>
      <w:r w:rsidRPr="001346FF">
        <w:t>Introduction</w:t>
      </w:r>
      <w:bookmarkEnd w:id="52"/>
      <w:bookmarkEnd w:id="53"/>
    </w:p>
    <w:p w:rsidR="00762C9B" w:rsidRPr="001346FF" w:rsidRDefault="00762C9B" w:rsidP="00762C9B">
      <w:pPr>
        <w:spacing w:after="120"/>
        <w:rPr>
          <w:lang w:eastAsia="en-GB"/>
        </w:rPr>
      </w:pPr>
      <w:r w:rsidRPr="001346FF">
        <w:rPr>
          <w:lang w:eastAsia="en-GB"/>
        </w:rPr>
        <w:t xml:space="preserve">The availability of incentive instruments can have a significant impact not only in terms of facilitating the development of environmentally responsible entrepreneurship and living in general, but also indirectly helping the country to comply with international environmental standards and targets (i.e., requirements set in the international treaties ratified by the countries at issue). Based on the information provided in the previous chapters this chapter will outline the possible types of measures that can be adopted in countries at issue. Before determination of country-specific recommendations it is crucial to provide a general overview of applicable incentives, which will be briefly outlined in the following sections. The incentives will be divided in accordance with the possible target groups – businesses and individuals. </w:t>
      </w:r>
    </w:p>
    <w:p w:rsidR="00762C9B" w:rsidRPr="001346FF" w:rsidRDefault="00762C9B" w:rsidP="00762C9B">
      <w:pPr>
        <w:spacing w:after="120"/>
        <w:rPr>
          <w:lang w:eastAsia="en-GB"/>
        </w:rPr>
      </w:pPr>
      <w:r w:rsidRPr="001346FF">
        <w:rPr>
          <w:lang w:eastAsia="en-GB"/>
        </w:rPr>
        <w:t xml:space="preserve">The table with listing of measures will also provide descriptive comments, which outline the nature of the measures at issue, as well as main socio-economic aspects to be considered before implementation of the measure. At the same time a more thorough description of chosen measures will be provided in </w:t>
      </w:r>
      <w:r w:rsidR="00516EF9" w:rsidRPr="001346FF">
        <w:rPr>
          <w:lang w:eastAsia="en-GB"/>
        </w:rPr>
        <w:t>the chapter on recommendations.</w:t>
      </w:r>
    </w:p>
    <w:p w:rsidR="00762C9B" w:rsidRPr="001346FF" w:rsidRDefault="00762C9B" w:rsidP="00762C9B">
      <w:pPr>
        <w:pStyle w:val="Heading2"/>
      </w:pPr>
      <w:bookmarkStart w:id="54" w:name="_Toc384307267"/>
      <w:bookmarkStart w:id="55" w:name="_Toc387396933"/>
      <w:r w:rsidRPr="001346FF">
        <w:t>Tools and instruments available to business target groups</w:t>
      </w:r>
      <w:bookmarkEnd w:id="54"/>
      <w:bookmarkEnd w:id="55"/>
    </w:p>
    <w:p w:rsidR="00762C9B" w:rsidRPr="001346FF" w:rsidRDefault="00762C9B" w:rsidP="00762C9B">
      <w:pPr>
        <w:spacing w:after="120"/>
      </w:pPr>
      <w:r w:rsidRPr="001346FF">
        <w:t>Businesses, including industrial enterprises, are significant contributors to environmental pollution in general and air pollution in particular. Therefore, when assessing the situation both in Partner Countries and in the European countries, it is not surprizing that major regulatory measures are targeting particularly businesses. Such measures vary significantly, starting with fiscal measures and charges for consumption of natural resources, and ending with sophisticated system for regulation of industrial pollution.</w:t>
      </w:r>
    </w:p>
    <w:p w:rsidR="00762C9B" w:rsidRPr="001346FF" w:rsidRDefault="00762C9B" w:rsidP="00762C9B">
      <w:pPr>
        <w:spacing w:after="120"/>
      </w:pPr>
      <w:r w:rsidRPr="001346FF">
        <w:t xml:space="preserve">As the focus of this report is to provide recommendations for possible incentives, the available incentive-oriented tools and instruments will be grouped in accordance with their nature (administrative, fiscal and economic, reputational) and listed in the table below. </w:t>
      </w:r>
    </w:p>
    <w:p w:rsidR="00762C9B" w:rsidRPr="001346FF" w:rsidRDefault="00762C9B" w:rsidP="00762C9B">
      <w:pPr>
        <w:spacing w:after="120"/>
      </w:pPr>
    </w:p>
    <w:p w:rsidR="00762C9B" w:rsidRPr="001346FF" w:rsidRDefault="00762C9B" w:rsidP="00762C9B">
      <w:pPr>
        <w:spacing w:after="120"/>
        <w:rPr>
          <w:b/>
          <w:i/>
        </w:rPr>
      </w:pPr>
      <w:proofErr w:type="gramStart"/>
      <w:r w:rsidRPr="001346FF">
        <w:rPr>
          <w:b/>
          <w:i/>
        </w:rPr>
        <w:t>Table 2.</w:t>
      </w:r>
      <w:proofErr w:type="gramEnd"/>
      <w:r w:rsidRPr="001346FF">
        <w:rPr>
          <w:b/>
          <w:i/>
        </w:rPr>
        <w:t xml:space="preserve">  Tools and instruments available to business target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528"/>
      </w:tblGrid>
      <w:tr w:rsidR="001346FF" w:rsidRPr="001346FF" w:rsidTr="001346FF">
        <w:tc>
          <w:tcPr>
            <w:tcW w:w="3227" w:type="dxa"/>
            <w:shd w:val="clear" w:color="auto" w:fill="C6D9F1"/>
          </w:tcPr>
          <w:p w:rsidR="00762C9B" w:rsidRPr="001346FF" w:rsidRDefault="00762C9B" w:rsidP="001346FF">
            <w:pPr>
              <w:spacing w:after="120"/>
              <w:jc w:val="center"/>
              <w:rPr>
                <w:b/>
                <w:szCs w:val="21"/>
              </w:rPr>
            </w:pPr>
            <w:r w:rsidRPr="001346FF">
              <w:rPr>
                <w:b/>
                <w:szCs w:val="21"/>
              </w:rPr>
              <w:t>Measure</w:t>
            </w:r>
          </w:p>
        </w:tc>
        <w:tc>
          <w:tcPr>
            <w:tcW w:w="5528" w:type="dxa"/>
            <w:shd w:val="clear" w:color="auto" w:fill="C6D9F1"/>
          </w:tcPr>
          <w:p w:rsidR="00762C9B" w:rsidRPr="001346FF" w:rsidRDefault="00762C9B" w:rsidP="001346FF">
            <w:pPr>
              <w:spacing w:after="120"/>
              <w:jc w:val="center"/>
              <w:rPr>
                <w:b/>
                <w:szCs w:val="21"/>
              </w:rPr>
            </w:pPr>
            <w:r w:rsidRPr="001346FF">
              <w:rPr>
                <w:b/>
                <w:szCs w:val="21"/>
              </w:rPr>
              <w:t>Comments</w:t>
            </w:r>
          </w:p>
        </w:tc>
      </w:tr>
      <w:tr w:rsidR="00762C9B" w:rsidRPr="001346FF" w:rsidTr="001346FF">
        <w:tc>
          <w:tcPr>
            <w:tcW w:w="8755" w:type="dxa"/>
            <w:gridSpan w:val="2"/>
            <w:shd w:val="clear" w:color="auto" w:fill="auto"/>
          </w:tcPr>
          <w:p w:rsidR="00762C9B" w:rsidRPr="001346FF" w:rsidRDefault="00762C9B" w:rsidP="001346FF">
            <w:pPr>
              <w:spacing w:after="120"/>
              <w:jc w:val="center"/>
              <w:rPr>
                <w:szCs w:val="21"/>
              </w:rPr>
            </w:pPr>
            <w:r w:rsidRPr="001346FF">
              <w:rPr>
                <w:b/>
                <w:szCs w:val="21"/>
              </w:rPr>
              <w:t>Administrative</w:t>
            </w:r>
          </w:p>
        </w:tc>
      </w:tr>
      <w:tr w:rsidR="00762C9B" w:rsidRPr="001346FF" w:rsidTr="001346FF">
        <w:tc>
          <w:tcPr>
            <w:tcW w:w="3227" w:type="dxa"/>
            <w:shd w:val="clear" w:color="auto" w:fill="auto"/>
          </w:tcPr>
          <w:p w:rsidR="00762C9B" w:rsidRPr="001346FF" w:rsidRDefault="00762C9B" w:rsidP="001346FF">
            <w:pPr>
              <w:spacing w:after="120"/>
              <w:jc w:val="left"/>
              <w:rPr>
                <w:szCs w:val="21"/>
              </w:rPr>
            </w:pPr>
            <w:r w:rsidRPr="001346FF">
              <w:rPr>
                <w:szCs w:val="21"/>
              </w:rPr>
              <w:t>Extended permits for less polluting activities in the framework of industrial pollution permitting system</w:t>
            </w:r>
          </w:p>
        </w:tc>
        <w:tc>
          <w:tcPr>
            <w:tcW w:w="5528" w:type="dxa"/>
            <w:shd w:val="clear" w:color="auto" w:fill="auto"/>
          </w:tcPr>
          <w:p w:rsidR="00762C9B" w:rsidRPr="001346FF" w:rsidRDefault="00762C9B" w:rsidP="001346FF">
            <w:pPr>
              <w:spacing w:after="120"/>
              <w:jc w:val="left"/>
              <w:rPr>
                <w:szCs w:val="21"/>
              </w:rPr>
            </w:pPr>
            <w:r w:rsidRPr="001346FF">
              <w:rPr>
                <w:szCs w:val="21"/>
              </w:rPr>
              <w:t>The extension of validity of polluting activity permit applies in case the industrial polluting permitting system is in place and permits have to be renewed on a regular basis.</w:t>
            </w:r>
          </w:p>
        </w:tc>
      </w:tr>
      <w:tr w:rsidR="00762C9B" w:rsidRPr="001346FF" w:rsidTr="001346FF">
        <w:tc>
          <w:tcPr>
            <w:tcW w:w="3227" w:type="dxa"/>
            <w:shd w:val="clear" w:color="auto" w:fill="auto"/>
          </w:tcPr>
          <w:p w:rsidR="00762C9B" w:rsidRPr="001346FF" w:rsidRDefault="00762C9B" w:rsidP="001346FF">
            <w:pPr>
              <w:spacing w:after="120"/>
              <w:jc w:val="left"/>
              <w:rPr>
                <w:szCs w:val="21"/>
              </w:rPr>
            </w:pPr>
            <w:r w:rsidRPr="001346FF">
              <w:rPr>
                <w:szCs w:val="21"/>
              </w:rPr>
              <w:t>Reduced inspection frequency for less polluting activities in the framework of industrial pollution permitting system</w:t>
            </w:r>
          </w:p>
        </w:tc>
        <w:tc>
          <w:tcPr>
            <w:tcW w:w="5528" w:type="dxa"/>
            <w:shd w:val="clear" w:color="auto" w:fill="auto"/>
          </w:tcPr>
          <w:p w:rsidR="00762C9B" w:rsidRPr="001346FF" w:rsidRDefault="00762C9B" w:rsidP="001346FF">
            <w:pPr>
              <w:spacing w:after="120"/>
              <w:jc w:val="left"/>
              <w:rPr>
                <w:szCs w:val="21"/>
              </w:rPr>
            </w:pPr>
            <w:r w:rsidRPr="001346FF">
              <w:rPr>
                <w:szCs w:val="21"/>
              </w:rPr>
              <w:t>The reduced inspection frequency applies in case the industrial polluting permitting system is in place and in the framework of permitting the environmental inspections are carried out on a regular basis.</w:t>
            </w:r>
          </w:p>
        </w:tc>
      </w:tr>
      <w:tr w:rsidR="00762C9B" w:rsidRPr="001346FF" w:rsidTr="001346FF">
        <w:tc>
          <w:tcPr>
            <w:tcW w:w="3227" w:type="dxa"/>
            <w:shd w:val="clear" w:color="auto" w:fill="auto"/>
          </w:tcPr>
          <w:p w:rsidR="00762C9B" w:rsidRPr="001346FF" w:rsidRDefault="00762C9B" w:rsidP="001346FF">
            <w:pPr>
              <w:spacing w:after="120"/>
              <w:rPr>
                <w:szCs w:val="21"/>
              </w:rPr>
            </w:pPr>
          </w:p>
        </w:tc>
        <w:tc>
          <w:tcPr>
            <w:tcW w:w="5528" w:type="dxa"/>
            <w:shd w:val="clear" w:color="auto" w:fill="auto"/>
          </w:tcPr>
          <w:p w:rsidR="00762C9B" w:rsidRPr="001346FF" w:rsidRDefault="00762C9B" w:rsidP="001346FF">
            <w:pPr>
              <w:spacing w:after="120"/>
              <w:rPr>
                <w:szCs w:val="21"/>
              </w:rPr>
            </w:pPr>
            <w:r w:rsidRPr="001346FF">
              <w:rPr>
                <w:b/>
                <w:szCs w:val="21"/>
              </w:rPr>
              <w:t>Economic and fiscal</w:t>
            </w:r>
          </w:p>
        </w:tc>
      </w:tr>
      <w:tr w:rsidR="00762C9B" w:rsidRPr="001346FF" w:rsidTr="001346FF">
        <w:tc>
          <w:tcPr>
            <w:tcW w:w="3227" w:type="dxa"/>
            <w:shd w:val="clear" w:color="auto" w:fill="auto"/>
          </w:tcPr>
          <w:p w:rsidR="00762C9B" w:rsidRPr="001346FF" w:rsidRDefault="00762C9B" w:rsidP="001346FF">
            <w:pPr>
              <w:spacing w:after="120"/>
              <w:jc w:val="left"/>
              <w:rPr>
                <w:szCs w:val="21"/>
              </w:rPr>
            </w:pPr>
            <w:r w:rsidRPr="001346FF">
              <w:rPr>
                <w:szCs w:val="21"/>
              </w:rPr>
              <w:lastRenderedPageBreak/>
              <w:t>Reduced charges for less polluting activities and/or increased charges/taxes/levies for especially polluting activities</w:t>
            </w:r>
          </w:p>
        </w:tc>
        <w:tc>
          <w:tcPr>
            <w:tcW w:w="5528" w:type="dxa"/>
            <w:shd w:val="clear" w:color="auto" w:fill="auto"/>
          </w:tcPr>
          <w:p w:rsidR="00762C9B" w:rsidRPr="001346FF" w:rsidRDefault="00762C9B" w:rsidP="001346FF">
            <w:pPr>
              <w:spacing w:after="120"/>
              <w:jc w:val="left"/>
              <w:rPr>
                <w:szCs w:val="21"/>
              </w:rPr>
            </w:pPr>
            <w:r w:rsidRPr="001346FF">
              <w:rPr>
                <w:szCs w:val="21"/>
              </w:rPr>
              <w:t>Such measure can be adopted in various ways, considering the specifics of the regulation of polluting activities. A good example in this respect is determination of charges based on the actual levels of pollution (emissions) or risk of harming the environment. In such case the basis for determination of charges has to be set in appropriate legal act (legislation governing pollution, nature resource tax legislation etc.).</w:t>
            </w:r>
          </w:p>
        </w:tc>
      </w:tr>
      <w:tr w:rsidR="00762C9B" w:rsidRPr="001346FF" w:rsidTr="001346FF">
        <w:tc>
          <w:tcPr>
            <w:tcW w:w="3227" w:type="dxa"/>
            <w:shd w:val="clear" w:color="auto" w:fill="auto"/>
          </w:tcPr>
          <w:p w:rsidR="00762C9B" w:rsidRPr="00D73464" w:rsidRDefault="00762C9B" w:rsidP="001346FF">
            <w:pPr>
              <w:spacing w:after="120"/>
              <w:jc w:val="left"/>
              <w:rPr>
                <w:szCs w:val="21"/>
              </w:rPr>
            </w:pPr>
            <w:r w:rsidRPr="00D73464">
              <w:rPr>
                <w:szCs w:val="21"/>
              </w:rPr>
              <w:t xml:space="preserve">Special loan and grant programme for establishing environment-friendly businesses or introduction of </w:t>
            </w:r>
            <w:r w:rsidR="00685667" w:rsidRPr="00D73464">
              <w:rPr>
                <w:szCs w:val="21"/>
              </w:rPr>
              <w:t xml:space="preserve">innovative </w:t>
            </w:r>
            <w:r w:rsidRPr="00D73464">
              <w:rPr>
                <w:szCs w:val="21"/>
              </w:rPr>
              <w:t>environmental technologies</w:t>
            </w:r>
          </w:p>
        </w:tc>
        <w:tc>
          <w:tcPr>
            <w:tcW w:w="5528" w:type="dxa"/>
            <w:shd w:val="clear" w:color="auto" w:fill="auto"/>
          </w:tcPr>
          <w:p w:rsidR="00762C9B" w:rsidRPr="00D73464" w:rsidRDefault="00762C9B" w:rsidP="001346FF">
            <w:pPr>
              <w:spacing w:after="120"/>
              <w:jc w:val="left"/>
              <w:rPr>
                <w:szCs w:val="21"/>
              </w:rPr>
            </w:pPr>
            <w:r w:rsidRPr="00D73464">
              <w:rPr>
                <w:szCs w:val="21"/>
              </w:rPr>
              <w:t xml:space="preserve">Special loan or grant programme can manifest in different systems – the state can ensure the provision of loans to “green undertakings” or introduction of </w:t>
            </w:r>
            <w:r w:rsidR="00685667" w:rsidRPr="00D73464">
              <w:rPr>
                <w:szCs w:val="21"/>
              </w:rPr>
              <w:t xml:space="preserve">innovative </w:t>
            </w:r>
            <w:r w:rsidRPr="00D73464">
              <w:rPr>
                <w:szCs w:val="21"/>
              </w:rPr>
              <w:t>environment friendly technologies with favourable conditions – e.g., decreased interest rates. Also grants and co-financing mechanisms is a valuable motivation tool. Yet the introduction of such mechanism is highly dependent on economic situation or availability of international funding, which can be managed by state bodies responsible for administration of grants. Though it is important to mention that such grants and loans could be also provided from the National Ecological Funds, private funds (including commercial banks) and in the framework of the EU budgetary support programmes.</w:t>
            </w:r>
          </w:p>
        </w:tc>
      </w:tr>
      <w:tr w:rsidR="00762C9B" w:rsidRPr="001346FF" w:rsidTr="001346FF">
        <w:tc>
          <w:tcPr>
            <w:tcW w:w="3227" w:type="dxa"/>
            <w:shd w:val="clear" w:color="auto" w:fill="auto"/>
          </w:tcPr>
          <w:p w:rsidR="00762C9B" w:rsidRPr="001346FF" w:rsidRDefault="00762C9B" w:rsidP="001346FF">
            <w:pPr>
              <w:spacing w:after="120"/>
              <w:jc w:val="left"/>
              <w:rPr>
                <w:szCs w:val="21"/>
              </w:rPr>
            </w:pPr>
            <w:r w:rsidRPr="001346FF">
              <w:rPr>
                <w:szCs w:val="21"/>
              </w:rPr>
              <w:t>Preferred status for environment friendly undertakings/undertakings using less polluting technologies etc. in public procurement procedures (i.e. green public procurement)</w:t>
            </w:r>
          </w:p>
        </w:tc>
        <w:tc>
          <w:tcPr>
            <w:tcW w:w="5528" w:type="dxa"/>
            <w:shd w:val="clear" w:color="auto" w:fill="auto"/>
          </w:tcPr>
          <w:p w:rsidR="00762C9B" w:rsidRPr="001346FF" w:rsidRDefault="00762C9B" w:rsidP="001346FF">
            <w:pPr>
              <w:spacing w:after="120"/>
              <w:jc w:val="left"/>
              <w:rPr>
                <w:szCs w:val="21"/>
              </w:rPr>
            </w:pPr>
            <w:r w:rsidRPr="001346FF">
              <w:rPr>
                <w:szCs w:val="21"/>
              </w:rPr>
              <w:t>Green public procurement (GPP) is defined as a “a process whereby public authorities seek to procure goods, services and works with a reduced environmental impact throughout their life cycle when compared to goods, services and works with the same primary function that would otherwise be procured”</w:t>
            </w:r>
            <w:r w:rsidRPr="001346FF">
              <w:rPr>
                <w:rStyle w:val="FootnoteReference"/>
              </w:rPr>
              <w:footnoteReference w:id="57"/>
            </w:r>
            <w:r w:rsidRPr="001346FF">
              <w:rPr>
                <w:szCs w:val="21"/>
              </w:rPr>
              <w:t>. The potential of GPP is becoming more and more widely used not only in selected state level but also internationally. Therefore the inclusion of environmental considerations in the tendering procedure would stimulate the development of “green economies”</w:t>
            </w:r>
            <w:r w:rsidRPr="001346FF">
              <w:rPr>
                <w:rStyle w:val="FootnoteReference"/>
              </w:rPr>
              <w:footnoteReference w:id="58"/>
            </w:r>
            <w:r w:rsidRPr="001346FF">
              <w:rPr>
                <w:szCs w:val="21"/>
              </w:rPr>
              <w:t xml:space="preserve"> and mark the government’s commitment to follow sustainable pattern. </w:t>
            </w:r>
          </w:p>
        </w:tc>
      </w:tr>
      <w:tr w:rsidR="00762C9B" w:rsidRPr="001346FF" w:rsidTr="001346FF">
        <w:tc>
          <w:tcPr>
            <w:tcW w:w="3227" w:type="dxa"/>
            <w:shd w:val="clear" w:color="auto" w:fill="auto"/>
          </w:tcPr>
          <w:p w:rsidR="00762C9B" w:rsidRPr="001346FF" w:rsidRDefault="00762C9B" w:rsidP="001346FF">
            <w:pPr>
              <w:spacing w:after="120"/>
              <w:jc w:val="left"/>
              <w:rPr>
                <w:szCs w:val="21"/>
              </w:rPr>
            </w:pPr>
            <w:r w:rsidRPr="001346FF">
              <w:rPr>
                <w:szCs w:val="21"/>
              </w:rPr>
              <w:t xml:space="preserve">Reduced insurance rates for environment friendly </w:t>
            </w:r>
            <w:r w:rsidRPr="001346FF">
              <w:rPr>
                <w:szCs w:val="21"/>
              </w:rPr>
              <w:lastRenderedPageBreak/>
              <w:t>undertakings and technologies</w:t>
            </w:r>
          </w:p>
        </w:tc>
        <w:tc>
          <w:tcPr>
            <w:tcW w:w="5528" w:type="dxa"/>
            <w:shd w:val="clear" w:color="auto" w:fill="auto"/>
          </w:tcPr>
          <w:p w:rsidR="00762C9B" w:rsidRPr="001346FF" w:rsidRDefault="00762C9B" w:rsidP="001346FF">
            <w:pPr>
              <w:spacing w:after="120"/>
              <w:jc w:val="left"/>
              <w:rPr>
                <w:szCs w:val="21"/>
              </w:rPr>
            </w:pPr>
            <w:r w:rsidRPr="001346FF">
              <w:rPr>
                <w:szCs w:val="21"/>
              </w:rPr>
              <w:lastRenderedPageBreak/>
              <w:t xml:space="preserve">When talking about environment friendly undertakings, one has to take into account the implication of lower hazard risk level than in case of conventional </w:t>
            </w:r>
            <w:r w:rsidRPr="001346FF">
              <w:rPr>
                <w:szCs w:val="21"/>
              </w:rPr>
              <w:lastRenderedPageBreak/>
              <w:t>undertakings (especially relevant for industrial activities/production). The introduction of policy that would stimulate insurance companies to apply reduced insurance rates for environment friendly undertakings would also serve as an incentive tool to shift towards more environment conscious business models.</w:t>
            </w:r>
          </w:p>
        </w:tc>
      </w:tr>
      <w:tr w:rsidR="00762C9B" w:rsidRPr="001346FF" w:rsidTr="001346FF">
        <w:tc>
          <w:tcPr>
            <w:tcW w:w="3227" w:type="dxa"/>
            <w:shd w:val="clear" w:color="auto" w:fill="auto"/>
          </w:tcPr>
          <w:p w:rsidR="00762C9B" w:rsidRPr="001346FF" w:rsidRDefault="00762C9B" w:rsidP="001346FF">
            <w:pPr>
              <w:spacing w:after="120"/>
              <w:jc w:val="left"/>
              <w:rPr>
                <w:szCs w:val="21"/>
              </w:rPr>
            </w:pPr>
            <w:r w:rsidRPr="001346FF">
              <w:rPr>
                <w:szCs w:val="21"/>
              </w:rPr>
              <w:lastRenderedPageBreak/>
              <w:t xml:space="preserve">Funding schemes for introduction of green technologies, establishment and/or operation of environment friendly businesses </w:t>
            </w:r>
          </w:p>
        </w:tc>
        <w:tc>
          <w:tcPr>
            <w:tcW w:w="5528" w:type="dxa"/>
            <w:shd w:val="clear" w:color="auto" w:fill="auto"/>
          </w:tcPr>
          <w:p w:rsidR="00762C9B" w:rsidRPr="001346FF" w:rsidRDefault="00762C9B" w:rsidP="009770C5">
            <w:pPr>
              <w:spacing w:after="120"/>
              <w:jc w:val="left"/>
              <w:rPr>
                <w:szCs w:val="21"/>
              </w:rPr>
            </w:pPr>
            <w:r w:rsidRPr="001346FF">
              <w:rPr>
                <w:szCs w:val="21"/>
              </w:rPr>
              <w:t xml:space="preserve">Funding schemes can be introduced by government-affiliated bodies, private undertakings and NGOs. Usually such schemes are related to governmental organizations or NGOs. The funding is mostly provided from the resources from nature resources tax payments, environmental pollution fines or participation in international emission trading (in case the country at issue is participating in </w:t>
            </w:r>
            <w:r w:rsidR="009770C5">
              <w:rPr>
                <w:szCs w:val="21"/>
              </w:rPr>
              <w:t>emission trading</w:t>
            </w:r>
            <w:r w:rsidRPr="001346FF">
              <w:rPr>
                <w:szCs w:val="21"/>
              </w:rPr>
              <w:t>). As an example, such funding can be provided on the basis of competition – announcing the possibility to apply for funding in particular fields (e.g., introduction of low-emission technology).</w:t>
            </w:r>
          </w:p>
        </w:tc>
      </w:tr>
      <w:tr w:rsidR="00762C9B" w:rsidRPr="001346FF" w:rsidTr="001346FF">
        <w:tc>
          <w:tcPr>
            <w:tcW w:w="3227" w:type="dxa"/>
            <w:shd w:val="clear" w:color="auto" w:fill="auto"/>
          </w:tcPr>
          <w:p w:rsidR="00762C9B" w:rsidRPr="001346FF" w:rsidRDefault="00762C9B" w:rsidP="001346FF">
            <w:pPr>
              <w:spacing w:after="120"/>
              <w:jc w:val="left"/>
              <w:rPr>
                <w:szCs w:val="21"/>
              </w:rPr>
            </w:pPr>
            <w:r w:rsidRPr="001346FF">
              <w:rPr>
                <w:szCs w:val="21"/>
              </w:rPr>
              <w:t>Free business support services for environment friendly undertakings</w:t>
            </w:r>
          </w:p>
        </w:tc>
        <w:tc>
          <w:tcPr>
            <w:tcW w:w="5528" w:type="dxa"/>
            <w:shd w:val="clear" w:color="auto" w:fill="auto"/>
          </w:tcPr>
          <w:p w:rsidR="00762C9B" w:rsidRPr="001346FF" w:rsidRDefault="00762C9B" w:rsidP="001346FF">
            <w:pPr>
              <w:spacing w:after="120"/>
              <w:jc w:val="left"/>
              <w:rPr>
                <w:szCs w:val="21"/>
              </w:rPr>
            </w:pPr>
            <w:r w:rsidRPr="001346FF">
              <w:rPr>
                <w:szCs w:val="21"/>
              </w:rPr>
              <w:t>Provision of free of charge consultations for initiators of environment friendly businesses is not only stimulating the shift towards green entrepreneurship, but also decreases the risk of failure, as the potential entrepreneurs would be familiar with the possible risks, legal requirements, as well as future development possibilities and potential funding options. Such business support can be manifested in the form of a business incubator (see next chapter for a more detailed description).</w:t>
            </w:r>
          </w:p>
        </w:tc>
      </w:tr>
      <w:tr w:rsidR="00762C9B" w:rsidRPr="001346FF" w:rsidTr="001346FF">
        <w:tc>
          <w:tcPr>
            <w:tcW w:w="3227" w:type="dxa"/>
            <w:shd w:val="clear" w:color="auto" w:fill="auto"/>
          </w:tcPr>
          <w:p w:rsidR="00762C9B" w:rsidRPr="001346FF" w:rsidRDefault="00762C9B" w:rsidP="001346FF">
            <w:pPr>
              <w:spacing w:after="120"/>
              <w:jc w:val="left"/>
              <w:rPr>
                <w:szCs w:val="21"/>
              </w:rPr>
            </w:pPr>
            <w:r w:rsidRPr="001346FF">
              <w:rPr>
                <w:szCs w:val="21"/>
              </w:rPr>
              <w:t xml:space="preserve">Voluntary </w:t>
            </w:r>
            <w:proofErr w:type="spellStart"/>
            <w:r w:rsidRPr="001346FF">
              <w:rPr>
                <w:szCs w:val="21"/>
              </w:rPr>
              <w:t>sectoral</w:t>
            </w:r>
            <w:proofErr w:type="spellEnd"/>
            <w:r w:rsidRPr="001346FF">
              <w:rPr>
                <w:szCs w:val="21"/>
              </w:rPr>
              <w:t xml:space="preserve"> agreements between government (regions, local authorities) and operators</w:t>
            </w:r>
          </w:p>
        </w:tc>
        <w:tc>
          <w:tcPr>
            <w:tcW w:w="5528" w:type="dxa"/>
            <w:shd w:val="clear" w:color="auto" w:fill="auto"/>
          </w:tcPr>
          <w:p w:rsidR="00762C9B" w:rsidRPr="001346FF" w:rsidRDefault="00762C9B" w:rsidP="001346FF">
            <w:pPr>
              <w:spacing w:after="120"/>
              <w:jc w:val="left"/>
              <w:rPr>
                <w:szCs w:val="21"/>
              </w:rPr>
            </w:pPr>
            <w:r w:rsidRPr="001346FF">
              <w:rPr>
                <w:szCs w:val="21"/>
              </w:rPr>
              <w:t xml:space="preserve">Voluntary agreements can be concluded between various sectors and the government. The most relevant example is probably the energy production sector. Such agreements shall have legal basis in legislation, where the most important aspects are set out. Usually the agreements establish quantitative limits – either emission reduction in terms of reduction percentage or limit values that can be more ambitious than the ones set out by legislation. As a motivation to join, the government can provide tax reductions or exemptions, easier access to environmental permits, financial support to undertake certain actions, exemption from the payment for emissions (in the established limits) for a time period, set up in the voluntary agreement, provision of information </w:t>
            </w:r>
            <w:r w:rsidRPr="001346FF">
              <w:rPr>
                <w:szCs w:val="21"/>
              </w:rPr>
              <w:lastRenderedPageBreak/>
              <w:t>on energy-efficient technologies, government assistance and training in energy management.</w:t>
            </w:r>
            <w:r w:rsidRPr="001346FF">
              <w:rPr>
                <w:rStyle w:val="FootnoteReference"/>
              </w:rPr>
              <w:footnoteReference w:id="59"/>
            </w:r>
          </w:p>
        </w:tc>
      </w:tr>
      <w:tr w:rsidR="00762C9B" w:rsidRPr="001346FF" w:rsidTr="001346FF">
        <w:tc>
          <w:tcPr>
            <w:tcW w:w="3227" w:type="dxa"/>
            <w:shd w:val="clear" w:color="auto" w:fill="auto"/>
          </w:tcPr>
          <w:p w:rsidR="00762C9B" w:rsidRPr="001346FF" w:rsidRDefault="00762C9B" w:rsidP="001346FF">
            <w:pPr>
              <w:spacing w:after="120"/>
              <w:jc w:val="left"/>
              <w:rPr>
                <w:szCs w:val="21"/>
              </w:rPr>
            </w:pPr>
            <w:r w:rsidRPr="001346FF">
              <w:rPr>
                <w:szCs w:val="21"/>
              </w:rPr>
              <w:lastRenderedPageBreak/>
              <w:t>Development of Good agricultural practice guide</w:t>
            </w:r>
          </w:p>
        </w:tc>
        <w:tc>
          <w:tcPr>
            <w:tcW w:w="5528" w:type="dxa"/>
            <w:shd w:val="clear" w:color="auto" w:fill="auto"/>
          </w:tcPr>
          <w:p w:rsidR="00762C9B" w:rsidRPr="001346FF" w:rsidRDefault="00762C9B" w:rsidP="001346FF">
            <w:pPr>
              <w:spacing w:after="120"/>
              <w:jc w:val="left"/>
              <w:rPr>
                <w:szCs w:val="21"/>
              </w:rPr>
            </w:pPr>
            <w:r w:rsidRPr="001346FF">
              <w:rPr>
                <w:szCs w:val="21"/>
              </w:rPr>
              <w:t>Development of Good agricultural practice guide and dissemination of the relevant information. Agriculture can be a significant source of NH</w:t>
            </w:r>
            <w:r w:rsidRPr="001346FF">
              <w:rPr>
                <w:szCs w:val="21"/>
                <w:vertAlign w:val="subscript"/>
              </w:rPr>
              <w:t>3</w:t>
            </w:r>
            <w:r w:rsidRPr="001346FF">
              <w:rPr>
                <w:szCs w:val="21"/>
              </w:rPr>
              <w:t xml:space="preserve"> emissions; therefore a Good agricultural practice guide setting out the best practices for manure storage and fertilization of lands can stimulate the reduction of nitrate and ammonia emissions. Inspiring from the example of the EU member states, it is possible to make the application of the Good agricultural practice guide mandatory in the </w:t>
            </w:r>
            <w:proofErr w:type="gramStart"/>
            <w:r w:rsidRPr="001346FF">
              <w:rPr>
                <w:szCs w:val="21"/>
              </w:rPr>
              <w:t>specially</w:t>
            </w:r>
            <w:proofErr w:type="gramEnd"/>
            <w:r w:rsidRPr="001346FF">
              <w:rPr>
                <w:szCs w:val="21"/>
              </w:rPr>
              <w:t xml:space="preserve"> sensitive territories. </w:t>
            </w:r>
          </w:p>
        </w:tc>
      </w:tr>
      <w:tr w:rsidR="00762C9B" w:rsidRPr="001346FF" w:rsidTr="001346FF">
        <w:tc>
          <w:tcPr>
            <w:tcW w:w="3227" w:type="dxa"/>
            <w:shd w:val="clear" w:color="auto" w:fill="auto"/>
          </w:tcPr>
          <w:p w:rsidR="00762C9B" w:rsidRPr="001346FF" w:rsidRDefault="00762C9B" w:rsidP="001346FF">
            <w:pPr>
              <w:spacing w:after="120"/>
              <w:jc w:val="left"/>
              <w:rPr>
                <w:szCs w:val="21"/>
              </w:rPr>
            </w:pPr>
            <w:r w:rsidRPr="001346FF">
              <w:rPr>
                <w:szCs w:val="21"/>
              </w:rPr>
              <w:t>Development of Green Industry Guide</w:t>
            </w:r>
          </w:p>
        </w:tc>
        <w:tc>
          <w:tcPr>
            <w:tcW w:w="5528" w:type="dxa"/>
            <w:shd w:val="clear" w:color="auto" w:fill="auto"/>
          </w:tcPr>
          <w:p w:rsidR="00762C9B" w:rsidRPr="001346FF" w:rsidRDefault="00762C9B" w:rsidP="001346FF">
            <w:pPr>
              <w:spacing w:after="120"/>
              <w:jc w:val="left"/>
              <w:rPr>
                <w:szCs w:val="21"/>
              </w:rPr>
            </w:pPr>
            <w:r w:rsidRPr="001346FF">
              <w:rPr>
                <w:szCs w:val="21"/>
              </w:rPr>
              <w:t>The issue of development of Green Industry Guide can be approached from different perspectives – it can be either sector-oriented, or general, providing the main considerations as possibility to minimize environmental impact using life cycle analysis. After development, the Guide shall be freely available (or distributed) to the industrial enterprises. The measure can also involve training of management staff of the enterprises and facilitation of development and implementation of the Green Industry Declaration (foresees involvement of trade unions).</w:t>
            </w:r>
          </w:p>
        </w:tc>
      </w:tr>
      <w:tr w:rsidR="00762C9B" w:rsidRPr="001346FF" w:rsidTr="001346FF">
        <w:tc>
          <w:tcPr>
            <w:tcW w:w="3227" w:type="dxa"/>
            <w:shd w:val="clear" w:color="auto" w:fill="auto"/>
          </w:tcPr>
          <w:p w:rsidR="00762C9B" w:rsidRPr="001346FF" w:rsidRDefault="00762C9B" w:rsidP="001346FF">
            <w:pPr>
              <w:spacing w:after="120"/>
              <w:jc w:val="left"/>
              <w:rPr>
                <w:szCs w:val="21"/>
              </w:rPr>
            </w:pPr>
            <w:r w:rsidRPr="001346FF">
              <w:rPr>
                <w:szCs w:val="21"/>
              </w:rPr>
              <w:t>Participation in Kyoto flexibility mechanisms</w:t>
            </w:r>
          </w:p>
        </w:tc>
        <w:tc>
          <w:tcPr>
            <w:tcW w:w="5528" w:type="dxa"/>
            <w:shd w:val="clear" w:color="auto" w:fill="auto"/>
          </w:tcPr>
          <w:p w:rsidR="00762C9B" w:rsidRPr="001346FF" w:rsidRDefault="00762C9B" w:rsidP="001346FF">
            <w:pPr>
              <w:spacing w:after="120"/>
              <w:jc w:val="left"/>
              <w:rPr>
                <w:szCs w:val="21"/>
              </w:rPr>
            </w:pPr>
            <w:r w:rsidRPr="001346FF">
              <w:rPr>
                <w:szCs w:val="21"/>
              </w:rPr>
              <w:t>All of the Partner countries, observed in the framework of the current report, have  an option to participate in Kyoto flexibility mechanisms, yet the scope of available mechanisms differ, depending if the country at issue is Annex I or non-Annex I party</w:t>
            </w:r>
            <w:r w:rsidRPr="001346FF">
              <w:rPr>
                <w:rStyle w:val="FootnoteReference"/>
              </w:rPr>
              <w:footnoteReference w:id="60"/>
            </w:r>
            <w:r w:rsidRPr="001346FF">
              <w:rPr>
                <w:szCs w:val="21"/>
              </w:rPr>
              <w:t>.</w:t>
            </w:r>
          </w:p>
        </w:tc>
      </w:tr>
      <w:tr w:rsidR="00762C9B" w:rsidRPr="001346FF" w:rsidTr="001346FF">
        <w:tc>
          <w:tcPr>
            <w:tcW w:w="3227" w:type="dxa"/>
            <w:shd w:val="clear" w:color="auto" w:fill="auto"/>
          </w:tcPr>
          <w:p w:rsidR="00762C9B" w:rsidRPr="001346FF" w:rsidRDefault="00762C9B" w:rsidP="001346FF">
            <w:pPr>
              <w:spacing w:after="120"/>
              <w:jc w:val="left"/>
              <w:rPr>
                <w:szCs w:val="21"/>
              </w:rPr>
            </w:pPr>
            <w:r w:rsidRPr="001346FF">
              <w:rPr>
                <w:szCs w:val="21"/>
              </w:rPr>
              <w:t xml:space="preserve">Support from World Bank </w:t>
            </w:r>
          </w:p>
        </w:tc>
        <w:tc>
          <w:tcPr>
            <w:tcW w:w="5528" w:type="dxa"/>
            <w:shd w:val="clear" w:color="auto" w:fill="auto"/>
          </w:tcPr>
          <w:p w:rsidR="00762C9B" w:rsidRPr="001346FF" w:rsidRDefault="00762C9B" w:rsidP="001346FF">
            <w:pPr>
              <w:spacing w:after="120"/>
              <w:jc w:val="left"/>
              <w:rPr>
                <w:szCs w:val="21"/>
              </w:rPr>
            </w:pPr>
            <w:r w:rsidRPr="001346FF">
              <w:rPr>
                <w:szCs w:val="21"/>
                <w:lang w:eastAsia="en-GB"/>
              </w:rPr>
              <w:t>The World Bank provides low-interest loans, interest-free credits, and grants to developing countries. These support a wide range of investments in such areas as education, health, public administration, infrastructure, financial and private sector development, agriculture, and environmental and natural resource management.</w:t>
            </w:r>
            <w:r w:rsidR="00E31704">
              <w:rPr>
                <w:szCs w:val="21"/>
                <w:lang w:eastAsia="en-GB"/>
              </w:rPr>
              <w:t xml:space="preserve"> WB’s financing is available to all partner countries (see Annex 2).</w:t>
            </w:r>
          </w:p>
        </w:tc>
      </w:tr>
      <w:tr w:rsidR="00762C9B" w:rsidRPr="001346FF" w:rsidTr="001346FF">
        <w:tc>
          <w:tcPr>
            <w:tcW w:w="3227" w:type="dxa"/>
            <w:shd w:val="clear" w:color="auto" w:fill="auto"/>
          </w:tcPr>
          <w:p w:rsidR="00762C9B" w:rsidRPr="001346FF" w:rsidRDefault="00762C9B" w:rsidP="001346FF">
            <w:pPr>
              <w:spacing w:after="120"/>
              <w:jc w:val="left"/>
              <w:rPr>
                <w:szCs w:val="21"/>
              </w:rPr>
            </w:pPr>
            <w:r w:rsidRPr="001346FF">
              <w:rPr>
                <w:szCs w:val="21"/>
              </w:rPr>
              <w:t>Support from Global Environment Facility</w:t>
            </w:r>
          </w:p>
        </w:tc>
        <w:tc>
          <w:tcPr>
            <w:tcW w:w="5528" w:type="dxa"/>
            <w:shd w:val="clear" w:color="auto" w:fill="auto"/>
          </w:tcPr>
          <w:p w:rsidR="00762C9B" w:rsidRPr="001346FF" w:rsidRDefault="00762C9B" w:rsidP="00E31704">
            <w:pPr>
              <w:spacing w:after="120"/>
              <w:jc w:val="left"/>
              <w:rPr>
                <w:szCs w:val="21"/>
              </w:rPr>
            </w:pPr>
            <w:r w:rsidRPr="001346FF">
              <w:rPr>
                <w:szCs w:val="21"/>
                <w:lang w:eastAsia="en-GB"/>
              </w:rPr>
              <w:t xml:space="preserve">The GEF provides grants for projects related to biodiversity, climate change, international waters, land </w:t>
            </w:r>
            <w:r w:rsidRPr="001346FF">
              <w:rPr>
                <w:szCs w:val="21"/>
                <w:lang w:eastAsia="en-GB"/>
              </w:rPr>
              <w:lastRenderedPageBreak/>
              <w:t>degradation, the ozone layer, and persistent organic pollutants.</w:t>
            </w:r>
            <w:r w:rsidR="00E31704">
              <w:rPr>
                <w:szCs w:val="21"/>
                <w:lang w:eastAsia="en-GB"/>
              </w:rPr>
              <w:t xml:space="preserve"> GEF’s financing is available to all partner countries (see Annex 2).</w:t>
            </w:r>
          </w:p>
        </w:tc>
      </w:tr>
      <w:tr w:rsidR="00762C9B" w:rsidRPr="001346FF" w:rsidTr="001346FF">
        <w:tc>
          <w:tcPr>
            <w:tcW w:w="3227" w:type="dxa"/>
            <w:shd w:val="clear" w:color="auto" w:fill="auto"/>
          </w:tcPr>
          <w:p w:rsidR="00762C9B" w:rsidRPr="001346FF" w:rsidRDefault="00762C9B" w:rsidP="001346FF">
            <w:pPr>
              <w:spacing w:after="120"/>
              <w:jc w:val="left"/>
              <w:rPr>
                <w:szCs w:val="21"/>
              </w:rPr>
            </w:pPr>
            <w:r w:rsidRPr="001346FF">
              <w:rPr>
                <w:szCs w:val="21"/>
              </w:rPr>
              <w:lastRenderedPageBreak/>
              <w:t>Support from Special Climate Change Fund</w:t>
            </w:r>
          </w:p>
        </w:tc>
        <w:tc>
          <w:tcPr>
            <w:tcW w:w="5528" w:type="dxa"/>
            <w:shd w:val="clear" w:color="auto" w:fill="auto"/>
          </w:tcPr>
          <w:p w:rsidR="00762C9B" w:rsidRPr="001346FF" w:rsidRDefault="00762C9B" w:rsidP="001346FF">
            <w:pPr>
              <w:spacing w:after="120"/>
              <w:jc w:val="left"/>
              <w:rPr>
                <w:szCs w:val="21"/>
              </w:rPr>
            </w:pPr>
            <w:r w:rsidRPr="001346FF">
              <w:rPr>
                <w:szCs w:val="21"/>
                <w:lang w:eastAsia="en-GB"/>
              </w:rPr>
              <w:t>The Special Climate Change Fund (SCCF) was established to support adaptation and technology transfer in all developing country parties to the UNFCCC. All Non-Annex 1 countries are eligible to apply.</w:t>
            </w:r>
          </w:p>
        </w:tc>
      </w:tr>
      <w:tr w:rsidR="00762C9B" w:rsidRPr="001346FF" w:rsidTr="001346FF">
        <w:tc>
          <w:tcPr>
            <w:tcW w:w="3227" w:type="dxa"/>
            <w:shd w:val="clear" w:color="auto" w:fill="auto"/>
          </w:tcPr>
          <w:p w:rsidR="00762C9B" w:rsidRPr="001346FF" w:rsidRDefault="00762C9B" w:rsidP="001346FF">
            <w:pPr>
              <w:spacing w:after="120"/>
              <w:jc w:val="left"/>
              <w:rPr>
                <w:szCs w:val="21"/>
              </w:rPr>
            </w:pPr>
            <w:r w:rsidRPr="001346FF">
              <w:rPr>
                <w:szCs w:val="21"/>
              </w:rPr>
              <w:t>Support from European Bank for Reconstruction and Development</w:t>
            </w:r>
          </w:p>
        </w:tc>
        <w:tc>
          <w:tcPr>
            <w:tcW w:w="5528" w:type="dxa"/>
            <w:shd w:val="clear" w:color="auto" w:fill="auto"/>
          </w:tcPr>
          <w:p w:rsidR="00762C9B" w:rsidRPr="001346FF" w:rsidRDefault="00762C9B" w:rsidP="00E31704">
            <w:pPr>
              <w:spacing w:after="120"/>
              <w:jc w:val="left"/>
              <w:rPr>
                <w:szCs w:val="21"/>
              </w:rPr>
            </w:pPr>
            <w:r w:rsidRPr="001346FF">
              <w:rPr>
                <w:szCs w:val="21"/>
                <w:lang w:eastAsia="en-GB"/>
              </w:rPr>
              <w:t>EBRD provides project financing for banks, industries and businesses, both new ventures and investments in existing companies. The Bank also works with publicly owned companies.</w:t>
            </w:r>
            <w:r w:rsidR="00E31704">
              <w:rPr>
                <w:szCs w:val="21"/>
                <w:lang w:eastAsia="en-GB"/>
              </w:rPr>
              <w:t xml:space="preserve"> EBRD’s financing is available to all partner countries (see Annex 2).</w:t>
            </w:r>
          </w:p>
        </w:tc>
      </w:tr>
      <w:tr w:rsidR="00762C9B" w:rsidRPr="001346FF" w:rsidTr="001346FF">
        <w:tc>
          <w:tcPr>
            <w:tcW w:w="3227" w:type="dxa"/>
            <w:shd w:val="clear" w:color="auto" w:fill="auto"/>
          </w:tcPr>
          <w:p w:rsidR="00762C9B" w:rsidRPr="001346FF" w:rsidRDefault="00762C9B" w:rsidP="001346FF">
            <w:pPr>
              <w:spacing w:after="120"/>
              <w:jc w:val="left"/>
              <w:rPr>
                <w:szCs w:val="21"/>
              </w:rPr>
            </w:pPr>
            <w:r w:rsidRPr="001346FF">
              <w:rPr>
                <w:szCs w:val="21"/>
              </w:rPr>
              <w:t>Support from European Investment Bank</w:t>
            </w:r>
          </w:p>
        </w:tc>
        <w:tc>
          <w:tcPr>
            <w:tcW w:w="5528" w:type="dxa"/>
            <w:shd w:val="clear" w:color="auto" w:fill="auto"/>
          </w:tcPr>
          <w:p w:rsidR="00762C9B" w:rsidRPr="001346FF" w:rsidRDefault="00762C9B" w:rsidP="001346FF">
            <w:pPr>
              <w:spacing w:after="120"/>
              <w:jc w:val="left"/>
              <w:rPr>
                <w:szCs w:val="21"/>
              </w:rPr>
            </w:pPr>
            <w:r w:rsidRPr="001346FF">
              <w:rPr>
                <w:szCs w:val="21"/>
                <w:lang w:eastAsia="en-GB"/>
              </w:rPr>
              <w:t>The EIB supports the EU Neighbourhood Policy in the Eastern Partner Countries by financing projects of significant EU interest. This mandate is for projects of significant interest to the EU in transport, energy, telecommunications and environmental infrastructure, and as of mid-2009 has been extended to cover also loans for SMEs via banks in Eastern Partnership countries within the framework of the Joint IFI Action Plan.</w:t>
            </w:r>
            <w:r w:rsidR="00E31704">
              <w:rPr>
                <w:szCs w:val="21"/>
                <w:lang w:eastAsia="en-GB"/>
              </w:rPr>
              <w:t xml:space="preserve"> EIB’s financing is available to </w:t>
            </w:r>
            <w:r w:rsidR="00E31704" w:rsidRPr="00E31704">
              <w:rPr>
                <w:szCs w:val="21"/>
                <w:lang w:eastAsia="en-GB"/>
              </w:rPr>
              <w:t>Russia, Ukraine, Moldova, Armenia, Azerbaijan, Georgia, and subject to future Council and European Parliament Agreement, Belarus.</w:t>
            </w:r>
          </w:p>
        </w:tc>
      </w:tr>
      <w:tr w:rsidR="00762C9B" w:rsidRPr="001346FF" w:rsidTr="001346FF">
        <w:tc>
          <w:tcPr>
            <w:tcW w:w="8755" w:type="dxa"/>
            <w:gridSpan w:val="2"/>
            <w:shd w:val="clear" w:color="auto" w:fill="auto"/>
          </w:tcPr>
          <w:p w:rsidR="00762C9B" w:rsidRPr="001346FF" w:rsidRDefault="00762C9B" w:rsidP="001346FF">
            <w:pPr>
              <w:spacing w:after="120"/>
              <w:jc w:val="center"/>
              <w:rPr>
                <w:szCs w:val="21"/>
              </w:rPr>
            </w:pPr>
            <w:r w:rsidRPr="001346FF">
              <w:rPr>
                <w:b/>
                <w:szCs w:val="21"/>
              </w:rPr>
              <w:t>Reputational</w:t>
            </w:r>
          </w:p>
        </w:tc>
      </w:tr>
      <w:tr w:rsidR="00762C9B" w:rsidRPr="001346FF" w:rsidTr="001346FF">
        <w:tc>
          <w:tcPr>
            <w:tcW w:w="3227" w:type="dxa"/>
            <w:shd w:val="clear" w:color="auto" w:fill="auto"/>
          </w:tcPr>
          <w:p w:rsidR="00762C9B" w:rsidRPr="001346FF" w:rsidRDefault="00762C9B" w:rsidP="001346FF">
            <w:pPr>
              <w:spacing w:after="120"/>
              <w:jc w:val="left"/>
              <w:rPr>
                <w:szCs w:val="21"/>
              </w:rPr>
            </w:pPr>
            <w:r w:rsidRPr="001346FF">
              <w:rPr>
                <w:szCs w:val="21"/>
              </w:rPr>
              <w:t>Sustainability index scheme or equivalent voluntary mechanism indicating (or awarding) sustainable (environment-friendly) behaviour of the company, where general public can freely access information on participating companies’ sustainability index</w:t>
            </w:r>
          </w:p>
        </w:tc>
        <w:tc>
          <w:tcPr>
            <w:tcW w:w="5528" w:type="dxa"/>
            <w:shd w:val="clear" w:color="auto" w:fill="auto"/>
          </w:tcPr>
          <w:p w:rsidR="00762C9B" w:rsidRPr="001346FF" w:rsidRDefault="00762C9B" w:rsidP="001346FF">
            <w:pPr>
              <w:spacing w:after="120"/>
              <w:jc w:val="left"/>
              <w:rPr>
                <w:szCs w:val="21"/>
              </w:rPr>
            </w:pPr>
            <w:r w:rsidRPr="001346FF">
              <w:rPr>
                <w:szCs w:val="21"/>
              </w:rPr>
              <w:t xml:space="preserve">Development of tool for “measuring” undertakings’ sustainability does not require significant resources. Such tool should be available on a voluntary basis for undertakings to measure, how environment friendly they are, and to provide a possibility for public to get introduced with the environmental behaviour of the relative undertakings. Usually such mechanisms are administered by state-affiliated agencies or NGOs. </w:t>
            </w:r>
          </w:p>
        </w:tc>
      </w:tr>
      <w:tr w:rsidR="00762C9B" w:rsidRPr="001346FF" w:rsidTr="001346FF">
        <w:tc>
          <w:tcPr>
            <w:tcW w:w="3227" w:type="dxa"/>
            <w:shd w:val="clear" w:color="auto" w:fill="auto"/>
          </w:tcPr>
          <w:p w:rsidR="00762C9B" w:rsidRPr="001346FF" w:rsidRDefault="00762C9B" w:rsidP="001346FF">
            <w:pPr>
              <w:spacing w:after="120"/>
              <w:jc w:val="left"/>
              <w:rPr>
                <w:szCs w:val="21"/>
              </w:rPr>
            </w:pPr>
            <w:r w:rsidRPr="001346FF">
              <w:rPr>
                <w:szCs w:val="21"/>
              </w:rPr>
              <w:t>Eco-labelling scheme</w:t>
            </w:r>
          </w:p>
        </w:tc>
        <w:tc>
          <w:tcPr>
            <w:tcW w:w="5528" w:type="dxa"/>
            <w:shd w:val="clear" w:color="auto" w:fill="auto"/>
          </w:tcPr>
          <w:p w:rsidR="00762C9B" w:rsidRPr="001346FF" w:rsidRDefault="00762C9B" w:rsidP="001346FF">
            <w:pPr>
              <w:spacing w:after="120"/>
              <w:jc w:val="left"/>
              <w:rPr>
                <w:szCs w:val="21"/>
              </w:rPr>
            </w:pPr>
            <w:r w:rsidRPr="001346FF">
              <w:rPr>
                <w:szCs w:val="21"/>
              </w:rPr>
              <w:t xml:space="preserve">Eco-labelling schemes are becoming more and more popular in a number of states and regions (e.g., EU eco-label, Nordic </w:t>
            </w:r>
            <w:proofErr w:type="spellStart"/>
            <w:r w:rsidRPr="001346FF">
              <w:rPr>
                <w:szCs w:val="21"/>
              </w:rPr>
              <w:t>Ecolabel</w:t>
            </w:r>
            <w:proofErr w:type="spellEnd"/>
            <w:r w:rsidRPr="001346FF">
              <w:rPr>
                <w:szCs w:val="21"/>
              </w:rPr>
              <w:t xml:space="preserve">). Eco-labels have proved to be a valuable reputational tool, as it immediately indicates that a product or service is environmentally sound, thus allowing potential buyers to make respective choices. Taking into consideration that lately more and more consumers choose to buy ecological or environment friendly products, the development of reliable, approved </w:t>
            </w:r>
            <w:r w:rsidRPr="001346FF">
              <w:rPr>
                <w:szCs w:val="21"/>
              </w:rPr>
              <w:lastRenderedPageBreak/>
              <w:t xml:space="preserve">eco-labelling scheme would serve as a useful incentive tool. Yet the emphasis has to be put on the fact that in the case of absence of any ecological labelling systems in the country, sophisticated informative campaigns have to be carried out in order to ensure the desired effect of the newly-introduced scheme. </w:t>
            </w:r>
          </w:p>
        </w:tc>
      </w:tr>
      <w:tr w:rsidR="00762C9B" w:rsidRPr="001346FF" w:rsidTr="001346FF">
        <w:tc>
          <w:tcPr>
            <w:tcW w:w="3227" w:type="dxa"/>
            <w:shd w:val="clear" w:color="auto" w:fill="auto"/>
          </w:tcPr>
          <w:p w:rsidR="00762C9B" w:rsidRPr="001346FF" w:rsidRDefault="00762C9B" w:rsidP="001346FF">
            <w:pPr>
              <w:spacing w:after="120"/>
              <w:jc w:val="left"/>
              <w:rPr>
                <w:szCs w:val="21"/>
              </w:rPr>
            </w:pPr>
            <w:r w:rsidRPr="001346FF">
              <w:rPr>
                <w:szCs w:val="21"/>
              </w:rPr>
              <w:lastRenderedPageBreak/>
              <w:t>Environmental management scheme (e.g. ISO 14001)</w:t>
            </w:r>
          </w:p>
        </w:tc>
        <w:tc>
          <w:tcPr>
            <w:tcW w:w="5528" w:type="dxa"/>
            <w:shd w:val="clear" w:color="auto" w:fill="auto"/>
          </w:tcPr>
          <w:p w:rsidR="00762C9B" w:rsidRPr="001346FF" w:rsidRDefault="00762C9B" w:rsidP="001346FF">
            <w:pPr>
              <w:spacing w:after="120"/>
              <w:jc w:val="left"/>
              <w:rPr>
                <w:szCs w:val="21"/>
              </w:rPr>
            </w:pPr>
            <w:r w:rsidRPr="001346FF">
              <w:rPr>
                <w:szCs w:val="21"/>
              </w:rPr>
              <w:t>Environmental management system (EMS) is described as a “tool that provides organisations with a method to systematically manage and improve the environmental aspects of their production processes; it helps organisations to achieve their environmental obligations and performance goals”</w:t>
            </w:r>
            <w:r w:rsidRPr="001346FF">
              <w:rPr>
                <w:rStyle w:val="FootnoteReference"/>
              </w:rPr>
              <w:footnoteReference w:id="61"/>
            </w:r>
            <w:r w:rsidRPr="001346FF">
              <w:rPr>
                <w:szCs w:val="21"/>
              </w:rPr>
              <w:t xml:space="preserve">. The countries can choose either to develop a system for application of internationally recognized EMS (like ISO 14001) or develop their own state-specific system. In order to make such system more reliable, it is recommended to establish a basis, for example, developing it as a part of standard, which is administered by an independent body or state-affiliated agency. Adoption of internationally recognized EMS is recommended, as it allows to successfully </w:t>
            </w:r>
            <w:proofErr w:type="gramStart"/>
            <w:r w:rsidRPr="001346FF">
              <w:rPr>
                <w:szCs w:val="21"/>
              </w:rPr>
              <w:t>compete</w:t>
            </w:r>
            <w:proofErr w:type="gramEnd"/>
            <w:r w:rsidRPr="001346FF">
              <w:rPr>
                <w:szCs w:val="21"/>
              </w:rPr>
              <w:t xml:space="preserve"> in foreign markets, where green procurement principle is relevant.</w:t>
            </w:r>
          </w:p>
        </w:tc>
      </w:tr>
      <w:tr w:rsidR="00762C9B" w:rsidRPr="001346FF" w:rsidTr="001346FF">
        <w:tc>
          <w:tcPr>
            <w:tcW w:w="3227" w:type="dxa"/>
            <w:shd w:val="clear" w:color="auto" w:fill="auto"/>
          </w:tcPr>
          <w:p w:rsidR="00762C9B" w:rsidRPr="001346FF" w:rsidRDefault="00762C9B" w:rsidP="001346FF">
            <w:pPr>
              <w:spacing w:after="120"/>
              <w:jc w:val="left"/>
              <w:rPr>
                <w:szCs w:val="21"/>
              </w:rPr>
            </w:pPr>
            <w:r w:rsidRPr="001346FF">
              <w:rPr>
                <w:szCs w:val="21"/>
              </w:rPr>
              <w:t>Organization of Green Week/events ensuring possibility for undertakings to take active part (incl. regional and local environmental events and ensuring involvement of regional and local authorities in organizations of such events)</w:t>
            </w:r>
          </w:p>
        </w:tc>
        <w:tc>
          <w:tcPr>
            <w:tcW w:w="5528" w:type="dxa"/>
            <w:shd w:val="clear" w:color="auto" w:fill="auto"/>
          </w:tcPr>
          <w:p w:rsidR="00762C9B" w:rsidRPr="001346FF" w:rsidRDefault="00762C9B" w:rsidP="001346FF">
            <w:pPr>
              <w:spacing w:after="120"/>
              <w:jc w:val="left"/>
              <w:rPr>
                <w:szCs w:val="21"/>
              </w:rPr>
            </w:pPr>
            <w:r w:rsidRPr="001346FF">
              <w:rPr>
                <w:szCs w:val="21"/>
              </w:rPr>
              <w:t xml:space="preserve">One of the ways for an undertaking to manifest its commitment to care about the environment is by taking active part in environmental behaviour stimulating activities. This can be undertaken in the framework of state organized Green Weeks, that can contain such events as a Big Clean-up of surroundings, where all of the interested ones can take part, starting with individuals and ending with undertakings, who can not only participate in cleaning works, but also, for example, sponsor the purchase of materials as rakes, shovels, garbage bags, gloves etc.  Another example of possible event topic is “chemical safety”, </w:t>
            </w:r>
            <w:proofErr w:type="gramStart"/>
            <w:r w:rsidRPr="001346FF">
              <w:rPr>
                <w:szCs w:val="21"/>
              </w:rPr>
              <w:t>which  raises</w:t>
            </w:r>
            <w:proofErr w:type="gramEnd"/>
            <w:r w:rsidRPr="001346FF">
              <w:rPr>
                <w:szCs w:val="21"/>
              </w:rPr>
              <w:t xml:space="preserve"> awareness on risks related to use of chemicals in production process and the impact of chemical waste. Such event can be generally organized by state or NGO, which would also ensure the subsequent publication of data on participation, results etc.</w:t>
            </w:r>
          </w:p>
        </w:tc>
      </w:tr>
    </w:tbl>
    <w:p w:rsidR="00762C9B" w:rsidRPr="001346FF" w:rsidRDefault="00762C9B" w:rsidP="00762C9B">
      <w:pPr>
        <w:spacing w:after="120"/>
      </w:pPr>
    </w:p>
    <w:p w:rsidR="00762C9B" w:rsidRPr="001346FF" w:rsidRDefault="00762C9B" w:rsidP="00762C9B">
      <w:pPr>
        <w:pStyle w:val="Heading2"/>
      </w:pPr>
      <w:bookmarkStart w:id="56" w:name="_Toc384307268"/>
      <w:bookmarkStart w:id="57" w:name="_Toc387396934"/>
      <w:r w:rsidRPr="001346FF">
        <w:lastRenderedPageBreak/>
        <w:t>Tools and instruments available to individuals</w:t>
      </w:r>
      <w:bookmarkEnd w:id="56"/>
      <w:bookmarkEnd w:id="57"/>
    </w:p>
    <w:p w:rsidR="00762C9B" w:rsidRPr="001346FF" w:rsidRDefault="00762C9B" w:rsidP="00762C9B">
      <w:pPr>
        <w:rPr>
          <w:lang w:eastAsia="en-GB"/>
        </w:rPr>
      </w:pPr>
      <w:r w:rsidRPr="001346FF">
        <w:rPr>
          <w:lang w:eastAsia="en-GB"/>
        </w:rPr>
        <w:t>In addition to the above-discussed sources of pollution, it is important to remember that rather significant volumes of pollution are directly resulting from the behaviour of individuals. Contrary to the previously described measures, relevant to the business target groups, the measures targeting general population will not be divided in the sub-categories, as some of them are not relevant and such measures can be oftentimes described as a mix of different types of incentives.</w:t>
      </w:r>
    </w:p>
    <w:p w:rsidR="00762C9B" w:rsidRPr="001346FF" w:rsidRDefault="00762C9B" w:rsidP="00762C9B">
      <w:pPr>
        <w:spacing w:after="120"/>
      </w:pPr>
    </w:p>
    <w:p w:rsidR="00762C9B" w:rsidRPr="001346FF" w:rsidRDefault="00762C9B" w:rsidP="00762C9B">
      <w:pPr>
        <w:spacing w:after="120"/>
        <w:rPr>
          <w:b/>
          <w:i/>
        </w:rPr>
      </w:pPr>
      <w:proofErr w:type="gramStart"/>
      <w:r w:rsidRPr="001346FF">
        <w:rPr>
          <w:b/>
          <w:i/>
        </w:rPr>
        <w:t>Table 3.</w:t>
      </w:r>
      <w:proofErr w:type="gramEnd"/>
      <w:r w:rsidRPr="001346FF">
        <w:rPr>
          <w:b/>
          <w:i/>
        </w:rPr>
        <w:t xml:space="preserve">  Tools and instruments available to individuals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6031"/>
      </w:tblGrid>
      <w:tr w:rsidR="001346FF" w:rsidRPr="001346FF" w:rsidTr="001346FF">
        <w:tc>
          <w:tcPr>
            <w:tcW w:w="2724" w:type="dxa"/>
            <w:shd w:val="clear" w:color="auto" w:fill="C6D9F1"/>
          </w:tcPr>
          <w:p w:rsidR="00762C9B" w:rsidRPr="001346FF" w:rsidRDefault="00762C9B" w:rsidP="001346FF">
            <w:pPr>
              <w:spacing w:after="120"/>
              <w:jc w:val="center"/>
              <w:rPr>
                <w:b/>
                <w:szCs w:val="21"/>
              </w:rPr>
            </w:pPr>
            <w:r w:rsidRPr="001346FF">
              <w:rPr>
                <w:b/>
                <w:szCs w:val="21"/>
              </w:rPr>
              <w:t>Measure</w:t>
            </w:r>
          </w:p>
        </w:tc>
        <w:tc>
          <w:tcPr>
            <w:tcW w:w="6031" w:type="dxa"/>
            <w:shd w:val="clear" w:color="auto" w:fill="C6D9F1"/>
          </w:tcPr>
          <w:p w:rsidR="00762C9B" w:rsidRPr="001346FF" w:rsidRDefault="00762C9B" w:rsidP="001346FF">
            <w:pPr>
              <w:spacing w:after="120"/>
              <w:jc w:val="center"/>
              <w:rPr>
                <w:b/>
                <w:szCs w:val="21"/>
              </w:rPr>
            </w:pPr>
            <w:r w:rsidRPr="001346FF">
              <w:rPr>
                <w:b/>
                <w:szCs w:val="21"/>
              </w:rPr>
              <w:t>Comments</w:t>
            </w:r>
          </w:p>
        </w:tc>
      </w:tr>
      <w:tr w:rsidR="00762C9B" w:rsidRPr="001346FF" w:rsidTr="001346FF">
        <w:tc>
          <w:tcPr>
            <w:tcW w:w="2724" w:type="dxa"/>
            <w:shd w:val="clear" w:color="auto" w:fill="auto"/>
          </w:tcPr>
          <w:p w:rsidR="00762C9B" w:rsidRPr="001346FF" w:rsidRDefault="00762C9B" w:rsidP="001346FF">
            <w:pPr>
              <w:spacing w:after="120"/>
              <w:jc w:val="left"/>
              <w:rPr>
                <w:szCs w:val="21"/>
              </w:rPr>
            </w:pPr>
            <w:r w:rsidRPr="001346FF">
              <w:rPr>
                <w:szCs w:val="21"/>
              </w:rPr>
              <w:t>Sophisticated informational campaigns oriented on resource efficiency, sustainable consumption, energy saving and environmental-friendly behaviour in general</w:t>
            </w:r>
          </w:p>
        </w:tc>
        <w:tc>
          <w:tcPr>
            <w:tcW w:w="6031" w:type="dxa"/>
            <w:shd w:val="clear" w:color="auto" w:fill="auto"/>
          </w:tcPr>
          <w:p w:rsidR="00762C9B" w:rsidRPr="001346FF" w:rsidRDefault="00762C9B" w:rsidP="001346FF">
            <w:pPr>
              <w:spacing w:after="120"/>
              <w:jc w:val="left"/>
              <w:rPr>
                <w:szCs w:val="21"/>
              </w:rPr>
            </w:pPr>
            <w:r w:rsidRPr="001346FF">
              <w:rPr>
                <w:szCs w:val="21"/>
              </w:rPr>
              <w:t xml:space="preserve">One of the main and the first measures to be implemented prior to development of thorough set of environmental incentives is the organization of sophisticated educational campaign and implementation of actions, oriented towards educated the general public on their impact on environment and the ways they can reduce their impact. The use of different media (incl. social media as Facebook, Twitter, blogs, as well as newspapers, TV, radio) is crucial in effective dissemination of information to various target groups. As the environmental-friendly behaviour goes hand-in-hand with resource efficiency and energy saving, the public also has to be informed on ways to save money while being environment friendly. This will serve as a stimulus to shift towards “green living”. </w:t>
            </w:r>
          </w:p>
        </w:tc>
      </w:tr>
      <w:tr w:rsidR="00762C9B" w:rsidRPr="001346FF" w:rsidTr="001346FF">
        <w:tc>
          <w:tcPr>
            <w:tcW w:w="2724" w:type="dxa"/>
            <w:shd w:val="clear" w:color="auto" w:fill="auto"/>
          </w:tcPr>
          <w:p w:rsidR="00762C9B" w:rsidRPr="001346FF" w:rsidRDefault="00762C9B" w:rsidP="001346FF">
            <w:pPr>
              <w:spacing w:after="120"/>
              <w:jc w:val="left"/>
              <w:rPr>
                <w:szCs w:val="21"/>
              </w:rPr>
            </w:pPr>
            <w:r w:rsidRPr="001346FF">
              <w:rPr>
                <w:szCs w:val="21"/>
              </w:rPr>
              <w:t>Organization of Green events (e.g., Green Mobility, Big Clean-up, Earth Hour), as well as introduction of sustainability principles in other events (e.g. festivals, concerts)</w:t>
            </w:r>
          </w:p>
        </w:tc>
        <w:tc>
          <w:tcPr>
            <w:tcW w:w="6031" w:type="dxa"/>
            <w:shd w:val="clear" w:color="auto" w:fill="auto"/>
          </w:tcPr>
          <w:p w:rsidR="00762C9B" w:rsidRPr="001346FF" w:rsidRDefault="00762C9B" w:rsidP="001346FF">
            <w:pPr>
              <w:spacing w:after="120"/>
              <w:jc w:val="left"/>
              <w:rPr>
                <w:szCs w:val="21"/>
              </w:rPr>
            </w:pPr>
            <w:r w:rsidRPr="001346FF">
              <w:rPr>
                <w:szCs w:val="21"/>
              </w:rPr>
              <w:t xml:space="preserve">Organization of Green events is first of all oriented on education of public in relation to particular environmental issues, thus stimulating environmental awareness among different target groups (also businesses – see Table 2). For example, Green Mobility week can promote use of environment-friendlier means of transportation, organizing biking events, making discounts for public transports in the duration of event etc. In the framework of the Green Mobility Week the government/municipality can implement also more tangible measures, like build new biking infrastructure or infrastructure for electro-mobiles. At the same time Earth Hour, which is one of the biggest campaigns in the world, turns attention to energy efficiency and emission reduction. It can also be practiced by both – individual and </w:t>
            </w:r>
            <w:proofErr w:type="gramStart"/>
            <w:r w:rsidRPr="001346FF">
              <w:rPr>
                <w:szCs w:val="21"/>
              </w:rPr>
              <w:t>enterprises,</w:t>
            </w:r>
            <w:proofErr w:type="gramEnd"/>
            <w:r w:rsidRPr="001346FF">
              <w:rPr>
                <w:szCs w:val="21"/>
              </w:rPr>
              <w:t xml:space="preserve"> and various informational events can be organized prior and after the Earth Hour. </w:t>
            </w:r>
          </w:p>
        </w:tc>
      </w:tr>
      <w:tr w:rsidR="00762C9B" w:rsidRPr="001346FF" w:rsidTr="001346FF">
        <w:tc>
          <w:tcPr>
            <w:tcW w:w="2724" w:type="dxa"/>
            <w:shd w:val="clear" w:color="auto" w:fill="auto"/>
          </w:tcPr>
          <w:p w:rsidR="00762C9B" w:rsidRPr="001346FF" w:rsidRDefault="00762C9B" w:rsidP="00D73464">
            <w:pPr>
              <w:keepNext/>
              <w:keepLines/>
              <w:spacing w:after="120"/>
              <w:jc w:val="left"/>
              <w:rPr>
                <w:szCs w:val="21"/>
              </w:rPr>
            </w:pPr>
            <w:r w:rsidRPr="001346FF">
              <w:rPr>
                <w:szCs w:val="21"/>
              </w:rPr>
              <w:lastRenderedPageBreak/>
              <w:t>Designation of low emission zones</w:t>
            </w:r>
            <w:r w:rsidRPr="001346FF">
              <w:rPr>
                <w:rStyle w:val="FootnoteReference"/>
              </w:rPr>
              <w:footnoteReference w:id="62"/>
            </w:r>
          </w:p>
        </w:tc>
        <w:tc>
          <w:tcPr>
            <w:tcW w:w="6031" w:type="dxa"/>
            <w:shd w:val="clear" w:color="auto" w:fill="auto"/>
          </w:tcPr>
          <w:p w:rsidR="00762C9B" w:rsidRPr="001346FF" w:rsidRDefault="00762C9B" w:rsidP="00D73464">
            <w:pPr>
              <w:keepNext/>
              <w:keepLines/>
              <w:spacing w:after="120"/>
              <w:jc w:val="left"/>
              <w:rPr>
                <w:szCs w:val="21"/>
              </w:rPr>
            </w:pPr>
            <w:r w:rsidRPr="001346FF">
              <w:rPr>
                <w:szCs w:val="21"/>
              </w:rPr>
              <w:t>Low emission zones or environmental zones are introduced with a purpose to improve the air quality in particular territory (usually-part of the city or even the whole city). The emission levels of vehicles are oftentimes tied to the year of production and type of fuel, therefore, prohibition of entry or higher entry charges for old vehicles will serve as a stimulating tool to shift towards cleaner vehicles. Yet it has to be kept in mind that in such case the fiscal system has to support the purchase of new, cleaner vehicles, for example, by lowering tax for new cars/cleaner cars.</w:t>
            </w:r>
          </w:p>
        </w:tc>
      </w:tr>
      <w:tr w:rsidR="00762C9B" w:rsidRPr="001346FF" w:rsidTr="001346FF">
        <w:tc>
          <w:tcPr>
            <w:tcW w:w="2724" w:type="dxa"/>
            <w:shd w:val="clear" w:color="auto" w:fill="auto"/>
          </w:tcPr>
          <w:p w:rsidR="00762C9B" w:rsidRPr="001346FF" w:rsidRDefault="00762C9B" w:rsidP="001346FF">
            <w:pPr>
              <w:spacing w:after="120"/>
              <w:jc w:val="left"/>
              <w:rPr>
                <w:szCs w:val="21"/>
              </w:rPr>
            </w:pPr>
            <w:r w:rsidRPr="001346FF">
              <w:rPr>
                <w:szCs w:val="21"/>
              </w:rPr>
              <w:t>Financial aid to households</w:t>
            </w:r>
          </w:p>
        </w:tc>
        <w:tc>
          <w:tcPr>
            <w:tcW w:w="6031" w:type="dxa"/>
            <w:shd w:val="clear" w:color="auto" w:fill="auto"/>
          </w:tcPr>
          <w:p w:rsidR="00762C9B" w:rsidRPr="001346FF" w:rsidRDefault="00762C9B" w:rsidP="001346FF">
            <w:pPr>
              <w:spacing w:after="120"/>
              <w:jc w:val="left"/>
              <w:rPr>
                <w:szCs w:val="21"/>
              </w:rPr>
            </w:pPr>
            <w:r w:rsidRPr="001346FF">
              <w:rPr>
                <w:szCs w:val="21"/>
              </w:rPr>
              <w:t>Government can provide financial aid to households that intend to save energy, for example, by improving house’s insulation or acquiring energy efficient appliances, as new boilers etc. The financial aid can be demonstrated by e.g. zero-interest loans or partial financing. Also promotion of installation of solar panels can reduce emissions. Though partner countries have to assess, whether such measure is suitable for their climatic conditions.</w:t>
            </w:r>
          </w:p>
        </w:tc>
      </w:tr>
      <w:tr w:rsidR="00762C9B" w:rsidRPr="001346FF" w:rsidTr="001346FF">
        <w:tc>
          <w:tcPr>
            <w:tcW w:w="2724" w:type="dxa"/>
            <w:shd w:val="clear" w:color="auto" w:fill="auto"/>
          </w:tcPr>
          <w:p w:rsidR="00762C9B" w:rsidRPr="001346FF" w:rsidRDefault="00762C9B" w:rsidP="001346FF">
            <w:pPr>
              <w:spacing w:after="120"/>
              <w:jc w:val="left"/>
              <w:rPr>
                <w:szCs w:val="21"/>
              </w:rPr>
            </w:pPr>
            <w:r w:rsidRPr="001346FF">
              <w:rPr>
                <w:szCs w:val="21"/>
              </w:rPr>
              <w:t>Development of green mobility supporting infrastructure</w:t>
            </w:r>
          </w:p>
        </w:tc>
        <w:tc>
          <w:tcPr>
            <w:tcW w:w="6031" w:type="dxa"/>
            <w:shd w:val="clear" w:color="auto" w:fill="auto"/>
          </w:tcPr>
          <w:p w:rsidR="00762C9B" w:rsidRPr="001346FF" w:rsidRDefault="00762C9B" w:rsidP="001346FF">
            <w:pPr>
              <w:spacing w:after="120"/>
              <w:jc w:val="left"/>
              <w:rPr>
                <w:szCs w:val="21"/>
              </w:rPr>
            </w:pPr>
            <w:r w:rsidRPr="001346FF">
              <w:rPr>
                <w:szCs w:val="21"/>
              </w:rPr>
              <w:t>Shift to alternative and more environment friendly means of transport can be also stimulated by development of appropriate infrastructure, for example, expanding network of bike paths, providing bike rental services/stands, developing network of public transport, introducing Park and Ride</w:t>
            </w:r>
            <w:r w:rsidRPr="001346FF">
              <w:rPr>
                <w:rStyle w:val="FootnoteReference"/>
              </w:rPr>
              <w:footnoteReference w:id="63"/>
            </w:r>
            <w:r w:rsidRPr="001346FF">
              <w:rPr>
                <w:szCs w:val="21"/>
              </w:rPr>
              <w:t xml:space="preserve"> systems. </w:t>
            </w:r>
          </w:p>
        </w:tc>
      </w:tr>
      <w:tr w:rsidR="00762C9B" w:rsidRPr="001346FF" w:rsidTr="001346FF">
        <w:tc>
          <w:tcPr>
            <w:tcW w:w="2724" w:type="dxa"/>
            <w:shd w:val="clear" w:color="auto" w:fill="auto"/>
          </w:tcPr>
          <w:p w:rsidR="00762C9B" w:rsidRPr="001346FF" w:rsidRDefault="00762C9B" w:rsidP="001346FF">
            <w:pPr>
              <w:spacing w:after="120"/>
              <w:jc w:val="left"/>
              <w:rPr>
                <w:szCs w:val="21"/>
              </w:rPr>
            </w:pPr>
            <w:r w:rsidRPr="001346FF">
              <w:rPr>
                <w:szCs w:val="21"/>
              </w:rPr>
              <w:t>Popularization of “</w:t>
            </w:r>
            <w:proofErr w:type="spellStart"/>
            <w:r w:rsidRPr="001346FF">
              <w:rPr>
                <w:szCs w:val="21"/>
              </w:rPr>
              <w:t>ecodriving</w:t>
            </w:r>
            <w:proofErr w:type="spellEnd"/>
            <w:r w:rsidRPr="001346FF">
              <w:rPr>
                <w:szCs w:val="21"/>
              </w:rPr>
              <w:t>”</w:t>
            </w:r>
          </w:p>
        </w:tc>
        <w:tc>
          <w:tcPr>
            <w:tcW w:w="6031" w:type="dxa"/>
            <w:shd w:val="clear" w:color="auto" w:fill="auto"/>
          </w:tcPr>
          <w:p w:rsidR="00762C9B" w:rsidRPr="001346FF" w:rsidRDefault="00762C9B" w:rsidP="001346FF">
            <w:pPr>
              <w:spacing w:after="120"/>
              <w:jc w:val="left"/>
              <w:rPr>
                <w:szCs w:val="21"/>
              </w:rPr>
            </w:pPr>
            <w:r w:rsidRPr="001346FF">
              <w:rPr>
                <w:szCs w:val="21"/>
              </w:rPr>
              <w:t xml:space="preserve">Appropriate way of driving a vehicle can considerably decrease the vehicle emissions. Therefore inclusion of </w:t>
            </w:r>
            <w:proofErr w:type="spellStart"/>
            <w:r w:rsidRPr="001346FF">
              <w:rPr>
                <w:szCs w:val="21"/>
              </w:rPr>
              <w:t>ecodriving</w:t>
            </w:r>
            <w:proofErr w:type="spellEnd"/>
            <w:r w:rsidRPr="001346FF">
              <w:rPr>
                <w:szCs w:val="21"/>
              </w:rPr>
              <w:t xml:space="preserve"> course in the mandatory driving licence acquisition course (e.g. devoting one lesson to learning, how to drive more efficiently) can make fuel efficient driving a habit for drivers, thus increasing possibility of using such driving style on a daily basis.</w:t>
            </w:r>
          </w:p>
        </w:tc>
      </w:tr>
      <w:tr w:rsidR="00762C9B" w:rsidRPr="001346FF" w:rsidTr="001346FF">
        <w:tc>
          <w:tcPr>
            <w:tcW w:w="2724" w:type="dxa"/>
            <w:shd w:val="clear" w:color="auto" w:fill="auto"/>
          </w:tcPr>
          <w:p w:rsidR="00762C9B" w:rsidRPr="001346FF" w:rsidRDefault="00762C9B" w:rsidP="001346FF">
            <w:pPr>
              <w:spacing w:after="120"/>
              <w:jc w:val="left"/>
              <w:rPr>
                <w:szCs w:val="21"/>
              </w:rPr>
            </w:pPr>
            <w:r w:rsidRPr="001346FF">
              <w:rPr>
                <w:szCs w:val="21"/>
              </w:rPr>
              <w:t>Impelling fiscal policy</w:t>
            </w:r>
          </w:p>
        </w:tc>
        <w:tc>
          <w:tcPr>
            <w:tcW w:w="6031" w:type="dxa"/>
            <w:shd w:val="clear" w:color="auto" w:fill="auto"/>
          </w:tcPr>
          <w:p w:rsidR="00762C9B" w:rsidRPr="001346FF" w:rsidRDefault="00762C9B" w:rsidP="001346FF">
            <w:pPr>
              <w:spacing w:after="120"/>
              <w:jc w:val="left"/>
              <w:rPr>
                <w:szCs w:val="21"/>
              </w:rPr>
            </w:pPr>
            <w:r w:rsidRPr="001346FF">
              <w:rPr>
                <w:szCs w:val="21"/>
              </w:rPr>
              <w:t xml:space="preserve">One of the ways to facilitate shift towards more environment friendly consumer choices is by establishing the appropriate fiscal policy. For example, decreasing taxes for more environment friendly products and services (e.g. newer vehicles, using heat from green energy sources etc.) and accordingly setting the increased tax rates for more polluting products as old vehicles (some exceptions possible in case of </w:t>
            </w:r>
            <w:r w:rsidRPr="001346FF">
              <w:rPr>
                <w:szCs w:val="21"/>
              </w:rPr>
              <w:lastRenderedPageBreak/>
              <w:t>antique vehicles), using fossil fuels for heating/energy etc.</w:t>
            </w:r>
          </w:p>
        </w:tc>
      </w:tr>
      <w:tr w:rsidR="00762C9B" w:rsidRPr="001346FF" w:rsidTr="001346FF">
        <w:tc>
          <w:tcPr>
            <w:tcW w:w="2724" w:type="dxa"/>
            <w:shd w:val="clear" w:color="auto" w:fill="auto"/>
          </w:tcPr>
          <w:p w:rsidR="00762C9B" w:rsidRPr="001346FF" w:rsidRDefault="00762C9B" w:rsidP="001346FF">
            <w:pPr>
              <w:spacing w:after="120"/>
              <w:jc w:val="left"/>
              <w:rPr>
                <w:szCs w:val="21"/>
              </w:rPr>
            </w:pPr>
            <w:r w:rsidRPr="001346FF">
              <w:rPr>
                <w:szCs w:val="21"/>
              </w:rPr>
              <w:lastRenderedPageBreak/>
              <w:t>Promotion of healthy diet</w:t>
            </w:r>
            <w:r w:rsidRPr="001346FF">
              <w:rPr>
                <w:rStyle w:val="FootnoteReference"/>
              </w:rPr>
              <w:footnoteReference w:id="64"/>
            </w:r>
            <w:r w:rsidRPr="001346FF">
              <w:rPr>
                <w:szCs w:val="21"/>
              </w:rPr>
              <w:t xml:space="preserve"> and local food</w:t>
            </w:r>
          </w:p>
        </w:tc>
        <w:tc>
          <w:tcPr>
            <w:tcW w:w="6031" w:type="dxa"/>
            <w:shd w:val="clear" w:color="auto" w:fill="auto"/>
          </w:tcPr>
          <w:p w:rsidR="00762C9B" w:rsidRPr="001346FF" w:rsidRDefault="00762C9B" w:rsidP="001346FF">
            <w:pPr>
              <w:spacing w:after="120"/>
              <w:jc w:val="left"/>
              <w:rPr>
                <w:szCs w:val="21"/>
              </w:rPr>
            </w:pPr>
            <w:r w:rsidRPr="001346FF">
              <w:rPr>
                <w:szCs w:val="21"/>
              </w:rPr>
              <w:t>It has been widely acknowledged that food consumption patterns can significantly influence the emissions, especially GHG emissions. For example, shift to vegetarian diet or reduction of animal protein intake can have a noteworthy impact on GHG emissions’ reduction.</w:t>
            </w:r>
            <w:r w:rsidRPr="001346FF">
              <w:rPr>
                <w:rStyle w:val="FootnoteReference"/>
              </w:rPr>
              <w:footnoteReference w:id="65"/>
            </w:r>
            <w:r w:rsidRPr="001346FF">
              <w:rPr>
                <w:szCs w:val="21"/>
              </w:rPr>
              <w:t xml:space="preserve"> Also the choice of local food decreases GHG emissions due to lesser transportation distances and thus less vehicle-related emissions. Promotion of healthy diet, decrease of animal protein intake and locally grown products can serve as an important tool stimulating behavioural changes thus reducing emissions influenced by consumption patterns. Healthy diet aspects can also be integrated into school lunch system (i.e. school-based intervention).  For example, promotion of healthy diet and local food can be facilitated by organizing Eco-markets that can be jointly organized by farmers, NGOs, as well as local authorities.  </w:t>
            </w:r>
          </w:p>
        </w:tc>
      </w:tr>
      <w:tr w:rsidR="00762C9B" w:rsidRPr="001346FF" w:rsidTr="001346FF">
        <w:tc>
          <w:tcPr>
            <w:tcW w:w="2724" w:type="dxa"/>
            <w:shd w:val="clear" w:color="auto" w:fill="auto"/>
          </w:tcPr>
          <w:p w:rsidR="00762C9B" w:rsidRPr="001346FF" w:rsidRDefault="00762C9B" w:rsidP="001346FF">
            <w:pPr>
              <w:spacing w:after="120"/>
              <w:jc w:val="left"/>
              <w:rPr>
                <w:szCs w:val="21"/>
              </w:rPr>
            </w:pPr>
            <w:r w:rsidRPr="001346FF">
              <w:rPr>
                <w:szCs w:val="21"/>
              </w:rPr>
              <w:t>Promotion of installation of thermostats</w:t>
            </w:r>
          </w:p>
        </w:tc>
        <w:tc>
          <w:tcPr>
            <w:tcW w:w="6031" w:type="dxa"/>
            <w:shd w:val="clear" w:color="auto" w:fill="auto"/>
          </w:tcPr>
          <w:p w:rsidR="00762C9B" w:rsidRPr="001346FF" w:rsidRDefault="00762C9B" w:rsidP="001346FF">
            <w:pPr>
              <w:spacing w:after="120"/>
              <w:jc w:val="left"/>
              <w:rPr>
                <w:szCs w:val="21"/>
              </w:rPr>
            </w:pPr>
            <w:r w:rsidRPr="001346FF">
              <w:rPr>
                <w:szCs w:val="21"/>
              </w:rPr>
              <w:t>Possibility to regulate temperature in the room in conjunction with sophisticated educational campaigns mentioned above, can forward such behavioural changes as lowering room temperature, when leaving the house or optimising thermostat settings lowering the temperature at night thus reducing the use of heating and thus also the emissions associated with the heat production.</w:t>
            </w:r>
          </w:p>
        </w:tc>
      </w:tr>
    </w:tbl>
    <w:p w:rsidR="00762C9B" w:rsidRPr="001346FF" w:rsidRDefault="00762C9B" w:rsidP="00762C9B">
      <w:pPr>
        <w:spacing w:after="120"/>
      </w:pPr>
    </w:p>
    <w:p w:rsidR="00762C9B" w:rsidRPr="001346FF" w:rsidRDefault="00762C9B" w:rsidP="00762C9B">
      <w:pPr>
        <w:rPr>
          <w:lang w:eastAsia="en-GB"/>
        </w:rPr>
      </w:pPr>
      <w:r w:rsidRPr="001346FF">
        <w:rPr>
          <w:lang w:eastAsia="en-GB"/>
        </w:rPr>
        <w:br w:type="page"/>
      </w:r>
    </w:p>
    <w:p w:rsidR="00762C9B" w:rsidRPr="001346FF" w:rsidRDefault="00762C9B" w:rsidP="00762C9B">
      <w:pPr>
        <w:pStyle w:val="Heading1"/>
        <w:spacing w:after="120"/>
      </w:pPr>
      <w:bookmarkStart w:id="58" w:name="_Toc384307269"/>
      <w:bookmarkStart w:id="59" w:name="_Toc387396935"/>
      <w:r w:rsidRPr="001346FF">
        <w:lastRenderedPageBreak/>
        <w:t>Recommendations on appropriate incentive tools</w:t>
      </w:r>
      <w:bookmarkEnd w:id="58"/>
      <w:bookmarkEnd w:id="59"/>
    </w:p>
    <w:p w:rsidR="00762C9B" w:rsidRPr="001346FF" w:rsidRDefault="00762C9B" w:rsidP="00762C9B">
      <w:pPr>
        <w:pStyle w:val="Heading2"/>
      </w:pPr>
      <w:bookmarkStart w:id="60" w:name="_Toc384307270"/>
      <w:bookmarkStart w:id="61" w:name="_Toc387396936"/>
      <w:r w:rsidRPr="001346FF">
        <w:t>Introduction</w:t>
      </w:r>
      <w:bookmarkEnd w:id="60"/>
      <w:bookmarkEnd w:id="61"/>
    </w:p>
    <w:p w:rsidR="00762C9B" w:rsidRPr="001346FF" w:rsidRDefault="00762C9B" w:rsidP="00762C9B">
      <w:pPr>
        <w:spacing w:after="120"/>
        <w:rPr>
          <w:lang w:eastAsia="en-GB"/>
        </w:rPr>
      </w:pPr>
      <w:r w:rsidRPr="001346FF">
        <w:rPr>
          <w:lang w:eastAsia="en-GB"/>
        </w:rPr>
        <w:t xml:space="preserve">Following the assessments undertaken in the previous stages and described in the previous chapters of this report, the current chapter will provide a set of recommended incentive tools, tailored to the situation of particular Partner Country. The methodology for selection of appropriate tools is based first and foremost on the analysis of already implemented instruments. This consideration is crucial, as the introduction of a number of incentives is conditional on the existence of particular system (e.g., environmental permitting system) or legal basis. </w:t>
      </w:r>
    </w:p>
    <w:p w:rsidR="00762C9B" w:rsidRPr="001346FF" w:rsidRDefault="00762C9B" w:rsidP="00762C9B">
      <w:pPr>
        <w:spacing w:after="120"/>
        <w:rPr>
          <w:lang w:eastAsia="en-GB"/>
        </w:rPr>
      </w:pPr>
      <w:r w:rsidRPr="001346FF">
        <w:rPr>
          <w:u w:val="single"/>
          <w:lang w:eastAsia="en-GB"/>
        </w:rPr>
        <w:t>Explanatory note</w:t>
      </w:r>
    </w:p>
    <w:p w:rsidR="00762C9B" w:rsidRPr="001346FF" w:rsidRDefault="00762C9B" w:rsidP="00762C9B">
      <w:pPr>
        <w:spacing w:after="120"/>
        <w:rPr>
          <w:lang w:eastAsia="en-GB"/>
        </w:rPr>
      </w:pPr>
      <w:r w:rsidRPr="001346FF">
        <w:rPr>
          <w:lang w:eastAsia="en-GB"/>
        </w:rPr>
        <w:t xml:space="preserve">The recommendations are separately referring to the measures for business (Ch. 2.1.) and individual (Ch. 2.2.) target groups. In the beginning of the description of each recommended measure a paragraph </w:t>
      </w:r>
      <w:r w:rsidRPr="001346FF">
        <w:rPr>
          <w:b/>
          <w:u w:val="single"/>
          <w:lang w:eastAsia="en-GB"/>
        </w:rPr>
        <w:t>“relevant to”</w:t>
      </w:r>
      <w:r w:rsidRPr="001346FF">
        <w:rPr>
          <w:b/>
          <w:lang w:eastAsia="en-GB"/>
        </w:rPr>
        <w:t xml:space="preserve"> indicates the partner countries, which, according to the previously acquired information, do not have identical or comparable measure; </w:t>
      </w:r>
      <w:r w:rsidRPr="001346FF">
        <w:rPr>
          <w:lang w:eastAsia="en-GB"/>
        </w:rPr>
        <w:t xml:space="preserve">yet it does not mean that the measure can be used just by the outlined partner countries – it is entirely upon discretion of the relevant authorities to select, which measures are the most relevant in the context of political, economic and social situation in the country at issue. </w:t>
      </w:r>
    </w:p>
    <w:p w:rsidR="00762C9B" w:rsidRPr="001346FF" w:rsidRDefault="00762C9B" w:rsidP="00762C9B">
      <w:pPr>
        <w:spacing w:after="120"/>
        <w:rPr>
          <w:lang w:eastAsia="en-GB"/>
        </w:rPr>
      </w:pPr>
      <w:r w:rsidRPr="001346FF">
        <w:rPr>
          <w:lang w:eastAsia="en-GB"/>
        </w:rPr>
        <w:t>In addition, the section “Implementation considerations, constraints” identifies the general possible implementation considerations and aspects impeding the introduction of the discussed measure; though the particular implementation considerations may differ f</w:t>
      </w:r>
      <w:r w:rsidR="00516EF9" w:rsidRPr="001346FF">
        <w:rPr>
          <w:lang w:eastAsia="en-GB"/>
        </w:rPr>
        <w:t>rom country-to-country.</w:t>
      </w:r>
    </w:p>
    <w:p w:rsidR="00762C9B" w:rsidRPr="001346FF" w:rsidRDefault="00762C9B" w:rsidP="00762C9B">
      <w:pPr>
        <w:pStyle w:val="Heading2"/>
      </w:pPr>
      <w:bookmarkStart w:id="62" w:name="_Toc384307271"/>
      <w:bookmarkStart w:id="63" w:name="_Toc387396937"/>
      <w:r w:rsidRPr="001346FF">
        <w:t>Recommendations</w:t>
      </w:r>
      <w:bookmarkEnd w:id="62"/>
      <w:bookmarkEnd w:id="63"/>
    </w:p>
    <w:p w:rsidR="00762C9B" w:rsidRPr="001346FF" w:rsidRDefault="00762C9B" w:rsidP="00516EF9">
      <w:pPr>
        <w:pStyle w:val="Heading3"/>
        <w:numPr>
          <w:ilvl w:val="0"/>
          <w:numId w:val="0"/>
        </w:numPr>
        <w:ind w:left="709" w:hanging="709"/>
      </w:pPr>
      <w:bookmarkStart w:id="64" w:name="_Toc384307272"/>
      <w:bookmarkStart w:id="65" w:name="_Toc387396938"/>
      <w:r w:rsidRPr="001346FF">
        <w:t>Business target group</w:t>
      </w:r>
      <w:bookmarkEnd w:id="64"/>
      <w:bookmarkEnd w:id="65"/>
    </w:p>
    <w:p w:rsidR="00762C9B" w:rsidRPr="000635CE" w:rsidRDefault="00762C9B" w:rsidP="00762C9B">
      <w:pPr>
        <w:spacing w:after="120"/>
        <w:rPr>
          <w:b/>
          <w:u w:val="single"/>
          <w:lang w:eastAsia="en-GB"/>
        </w:rPr>
      </w:pPr>
      <w:r w:rsidRPr="000635CE">
        <w:rPr>
          <w:b/>
          <w:u w:val="single"/>
          <w:lang w:eastAsia="en-GB"/>
        </w:rPr>
        <w:t>Extended permits for less polluting activities</w:t>
      </w:r>
    </w:p>
    <w:p w:rsidR="00762C9B" w:rsidRPr="001346FF" w:rsidRDefault="00762C9B" w:rsidP="00762C9B">
      <w:pPr>
        <w:spacing w:after="120"/>
        <w:rPr>
          <w:b/>
          <w:lang w:eastAsia="en-GB"/>
        </w:rPr>
      </w:pPr>
      <w:r w:rsidRPr="001346FF">
        <w:rPr>
          <w:lang w:eastAsia="en-GB"/>
        </w:rPr>
        <w:t xml:space="preserve">Relevant to: </w:t>
      </w:r>
      <w:r w:rsidRPr="001346FF">
        <w:rPr>
          <w:b/>
          <w:lang w:eastAsia="en-GB"/>
        </w:rPr>
        <w:t xml:space="preserve">Azerbaijan, Georgia, Moldova </w:t>
      </w:r>
      <w:r w:rsidRPr="001346FF">
        <w:rPr>
          <w:lang w:eastAsia="en-GB"/>
        </w:rPr>
        <w:t xml:space="preserve">(legal framework in stage of development), </w:t>
      </w:r>
      <w:r w:rsidRPr="001346FF">
        <w:rPr>
          <w:b/>
          <w:lang w:eastAsia="en-GB"/>
        </w:rPr>
        <w:t>Russian Federation, Ukraine</w:t>
      </w:r>
    </w:p>
    <w:p w:rsidR="00762C9B" w:rsidRPr="001346FF" w:rsidRDefault="00762C9B" w:rsidP="00762C9B">
      <w:pPr>
        <w:spacing w:after="120"/>
        <w:rPr>
          <w:lang w:eastAsia="en-GB"/>
        </w:rPr>
      </w:pPr>
      <w:r w:rsidRPr="001346FF">
        <w:rPr>
          <w:lang w:eastAsia="en-GB"/>
        </w:rPr>
        <w:t>One of the few administrative incentives for shift towards more environment-conscious entrepreneurship is by providing extended permits for less polluting activities in the framework of environmental permitting system. Such incentive can be practiced in case of industrial pollution permitting system (incl., integrated environmental permitting), which foresees renewal of permits on a regular basis. As such renewal may impose additional administrative burden on operator and also is associated with additional expenses, less frequent renewal can stimulate operators to equip their installations in accordance with the clean production principles.</w:t>
      </w:r>
    </w:p>
    <w:p w:rsidR="00762C9B" w:rsidRPr="001346FF" w:rsidRDefault="00762C9B" w:rsidP="00762C9B">
      <w:pPr>
        <w:spacing w:after="120"/>
        <w:rPr>
          <w:lang w:eastAsia="en-GB"/>
        </w:rPr>
      </w:pPr>
      <w:r w:rsidRPr="001346FF">
        <w:rPr>
          <w:lang w:eastAsia="en-GB"/>
        </w:rPr>
        <w:t>The application of relative principle may be based on various aspects, depending on the system governing the industrial pollution. Options for determining the validity of the permit may be based on:</w:t>
      </w:r>
    </w:p>
    <w:p w:rsidR="00762C9B" w:rsidRPr="001346FF" w:rsidRDefault="00762C9B" w:rsidP="005116EE">
      <w:pPr>
        <w:pStyle w:val="ListParagraph"/>
        <w:numPr>
          <w:ilvl w:val="0"/>
          <w:numId w:val="37"/>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The actual levels of pollution;</w:t>
      </w:r>
    </w:p>
    <w:p w:rsidR="00762C9B" w:rsidRPr="001346FF" w:rsidRDefault="00762C9B" w:rsidP="005116EE">
      <w:pPr>
        <w:pStyle w:val="ListParagraph"/>
        <w:numPr>
          <w:ilvl w:val="0"/>
          <w:numId w:val="37"/>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Level of risk of the object (also related to environmental pollution);</w:t>
      </w:r>
    </w:p>
    <w:p w:rsidR="00762C9B" w:rsidRPr="001346FF" w:rsidRDefault="00762C9B" w:rsidP="005116EE">
      <w:pPr>
        <w:pStyle w:val="ListParagraph"/>
        <w:numPr>
          <w:ilvl w:val="0"/>
          <w:numId w:val="37"/>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 xml:space="preserve">Other options (e.g. existence or planned acquisition of additional filters and energy efficient equipment, “green” technologies; use of BATs). </w:t>
      </w:r>
    </w:p>
    <w:p w:rsidR="00762C9B" w:rsidRPr="001346FF" w:rsidRDefault="00762C9B" w:rsidP="00762C9B">
      <w:pPr>
        <w:spacing w:after="120"/>
        <w:rPr>
          <w:b/>
          <w:lang w:eastAsia="en-GB"/>
        </w:rPr>
      </w:pPr>
      <w:r w:rsidRPr="001346FF">
        <w:rPr>
          <w:b/>
          <w:lang w:eastAsia="en-GB"/>
        </w:rPr>
        <w:t>Implementation considerations, constraints</w:t>
      </w:r>
    </w:p>
    <w:p w:rsidR="00762C9B" w:rsidRPr="001346FF" w:rsidRDefault="00762C9B" w:rsidP="00762C9B">
      <w:pPr>
        <w:spacing w:after="120"/>
        <w:rPr>
          <w:lang w:eastAsia="en-GB"/>
        </w:rPr>
      </w:pPr>
      <w:r w:rsidRPr="001346FF">
        <w:rPr>
          <w:lang w:eastAsia="en-GB"/>
        </w:rPr>
        <w:t>The introduction of this incentive will require definition of simple and clear criteria to determine whether</w:t>
      </w:r>
      <w:r w:rsidRPr="001346FF">
        <w:t xml:space="preserve"> </w:t>
      </w:r>
      <w:r w:rsidRPr="001346FF">
        <w:rPr>
          <w:lang w:eastAsia="en-GB"/>
        </w:rPr>
        <w:t xml:space="preserve">or not an industrial operator falls under this incentive scheme. The criteria shall be set by </w:t>
      </w:r>
      <w:r w:rsidRPr="001346FF">
        <w:rPr>
          <w:lang w:eastAsia="en-GB"/>
        </w:rPr>
        <w:lastRenderedPageBreak/>
        <w:t>national laws thus avoiding interpretation by somebody else (control agencies, inspections, etc.). Key issue for state administration probably will be getting evidence from industrial operators that the installed clean production facilities are used in practice. Additionally, reduction of an administrative burden by this incentive as alone-standing measure will most likely not be sufficient if comparing additional costs of an investment in cleaner technology and benefits from reduction of an administrative burden. Therefore combination with oth</w:t>
      </w:r>
      <w:r w:rsidR="00516EF9" w:rsidRPr="001346FF">
        <w:rPr>
          <w:lang w:eastAsia="en-GB"/>
        </w:rPr>
        <w:t>er incentives may be advisable.</w:t>
      </w:r>
    </w:p>
    <w:p w:rsidR="00516EF9" w:rsidRPr="001346FF" w:rsidRDefault="00516EF9" w:rsidP="00762C9B">
      <w:pPr>
        <w:spacing w:after="120"/>
        <w:rPr>
          <w:lang w:eastAsia="en-GB"/>
        </w:rPr>
      </w:pPr>
    </w:p>
    <w:p w:rsidR="00762C9B" w:rsidRPr="000635CE" w:rsidRDefault="00762C9B" w:rsidP="00762C9B">
      <w:pPr>
        <w:spacing w:after="120"/>
        <w:rPr>
          <w:b/>
          <w:u w:val="single"/>
          <w:lang w:eastAsia="en-GB"/>
        </w:rPr>
      </w:pPr>
      <w:r w:rsidRPr="000635CE">
        <w:rPr>
          <w:b/>
          <w:u w:val="single"/>
          <w:lang w:eastAsia="en-GB"/>
        </w:rPr>
        <w:t>Reduced inspection frequency for less polluting activities</w:t>
      </w:r>
    </w:p>
    <w:p w:rsidR="00762C9B" w:rsidRPr="001346FF" w:rsidRDefault="00762C9B" w:rsidP="00762C9B">
      <w:pPr>
        <w:spacing w:after="120"/>
        <w:rPr>
          <w:b/>
          <w:lang w:eastAsia="en-GB"/>
        </w:rPr>
      </w:pPr>
      <w:r w:rsidRPr="001346FF">
        <w:rPr>
          <w:lang w:eastAsia="en-GB"/>
        </w:rPr>
        <w:t xml:space="preserve">Relevant to: </w:t>
      </w:r>
      <w:r w:rsidRPr="001346FF">
        <w:rPr>
          <w:b/>
          <w:lang w:eastAsia="en-GB"/>
        </w:rPr>
        <w:t>Armenia,</w:t>
      </w:r>
      <w:r w:rsidRPr="001346FF">
        <w:rPr>
          <w:lang w:eastAsia="en-GB"/>
        </w:rPr>
        <w:t xml:space="preserve"> </w:t>
      </w:r>
      <w:r w:rsidRPr="001346FF">
        <w:rPr>
          <w:b/>
          <w:lang w:eastAsia="en-GB"/>
        </w:rPr>
        <w:t xml:space="preserve">Georgia, Moldova </w:t>
      </w:r>
      <w:r w:rsidRPr="001346FF">
        <w:rPr>
          <w:lang w:eastAsia="en-GB"/>
        </w:rPr>
        <w:t>(legal framework in stage of development)</w:t>
      </w:r>
    </w:p>
    <w:p w:rsidR="00762C9B" w:rsidRPr="001346FF" w:rsidRDefault="00762C9B" w:rsidP="00762C9B">
      <w:pPr>
        <w:spacing w:after="120"/>
        <w:rPr>
          <w:lang w:eastAsia="en-GB"/>
        </w:rPr>
      </w:pPr>
      <w:r w:rsidRPr="001346FF">
        <w:rPr>
          <w:lang w:eastAsia="en-GB"/>
        </w:rPr>
        <w:t xml:space="preserve">Following the comparable system as in the case of the above discussed extension of permits, the reduced frequency of inspections can be applied to less polluting activities, serving as an incentive tool. Once again, introduction of such system is possible, if the permitting scheme is operating, and if the holders of permit are subject to the inspections on a regular basis. </w:t>
      </w:r>
    </w:p>
    <w:p w:rsidR="00762C9B" w:rsidRPr="001346FF" w:rsidRDefault="00762C9B" w:rsidP="00762C9B">
      <w:pPr>
        <w:spacing w:after="120"/>
        <w:rPr>
          <w:lang w:eastAsia="en-GB"/>
        </w:rPr>
      </w:pPr>
      <w:r w:rsidRPr="001346FF">
        <w:rPr>
          <w:lang w:eastAsia="en-GB"/>
        </w:rPr>
        <w:t>The basis for determination of the inspection frequency might be the same as in the case of the extensions (see listing of bases above). For example, in the case the frequency rate is determined on the basis of level of risk of the object, it can be stated as follows – “for the objects with low risk level, the number of environmental inspections shall be carried out at least once, but not more than twice every five years”. Yet, it has to be kept in mind that such basis can be applicable in case there is a reliable methodology for determination of risk level of the object, which in the best case shall be set in the legislation.</w:t>
      </w:r>
    </w:p>
    <w:p w:rsidR="00762C9B" w:rsidRPr="001346FF" w:rsidRDefault="00762C9B" w:rsidP="00762C9B">
      <w:pPr>
        <w:spacing w:after="120"/>
        <w:rPr>
          <w:b/>
          <w:lang w:eastAsia="en-GB"/>
        </w:rPr>
      </w:pPr>
      <w:r w:rsidRPr="001346FF">
        <w:rPr>
          <w:b/>
          <w:lang w:eastAsia="en-GB"/>
        </w:rPr>
        <w:t>Implementation considerations, constraints</w:t>
      </w:r>
    </w:p>
    <w:p w:rsidR="00762C9B" w:rsidRPr="001346FF" w:rsidRDefault="00762C9B" w:rsidP="00762C9B">
      <w:pPr>
        <w:spacing w:after="120"/>
        <w:rPr>
          <w:lang w:eastAsia="en-GB"/>
        </w:rPr>
      </w:pPr>
      <w:r w:rsidRPr="001346FF">
        <w:rPr>
          <w:lang w:eastAsia="en-GB"/>
        </w:rPr>
        <w:t>These are very the same as in the case of the incentive on extended permits for less polluting activities. The prerequisite for introduction of this incentive is a sound risk management system supported by reliable databases.</w:t>
      </w:r>
    </w:p>
    <w:p w:rsidR="00762C9B" w:rsidRPr="001346FF" w:rsidRDefault="00762C9B" w:rsidP="00762C9B">
      <w:pPr>
        <w:spacing w:after="120"/>
        <w:rPr>
          <w:lang w:eastAsia="en-GB"/>
        </w:rPr>
      </w:pPr>
      <w:r w:rsidRPr="001346FF">
        <w:rPr>
          <w:lang w:eastAsia="en-GB"/>
        </w:rPr>
        <w:t>The introduction of this incentive will require definition of simple and clear criteria to determine whether or not an industrial operator falls under this incentive scheme. The criteria shall be set by national laws thus avoiding interpretation by somebody else (control agencies, inspections, etc.). Key issue for state administration probably will be getting evidence from industrial operators that the installed clean production facilities are used in practice. Additionally, reduction of an administrative burden by this incentive as alone-standing measure will most likely not be sufficient if comparing additional costs of an investment in cleaner technology and benefits from reduction of an administrative burden. Therefore combination with other incentives may be advisable.</w:t>
      </w:r>
    </w:p>
    <w:p w:rsidR="00762C9B" w:rsidRPr="001346FF" w:rsidRDefault="00762C9B" w:rsidP="00762C9B">
      <w:pPr>
        <w:spacing w:after="120"/>
        <w:rPr>
          <w:lang w:eastAsia="en-GB"/>
        </w:rPr>
      </w:pPr>
    </w:p>
    <w:p w:rsidR="00762C9B" w:rsidRPr="000635CE" w:rsidRDefault="00762C9B" w:rsidP="00762C9B">
      <w:pPr>
        <w:spacing w:after="120"/>
        <w:rPr>
          <w:b/>
          <w:u w:val="single"/>
          <w:lang w:eastAsia="en-GB"/>
        </w:rPr>
      </w:pPr>
      <w:r w:rsidRPr="000635CE">
        <w:rPr>
          <w:b/>
          <w:u w:val="single"/>
          <w:lang w:eastAsia="en-GB"/>
        </w:rPr>
        <w:t>Reduced charges for less polluting activities and products</w:t>
      </w:r>
    </w:p>
    <w:p w:rsidR="00762C9B" w:rsidRPr="001346FF" w:rsidRDefault="00762C9B" w:rsidP="00762C9B">
      <w:pPr>
        <w:spacing w:after="120"/>
        <w:rPr>
          <w:lang w:eastAsia="en-GB"/>
        </w:rPr>
      </w:pPr>
      <w:r w:rsidRPr="001346FF">
        <w:rPr>
          <w:lang w:eastAsia="en-GB"/>
        </w:rPr>
        <w:t xml:space="preserve">Relevant to: </w:t>
      </w:r>
      <w:r w:rsidRPr="001346FF">
        <w:rPr>
          <w:b/>
          <w:lang w:eastAsia="en-GB"/>
        </w:rPr>
        <w:t xml:space="preserve">Georgia, Moldova </w:t>
      </w:r>
      <w:r w:rsidRPr="001346FF">
        <w:rPr>
          <w:lang w:eastAsia="en-GB"/>
        </w:rPr>
        <w:t xml:space="preserve">(basis for differentiation exists, but practiced rarely) </w:t>
      </w:r>
    </w:p>
    <w:p w:rsidR="00762C9B" w:rsidRPr="001346FF" w:rsidRDefault="00762C9B" w:rsidP="00762C9B">
      <w:pPr>
        <w:spacing w:after="120"/>
        <w:rPr>
          <w:lang w:eastAsia="en-GB"/>
        </w:rPr>
      </w:pPr>
      <w:r w:rsidRPr="001346FF">
        <w:rPr>
          <w:lang w:eastAsia="en-GB"/>
        </w:rPr>
        <w:t>Differentiated taxation and charge system can be applied in various ways, considering the specifics of the regulation of polluting activities.</w:t>
      </w:r>
      <w:r w:rsidRPr="001346FF">
        <w:t xml:space="preserve"> </w:t>
      </w:r>
      <w:r w:rsidRPr="001346FF">
        <w:rPr>
          <w:lang w:eastAsia="en-GB"/>
        </w:rPr>
        <w:t xml:space="preserve">A good example in this respect is determination of charges based on the actual levels of pollution (emissions) of or risk of harming the environment by the object at issue. Such approach is an evident manifestation of “polluter pays” principle, </w:t>
      </w:r>
      <w:r w:rsidRPr="001346FF">
        <w:rPr>
          <w:lang w:eastAsia="en-GB"/>
        </w:rPr>
        <w:lastRenderedPageBreak/>
        <w:t>which has been recognized on an international level</w:t>
      </w:r>
      <w:r w:rsidRPr="001346FF">
        <w:rPr>
          <w:rStyle w:val="FootnoteReference"/>
          <w:lang w:eastAsia="en-GB"/>
        </w:rPr>
        <w:footnoteReference w:id="66"/>
      </w:r>
      <w:r w:rsidRPr="001346FF">
        <w:rPr>
          <w:lang w:eastAsia="en-GB"/>
        </w:rPr>
        <w:t xml:space="preserve"> and is already considered as a customary norm. The basis for determination of differentiated charges and taxes has to be set in appropriate legal act (legislation governing pollution, nature resource tax legislation etc.). Taking into consideration that the majority of the states have appropriate industrial pollution permitting system, which requires operators to report the emission volumes (the extents and coverage may differ) such charges can be calculated on the basis of the volumes of emissions reported. </w:t>
      </w:r>
    </w:p>
    <w:p w:rsidR="00762C9B" w:rsidRPr="001346FF" w:rsidRDefault="00762C9B" w:rsidP="00762C9B">
      <w:pPr>
        <w:spacing w:after="120"/>
        <w:rPr>
          <w:lang w:eastAsia="en-GB"/>
        </w:rPr>
      </w:pPr>
      <w:r w:rsidRPr="001346FF">
        <w:rPr>
          <w:lang w:eastAsia="en-GB"/>
        </w:rPr>
        <w:t xml:space="preserve">Differentiated taxation system can be applied not only to industrial installations but also to other objects, like vehicles, batteries and other products with potential of harming the environment. The determination of tax can be based on the potential harmfulness of the product at issue, which can correlate with the list of hazardous substances that is usually found in the legal provisions. </w:t>
      </w:r>
    </w:p>
    <w:p w:rsidR="00762C9B" w:rsidRPr="001346FF" w:rsidRDefault="00762C9B" w:rsidP="00762C9B">
      <w:pPr>
        <w:spacing w:after="120"/>
        <w:rPr>
          <w:lang w:eastAsia="en-GB"/>
        </w:rPr>
      </w:pPr>
      <w:r w:rsidRPr="001346FF">
        <w:rPr>
          <w:lang w:eastAsia="en-GB"/>
        </w:rPr>
        <w:t>Accordingly, charges and taxes can be levied either on particular pollutant (e.g. CO</w:t>
      </w:r>
      <w:r w:rsidRPr="001346FF">
        <w:rPr>
          <w:vertAlign w:val="subscript"/>
          <w:lang w:eastAsia="en-GB"/>
        </w:rPr>
        <w:t>2</w:t>
      </w:r>
      <w:r w:rsidRPr="001346FF">
        <w:rPr>
          <w:lang w:eastAsia="en-GB"/>
        </w:rPr>
        <w:t xml:space="preserve"> emissions into air, emissions of lead into water etc.) and product (e.g. batteries, tyres). </w:t>
      </w:r>
    </w:p>
    <w:p w:rsidR="00762C9B" w:rsidRPr="001346FF" w:rsidRDefault="00762C9B" w:rsidP="00762C9B">
      <w:pPr>
        <w:spacing w:after="120"/>
        <w:rPr>
          <w:lang w:eastAsia="en-GB"/>
        </w:rPr>
      </w:pPr>
      <w:r w:rsidRPr="001346FF">
        <w:rPr>
          <w:lang w:eastAsia="en-GB"/>
        </w:rPr>
        <w:t xml:space="preserve">It is possible to interconnect the system with the system on voluntary </w:t>
      </w:r>
      <w:proofErr w:type="spellStart"/>
      <w:r w:rsidRPr="001346FF">
        <w:rPr>
          <w:lang w:eastAsia="en-GB"/>
        </w:rPr>
        <w:t>sectoral</w:t>
      </w:r>
      <w:proofErr w:type="spellEnd"/>
      <w:r w:rsidRPr="001346FF">
        <w:rPr>
          <w:lang w:eastAsia="en-GB"/>
        </w:rPr>
        <w:t xml:space="preserve"> agreements (see below), exempting the operators participating in the voluntary agreement system from pollution charges for a fixed period of time.</w:t>
      </w:r>
    </w:p>
    <w:p w:rsidR="00762C9B" w:rsidRPr="001346FF" w:rsidRDefault="00762C9B" w:rsidP="00762C9B">
      <w:pPr>
        <w:spacing w:after="120"/>
        <w:rPr>
          <w:b/>
          <w:lang w:eastAsia="en-GB"/>
        </w:rPr>
      </w:pPr>
      <w:r w:rsidRPr="001346FF">
        <w:rPr>
          <w:b/>
          <w:lang w:eastAsia="en-GB"/>
        </w:rPr>
        <w:t>Implementation considerations, constraints</w:t>
      </w:r>
    </w:p>
    <w:p w:rsidR="00762C9B" w:rsidRPr="001346FF" w:rsidRDefault="00762C9B" w:rsidP="00762C9B">
      <w:pPr>
        <w:spacing w:after="120"/>
        <w:rPr>
          <w:lang w:eastAsia="en-GB"/>
        </w:rPr>
      </w:pPr>
      <w:r w:rsidRPr="001346FF">
        <w:rPr>
          <w:lang w:eastAsia="en-GB"/>
        </w:rPr>
        <w:t>This incentive will require more administrative efforts from the state authorities and will slightly increase the administrative burden imposed on economic operators. However in case the system is being kept simple the benefits will prevail. The challenge will be to find out an optimum rate of tax both to internalize environmental costs at sufficient level and to promote the economic operator to invest in cleaner (and usually more costly) technologies thus keeping financial benefits over financial costs. This incentive may require combination with other incentives. Prior to introduction of such differentiated taxation and charge system a comprehensive study to find out benefits and costs and to determine an optimum level of rates is advisable.</w:t>
      </w:r>
    </w:p>
    <w:p w:rsidR="00762C9B" w:rsidRPr="001346FF" w:rsidRDefault="00762C9B" w:rsidP="00762C9B">
      <w:pPr>
        <w:spacing w:after="120"/>
        <w:rPr>
          <w:lang w:eastAsia="en-GB"/>
        </w:rPr>
      </w:pPr>
      <w:r w:rsidRPr="001346FF">
        <w:rPr>
          <w:lang w:eastAsia="en-GB"/>
        </w:rPr>
        <w:t xml:space="preserve">To demonstrate this, an example from transport is provided. If the state wants to promote less polluting transport and introduces a promotional scheme for </w:t>
      </w:r>
      <w:proofErr w:type="spellStart"/>
      <w:r w:rsidRPr="001346FF">
        <w:rPr>
          <w:lang w:eastAsia="en-GB"/>
        </w:rPr>
        <w:t>electromobility</w:t>
      </w:r>
      <w:proofErr w:type="spellEnd"/>
      <w:r w:rsidRPr="001346FF">
        <w:rPr>
          <w:lang w:eastAsia="en-GB"/>
        </w:rPr>
        <w:t>, reduction of CO</w:t>
      </w:r>
      <w:r w:rsidRPr="001346FF">
        <w:rPr>
          <w:vertAlign w:val="subscript"/>
          <w:lang w:eastAsia="en-GB"/>
        </w:rPr>
        <w:t>2</w:t>
      </w:r>
      <w:r w:rsidRPr="001346FF">
        <w:rPr>
          <w:lang w:eastAsia="en-GB"/>
        </w:rPr>
        <w:t>-tax only will not be a sufficient measure, it will require reduction or even exemption from other taxes of road transport (road tax or road use fees), adequate (sufficiently high) level of energy tax or excise tax on fossil fuels to keep running costs of an electric vehicle considerably lower than costs of a traditional one. Furthermore, an investment cost subsidy at an appropriate level will be needed as well due to fact that a purely electric vehicle is usually 2 to 3 times more expensive than a traditional one.</w:t>
      </w:r>
    </w:p>
    <w:p w:rsidR="00762C9B" w:rsidRPr="001346FF" w:rsidRDefault="00762C9B" w:rsidP="00762C9B">
      <w:pPr>
        <w:spacing w:after="120"/>
        <w:rPr>
          <w:lang w:eastAsia="en-GB"/>
        </w:rPr>
      </w:pPr>
      <w:r w:rsidRPr="001346FF">
        <w:rPr>
          <w:lang w:eastAsia="en-GB"/>
        </w:rPr>
        <w:t xml:space="preserve">It is important to consider, that system governing the determination of charges and taxes shall comply with the objectives promoted by other tools. Contradicting policies will not result in a desired effect and will not play a role of an incentive. </w:t>
      </w:r>
    </w:p>
    <w:p w:rsidR="00762C9B" w:rsidRPr="001346FF" w:rsidRDefault="00762C9B" w:rsidP="00762C9B">
      <w:pPr>
        <w:spacing w:after="120"/>
        <w:rPr>
          <w:u w:val="single"/>
          <w:lang w:eastAsia="en-GB"/>
        </w:rPr>
      </w:pPr>
    </w:p>
    <w:p w:rsidR="00762C9B" w:rsidRPr="000635CE" w:rsidRDefault="00762C9B" w:rsidP="00D73464">
      <w:pPr>
        <w:keepNext/>
        <w:keepLines/>
        <w:spacing w:after="120"/>
        <w:rPr>
          <w:b/>
          <w:u w:val="single"/>
          <w:lang w:eastAsia="en-GB"/>
        </w:rPr>
      </w:pPr>
      <w:r w:rsidRPr="000635CE">
        <w:rPr>
          <w:b/>
          <w:u w:val="single"/>
          <w:lang w:eastAsia="en-GB"/>
        </w:rPr>
        <w:lastRenderedPageBreak/>
        <w:t>Zero interest loan for implementation of “green” projects</w:t>
      </w:r>
    </w:p>
    <w:p w:rsidR="00762C9B" w:rsidRPr="001346FF" w:rsidRDefault="00762C9B" w:rsidP="00D73464">
      <w:pPr>
        <w:keepNext/>
        <w:keepLines/>
        <w:spacing w:after="120"/>
        <w:rPr>
          <w:lang w:eastAsia="en-GB"/>
        </w:rPr>
      </w:pPr>
      <w:r w:rsidRPr="001346FF">
        <w:rPr>
          <w:lang w:eastAsia="en-GB"/>
        </w:rPr>
        <w:t xml:space="preserve">Relevant to: </w:t>
      </w:r>
      <w:r w:rsidRPr="001346FF">
        <w:rPr>
          <w:b/>
          <w:lang w:eastAsia="en-GB"/>
        </w:rPr>
        <w:t xml:space="preserve">Armenia, Azerbaijan, Belarus, Georgia, Moldova </w:t>
      </w:r>
      <w:r w:rsidRPr="001346FF">
        <w:rPr>
          <w:lang w:eastAsia="en-GB"/>
        </w:rPr>
        <w:t>(project was proposed, but not implemented)</w:t>
      </w:r>
      <w:r w:rsidRPr="001346FF">
        <w:rPr>
          <w:b/>
          <w:lang w:eastAsia="en-GB"/>
        </w:rPr>
        <w:t>, Russian Federation, Ukraine</w:t>
      </w:r>
    </w:p>
    <w:p w:rsidR="00762C9B" w:rsidRPr="008D2318" w:rsidRDefault="00762C9B" w:rsidP="00D73464">
      <w:pPr>
        <w:keepNext/>
        <w:keepLines/>
        <w:spacing w:after="120"/>
        <w:rPr>
          <w:rFonts w:cs="Arial"/>
          <w:szCs w:val="21"/>
          <w:lang w:eastAsia="en-GB"/>
        </w:rPr>
      </w:pPr>
      <w:r w:rsidRPr="001346FF">
        <w:rPr>
          <w:lang w:eastAsia="en-GB"/>
        </w:rPr>
        <w:t xml:space="preserve">The extent of coverage under the notion of “green” projects and activities can be determined by the state. The government can design a programme which has different financing “strains” setting a fixed budget for introduction of green technologies, nature protection activities, development of environment friendly business (e.g., a line of ecologically produced food). The drafting of a fixed budget </w:t>
      </w:r>
      <w:r w:rsidRPr="008D2318">
        <w:rPr>
          <w:rFonts w:cs="Arial"/>
          <w:szCs w:val="21"/>
          <w:lang w:eastAsia="en-GB"/>
        </w:rPr>
        <w:t>can be considered as more appropriate due to several factors:</w:t>
      </w:r>
    </w:p>
    <w:p w:rsidR="00762C9B" w:rsidRPr="008D2318" w:rsidRDefault="00762C9B" w:rsidP="005116EE">
      <w:pPr>
        <w:pStyle w:val="ListParagraph"/>
        <w:numPr>
          <w:ilvl w:val="0"/>
          <w:numId w:val="34"/>
        </w:numPr>
        <w:spacing w:after="120" w:line="240" w:lineRule="auto"/>
        <w:rPr>
          <w:rFonts w:ascii="Arial" w:hAnsi="Arial" w:cs="Arial"/>
          <w:sz w:val="21"/>
          <w:szCs w:val="21"/>
          <w:lang w:val="en-GB" w:eastAsia="en-GB"/>
        </w:rPr>
      </w:pPr>
      <w:r w:rsidRPr="008D2318">
        <w:rPr>
          <w:rFonts w:ascii="Arial" w:hAnsi="Arial" w:cs="Arial"/>
          <w:sz w:val="21"/>
          <w:szCs w:val="21"/>
          <w:lang w:val="en-GB" w:eastAsia="en-GB"/>
        </w:rPr>
        <w:t>The funds can be acquired from payments for polluting activities;</w:t>
      </w:r>
    </w:p>
    <w:p w:rsidR="00762C9B" w:rsidRPr="008D2318" w:rsidRDefault="00762C9B" w:rsidP="005116EE">
      <w:pPr>
        <w:pStyle w:val="ListParagraph"/>
        <w:numPr>
          <w:ilvl w:val="0"/>
          <w:numId w:val="34"/>
        </w:numPr>
        <w:spacing w:after="120" w:line="240" w:lineRule="auto"/>
        <w:rPr>
          <w:rFonts w:ascii="Arial" w:hAnsi="Arial" w:cs="Arial"/>
          <w:sz w:val="21"/>
          <w:szCs w:val="21"/>
          <w:lang w:val="en-GB" w:eastAsia="en-GB"/>
        </w:rPr>
      </w:pPr>
      <w:r w:rsidRPr="008D2318">
        <w:rPr>
          <w:rFonts w:ascii="Arial" w:hAnsi="Arial" w:cs="Arial"/>
          <w:sz w:val="21"/>
          <w:szCs w:val="21"/>
          <w:lang w:val="en-GB" w:eastAsia="en-GB"/>
        </w:rPr>
        <w:t>Fixed budget will allow to plan the expenses and returns;</w:t>
      </w:r>
    </w:p>
    <w:p w:rsidR="00762C9B" w:rsidRPr="008D2318" w:rsidRDefault="00762C9B" w:rsidP="005116EE">
      <w:pPr>
        <w:pStyle w:val="ListParagraph"/>
        <w:numPr>
          <w:ilvl w:val="0"/>
          <w:numId w:val="34"/>
        </w:numPr>
        <w:spacing w:after="120" w:line="240" w:lineRule="auto"/>
        <w:rPr>
          <w:rFonts w:ascii="Arial" w:hAnsi="Arial" w:cs="Arial"/>
          <w:sz w:val="21"/>
          <w:szCs w:val="21"/>
          <w:lang w:val="en-GB" w:eastAsia="en-GB"/>
        </w:rPr>
      </w:pPr>
      <w:r w:rsidRPr="008D2318">
        <w:rPr>
          <w:rFonts w:ascii="Arial" w:hAnsi="Arial" w:cs="Arial"/>
          <w:sz w:val="21"/>
          <w:szCs w:val="21"/>
          <w:lang w:val="en-GB" w:eastAsia="en-GB"/>
        </w:rPr>
        <w:t>Fixed budget would promote implementation of “green” projects in various strains of programme proportionally.</w:t>
      </w:r>
    </w:p>
    <w:p w:rsidR="00762C9B" w:rsidRPr="001346FF" w:rsidRDefault="00762C9B" w:rsidP="00762C9B">
      <w:pPr>
        <w:spacing w:after="120"/>
        <w:rPr>
          <w:lang w:eastAsia="en-GB"/>
        </w:rPr>
      </w:pPr>
      <w:r w:rsidRPr="001346FF">
        <w:rPr>
          <w:lang w:eastAsia="en-GB"/>
        </w:rPr>
        <w:t xml:space="preserve">In such case the loans shall be handed out on the basis of competition, so as the best applications receive the loan. In addition, such zero interest loan </w:t>
      </w:r>
      <w:proofErr w:type="gramStart"/>
      <w:r w:rsidRPr="001346FF">
        <w:rPr>
          <w:lang w:eastAsia="en-GB"/>
        </w:rPr>
        <w:t>programme</w:t>
      </w:r>
      <w:proofErr w:type="gramEnd"/>
      <w:r w:rsidRPr="001346FF">
        <w:rPr>
          <w:rStyle w:val="FootnoteReference"/>
          <w:lang w:eastAsia="en-GB"/>
        </w:rPr>
        <w:footnoteReference w:id="67"/>
      </w:r>
      <w:r w:rsidRPr="001346FF">
        <w:rPr>
          <w:lang w:eastAsia="en-GB"/>
        </w:rPr>
        <w:t xml:space="preserve"> has potential of promoting other recommended instruments (see further) – like environmental management systems (EMS) and eco-labels. For example, if the applicant intends to open a new production line, he can strive to acquire eco-label, mentioning it in an application, and therefore having a higher possibility of getting a loan, if the aspect of acquiring eco-label or implementation of EMS is set as criteria to earn additional points. </w:t>
      </w:r>
    </w:p>
    <w:p w:rsidR="00762C9B" w:rsidRPr="001346FF" w:rsidRDefault="00762C9B" w:rsidP="00762C9B">
      <w:pPr>
        <w:spacing w:after="120"/>
        <w:rPr>
          <w:lang w:eastAsia="en-GB"/>
        </w:rPr>
      </w:pPr>
      <w:r w:rsidRPr="001346FF">
        <w:rPr>
          <w:lang w:eastAsia="en-GB"/>
        </w:rPr>
        <w:t>The administration of the loans can be undertaken either by the already existing state-affiliated organization, or by NGO, or specially set-up fund, or in cooperation with commercial lending sector.</w:t>
      </w:r>
      <w:r w:rsidRPr="001346FF">
        <w:rPr>
          <w:rStyle w:val="FootnoteReference"/>
          <w:lang w:eastAsia="en-GB"/>
        </w:rPr>
        <w:footnoteReference w:id="68"/>
      </w:r>
    </w:p>
    <w:p w:rsidR="00762C9B" w:rsidRPr="001346FF" w:rsidRDefault="00762C9B" w:rsidP="00762C9B">
      <w:pPr>
        <w:spacing w:after="120"/>
        <w:rPr>
          <w:lang w:eastAsia="en-GB"/>
        </w:rPr>
      </w:pPr>
      <w:r w:rsidRPr="001346FF">
        <w:rPr>
          <w:lang w:eastAsia="en-GB"/>
        </w:rPr>
        <w:t>In addition there is an option that such grants and loans could be also provided from the National Ecological Funds, private funds (including commercial banks) and in the framework of the EU budgetary support programmes.</w:t>
      </w:r>
    </w:p>
    <w:p w:rsidR="00762C9B" w:rsidRPr="001346FF" w:rsidRDefault="00762C9B" w:rsidP="00762C9B">
      <w:pPr>
        <w:spacing w:after="120"/>
        <w:rPr>
          <w:b/>
          <w:lang w:eastAsia="en-GB"/>
        </w:rPr>
      </w:pPr>
      <w:r w:rsidRPr="001346FF">
        <w:rPr>
          <w:b/>
          <w:lang w:eastAsia="en-GB"/>
        </w:rPr>
        <w:t>Implementation considerations, constraints</w:t>
      </w:r>
    </w:p>
    <w:p w:rsidR="00762C9B" w:rsidRPr="001346FF" w:rsidRDefault="00762C9B" w:rsidP="00762C9B">
      <w:pPr>
        <w:spacing w:after="120"/>
        <w:rPr>
          <w:lang w:eastAsia="en-GB"/>
        </w:rPr>
      </w:pPr>
      <w:r w:rsidRPr="001346FF">
        <w:rPr>
          <w:lang w:eastAsia="en-GB"/>
        </w:rPr>
        <w:t xml:space="preserve">In financial terms the price of a loan (interest rate) is the price the borrower pays for use of a loan. The loan interest rate depends first of all on macroeconomic framework of the </w:t>
      </w:r>
      <w:proofErr w:type="gramStart"/>
      <w:r w:rsidRPr="001346FF">
        <w:rPr>
          <w:lang w:eastAsia="en-GB"/>
        </w:rPr>
        <w:t>country,</w:t>
      </w:r>
      <w:proofErr w:type="gramEnd"/>
      <w:r w:rsidRPr="001346FF">
        <w:rPr>
          <w:lang w:eastAsia="en-GB"/>
        </w:rPr>
        <w:t xml:space="preserve"> the bank’s lending policy and the borrower’s solvency. Cleaner and “greener” technologies are usually more expensive. The higher the loan amount and the higher the interest rate are the larger amount the borrower has to pay to the bank. Thus, the “sum” of financial support from the public sector shall improve financial viability and profitability of the project but not necessarily compensate all extra costs associated with implementation of a “green” project.</w:t>
      </w:r>
    </w:p>
    <w:p w:rsidR="00762C9B" w:rsidRPr="001346FF" w:rsidRDefault="00762C9B" w:rsidP="00762C9B">
      <w:pPr>
        <w:spacing w:after="120"/>
        <w:rPr>
          <w:lang w:eastAsia="en-GB"/>
        </w:rPr>
      </w:pPr>
      <w:r w:rsidRPr="001346FF">
        <w:rPr>
          <w:lang w:eastAsia="en-GB"/>
        </w:rPr>
        <w:t xml:space="preserve">Therefore two types of incentives can be considered to facilitate implementation of “green” projects: lending with reduced interest rate or even zero interest rate and / or lending with partial investment cost subsidy. </w:t>
      </w:r>
    </w:p>
    <w:p w:rsidR="00762C9B" w:rsidRPr="001346FF" w:rsidRDefault="00762C9B" w:rsidP="00762C9B">
      <w:pPr>
        <w:spacing w:after="120"/>
        <w:rPr>
          <w:lang w:eastAsia="en-GB"/>
        </w:rPr>
      </w:pPr>
      <w:r w:rsidRPr="001346FF">
        <w:rPr>
          <w:lang w:eastAsia="en-GB"/>
        </w:rPr>
        <w:t xml:space="preserve">The challenge of establishing such a promotional scheme is the institutional set-up and refinancing. Therefore prior to setting up the scheme it has to be decided whether the scheme will be used to promote a relatively small number of projects or a large number of projects. </w:t>
      </w:r>
    </w:p>
    <w:p w:rsidR="00762C9B" w:rsidRPr="001346FF" w:rsidRDefault="00762C9B" w:rsidP="00762C9B">
      <w:pPr>
        <w:spacing w:after="120"/>
        <w:rPr>
          <w:lang w:eastAsia="en-GB"/>
        </w:rPr>
      </w:pPr>
      <w:r w:rsidRPr="001346FF">
        <w:rPr>
          <w:lang w:eastAsia="en-GB"/>
        </w:rPr>
        <w:lastRenderedPageBreak/>
        <w:t xml:space="preserve">For a rather small-scale incentive it is appropriate to create a dedicated financial institution to provide this financial support. The main risk of a small dedicated financial institution is the limited capacity to assess the </w:t>
      </w:r>
      <w:proofErr w:type="gramStart"/>
      <w:r w:rsidRPr="001346FF">
        <w:rPr>
          <w:lang w:eastAsia="en-GB"/>
        </w:rPr>
        <w:t>borrower,</w:t>
      </w:r>
      <w:proofErr w:type="gramEnd"/>
      <w:r w:rsidRPr="001346FF">
        <w:rPr>
          <w:lang w:eastAsia="en-GB"/>
        </w:rPr>
        <w:t xml:space="preserve"> therefore it shall concentrate on lending for public sector or achieving some cooperation with commercial lending sector for loans to private sector. In some cases it might be appropriate to provide interest rate subsidy for loans when the public sector (the programme) pays the interest rate or part of it directly to the commercial bank instead of the borrower. Thus incentive is provided by the public sector but the lending risk remains within the commercial bank sector. </w:t>
      </w:r>
    </w:p>
    <w:p w:rsidR="00762C9B" w:rsidRPr="001346FF" w:rsidRDefault="00762C9B" w:rsidP="00762C9B">
      <w:pPr>
        <w:spacing w:after="120"/>
        <w:rPr>
          <w:lang w:eastAsia="en-GB"/>
        </w:rPr>
      </w:pPr>
      <w:r w:rsidRPr="001346FF">
        <w:rPr>
          <w:lang w:eastAsia="en-GB"/>
        </w:rPr>
        <w:t xml:space="preserve">If the promotional scheme will aim to reach a large number of projects it might be appropriate to establish a public development financial institution (a fund or a development bank) and to decide upon close cooperation with the commercial sector. </w:t>
      </w:r>
    </w:p>
    <w:p w:rsidR="00762C9B" w:rsidRPr="001346FF" w:rsidRDefault="00762C9B" w:rsidP="00762C9B">
      <w:pPr>
        <w:spacing w:after="120"/>
        <w:rPr>
          <w:lang w:eastAsia="en-GB"/>
        </w:rPr>
      </w:pPr>
      <w:r w:rsidRPr="001346FF">
        <w:rPr>
          <w:lang w:eastAsia="en-GB"/>
        </w:rPr>
        <w:t>To raise sufficient funds, the public sector shall either use the payments for polluting activities or borrow in the capital market. The latter will be required if the promotional scheme is targeted to large number of projects.</w:t>
      </w:r>
    </w:p>
    <w:p w:rsidR="00762C9B" w:rsidRPr="001346FF" w:rsidRDefault="00762C9B" w:rsidP="00762C9B">
      <w:pPr>
        <w:spacing w:after="120"/>
        <w:rPr>
          <w:u w:val="single"/>
          <w:lang w:eastAsia="en-GB"/>
        </w:rPr>
      </w:pPr>
    </w:p>
    <w:p w:rsidR="00762C9B" w:rsidRPr="000635CE" w:rsidRDefault="00762C9B" w:rsidP="00762C9B">
      <w:pPr>
        <w:spacing w:after="120"/>
        <w:rPr>
          <w:b/>
          <w:u w:val="single"/>
          <w:lang w:eastAsia="en-GB"/>
        </w:rPr>
      </w:pPr>
      <w:r w:rsidRPr="000635CE">
        <w:rPr>
          <w:b/>
          <w:u w:val="single"/>
          <w:lang w:eastAsia="en-GB"/>
        </w:rPr>
        <w:t>Green public procurement</w:t>
      </w:r>
    </w:p>
    <w:p w:rsidR="00762C9B" w:rsidRPr="001346FF" w:rsidRDefault="00762C9B" w:rsidP="00762C9B">
      <w:pPr>
        <w:spacing w:after="120"/>
        <w:rPr>
          <w:lang w:eastAsia="en-GB"/>
        </w:rPr>
      </w:pPr>
      <w:r w:rsidRPr="001346FF">
        <w:rPr>
          <w:lang w:eastAsia="en-GB"/>
        </w:rPr>
        <w:t>Relevant to:</w:t>
      </w:r>
      <w:r w:rsidRPr="001346FF">
        <w:rPr>
          <w:b/>
          <w:lang w:eastAsia="en-GB"/>
        </w:rPr>
        <w:t xml:space="preserve"> Armenia, Azerbaijan, Belarus, Georgia, Moldova, Russian Federation </w:t>
      </w:r>
      <w:r w:rsidRPr="001346FF">
        <w:rPr>
          <w:lang w:eastAsia="en-GB"/>
        </w:rPr>
        <w:t>(legal basis exists, but principle rarely applied in practice)</w:t>
      </w:r>
      <w:r w:rsidRPr="001346FF">
        <w:rPr>
          <w:b/>
          <w:lang w:eastAsia="en-GB"/>
        </w:rPr>
        <w:t xml:space="preserve">, Ukraine </w:t>
      </w:r>
      <w:r w:rsidRPr="001346FF">
        <w:rPr>
          <w:lang w:eastAsia="en-GB"/>
        </w:rPr>
        <w:t>(development of legal basis is foreseen)</w:t>
      </w:r>
    </w:p>
    <w:p w:rsidR="00762C9B" w:rsidRPr="001346FF" w:rsidRDefault="00762C9B" w:rsidP="00762C9B">
      <w:pPr>
        <w:spacing w:after="120"/>
        <w:rPr>
          <w:lang w:eastAsia="en-GB"/>
        </w:rPr>
      </w:pPr>
      <w:r w:rsidRPr="001346FF">
        <w:rPr>
          <w:lang w:eastAsia="en-GB"/>
        </w:rPr>
        <w:t>The concept of green public procurement has been present in the EU already for many years, and is considered to be appropriate tool to promote environment friendly entrepreneurship, as well as tackle a multitude of problems related to environmental pollution. The principle of green public procurement (GPP) can be adopted on different levels:</w:t>
      </w:r>
    </w:p>
    <w:p w:rsidR="00762C9B" w:rsidRPr="001346FF" w:rsidRDefault="00762C9B" w:rsidP="005116EE">
      <w:pPr>
        <w:pStyle w:val="ListParagraph"/>
        <w:numPr>
          <w:ilvl w:val="0"/>
          <w:numId w:val="35"/>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Setting a general legal basis for GPP, mentioning that during the public procurement procedure the government/affiliated institutions covered by public procurement can or have to take into consideration the environmental impact of the product or services at issue;</w:t>
      </w:r>
    </w:p>
    <w:p w:rsidR="00762C9B" w:rsidRPr="001346FF" w:rsidRDefault="00762C9B" w:rsidP="005116EE">
      <w:pPr>
        <w:pStyle w:val="ListParagraph"/>
        <w:numPr>
          <w:ilvl w:val="0"/>
          <w:numId w:val="35"/>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Setting general legal basis and determining the mandatory % of GPP (e.g. 20 % of all public procurement procedures have to be carried out in accordance with GPP principle);</w:t>
      </w:r>
    </w:p>
    <w:p w:rsidR="00762C9B" w:rsidRPr="001346FF" w:rsidRDefault="00762C9B" w:rsidP="005116EE">
      <w:pPr>
        <w:pStyle w:val="ListParagraph"/>
        <w:numPr>
          <w:ilvl w:val="0"/>
          <w:numId w:val="35"/>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In addition developing GPP criteria for different products/services. For example, the EC has developed a set of EU GPP criteria for different products and services.</w:t>
      </w:r>
      <w:r w:rsidRPr="001346FF">
        <w:rPr>
          <w:rStyle w:val="FootnoteReference"/>
          <w:rFonts w:ascii="Arial" w:hAnsi="Arial"/>
          <w:sz w:val="21"/>
          <w:lang w:val="en-GB" w:eastAsia="en-GB"/>
        </w:rPr>
        <w:footnoteReference w:id="69"/>
      </w:r>
    </w:p>
    <w:p w:rsidR="00762C9B" w:rsidRPr="001346FF" w:rsidRDefault="00762C9B" w:rsidP="00762C9B">
      <w:pPr>
        <w:spacing w:after="120"/>
        <w:rPr>
          <w:lang w:eastAsia="en-GB"/>
        </w:rPr>
      </w:pPr>
      <w:r w:rsidRPr="001346FF">
        <w:rPr>
          <w:lang w:eastAsia="en-GB"/>
        </w:rPr>
        <w:t>Taking into consideration that GPP principle has been earning more and more important role in the EU, there are many guidance documents intended for policy makers and general public. Good example, and probably the cornerstone in the field of explanatory documents, in this regard is the Handbook on Green Public Procurement</w:t>
      </w:r>
      <w:r w:rsidRPr="001346FF">
        <w:rPr>
          <w:rStyle w:val="FootnoteReference"/>
          <w:lang w:eastAsia="en-GB"/>
        </w:rPr>
        <w:footnoteReference w:id="70"/>
      </w:r>
      <w:r w:rsidRPr="001346FF">
        <w:rPr>
          <w:lang w:eastAsia="en-GB"/>
        </w:rPr>
        <w:t>, which guides through the process, starting with implementation of GPP and ending with contractual performance clauses after the contract has been awarded.</w:t>
      </w:r>
    </w:p>
    <w:p w:rsidR="00762C9B" w:rsidRPr="001346FF" w:rsidRDefault="00762C9B" w:rsidP="00762C9B">
      <w:pPr>
        <w:spacing w:after="120"/>
        <w:rPr>
          <w:lang w:eastAsia="en-GB"/>
        </w:rPr>
      </w:pPr>
      <w:r w:rsidRPr="001346FF">
        <w:rPr>
          <w:lang w:eastAsia="en-GB"/>
        </w:rPr>
        <w:t xml:space="preserve">Yet it is crucial to mention that, when applying a more lenient option, i.e., merely setting a basis that allows using environmental consideration when assessing the contract award criteria, the instrument most probably will not bare the expected results. Accordingly, it is possible to start with setting a voluntary option to exercise GPP for a trial period and then amend the legislation, </w:t>
      </w:r>
      <w:r w:rsidRPr="001346FF">
        <w:rPr>
          <w:lang w:eastAsia="en-GB"/>
        </w:rPr>
        <w:lastRenderedPageBreak/>
        <w:t xml:space="preserve">requiring mandatory GPP either in relation to particular products/services or setting a minimum %, as described in the bullet point No. 2 above. </w:t>
      </w:r>
    </w:p>
    <w:p w:rsidR="00762C9B" w:rsidRPr="001346FF" w:rsidRDefault="00762C9B" w:rsidP="00762C9B">
      <w:pPr>
        <w:spacing w:after="120"/>
        <w:rPr>
          <w:b/>
          <w:lang w:eastAsia="en-GB"/>
        </w:rPr>
      </w:pPr>
      <w:r w:rsidRPr="001346FF">
        <w:rPr>
          <w:b/>
          <w:lang w:eastAsia="en-GB"/>
        </w:rPr>
        <w:t>Implementation considerations, constraints</w:t>
      </w:r>
    </w:p>
    <w:p w:rsidR="00762C9B" w:rsidRPr="001346FF" w:rsidRDefault="00762C9B" w:rsidP="00762C9B">
      <w:pPr>
        <w:spacing w:after="120"/>
        <w:rPr>
          <w:lang w:eastAsia="en-GB"/>
        </w:rPr>
      </w:pPr>
      <w:r w:rsidRPr="001346FF">
        <w:rPr>
          <w:lang w:eastAsia="en-GB"/>
        </w:rPr>
        <w:t xml:space="preserve">Implementation of green public procurement principles after having established the legislative framework will require a considerable number of information campaigns and trainings both for contracting authorities and contractors. Many of the provisions of the green procurement follow the principles of selecting the most advantageous bid. </w:t>
      </w:r>
    </w:p>
    <w:p w:rsidR="00762C9B" w:rsidRPr="001346FF" w:rsidRDefault="00762C9B" w:rsidP="00762C9B">
      <w:pPr>
        <w:spacing w:after="120"/>
        <w:rPr>
          <w:lang w:eastAsia="en-GB"/>
        </w:rPr>
      </w:pPr>
      <w:r w:rsidRPr="001346FF">
        <w:rPr>
          <w:lang w:eastAsia="en-GB"/>
        </w:rPr>
        <w:t xml:space="preserve">It might be advisable to create specific legal acts and targeted handbooks for green public procurements in several sectors – transport, construction, etc. Since the whole project cycle from planning and procuring to implementing and ex-post evaluating the application of the green procurement principles usually takes 2 to 5 years, a long – term vision of such a system shall be created first. </w:t>
      </w:r>
    </w:p>
    <w:p w:rsidR="00762C9B" w:rsidRPr="001346FF" w:rsidRDefault="00762C9B" w:rsidP="00762C9B">
      <w:pPr>
        <w:spacing w:after="120"/>
        <w:rPr>
          <w:lang w:eastAsia="en-GB"/>
        </w:rPr>
      </w:pPr>
      <w:r w:rsidRPr="001346FF">
        <w:rPr>
          <w:lang w:eastAsia="en-GB"/>
        </w:rPr>
        <w:t>Creation and implementation of a national strategic plan for implementation of the green public procurement may facilitate coordination between various stakeholders and provide comprehensive data for monitoring the progress.</w:t>
      </w:r>
    </w:p>
    <w:p w:rsidR="00762C9B" w:rsidRPr="001346FF" w:rsidRDefault="00762C9B" w:rsidP="00762C9B">
      <w:pPr>
        <w:spacing w:after="120"/>
        <w:rPr>
          <w:lang w:eastAsia="en-GB"/>
        </w:rPr>
      </w:pPr>
      <w:r w:rsidRPr="001346FF">
        <w:rPr>
          <w:lang w:eastAsia="en-GB"/>
        </w:rPr>
        <w:t>The core challenge will represent the staff both at contracting authorities and contractors. They have to be trained intensively on practical issues of green procurement selection criteria, contractual issues, planning and assessing life-cycle cost, etc.</w:t>
      </w:r>
    </w:p>
    <w:p w:rsidR="00762C9B" w:rsidRPr="001346FF" w:rsidRDefault="00762C9B" w:rsidP="00762C9B">
      <w:pPr>
        <w:spacing w:after="120"/>
        <w:rPr>
          <w:lang w:eastAsia="en-GB"/>
        </w:rPr>
      </w:pPr>
    </w:p>
    <w:p w:rsidR="00762C9B" w:rsidRPr="000635CE" w:rsidRDefault="00762C9B" w:rsidP="00516EF9">
      <w:pPr>
        <w:spacing w:after="120"/>
        <w:rPr>
          <w:b/>
          <w:u w:val="single"/>
          <w:lang w:eastAsia="en-GB"/>
        </w:rPr>
      </w:pPr>
      <w:r w:rsidRPr="000635CE">
        <w:rPr>
          <w:b/>
          <w:u w:val="single"/>
          <w:lang w:eastAsia="en-GB"/>
        </w:rPr>
        <w:t>Reduced insurance rates for environment friendly undertakings and technologies</w:t>
      </w:r>
    </w:p>
    <w:p w:rsidR="00762C9B" w:rsidRPr="001346FF" w:rsidRDefault="00762C9B" w:rsidP="00516EF9">
      <w:pPr>
        <w:spacing w:after="120"/>
        <w:rPr>
          <w:lang w:eastAsia="en-GB"/>
        </w:rPr>
      </w:pPr>
      <w:r w:rsidRPr="001346FF">
        <w:rPr>
          <w:lang w:eastAsia="en-GB"/>
        </w:rPr>
        <w:t xml:space="preserve">Relevant to: </w:t>
      </w:r>
      <w:r w:rsidRPr="001346FF">
        <w:rPr>
          <w:b/>
          <w:lang w:eastAsia="en-GB"/>
        </w:rPr>
        <w:t xml:space="preserve">Armenia, Azerbaijan, Belarus </w:t>
      </w:r>
      <w:r w:rsidRPr="001346FF">
        <w:rPr>
          <w:lang w:eastAsia="en-GB"/>
        </w:rPr>
        <w:t xml:space="preserve">(in the process of development), </w:t>
      </w:r>
      <w:r w:rsidRPr="001346FF">
        <w:rPr>
          <w:b/>
          <w:lang w:eastAsia="en-GB"/>
        </w:rPr>
        <w:t xml:space="preserve">Georgia, Moldova </w:t>
      </w:r>
      <w:r w:rsidRPr="001346FF">
        <w:rPr>
          <w:lang w:eastAsia="en-GB"/>
        </w:rPr>
        <w:t xml:space="preserve">(project was proposed, but not implemented), </w:t>
      </w:r>
      <w:r w:rsidRPr="001346FF">
        <w:rPr>
          <w:b/>
          <w:lang w:eastAsia="en-GB"/>
        </w:rPr>
        <w:t>Ukraine</w:t>
      </w:r>
      <w:r w:rsidRPr="001346FF">
        <w:rPr>
          <w:lang w:eastAsia="en-GB"/>
        </w:rPr>
        <w:t xml:space="preserve"> (development of legal basis is foreseen)</w:t>
      </w:r>
    </w:p>
    <w:p w:rsidR="00762C9B" w:rsidRPr="001346FF" w:rsidRDefault="00762C9B" w:rsidP="00516EF9">
      <w:pPr>
        <w:spacing w:after="120"/>
        <w:rPr>
          <w:lang w:eastAsia="en-GB"/>
        </w:rPr>
      </w:pPr>
      <w:r w:rsidRPr="001346FF">
        <w:rPr>
          <w:lang w:eastAsia="en-GB"/>
        </w:rPr>
        <w:t xml:space="preserve">Taking into consideration that insurance rates are closely tied to the risk factors surrounding the insured object, it is well grounded to incite development of a system, where the owners of “green” businesses and technologies would be able to insure their enterprises and objects at a lower insurance rate. </w:t>
      </w:r>
    </w:p>
    <w:p w:rsidR="00762C9B" w:rsidRPr="001346FF" w:rsidRDefault="00762C9B" w:rsidP="00762C9B">
      <w:pPr>
        <w:spacing w:after="120"/>
        <w:rPr>
          <w:b/>
          <w:lang w:eastAsia="en-GB"/>
        </w:rPr>
      </w:pPr>
      <w:r w:rsidRPr="001346FF">
        <w:rPr>
          <w:b/>
          <w:lang w:eastAsia="en-GB"/>
        </w:rPr>
        <w:t>Implementation considerations, constraints</w:t>
      </w:r>
    </w:p>
    <w:p w:rsidR="00762C9B" w:rsidRPr="001346FF" w:rsidRDefault="00762C9B" w:rsidP="00762C9B">
      <w:pPr>
        <w:keepNext/>
        <w:keepLines/>
        <w:spacing w:after="120"/>
        <w:rPr>
          <w:lang w:eastAsia="en-GB"/>
        </w:rPr>
      </w:pPr>
      <w:r w:rsidRPr="001346FF">
        <w:rPr>
          <w:lang w:eastAsia="en-GB"/>
        </w:rPr>
        <w:t xml:space="preserve">The realization of such system may cause some concerns – while it might be easier to implement such reduced insurance rates if the insurance agency is affiliated to the government, it might be more complex to influence the private insurance companies’ sector. The integration of “green insurance” principle in the programmes offered by private agencies can be forwarded by offering information to insurers on types of low risk companies and green technologies, or develop set of indicators that help to determine if the company/technology at issue can be considered as low risk or “green”. </w:t>
      </w:r>
    </w:p>
    <w:p w:rsidR="00762C9B" w:rsidRPr="001346FF" w:rsidRDefault="00762C9B" w:rsidP="00762C9B">
      <w:pPr>
        <w:spacing w:after="120"/>
        <w:rPr>
          <w:lang w:eastAsia="en-GB"/>
        </w:rPr>
      </w:pPr>
    </w:p>
    <w:p w:rsidR="00762C9B" w:rsidRPr="000635CE" w:rsidRDefault="00762C9B" w:rsidP="00762C9B">
      <w:pPr>
        <w:spacing w:after="120"/>
        <w:rPr>
          <w:b/>
          <w:u w:val="single"/>
          <w:lang w:eastAsia="en-GB"/>
        </w:rPr>
      </w:pPr>
      <w:r w:rsidRPr="000635CE">
        <w:rPr>
          <w:b/>
          <w:u w:val="single"/>
          <w:lang w:eastAsia="en-GB"/>
        </w:rPr>
        <w:t>Funding schemes (i.e. investment cost subsidies) for introduction of green technologies, establishment and/or operation of environment friendly businesses</w:t>
      </w:r>
    </w:p>
    <w:p w:rsidR="00762C9B" w:rsidRPr="001346FF" w:rsidRDefault="00762C9B" w:rsidP="00762C9B">
      <w:pPr>
        <w:spacing w:after="120"/>
        <w:rPr>
          <w:b/>
          <w:lang w:eastAsia="en-GB"/>
        </w:rPr>
      </w:pPr>
      <w:r w:rsidRPr="001346FF">
        <w:rPr>
          <w:lang w:eastAsia="en-GB"/>
        </w:rPr>
        <w:t xml:space="preserve">Relevant to: </w:t>
      </w:r>
      <w:r w:rsidRPr="001346FF">
        <w:rPr>
          <w:b/>
          <w:lang w:eastAsia="en-GB"/>
        </w:rPr>
        <w:t xml:space="preserve">Armenia, Azerbaijan, Belarus, Georgia, Moldova, Russian Federation, </w:t>
      </w:r>
      <w:proofErr w:type="gramStart"/>
      <w:r w:rsidRPr="001346FF">
        <w:rPr>
          <w:b/>
          <w:lang w:eastAsia="en-GB"/>
        </w:rPr>
        <w:t>Ukraine</w:t>
      </w:r>
      <w:proofErr w:type="gramEnd"/>
    </w:p>
    <w:p w:rsidR="00762C9B" w:rsidRPr="001346FF" w:rsidRDefault="00762C9B" w:rsidP="00762C9B">
      <w:pPr>
        <w:spacing w:after="120"/>
        <w:rPr>
          <w:lang w:eastAsia="en-GB"/>
        </w:rPr>
      </w:pPr>
      <w:r w:rsidRPr="001346FF">
        <w:rPr>
          <w:lang w:eastAsia="en-GB"/>
        </w:rPr>
        <w:t xml:space="preserve">Particularly effective incentive tool for development of green economies and promotion of environment friendly entrepreneurship is the provision of funding for “green” activities and </w:t>
      </w:r>
      <w:r w:rsidRPr="001346FF">
        <w:rPr>
          <w:lang w:eastAsia="en-GB"/>
        </w:rPr>
        <w:lastRenderedPageBreak/>
        <w:t>businesses. Such funds and grant programmes can be administered by various types of bodies – government affiliated institutions, NGOs, as well as private companies.</w:t>
      </w:r>
    </w:p>
    <w:p w:rsidR="00762C9B" w:rsidRPr="001346FF" w:rsidRDefault="00762C9B" w:rsidP="00762C9B">
      <w:pPr>
        <w:spacing w:after="120"/>
        <w:rPr>
          <w:lang w:eastAsia="en-GB"/>
        </w:rPr>
      </w:pPr>
      <w:r w:rsidRPr="001346FF">
        <w:rPr>
          <w:lang w:eastAsia="en-GB"/>
        </w:rPr>
        <w:t>Finances for grants can be acquired through various mechanisms – as a separate position in state budget, finances from environmental fines and tax payments for emissions (e.g., in the framework of environmental permitting system), attract financing from international sources/funds or ETS system (if applicable). The list is not exhaustive and the government can introduce another financing source.</w:t>
      </w:r>
    </w:p>
    <w:p w:rsidR="00762C9B" w:rsidRPr="001346FF" w:rsidRDefault="00762C9B" w:rsidP="00762C9B">
      <w:pPr>
        <w:spacing w:after="120"/>
        <w:rPr>
          <w:lang w:eastAsia="en-GB"/>
        </w:rPr>
      </w:pPr>
      <w:r w:rsidRPr="001346FF">
        <w:rPr>
          <w:lang w:eastAsia="en-GB"/>
        </w:rPr>
        <w:t>In the case of grants the indispensable element is the “competition”. Namely, the entrepreneur or initiator has to apply for grant, yet, taking into consideration that the funding provides finances that do not have to be returned to the fund, the application conditions have to be rather strict and straight forward. Similar as in the case of loans (described above), also in the situation of funding, the applicants may have to participate in the competition and only the project that prove themselves to be the most innovative/environment friendly/sustainable (depending on the selection criteria) acquire the desired financing. This is due to the fact of unpredictable amount of applications. Furthermore, such system has to establish the monitoring and reporting programme, so as to ensure that the grant is spent in accordance with the set conditions and the project is implemented and operating successfully.</w:t>
      </w:r>
    </w:p>
    <w:p w:rsidR="00762C9B" w:rsidRPr="001346FF" w:rsidRDefault="00762C9B" w:rsidP="00762C9B">
      <w:pPr>
        <w:spacing w:after="120"/>
        <w:rPr>
          <w:b/>
          <w:lang w:eastAsia="en-GB"/>
        </w:rPr>
      </w:pPr>
      <w:r w:rsidRPr="001346FF">
        <w:rPr>
          <w:b/>
          <w:lang w:eastAsia="en-GB"/>
        </w:rPr>
        <w:t>Implementation considerations, constraints</w:t>
      </w:r>
    </w:p>
    <w:p w:rsidR="00762C9B" w:rsidRPr="001346FF" w:rsidRDefault="00762C9B" w:rsidP="00762C9B">
      <w:pPr>
        <w:spacing w:after="120"/>
        <w:rPr>
          <w:lang w:eastAsia="en-GB"/>
        </w:rPr>
      </w:pPr>
      <w:r w:rsidRPr="001346FF">
        <w:rPr>
          <w:lang w:eastAsia="en-GB"/>
        </w:rPr>
        <w:t xml:space="preserve">If compared to incentives falling within the scope of </w:t>
      </w:r>
      <w:r w:rsidRPr="001346FF">
        <w:rPr>
          <w:u w:val="single"/>
          <w:lang w:eastAsia="en-GB"/>
        </w:rPr>
        <w:t xml:space="preserve">Zero interest loans for implementation of “green” projects </w:t>
      </w:r>
      <w:r w:rsidRPr="001346FF">
        <w:rPr>
          <w:lang w:eastAsia="en-GB"/>
        </w:rPr>
        <w:t>the incentives of investment cost subsidies nature are easier to design. However, due to the fact that funds are not revolving the government will need to allocate appropriate budgetary funds each year the incentive will be running.</w:t>
      </w:r>
    </w:p>
    <w:p w:rsidR="00762C9B" w:rsidRPr="001346FF" w:rsidRDefault="00762C9B" w:rsidP="00762C9B">
      <w:pPr>
        <w:spacing w:after="120"/>
        <w:rPr>
          <w:lang w:eastAsia="en-GB"/>
        </w:rPr>
      </w:pPr>
      <w:r w:rsidRPr="001346FF">
        <w:rPr>
          <w:lang w:eastAsia="en-GB"/>
        </w:rPr>
        <w:t>An essential issue when designing an investment cost subsidy scheme is to define targets and indicators to achieve at macro level. When implemented the sum of projects under the scheme shall provide outputs of sufficient level to reach the defined targets. This means that the public sector pays for results achieved and not for activities done. A good example of that can be found under energy efficiency and renewable energy resource programmes. The funding provider requires that the building falling under such a programme is renovated to reach a pre-defined level of energy efficiency and the investment cost subsidy is relative to the annual amount of reduction of GHG emissions.</w:t>
      </w:r>
    </w:p>
    <w:p w:rsidR="00762C9B" w:rsidRPr="001346FF" w:rsidRDefault="00762C9B" w:rsidP="00762C9B">
      <w:pPr>
        <w:spacing w:after="120"/>
        <w:rPr>
          <w:lang w:eastAsia="en-GB"/>
        </w:rPr>
      </w:pPr>
      <w:r w:rsidRPr="001346FF">
        <w:rPr>
          <w:lang w:eastAsia="en-GB"/>
        </w:rPr>
        <w:t xml:space="preserve">Another aspect to consider is the existence of already operating funds. Prior to establishing a new funding mechanism, it is essential to screen the available tools indicating the sectors that already have been covered. For example, a number of states already have special energy efficiency and renewable energy resources programmes. Therefore it might be useful to first assess, which environmental issue is the most topical and then either establish a fund that is intended for a specific sector or is open for various “environment friendly projects”. In the case of the latter it might have some separate sections or positions. </w:t>
      </w:r>
    </w:p>
    <w:p w:rsidR="00762C9B" w:rsidRPr="001346FF" w:rsidRDefault="00762C9B" w:rsidP="00762C9B">
      <w:pPr>
        <w:spacing w:after="120"/>
        <w:rPr>
          <w:lang w:eastAsia="en-GB"/>
        </w:rPr>
      </w:pPr>
    </w:p>
    <w:p w:rsidR="00762C9B" w:rsidRPr="000635CE" w:rsidRDefault="00762C9B" w:rsidP="00762C9B">
      <w:pPr>
        <w:keepNext/>
        <w:keepLines/>
        <w:spacing w:after="120"/>
        <w:rPr>
          <w:b/>
          <w:u w:val="single"/>
          <w:lang w:eastAsia="en-GB"/>
        </w:rPr>
      </w:pPr>
      <w:r w:rsidRPr="000635CE">
        <w:rPr>
          <w:b/>
          <w:u w:val="single"/>
          <w:lang w:eastAsia="en-GB"/>
        </w:rPr>
        <w:lastRenderedPageBreak/>
        <w:t>Free business support services for environment friendly undertakings</w:t>
      </w:r>
    </w:p>
    <w:p w:rsidR="00762C9B" w:rsidRPr="001346FF" w:rsidRDefault="00762C9B" w:rsidP="00762C9B">
      <w:pPr>
        <w:keepNext/>
        <w:keepLines/>
        <w:spacing w:after="120"/>
        <w:rPr>
          <w:b/>
          <w:lang w:eastAsia="en-GB"/>
        </w:rPr>
      </w:pPr>
      <w:r w:rsidRPr="001346FF">
        <w:rPr>
          <w:lang w:eastAsia="en-GB"/>
        </w:rPr>
        <w:t xml:space="preserve">Relevant to: </w:t>
      </w:r>
      <w:r w:rsidRPr="001346FF">
        <w:rPr>
          <w:b/>
          <w:lang w:eastAsia="en-GB"/>
        </w:rPr>
        <w:t xml:space="preserve">Armenia, Azerbaijan, Belarus (additional development needed), Georgia, Moldova, Russian Federation </w:t>
      </w:r>
    </w:p>
    <w:p w:rsidR="00762C9B" w:rsidRPr="001346FF" w:rsidRDefault="00762C9B" w:rsidP="00762C9B">
      <w:pPr>
        <w:keepNext/>
        <w:keepLines/>
        <w:spacing w:after="120"/>
        <w:rPr>
          <w:lang w:eastAsia="en-GB"/>
        </w:rPr>
      </w:pPr>
      <w:r w:rsidRPr="001346FF">
        <w:rPr>
          <w:lang w:eastAsia="en-GB"/>
        </w:rPr>
        <w:t xml:space="preserve">To encourage the development of “green” undertakings, it is valuable to provide the support at the stage when the business is the most vulnerable. Therefore business incubators help to start up a business and provide such services as networking, access to loans, premises, intellectual property management etc. </w:t>
      </w:r>
    </w:p>
    <w:p w:rsidR="00762C9B" w:rsidRPr="001346FF" w:rsidRDefault="00762C9B" w:rsidP="00762C9B">
      <w:pPr>
        <w:spacing w:after="120"/>
        <w:rPr>
          <w:lang w:eastAsia="en-GB"/>
        </w:rPr>
      </w:pPr>
      <w:r w:rsidRPr="001346FF">
        <w:rPr>
          <w:lang w:eastAsia="en-GB"/>
        </w:rPr>
        <w:t>Incubator services are generally available for a particular time, as the goal is to help business to emerge and develop so as it becomes self-sustaining (e.g., in Latvia business incubation services are available for the period of up to 4 years</w:t>
      </w:r>
      <w:r w:rsidRPr="001346FF">
        <w:rPr>
          <w:rStyle w:val="FootnoteReference"/>
          <w:lang w:eastAsia="en-GB"/>
        </w:rPr>
        <w:footnoteReference w:id="71"/>
      </w:r>
      <w:r w:rsidRPr="001346FF">
        <w:rPr>
          <w:lang w:eastAsia="en-GB"/>
        </w:rPr>
        <w:t>). There can also be various types of incubators, either covering “mixed-use” projects or oriented towards particular specialty, thus accelerating growth in specific industry, e.g., “environment/clean technologies.</w:t>
      </w:r>
      <w:r w:rsidRPr="001346FF">
        <w:rPr>
          <w:rStyle w:val="FootnoteReference"/>
          <w:lang w:eastAsia="en-GB"/>
        </w:rPr>
        <w:footnoteReference w:id="72"/>
      </w:r>
      <w:r w:rsidRPr="001346FF">
        <w:rPr>
          <w:lang w:eastAsia="en-GB"/>
        </w:rPr>
        <w:t xml:space="preserve"> When the emerging businesses apply for incubation services, it is necessary to develop a set of conditions to screen them and be able to check if they fall within the supported specialty and have high potential of being viable. </w:t>
      </w:r>
    </w:p>
    <w:p w:rsidR="00762C9B" w:rsidRPr="001346FF" w:rsidRDefault="00762C9B" w:rsidP="00762C9B">
      <w:pPr>
        <w:spacing w:after="120"/>
        <w:rPr>
          <w:lang w:eastAsia="en-GB"/>
        </w:rPr>
      </w:pPr>
      <w:r w:rsidRPr="001346FF">
        <w:rPr>
          <w:lang w:eastAsia="en-GB"/>
        </w:rPr>
        <w:t xml:space="preserve">As the business incubators have to have sufficient financial resources in order to be capable of supporting an average number of emerging companies (~15 simultaneously), it can be supported through various means. </w:t>
      </w:r>
    </w:p>
    <w:p w:rsidR="00762C9B" w:rsidRPr="001346FF" w:rsidRDefault="00762C9B" w:rsidP="00762C9B">
      <w:pPr>
        <w:spacing w:after="120"/>
        <w:ind w:left="851" w:right="991"/>
        <w:rPr>
          <w:szCs w:val="21"/>
          <w:lang w:eastAsia="en-GB"/>
        </w:rPr>
      </w:pPr>
      <w:r w:rsidRPr="001346FF">
        <w:rPr>
          <w:szCs w:val="21"/>
          <w:lang w:eastAsia="en-GB"/>
        </w:rPr>
        <w:t>About one-third of business incubation programs in Europe are sponsored by economic development organizations. Government entities (such as cities or counties) account for 21% of program sponsors. Another 20% are sponsored by academic institutions, universities and colleges. In many countries, incubation programs are funded by regional or national governments as part of an overall economic development strategy.</w:t>
      </w:r>
      <w:r w:rsidRPr="001346FF">
        <w:rPr>
          <w:rStyle w:val="FootnoteReference"/>
          <w:lang w:eastAsia="en-GB"/>
        </w:rPr>
        <w:footnoteReference w:id="73"/>
      </w:r>
    </w:p>
    <w:p w:rsidR="00762C9B" w:rsidRPr="001346FF" w:rsidRDefault="00762C9B" w:rsidP="00762C9B">
      <w:pPr>
        <w:spacing w:after="120"/>
        <w:ind w:right="-1"/>
        <w:rPr>
          <w:lang w:eastAsia="en-GB"/>
        </w:rPr>
      </w:pPr>
      <w:r w:rsidRPr="001346FF">
        <w:rPr>
          <w:lang w:eastAsia="en-GB"/>
        </w:rPr>
        <w:t>Even though the development of business incubators can be considered as one of the most effective types of start-up consultation support package, the government can introduce a simpler form of support in form of legal and practical consultation, which can be provided under the umbrella of appropriate ministry’s services, municipality’s client services’ office or by the separate government affiliated entity. In such case the consultant provides free of charge consultations in regards to legal requirements for establishing a company, possible financing options and any other relevant information, but not a tangible support, which is provided in case of incubators in form of premises, internet, equipment etc.</w:t>
      </w:r>
    </w:p>
    <w:p w:rsidR="00762C9B" w:rsidRPr="001346FF" w:rsidRDefault="00762C9B" w:rsidP="00762C9B">
      <w:pPr>
        <w:spacing w:after="120"/>
        <w:rPr>
          <w:b/>
          <w:lang w:eastAsia="en-GB"/>
        </w:rPr>
      </w:pPr>
      <w:r w:rsidRPr="001346FF">
        <w:rPr>
          <w:b/>
          <w:lang w:eastAsia="en-GB"/>
        </w:rPr>
        <w:t>Implementation considerations, constraints</w:t>
      </w:r>
    </w:p>
    <w:p w:rsidR="00762C9B" w:rsidRPr="001346FF" w:rsidRDefault="00762C9B" w:rsidP="00762C9B">
      <w:pPr>
        <w:spacing w:after="120"/>
        <w:ind w:right="-1"/>
        <w:rPr>
          <w:lang w:eastAsia="en-GB"/>
        </w:rPr>
      </w:pPr>
      <w:r w:rsidRPr="001346FF">
        <w:rPr>
          <w:lang w:eastAsia="en-GB"/>
        </w:rPr>
        <w:t xml:space="preserve">One of the core issues is the continuity of the business incubator services. The incubation period of a company usually exceeds normal annual budgetary cycle of the public administration. This requires medium-term or even long-term public sector commitments to fund the incubator services and to keep support package. </w:t>
      </w:r>
    </w:p>
    <w:p w:rsidR="00762C9B" w:rsidRPr="001346FF" w:rsidRDefault="00762C9B" w:rsidP="00762C9B">
      <w:pPr>
        <w:spacing w:after="120"/>
        <w:ind w:right="-1"/>
        <w:rPr>
          <w:lang w:eastAsia="en-GB"/>
        </w:rPr>
      </w:pPr>
      <w:r w:rsidRPr="001346FF">
        <w:rPr>
          <w:lang w:eastAsia="en-GB"/>
        </w:rPr>
        <w:lastRenderedPageBreak/>
        <w:t>Further, the public administration may discuss the institutional form how the incubators are set up:</w:t>
      </w:r>
    </w:p>
    <w:p w:rsidR="00762C9B" w:rsidRPr="001346FF" w:rsidRDefault="00762C9B" w:rsidP="005116EE">
      <w:pPr>
        <w:pStyle w:val="ListParagraph"/>
        <w:numPr>
          <w:ilvl w:val="0"/>
          <w:numId w:val="39"/>
        </w:numPr>
        <w:spacing w:after="120" w:line="240" w:lineRule="auto"/>
        <w:ind w:right="-1"/>
        <w:jc w:val="both"/>
        <w:rPr>
          <w:rFonts w:ascii="Arial" w:hAnsi="Arial" w:cs="Arial"/>
          <w:sz w:val="21"/>
          <w:szCs w:val="21"/>
          <w:lang w:val="en-GB" w:eastAsia="en-GB"/>
        </w:rPr>
      </w:pPr>
      <w:r w:rsidRPr="001346FF">
        <w:rPr>
          <w:rFonts w:ascii="Arial" w:hAnsi="Arial" w:cs="Arial"/>
          <w:sz w:val="21"/>
          <w:szCs w:val="21"/>
          <w:lang w:val="en-GB" w:eastAsia="en-GB"/>
        </w:rPr>
        <w:t>as public bodies;</w:t>
      </w:r>
    </w:p>
    <w:p w:rsidR="00762C9B" w:rsidRPr="001346FF" w:rsidRDefault="00762C9B" w:rsidP="005116EE">
      <w:pPr>
        <w:pStyle w:val="ListParagraph"/>
        <w:numPr>
          <w:ilvl w:val="0"/>
          <w:numId w:val="39"/>
        </w:numPr>
        <w:spacing w:after="120" w:line="240" w:lineRule="auto"/>
        <w:ind w:right="-1"/>
        <w:jc w:val="both"/>
        <w:rPr>
          <w:rFonts w:ascii="Arial" w:hAnsi="Arial" w:cs="Arial"/>
          <w:sz w:val="21"/>
          <w:szCs w:val="21"/>
          <w:lang w:val="en-GB" w:eastAsia="en-GB"/>
        </w:rPr>
      </w:pPr>
      <w:r w:rsidRPr="001346FF">
        <w:rPr>
          <w:rFonts w:ascii="Arial" w:hAnsi="Arial" w:cs="Arial"/>
          <w:sz w:val="21"/>
          <w:szCs w:val="21"/>
          <w:lang w:val="en-GB" w:eastAsia="en-GB"/>
        </w:rPr>
        <w:t>as public – private partnership;</w:t>
      </w:r>
    </w:p>
    <w:p w:rsidR="00762C9B" w:rsidRPr="001346FF" w:rsidRDefault="00762C9B" w:rsidP="005116EE">
      <w:pPr>
        <w:pStyle w:val="ListParagraph"/>
        <w:numPr>
          <w:ilvl w:val="0"/>
          <w:numId w:val="39"/>
        </w:numPr>
        <w:spacing w:after="120" w:line="240" w:lineRule="auto"/>
        <w:ind w:right="-1"/>
        <w:jc w:val="both"/>
        <w:rPr>
          <w:rFonts w:ascii="Arial" w:hAnsi="Arial" w:cs="Arial"/>
          <w:sz w:val="21"/>
          <w:szCs w:val="21"/>
          <w:lang w:val="en-GB" w:eastAsia="en-GB"/>
        </w:rPr>
      </w:pPr>
      <w:proofErr w:type="gramStart"/>
      <w:r w:rsidRPr="001346FF">
        <w:rPr>
          <w:rFonts w:ascii="Arial" w:hAnsi="Arial" w:cs="Arial"/>
          <w:sz w:val="21"/>
          <w:szCs w:val="21"/>
          <w:lang w:val="en-GB" w:eastAsia="en-GB"/>
        </w:rPr>
        <w:t>by</w:t>
      </w:r>
      <w:proofErr w:type="gramEnd"/>
      <w:r w:rsidRPr="001346FF">
        <w:rPr>
          <w:rFonts w:ascii="Arial" w:hAnsi="Arial" w:cs="Arial"/>
          <w:sz w:val="21"/>
          <w:szCs w:val="21"/>
          <w:lang w:val="en-GB" w:eastAsia="en-GB"/>
        </w:rPr>
        <w:t xml:space="preserve"> procuring incubator services to private sector.</w:t>
      </w:r>
    </w:p>
    <w:p w:rsidR="00762C9B" w:rsidRPr="001346FF" w:rsidRDefault="00762C9B" w:rsidP="00762C9B">
      <w:pPr>
        <w:spacing w:after="120"/>
        <w:ind w:right="-1"/>
        <w:rPr>
          <w:lang w:eastAsia="en-GB"/>
        </w:rPr>
      </w:pPr>
    </w:p>
    <w:p w:rsidR="00762C9B" w:rsidRPr="000635CE" w:rsidRDefault="00762C9B" w:rsidP="00762C9B">
      <w:pPr>
        <w:keepNext/>
        <w:keepLines/>
        <w:spacing w:after="120"/>
        <w:rPr>
          <w:b/>
          <w:u w:val="single"/>
          <w:lang w:eastAsia="en-GB"/>
        </w:rPr>
      </w:pPr>
      <w:r w:rsidRPr="000635CE">
        <w:rPr>
          <w:b/>
          <w:u w:val="single"/>
          <w:lang w:eastAsia="en-GB"/>
        </w:rPr>
        <w:t xml:space="preserve">Voluntary </w:t>
      </w:r>
      <w:proofErr w:type="spellStart"/>
      <w:r w:rsidRPr="000635CE">
        <w:rPr>
          <w:b/>
          <w:u w:val="single"/>
          <w:lang w:eastAsia="en-GB"/>
        </w:rPr>
        <w:t>sectoral</w:t>
      </w:r>
      <w:proofErr w:type="spellEnd"/>
      <w:r w:rsidRPr="000635CE">
        <w:rPr>
          <w:b/>
          <w:u w:val="single"/>
          <w:lang w:eastAsia="en-GB"/>
        </w:rPr>
        <w:t xml:space="preserve"> agreements</w:t>
      </w:r>
    </w:p>
    <w:p w:rsidR="00762C9B" w:rsidRPr="001346FF" w:rsidRDefault="00762C9B" w:rsidP="00762C9B">
      <w:pPr>
        <w:keepNext/>
        <w:keepLines/>
        <w:spacing w:after="120"/>
        <w:rPr>
          <w:b/>
          <w:lang w:eastAsia="en-GB"/>
        </w:rPr>
      </w:pPr>
      <w:r w:rsidRPr="001346FF">
        <w:rPr>
          <w:lang w:eastAsia="en-GB"/>
        </w:rPr>
        <w:t xml:space="preserve">Relevant to: </w:t>
      </w:r>
      <w:r w:rsidRPr="001346FF">
        <w:rPr>
          <w:b/>
          <w:lang w:eastAsia="en-GB"/>
        </w:rPr>
        <w:t xml:space="preserve">Armenia, Azerbaijan, Belarus, Georgia, Moldova, Russian Federation, </w:t>
      </w:r>
      <w:proofErr w:type="gramStart"/>
      <w:r w:rsidRPr="001346FF">
        <w:rPr>
          <w:b/>
          <w:lang w:eastAsia="en-GB"/>
        </w:rPr>
        <w:t>Ukraine</w:t>
      </w:r>
      <w:proofErr w:type="gramEnd"/>
    </w:p>
    <w:p w:rsidR="00762C9B" w:rsidRPr="001346FF" w:rsidRDefault="00762C9B" w:rsidP="00762C9B">
      <w:pPr>
        <w:keepNext/>
        <w:keepLines/>
        <w:spacing w:after="120"/>
        <w:rPr>
          <w:lang w:eastAsia="en-GB"/>
        </w:rPr>
      </w:pPr>
      <w:r w:rsidRPr="001346FF">
        <w:rPr>
          <w:lang w:eastAsia="en-GB"/>
        </w:rPr>
        <w:t>Another way of stimulating environment friendly behaviour is by provision of possibility to conclude environmental agreements between the sectors and the government. As it was mentioned in the chapter above probably one of the most common examples of such agreements can be observed in case of the energy sector. Voluntary agreements intended for abatement of air pollution are also relevant for other industries (e.g., chemical industry, glass industry</w:t>
      </w:r>
      <w:r w:rsidRPr="001346FF">
        <w:rPr>
          <w:rStyle w:val="FootnoteReference"/>
          <w:lang w:eastAsia="en-GB"/>
        </w:rPr>
        <w:footnoteReference w:id="74"/>
      </w:r>
      <w:r w:rsidRPr="001346FF">
        <w:rPr>
          <w:lang w:eastAsia="en-GB"/>
        </w:rPr>
        <w:t>), which are responsible for considerably high volumes of emissions.</w:t>
      </w:r>
    </w:p>
    <w:p w:rsidR="00762C9B" w:rsidRPr="001346FF" w:rsidRDefault="00762C9B" w:rsidP="00762C9B">
      <w:pPr>
        <w:spacing w:after="120"/>
        <w:ind w:right="-1"/>
        <w:rPr>
          <w:lang w:eastAsia="en-GB"/>
        </w:rPr>
      </w:pPr>
      <w:r w:rsidRPr="001346FF">
        <w:rPr>
          <w:lang w:eastAsia="en-GB"/>
        </w:rPr>
        <w:t>Such agreements are especially relevant if the country has set quantitative emission targets and has international obligations for reduction of emissions. Usually the agreements establish quantitative limits – either emission reduction in terms of reduction percentage or limit values that can be more ambitious than the ones set out by legislation. As a motivation to join, the government can provide tax reductions or exemptions, easier access to environmental permits, temporary exemption from certain legal requirements, financial support to undertake certain actions, provision of information on energy-efficient technologies, government assistance and training in energy management.</w:t>
      </w:r>
      <w:r w:rsidRPr="001346FF">
        <w:rPr>
          <w:rStyle w:val="FootnoteReference"/>
          <w:lang w:eastAsia="en-GB"/>
        </w:rPr>
        <w:footnoteReference w:id="75"/>
      </w:r>
    </w:p>
    <w:p w:rsidR="00762C9B" w:rsidRPr="001346FF" w:rsidRDefault="00762C9B" w:rsidP="00762C9B">
      <w:pPr>
        <w:spacing w:after="120"/>
        <w:ind w:right="-1"/>
        <w:rPr>
          <w:lang w:eastAsia="en-GB"/>
        </w:rPr>
      </w:pPr>
      <w:r w:rsidRPr="001346FF">
        <w:rPr>
          <w:lang w:eastAsia="en-GB"/>
        </w:rPr>
        <w:t xml:space="preserve">Not only the environmental agreements set reduction targets, but also include a number of other commitments. Such commitments can include </w:t>
      </w:r>
      <w:r w:rsidRPr="001346FF">
        <w:rPr>
          <w:i/>
          <w:lang w:eastAsia="en-GB"/>
        </w:rPr>
        <w:t>inter alia</w:t>
      </w:r>
      <w:r w:rsidRPr="001346FF">
        <w:rPr>
          <w:lang w:eastAsia="en-GB"/>
        </w:rPr>
        <w:t xml:space="preserve"> energy audits, action plans, and energy management systems. </w:t>
      </w:r>
    </w:p>
    <w:p w:rsidR="00762C9B" w:rsidRPr="001346FF" w:rsidRDefault="00762C9B" w:rsidP="00762C9B">
      <w:pPr>
        <w:spacing w:after="120"/>
        <w:rPr>
          <w:b/>
          <w:lang w:eastAsia="en-GB"/>
        </w:rPr>
      </w:pPr>
      <w:r w:rsidRPr="001346FF">
        <w:rPr>
          <w:b/>
          <w:lang w:eastAsia="en-GB"/>
        </w:rPr>
        <w:t>Implementation considerations, constraints</w:t>
      </w:r>
    </w:p>
    <w:p w:rsidR="00762C9B" w:rsidRPr="001346FF" w:rsidRDefault="00762C9B" w:rsidP="00762C9B">
      <w:pPr>
        <w:spacing w:after="120"/>
        <w:ind w:right="-1"/>
        <w:rPr>
          <w:lang w:eastAsia="en-GB"/>
        </w:rPr>
      </w:pPr>
      <w:r w:rsidRPr="001346FF">
        <w:rPr>
          <w:lang w:eastAsia="en-GB"/>
        </w:rPr>
        <w:t xml:space="preserve">The possibility of exercising the practice of voluntary </w:t>
      </w:r>
      <w:proofErr w:type="spellStart"/>
      <w:r w:rsidRPr="001346FF">
        <w:rPr>
          <w:lang w:eastAsia="en-GB"/>
        </w:rPr>
        <w:t>sectoral</w:t>
      </w:r>
      <w:proofErr w:type="spellEnd"/>
      <w:r w:rsidRPr="001346FF">
        <w:rPr>
          <w:lang w:eastAsia="en-GB"/>
        </w:rPr>
        <w:t xml:space="preserve"> agreements rely on pre-existence of comprehensive legal framework, which would provide a basis for possible exemptions from legal requirements enshrined in other legal documents (incl., general requirements set in the legislation governing pollution permitting system). The offered incentives (e.g. in form of exemptions) should be sufficiently attractive to operators, so as to incite them to enter into voluntary agreements. </w:t>
      </w:r>
    </w:p>
    <w:p w:rsidR="00762C9B" w:rsidRPr="001346FF" w:rsidRDefault="00762C9B" w:rsidP="00762C9B">
      <w:pPr>
        <w:spacing w:after="120"/>
        <w:ind w:right="-1"/>
        <w:rPr>
          <w:lang w:eastAsia="en-GB"/>
        </w:rPr>
      </w:pPr>
      <w:r w:rsidRPr="001346FF">
        <w:rPr>
          <w:lang w:eastAsia="en-GB"/>
        </w:rPr>
        <w:t xml:space="preserve">In addition, the legal framework for formation of associations representing the undertakings of the sector should be present, as the voluntary </w:t>
      </w:r>
      <w:proofErr w:type="spellStart"/>
      <w:r w:rsidRPr="001346FF">
        <w:rPr>
          <w:lang w:eastAsia="en-GB"/>
        </w:rPr>
        <w:t>sectoral</w:t>
      </w:r>
      <w:proofErr w:type="spellEnd"/>
      <w:r w:rsidRPr="001346FF">
        <w:rPr>
          <w:lang w:eastAsia="en-GB"/>
        </w:rPr>
        <w:t xml:space="preserve"> agreements are usually concluded between such bodies and the authorities. </w:t>
      </w:r>
    </w:p>
    <w:p w:rsidR="00762C9B" w:rsidRPr="001346FF" w:rsidRDefault="00762C9B" w:rsidP="00762C9B">
      <w:pPr>
        <w:spacing w:after="120"/>
        <w:ind w:right="-1"/>
        <w:rPr>
          <w:lang w:eastAsia="en-GB"/>
        </w:rPr>
      </w:pPr>
    </w:p>
    <w:p w:rsidR="00762C9B" w:rsidRPr="000635CE" w:rsidRDefault="00762C9B" w:rsidP="00D73464">
      <w:pPr>
        <w:keepNext/>
        <w:keepLines/>
        <w:spacing w:after="120"/>
        <w:rPr>
          <w:b/>
          <w:u w:val="single"/>
          <w:lang w:eastAsia="en-GB"/>
        </w:rPr>
      </w:pPr>
      <w:r w:rsidRPr="000635CE">
        <w:rPr>
          <w:b/>
          <w:u w:val="single"/>
          <w:lang w:eastAsia="en-GB"/>
        </w:rPr>
        <w:lastRenderedPageBreak/>
        <w:t>Development of Good agricultural practice guide</w:t>
      </w:r>
    </w:p>
    <w:p w:rsidR="00762C9B" w:rsidRPr="001346FF" w:rsidRDefault="00762C9B" w:rsidP="00D73464">
      <w:pPr>
        <w:keepNext/>
        <w:keepLines/>
        <w:spacing w:after="120"/>
        <w:rPr>
          <w:b/>
          <w:lang w:eastAsia="en-GB"/>
        </w:rPr>
      </w:pPr>
      <w:r w:rsidRPr="001346FF">
        <w:rPr>
          <w:lang w:eastAsia="en-GB"/>
        </w:rPr>
        <w:t xml:space="preserve">Relevant to: </w:t>
      </w:r>
      <w:r w:rsidRPr="001346FF">
        <w:rPr>
          <w:b/>
          <w:lang w:eastAsia="en-GB"/>
        </w:rPr>
        <w:t xml:space="preserve">Armenia, Azerbaijan, Belarus, Georgia, Moldova, Russian Federation, </w:t>
      </w:r>
      <w:proofErr w:type="gramStart"/>
      <w:r w:rsidRPr="001346FF">
        <w:rPr>
          <w:b/>
          <w:lang w:eastAsia="en-GB"/>
        </w:rPr>
        <w:t>Ukraine</w:t>
      </w:r>
      <w:proofErr w:type="gramEnd"/>
    </w:p>
    <w:p w:rsidR="00762C9B" w:rsidRPr="001346FF" w:rsidRDefault="00762C9B" w:rsidP="00D73464">
      <w:pPr>
        <w:keepNext/>
        <w:keepLines/>
        <w:spacing w:after="120"/>
        <w:rPr>
          <w:lang w:eastAsia="en-GB"/>
        </w:rPr>
      </w:pPr>
      <w:r w:rsidRPr="001346FF">
        <w:rPr>
          <w:lang w:eastAsia="en-GB"/>
        </w:rPr>
        <w:t>The concept of Good agricultural practices (GAP) is known in various states as they are advocated not only on a regional level, but also internationally by Food and Agriculture Organization of the United Nations.</w:t>
      </w:r>
      <w:r w:rsidRPr="001346FF">
        <w:rPr>
          <w:rStyle w:val="FootnoteReference"/>
          <w:lang w:eastAsia="en-GB"/>
        </w:rPr>
        <w:footnoteReference w:id="76"/>
      </w:r>
      <w:r w:rsidRPr="001346FF">
        <w:rPr>
          <w:lang w:eastAsia="en-GB"/>
        </w:rPr>
        <w:t xml:space="preserve"> Implementation of GAP not only ensures the safety and quality of produce in the food chain, but also is more environment friendly, helping to reduce negative impact on water bodies, soil and ambient air. </w:t>
      </w:r>
    </w:p>
    <w:p w:rsidR="00762C9B" w:rsidRPr="001346FF" w:rsidRDefault="00762C9B" w:rsidP="00762C9B">
      <w:pPr>
        <w:spacing w:after="120"/>
        <w:ind w:right="-1"/>
        <w:rPr>
          <w:lang w:eastAsia="en-GB"/>
        </w:rPr>
      </w:pPr>
      <w:r w:rsidRPr="001346FF">
        <w:rPr>
          <w:lang w:eastAsia="en-GB"/>
        </w:rPr>
        <w:t>There are several possible ways of approaching GAP implementation issue. If it will be a purely voluntary tool it would embody a reputational measure. Sometimes the implementation of GAP requires rather considerable investments, especially if the programme requires construction of specific manure storages and decrease of consumption of fertilizers. If the example of the EU GAP is followed, some additional considerations have to be taken – for example, designation of particularly vulnerable zones, where the implementation of GAP requirements is mandatory. Yet, taking into consideration that Partner Countries are not bound by the EU Nitrates Directive</w:t>
      </w:r>
      <w:r w:rsidRPr="001346FF">
        <w:rPr>
          <w:rStyle w:val="FootnoteReference"/>
          <w:lang w:eastAsia="en-GB"/>
        </w:rPr>
        <w:footnoteReference w:id="77"/>
      </w:r>
      <w:r w:rsidRPr="001346FF">
        <w:rPr>
          <w:lang w:eastAsia="en-GB"/>
        </w:rPr>
        <w:t xml:space="preserve"> they can choose, how to draft the GAP and which requirements to include. </w:t>
      </w:r>
    </w:p>
    <w:p w:rsidR="00762C9B" w:rsidRPr="001346FF" w:rsidRDefault="00762C9B" w:rsidP="00762C9B">
      <w:pPr>
        <w:spacing w:after="120"/>
        <w:ind w:right="-1"/>
        <w:rPr>
          <w:lang w:eastAsia="en-GB"/>
        </w:rPr>
      </w:pPr>
      <w:r w:rsidRPr="001346FF">
        <w:rPr>
          <w:lang w:eastAsia="en-GB"/>
        </w:rPr>
        <w:t>In accordance with the EU system, voluntary GAP shall include:</w:t>
      </w:r>
    </w:p>
    <w:p w:rsidR="00762C9B" w:rsidRPr="001346FF" w:rsidRDefault="00762C9B" w:rsidP="005116EE">
      <w:pPr>
        <w:pStyle w:val="ListParagraph"/>
        <w:numPr>
          <w:ilvl w:val="0"/>
          <w:numId w:val="36"/>
        </w:numPr>
        <w:spacing w:after="120" w:line="240" w:lineRule="auto"/>
        <w:ind w:right="-1"/>
        <w:rPr>
          <w:rFonts w:ascii="Arial" w:hAnsi="Arial" w:cs="Arial"/>
          <w:sz w:val="21"/>
          <w:szCs w:val="21"/>
          <w:lang w:val="en-GB" w:eastAsia="en-GB"/>
        </w:rPr>
      </w:pPr>
      <w:r w:rsidRPr="001346FF">
        <w:rPr>
          <w:rFonts w:ascii="Arial" w:hAnsi="Arial" w:cs="Arial"/>
          <w:sz w:val="21"/>
          <w:szCs w:val="21"/>
          <w:lang w:val="en-GB" w:eastAsia="en-GB"/>
        </w:rPr>
        <w:t>measures limiting the periods when nitrogen fertilizers can be applied on land in order to target application to periods when crops require nitrogen and prevent nutrient losses to waters;</w:t>
      </w:r>
    </w:p>
    <w:p w:rsidR="00762C9B" w:rsidRPr="001346FF" w:rsidRDefault="00762C9B" w:rsidP="005116EE">
      <w:pPr>
        <w:pStyle w:val="ListParagraph"/>
        <w:numPr>
          <w:ilvl w:val="0"/>
          <w:numId w:val="36"/>
        </w:numPr>
        <w:spacing w:after="120" w:line="240" w:lineRule="auto"/>
        <w:ind w:right="-1"/>
        <w:rPr>
          <w:rFonts w:ascii="Arial" w:hAnsi="Arial" w:cs="Arial"/>
          <w:sz w:val="21"/>
          <w:szCs w:val="21"/>
          <w:lang w:val="en-GB" w:eastAsia="en-GB"/>
        </w:rPr>
      </w:pPr>
      <w:r w:rsidRPr="001346FF">
        <w:rPr>
          <w:rFonts w:ascii="Arial" w:hAnsi="Arial" w:cs="Arial"/>
          <w:sz w:val="21"/>
          <w:szCs w:val="21"/>
          <w:lang w:val="en-GB" w:eastAsia="en-GB"/>
        </w:rPr>
        <w:t>measures limiting the conditions for fertilizer application (on steeply sloping ground, frozen or snow covered ground, near water courses, etc.) to prevent nitrate losses from leaching and run-off;</w:t>
      </w:r>
    </w:p>
    <w:p w:rsidR="00762C9B" w:rsidRPr="001346FF" w:rsidRDefault="00762C9B" w:rsidP="005116EE">
      <w:pPr>
        <w:pStyle w:val="ListParagraph"/>
        <w:numPr>
          <w:ilvl w:val="0"/>
          <w:numId w:val="36"/>
        </w:numPr>
        <w:spacing w:after="120" w:line="240" w:lineRule="auto"/>
        <w:ind w:right="-1"/>
        <w:rPr>
          <w:rFonts w:ascii="Arial" w:hAnsi="Arial" w:cs="Arial"/>
          <w:sz w:val="21"/>
          <w:szCs w:val="21"/>
          <w:lang w:val="en-GB" w:eastAsia="en-GB"/>
        </w:rPr>
      </w:pPr>
      <w:r w:rsidRPr="001346FF">
        <w:rPr>
          <w:rFonts w:ascii="Arial" w:hAnsi="Arial" w:cs="Arial"/>
          <w:sz w:val="21"/>
          <w:szCs w:val="21"/>
          <w:lang w:val="en-GB" w:eastAsia="en-GB"/>
        </w:rPr>
        <w:t xml:space="preserve"> requirement for a minimum storage capacity for livestock manure; and</w:t>
      </w:r>
    </w:p>
    <w:p w:rsidR="00762C9B" w:rsidRPr="001346FF" w:rsidRDefault="00762C9B" w:rsidP="005116EE">
      <w:pPr>
        <w:pStyle w:val="ListParagraph"/>
        <w:numPr>
          <w:ilvl w:val="0"/>
          <w:numId w:val="36"/>
        </w:numPr>
        <w:spacing w:after="120" w:line="240" w:lineRule="auto"/>
        <w:ind w:right="-1"/>
        <w:rPr>
          <w:rFonts w:ascii="Arial" w:hAnsi="Arial" w:cs="Arial"/>
          <w:sz w:val="21"/>
          <w:szCs w:val="21"/>
          <w:lang w:val="en-GB" w:eastAsia="en-GB"/>
        </w:rPr>
      </w:pPr>
      <w:r w:rsidRPr="001346FF">
        <w:rPr>
          <w:rFonts w:ascii="Arial" w:hAnsi="Arial" w:cs="Arial"/>
          <w:sz w:val="21"/>
          <w:szCs w:val="21"/>
          <w:lang w:val="en-GB" w:eastAsia="en-GB"/>
        </w:rPr>
        <w:t xml:space="preserve"> </w:t>
      </w:r>
      <w:proofErr w:type="gramStart"/>
      <w:r w:rsidRPr="001346FF">
        <w:rPr>
          <w:rFonts w:ascii="Arial" w:hAnsi="Arial" w:cs="Arial"/>
          <w:sz w:val="21"/>
          <w:szCs w:val="21"/>
          <w:lang w:val="en-GB" w:eastAsia="en-GB"/>
        </w:rPr>
        <w:t>crop</w:t>
      </w:r>
      <w:proofErr w:type="gramEnd"/>
      <w:r w:rsidRPr="001346FF">
        <w:rPr>
          <w:rFonts w:ascii="Arial" w:hAnsi="Arial" w:cs="Arial"/>
          <w:sz w:val="21"/>
          <w:szCs w:val="21"/>
          <w:lang w:val="en-GB" w:eastAsia="en-GB"/>
        </w:rPr>
        <w:t xml:space="preserve"> rotations, soil winter cover, and catch crops to prevent nitrate leaching and run-off during wet seasons.</w:t>
      </w:r>
      <w:r w:rsidRPr="001346FF">
        <w:rPr>
          <w:rStyle w:val="FootnoteReference"/>
          <w:rFonts w:ascii="Arial" w:hAnsi="Arial"/>
          <w:sz w:val="21"/>
          <w:lang w:val="en-GB" w:eastAsia="en-GB"/>
        </w:rPr>
        <w:footnoteReference w:id="78"/>
      </w:r>
    </w:p>
    <w:p w:rsidR="00762C9B" w:rsidRPr="001346FF" w:rsidRDefault="00762C9B" w:rsidP="00762C9B">
      <w:pPr>
        <w:spacing w:after="120"/>
        <w:rPr>
          <w:b/>
          <w:lang w:eastAsia="en-GB"/>
        </w:rPr>
      </w:pPr>
      <w:r w:rsidRPr="001346FF">
        <w:rPr>
          <w:b/>
          <w:lang w:eastAsia="en-GB"/>
        </w:rPr>
        <w:t>Implementation considerations, constraints</w:t>
      </w:r>
    </w:p>
    <w:p w:rsidR="00762C9B" w:rsidRPr="001346FF" w:rsidRDefault="00762C9B" w:rsidP="00762C9B">
      <w:pPr>
        <w:spacing w:after="120"/>
        <w:ind w:right="-1"/>
        <w:rPr>
          <w:lang w:eastAsia="en-GB"/>
        </w:rPr>
      </w:pPr>
      <w:r w:rsidRPr="001346FF">
        <w:rPr>
          <w:lang w:eastAsia="en-GB"/>
        </w:rPr>
        <w:t>The mere development of GAP is not enough to stimulate a shift towards more environment friendly agricultural behaviour, if the overall state policy is aimed towards promotion of traditional/extensive agriculture. The resistance from the agriculture sector can also manifest in lobby from big fertilizer companies; therefore a strong political stance on promotion of both organic farming and practices enshrined in GAP are of utmost importance when addressing the possibility of introduction of GAP. It can be also derived, that a higher potential of acceptance and successful implementation might be found in countries or areas with predominant smallholder and subsistence farmers. Yet, taking into consideration the environmental objectives of GAP, big extensive farms shall not be disregarded, as they have significant impact on the environment.</w:t>
      </w:r>
    </w:p>
    <w:p w:rsidR="00762C9B" w:rsidRPr="001346FF" w:rsidRDefault="00762C9B" w:rsidP="00762C9B">
      <w:pPr>
        <w:spacing w:after="120"/>
        <w:ind w:right="-1"/>
        <w:rPr>
          <w:lang w:eastAsia="en-GB"/>
        </w:rPr>
      </w:pPr>
      <w:r w:rsidRPr="001346FF">
        <w:rPr>
          <w:lang w:eastAsia="en-GB"/>
        </w:rPr>
        <w:t>Another important issue to consider is the necessity for funding, as the financial support might be needed for implementation of GAP requirements.</w:t>
      </w:r>
    </w:p>
    <w:p w:rsidR="00762C9B" w:rsidRPr="001346FF" w:rsidRDefault="00762C9B" w:rsidP="00762C9B">
      <w:pPr>
        <w:spacing w:after="120"/>
        <w:ind w:right="-1"/>
        <w:rPr>
          <w:lang w:eastAsia="en-GB"/>
        </w:rPr>
      </w:pPr>
      <w:r w:rsidRPr="001346FF">
        <w:rPr>
          <w:lang w:eastAsia="en-GB"/>
        </w:rPr>
        <w:t xml:space="preserve">In order to avoid possible problems after the GAP has been adopted, it is possible to first implement pilot projects, testing the measures that are to be required in the framework of GAP in order to ensure the implementation of measures most suitable for local conditions. The </w:t>
      </w:r>
      <w:r w:rsidRPr="001346FF">
        <w:rPr>
          <w:lang w:eastAsia="en-GB"/>
        </w:rPr>
        <w:lastRenderedPageBreak/>
        <w:t>implementation of pilot projects can be carried out on the basis of competition, offering funding for implementation of projects that are to be integrated in GAP to the beneficiaries working in the agricultural sector.</w:t>
      </w:r>
    </w:p>
    <w:p w:rsidR="00762C9B" w:rsidRPr="001346FF" w:rsidRDefault="00762C9B" w:rsidP="00762C9B">
      <w:pPr>
        <w:spacing w:after="120"/>
        <w:ind w:right="-1"/>
        <w:rPr>
          <w:lang w:eastAsia="en-GB"/>
        </w:rPr>
      </w:pPr>
      <w:r w:rsidRPr="001346FF">
        <w:rPr>
          <w:lang w:eastAsia="en-GB"/>
        </w:rPr>
        <w:t>It is also important to assess existing bilateral agreements with the EU (if relevant) prior to developing GAP.</w:t>
      </w:r>
    </w:p>
    <w:p w:rsidR="00762C9B" w:rsidRPr="001346FF" w:rsidRDefault="00762C9B" w:rsidP="00762C9B">
      <w:pPr>
        <w:spacing w:after="120"/>
        <w:ind w:right="-1"/>
        <w:rPr>
          <w:lang w:eastAsia="en-GB"/>
        </w:rPr>
      </w:pPr>
    </w:p>
    <w:p w:rsidR="00762C9B" w:rsidRPr="000635CE" w:rsidRDefault="00762C9B" w:rsidP="00762C9B">
      <w:pPr>
        <w:spacing w:after="120"/>
        <w:ind w:right="-1"/>
        <w:rPr>
          <w:b/>
          <w:u w:val="single"/>
          <w:lang w:eastAsia="en-GB"/>
        </w:rPr>
      </w:pPr>
      <w:r w:rsidRPr="000635CE">
        <w:rPr>
          <w:b/>
          <w:u w:val="single"/>
          <w:lang w:eastAsia="en-GB"/>
        </w:rPr>
        <w:t>Development of Green Industry Guide</w:t>
      </w:r>
    </w:p>
    <w:p w:rsidR="00762C9B" w:rsidRPr="001346FF" w:rsidRDefault="00762C9B" w:rsidP="00762C9B">
      <w:pPr>
        <w:spacing w:after="120"/>
        <w:ind w:right="-1"/>
        <w:rPr>
          <w:b/>
          <w:lang w:eastAsia="en-GB"/>
        </w:rPr>
      </w:pPr>
      <w:r w:rsidRPr="001346FF">
        <w:rPr>
          <w:lang w:eastAsia="en-GB"/>
        </w:rPr>
        <w:t xml:space="preserve">Relevant to: </w:t>
      </w:r>
      <w:r w:rsidRPr="001346FF">
        <w:rPr>
          <w:b/>
          <w:lang w:eastAsia="en-GB"/>
        </w:rPr>
        <w:t xml:space="preserve">Armenia, Azerbaijan, Belarus, Georgia, Moldova, Russian Federation, </w:t>
      </w:r>
      <w:proofErr w:type="gramStart"/>
      <w:r w:rsidRPr="001346FF">
        <w:rPr>
          <w:b/>
          <w:lang w:eastAsia="en-GB"/>
        </w:rPr>
        <w:t>Ukraine</w:t>
      </w:r>
      <w:proofErr w:type="gramEnd"/>
    </w:p>
    <w:p w:rsidR="00762C9B" w:rsidRPr="001346FF" w:rsidRDefault="00762C9B" w:rsidP="00762C9B">
      <w:pPr>
        <w:spacing w:after="120"/>
        <w:ind w:right="-1"/>
        <w:rPr>
          <w:lang w:eastAsia="en-GB"/>
        </w:rPr>
      </w:pPr>
      <w:r w:rsidRPr="001346FF">
        <w:rPr>
          <w:lang w:eastAsia="en-GB"/>
        </w:rPr>
        <w:t xml:space="preserve">Development of Green Industry Guide (GIG) is an important tool facilitating voluntary sustainable industry development, </w:t>
      </w:r>
      <w:r w:rsidRPr="001346FF">
        <w:rPr>
          <w:i/>
          <w:lang w:eastAsia="en-GB"/>
        </w:rPr>
        <w:t>inter alia</w:t>
      </w:r>
      <w:r w:rsidRPr="001346FF">
        <w:rPr>
          <w:lang w:eastAsia="en-GB"/>
        </w:rPr>
        <w:t xml:space="preserve"> encompassing such issues as resource efficient and cleaner production, management of chemicals, as well as water and energy consumption. </w:t>
      </w:r>
    </w:p>
    <w:p w:rsidR="00762C9B" w:rsidRPr="001346FF" w:rsidRDefault="00762C9B" w:rsidP="00762C9B">
      <w:pPr>
        <w:spacing w:after="120"/>
        <w:ind w:right="-1"/>
        <w:rPr>
          <w:lang w:eastAsia="en-GB"/>
        </w:rPr>
      </w:pPr>
      <w:r w:rsidRPr="001346FF">
        <w:rPr>
          <w:lang w:eastAsia="en-GB"/>
        </w:rPr>
        <w:t xml:space="preserve">GIG can be approached from different perspectives – it can be either sector-oriented, or general, providing the main considerations as possibility to minimize environmental impact using life cycle analysis. </w:t>
      </w:r>
      <w:proofErr w:type="spellStart"/>
      <w:r w:rsidRPr="001346FF">
        <w:rPr>
          <w:lang w:eastAsia="en-GB"/>
        </w:rPr>
        <w:t>Sectoral</w:t>
      </w:r>
      <w:proofErr w:type="spellEnd"/>
      <w:r w:rsidRPr="001346FF">
        <w:rPr>
          <w:lang w:eastAsia="en-GB"/>
        </w:rPr>
        <w:t xml:space="preserve"> GIGs can include measures following the approach provided in BREFs</w:t>
      </w:r>
      <w:r w:rsidRPr="001346FF">
        <w:t xml:space="preserve"> (</w:t>
      </w:r>
      <w:r w:rsidRPr="001346FF">
        <w:rPr>
          <w:lang w:eastAsia="en-GB"/>
        </w:rPr>
        <w:t>the Best Available Techniques reference documents), if BREFs have been introduced for particular sector.</w:t>
      </w:r>
    </w:p>
    <w:p w:rsidR="00762C9B" w:rsidRPr="001346FF" w:rsidRDefault="00762C9B" w:rsidP="00762C9B">
      <w:pPr>
        <w:spacing w:after="120"/>
        <w:ind w:right="-1"/>
        <w:rPr>
          <w:lang w:eastAsia="en-GB"/>
        </w:rPr>
      </w:pPr>
      <w:r w:rsidRPr="001346FF">
        <w:rPr>
          <w:lang w:eastAsia="en-GB"/>
        </w:rPr>
        <w:t>After development, the Guide shall be freely available (or distributed) to the industrial enterprises. The measure can also involve training of management staff of the enterprises and facilitation of development and implementation of the Green Industry Declaration (foresees involvement of trade unions).</w:t>
      </w:r>
    </w:p>
    <w:p w:rsidR="00762C9B" w:rsidRPr="001346FF" w:rsidRDefault="00762C9B" w:rsidP="00762C9B">
      <w:pPr>
        <w:spacing w:after="120"/>
        <w:ind w:right="-1"/>
        <w:rPr>
          <w:b/>
          <w:lang w:eastAsia="en-GB"/>
        </w:rPr>
      </w:pPr>
      <w:r w:rsidRPr="001346FF">
        <w:rPr>
          <w:b/>
          <w:lang w:eastAsia="en-GB"/>
        </w:rPr>
        <w:t>Implementation considerations, constraints</w:t>
      </w:r>
    </w:p>
    <w:p w:rsidR="00762C9B" w:rsidRPr="001346FF" w:rsidRDefault="00762C9B" w:rsidP="00762C9B">
      <w:pPr>
        <w:spacing w:after="120"/>
        <w:ind w:right="-1"/>
        <w:rPr>
          <w:lang w:eastAsia="en-GB"/>
        </w:rPr>
      </w:pPr>
      <w:r w:rsidRPr="001346FF">
        <w:rPr>
          <w:lang w:eastAsia="en-GB"/>
        </w:rPr>
        <w:t>Similar as in the case of GAP, also the</w:t>
      </w:r>
      <w:r w:rsidRPr="001346FF">
        <w:t xml:space="preserve"> </w:t>
      </w:r>
      <w:r w:rsidRPr="001346FF">
        <w:rPr>
          <w:lang w:eastAsia="en-GB"/>
        </w:rPr>
        <w:t xml:space="preserve">mere development of GIG is not enough to stimulate a shift towards more environment friendly behaviour by addressed undertakings. The actual application of practices encompassed in the GIG document has to be facilitated by creating a supporting state policy, e.g., by providing financial support for enterprises willing to implement GIG measures. </w:t>
      </w:r>
    </w:p>
    <w:p w:rsidR="00762C9B" w:rsidRPr="001346FF" w:rsidRDefault="00762C9B" w:rsidP="00762C9B">
      <w:pPr>
        <w:spacing w:after="120"/>
        <w:ind w:right="-1"/>
        <w:rPr>
          <w:lang w:eastAsia="en-GB"/>
        </w:rPr>
      </w:pPr>
    </w:p>
    <w:p w:rsidR="00762C9B" w:rsidRPr="000635CE" w:rsidRDefault="00762C9B" w:rsidP="00762C9B">
      <w:pPr>
        <w:spacing w:after="120"/>
        <w:ind w:right="-1"/>
        <w:rPr>
          <w:b/>
          <w:u w:val="single"/>
          <w:lang w:eastAsia="en-GB"/>
        </w:rPr>
      </w:pPr>
      <w:r w:rsidRPr="000635CE">
        <w:rPr>
          <w:b/>
          <w:u w:val="single"/>
          <w:lang w:eastAsia="en-GB"/>
        </w:rPr>
        <w:t>Participation in Kyoto flexibility mechanisms</w:t>
      </w:r>
    </w:p>
    <w:p w:rsidR="00762C9B" w:rsidRPr="001346FF" w:rsidRDefault="00762C9B" w:rsidP="00762C9B">
      <w:pPr>
        <w:spacing w:after="120"/>
        <w:ind w:right="-1"/>
        <w:rPr>
          <w:lang w:eastAsia="en-GB"/>
        </w:rPr>
      </w:pPr>
      <w:r w:rsidRPr="001346FF">
        <w:rPr>
          <w:lang w:eastAsia="en-GB"/>
        </w:rPr>
        <w:t xml:space="preserve">Relevant to: </w:t>
      </w:r>
      <w:r w:rsidRPr="001346FF">
        <w:rPr>
          <w:b/>
          <w:lang w:eastAsia="en-GB"/>
        </w:rPr>
        <w:t>Armenia, Azerbaijan, Georgia, Moldova</w:t>
      </w:r>
      <w:r w:rsidRPr="001346FF">
        <w:rPr>
          <w:lang w:eastAsia="en-GB"/>
        </w:rPr>
        <w:t xml:space="preserve"> (non-Annex I parties), </w:t>
      </w:r>
      <w:r w:rsidRPr="001346FF">
        <w:rPr>
          <w:b/>
          <w:lang w:eastAsia="en-GB"/>
        </w:rPr>
        <w:t>Belarus, Russian Federation, Ukraine</w:t>
      </w:r>
      <w:r w:rsidRPr="001346FF">
        <w:rPr>
          <w:lang w:eastAsia="en-GB"/>
        </w:rPr>
        <w:t xml:space="preserve"> (Annex I parties)</w:t>
      </w:r>
    </w:p>
    <w:p w:rsidR="00762C9B" w:rsidRPr="001346FF" w:rsidRDefault="00762C9B" w:rsidP="00762C9B">
      <w:pPr>
        <w:spacing w:after="120"/>
        <w:ind w:right="-1"/>
        <w:rPr>
          <w:lang w:eastAsia="en-GB"/>
        </w:rPr>
      </w:pPr>
      <w:r w:rsidRPr="001346FF">
        <w:rPr>
          <w:lang w:eastAsia="en-GB"/>
        </w:rPr>
        <w:t>Countries that are bound by the commitments under the Kyoto protocol (Annex I parties) to limit or reduce greenhouse gas emissions must meet their targets primarily through national measures. Yet there are also options to use the flexibility mechanisms included in the Kyoto protocol. Depending if the party is Annex I or non-Annex I party, it can either participate in the Emission Trading System (Annex I party) or use the possibilities under The Clean Development Mechanism (CDM).</w:t>
      </w:r>
    </w:p>
    <w:p w:rsidR="00762C9B" w:rsidRPr="001346FF" w:rsidRDefault="00762C9B" w:rsidP="00762C9B">
      <w:pPr>
        <w:spacing w:after="120"/>
        <w:ind w:right="-1"/>
        <w:rPr>
          <w:lang w:eastAsia="en-GB"/>
        </w:rPr>
      </w:pPr>
      <w:r w:rsidRPr="001346FF">
        <w:rPr>
          <w:lang w:eastAsia="en-GB"/>
        </w:rPr>
        <w:t xml:space="preserve">CDM allows Annex I parties to implement projects that reduce emissions in non-Annex I Parties, or absorb carbon through afforestation or reforestation activities, in return for certified emission reductions, and assist the non-Annex I parties in achieving sustainable development and contributing to the ultimate objective of the United Nations Framework Convention on Climate Change and the Kyoto protocol. </w:t>
      </w:r>
    </w:p>
    <w:p w:rsidR="00762C9B" w:rsidRPr="001346FF" w:rsidRDefault="00762C9B" w:rsidP="00762C9B">
      <w:pPr>
        <w:spacing w:after="120"/>
        <w:ind w:right="-1"/>
        <w:rPr>
          <w:lang w:eastAsia="en-GB"/>
        </w:rPr>
      </w:pPr>
      <w:r w:rsidRPr="001346FF">
        <w:rPr>
          <w:lang w:eastAsia="en-GB"/>
        </w:rPr>
        <w:lastRenderedPageBreak/>
        <w:t xml:space="preserve">At the same time Emission Trading works between Annex I parties. It allows Annex I Parties to acquire units from other Annex I Parties. The revenues acquired though participation in Emission Trading can be used for implementation of environment-friendly projects or financing of relevant activities. </w:t>
      </w:r>
    </w:p>
    <w:p w:rsidR="00762C9B" w:rsidRPr="001346FF" w:rsidRDefault="00762C9B" w:rsidP="00762C9B">
      <w:pPr>
        <w:spacing w:after="120"/>
        <w:rPr>
          <w:b/>
          <w:lang w:eastAsia="en-GB"/>
        </w:rPr>
      </w:pPr>
      <w:r w:rsidRPr="001346FF">
        <w:rPr>
          <w:b/>
          <w:lang w:eastAsia="en-GB"/>
        </w:rPr>
        <w:t>Implementation considerations, constraints</w:t>
      </w:r>
    </w:p>
    <w:p w:rsidR="00762C9B" w:rsidRPr="001346FF" w:rsidRDefault="00762C9B" w:rsidP="00762C9B">
      <w:pPr>
        <w:spacing w:after="120"/>
        <w:ind w:right="-1"/>
        <w:rPr>
          <w:lang w:eastAsia="en-GB"/>
        </w:rPr>
      </w:pPr>
      <w:proofErr w:type="gramStart"/>
      <w:r w:rsidRPr="001346FF">
        <w:rPr>
          <w:lang w:eastAsia="en-GB"/>
        </w:rPr>
        <w:t>May vary depending on the project type.</w:t>
      </w:r>
      <w:proofErr w:type="gramEnd"/>
    </w:p>
    <w:p w:rsidR="00762C9B" w:rsidRPr="001346FF" w:rsidRDefault="00762C9B" w:rsidP="00762C9B">
      <w:pPr>
        <w:spacing w:after="120"/>
        <w:ind w:right="-1"/>
        <w:rPr>
          <w:lang w:eastAsia="en-GB"/>
        </w:rPr>
      </w:pPr>
    </w:p>
    <w:p w:rsidR="00762C9B" w:rsidRPr="000635CE" w:rsidRDefault="00762C9B" w:rsidP="00762C9B">
      <w:pPr>
        <w:spacing w:after="120"/>
        <w:ind w:right="-1"/>
        <w:rPr>
          <w:b/>
          <w:u w:val="single"/>
          <w:lang w:eastAsia="en-GB"/>
        </w:rPr>
      </w:pPr>
      <w:r w:rsidRPr="000635CE">
        <w:rPr>
          <w:b/>
          <w:u w:val="single"/>
          <w:lang w:eastAsia="en-GB"/>
        </w:rPr>
        <w:t>Support from European Bank for Reconstruction and Development</w:t>
      </w:r>
    </w:p>
    <w:p w:rsidR="00762C9B" w:rsidRPr="001346FF" w:rsidRDefault="00762C9B" w:rsidP="00762C9B">
      <w:pPr>
        <w:spacing w:after="120"/>
        <w:ind w:right="-1"/>
        <w:rPr>
          <w:lang w:eastAsia="en-GB"/>
        </w:rPr>
      </w:pPr>
      <w:r w:rsidRPr="001346FF">
        <w:rPr>
          <w:lang w:eastAsia="en-GB"/>
        </w:rPr>
        <w:t>Early Transition Countries Initiative</w:t>
      </w:r>
    </w:p>
    <w:p w:rsidR="00762C9B" w:rsidRPr="001346FF" w:rsidRDefault="00762C9B" w:rsidP="00762C9B">
      <w:pPr>
        <w:spacing w:after="120"/>
        <w:ind w:right="-1"/>
        <w:rPr>
          <w:lang w:eastAsia="en-GB"/>
        </w:rPr>
      </w:pPr>
      <w:r w:rsidRPr="001346FF">
        <w:rPr>
          <w:lang w:eastAsia="en-GB"/>
        </w:rPr>
        <w:t>Relevant to:</w:t>
      </w:r>
      <w:r w:rsidRPr="001346FF">
        <w:rPr>
          <w:b/>
          <w:lang w:eastAsia="en-GB"/>
        </w:rPr>
        <w:t xml:space="preserve"> Armenia, Azerbaijan, Georgia, Moldova</w:t>
      </w:r>
      <w:r w:rsidRPr="001346FF">
        <w:rPr>
          <w:lang w:eastAsia="en-GB"/>
        </w:rPr>
        <w:t xml:space="preserve">, </w:t>
      </w:r>
      <w:proofErr w:type="gramStart"/>
      <w:r w:rsidRPr="001346FF">
        <w:rPr>
          <w:b/>
          <w:lang w:eastAsia="en-GB"/>
        </w:rPr>
        <w:t>Belarus</w:t>
      </w:r>
      <w:proofErr w:type="gramEnd"/>
    </w:p>
    <w:p w:rsidR="00762C9B" w:rsidRPr="001346FF" w:rsidRDefault="00762C9B" w:rsidP="00762C9B">
      <w:pPr>
        <w:spacing w:after="120"/>
        <w:ind w:right="-1"/>
        <w:rPr>
          <w:highlight w:val="yellow"/>
          <w:lang w:eastAsia="en-GB"/>
        </w:rPr>
      </w:pPr>
      <w:r w:rsidRPr="001346FF">
        <w:rPr>
          <w:lang w:eastAsia="en-GB"/>
        </w:rPr>
        <w:t>The initiative aims to stimulate market activity in these countries by using a streamlined approach to financing more and smaller projects, mobilising more investment, and encouraging ongoing economic reform.</w:t>
      </w:r>
    </w:p>
    <w:p w:rsidR="00762C9B" w:rsidRPr="001346FF" w:rsidRDefault="00762C9B" w:rsidP="00762C9B">
      <w:pPr>
        <w:spacing w:after="120"/>
        <w:ind w:right="-1"/>
        <w:rPr>
          <w:lang w:eastAsia="en-GB"/>
        </w:rPr>
      </w:pPr>
      <w:r w:rsidRPr="001346FF">
        <w:rPr>
          <w:lang w:eastAsia="en-GB"/>
        </w:rPr>
        <w:t>To be eligible for EBRD funding, projects must:</w:t>
      </w:r>
    </w:p>
    <w:p w:rsidR="00762C9B" w:rsidRPr="001346FF" w:rsidRDefault="00762C9B" w:rsidP="005116EE">
      <w:pPr>
        <w:pStyle w:val="ListParagraph"/>
        <w:numPr>
          <w:ilvl w:val="0"/>
          <w:numId w:val="38"/>
        </w:numPr>
        <w:spacing w:after="120" w:line="240" w:lineRule="auto"/>
        <w:ind w:right="-1"/>
        <w:rPr>
          <w:rFonts w:ascii="Arial" w:hAnsi="Arial" w:cs="Arial"/>
          <w:sz w:val="21"/>
          <w:szCs w:val="21"/>
          <w:lang w:val="en-GB" w:eastAsia="en-GB"/>
        </w:rPr>
      </w:pPr>
      <w:r w:rsidRPr="001346FF">
        <w:rPr>
          <w:rFonts w:ascii="Arial" w:hAnsi="Arial" w:cs="Arial"/>
          <w:sz w:val="21"/>
          <w:szCs w:val="21"/>
          <w:lang w:val="en-GB" w:eastAsia="en-GB"/>
        </w:rPr>
        <w:t>have strong management</w:t>
      </w:r>
    </w:p>
    <w:p w:rsidR="00762C9B" w:rsidRPr="001346FF" w:rsidRDefault="00762C9B" w:rsidP="005116EE">
      <w:pPr>
        <w:pStyle w:val="ListParagraph"/>
        <w:numPr>
          <w:ilvl w:val="0"/>
          <w:numId w:val="38"/>
        </w:numPr>
        <w:spacing w:after="120" w:line="240" w:lineRule="auto"/>
        <w:ind w:right="-1"/>
        <w:rPr>
          <w:rFonts w:ascii="Arial" w:hAnsi="Arial" w:cs="Arial"/>
          <w:sz w:val="21"/>
          <w:szCs w:val="21"/>
          <w:lang w:val="en-GB" w:eastAsia="en-GB"/>
        </w:rPr>
      </w:pPr>
      <w:r w:rsidRPr="001346FF">
        <w:rPr>
          <w:rFonts w:ascii="Arial" w:hAnsi="Arial" w:cs="Arial"/>
          <w:sz w:val="21"/>
          <w:szCs w:val="21"/>
          <w:lang w:val="en-GB" w:eastAsia="en-GB"/>
        </w:rPr>
        <w:t>have strong commercial prospects</w:t>
      </w:r>
    </w:p>
    <w:p w:rsidR="00762C9B" w:rsidRPr="001346FF" w:rsidRDefault="00762C9B" w:rsidP="005116EE">
      <w:pPr>
        <w:pStyle w:val="ListParagraph"/>
        <w:numPr>
          <w:ilvl w:val="0"/>
          <w:numId w:val="38"/>
        </w:numPr>
        <w:spacing w:after="120" w:line="240" w:lineRule="auto"/>
        <w:ind w:right="-1"/>
        <w:rPr>
          <w:rFonts w:ascii="Arial" w:hAnsi="Arial" w:cs="Arial"/>
          <w:sz w:val="21"/>
          <w:szCs w:val="21"/>
          <w:lang w:val="en-GB" w:eastAsia="en-GB"/>
        </w:rPr>
      </w:pPr>
      <w:r w:rsidRPr="001346FF">
        <w:rPr>
          <w:rFonts w:ascii="Arial" w:hAnsi="Arial" w:cs="Arial"/>
          <w:sz w:val="21"/>
          <w:szCs w:val="21"/>
          <w:lang w:val="en-GB" w:eastAsia="en-GB"/>
        </w:rPr>
        <w:t>involve significant equity contributions in-cash or in-kind from the project sponsor</w:t>
      </w:r>
    </w:p>
    <w:p w:rsidR="00762C9B" w:rsidRPr="001346FF" w:rsidRDefault="00762C9B" w:rsidP="005116EE">
      <w:pPr>
        <w:pStyle w:val="ListParagraph"/>
        <w:numPr>
          <w:ilvl w:val="0"/>
          <w:numId w:val="38"/>
        </w:numPr>
        <w:spacing w:after="120" w:line="240" w:lineRule="auto"/>
        <w:ind w:right="-1"/>
        <w:rPr>
          <w:rFonts w:ascii="Arial" w:hAnsi="Arial" w:cs="Arial"/>
          <w:sz w:val="21"/>
          <w:szCs w:val="21"/>
          <w:lang w:val="en-GB" w:eastAsia="en-GB"/>
        </w:rPr>
      </w:pPr>
      <w:r w:rsidRPr="001346FF">
        <w:rPr>
          <w:rFonts w:ascii="Arial" w:hAnsi="Arial" w:cs="Arial"/>
          <w:sz w:val="21"/>
          <w:szCs w:val="21"/>
          <w:lang w:val="en-GB" w:eastAsia="en-GB"/>
        </w:rPr>
        <w:t>benefit the local economy and help develop the private sector</w:t>
      </w:r>
    </w:p>
    <w:p w:rsidR="00762C9B" w:rsidRPr="001346FF" w:rsidRDefault="00762C9B" w:rsidP="005116EE">
      <w:pPr>
        <w:pStyle w:val="ListParagraph"/>
        <w:numPr>
          <w:ilvl w:val="0"/>
          <w:numId w:val="38"/>
        </w:numPr>
        <w:spacing w:after="120" w:line="240" w:lineRule="auto"/>
        <w:ind w:right="-1"/>
        <w:rPr>
          <w:rFonts w:ascii="Arial" w:hAnsi="Arial" w:cs="Arial"/>
          <w:sz w:val="21"/>
          <w:szCs w:val="21"/>
          <w:lang w:val="en-GB" w:eastAsia="en-GB"/>
        </w:rPr>
      </w:pPr>
      <w:proofErr w:type="gramStart"/>
      <w:r w:rsidRPr="001346FF">
        <w:rPr>
          <w:rFonts w:ascii="Arial" w:hAnsi="Arial" w:cs="Arial"/>
          <w:sz w:val="21"/>
          <w:szCs w:val="21"/>
          <w:lang w:val="en-GB" w:eastAsia="en-GB"/>
        </w:rPr>
        <w:t>satisfy</w:t>
      </w:r>
      <w:proofErr w:type="gramEnd"/>
      <w:r w:rsidRPr="001346FF">
        <w:rPr>
          <w:rFonts w:ascii="Arial" w:hAnsi="Arial" w:cs="Arial"/>
          <w:sz w:val="21"/>
          <w:szCs w:val="21"/>
          <w:lang w:val="en-GB" w:eastAsia="en-GB"/>
        </w:rPr>
        <w:t xml:space="preserve"> sound banking and environmental standards.</w:t>
      </w:r>
    </w:p>
    <w:p w:rsidR="00762C9B" w:rsidRPr="001346FF" w:rsidRDefault="00762C9B" w:rsidP="00762C9B">
      <w:pPr>
        <w:spacing w:after="120"/>
        <w:ind w:right="-1"/>
        <w:rPr>
          <w:lang w:eastAsia="en-GB"/>
        </w:rPr>
      </w:pPr>
      <w:r w:rsidRPr="001346FF">
        <w:rPr>
          <w:lang w:eastAsia="en-GB"/>
        </w:rPr>
        <w:t xml:space="preserve">The eligible sectors for each of the countries are described in the Sub-section 1.4.1. </w:t>
      </w:r>
      <w:proofErr w:type="gramStart"/>
      <w:r w:rsidRPr="001346FF">
        <w:rPr>
          <w:lang w:eastAsia="en-GB"/>
        </w:rPr>
        <w:t>of</w:t>
      </w:r>
      <w:proofErr w:type="gramEnd"/>
      <w:r w:rsidRPr="001346FF">
        <w:rPr>
          <w:lang w:eastAsia="en-GB"/>
        </w:rPr>
        <w:t xml:space="preserve"> the report.</w:t>
      </w:r>
    </w:p>
    <w:p w:rsidR="00762C9B" w:rsidRPr="001346FF" w:rsidRDefault="00762C9B" w:rsidP="00762C9B">
      <w:pPr>
        <w:spacing w:after="120"/>
        <w:rPr>
          <w:lang w:eastAsia="en-GB"/>
        </w:rPr>
      </w:pPr>
      <w:r w:rsidRPr="001346FF">
        <w:rPr>
          <w:lang w:eastAsia="en-GB"/>
        </w:rPr>
        <w:t>According to the Factsheet 2013</w:t>
      </w:r>
      <w:r w:rsidRPr="001346FF">
        <w:rPr>
          <w:rStyle w:val="FootnoteReference"/>
          <w:lang w:eastAsia="en-GB"/>
        </w:rPr>
        <w:footnoteReference w:id="79"/>
      </w:r>
      <w:r w:rsidRPr="001346FF">
        <w:rPr>
          <w:lang w:eastAsia="en-GB"/>
        </w:rPr>
        <w:t xml:space="preserve">, the Bank will continue to promote small and medium-sized enterprises; strengthen the banking sector to sustain lending to small businesses; and invest in vital services such as water, electricity, transport and communications, while keeping them affordable. </w:t>
      </w:r>
      <w:r w:rsidRPr="001346FF">
        <w:rPr>
          <w:lang w:eastAsia="en-GB"/>
        </w:rPr>
        <w:cr/>
      </w:r>
    </w:p>
    <w:p w:rsidR="00762C9B" w:rsidRPr="001346FF" w:rsidRDefault="00762C9B" w:rsidP="00762C9B">
      <w:pPr>
        <w:spacing w:after="120"/>
        <w:rPr>
          <w:b/>
          <w:lang w:eastAsia="en-GB"/>
        </w:rPr>
      </w:pPr>
      <w:r w:rsidRPr="001346FF">
        <w:rPr>
          <w:b/>
          <w:lang w:eastAsia="en-GB"/>
        </w:rPr>
        <w:t>Implementation considerations, constraints</w:t>
      </w:r>
    </w:p>
    <w:p w:rsidR="00762C9B" w:rsidRPr="001346FF" w:rsidRDefault="00762C9B" w:rsidP="00762C9B">
      <w:pPr>
        <w:spacing w:after="120"/>
        <w:ind w:right="-1"/>
        <w:rPr>
          <w:u w:val="single"/>
          <w:lang w:eastAsia="en-GB"/>
        </w:rPr>
      </w:pPr>
      <w:r w:rsidRPr="001346FF">
        <w:rPr>
          <w:lang w:eastAsia="en-GB"/>
        </w:rPr>
        <w:t xml:space="preserve">To consider cooperation in a form of programmes of </w:t>
      </w:r>
      <w:r w:rsidRPr="001346FF">
        <w:rPr>
          <w:u w:val="single"/>
          <w:lang w:eastAsia="en-GB"/>
        </w:rPr>
        <w:t>Zero interest or reduced interest loans for implementation of “green” projects.</w:t>
      </w:r>
    </w:p>
    <w:p w:rsidR="00762C9B" w:rsidRPr="001346FF" w:rsidRDefault="00762C9B" w:rsidP="00762C9B">
      <w:pPr>
        <w:spacing w:after="120"/>
        <w:ind w:right="-1"/>
        <w:rPr>
          <w:lang w:eastAsia="en-GB"/>
        </w:rPr>
      </w:pPr>
    </w:p>
    <w:p w:rsidR="00762C9B" w:rsidRPr="000635CE" w:rsidRDefault="00762C9B" w:rsidP="00762C9B">
      <w:pPr>
        <w:spacing w:after="120"/>
        <w:ind w:right="-1"/>
        <w:rPr>
          <w:b/>
          <w:u w:val="single"/>
          <w:lang w:eastAsia="en-GB"/>
        </w:rPr>
      </w:pPr>
      <w:r w:rsidRPr="000635CE">
        <w:rPr>
          <w:b/>
          <w:u w:val="single"/>
          <w:lang w:eastAsia="en-GB"/>
        </w:rPr>
        <w:t>Support from European Investment Bank</w:t>
      </w:r>
    </w:p>
    <w:p w:rsidR="00762C9B" w:rsidRPr="001346FF" w:rsidRDefault="00762C9B" w:rsidP="00762C9B">
      <w:pPr>
        <w:spacing w:after="120"/>
        <w:ind w:right="-1"/>
        <w:rPr>
          <w:lang w:eastAsia="en-GB"/>
        </w:rPr>
      </w:pPr>
      <w:r w:rsidRPr="001346FF">
        <w:rPr>
          <w:lang w:eastAsia="en-GB"/>
        </w:rPr>
        <w:t xml:space="preserve">Relevant to: </w:t>
      </w:r>
      <w:r w:rsidRPr="001346FF">
        <w:rPr>
          <w:b/>
          <w:lang w:eastAsia="en-GB"/>
        </w:rPr>
        <w:t>Armenia, Azerbaijan, Georgia, Moldova</w:t>
      </w:r>
      <w:r w:rsidRPr="001346FF">
        <w:rPr>
          <w:lang w:eastAsia="en-GB"/>
        </w:rPr>
        <w:t xml:space="preserve">, </w:t>
      </w:r>
      <w:r w:rsidRPr="001346FF">
        <w:rPr>
          <w:b/>
          <w:lang w:eastAsia="en-GB"/>
        </w:rPr>
        <w:t>Belarus</w:t>
      </w:r>
      <w:r w:rsidRPr="001346FF">
        <w:rPr>
          <w:rStyle w:val="FootnoteReference"/>
          <w:b/>
          <w:lang w:eastAsia="en-GB"/>
        </w:rPr>
        <w:footnoteReference w:id="80"/>
      </w:r>
      <w:r w:rsidRPr="001346FF">
        <w:rPr>
          <w:b/>
          <w:lang w:eastAsia="en-GB"/>
        </w:rPr>
        <w:t xml:space="preserve">, Russian Federation, </w:t>
      </w:r>
      <w:proofErr w:type="gramStart"/>
      <w:r w:rsidRPr="001346FF">
        <w:rPr>
          <w:b/>
          <w:lang w:eastAsia="en-GB"/>
        </w:rPr>
        <w:t>Ukraine</w:t>
      </w:r>
      <w:proofErr w:type="gramEnd"/>
    </w:p>
    <w:p w:rsidR="00762C9B" w:rsidRPr="001346FF" w:rsidRDefault="00762C9B" w:rsidP="00762C9B">
      <w:pPr>
        <w:spacing w:after="120"/>
        <w:rPr>
          <w:lang w:eastAsia="en-GB"/>
        </w:rPr>
      </w:pPr>
      <w:r w:rsidRPr="001346FF">
        <w:rPr>
          <w:lang w:eastAsia="en-GB"/>
        </w:rPr>
        <w:t xml:space="preserve">EIB operations in the Eastern Partnership Countries are carried out in the framework of the European Neighbourhood Policy (ENP). </w:t>
      </w:r>
    </w:p>
    <w:p w:rsidR="00762C9B" w:rsidRPr="001346FF" w:rsidRDefault="00762C9B" w:rsidP="00762C9B">
      <w:pPr>
        <w:spacing w:after="120"/>
        <w:rPr>
          <w:lang w:eastAsia="en-GB"/>
        </w:rPr>
      </w:pPr>
      <w:r w:rsidRPr="001346FF">
        <w:rPr>
          <w:lang w:eastAsia="en-GB"/>
        </w:rPr>
        <w:t>The vast majority of EIB’s financing is through loans, but the Bank also offers guarantees, microfinance, equity investment, etc. EIB supports projects that make a significant contribution to growth, employment, economic and social cohesion and environmental sustainability in Europe and beyond. The Bank’s priorities are:</w:t>
      </w:r>
    </w:p>
    <w:p w:rsidR="00762C9B" w:rsidRPr="001346FF" w:rsidRDefault="00762C9B" w:rsidP="005116EE">
      <w:pPr>
        <w:pStyle w:val="ListParagraph"/>
        <w:numPr>
          <w:ilvl w:val="0"/>
          <w:numId w:val="11"/>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lastRenderedPageBreak/>
        <w:t>Supporting the creators of 80% of new jobs (small and medium sized enterprises SMEs)</w:t>
      </w:r>
    </w:p>
    <w:p w:rsidR="00762C9B" w:rsidRPr="001346FF" w:rsidRDefault="00762C9B" w:rsidP="005116EE">
      <w:pPr>
        <w:pStyle w:val="ListParagraph"/>
        <w:numPr>
          <w:ilvl w:val="0"/>
          <w:numId w:val="11"/>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Addressing economic and social imbalances between the regions (cohesion)</w:t>
      </w:r>
    </w:p>
    <w:p w:rsidR="00762C9B" w:rsidRPr="001346FF" w:rsidRDefault="00762C9B" w:rsidP="005116EE">
      <w:pPr>
        <w:pStyle w:val="ListParagraph"/>
        <w:numPr>
          <w:ilvl w:val="0"/>
          <w:numId w:val="11"/>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Protecting and improving the natural and urban environment (environmental sustainability)</w:t>
      </w:r>
    </w:p>
    <w:p w:rsidR="00762C9B" w:rsidRPr="001346FF" w:rsidRDefault="00762C9B" w:rsidP="005116EE">
      <w:pPr>
        <w:pStyle w:val="ListParagraph"/>
        <w:numPr>
          <w:ilvl w:val="0"/>
          <w:numId w:val="11"/>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Promoting innovation through investment in ICT and human and social capital (innovation)</w:t>
      </w:r>
    </w:p>
    <w:p w:rsidR="00762C9B" w:rsidRPr="001346FF" w:rsidRDefault="00762C9B" w:rsidP="005116EE">
      <w:pPr>
        <w:pStyle w:val="ListParagraph"/>
        <w:numPr>
          <w:ilvl w:val="0"/>
          <w:numId w:val="11"/>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Linking regional and national infrastructure of transport and energy (Trans-European Networks)</w:t>
      </w:r>
    </w:p>
    <w:p w:rsidR="00762C9B" w:rsidRPr="001346FF" w:rsidRDefault="00762C9B" w:rsidP="005116EE">
      <w:pPr>
        <w:pStyle w:val="ListParagraph"/>
        <w:numPr>
          <w:ilvl w:val="0"/>
          <w:numId w:val="11"/>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Supporting a competitive and secure energy supply (sustainable energy)</w:t>
      </w:r>
    </w:p>
    <w:p w:rsidR="00762C9B" w:rsidRPr="001346FF" w:rsidRDefault="00762C9B" w:rsidP="00762C9B">
      <w:pPr>
        <w:spacing w:after="120"/>
        <w:rPr>
          <w:b/>
          <w:lang w:eastAsia="en-GB"/>
        </w:rPr>
      </w:pPr>
    </w:p>
    <w:p w:rsidR="00762C9B" w:rsidRPr="001346FF" w:rsidRDefault="00762C9B" w:rsidP="00762C9B">
      <w:pPr>
        <w:spacing w:after="120"/>
        <w:rPr>
          <w:b/>
          <w:lang w:eastAsia="en-GB"/>
        </w:rPr>
      </w:pPr>
      <w:r w:rsidRPr="001346FF">
        <w:rPr>
          <w:b/>
          <w:lang w:eastAsia="en-GB"/>
        </w:rPr>
        <w:t>Implementation considerations, constraints</w:t>
      </w:r>
    </w:p>
    <w:p w:rsidR="00762C9B" w:rsidRPr="001346FF" w:rsidRDefault="00762C9B" w:rsidP="00762C9B">
      <w:pPr>
        <w:spacing w:after="120"/>
        <w:ind w:right="-1"/>
        <w:rPr>
          <w:u w:val="single"/>
          <w:lang w:eastAsia="en-GB"/>
        </w:rPr>
      </w:pPr>
      <w:r w:rsidRPr="001346FF">
        <w:rPr>
          <w:lang w:eastAsia="en-GB"/>
        </w:rPr>
        <w:t xml:space="preserve">To consider cooperation in a form of programmes of </w:t>
      </w:r>
      <w:r w:rsidRPr="001346FF">
        <w:rPr>
          <w:u w:val="single"/>
          <w:lang w:eastAsia="en-GB"/>
        </w:rPr>
        <w:t>Zero interest or reduced interest loans for implementation of “green” projects.</w:t>
      </w:r>
    </w:p>
    <w:p w:rsidR="00762C9B" w:rsidRPr="001346FF" w:rsidRDefault="00762C9B" w:rsidP="00762C9B">
      <w:pPr>
        <w:spacing w:after="120"/>
        <w:ind w:right="-1"/>
        <w:rPr>
          <w:u w:val="single"/>
          <w:lang w:eastAsia="en-GB"/>
        </w:rPr>
      </w:pPr>
    </w:p>
    <w:p w:rsidR="00762C9B" w:rsidRPr="000635CE" w:rsidRDefault="00762C9B" w:rsidP="00762C9B">
      <w:pPr>
        <w:spacing w:after="120"/>
        <w:ind w:right="-1"/>
        <w:rPr>
          <w:b/>
          <w:u w:val="single"/>
          <w:lang w:eastAsia="en-GB"/>
        </w:rPr>
      </w:pPr>
      <w:r w:rsidRPr="000635CE">
        <w:rPr>
          <w:b/>
          <w:u w:val="single"/>
          <w:lang w:eastAsia="en-GB"/>
        </w:rPr>
        <w:t>Sustainability index or comparable schemes</w:t>
      </w:r>
    </w:p>
    <w:p w:rsidR="00762C9B" w:rsidRPr="001346FF" w:rsidRDefault="00762C9B" w:rsidP="00762C9B">
      <w:pPr>
        <w:spacing w:after="120"/>
        <w:ind w:right="-1"/>
        <w:rPr>
          <w:b/>
          <w:lang w:eastAsia="en-GB"/>
        </w:rPr>
      </w:pPr>
      <w:r w:rsidRPr="001346FF">
        <w:rPr>
          <w:lang w:eastAsia="en-GB"/>
        </w:rPr>
        <w:t xml:space="preserve">Relevant to: </w:t>
      </w:r>
      <w:r w:rsidRPr="001346FF">
        <w:rPr>
          <w:b/>
          <w:lang w:eastAsia="en-GB"/>
        </w:rPr>
        <w:t xml:space="preserve">Armenia, Azerbaijan, Belarus, Georgia, Moldova </w:t>
      </w:r>
      <w:r w:rsidRPr="001346FF">
        <w:rPr>
          <w:lang w:eastAsia="en-GB"/>
        </w:rPr>
        <w:t>(proposed in National Environmental Strategy)</w:t>
      </w:r>
      <w:r w:rsidRPr="001346FF">
        <w:rPr>
          <w:b/>
          <w:lang w:eastAsia="en-GB"/>
        </w:rPr>
        <w:t>, Ukraine</w:t>
      </w:r>
    </w:p>
    <w:p w:rsidR="00762C9B" w:rsidRPr="001346FF" w:rsidRDefault="00762C9B" w:rsidP="00762C9B">
      <w:pPr>
        <w:spacing w:after="120"/>
        <w:ind w:right="-1"/>
        <w:rPr>
          <w:lang w:eastAsia="en-GB"/>
        </w:rPr>
      </w:pPr>
      <w:r w:rsidRPr="001346FF">
        <w:rPr>
          <w:lang w:eastAsia="en-GB"/>
        </w:rPr>
        <w:t xml:space="preserve">A system that allows companies to rate their sustainability and environmental behaviour can serve as a good and relatively easily implemented reputational mechanism. The existence of such tool provides a possibility for public to get introduced with the environmental behaviour of the relative undertakings and thus make their choice which company’s products or services to select. </w:t>
      </w:r>
    </w:p>
    <w:p w:rsidR="00762C9B" w:rsidRPr="001346FF" w:rsidRDefault="00762C9B" w:rsidP="00762C9B">
      <w:pPr>
        <w:spacing w:after="120"/>
        <w:ind w:right="-1"/>
        <w:rPr>
          <w:lang w:eastAsia="en-GB"/>
        </w:rPr>
      </w:pPr>
      <w:r w:rsidRPr="001346FF">
        <w:rPr>
          <w:lang w:eastAsia="en-GB"/>
        </w:rPr>
        <w:t xml:space="preserve">There are two general options for such instrument. The first option signifies the voluntary approach, meaning that the company has to apply for such assessment itself; yet in the case of second option, the assessment is being carried out for all undertakings that have to submit information on their activities in the framework of the permitting system. </w:t>
      </w:r>
    </w:p>
    <w:p w:rsidR="00762C9B" w:rsidRPr="001346FF" w:rsidRDefault="00762C9B" w:rsidP="00762C9B">
      <w:pPr>
        <w:spacing w:after="120"/>
        <w:ind w:right="-1"/>
        <w:rPr>
          <w:lang w:eastAsia="en-GB"/>
        </w:rPr>
      </w:pPr>
      <w:r w:rsidRPr="001346FF">
        <w:rPr>
          <w:lang w:eastAsia="en-GB"/>
        </w:rPr>
        <w:t>The former is a purely voluntary tool and can work on a basis of self-assessment – the company fills in the necessary data, receives the results on the basis and decides if it wants the results to be publicly available afterwards. If the assessment is more complex, the provided information is assessed by the selected group of experts, which at the end provide results of company’s sustainability. Such approach mostly indicates that the results are published. Yet it does not mean that public will know all of the details – it can merely suggest that the public will be informed, if the company’s at issue result is “excellent”, “good”, “satisfactory”, etc. Though, considering that this is a purely voluntary mechanism, the undertakings manifesting their will to be environment-conscious have probably comparably good results and have some sustainability supporting measures in place.</w:t>
      </w:r>
    </w:p>
    <w:p w:rsidR="00762C9B" w:rsidRPr="001346FF" w:rsidRDefault="00762C9B" w:rsidP="00762C9B">
      <w:pPr>
        <w:spacing w:after="120"/>
        <w:ind w:right="-1"/>
        <w:rPr>
          <w:lang w:eastAsia="en-GB"/>
        </w:rPr>
      </w:pPr>
      <w:r w:rsidRPr="001346FF">
        <w:rPr>
          <w:lang w:eastAsia="en-GB"/>
        </w:rPr>
        <w:t>At the same time, the sustainability scheme, based on the data provided in the framework of environmental permitting system is not voluntary, yet provides more general data, which does not allow making accurate conclusions on company’s environmental behaviour. In such case it shall not be referred to as sustainability scheme, but “environmental performance index” or have related title.</w:t>
      </w:r>
    </w:p>
    <w:p w:rsidR="00762C9B" w:rsidRPr="001346FF" w:rsidRDefault="00762C9B" w:rsidP="00762C9B">
      <w:pPr>
        <w:spacing w:after="120"/>
        <w:rPr>
          <w:b/>
          <w:lang w:eastAsia="en-GB"/>
        </w:rPr>
      </w:pPr>
      <w:r w:rsidRPr="001346FF">
        <w:rPr>
          <w:b/>
          <w:lang w:eastAsia="en-GB"/>
        </w:rPr>
        <w:t>Implementation considerations, constraints</w:t>
      </w:r>
    </w:p>
    <w:p w:rsidR="00762C9B" w:rsidRPr="001346FF" w:rsidRDefault="00762C9B" w:rsidP="00762C9B">
      <w:pPr>
        <w:spacing w:after="120"/>
        <w:ind w:right="-1"/>
        <w:rPr>
          <w:lang w:eastAsia="en-GB"/>
        </w:rPr>
      </w:pPr>
      <w:r w:rsidRPr="001346FF">
        <w:rPr>
          <w:lang w:eastAsia="en-GB"/>
        </w:rPr>
        <w:t xml:space="preserve">It is advisable to implement the voluntary scheme by a good reputation NGO (chamber of commerce, commercial bank association, regional business association or similar). First, to </w:t>
      </w:r>
      <w:r w:rsidRPr="001346FF">
        <w:rPr>
          <w:lang w:eastAsia="en-GB"/>
        </w:rPr>
        <w:lastRenderedPageBreak/>
        <w:t>implement the scheme there will be a need of private sponsorship even if the public sector allocates public funding and the participating enterprises cover part of the costs through a small participation fee. Therefore a good fundraising capacity of such an organization is essential. Second, to attract large number of participating enterprises and to disseminate the results an organization with good reputation is highly recommendable. As to the participation fee, the fee can be used as a regulatory mechanism of number or profile of participants. The participation fee shall be rather of “symbolic” nature thus keeping doors open for large number of potential participants. However the number of attracted participants should match with the capacity of experts assessing the companies.</w:t>
      </w:r>
    </w:p>
    <w:p w:rsidR="00762C9B" w:rsidRPr="001346FF" w:rsidRDefault="00762C9B" w:rsidP="00762C9B">
      <w:pPr>
        <w:spacing w:after="120"/>
        <w:ind w:right="-1"/>
        <w:rPr>
          <w:lang w:eastAsia="en-GB"/>
        </w:rPr>
      </w:pPr>
      <w:r w:rsidRPr="001346FF">
        <w:rPr>
          <w:lang w:eastAsia="en-GB"/>
        </w:rPr>
        <w:t>If implemented within the framework of environmental permitting system the scheme should be rather with no participation fee and for all companies involved under the system. The key message then will be honouring of best environmentally performed company. This scheme will be very similar when tax authority is honouring their best tax-payers.</w:t>
      </w:r>
    </w:p>
    <w:p w:rsidR="00762C9B" w:rsidRPr="001346FF" w:rsidRDefault="00762C9B" w:rsidP="00762C9B">
      <w:pPr>
        <w:spacing w:after="120"/>
        <w:ind w:right="-1"/>
        <w:rPr>
          <w:lang w:eastAsia="en-GB"/>
        </w:rPr>
      </w:pPr>
      <w:r w:rsidRPr="001346FF">
        <w:rPr>
          <w:lang w:eastAsia="en-GB"/>
        </w:rPr>
        <w:t>Essential is keeping the scheme running for many years continuously thus being able to discover the dynamics on how the sustainability rating and environmental behaviour of the companies changed.</w:t>
      </w:r>
    </w:p>
    <w:p w:rsidR="00762C9B" w:rsidRPr="001346FF" w:rsidRDefault="00762C9B" w:rsidP="00762C9B">
      <w:pPr>
        <w:spacing w:after="120"/>
        <w:ind w:right="-1"/>
        <w:rPr>
          <w:lang w:eastAsia="en-GB"/>
        </w:rPr>
      </w:pPr>
    </w:p>
    <w:p w:rsidR="00762C9B" w:rsidRPr="000635CE" w:rsidRDefault="00762C9B" w:rsidP="00762C9B">
      <w:pPr>
        <w:spacing w:after="120"/>
        <w:ind w:right="-1"/>
        <w:rPr>
          <w:b/>
          <w:u w:val="single"/>
          <w:lang w:eastAsia="en-GB"/>
        </w:rPr>
      </w:pPr>
      <w:r w:rsidRPr="000635CE">
        <w:rPr>
          <w:b/>
          <w:u w:val="single"/>
          <w:lang w:eastAsia="en-GB"/>
        </w:rPr>
        <w:t>Eco-labelling scheme</w:t>
      </w:r>
    </w:p>
    <w:p w:rsidR="00762C9B" w:rsidRPr="001346FF" w:rsidRDefault="00762C9B" w:rsidP="00762C9B">
      <w:pPr>
        <w:spacing w:after="120"/>
        <w:ind w:right="-1"/>
        <w:rPr>
          <w:b/>
          <w:lang w:eastAsia="en-GB"/>
        </w:rPr>
      </w:pPr>
      <w:r w:rsidRPr="001346FF">
        <w:rPr>
          <w:lang w:eastAsia="en-GB"/>
        </w:rPr>
        <w:t xml:space="preserve">Relevant to: </w:t>
      </w:r>
      <w:r w:rsidRPr="001346FF">
        <w:rPr>
          <w:b/>
          <w:lang w:eastAsia="en-GB"/>
        </w:rPr>
        <w:t xml:space="preserve">Armenia, Georgia, Moldova </w:t>
      </w:r>
      <w:r w:rsidRPr="001346FF">
        <w:rPr>
          <w:lang w:eastAsia="en-GB"/>
        </w:rPr>
        <w:t>(proposed in National Environmental Strategy)</w:t>
      </w:r>
      <w:r w:rsidRPr="001346FF">
        <w:rPr>
          <w:b/>
          <w:lang w:eastAsia="en-GB"/>
        </w:rPr>
        <w:t>, Russian Federation</w:t>
      </w:r>
    </w:p>
    <w:p w:rsidR="00762C9B" w:rsidRPr="001346FF" w:rsidRDefault="00762C9B" w:rsidP="00762C9B">
      <w:pPr>
        <w:spacing w:after="120"/>
        <w:ind w:right="-1"/>
        <w:rPr>
          <w:lang w:eastAsia="en-GB"/>
        </w:rPr>
      </w:pPr>
      <w:r w:rsidRPr="001346FF">
        <w:rPr>
          <w:lang w:eastAsia="en-GB"/>
        </w:rPr>
        <w:t>Due to numerous educational campaigns and information on environmental impacts of our daily activities, consumers become more and more involved in the reduction of their personal environmental impact. The core idea behind the eco-labelling is that the particular product/services not only fulfil the mandatory requirements, but go beyond that. The introduction of reliable and recognizable eco-labelling scheme, would provide consumers a possibility to make environment-conscious decisions, while purchasing their products/services, and thus stimulate the companies to turn towards more environment-friendly production, as higher demand for eco-labelled products would facilitate the increase in supply of “green” products and services.</w:t>
      </w:r>
    </w:p>
    <w:p w:rsidR="00762C9B" w:rsidRPr="001346FF" w:rsidRDefault="00762C9B" w:rsidP="00762C9B">
      <w:pPr>
        <w:spacing w:after="120"/>
        <w:ind w:right="-1"/>
        <w:rPr>
          <w:lang w:eastAsia="en-GB"/>
        </w:rPr>
      </w:pPr>
      <w:r w:rsidRPr="001346FF">
        <w:rPr>
          <w:lang w:eastAsia="en-GB"/>
        </w:rPr>
        <w:t xml:space="preserve">It is possible to create a national eco-labelling system or unify and create a regional system, thus encompassing several neighbouring states and promoting competition of green produce not only at national level, but also in neighbouring countries. Notwithstanding the coverage, the scheme has to be administered by an independent, reliable body, which in many cases are state-affiliated institutions, like, for example, State Environmental Agencies. </w:t>
      </w:r>
    </w:p>
    <w:p w:rsidR="00762C9B" w:rsidRPr="001346FF" w:rsidRDefault="00762C9B" w:rsidP="00762C9B">
      <w:pPr>
        <w:spacing w:after="120"/>
        <w:ind w:right="-1"/>
        <w:rPr>
          <w:lang w:eastAsia="en-GB"/>
        </w:rPr>
      </w:pPr>
      <w:r w:rsidRPr="001346FF">
        <w:rPr>
          <w:lang w:eastAsia="en-GB"/>
        </w:rPr>
        <w:t xml:space="preserve">In order to ensure the reliability of the system, it is important to introduce unified sector- or product-wide criteria. In such system undertakings would know in advance, if it is feasible for them to apply for the eco-labelling, or sophisticated improvements are necessary prior to application. The criteria shall be applied equitably, therefore it is suggested that an independent, most likely, state-affiliated institutions are responsible for administration of the eco-label. </w:t>
      </w:r>
    </w:p>
    <w:p w:rsidR="00762C9B" w:rsidRPr="001346FF" w:rsidRDefault="00762C9B" w:rsidP="00762C9B">
      <w:pPr>
        <w:spacing w:after="120"/>
        <w:rPr>
          <w:b/>
          <w:lang w:eastAsia="en-GB"/>
        </w:rPr>
      </w:pPr>
      <w:r w:rsidRPr="001346FF">
        <w:rPr>
          <w:b/>
          <w:lang w:eastAsia="en-GB"/>
        </w:rPr>
        <w:t>Implementation considerations, constraints</w:t>
      </w:r>
    </w:p>
    <w:p w:rsidR="00762C9B" w:rsidRPr="001346FF" w:rsidRDefault="00762C9B" w:rsidP="00762C9B">
      <w:pPr>
        <w:spacing w:after="120"/>
        <w:ind w:right="-1"/>
        <w:rPr>
          <w:lang w:eastAsia="en-GB"/>
        </w:rPr>
      </w:pPr>
      <w:r w:rsidRPr="001346FF">
        <w:rPr>
          <w:lang w:eastAsia="en-GB"/>
        </w:rPr>
        <w:t xml:space="preserve">Prior to creating a national or a regional system a comparison of benefits of both approaches is preferable. A regional system would benefit the companies being present in international markets (in countries which are supposed to be covered with the regional eco-labelling system). A regionally unified eco-labelling system will ease the entrance of the companies into foreign markets covered by the system. But in the same time implementation of such system will require </w:t>
      </w:r>
      <w:r w:rsidRPr="001346FF">
        <w:rPr>
          <w:lang w:eastAsia="en-GB"/>
        </w:rPr>
        <w:lastRenderedPageBreak/>
        <w:t>extensive high-level cooperation among countries. On contrary, a national system might be implemented easier and much faster and the benefits will prevail within the local companies servicing the national market only. Thus the countries with strong export potential to neighbouring countries might prefer a regional system.</w:t>
      </w:r>
    </w:p>
    <w:p w:rsidR="00762C9B" w:rsidRPr="001346FF" w:rsidRDefault="00762C9B" w:rsidP="00762C9B">
      <w:pPr>
        <w:spacing w:after="120"/>
        <w:ind w:right="-1"/>
        <w:rPr>
          <w:lang w:eastAsia="en-GB"/>
        </w:rPr>
      </w:pPr>
      <w:r w:rsidRPr="001346FF">
        <w:rPr>
          <w:lang w:eastAsia="en-GB"/>
        </w:rPr>
        <w:t xml:space="preserve">The system of eco-labelling goes hand-in-hand with promotion of public procurement, as it allows to freely </w:t>
      </w:r>
      <w:proofErr w:type="gramStart"/>
      <w:r w:rsidRPr="001346FF">
        <w:rPr>
          <w:lang w:eastAsia="en-GB"/>
        </w:rPr>
        <w:t>determine</w:t>
      </w:r>
      <w:proofErr w:type="gramEnd"/>
      <w:r w:rsidRPr="001346FF">
        <w:rPr>
          <w:lang w:eastAsia="en-GB"/>
        </w:rPr>
        <w:t xml:space="preserve">, which product/service is more environment friendly. In the case of absence of any ecological labelling systems in the country, sophisticated informative campaigns have to be carried out in order to ensure the desired effect of the newly-introduced scheme. </w:t>
      </w:r>
    </w:p>
    <w:p w:rsidR="00762C9B" w:rsidRPr="001346FF" w:rsidRDefault="00762C9B" w:rsidP="00762C9B">
      <w:pPr>
        <w:spacing w:after="120"/>
        <w:ind w:right="-1"/>
        <w:rPr>
          <w:lang w:eastAsia="en-GB"/>
        </w:rPr>
      </w:pPr>
      <w:r w:rsidRPr="001346FF">
        <w:rPr>
          <w:lang w:eastAsia="en-GB"/>
        </w:rPr>
        <w:t>Like in a case of similar incentives (sustainability index scheme, etc.) a good reputation of the agency providing eco-labelling service is needed.</w:t>
      </w:r>
    </w:p>
    <w:p w:rsidR="00762C9B" w:rsidRPr="001346FF" w:rsidRDefault="00762C9B" w:rsidP="00762C9B">
      <w:pPr>
        <w:spacing w:after="120"/>
        <w:ind w:right="-1"/>
        <w:rPr>
          <w:lang w:eastAsia="en-GB"/>
        </w:rPr>
      </w:pPr>
    </w:p>
    <w:p w:rsidR="00762C9B" w:rsidRPr="000635CE" w:rsidRDefault="00762C9B" w:rsidP="00762C9B">
      <w:pPr>
        <w:spacing w:after="120"/>
        <w:ind w:right="-1"/>
        <w:rPr>
          <w:b/>
          <w:u w:val="single"/>
          <w:lang w:eastAsia="en-GB"/>
        </w:rPr>
      </w:pPr>
      <w:r w:rsidRPr="000635CE">
        <w:rPr>
          <w:b/>
          <w:u w:val="single"/>
          <w:lang w:eastAsia="en-GB"/>
        </w:rPr>
        <w:t>Environmental management systems</w:t>
      </w:r>
    </w:p>
    <w:p w:rsidR="00762C9B" w:rsidRPr="001346FF" w:rsidRDefault="00762C9B" w:rsidP="00762C9B">
      <w:pPr>
        <w:spacing w:after="120"/>
        <w:ind w:right="-1"/>
        <w:rPr>
          <w:b/>
          <w:lang w:eastAsia="en-GB"/>
        </w:rPr>
      </w:pPr>
      <w:r w:rsidRPr="001346FF">
        <w:rPr>
          <w:lang w:eastAsia="en-GB"/>
        </w:rPr>
        <w:t xml:space="preserve">Relevant to: </w:t>
      </w:r>
      <w:r w:rsidRPr="001346FF">
        <w:rPr>
          <w:b/>
          <w:lang w:eastAsia="en-GB"/>
        </w:rPr>
        <w:t xml:space="preserve">Armenia </w:t>
      </w:r>
      <w:r w:rsidRPr="001346FF">
        <w:rPr>
          <w:lang w:eastAsia="en-GB"/>
        </w:rPr>
        <w:t>(ISO 14001 exists, yet is not widely used)</w:t>
      </w:r>
      <w:r w:rsidRPr="001346FF">
        <w:rPr>
          <w:b/>
          <w:lang w:eastAsia="en-GB"/>
        </w:rPr>
        <w:t xml:space="preserve">, Azerbaijan </w:t>
      </w:r>
      <w:r w:rsidRPr="001346FF">
        <w:rPr>
          <w:lang w:eastAsia="en-GB"/>
        </w:rPr>
        <w:t>(ISO 14001 exists, yet is not widely used)</w:t>
      </w:r>
      <w:r w:rsidRPr="001346FF">
        <w:rPr>
          <w:b/>
          <w:lang w:eastAsia="en-GB"/>
        </w:rPr>
        <w:t xml:space="preserve">, Georgia, Moldova </w:t>
      </w:r>
      <w:r w:rsidRPr="001346FF">
        <w:rPr>
          <w:lang w:eastAsia="en-GB"/>
        </w:rPr>
        <w:t>(proposed in National Environmental Strategy)</w:t>
      </w:r>
      <w:r w:rsidRPr="001346FF">
        <w:rPr>
          <w:b/>
          <w:lang w:eastAsia="en-GB"/>
        </w:rPr>
        <w:t xml:space="preserve">, Russian Federation </w:t>
      </w:r>
      <w:r w:rsidRPr="001346FF">
        <w:rPr>
          <w:lang w:eastAsia="en-GB"/>
        </w:rPr>
        <w:t xml:space="preserve">(ISO 14001 exists, yet the wider use between companies focused on national markets shall be promoted), </w:t>
      </w:r>
      <w:r w:rsidRPr="001346FF">
        <w:rPr>
          <w:b/>
          <w:lang w:eastAsia="en-GB"/>
        </w:rPr>
        <w:t>Ukraine</w:t>
      </w:r>
    </w:p>
    <w:p w:rsidR="00762C9B" w:rsidRPr="001346FF" w:rsidRDefault="00762C9B" w:rsidP="00762C9B">
      <w:pPr>
        <w:spacing w:after="120"/>
        <w:ind w:right="-1"/>
        <w:rPr>
          <w:lang w:eastAsia="en-GB"/>
        </w:rPr>
      </w:pPr>
      <w:r w:rsidRPr="001346FF">
        <w:rPr>
          <w:lang w:eastAsia="en-GB"/>
        </w:rPr>
        <w:t>The notion of environmental management system (EMS) can be described as “tool that provides organisations with a method to systematically manage and improve the environmental aspects of their production processes; it helps organisations to achieve their environmental obligations and performance goals”</w:t>
      </w:r>
      <w:r w:rsidRPr="001346FF">
        <w:rPr>
          <w:rStyle w:val="FootnoteReference"/>
          <w:lang w:eastAsia="en-GB"/>
        </w:rPr>
        <w:footnoteReference w:id="81"/>
      </w:r>
      <w:r w:rsidRPr="001346FF">
        <w:rPr>
          <w:lang w:eastAsia="en-GB"/>
        </w:rPr>
        <w:t xml:space="preserve">. It implies a purely voluntary compliance and is oftentimes implemented to indicate that the enterprise is operating in an environmentally sound manner, complying with all of the environmental legislation requirements and oriented towards constant improvement. Implementation and successful operation of EMS also facilitates financial gains, as it is </w:t>
      </w:r>
      <w:r w:rsidRPr="001346FF">
        <w:rPr>
          <w:i/>
          <w:lang w:eastAsia="en-GB"/>
        </w:rPr>
        <w:t>inter alia</w:t>
      </w:r>
      <w:r w:rsidRPr="001346FF">
        <w:rPr>
          <w:lang w:eastAsia="en-GB"/>
        </w:rPr>
        <w:t xml:space="preserve"> closely related to resource efficiency. The most popular EMS in Europe </w:t>
      </w:r>
      <w:proofErr w:type="gramStart"/>
      <w:r w:rsidRPr="001346FF">
        <w:rPr>
          <w:lang w:eastAsia="en-GB"/>
        </w:rPr>
        <w:t>are</w:t>
      </w:r>
      <w:proofErr w:type="gramEnd"/>
      <w:r w:rsidRPr="001346FF">
        <w:rPr>
          <w:lang w:eastAsia="en-GB"/>
        </w:rPr>
        <w:t xml:space="preserve"> ISO 14001</w:t>
      </w:r>
      <w:r w:rsidRPr="001346FF">
        <w:rPr>
          <w:rStyle w:val="FootnoteReference"/>
          <w:lang w:eastAsia="en-GB"/>
        </w:rPr>
        <w:footnoteReference w:id="82"/>
      </w:r>
      <w:r w:rsidRPr="001346FF">
        <w:rPr>
          <w:lang w:eastAsia="en-GB"/>
        </w:rPr>
        <w:t xml:space="preserve"> and EMAS</w:t>
      </w:r>
      <w:r w:rsidRPr="001346FF">
        <w:rPr>
          <w:rStyle w:val="FootnoteReference"/>
          <w:lang w:eastAsia="en-GB"/>
        </w:rPr>
        <w:footnoteReference w:id="83"/>
      </w:r>
      <w:r w:rsidRPr="001346FF">
        <w:rPr>
          <w:lang w:eastAsia="en-GB"/>
        </w:rPr>
        <w:t>.</w:t>
      </w:r>
    </w:p>
    <w:p w:rsidR="00762C9B" w:rsidRPr="001346FF" w:rsidRDefault="00762C9B" w:rsidP="00762C9B">
      <w:pPr>
        <w:spacing w:after="120"/>
        <w:ind w:right="-1"/>
        <w:rPr>
          <w:lang w:eastAsia="en-GB"/>
        </w:rPr>
      </w:pPr>
      <w:r w:rsidRPr="001346FF">
        <w:rPr>
          <w:lang w:eastAsia="en-GB"/>
        </w:rPr>
        <w:t>The particularities of EMS may differ depending on the sector, where it is implemented, yet there are elements common to all of the systems. These operating principles of an EMS follow a “Plan-Do-Check-Act Cycle” (PDCA Cycle):</w:t>
      </w:r>
    </w:p>
    <w:p w:rsidR="00762C9B" w:rsidRPr="001346FF" w:rsidRDefault="00762C9B" w:rsidP="00762C9B">
      <w:pPr>
        <w:spacing w:after="120"/>
        <w:ind w:right="-1"/>
        <w:rPr>
          <w:lang w:eastAsia="en-GB"/>
        </w:rPr>
      </w:pPr>
    </w:p>
    <w:p w:rsidR="00762C9B" w:rsidRPr="001346FF" w:rsidRDefault="00E06DC4" w:rsidP="00762C9B">
      <w:pPr>
        <w:spacing w:after="120"/>
        <w:ind w:right="-1"/>
        <w:jc w:val="center"/>
        <w:rPr>
          <w:lang w:eastAsia="en-GB"/>
        </w:rPr>
      </w:pPr>
      <w:r>
        <w:rPr>
          <w:noProof/>
          <w:lang w:eastAsia="en-GB"/>
        </w:rPr>
        <w:lastRenderedPageBreak/>
        <w:drawing>
          <wp:inline distT="0" distB="0" distL="0" distR="0">
            <wp:extent cx="4097020" cy="3117215"/>
            <wp:effectExtent l="19050" t="0" r="0" b="0"/>
            <wp:docPr id="5" name="Picture 5" descr="Description: Plan-Do-Check-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Plan-Do-Check-Act"/>
                    <pic:cNvPicPr>
                      <a:picLocks noChangeAspect="1" noChangeArrowheads="1"/>
                    </pic:cNvPicPr>
                  </pic:nvPicPr>
                  <pic:blipFill>
                    <a:blip r:embed="rId20" cstate="print"/>
                    <a:srcRect/>
                    <a:stretch>
                      <a:fillRect/>
                    </a:stretch>
                  </pic:blipFill>
                  <pic:spPr bwMode="auto">
                    <a:xfrm>
                      <a:off x="0" y="0"/>
                      <a:ext cx="4097020" cy="3117215"/>
                    </a:xfrm>
                    <a:prstGeom prst="rect">
                      <a:avLst/>
                    </a:prstGeom>
                    <a:noFill/>
                    <a:ln w="9525">
                      <a:noFill/>
                      <a:miter lim="800000"/>
                      <a:headEnd/>
                      <a:tailEnd/>
                    </a:ln>
                  </pic:spPr>
                </pic:pic>
              </a:graphicData>
            </a:graphic>
          </wp:inline>
        </w:drawing>
      </w:r>
    </w:p>
    <w:p w:rsidR="00762C9B" w:rsidRPr="001346FF" w:rsidRDefault="00762C9B" w:rsidP="00762C9B">
      <w:pPr>
        <w:spacing w:after="120"/>
        <w:ind w:right="-1"/>
        <w:jc w:val="center"/>
        <w:rPr>
          <w:b/>
          <w:i/>
          <w:lang w:eastAsia="en-GB"/>
        </w:rPr>
      </w:pPr>
      <w:r w:rsidRPr="001346FF">
        <w:rPr>
          <w:b/>
          <w:i/>
          <w:lang w:eastAsia="en-GB"/>
        </w:rPr>
        <w:t>Figure 6: Plan-Do-Check-Act Cycle</w:t>
      </w:r>
      <w:r w:rsidRPr="001346FF">
        <w:rPr>
          <w:rStyle w:val="FootnoteReference"/>
          <w:b/>
          <w:i/>
          <w:lang w:eastAsia="en-GB"/>
        </w:rPr>
        <w:footnoteReference w:id="84"/>
      </w:r>
    </w:p>
    <w:p w:rsidR="00762C9B" w:rsidRPr="001346FF" w:rsidRDefault="00762C9B" w:rsidP="00762C9B">
      <w:pPr>
        <w:spacing w:after="120"/>
        <w:ind w:right="-1"/>
        <w:jc w:val="center"/>
        <w:rPr>
          <w:b/>
          <w:i/>
          <w:lang w:eastAsia="en-GB"/>
        </w:rPr>
      </w:pPr>
    </w:p>
    <w:p w:rsidR="00762C9B" w:rsidRPr="001346FF" w:rsidRDefault="00762C9B" w:rsidP="00762C9B">
      <w:pPr>
        <w:spacing w:after="120"/>
        <w:ind w:right="-1"/>
        <w:rPr>
          <w:lang w:eastAsia="en-GB"/>
        </w:rPr>
      </w:pPr>
      <w:r w:rsidRPr="001346FF">
        <w:rPr>
          <w:lang w:eastAsia="en-GB"/>
        </w:rPr>
        <w:t xml:space="preserve">The above depicted PDCA Cycle encompasses the main elements of the successful EMS. It can be derived that in order for system to function effectively, it is necessary to establish a basis, for example, developing it as a part of standard, which is administered by an independent body or state-affiliated agency. The “audit” element implies not only internal, but also external, independent auditing, which is to be carried out periodically to ensure that the company is still complying with the requirements, as the legal provisions change along the time.  </w:t>
      </w:r>
    </w:p>
    <w:p w:rsidR="00762C9B" w:rsidRPr="001346FF" w:rsidRDefault="00762C9B" w:rsidP="00762C9B">
      <w:pPr>
        <w:spacing w:after="120"/>
        <w:ind w:right="-1"/>
        <w:rPr>
          <w:lang w:eastAsia="en-GB"/>
        </w:rPr>
      </w:pPr>
      <w:r w:rsidRPr="001346FF">
        <w:rPr>
          <w:lang w:eastAsia="en-GB"/>
        </w:rPr>
        <w:t xml:space="preserve">It is also important to note that countries can choose either to develop a system for application of internationally recognized EMS (like ISO 14001) or introduce their own state-specific system. Though the adoption of internationally recognized EMS is recommended, as it allows to successfully </w:t>
      </w:r>
      <w:proofErr w:type="gramStart"/>
      <w:r w:rsidRPr="001346FF">
        <w:rPr>
          <w:lang w:eastAsia="en-GB"/>
        </w:rPr>
        <w:t>compete</w:t>
      </w:r>
      <w:proofErr w:type="gramEnd"/>
      <w:r w:rsidRPr="001346FF">
        <w:rPr>
          <w:lang w:eastAsia="en-GB"/>
        </w:rPr>
        <w:t xml:space="preserve"> in foreign markets. </w:t>
      </w:r>
    </w:p>
    <w:p w:rsidR="00762C9B" w:rsidRPr="001346FF" w:rsidRDefault="00762C9B" w:rsidP="00762C9B">
      <w:pPr>
        <w:spacing w:after="120"/>
        <w:ind w:right="-1"/>
        <w:rPr>
          <w:lang w:eastAsia="en-GB"/>
        </w:rPr>
      </w:pPr>
      <w:r w:rsidRPr="001346FF">
        <w:rPr>
          <w:lang w:eastAsia="en-GB"/>
        </w:rPr>
        <w:t>As it has already been described in the chapter on existing situation, some of the Partner Countries have ISO 14001 system in place, yet in most of the cases it is not widely recognized and used. Therefore it is important to mention that an indispensable part of EMS integration in national system is the promotion of implementation of the respective EMS. Credibility and transparency of the system also play a significant role in the popularization of the system, as these aspects are crucial for consumers when deciding whether to rely on particular EMS. Therefore provision of publicly available information on an organisation’s environmental performance is an important aspect of the scheme’s objective.</w:t>
      </w:r>
    </w:p>
    <w:p w:rsidR="00762C9B" w:rsidRPr="001346FF" w:rsidRDefault="00762C9B" w:rsidP="00762C9B">
      <w:pPr>
        <w:spacing w:after="120"/>
        <w:rPr>
          <w:b/>
          <w:lang w:eastAsia="en-GB"/>
        </w:rPr>
      </w:pPr>
      <w:r w:rsidRPr="001346FF">
        <w:rPr>
          <w:b/>
          <w:lang w:eastAsia="en-GB"/>
        </w:rPr>
        <w:t>Implementation considerations, constraints</w:t>
      </w:r>
    </w:p>
    <w:p w:rsidR="00762C9B" w:rsidRPr="001346FF" w:rsidRDefault="00762C9B" w:rsidP="00762C9B">
      <w:pPr>
        <w:spacing w:after="120"/>
        <w:ind w:right="-1"/>
        <w:rPr>
          <w:lang w:eastAsia="en-GB"/>
        </w:rPr>
      </w:pPr>
      <w:r w:rsidRPr="001346FF">
        <w:rPr>
          <w:lang w:eastAsia="en-GB"/>
        </w:rPr>
        <w:t xml:space="preserve">Like quality management systems based on ISO 9001 standard an environmental management system is industry (market) driven. The implementation of one or of several systems in a company or organization often depends on the market requirements in particular sector or industry. If a company belongs to a supply chain where the customer mandatory requires an evidence of a certified system the company has basically two options – either to introduce the </w:t>
      </w:r>
      <w:r w:rsidRPr="001346FF">
        <w:rPr>
          <w:lang w:eastAsia="en-GB"/>
        </w:rPr>
        <w:lastRenderedPageBreak/>
        <w:t xml:space="preserve">system or loose the market. Due to considerable cost of implementing and independent third party certification of the EMS a purely voluntary implementation is less common. However companies and organizations seeking improvements of their reputation may implement the EMS without a demand from the market. Another driver to promote implementation of the EMS in companies or organizations might be financial </w:t>
      </w:r>
      <w:r w:rsidRPr="00D73464">
        <w:rPr>
          <w:lang w:eastAsia="en-GB"/>
        </w:rPr>
        <w:t>benefits arising of better processes and therefore productivity increase after implementation of the system.</w:t>
      </w:r>
      <w:r w:rsidR="000635CE" w:rsidRPr="00D73464">
        <w:rPr>
          <w:lang w:eastAsia="en-GB"/>
        </w:rPr>
        <w:t xml:space="preserve"> Implementation of EMS can also be promoted by decreasing administrative burden to operators (under environmental permitting system, IPPC) in case they have operational EMS system in place.</w:t>
      </w:r>
      <w:r w:rsidR="000635CE">
        <w:rPr>
          <w:lang w:eastAsia="en-GB"/>
        </w:rPr>
        <w:t xml:space="preserve"> </w:t>
      </w:r>
    </w:p>
    <w:p w:rsidR="00762C9B" w:rsidRPr="001346FF" w:rsidRDefault="00762C9B" w:rsidP="00762C9B">
      <w:pPr>
        <w:spacing w:after="120"/>
        <w:ind w:right="-1"/>
        <w:rPr>
          <w:lang w:eastAsia="en-GB"/>
        </w:rPr>
      </w:pPr>
    </w:p>
    <w:p w:rsidR="00762C9B" w:rsidRPr="000635CE" w:rsidRDefault="00762C9B" w:rsidP="00762C9B">
      <w:pPr>
        <w:spacing w:after="120"/>
        <w:ind w:right="-1"/>
        <w:rPr>
          <w:b/>
          <w:u w:val="single"/>
          <w:lang w:eastAsia="en-GB"/>
        </w:rPr>
      </w:pPr>
      <w:r w:rsidRPr="000635CE">
        <w:rPr>
          <w:b/>
          <w:u w:val="single"/>
          <w:lang w:eastAsia="en-GB"/>
        </w:rPr>
        <w:t>Organization of environmental events</w:t>
      </w:r>
    </w:p>
    <w:p w:rsidR="00762C9B" w:rsidRPr="001346FF" w:rsidRDefault="00762C9B" w:rsidP="00762C9B">
      <w:pPr>
        <w:spacing w:after="120"/>
        <w:ind w:right="-1"/>
        <w:rPr>
          <w:lang w:eastAsia="en-GB"/>
        </w:rPr>
      </w:pPr>
      <w:r w:rsidRPr="001346FF">
        <w:rPr>
          <w:lang w:eastAsia="en-GB"/>
        </w:rPr>
        <w:t xml:space="preserve">Relevant to: </w:t>
      </w:r>
      <w:r w:rsidRPr="001346FF">
        <w:rPr>
          <w:b/>
          <w:lang w:eastAsia="en-GB"/>
        </w:rPr>
        <w:t>Armenia, Azerbaijan, Belarus, Georgia, Moldova</w:t>
      </w:r>
      <w:r w:rsidRPr="001346FF">
        <w:rPr>
          <w:lang w:eastAsia="en-GB"/>
        </w:rPr>
        <w:t xml:space="preserve">, </w:t>
      </w:r>
      <w:r w:rsidRPr="001346FF">
        <w:rPr>
          <w:b/>
          <w:lang w:eastAsia="en-GB"/>
        </w:rPr>
        <w:t xml:space="preserve">Russian Federation, </w:t>
      </w:r>
      <w:proofErr w:type="gramStart"/>
      <w:r w:rsidRPr="001346FF">
        <w:rPr>
          <w:b/>
          <w:lang w:eastAsia="en-GB"/>
        </w:rPr>
        <w:t>Ukraine</w:t>
      </w:r>
      <w:proofErr w:type="gramEnd"/>
      <w:r w:rsidRPr="001346FF">
        <w:rPr>
          <w:lang w:eastAsia="en-GB"/>
        </w:rPr>
        <w:t xml:space="preserve"> </w:t>
      </w:r>
    </w:p>
    <w:p w:rsidR="00762C9B" w:rsidRPr="001346FF" w:rsidRDefault="00762C9B" w:rsidP="00762C9B">
      <w:pPr>
        <w:spacing w:after="120"/>
        <w:ind w:right="-1"/>
        <w:rPr>
          <w:lang w:eastAsia="en-GB"/>
        </w:rPr>
      </w:pPr>
      <w:r w:rsidRPr="001346FF">
        <w:rPr>
          <w:lang w:eastAsia="en-GB"/>
        </w:rPr>
        <w:t>Active participation in and organization of environmental events not only furthers environmental behaviour, but also serves as a tool that strengthens company’s environmental image. This can be undertaken in the framework of state organized Green Weeks, that can contain such events as a Big Clean-up of surroundings, where all of the interested ones can take part, starting with individuals and ending with undertakings, who can not only participate in cleaning works, but also, for example, sponsor the purchase of materials as rakes, shovels, garbage bags, gloves etc. Another example of possible event topic is “chemical safety”, which raises awareness on risks related to use of chemicals in production process and the impact of chemical waste.</w:t>
      </w:r>
      <w:r w:rsidRPr="001346FF" w:rsidDel="00290CFD">
        <w:rPr>
          <w:lang w:eastAsia="en-GB"/>
        </w:rPr>
        <w:t xml:space="preserve"> </w:t>
      </w:r>
      <w:r w:rsidRPr="001346FF">
        <w:rPr>
          <w:lang w:eastAsia="en-GB"/>
        </w:rPr>
        <w:t xml:space="preserve">Environmental events can be organized on different levels – i.e. on national, regional, or local scale. </w:t>
      </w:r>
    </w:p>
    <w:p w:rsidR="00762C9B" w:rsidRPr="001346FF" w:rsidRDefault="00762C9B" w:rsidP="00762C9B">
      <w:pPr>
        <w:spacing w:after="120"/>
        <w:ind w:right="-1"/>
        <w:rPr>
          <w:lang w:eastAsia="en-GB"/>
        </w:rPr>
      </w:pPr>
      <w:r w:rsidRPr="001346FF">
        <w:rPr>
          <w:lang w:eastAsia="en-GB"/>
        </w:rPr>
        <w:t>In addition companies can organize public awareness campaigns which are intertwined with practical activities, undertaken by the enterprise, e.g., establishing waste batteries collection point, at the same time promoting use of rechargeable batteries and reduction of hazardous waste. In case of state organized environmental campaigns, the government can make place for involvement by companies, providing possibility to participate and organize specific activities in the framework of the general event.</w:t>
      </w:r>
    </w:p>
    <w:p w:rsidR="00762C9B" w:rsidRPr="001346FF" w:rsidRDefault="00762C9B" w:rsidP="00762C9B">
      <w:pPr>
        <w:spacing w:after="120"/>
        <w:rPr>
          <w:b/>
          <w:lang w:eastAsia="en-GB"/>
        </w:rPr>
      </w:pPr>
      <w:r w:rsidRPr="001346FF">
        <w:rPr>
          <w:b/>
          <w:lang w:eastAsia="en-GB"/>
        </w:rPr>
        <w:t>Implementation considerations, constraints</w:t>
      </w:r>
    </w:p>
    <w:p w:rsidR="00762C9B" w:rsidRPr="001346FF" w:rsidRDefault="00762C9B" w:rsidP="00762C9B">
      <w:pPr>
        <w:spacing w:after="120"/>
        <w:ind w:right="-1"/>
        <w:rPr>
          <w:lang w:eastAsia="en-GB"/>
        </w:rPr>
      </w:pPr>
      <w:r w:rsidRPr="001346FF">
        <w:rPr>
          <w:lang w:eastAsia="en-GB"/>
        </w:rPr>
        <w:t>The requirement of information and publicity measures may be included as a must for beneficiaries of a public funding. Therefore the beneficiary is obliged to disseminate results to the public. Also active involvement of mass media is crucial for effective dissemination of information.</w:t>
      </w:r>
    </w:p>
    <w:p w:rsidR="00762C9B" w:rsidRPr="001346FF" w:rsidRDefault="00762C9B" w:rsidP="00762C9B">
      <w:pPr>
        <w:spacing w:after="120"/>
        <w:ind w:right="-1"/>
        <w:rPr>
          <w:lang w:eastAsia="en-GB"/>
        </w:rPr>
      </w:pPr>
      <w:r w:rsidRPr="001346FF">
        <w:rPr>
          <w:lang w:eastAsia="en-GB"/>
        </w:rPr>
        <w:t>Furthermore to facilitate green ideas, sustainability, etc. the government may introduce a small scale grants scheme for companies, organizations, public sector and NGO’s to stimulate spreading information and demonstrating best practices with respect to environmentally friendly actions and sustainability.</w:t>
      </w:r>
    </w:p>
    <w:p w:rsidR="00762C9B" w:rsidRPr="001346FF" w:rsidRDefault="00762C9B" w:rsidP="00762C9B">
      <w:pPr>
        <w:spacing w:after="120"/>
        <w:ind w:right="-1"/>
        <w:rPr>
          <w:lang w:eastAsia="en-GB"/>
        </w:rPr>
      </w:pPr>
      <w:r w:rsidRPr="001346FF">
        <w:rPr>
          <w:lang w:eastAsia="en-GB"/>
        </w:rPr>
        <w:t>In countries, where above-discussed events are already being organized, it is relevant to talk about the popularization of such events or introduction of new ones.</w:t>
      </w:r>
    </w:p>
    <w:p w:rsidR="00762C9B" w:rsidRPr="001346FF" w:rsidRDefault="00762C9B" w:rsidP="00762C9B">
      <w:pPr>
        <w:spacing w:after="120"/>
        <w:ind w:right="-1"/>
        <w:rPr>
          <w:lang w:eastAsia="en-GB"/>
        </w:rPr>
      </w:pPr>
    </w:p>
    <w:p w:rsidR="00762C9B" w:rsidRPr="001346FF" w:rsidRDefault="00762C9B" w:rsidP="00516EF9">
      <w:pPr>
        <w:pStyle w:val="Heading3"/>
        <w:keepLines/>
        <w:numPr>
          <w:ilvl w:val="0"/>
          <w:numId w:val="0"/>
        </w:numPr>
        <w:ind w:left="709" w:hanging="709"/>
      </w:pPr>
      <w:bookmarkStart w:id="66" w:name="_Toc384307273"/>
      <w:bookmarkStart w:id="67" w:name="_Toc387396939"/>
      <w:r w:rsidRPr="001346FF">
        <w:lastRenderedPageBreak/>
        <w:t>Individual target group</w:t>
      </w:r>
      <w:bookmarkEnd w:id="66"/>
      <w:bookmarkEnd w:id="67"/>
    </w:p>
    <w:p w:rsidR="00762C9B" w:rsidRPr="000635CE" w:rsidRDefault="00762C9B" w:rsidP="00762C9B">
      <w:pPr>
        <w:keepNext/>
        <w:keepLines/>
        <w:spacing w:after="120"/>
        <w:rPr>
          <w:b/>
          <w:u w:val="single"/>
          <w:lang w:eastAsia="en-GB"/>
        </w:rPr>
      </w:pPr>
      <w:r w:rsidRPr="000635CE">
        <w:rPr>
          <w:b/>
          <w:u w:val="single"/>
          <w:lang w:eastAsia="en-GB"/>
        </w:rPr>
        <w:t>Informational campaigns</w:t>
      </w:r>
    </w:p>
    <w:p w:rsidR="00762C9B" w:rsidRPr="001346FF" w:rsidRDefault="00762C9B" w:rsidP="00762C9B">
      <w:pPr>
        <w:keepNext/>
        <w:keepLines/>
        <w:spacing w:after="120"/>
        <w:ind w:right="-1"/>
        <w:rPr>
          <w:lang w:eastAsia="en-GB"/>
        </w:rPr>
      </w:pPr>
      <w:r w:rsidRPr="001346FF">
        <w:rPr>
          <w:lang w:eastAsia="en-GB"/>
        </w:rPr>
        <w:t xml:space="preserve">Relevant to: </w:t>
      </w:r>
      <w:r w:rsidRPr="001346FF">
        <w:rPr>
          <w:b/>
          <w:lang w:eastAsia="en-GB"/>
        </w:rPr>
        <w:t>Armenia, Azerbaijan, Belarus, Georgia, Moldova</w:t>
      </w:r>
      <w:r w:rsidRPr="001346FF">
        <w:rPr>
          <w:lang w:eastAsia="en-GB"/>
        </w:rPr>
        <w:t xml:space="preserve">, </w:t>
      </w:r>
      <w:r w:rsidRPr="001346FF">
        <w:rPr>
          <w:b/>
          <w:lang w:eastAsia="en-GB"/>
        </w:rPr>
        <w:t xml:space="preserve">Russian Federation, </w:t>
      </w:r>
      <w:proofErr w:type="gramStart"/>
      <w:r w:rsidRPr="001346FF">
        <w:rPr>
          <w:b/>
          <w:lang w:eastAsia="en-GB"/>
        </w:rPr>
        <w:t>Ukraine</w:t>
      </w:r>
      <w:proofErr w:type="gramEnd"/>
      <w:r w:rsidRPr="001346FF">
        <w:rPr>
          <w:lang w:eastAsia="en-GB"/>
        </w:rPr>
        <w:t xml:space="preserve"> </w:t>
      </w:r>
    </w:p>
    <w:p w:rsidR="00762C9B" w:rsidRPr="001346FF" w:rsidRDefault="00762C9B" w:rsidP="00762C9B">
      <w:pPr>
        <w:keepNext/>
        <w:keepLines/>
        <w:spacing w:after="120"/>
        <w:rPr>
          <w:lang w:eastAsia="en-GB"/>
        </w:rPr>
      </w:pPr>
      <w:r w:rsidRPr="001346FF">
        <w:rPr>
          <w:lang w:eastAsia="en-GB"/>
        </w:rPr>
        <w:t>Similar as in the case of business target group, also in the case of individuals the dissemination of information plays a crucial role in promotion of environment friendly behaviour. “Campaigns which remind individuals of the environmentally friendly actions they already perform may motivate them to even more pro-environmental behaviours, new research suggests. If people identify themselves as environmentally friendly, they are more likely to carry out green actions, even in the absence of any incentive.”</w:t>
      </w:r>
      <w:r w:rsidRPr="001346FF">
        <w:rPr>
          <w:rStyle w:val="FootnoteReference"/>
          <w:lang w:eastAsia="en-GB"/>
        </w:rPr>
        <w:footnoteReference w:id="85"/>
      </w:r>
    </w:p>
    <w:p w:rsidR="00762C9B" w:rsidRPr="001346FF" w:rsidRDefault="00762C9B" w:rsidP="00762C9B">
      <w:pPr>
        <w:spacing w:after="120"/>
        <w:rPr>
          <w:lang w:eastAsia="en-GB"/>
        </w:rPr>
      </w:pPr>
      <w:r w:rsidRPr="001346FF">
        <w:rPr>
          <w:lang w:eastAsia="en-GB"/>
        </w:rPr>
        <w:t xml:space="preserve">Accordingly, the dissemination of information on pollution of environment and possible ways to reduce the negative impact by behavioural changes may have impact on both – individuals that are not currently practicing “green” behaviour, and those who are already making environment conscious decisions. </w:t>
      </w:r>
    </w:p>
    <w:p w:rsidR="00762C9B" w:rsidRPr="001346FF" w:rsidRDefault="00762C9B" w:rsidP="00762C9B">
      <w:pPr>
        <w:spacing w:after="120"/>
        <w:rPr>
          <w:lang w:eastAsia="en-GB"/>
        </w:rPr>
      </w:pPr>
      <w:r w:rsidRPr="001346FF">
        <w:rPr>
          <w:lang w:eastAsia="en-GB"/>
        </w:rPr>
        <w:t>The educational and informational campaigns can be of different nature. They can be particular problem – e.g., air pollution – oriented, or focus on overall issue of “living green”. Sustainable living modules can be integrated in overall professional education (first level professional education, lifelong learning programmes) system either as a separate subject or more likely – as part of the programme in particular subject area. Such idea can be implemented by development of educational material, which provides modules and explains possibility of integration of such modules in education programme.</w:t>
      </w:r>
    </w:p>
    <w:p w:rsidR="00762C9B" w:rsidRPr="001346FF" w:rsidRDefault="00762C9B" w:rsidP="00762C9B">
      <w:pPr>
        <w:spacing w:after="120"/>
        <w:rPr>
          <w:lang w:eastAsia="en-GB"/>
        </w:rPr>
      </w:pPr>
      <w:r w:rsidRPr="001346FF">
        <w:rPr>
          <w:lang w:eastAsia="en-GB"/>
        </w:rPr>
        <w:t>Overall, such informative measures are an imperative aspect in a number of other measures that encompass particular activities or introduction of relative environmental schemes, as without being appropriately informed, public can be hesitant in making some pro-environmental choices as buying eco-labelled product or choosing services from undertaking that has introduced EMS.</w:t>
      </w:r>
    </w:p>
    <w:p w:rsidR="00762C9B" w:rsidRPr="001346FF" w:rsidRDefault="00762C9B" w:rsidP="00762C9B">
      <w:pPr>
        <w:spacing w:after="120"/>
        <w:rPr>
          <w:b/>
          <w:lang w:eastAsia="en-GB"/>
        </w:rPr>
      </w:pPr>
      <w:r w:rsidRPr="001346FF">
        <w:rPr>
          <w:b/>
          <w:lang w:eastAsia="en-GB"/>
        </w:rPr>
        <w:t>Implementation considerations, constraints</w:t>
      </w:r>
    </w:p>
    <w:p w:rsidR="00762C9B" w:rsidRPr="001346FF" w:rsidRDefault="00762C9B" w:rsidP="00762C9B">
      <w:pPr>
        <w:spacing w:after="120"/>
        <w:rPr>
          <w:lang w:eastAsia="en-GB"/>
        </w:rPr>
      </w:pPr>
      <w:r w:rsidRPr="001346FF">
        <w:rPr>
          <w:lang w:eastAsia="en-GB"/>
        </w:rPr>
        <w:t>Introduction of small scale grants schemes at municipal or regional administration level may be advisable. The scheme may target NGOs first of all.</w:t>
      </w:r>
    </w:p>
    <w:p w:rsidR="00762C9B" w:rsidRPr="001346FF" w:rsidRDefault="00762C9B" w:rsidP="00762C9B">
      <w:pPr>
        <w:spacing w:after="120"/>
        <w:rPr>
          <w:lang w:eastAsia="en-GB"/>
        </w:rPr>
      </w:pPr>
    </w:p>
    <w:p w:rsidR="00762C9B" w:rsidRPr="000635CE" w:rsidRDefault="00762C9B" w:rsidP="00762C9B">
      <w:pPr>
        <w:spacing w:after="120"/>
        <w:rPr>
          <w:b/>
          <w:u w:val="single"/>
          <w:lang w:eastAsia="en-GB"/>
        </w:rPr>
      </w:pPr>
      <w:r w:rsidRPr="000635CE">
        <w:rPr>
          <w:b/>
          <w:u w:val="single"/>
          <w:lang w:eastAsia="en-GB"/>
        </w:rPr>
        <w:t>“Green” events</w:t>
      </w:r>
    </w:p>
    <w:p w:rsidR="00762C9B" w:rsidRPr="001346FF" w:rsidRDefault="00762C9B" w:rsidP="00762C9B">
      <w:pPr>
        <w:spacing w:after="120"/>
        <w:ind w:right="-1"/>
        <w:rPr>
          <w:lang w:eastAsia="en-GB"/>
        </w:rPr>
      </w:pPr>
      <w:r w:rsidRPr="001346FF">
        <w:rPr>
          <w:lang w:eastAsia="en-GB"/>
        </w:rPr>
        <w:t xml:space="preserve">Relevant to: </w:t>
      </w:r>
      <w:r w:rsidRPr="001346FF">
        <w:rPr>
          <w:b/>
          <w:lang w:eastAsia="en-GB"/>
        </w:rPr>
        <w:t>Armenia, Azerbaijan, Belarus, Georgia, Moldova</w:t>
      </w:r>
      <w:r w:rsidRPr="001346FF">
        <w:rPr>
          <w:lang w:eastAsia="en-GB"/>
        </w:rPr>
        <w:t xml:space="preserve">, </w:t>
      </w:r>
      <w:r w:rsidRPr="001346FF">
        <w:rPr>
          <w:b/>
          <w:lang w:eastAsia="en-GB"/>
        </w:rPr>
        <w:t xml:space="preserve">Russian Federation, </w:t>
      </w:r>
      <w:proofErr w:type="gramStart"/>
      <w:r w:rsidRPr="001346FF">
        <w:rPr>
          <w:b/>
          <w:lang w:eastAsia="en-GB"/>
        </w:rPr>
        <w:t>Ukraine</w:t>
      </w:r>
      <w:proofErr w:type="gramEnd"/>
      <w:r w:rsidRPr="001346FF">
        <w:rPr>
          <w:lang w:eastAsia="en-GB"/>
        </w:rPr>
        <w:t xml:space="preserve"> </w:t>
      </w:r>
    </w:p>
    <w:p w:rsidR="00762C9B" w:rsidRPr="001346FF" w:rsidRDefault="00762C9B" w:rsidP="00762C9B">
      <w:pPr>
        <w:spacing w:after="120"/>
        <w:rPr>
          <w:lang w:eastAsia="en-GB"/>
        </w:rPr>
      </w:pPr>
      <w:r w:rsidRPr="001346FF">
        <w:rPr>
          <w:lang w:eastAsia="en-GB"/>
        </w:rPr>
        <w:t>Organization of “green” events is closely tied to the above-mentioned informational campaigns and education of public in relation to particular environmental issues, thus stimulating environmental awareness. For example, Green Mobility Week can promote use of environment-friendlier means of transportation, organizing biking events, making discounts for public transports in the duration of event etc. In the framework of the Green Mobility Week the government/municipality can implement also more tangible measures, like build new biking infrastructure or infrastructure for electro-mobiles.</w:t>
      </w:r>
    </w:p>
    <w:p w:rsidR="00762C9B" w:rsidRPr="001346FF" w:rsidRDefault="00762C9B" w:rsidP="00762C9B">
      <w:pPr>
        <w:spacing w:after="120"/>
        <w:rPr>
          <w:lang w:eastAsia="en-GB"/>
        </w:rPr>
      </w:pPr>
      <w:r w:rsidRPr="001346FF">
        <w:rPr>
          <w:lang w:eastAsia="en-GB"/>
        </w:rPr>
        <w:lastRenderedPageBreak/>
        <w:t>At the same time the negative aspects of littering are introduced by active organization of and participation in Big Clean-ups. Practical example in this respect is annual “Big Cleanup” carried out in Latvia.</w:t>
      </w:r>
      <w:r w:rsidRPr="001346FF">
        <w:rPr>
          <w:rStyle w:val="FootnoteReference"/>
          <w:lang w:eastAsia="en-GB"/>
        </w:rPr>
        <w:footnoteReference w:id="86"/>
      </w:r>
      <w:r w:rsidRPr="001346FF">
        <w:rPr>
          <w:lang w:eastAsia="en-GB"/>
        </w:rPr>
        <w:t xml:space="preserve"> Big Clean-ups, including Latvian “Big Cleanup”, are carried out in the framework of the global “Let’s do it!”</w:t>
      </w:r>
      <w:r w:rsidRPr="001346FF">
        <w:rPr>
          <w:rStyle w:val="FootnoteReference"/>
          <w:lang w:eastAsia="en-GB"/>
        </w:rPr>
        <w:footnoteReference w:id="87"/>
      </w:r>
      <w:r w:rsidRPr="001346FF">
        <w:rPr>
          <w:lang w:eastAsia="en-GB"/>
        </w:rPr>
        <w:t xml:space="preserve"> </w:t>
      </w:r>
      <w:proofErr w:type="gramStart"/>
      <w:r w:rsidRPr="001346FF">
        <w:rPr>
          <w:lang w:eastAsia="en-GB"/>
        </w:rPr>
        <w:t>initiative</w:t>
      </w:r>
      <w:proofErr w:type="gramEnd"/>
      <w:r w:rsidRPr="001346FF">
        <w:rPr>
          <w:lang w:eastAsia="en-GB"/>
        </w:rPr>
        <w:t xml:space="preserve">, which started in Estonia and is currently operating also in the Partner Countries at issue. Yet the success of such campaigns, which highly depends on a number of volunteers, relies on timely informational campaigns of sophisticated coverage. Public has to be introduced with the problem and realize why it is important to take a part in solving this problem. </w:t>
      </w:r>
    </w:p>
    <w:p w:rsidR="00762C9B" w:rsidRPr="001346FF" w:rsidRDefault="00762C9B" w:rsidP="00762C9B">
      <w:pPr>
        <w:spacing w:after="120"/>
        <w:rPr>
          <w:lang w:eastAsia="en-GB"/>
        </w:rPr>
      </w:pPr>
      <w:r w:rsidRPr="001346FF">
        <w:rPr>
          <w:lang w:eastAsia="en-GB"/>
        </w:rPr>
        <w:t xml:space="preserve">Important aspect of “green” events is that they can be carried out on quite a large scale, involving not only actions oriented towards general public, but also participation of business target groups. Involvement of as many interested parties as possible is one of the success factors in organization of environmental events. </w:t>
      </w:r>
    </w:p>
    <w:p w:rsidR="00762C9B" w:rsidRPr="001346FF" w:rsidRDefault="00762C9B" w:rsidP="00762C9B">
      <w:pPr>
        <w:spacing w:after="120"/>
        <w:rPr>
          <w:b/>
          <w:lang w:eastAsia="en-GB"/>
        </w:rPr>
      </w:pPr>
      <w:r w:rsidRPr="001346FF">
        <w:rPr>
          <w:b/>
          <w:lang w:eastAsia="en-GB"/>
        </w:rPr>
        <w:t>Implementation considerations, constraints</w:t>
      </w:r>
    </w:p>
    <w:p w:rsidR="00762C9B" w:rsidRPr="001346FF" w:rsidRDefault="00762C9B" w:rsidP="00762C9B">
      <w:pPr>
        <w:spacing w:after="120"/>
        <w:rPr>
          <w:lang w:eastAsia="en-GB"/>
        </w:rPr>
      </w:pPr>
      <w:r w:rsidRPr="001346FF">
        <w:rPr>
          <w:lang w:eastAsia="en-GB"/>
        </w:rPr>
        <w:t>Introduction of small scale grants schemes at municipal or regional administration level may be advisable. The scheme may target NGOs first of all.</w:t>
      </w:r>
    </w:p>
    <w:p w:rsidR="00762C9B" w:rsidRPr="001346FF" w:rsidRDefault="00762C9B" w:rsidP="00762C9B">
      <w:pPr>
        <w:spacing w:after="120"/>
        <w:ind w:right="-1"/>
        <w:rPr>
          <w:lang w:eastAsia="en-GB"/>
        </w:rPr>
      </w:pPr>
      <w:r w:rsidRPr="001346FF">
        <w:rPr>
          <w:lang w:eastAsia="en-GB"/>
        </w:rPr>
        <w:t>In countries, where above-discussed events are already being organized, it is relevant to talk about the popularization of such events or introduction of new ones.</w:t>
      </w:r>
    </w:p>
    <w:p w:rsidR="00762C9B" w:rsidRPr="001346FF" w:rsidRDefault="00762C9B" w:rsidP="00762C9B">
      <w:pPr>
        <w:spacing w:after="120"/>
        <w:rPr>
          <w:lang w:eastAsia="en-GB"/>
        </w:rPr>
      </w:pPr>
    </w:p>
    <w:p w:rsidR="00762C9B" w:rsidRPr="000635CE" w:rsidRDefault="00762C9B" w:rsidP="00762C9B">
      <w:pPr>
        <w:spacing w:after="120"/>
        <w:rPr>
          <w:b/>
          <w:u w:val="single"/>
          <w:lang w:eastAsia="en-GB"/>
        </w:rPr>
      </w:pPr>
      <w:r w:rsidRPr="000635CE">
        <w:rPr>
          <w:b/>
          <w:u w:val="single"/>
          <w:lang w:eastAsia="en-GB"/>
        </w:rPr>
        <w:t>Low emission zones</w:t>
      </w:r>
    </w:p>
    <w:p w:rsidR="00762C9B" w:rsidRPr="001346FF" w:rsidRDefault="00762C9B" w:rsidP="00762C9B">
      <w:pPr>
        <w:spacing w:after="120"/>
        <w:rPr>
          <w:b/>
          <w:lang w:eastAsia="en-GB"/>
        </w:rPr>
      </w:pPr>
      <w:r w:rsidRPr="001346FF">
        <w:rPr>
          <w:lang w:eastAsia="en-GB"/>
        </w:rPr>
        <w:t xml:space="preserve">Relevant to: </w:t>
      </w:r>
      <w:r w:rsidRPr="001346FF">
        <w:rPr>
          <w:b/>
          <w:lang w:eastAsia="en-GB"/>
        </w:rPr>
        <w:t>Armenia, Azerbaijan, Belarus, Georgia, Moldova</w:t>
      </w:r>
      <w:r w:rsidRPr="001346FF">
        <w:rPr>
          <w:lang w:eastAsia="en-GB"/>
        </w:rPr>
        <w:t xml:space="preserve">, </w:t>
      </w:r>
      <w:r w:rsidRPr="001346FF">
        <w:rPr>
          <w:b/>
          <w:lang w:eastAsia="en-GB"/>
        </w:rPr>
        <w:t xml:space="preserve">Russian Federation, </w:t>
      </w:r>
      <w:proofErr w:type="gramStart"/>
      <w:r w:rsidRPr="001346FF">
        <w:rPr>
          <w:b/>
          <w:lang w:eastAsia="en-GB"/>
        </w:rPr>
        <w:t>Ukraine</w:t>
      </w:r>
      <w:proofErr w:type="gramEnd"/>
    </w:p>
    <w:p w:rsidR="00762C9B" w:rsidRPr="001346FF" w:rsidRDefault="00762C9B" w:rsidP="00762C9B">
      <w:pPr>
        <w:spacing w:after="120"/>
        <w:rPr>
          <w:lang w:eastAsia="en-GB"/>
        </w:rPr>
      </w:pPr>
      <w:r w:rsidRPr="001346FF">
        <w:rPr>
          <w:lang w:eastAsia="en-GB"/>
        </w:rPr>
        <w:t xml:space="preserve">Designation of low emissions zones is becoming more and more common practice all over the world, as it is considered to be an effective way to reduce emissions of air pollutants in particular areas </w:t>
      </w:r>
      <w:r w:rsidRPr="001346FF">
        <w:rPr>
          <w:sz w:val="22"/>
        </w:rPr>
        <w:t>(usually - part of the city or even the whole city)</w:t>
      </w:r>
      <w:r w:rsidRPr="001346FF">
        <w:rPr>
          <w:lang w:eastAsia="en-GB"/>
        </w:rPr>
        <w:t>. “Low Emission Zones (LEZs) are areas or roads where the most polluting vehicles are restricted from entering. This means that vehicles are banned, or in some cases charged, if they enter the LEZ when their emissions are over a set level”.</w:t>
      </w:r>
      <w:r w:rsidRPr="001346FF">
        <w:rPr>
          <w:rStyle w:val="FootnoteReference"/>
          <w:lang w:eastAsia="en-GB"/>
        </w:rPr>
        <w:footnoteReference w:id="88"/>
      </w:r>
      <w:r w:rsidRPr="001346FF">
        <w:rPr>
          <w:lang w:eastAsia="en-GB"/>
        </w:rPr>
        <w:t xml:space="preserve"> In the EU the LEZs are mostly tied to the vehicles’ emission standard – “Euro class”</w:t>
      </w:r>
      <w:r w:rsidRPr="001346FF">
        <w:rPr>
          <w:rStyle w:val="FootnoteReference"/>
          <w:lang w:eastAsia="en-GB"/>
        </w:rPr>
        <w:footnoteReference w:id="89"/>
      </w:r>
      <w:r w:rsidRPr="001346FF">
        <w:rPr>
          <w:lang w:eastAsia="en-GB"/>
        </w:rPr>
        <w:t>.</w:t>
      </w:r>
    </w:p>
    <w:p w:rsidR="00762C9B" w:rsidRPr="001346FF" w:rsidRDefault="00762C9B" w:rsidP="00762C9B">
      <w:pPr>
        <w:spacing w:after="120"/>
        <w:rPr>
          <w:lang w:eastAsia="en-GB"/>
        </w:rPr>
      </w:pPr>
      <w:r w:rsidRPr="001346FF">
        <w:rPr>
          <w:lang w:eastAsia="en-GB"/>
        </w:rPr>
        <w:t xml:space="preserve">It is also important to mention that there are various types of LEZs and a number of possibilities in terms of enforcement and administration. LEZs can operate on the basis if stickers (well-known example is Germany), automatic number plate recognition, manual checks, toll gates etc. Also, as it was already mentioned in the paragraph above, LEZs can either be charge-based or emission-class based. In the case of the latter, the most polluting vehicles (which can be chosen by the municipality at issue) are prohibited from entering the LEZ. Yet in the case of charge-based LEZ, polluting vehicles can enter, but they have to pay high entry charges, which serves as a deterrent. </w:t>
      </w:r>
    </w:p>
    <w:p w:rsidR="00762C9B" w:rsidRPr="001346FF" w:rsidRDefault="00762C9B" w:rsidP="00762C9B">
      <w:pPr>
        <w:spacing w:after="120"/>
        <w:rPr>
          <w:b/>
          <w:lang w:eastAsia="en-GB"/>
        </w:rPr>
      </w:pPr>
      <w:r w:rsidRPr="001346FF">
        <w:rPr>
          <w:b/>
          <w:lang w:eastAsia="en-GB"/>
        </w:rPr>
        <w:t>Implementation considerations, constraints</w:t>
      </w:r>
    </w:p>
    <w:p w:rsidR="00762C9B" w:rsidRPr="001346FF" w:rsidRDefault="00762C9B" w:rsidP="00762C9B">
      <w:pPr>
        <w:spacing w:after="120"/>
        <w:rPr>
          <w:lang w:eastAsia="en-GB"/>
        </w:rPr>
      </w:pPr>
      <w:r w:rsidRPr="001346FF">
        <w:rPr>
          <w:lang w:eastAsia="en-GB"/>
        </w:rPr>
        <w:t xml:space="preserve">Taking into consideration that the emission levels of vehicles are oftentimes correlated with the year of production and type of fuel, prohibition of entry or higher entry charges for old vehicles will serve as a stimulating tool to shift towards cleaner vehicles. Before introduction of LEZ, it is </w:t>
      </w:r>
      <w:r w:rsidRPr="001346FF">
        <w:rPr>
          <w:lang w:eastAsia="en-GB"/>
        </w:rPr>
        <w:lastRenderedPageBreak/>
        <w:t>important to undertake an assessment, in order to determine if it is feasible to set a LEZ, as it might impose burden on certain social classes and businesses. Therefore it is particularly important to determine if LEZ is a good solution, and, if it is – what type of LEZ to introduce, what exceptions to apply and how it will impact the local businesses and society. In addition it has to be kept in mind that if the decision to introduce LEZ has been made, the fiscal system has to support the purchase of new, cleaner vehicles, for example, by lowering tax for new cars/cleaner cars in order to avoid conflicting policies.</w:t>
      </w:r>
    </w:p>
    <w:p w:rsidR="00762C9B" w:rsidRPr="001346FF" w:rsidRDefault="00762C9B" w:rsidP="00762C9B">
      <w:pPr>
        <w:spacing w:after="120"/>
        <w:rPr>
          <w:lang w:eastAsia="en-GB"/>
        </w:rPr>
      </w:pPr>
    </w:p>
    <w:p w:rsidR="00762C9B" w:rsidRPr="000635CE" w:rsidRDefault="00762C9B" w:rsidP="00762C9B">
      <w:pPr>
        <w:spacing w:after="120"/>
        <w:rPr>
          <w:b/>
          <w:u w:val="single"/>
          <w:lang w:eastAsia="en-GB"/>
        </w:rPr>
      </w:pPr>
      <w:r w:rsidRPr="000635CE">
        <w:rPr>
          <w:b/>
          <w:u w:val="single"/>
          <w:lang w:eastAsia="en-GB"/>
        </w:rPr>
        <w:t>Financial aid to households</w:t>
      </w:r>
    </w:p>
    <w:p w:rsidR="00762C9B" w:rsidRPr="001346FF" w:rsidRDefault="00762C9B" w:rsidP="00762C9B">
      <w:pPr>
        <w:spacing w:after="120"/>
        <w:rPr>
          <w:b/>
          <w:lang w:eastAsia="en-GB"/>
        </w:rPr>
      </w:pPr>
      <w:r w:rsidRPr="001346FF">
        <w:rPr>
          <w:lang w:eastAsia="en-GB"/>
        </w:rPr>
        <w:t xml:space="preserve">Relevant to: </w:t>
      </w:r>
      <w:r w:rsidRPr="001346FF">
        <w:rPr>
          <w:b/>
          <w:lang w:eastAsia="en-GB"/>
        </w:rPr>
        <w:t>Armenia, Azerbaijan, Belarus, Georgia, Moldova</w:t>
      </w:r>
      <w:r w:rsidRPr="001346FF">
        <w:rPr>
          <w:lang w:eastAsia="en-GB"/>
        </w:rPr>
        <w:t xml:space="preserve">, </w:t>
      </w:r>
      <w:r w:rsidRPr="001346FF">
        <w:rPr>
          <w:b/>
          <w:lang w:eastAsia="en-GB"/>
        </w:rPr>
        <w:t xml:space="preserve">Russian Federation, </w:t>
      </w:r>
      <w:proofErr w:type="gramStart"/>
      <w:r w:rsidRPr="001346FF">
        <w:rPr>
          <w:b/>
          <w:lang w:eastAsia="en-GB"/>
        </w:rPr>
        <w:t>Ukraine</w:t>
      </w:r>
      <w:proofErr w:type="gramEnd"/>
    </w:p>
    <w:p w:rsidR="00762C9B" w:rsidRPr="001346FF" w:rsidRDefault="00762C9B" w:rsidP="00762C9B">
      <w:pPr>
        <w:spacing w:after="120"/>
        <w:rPr>
          <w:lang w:eastAsia="en-GB"/>
        </w:rPr>
      </w:pPr>
      <w:r w:rsidRPr="001346FF">
        <w:rPr>
          <w:lang w:eastAsia="en-GB"/>
        </w:rPr>
        <w:t xml:space="preserve">As it was already discussed in case of support for businesses, also private households can get financial support for realization of certain environmental protection related projects. The most representative example in such respect, which is being practiced in many countries, is provision of financial aid for energy efficiency projects in residential sector. </w:t>
      </w:r>
    </w:p>
    <w:p w:rsidR="00762C9B" w:rsidRPr="001346FF" w:rsidRDefault="00762C9B" w:rsidP="00762C9B">
      <w:pPr>
        <w:spacing w:after="120"/>
        <w:rPr>
          <w:lang w:eastAsia="en-GB"/>
        </w:rPr>
      </w:pPr>
      <w:r w:rsidRPr="001346FF">
        <w:rPr>
          <w:lang w:eastAsia="en-GB"/>
        </w:rPr>
        <w:t>Residential sector is responsible for a rather considerable part of CO</w:t>
      </w:r>
      <w:r w:rsidRPr="001346FF">
        <w:rPr>
          <w:vertAlign w:val="subscript"/>
          <w:lang w:eastAsia="en-GB"/>
        </w:rPr>
        <w:t>2</w:t>
      </w:r>
      <w:r w:rsidRPr="001346FF">
        <w:rPr>
          <w:lang w:eastAsia="en-GB"/>
        </w:rPr>
        <w:t xml:space="preserve"> emissions; therefore one of the ways to minimize the emissions from heating is by implementing energy efficiency projects. Few of the possible solutions are to ensure appropriate insulation of houses or install energy-efficient appliances, which might be a costly activity.</w:t>
      </w:r>
    </w:p>
    <w:p w:rsidR="00762C9B" w:rsidRPr="001346FF" w:rsidRDefault="00762C9B" w:rsidP="00762C9B">
      <w:pPr>
        <w:spacing w:after="120"/>
        <w:rPr>
          <w:b/>
          <w:lang w:eastAsia="en-GB"/>
        </w:rPr>
      </w:pPr>
      <w:r w:rsidRPr="001346FF">
        <w:rPr>
          <w:b/>
          <w:lang w:eastAsia="en-GB"/>
        </w:rPr>
        <w:t>Implementation considerations, constraints</w:t>
      </w:r>
    </w:p>
    <w:p w:rsidR="00762C9B" w:rsidRPr="001346FF" w:rsidRDefault="00762C9B" w:rsidP="00762C9B">
      <w:pPr>
        <w:spacing w:after="120"/>
        <w:rPr>
          <w:lang w:eastAsia="en-GB"/>
        </w:rPr>
      </w:pPr>
      <w:r w:rsidRPr="001346FF">
        <w:rPr>
          <w:lang w:eastAsia="en-GB"/>
        </w:rPr>
        <w:t xml:space="preserve">Financial aid measures may vary – depending on the economic situation and budget, it is possible to either partially or even fully finance energy efficiency projects or provide zero-interest loans. Such activities are usually carried out on the basis of competition, as the budget is limited. Oftentimes the priority is given and/or more lenient conditions apply to low income households. The budget for such measures can be acquired through various means, as it has already been mentioned in the section on incentives for business target groups. The sources may include </w:t>
      </w:r>
      <w:r w:rsidRPr="001346FF">
        <w:rPr>
          <w:i/>
          <w:lang w:eastAsia="en-GB"/>
        </w:rPr>
        <w:t>inter alia</w:t>
      </w:r>
      <w:r w:rsidRPr="001346FF">
        <w:rPr>
          <w:lang w:eastAsia="en-GB"/>
        </w:rPr>
        <w:t xml:space="preserve"> participation in emission trading, charges and fines for environmental pollution and natural resource tax etc. </w:t>
      </w:r>
    </w:p>
    <w:p w:rsidR="00762C9B" w:rsidRPr="001346FF" w:rsidRDefault="00762C9B" w:rsidP="00762C9B">
      <w:pPr>
        <w:spacing w:after="120"/>
        <w:rPr>
          <w:lang w:eastAsia="en-GB"/>
        </w:rPr>
      </w:pPr>
      <w:r w:rsidRPr="001346FF">
        <w:rPr>
          <w:lang w:eastAsia="en-GB"/>
        </w:rPr>
        <w:t>At program design stage the main challenge is to keep the scheme as simple as possible (eligibility of applicants, eligibility of activities and costs, application procedures, reporting, evaluation criteria, etc.).</w:t>
      </w:r>
    </w:p>
    <w:p w:rsidR="00762C9B" w:rsidRPr="001346FF" w:rsidRDefault="00762C9B" w:rsidP="00762C9B">
      <w:pPr>
        <w:spacing w:after="120"/>
        <w:rPr>
          <w:lang w:eastAsia="en-GB"/>
        </w:rPr>
      </w:pPr>
      <w:r w:rsidRPr="001346FF">
        <w:rPr>
          <w:lang w:eastAsia="en-GB"/>
        </w:rPr>
        <w:t xml:space="preserve">At program implementation stage the process shall be supported with extensive information campaigns and events both on environmental targets of the scheme and practical project implementation and reporting. Furthermore, even before starting the program design it is advisable to prepare a practical handbook of energy efficiency, sustainable construction, and renewable energy to improve awareness of the public and to train the public. </w:t>
      </w:r>
    </w:p>
    <w:p w:rsidR="00762C9B" w:rsidRPr="001346FF" w:rsidRDefault="00762C9B" w:rsidP="00762C9B">
      <w:pPr>
        <w:spacing w:after="120"/>
        <w:rPr>
          <w:lang w:eastAsia="en-GB"/>
        </w:rPr>
      </w:pPr>
      <w:r w:rsidRPr="001346FF">
        <w:rPr>
          <w:lang w:eastAsia="en-GB"/>
        </w:rPr>
        <w:t xml:space="preserve">Last but not least, implementation of such a programme will require extensive monitoring. </w:t>
      </w:r>
    </w:p>
    <w:p w:rsidR="00762C9B" w:rsidRPr="001346FF" w:rsidRDefault="00762C9B" w:rsidP="00762C9B">
      <w:pPr>
        <w:spacing w:after="120"/>
        <w:rPr>
          <w:lang w:eastAsia="en-GB"/>
        </w:rPr>
      </w:pPr>
    </w:p>
    <w:p w:rsidR="00762C9B" w:rsidRPr="000635CE" w:rsidRDefault="00762C9B" w:rsidP="00762C9B">
      <w:pPr>
        <w:spacing w:after="120"/>
        <w:rPr>
          <w:b/>
          <w:u w:val="single"/>
          <w:lang w:eastAsia="en-GB"/>
        </w:rPr>
      </w:pPr>
      <w:r w:rsidRPr="000635CE">
        <w:rPr>
          <w:b/>
          <w:u w:val="single"/>
          <w:lang w:eastAsia="en-GB"/>
        </w:rPr>
        <w:t>Green mobility supporting infrastructure</w:t>
      </w:r>
    </w:p>
    <w:p w:rsidR="00762C9B" w:rsidRPr="001346FF" w:rsidRDefault="00762C9B" w:rsidP="00762C9B">
      <w:pPr>
        <w:spacing w:after="120"/>
        <w:rPr>
          <w:b/>
          <w:lang w:eastAsia="en-GB"/>
        </w:rPr>
      </w:pPr>
      <w:r w:rsidRPr="001346FF">
        <w:rPr>
          <w:lang w:eastAsia="en-GB"/>
        </w:rPr>
        <w:t xml:space="preserve">Relevant to: </w:t>
      </w:r>
      <w:r w:rsidRPr="001346FF">
        <w:rPr>
          <w:b/>
          <w:lang w:eastAsia="en-GB"/>
        </w:rPr>
        <w:t>Armenia, Azerbaijan, Belarus, Georgia, Moldova</w:t>
      </w:r>
      <w:r w:rsidRPr="001346FF">
        <w:rPr>
          <w:lang w:eastAsia="en-GB"/>
        </w:rPr>
        <w:t xml:space="preserve">, </w:t>
      </w:r>
      <w:r w:rsidRPr="001346FF">
        <w:rPr>
          <w:b/>
          <w:lang w:eastAsia="en-GB"/>
        </w:rPr>
        <w:t xml:space="preserve">Russian Federation, </w:t>
      </w:r>
      <w:proofErr w:type="gramStart"/>
      <w:r w:rsidRPr="001346FF">
        <w:rPr>
          <w:b/>
          <w:lang w:eastAsia="en-GB"/>
        </w:rPr>
        <w:t>Ukraine</w:t>
      </w:r>
      <w:proofErr w:type="gramEnd"/>
    </w:p>
    <w:p w:rsidR="00762C9B" w:rsidRPr="001346FF" w:rsidRDefault="00762C9B" w:rsidP="00762C9B">
      <w:pPr>
        <w:spacing w:after="120"/>
        <w:rPr>
          <w:lang w:eastAsia="en-GB"/>
        </w:rPr>
      </w:pPr>
      <w:r w:rsidRPr="001346FF">
        <w:rPr>
          <w:lang w:eastAsia="en-GB"/>
        </w:rPr>
        <w:t xml:space="preserve">Shift to alternative and more environment friendly means of transport can be also stimulated by development of appropriate infrastructure, for example, expanding network of bike paths, providing bike rental services/stands, developing network of public transport, introducing Park </w:t>
      </w:r>
      <w:r w:rsidRPr="001346FF">
        <w:rPr>
          <w:lang w:eastAsia="en-GB"/>
        </w:rPr>
        <w:lastRenderedPageBreak/>
        <w:t>and Ride</w:t>
      </w:r>
      <w:r w:rsidRPr="001346FF">
        <w:rPr>
          <w:rStyle w:val="FootnoteReference"/>
          <w:lang w:eastAsia="en-GB"/>
        </w:rPr>
        <w:footnoteReference w:id="90"/>
      </w:r>
      <w:r w:rsidRPr="001346FF">
        <w:rPr>
          <w:lang w:eastAsia="en-GB"/>
        </w:rPr>
        <w:t xml:space="preserve">  or Kiss and Ride</w:t>
      </w:r>
      <w:r w:rsidRPr="001346FF">
        <w:rPr>
          <w:rStyle w:val="FootnoteReference"/>
          <w:lang w:eastAsia="en-GB"/>
        </w:rPr>
        <w:footnoteReference w:id="91"/>
      </w:r>
      <w:r w:rsidRPr="001346FF">
        <w:rPr>
          <w:lang w:eastAsia="en-GB"/>
        </w:rPr>
        <w:t xml:space="preserve"> systems (see Figures 7 and 8). The implementation of such measures can be carried out, as it has already been described, in the framework of particular “green” events, or as a separate initiative. </w:t>
      </w:r>
    </w:p>
    <w:tbl>
      <w:tblPr>
        <w:tblW w:w="0" w:type="auto"/>
        <w:tblLook w:val="04A0" w:firstRow="1" w:lastRow="0" w:firstColumn="1" w:lastColumn="0" w:noHBand="0" w:noVBand="1"/>
      </w:tblPr>
      <w:tblGrid>
        <w:gridCol w:w="4746"/>
        <w:gridCol w:w="4541"/>
      </w:tblGrid>
      <w:tr w:rsidR="00762C9B" w:rsidRPr="001346FF" w:rsidTr="001346FF">
        <w:tc>
          <w:tcPr>
            <w:tcW w:w="4746" w:type="dxa"/>
            <w:shd w:val="clear" w:color="auto" w:fill="auto"/>
          </w:tcPr>
          <w:p w:rsidR="00762C9B" w:rsidRPr="001346FF" w:rsidRDefault="00E06DC4" w:rsidP="001346FF">
            <w:pPr>
              <w:spacing w:after="120"/>
              <w:rPr>
                <w:lang w:eastAsia="en-GB"/>
              </w:rPr>
            </w:pPr>
            <w:r>
              <w:rPr>
                <w:noProof/>
                <w:lang w:eastAsia="en-GB"/>
              </w:rPr>
              <w:drawing>
                <wp:inline distT="0" distB="0" distL="0" distR="0">
                  <wp:extent cx="2856230" cy="1769110"/>
                  <wp:effectExtent l="19050" t="0" r="1270" b="0"/>
                  <wp:docPr id="6" name="Picture 2" descr="Description: ParkAndRideSignOxford20050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arkAndRideSignOxford20050910.jpg"/>
                          <pic:cNvPicPr>
                            <a:picLocks noChangeAspect="1" noChangeArrowheads="1"/>
                          </pic:cNvPicPr>
                        </pic:nvPicPr>
                        <pic:blipFill>
                          <a:blip r:embed="rId21" cstate="print"/>
                          <a:srcRect/>
                          <a:stretch>
                            <a:fillRect/>
                          </a:stretch>
                        </pic:blipFill>
                        <pic:spPr bwMode="auto">
                          <a:xfrm>
                            <a:off x="0" y="0"/>
                            <a:ext cx="2856230" cy="1769110"/>
                          </a:xfrm>
                          <a:prstGeom prst="rect">
                            <a:avLst/>
                          </a:prstGeom>
                          <a:noFill/>
                          <a:ln w="9525">
                            <a:noFill/>
                            <a:miter lim="800000"/>
                            <a:headEnd/>
                            <a:tailEnd/>
                          </a:ln>
                        </pic:spPr>
                      </pic:pic>
                    </a:graphicData>
                  </a:graphic>
                </wp:inline>
              </w:drawing>
            </w:r>
          </w:p>
        </w:tc>
        <w:tc>
          <w:tcPr>
            <w:tcW w:w="4541" w:type="dxa"/>
            <w:shd w:val="clear" w:color="auto" w:fill="auto"/>
          </w:tcPr>
          <w:p w:rsidR="00762C9B" w:rsidRPr="001346FF" w:rsidRDefault="00E06DC4" w:rsidP="001346FF">
            <w:pPr>
              <w:spacing w:after="120"/>
              <w:rPr>
                <w:lang w:eastAsia="en-GB"/>
              </w:rPr>
            </w:pPr>
            <w:r>
              <w:rPr>
                <w:noProof/>
                <w:lang w:eastAsia="en-GB"/>
              </w:rPr>
              <w:drawing>
                <wp:inline distT="0" distB="0" distL="0" distR="0">
                  <wp:extent cx="2345690" cy="1757680"/>
                  <wp:effectExtent l="19050" t="0" r="0" b="0"/>
                  <wp:docPr id="7" name="Picture 1" descr="Description: kiss_and_r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kiss_and_ride.jpg"/>
                          <pic:cNvPicPr>
                            <a:picLocks noChangeAspect="1" noChangeArrowheads="1"/>
                          </pic:cNvPicPr>
                        </pic:nvPicPr>
                        <pic:blipFill>
                          <a:blip r:embed="rId22" cstate="print"/>
                          <a:srcRect/>
                          <a:stretch>
                            <a:fillRect/>
                          </a:stretch>
                        </pic:blipFill>
                        <pic:spPr bwMode="auto">
                          <a:xfrm>
                            <a:off x="0" y="0"/>
                            <a:ext cx="2345690" cy="1757680"/>
                          </a:xfrm>
                          <a:prstGeom prst="rect">
                            <a:avLst/>
                          </a:prstGeom>
                          <a:noFill/>
                          <a:ln w="9525">
                            <a:noFill/>
                            <a:miter lim="800000"/>
                            <a:headEnd/>
                            <a:tailEnd/>
                          </a:ln>
                        </pic:spPr>
                      </pic:pic>
                    </a:graphicData>
                  </a:graphic>
                </wp:inline>
              </w:drawing>
            </w:r>
          </w:p>
        </w:tc>
      </w:tr>
      <w:tr w:rsidR="00762C9B" w:rsidRPr="001346FF" w:rsidTr="001346FF">
        <w:tc>
          <w:tcPr>
            <w:tcW w:w="4746" w:type="dxa"/>
            <w:shd w:val="clear" w:color="auto" w:fill="auto"/>
          </w:tcPr>
          <w:p w:rsidR="00762C9B" w:rsidRPr="001346FF" w:rsidRDefault="00762C9B" w:rsidP="001346FF">
            <w:pPr>
              <w:spacing w:after="120"/>
              <w:rPr>
                <w:b/>
                <w:i/>
                <w:noProof/>
                <w:lang w:eastAsia="lt-LT"/>
              </w:rPr>
            </w:pPr>
            <w:r w:rsidRPr="001346FF">
              <w:rPr>
                <w:b/>
                <w:i/>
                <w:noProof/>
                <w:lang w:eastAsia="lt-LT"/>
              </w:rPr>
              <w:t>Figure 7: The sign of Park and Ride in Oxford, UK</w:t>
            </w:r>
            <w:r w:rsidR="0005776F">
              <w:rPr>
                <w:rStyle w:val="FootnoteReference"/>
                <w:b/>
                <w:i/>
                <w:noProof/>
                <w:lang w:eastAsia="lt-LT"/>
              </w:rPr>
              <w:footnoteReference w:id="92"/>
            </w:r>
          </w:p>
        </w:tc>
        <w:tc>
          <w:tcPr>
            <w:tcW w:w="4541" w:type="dxa"/>
            <w:shd w:val="clear" w:color="auto" w:fill="auto"/>
          </w:tcPr>
          <w:p w:rsidR="00762C9B" w:rsidRPr="001346FF" w:rsidRDefault="00762C9B" w:rsidP="001346FF">
            <w:pPr>
              <w:spacing w:after="120"/>
              <w:rPr>
                <w:b/>
                <w:i/>
                <w:noProof/>
                <w:lang w:eastAsia="lt-LT"/>
              </w:rPr>
            </w:pPr>
            <w:r w:rsidRPr="001346FF">
              <w:rPr>
                <w:b/>
                <w:i/>
                <w:noProof/>
                <w:lang w:eastAsia="lt-LT"/>
              </w:rPr>
              <w:t>Figure 8: The sign of Kiss and Ride in Wiena, Austria</w:t>
            </w:r>
            <w:r w:rsidR="0005776F">
              <w:rPr>
                <w:rStyle w:val="FootnoteReference"/>
                <w:b/>
                <w:i/>
                <w:noProof/>
                <w:lang w:eastAsia="lt-LT"/>
              </w:rPr>
              <w:footnoteReference w:id="93"/>
            </w:r>
          </w:p>
        </w:tc>
      </w:tr>
    </w:tbl>
    <w:p w:rsidR="00762C9B" w:rsidRPr="001346FF" w:rsidRDefault="00762C9B" w:rsidP="00762C9B">
      <w:pPr>
        <w:spacing w:after="120"/>
        <w:rPr>
          <w:lang w:eastAsia="en-GB"/>
        </w:rPr>
      </w:pPr>
    </w:p>
    <w:p w:rsidR="00762C9B" w:rsidRPr="001346FF" w:rsidRDefault="00762C9B" w:rsidP="00762C9B">
      <w:pPr>
        <w:spacing w:after="120"/>
        <w:rPr>
          <w:lang w:eastAsia="en-GB"/>
        </w:rPr>
      </w:pPr>
      <w:r w:rsidRPr="001346FF">
        <w:rPr>
          <w:lang w:eastAsia="en-GB"/>
        </w:rPr>
        <w:t xml:space="preserve">The development of appropriate infrastructure alongside the provision of information, serves as a motivation to use alternative means of transportation, as the lack of bike paths and electro-mobiles’ charging stations makes it impossible to practice green mobility options. In addition, even higher effectiveness will be assured if infrastructure measures will be complemented with economic incentives – as provision of subsidies or zero-interest loans for acquisition of electro-mobile. </w:t>
      </w:r>
    </w:p>
    <w:p w:rsidR="00762C9B" w:rsidRPr="001346FF" w:rsidRDefault="00762C9B" w:rsidP="00762C9B">
      <w:pPr>
        <w:spacing w:after="120"/>
        <w:rPr>
          <w:lang w:eastAsia="en-GB"/>
        </w:rPr>
      </w:pPr>
      <w:r w:rsidRPr="001346FF">
        <w:rPr>
          <w:lang w:eastAsia="en-GB"/>
        </w:rPr>
        <w:t xml:space="preserve">As far as it goes to popularization of biking, introduction of 24h bike rental stations, bike sales points and repair shops, alongside development of appropriate infrastructure, will make commuting on bicycles more accessible and attractive. A sophisticated network of bike parking points also plays an important role, therefore ensuring the introduction of bike parking options near educational institutions, public buildings and city centre is recommended. </w:t>
      </w:r>
    </w:p>
    <w:p w:rsidR="00762C9B" w:rsidRPr="001346FF" w:rsidRDefault="00762C9B" w:rsidP="00762C9B">
      <w:pPr>
        <w:spacing w:after="120"/>
        <w:rPr>
          <w:lang w:eastAsia="en-GB"/>
        </w:rPr>
      </w:pPr>
      <w:r w:rsidRPr="001346FF">
        <w:rPr>
          <w:lang w:eastAsia="en-GB"/>
        </w:rPr>
        <w:t xml:space="preserve">Another element relevant for promotion of more environment friendly means of transportation is sufficiently developed public transportation network. This issue is especially topical for rather big cities, where commuting is carried out on rather big distances, therefore biking might be less attractive option for part of the commuters. In such situation a public transportation network shall provide a sophisticated coverage of the territory and in addition such services as Park and Ride, and Kiss and Ride might be introduced. </w:t>
      </w:r>
    </w:p>
    <w:p w:rsidR="00762C9B" w:rsidRPr="001346FF" w:rsidRDefault="00762C9B" w:rsidP="00762C9B">
      <w:pPr>
        <w:spacing w:after="120"/>
        <w:rPr>
          <w:lang w:eastAsia="en-GB"/>
        </w:rPr>
      </w:pPr>
      <w:r w:rsidRPr="001346FF">
        <w:rPr>
          <w:lang w:eastAsia="en-GB"/>
        </w:rPr>
        <w:t xml:space="preserve">Development of infrastructure might be a costly measure, therefore has to be planned thoroughly and taking into considerations long-term perspective, in order to avoid unnecessary expenses. </w:t>
      </w:r>
    </w:p>
    <w:p w:rsidR="00762C9B" w:rsidRPr="001346FF" w:rsidRDefault="00762C9B" w:rsidP="00D73464">
      <w:pPr>
        <w:keepNext/>
        <w:keepLines/>
        <w:spacing w:after="120"/>
        <w:rPr>
          <w:b/>
          <w:lang w:eastAsia="en-GB"/>
        </w:rPr>
      </w:pPr>
      <w:r w:rsidRPr="001346FF">
        <w:rPr>
          <w:b/>
          <w:lang w:eastAsia="en-GB"/>
        </w:rPr>
        <w:lastRenderedPageBreak/>
        <w:t>Implementation considerations, constraints</w:t>
      </w:r>
    </w:p>
    <w:p w:rsidR="00762C9B" w:rsidRPr="001346FF" w:rsidRDefault="00762C9B" w:rsidP="00D73464">
      <w:pPr>
        <w:keepNext/>
        <w:keepLines/>
        <w:spacing w:after="120"/>
        <w:rPr>
          <w:lang w:eastAsia="en-GB"/>
        </w:rPr>
      </w:pPr>
      <w:r w:rsidRPr="001346FF">
        <w:rPr>
          <w:lang w:eastAsia="en-GB"/>
        </w:rPr>
        <w:t>The implementation of this recommendation will require extensive transport and spatial planning and infrastructure design tasks before investments take effect. First of all the introduction of green mobility supporting infrastructure will require ambitious system improvement. However, some of these elements may be introduced with success as a pilot projects.</w:t>
      </w:r>
    </w:p>
    <w:p w:rsidR="00762C9B" w:rsidRPr="001346FF" w:rsidRDefault="00762C9B" w:rsidP="00762C9B">
      <w:pPr>
        <w:spacing w:after="120"/>
        <w:rPr>
          <w:lang w:eastAsia="en-GB"/>
        </w:rPr>
      </w:pPr>
      <w:r w:rsidRPr="001346FF">
        <w:rPr>
          <w:lang w:eastAsia="en-GB"/>
        </w:rPr>
        <w:t>Therefore some key policy areas to support green mobility:</w:t>
      </w:r>
    </w:p>
    <w:p w:rsidR="00762C9B" w:rsidRPr="001346FF" w:rsidRDefault="00762C9B" w:rsidP="005116EE">
      <w:pPr>
        <w:pStyle w:val="ListParagraph"/>
        <w:numPr>
          <w:ilvl w:val="0"/>
          <w:numId w:val="39"/>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Introduction / improvement of higher education programmes of transport planning, transport economy, transport infrastructure design and engineering, spatial planning;</w:t>
      </w:r>
    </w:p>
    <w:p w:rsidR="00762C9B" w:rsidRPr="001346FF" w:rsidRDefault="00762C9B" w:rsidP="005116EE">
      <w:pPr>
        <w:pStyle w:val="ListParagraph"/>
        <w:numPr>
          <w:ilvl w:val="0"/>
          <w:numId w:val="39"/>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Improvement of transport infrastructure planning and design standards and guidelines;</w:t>
      </w:r>
    </w:p>
    <w:p w:rsidR="00762C9B" w:rsidRPr="001346FF" w:rsidRDefault="00762C9B" w:rsidP="005116EE">
      <w:pPr>
        <w:pStyle w:val="ListParagraph"/>
        <w:numPr>
          <w:ilvl w:val="0"/>
          <w:numId w:val="39"/>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Training of practitioners – transport planners, urban designers, spatial planners, transport infrastructure engineers;</w:t>
      </w:r>
    </w:p>
    <w:p w:rsidR="00762C9B" w:rsidRPr="001346FF" w:rsidRDefault="00762C9B" w:rsidP="005116EE">
      <w:pPr>
        <w:pStyle w:val="ListParagraph"/>
        <w:numPr>
          <w:ilvl w:val="0"/>
          <w:numId w:val="39"/>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Development of urban and regional mobility plans;</w:t>
      </w:r>
    </w:p>
    <w:p w:rsidR="00762C9B" w:rsidRPr="001346FF" w:rsidRDefault="00762C9B" w:rsidP="005116EE">
      <w:pPr>
        <w:pStyle w:val="ListParagraph"/>
        <w:numPr>
          <w:ilvl w:val="0"/>
          <w:numId w:val="39"/>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Implementation of pilot projects and development of guides and handbooks;</w:t>
      </w:r>
    </w:p>
    <w:p w:rsidR="00762C9B" w:rsidRPr="001346FF" w:rsidRDefault="00762C9B" w:rsidP="005116EE">
      <w:pPr>
        <w:pStyle w:val="ListParagraph"/>
        <w:numPr>
          <w:ilvl w:val="0"/>
          <w:numId w:val="39"/>
        </w:numPr>
        <w:spacing w:after="120" w:line="240" w:lineRule="auto"/>
        <w:rPr>
          <w:rFonts w:ascii="Arial" w:hAnsi="Arial" w:cs="Arial"/>
          <w:sz w:val="21"/>
          <w:szCs w:val="21"/>
          <w:lang w:val="en-GB" w:eastAsia="en-GB"/>
        </w:rPr>
      </w:pPr>
      <w:r w:rsidRPr="001346FF">
        <w:rPr>
          <w:rFonts w:ascii="Arial" w:hAnsi="Arial" w:cs="Arial"/>
          <w:sz w:val="21"/>
          <w:szCs w:val="21"/>
          <w:lang w:val="en-GB" w:eastAsia="en-GB"/>
        </w:rPr>
        <w:t>Development of national and local green mobility strategies.</w:t>
      </w:r>
    </w:p>
    <w:p w:rsidR="00762C9B" w:rsidRPr="001346FF" w:rsidRDefault="00762C9B" w:rsidP="00762C9B">
      <w:pPr>
        <w:spacing w:after="120"/>
        <w:ind w:left="360"/>
        <w:rPr>
          <w:highlight w:val="yellow"/>
          <w:lang w:eastAsia="en-GB"/>
        </w:rPr>
      </w:pPr>
    </w:p>
    <w:p w:rsidR="00762C9B" w:rsidRPr="000635CE" w:rsidRDefault="00762C9B" w:rsidP="00762C9B">
      <w:pPr>
        <w:spacing w:after="120"/>
        <w:rPr>
          <w:b/>
          <w:u w:val="single"/>
          <w:lang w:eastAsia="en-GB"/>
        </w:rPr>
      </w:pPr>
      <w:r w:rsidRPr="000635CE">
        <w:rPr>
          <w:b/>
          <w:u w:val="single"/>
          <w:lang w:eastAsia="en-GB"/>
        </w:rPr>
        <w:t>Popularization of “</w:t>
      </w:r>
      <w:proofErr w:type="spellStart"/>
      <w:r w:rsidRPr="000635CE">
        <w:rPr>
          <w:b/>
          <w:u w:val="single"/>
          <w:lang w:eastAsia="en-GB"/>
        </w:rPr>
        <w:t>ecodriving</w:t>
      </w:r>
      <w:proofErr w:type="spellEnd"/>
      <w:r w:rsidRPr="000635CE">
        <w:rPr>
          <w:b/>
          <w:u w:val="single"/>
          <w:lang w:eastAsia="en-GB"/>
        </w:rPr>
        <w:t>”</w:t>
      </w:r>
    </w:p>
    <w:p w:rsidR="00762C9B" w:rsidRPr="001346FF" w:rsidRDefault="00762C9B" w:rsidP="00762C9B">
      <w:pPr>
        <w:spacing w:after="120"/>
        <w:rPr>
          <w:b/>
          <w:lang w:eastAsia="en-GB"/>
        </w:rPr>
      </w:pPr>
      <w:r w:rsidRPr="001346FF">
        <w:rPr>
          <w:lang w:eastAsia="en-GB"/>
        </w:rPr>
        <w:t xml:space="preserve">Relevant to: </w:t>
      </w:r>
      <w:r w:rsidRPr="001346FF">
        <w:rPr>
          <w:b/>
          <w:lang w:eastAsia="en-GB"/>
        </w:rPr>
        <w:t>Armenia, Azerbaijan, Belarus, Georgia, Moldova</w:t>
      </w:r>
      <w:r w:rsidRPr="001346FF">
        <w:rPr>
          <w:lang w:eastAsia="en-GB"/>
        </w:rPr>
        <w:t xml:space="preserve">, </w:t>
      </w:r>
      <w:r w:rsidRPr="001346FF">
        <w:rPr>
          <w:b/>
          <w:lang w:eastAsia="en-GB"/>
        </w:rPr>
        <w:t xml:space="preserve">Russian Federation, </w:t>
      </w:r>
      <w:proofErr w:type="gramStart"/>
      <w:r w:rsidRPr="001346FF">
        <w:rPr>
          <w:b/>
          <w:lang w:eastAsia="en-GB"/>
        </w:rPr>
        <w:t>Ukraine</w:t>
      </w:r>
      <w:proofErr w:type="gramEnd"/>
    </w:p>
    <w:p w:rsidR="00762C9B" w:rsidRPr="001346FF" w:rsidRDefault="00762C9B" w:rsidP="00762C9B">
      <w:pPr>
        <w:spacing w:after="120"/>
        <w:rPr>
          <w:lang w:eastAsia="en-GB"/>
        </w:rPr>
      </w:pPr>
      <w:r w:rsidRPr="001346FF">
        <w:rPr>
          <w:lang w:eastAsia="en-GB"/>
        </w:rPr>
        <w:t>Practicing of “</w:t>
      </w:r>
      <w:proofErr w:type="spellStart"/>
      <w:r w:rsidRPr="001346FF">
        <w:rPr>
          <w:lang w:eastAsia="en-GB"/>
        </w:rPr>
        <w:t>ecodriving</w:t>
      </w:r>
      <w:proofErr w:type="spellEnd"/>
      <w:r w:rsidRPr="001346FF">
        <w:rPr>
          <w:lang w:eastAsia="en-GB"/>
        </w:rPr>
        <w:t>” or fuel efficient driving style may cause significant reductions in vehicle-emitted greenhouse gases volumes. For example, in the case of the EU according to the results of the research, the maximum realistic mitigation potential of such behavioural change amounts to 47 Mt CO</w:t>
      </w:r>
      <w:r w:rsidRPr="001346FF">
        <w:rPr>
          <w:vertAlign w:val="subscript"/>
          <w:lang w:eastAsia="en-GB"/>
        </w:rPr>
        <w:t>2</w:t>
      </w:r>
      <w:r w:rsidRPr="001346FF">
        <w:rPr>
          <w:lang w:eastAsia="en-GB"/>
        </w:rPr>
        <w:t xml:space="preserve"> eq. emissions reduction by 2020 (relative to PRIMES/GAINS EU-27 reference scenario projections).</w:t>
      </w:r>
      <w:r w:rsidRPr="001346FF">
        <w:rPr>
          <w:rStyle w:val="FootnoteReference"/>
          <w:lang w:eastAsia="en-GB"/>
        </w:rPr>
        <w:footnoteReference w:id="94"/>
      </w:r>
      <w:r w:rsidRPr="001346FF">
        <w:rPr>
          <w:lang w:eastAsia="en-GB"/>
        </w:rPr>
        <w:t xml:space="preserve"> According to the cited research “the potential of applying a fuel efficient driving style is projected to decrease over time due to the deployment of advanced vehicle technologies, which automate eco-driving techniques”</w:t>
      </w:r>
      <w:r w:rsidRPr="001346FF">
        <w:rPr>
          <w:rStyle w:val="FootnoteReference"/>
          <w:lang w:eastAsia="en-GB"/>
        </w:rPr>
        <w:footnoteReference w:id="95"/>
      </w:r>
      <w:r w:rsidRPr="001346FF">
        <w:rPr>
          <w:lang w:eastAsia="en-GB"/>
        </w:rPr>
        <w:t>. Though it has to be mentioned that the study observes the scenario of the EU – the development patterns in Partner Countries may vary, therefore the mitigation potential might show different trends.</w:t>
      </w:r>
    </w:p>
    <w:p w:rsidR="00762C9B" w:rsidRPr="001346FF" w:rsidRDefault="00762C9B" w:rsidP="00762C9B">
      <w:pPr>
        <w:spacing w:after="120"/>
        <w:rPr>
          <w:lang w:eastAsia="en-GB"/>
        </w:rPr>
      </w:pPr>
      <w:r w:rsidRPr="001346FF">
        <w:rPr>
          <w:lang w:eastAsia="en-GB"/>
        </w:rPr>
        <w:t xml:space="preserve">Even though </w:t>
      </w:r>
      <w:proofErr w:type="spellStart"/>
      <w:r w:rsidRPr="001346FF">
        <w:rPr>
          <w:lang w:eastAsia="en-GB"/>
        </w:rPr>
        <w:t>ecodriving</w:t>
      </w:r>
      <w:proofErr w:type="spellEnd"/>
      <w:r w:rsidRPr="001346FF">
        <w:rPr>
          <w:lang w:eastAsia="en-GB"/>
        </w:rPr>
        <w:t xml:space="preserve"> tips can be found in various internet sources, drivers not always show own initiative to research such topics. Therefore inclusion of </w:t>
      </w:r>
      <w:proofErr w:type="spellStart"/>
      <w:r w:rsidRPr="001346FF">
        <w:rPr>
          <w:lang w:eastAsia="en-GB"/>
        </w:rPr>
        <w:t>ecodriving</w:t>
      </w:r>
      <w:proofErr w:type="spellEnd"/>
      <w:r w:rsidRPr="001346FF">
        <w:rPr>
          <w:lang w:eastAsia="en-GB"/>
        </w:rPr>
        <w:t xml:space="preserve"> lessons in the mandatory driving licence acquisition course (e.g., devoting one lesson to learning, how to drive more efficiently) can make fuel efficient driving a habit for drivers, thus increasing possibility of using such driving style on a daily basis.</w:t>
      </w:r>
    </w:p>
    <w:p w:rsidR="00762C9B" w:rsidRPr="001346FF" w:rsidRDefault="00762C9B" w:rsidP="00762C9B">
      <w:pPr>
        <w:spacing w:after="120"/>
        <w:rPr>
          <w:b/>
          <w:lang w:eastAsia="en-GB"/>
        </w:rPr>
      </w:pPr>
      <w:r w:rsidRPr="001346FF">
        <w:rPr>
          <w:b/>
          <w:lang w:eastAsia="en-GB"/>
        </w:rPr>
        <w:t>Implementation considerations, constraints</w:t>
      </w:r>
    </w:p>
    <w:p w:rsidR="00762C9B" w:rsidRPr="001346FF" w:rsidRDefault="00762C9B" w:rsidP="00762C9B">
      <w:pPr>
        <w:spacing w:after="120"/>
        <w:rPr>
          <w:lang w:eastAsia="en-GB"/>
        </w:rPr>
      </w:pPr>
      <w:r w:rsidRPr="001346FF">
        <w:rPr>
          <w:lang w:eastAsia="en-GB"/>
        </w:rPr>
        <w:t>To implement this information campaigns and events are advisable.</w:t>
      </w:r>
    </w:p>
    <w:p w:rsidR="00762C9B" w:rsidRPr="001346FF" w:rsidRDefault="00762C9B" w:rsidP="00762C9B">
      <w:pPr>
        <w:spacing w:after="120"/>
        <w:rPr>
          <w:lang w:eastAsia="en-GB"/>
        </w:rPr>
      </w:pPr>
    </w:p>
    <w:p w:rsidR="00762C9B" w:rsidRPr="000635CE" w:rsidRDefault="00762C9B" w:rsidP="00762C9B">
      <w:pPr>
        <w:spacing w:after="120"/>
        <w:rPr>
          <w:b/>
          <w:u w:val="single"/>
          <w:lang w:eastAsia="en-GB"/>
        </w:rPr>
      </w:pPr>
      <w:r w:rsidRPr="000635CE">
        <w:rPr>
          <w:b/>
          <w:u w:val="single"/>
          <w:lang w:eastAsia="en-GB"/>
        </w:rPr>
        <w:t>Impelling fiscal policy</w:t>
      </w:r>
    </w:p>
    <w:p w:rsidR="00762C9B" w:rsidRPr="001346FF" w:rsidRDefault="00762C9B" w:rsidP="00762C9B">
      <w:pPr>
        <w:spacing w:after="120"/>
        <w:rPr>
          <w:b/>
          <w:lang w:eastAsia="en-GB"/>
        </w:rPr>
      </w:pPr>
      <w:r w:rsidRPr="001346FF">
        <w:rPr>
          <w:lang w:eastAsia="en-GB"/>
        </w:rPr>
        <w:t xml:space="preserve">Relevant to: </w:t>
      </w:r>
      <w:r w:rsidRPr="001346FF">
        <w:rPr>
          <w:b/>
          <w:lang w:eastAsia="en-GB"/>
        </w:rPr>
        <w:t>Armenia, Azerbaijan, Belarus, Georgia, Moldova</w:t>
      </w:r>
      <w:r w:rsidRPr="001346FF">
        <w:rPr>
          <w:lang w:eastAsia="en-GB"/>
        </w:rPr>
        <w:t xml:space="preserve">, </w:t>
      </w:r>
      <w:r w:rsidRPr="001346FF">
        <w:rPr>
          <w:b/>
          <w:lang w:eastAsia="en-GB"/>
        </w:rPr>
        <w:t xml:space="preserve">Russian Federation, </w:t>
      </w:r>
      <w:proofErr w:type="gramStart"/>
      <w:r w:rsidRPr="001346FF">
        <w:rPr>
          <w:b/>
          <w:lang w:eastAsia="en-GB"/>
        </w:rPr>
        <w:t>Ukraine</w:t>
      </w:r>
      <w:proofErr w:type="gramEnd"/>
    </w:p>
    <w:p w:rsidR="00762C9B" w:rsidRPr="001346FF" w:rsidRDefault="00762C9B" w:rsidP="00762C9B">
      <w:pPr>
        <w:spacing w:after="120"/>
        <w:rPr>
          <w:lang w:eastAsia="en-GB"/>
        </w:rPr>
      </w:pPr>
      <w:r w:rsidRPr="001346FF">
        <w:rPr>
          <w:lang w:eastAsia="en-GB"/>
        </w:rPr>
        <w:t xml:space="preserve">One of the ways to facilitate shift towards more environment friendly consumer choices is by establishing an appropriate fiscal policy. Pro-environmental choices supporting fiscal policy is an important element in success of various other measures, which have already been discussed </w:t>
      </w:r>
      <w:r w:rsidRPr="001346FF">
        <w:rPr>
          <w:lang w:eastAsia="en-GB"/>
        </w:rPr>
        <w:lastRenderedPageBreak/>
        <w:t xml:space="preserve">above. For example, decreasing taxes for more environment friendly products and services (e.g., newer vehicles, using heat from renewable energy sources etc.) and accordingly setting the increased tax rates for more polluting products as old vehicles (some exceptions possible in case of antique vehicles), use of fossil fuels for heating/energy etc. might influence consumers’ behaviour and preferences towards more environment friendly solutions. </w:t>
      </w:r>
    </w:p>
    <w:p w:rsidR="00762C9B" w:rsidRPr="001346FF" w:rsidRDefault="00762C9B" w:rsidP="00762C9B">
      <w:pPr>
        <w:spacing w:after="120"/>
        <w:rPr>
          <w:lang w:eastAsia="en-GB"/>
        </w:rPr>
      </w:pPr>
    </w:p>
    <w:p w:rsidR="00762C9B" w:rsidRPr="000635CE" w:rsidRDefault="00762C9B" w:rsidP="00762C9B">
      <w:pPr>
        <w:spacing w:after="120"/>
        <w:rPr>
          <w:b/>
          <w:u w:val="single"/>
          <w:lang w:eastAsia="en-GB"/>
        </w:rPr>
      </w:pPr>
      <w:r w:rsidRPr="000635CE">
        <w:rPr>
          <w:b/>
          <w:u w:val="single"/>
          <w:lang w:eastAsia="en-GB"/>
        </w:rPr>
        <w:t>Promotion of healthy diet and local food</w:t>
      </w:r>
    </w:p>
    <w:p w:rsidR="00762C9B" w:rsidRPr="001346FF" w:rsidRDefault="00762C9B" w:rsidP="00762C9B">
      <w:pPr>
        <w:spacing w:after="120"/>
        <w:rPr>
          <w:b/>
          <w:lang w:eastAsia="en-GB"/>
        </w:rPr>
      </w:pPr>
      <w:r w:rsidRPr="001346FF">
        <w:rPr>
          <w:lang w:eastAsia="en-GB"/>
        </w:rPr>
        <w:t xml:space="preserve">Relevant to: </w:t>
      </w:r>
      <w:r w:rsidRPr="001346FF">
        <w:rPr>
          <w:b/>
          <w:lang w:eastAsia="en-GB"/>
        </w:rPr>
        <w:t>Armenia, Azerbaijan, Belarus, Georgia, Moldova</w:t>
      </w:r>
      <w:r w:rsidRPr="001346FF">
        <w:rPr>
          <w:lang w:eastAsia="en-GB"/>
        </w:rPr>
        <w:t xml:space="preserve">, </w:t>
      </w:r>
      <w:r w:rsidRPr="001346FF">
        <w:rPr>
          <w:b/>
          <w:lang w:eastAsia="en-GB"/>
        </w:rPr>
        <w:t xml:space="preserve">Russian Federation, </w:t>
      </w:r>
      <w:proofErr w:type="gramStart"/>
      <w:r w:rsidRPr="001346FF">
        <w:rPr>
          <w:b/>
          <w:lang w:eastAsia="en-GB"/>
        </w:rPr>
        <w:t>Ukraine</w:t>
      </w:r>
      <w:proofErr w:type="gramEnd"/>
    </w:p>
    <w:p w:rsidR="00762C9B" w:rsidRPr="001346FF" w:rsidRDefault="00762C9B" w:rsidP="00762C9B">
      <w:pPr>
        <w:spacing w:after="120"/>
        <w:rPr>
          <w:lang w:eastAsia="en-GB"/>
        </w:rPr>
      </w:pPr>
      <w:r w:rsidRPr="001346FF">
        <w:rPr>
          <w:lang w:eastAsia="en-GB"/>
        </w:rPr>
        <w:t>It has been widely acknowledged that food consumption patterns can significantly influence the emissions, especially GHG emissions, as agriculture is responsible for considerable emission volumes. Therefore such behavioural changes as shift to a healthy diet, which is described by intake of a maximum of 2,500 calories a day, and eating 500 g of fruit and vegetables,</w:t>
      </w:r>
      <w:r w:rsidRPr="001346FF">
        <w:rPr>
          <w:rStyle w:val="FootnoteReference"/>
          <w:lang w:eastAsia="en-GB"/>
        </w:rPr>
        <w:footnoteReference w:id="96"/>
      </w:r>
      <w:r w:rsidRPr="001346FF">
        <w:rPr>
          <w:lang w:eastAsia="en-GB"/>
        </w:rPr>
        <w:t xml:space="preserve"> vegetarian diet, as well as choice of locally grown/produced food may have a considerable positive environmental impact.</w:t>
      </w:r>
    </w:p>
    <w:p w:rsidR="00762C9B" w:rsidRPr="001346FF" w:rsidRDefault="00762C9B" w:rsidP="00762C9B">
      <w:pPr>
        <w:spacing w:after="120"/>
        <w:rPr>
          <w:lang w:eastAsia="en-GB"/>
        </w:rPr>
      </w:pPr>
      <w:r w:rsidRPr="001346FF">
        <w:rPr>
          <w:lang w:eastAsia="en-GB"/>
        </w:rPr>
        <w:t>For example, according to the study of behavioural patterns’ impact on climate change, shift to a vegetarian diet accounts for the highest maximum realistic mitigation potential, when depicted as reduction of Mt CO</w:t>
      </w:r>
      <w:r w:rsidRPr="001346FF">
        <w:rPr>
          <w:vertAlign w:val="subscript"/>
          <w:lang w:eastAsia="en-GB"/>
        </w:rPr>
        <w:t xml:space="preserve">2 </w:t>
      </w:r>
      <w:r w:rsidRPr="001346FF">
        <w:rPr>
          <w:lang w:eastAsia="en-GB"/>
        </w:rPr>
        <w:t>eq.</w:t>
      </w:r>
      <w:r w:rsidRPr="001346FF">
        <w:rPr>
          <w:rStyle w:val="FootnoteReference"/>
          <w:lang w:eastAsia="en-GB"/>
        </w:rPr>
        <w:footnoteReference w:id="97"/>
      </w:r>
      <w:r w:rsidRPr="001346FF">
        <w:rPr>
          <w:lang w:eastAsia="en-GB"/>
        </w:rPr>
        <w:t xml:space="preserve"> </w:t>
      </w:r>
      <w:proofErr w:type="gramStart"/>
      <w:r w:rsidRPr="001346FF">
        <w:rPr>
          <w:lang w:eastAsia="en-GB"/>
        </w:rPr>
        <w:t>It</w:t>
      </w:r>
      <w:proofErr w:type="gramEnd"/>
      <w:r w:rsidRPr="001346FF">
        <w:rPr>
          <w:lang w:eastAsia="en-GB"/>
        </w:rPr>
        <w:t xml:space="preserve"> is followed by a shift to a healthy diet. Also mere reduction of animal protein intake (one animal protein-free day per week) has comparably high mitigation potential. </w:t>
      </w:r>
    </w:p>
    <w:p w:rsidR="00762C9B" w:rsidRPr="001346FF" w:rsidRDefault="00762C9B" w:rsidP="00762C9B">
      <w:pPr>
        <w:spacing w:after="120"/>
        <w:rPr>
          <w:lang w:eastAsia="en-GB"/>
        </w:rPr>
      </w:pPr>
      <w:r w:rsidRPr="001346FF">
        <w:rPr>
          <w:lang w:eastAsia="en-GB"/>
        </w:rPr>
        <w:t xml:space="preserve">Another measure that can have a considerable impact on air pollution reduction is choosing local and seasonal food and decreasing imports. Transportation of food over large distances is associated with transport-related emissions. The longer the distance, the higher the volumes of transport emissions, be it transported by vehicles, rail transport, or water transport. Therefore, increase of demand in locally grown food and decrease of the imports would also decrease the transportation emissions.  </w:t>
      </w:r>
    </w:p>
    <w:p w:rsidR="00762C9B" w:rsidRPr="001346FF" w:rsidRDefault="00762C9B" w:rsidP="00762C9B">
      <w:pPr>
        <w:spacing w:after="120"/>
        <w:rPr>
          <w:lang w:eastAsia="en-GB"/>
        </w:rPr>
      </w:pPr>
      <w:r w:rsidRPr="001346FF">
        <w:rPr>
          <w:lang w:eastAsia="en-GB"/>
        </w:rPr>
        <w:t>The problem of such measures lies in a fact that it might be difficult to influence population’s dietary habits. This is first of all rooted in the limited knowledge on possible benefits of shifting to healthy/vegetarian diet; yet the considerable “limiting” factor is also the social aspect, which can manifest in availability of such foods in public places, e.g., restaurants.</w:t>
      </w:r>
      <w:r w:rsidRPr="001346FF">
        <w:rPr>
          <w:rStyle w:val="FootnoteReference"/>
          <w:lang w:eastAsia="en-GB"/>
        </w:rPr>
        <w:footnoteReference w:id="98"/>
      </w:r>
    </w:p>
    <w:p w:rsidR="00762C9B" w:rsidRDefault="00762C9B" w:rsidP="00762C9B">
      <w:pPr>
        <w:spacing w:after="120"/>
        <w:rPr>
          <w:lang w:eastAsia="en-GB"/>
        </w:rPr>
      </w:pPr>
      <w:r w:rsidRPr="001346FF">
        <w:rPr>
          <w:lang w:eastAsia="en-GB"/>
        </w:rPr>
        <w:t>Similar as in the case of various other measures, one of the first steps to be undertaken for triggering the behavioural change is the provision of sophisticated information and organization of educational campaigns.  Such campaigns can provide information of all of the aspects of according lifestyles, not only mentioning environmental, but also health related benefits and in case of local food – support to local producers. Additional effective way to change behavioural food patterns is by promoting abovementioned “healthy diet” in schools and other educational facilities.  Such measures would consist of “school based intervention offering healthy diets in school canteens and educating pupils about healthy diets”, which has been proven to be an effective policy based o</w:t>
      </w:r>
      <w:r w:rsidR="004B7EB7">
        <w:rPr>
          <w:lang w:eastAsia="en-GB"/>
        </w:rPr>
        <w:t>n available empirical evidence.</w:t>
      </w:r>
      <w:r w:rsidRPr="001346FF">
        <w:rPr>
          <w:rStyle w:val="FootnoteReference"/>
          <w:lang w:eastAsia="en-GB"/>
        </w:rPr>
        <w:footnoteReference w:id="99"/>
      </w:r>
      <w:r w:rsidRPr="001346FF">
        <w:rPr>
          <w:lang w:eastAsia="en-GB"/>
        </w:rPr>
        <w:t xml:space="preserve"> The same source notes the effectiveness also of such policies as health labels, mass media campaigns to promote healthy </w:t>
      </w:r>
      <w:r w:rsidRPr="001346FF">
        <w:rPr>
          <w:lang w:eastAsia="en-GB"/>
        </w:rPr>
        <w:lastRenderedPageBreak/>
        <w:t>diet, and differentiated tax or excise duty (lower tax on fresh fruit and vegetables, higher taxes on fats).</w:t>
      </w:r>
    </w:p>
    <w:p w:rsidR="004B7EB7" w:rsidRDefault="004B7EB7" w:rsidP="00762C9B">
      <w:pPr>
        <w:spacing w:after="120"/>
        <w:rPr>
          <w:lang w:eastAsia="en-GB"/>
        </w:rPr>
      </w:pPr>
    </w:p>
    <w:p w:rsidR="004B7EB7" w:rsidRPr="00D73464" w:rsidRDefault="004B7EB7" w:rsidP="00762C9B">
      <w:pPr>
        <w:spacing w:after="120"/>
        <w:rPr>
          <w:b/>
          <w:u w:val="single"/>
          <w:lang w:eastAsia="en-GB"/>
        </w:rPr>
      </w:pPr>
      <w:r w:rsidRPr="00D73464">
        <w:rPr>
          <w:b/>
          <w:u w:val="single"/>
          <w:lang w:eastAsia="en-GB"/>
        </w:rPr>
        <w:t>Promotion of installation of thermostats</w:t>
      </w:r>
    </w:p>
    <w:p w:rsidR="004B7EB7" w:rsidRPr="00D73464" w:rsidRDefault="004B7EB7" w:rsidP="004B7EB7">
      <w:pPr>
        <w:spacing w:after="120"/>
        <w:rPr>
          <w:b/>
          <w:lang w:eastAsia="en-GB"/>
        </w:rPr>
      </w:pPr>
      <w:r w:rsidRPr="00D73464">
        <w:rPr>
          <w:lang w:eastAsia="en-GB"/>
        </w:rPr>
        <w:t xml:space="preserve">Relevant to: </w:t>
      </w:r>
      <w:r w:rsidRPr="00D73464">
        <w:rPr>
          <w:b/>
          <w:lang w:eastAsia="en-GB"/>
        </w:rPr>
        <w:t>Armenia, Azerbaijan, Belarus, Georgia, Moldova</w:t>
      </w:r>
      <w:r w:rsidRPr="00D73464">
        <w:rPr>
          <w:lang w:eastAsia="en-GB"/>
        </w:rPr>
        <w:t xml:space="preserve">, </w:t>
      </w:r>
      <w:r w:rsidRPr="00D73464">
        <w:rPr>
          <w:b/>
          <w:lang w:eastAsia="en-GB"/>
        </w:rPr>
        <w:t xml:space="preserve">Russian Federation, </w:t>
      </w:r>
      <w:proofErr w:type="gramStart"/>
      <w:r w:rsidRPr="00D73464">
        <w:rPr>
          <w:b/>
          <w:lang w:eastAsia="en-GB"/>
        </w:rPr>
        <w:t>Ukraine</w:t>
      </w:r>
      <w:proofErr w:type="gramEnd"/>
    </w:p>
    <w:p w:rsidR="00762C9B" w:rsidRPr="00D73464" w:rsidRDefault="004B7EB7" w:rsidP="00762C9B">
      <w:pPr>
        <w:spacing w:after="120"/>
        <w:rPr>
          <w:lang w:eastAsia="en-GB"/>
        </w:rPr>
      </w:pPr>
      <w:r w:rsidRPr="00D73464">
        <w:rPr>
          <w:szCs w:val="21"/>
        </w:rPr>
        <w:t>Possibility to regulate temperature in the room in conjunction with sophisticated educational campaigns targeting general public and providing information on possible advantages of a thermostat can forward such behavioural changes as lowering room temperature, when leaving the house or optimising thermostat settings lowering the temperature at night thus reducing the use of heating and thus also the emissions associated with the heat production</w:t>
      </w:r>
      <w:r w:rsidR="00941A80" w:rsidRPr="00D73464">
        <w:rPr>
          <w:szCs w:val="21"/>
        </w:rPr>
        <w:t xml:space="preserve"> (such as CO</w:t>
      </w:r>
      <w:r w:rsidR="00941A80" w:rsidRPr="00D73464">
        <w:rPr>
          <w:szCs w:val="21"/>
          <w:vertAlign w:val="subscript"/>
        </w:rPr>
        <w:t>2</w:t>
      </w:r>
      <w:r w:rsidR="00941A80" w:rsidRPr="00D73464">
        <w:rPr>
          <w:szCs w:val="21"/>
        </w:rPr>
        <w:t xml:space="preserve">, </w:t>
      </w:r>
      <w:proofErr w:type="spellStart"/>
      <w:r w:rsidR="00941A80" w:rsidRPr="00D73464">
        <w:rPr>
          <w:szCs w:val="21"/>
        </w:rPr>
        <w:t>NOx</w:t>
      </w:r>
      <w:proofErr w:type="spellEnd"/>
      <w:r w:rsidR="00941A80" w:rsidRPr="00D73464">
        <w:rPr>
          <w:szCs w:val="21"/>
        </w:rPr>
        <w:t xml:space="preserve"> and SO</w:t>
      </w:r>
      <w:r w:rsidR="00941A80" w:rsidRPr="00D73464">
        <w:rPr>
          <w:szCs w:val="21"/>
          <w:vertAlign w:val="subscript"/>
        </w:rPr>
        <w:t>2</w:t>
      </w:r>
      <w:r w:rsidR="00941A80" w:rsidRPr="00D73464">
        <w:rPr>
          <w:szCs w:val="21"/>
        </w:rPr>
        <w:t>, depending on the fuel used for heating)</w:t>
      </w:r>
      <w:r w:rsidRPr="00D73464">
        <w:rPr>
          <w:szCs w:val="21"/>
        </w:rPr>
        <w:t>.</w:t>
      </w:r>
    </w:p>
    <w:p w:rsidR="001A5116" w:rsidRPr="00D73464" w:rsidRDefault="001A5116" w:rsidP="001A5116">
      <w:pPr>
        <w:spacing w:after="120"/>
        <w:rPr>
          <w:b/>
          <w:lang w:eastAsia="en-GB"/>
        </w:rPr>
      </w:pPr>
      <w:r w:rsidRPr="00D73464">
        <w:rPr>
          <w:b/>
          <w:lang w:eastAsia="en-GB"/>
        </w:rPr>
        <w:t>Implementation considerations, constraints</w:t>
      </w:r>
    </w:p>
    <w:p w:rsidR="00762C9B" w:rsidRPr="001346FF" w:rsidRDefault="001A5116" w:rsidP="00762C9B">
      <w:pPr>
        <w:spacing w:after="120"/>
        <w:rPr>
          <w:lang w:eastAsia="en-GB"/>
        </w:rPr>
      </w:pPr>
      <w:r w:rsidRPr="00D73464">
        <w:rPr>
          <w:lang w:eastAsia="en-GB"/>
        </w:rPr>
        <w:t>Actual effectiveness and usefulness of such measure might depend on the situation in each country – incl., climatic conditions, as well as the general public heating policy and trends in use of fuel for heating.</w:t>
      </w:r>
      <w:r>
        <w:rPr>
          <w:lang w:eastAsia="en-GB"/>
        </w:rPr>
        <w:t xml:space="preserve"> </w:t>
      </w:r>
    </w:p>
    <w:p w:rsidR="000635CE" w:rsidRDefault="000635CE" w:rsidP="00383969">
      <w:pPr>
        <w:pStyle w:val="Heading1"/>
        <w:numPr>
          <w:ilvl w:val="0"/>
          <w:numId w:val="0"/>
        </w:numPr>
        <w:rPr>
          <w:lang w:val="lv-LV" w:eastAsia="en-GB"/>
        </w:rPr>
        <w:sectPr w:rsidR="000635CE" w:rsidSect="00762C9B">
          <w:pgSz w:w="11906" w:h="16838"/>
          <w:pgMar w:top="1134" w:right="1134" w:bottom="1191" w:left="1701" w:header="709" w:footer="709" w:gutter="0"/>
          <w:cols w:space="708"/>
          <w:docGrid w:linePitch="360"/>
        </w:sectPr>
      </w:pPr>
    </w:p>
    <w:p w:rsidR="00383969" w:rsidRPr="000635CE" w:rsidRDefault="00383969" w:rsidP="00383969">
      <w:pPr>
        <w:pStyle w:val="Heading1"/>
        <w:numPr>
          <w:ilvl w:val="0"/>
          <w:numId w:val="0"/>
        </w:numPr>
        <w:rPr>
          <w:lang w:val="lv-LV" w:eastAsia="en-GB"/>
        </w:rPr>
      </w:pPr>
    </w:p>
    <w:p w:rsidR="009E254B" w:rsidRPr="00383969" w:rsidRDefault="00964A32" w:rsidP="007C5379">
      <w:pPr>
        <w:pStyle w:val="Heading1"/>
        <w:numPr>
          <w:ilvl w:val="0"/>
          <w:numId w:val="0"/>
        </w:numPr>
        <w:ind w:left="425" w:hanging="425"/>
        <w:rPr>
          <w:lang w:val="lv-LV" w:eastAsia="en-GB"/>
        </w:rPr>
      </w:pPr>
      <w:bookmarkStart w:id="68" w:name="_Toc387396940"/>
      <w:r>
        <w:rPr>
          <w:lang w:val="lv-LV"/>
        </w:rPr>
        <w:t>Sources</w:t>
      </w:r>
      <w:bookmarkEnd w:id="68"/>
    </w:p>
    <w:p w:rsidR="00681826" w:rsidRDefault="00681826" w:rsidP="00964A32">
      <w:pPr>
        <w:ind w:left="284" w:hanging="284"/>
        <w:jc w:val="left"/>
        <w:rPr>
          <w:lang w:eastAsia="en-GB"/>
        </w:rPr>
      </w:pPr>
      <w:r w:rsidRPr="00681826">
        <w:rPr>
          <w:lang w:eastAsia="en-GB"/>
        </w:rPr>
        <w:t xml:space="preserve">About IMPEL. IMPEL, available at </w:t>
      </w:r>
      <w:hyperlink r:id="rId23" w:history="1">
        <w:r w:rsidRPr="00E4370E">
          <w:rPr>
            <w:rStyle w:val="Hyperlink"/>
            <w:rFonts w:cs="Times New Roman"/>
            <w:sz w:val="21"/>
            <w:szCs w:val="20"/>
            <w:lang w:eastAsia="en-GB"/>
          </w:rPr>
          <w:t>http://impel.eu/about/</w:t>
        </w:r>
      </w:hyperlink>
      <w:r>
        <w:rPr>
          <w:lang w:eastAsia="en-GB"/>
        </w:rPr>
        <w:t xml:space="preserve"> </w:t>
      </w:r>
    </w:p>
    <w:p w:rsidR="00964A32" w:rsidRDefault="00964A32" w:rsidP="00964A32">
      <w:pPr>
        <w:ind w:left="284" w:hanging="284"/>
        <w:jc w:val="left"/>
        <w:rPr>
          <w:lang w:eastAsia="en-GB"/>
        </w:rPr>
      </w:pPr>
      <w:r w:rsidRPr="00964A32">
        <w:rPr>
          <w:lang w:eastAsia="en-GB"/>
        </w:rPr>
        <w:t xml:space="preserve">Air: Best Projects. </w:t>
      </w:r>
      <w:proofErr w:type="gramStart"/>
      <w:r w:rsidRPr="00964A32">
        <w:rPr>
          <w:lang w:eastAsia="en-GB"/>
        </w:rPr>
        <w:t>LIFE Programme.</w:t>
      </w:r>
      <w:proofErr w:type="gramEnd"/>
      <w:r w:rsidRPr="00964A32">
        <w:rPr>
          <w:lang w:eastAsia="en-GB"/>
        </w:rPr>
        <w:t xml:space="preserve"> EC, available at </w:t>
      </w:r>
      <w:hyperlink r:id="rId24" w:history="1">
        <w:r w:rsidRPr="006B3EF0">
          <w:rPr>
            <w:rStyle w:val="Hyperlink"/>
            <w:rFonts w:cs="Times New Roman"/>
            <w:sz w:val="21"/>
            <w:szCs w:val="20"/>
            <w:lang w:eastAsia="en-GB"/>
          </w:rPr>
          <w:t>http://ec.europa.eu/environment/life/themes/air/best.htm</w:t>
        </w:r>
      </w:hyperlink>
      <w:r>
        <w:rPr>
          <w:lang w:eastAsia="en-GB"/>
        </w:rPr>
        <w:t xml:space="preserve"> </w:t>
      </w:r>
    </w:p>
    <w:p w:rsidR="00964A32" w:rsidRDefault="00964A32" w:rsidP="00964A32">
      <w:pPr>
        <w:ind w:left="284" w:hanging="284"/>
        <w:jc w:val="left"/>
        <w:rPr>
          <w:lang w:eastAsia="en-GB"/>
        </w:rPr>
      </w:pPr>
      <w:proofErr w:type="gramStart"/>
      <w:r w:rsidRPr="00964A32">
        <w:rPr>
          <w:lang w:eastAsia="en-GB"/>
        </w:rPr>
        <w:t>Air Pollution (Poland).</w:t>
      </w:r>
      <w:proofErr w:type="gramEnd"/>
      <w:r w:rsidRPr="00964A32">
        <w:rPr>
          <w:lang w:eastAsia="en-GB"/>
        </w:rPr>
        <w:t xml:space="preserve"> European Environment Agency, available at </w:t>
      </w:r>
      <w:hyperlink r:id="rId25" w:history="1">
        <w:r w:rsidRPr="006B3EF0">
          <w:rPr>
            <w:rStyle w:val="Hyperlink"/>
            <w:rFonts w:cs="Times New Roman"/>
            <w:sz w:val="21"/>
            <w:szCs w:val="20"/>
            <w:lang w:eastAsia="en-GB"/>
          </w:rPr>
          <w:t>http://www.eea.europa.eu/soer/countries/pl/soertopic_view?topic=air%20pollution</w:t>
        </w:r>
      </w:hyperlink>
      <w:r>
        <w:rPr>
          <w:lang w:eastAsia="en-GB"/>
        </w:rPr>
        <w:t xml:space="preserve"> </w:t>
      </w:r>
    </w:p>
    <w:p w:rsidR="00964A32" w:rsidRDefault="00964A32" w:rsidP="00964A32">
      <w:pPr>
        <w:ind w:left="284" w:hanging="284"/>
        <w:jc w:val="left"/>
        <w:rPr>
          <w:lang w:eastAsia="en-GB"/>
        </w:rPr>
      </w:pPr>
      <w:proofErr w:type="gramStart"/>
      <w:r>
        <w:rPr>
          <w:lang w:eastAsia="en-GB"/>
        </w:rPr>
        <w:t xml:space="preserve">Aldrich, </w:t>
      </w:r>
      <w:proofErr w:type="spellStart"/>
      <w:r>
        <w:rPr>
          <w:lang w:eastAsia="en-GB"/>
        </w:rPr>
        <w:t>Lokey</w:t>
      </w:r>
      <w:proofErr w:type="spellEnd"/>
      <w:r>
        <w:rPr>
          <w:lang w:eastAsia="en-GB"/>
        </w:rPr>
        <w:t xml:space="preserve"> Elizabeth and </w:t>
      </w:r>
      <w:proofErr w:type="spellStart"/>
      <w:r>
        <w:rPr>
          <w:lang w:eastAsia="en-GB"/>
        </w:rPr>
        <w:t>Koerner</w:t>
      </w:r>
      <w:proofErr w:type="spellEnd"/>
      <w:r>
        <w:rPr>
          <w:lang w:eastAsia="en-GB"/>
        </w:rPr>
        <w:t xml:space="preserve"> L. Cassandra.</w:t>
      </w:r>
      <w:proofErr w:type="gramEnd"/>
      <w:r>
        <w:rPr>
          <w:lang w:eastAsia="en-GB"/>
        </w:rPr>
        <w:t xml:space="preserve"> Unveiling Assigned Amount Unit (AAU) Trades: Current Market Impacts and Prospects for the Future. Atmosphere, 2012, 3, p. 232</w:t>
      </w:r>
    </w:p>
    <w:p w:rsidR="000F1BAC" w:rsidRDefault="000F1BAC" w:rsidP="00964A32">
      <w:pPr>
        <w:ind w:left="284" w:hanging="284"/>
        <w:jc w:val="left"/>
        <w:rPr>
          <w:lang w:eastAsia="en-GB"/>
        </w:rPr>
      </w:pPr>
      <w:proofErr w:type="gramStart"/>
      <w:r w:rsidRPr="000F1BAC">
        <w:rPr>
          <w:lang w:eastAsia="en-GB"/>
        </w:rPr>
        <w:t>Armenia Renewable Resources and Energy Efficiency Fund.</w:t>
      </w:r>
      <w:proofErr w:type="gramEnd"/>
      <w:r w:rsidRPr="000F1BAC">
        <w:rPr>
          <w:lang w:eastAsia="en-GB"/>
        </w:rPr>
        <w:t xml:space="preserve"> </w:t>
      </w:r>
      <w:proofErr w:type="gramStart"/>
      <w:r w:rsidRPr="000F1BAC">
        <w:rPr>
          <w:lang w:eastAsia="en-GB"/>
        </w:rPr>
        <w:t>available</w:t>
      </w:r>
      <w:proofErr w:type="gramEnd"/>
      <w:r w:rsidRPr="000F1BAC">
        <w:rPr>
          <w:lang w:eastAsia="en-GB"/>
        </w:rPr>
        <w:t xml:space="preserve"> at </w:t>
      </w:r>
      <w:hyperlink r:id="rId26" w:history="1">
        <w:r w:rsidRPr="006B3EF0">
          <w:rPr>
            <w:rStyle w:val="Hyperlink"/>
            <w:rFonts w:cs="Times New Roman"/>
            <w:sz w:val="21"/>
            <w:szCs w:val="20"/>
            <w:lang w:eastAsia="en-GB"/>
          </w:rPr>
          <w:t>http://r2e2.am/en/about-us/</w:t>
        </w:r>
      </w:hyperlink>
      <w:r>
        <w:rPr>
          <w:lang w:eastAsia="en-GB"/>
        </w:rPr>
        <w:t xml:space="preserve"> </w:t>
      </w:r>
    </w:p>
    <w:p w:rsidR="00EC0B12" w:rsidRDefault="00EC0B12" w:rsidP="00964A32">
      <w:pPr>
        <w:ind w:left="284" w:hanging="284"/>
        <w:jc w:val="left"/>
        <w:rPr>
          <w:lang w:eastAsia="en-GB"/>
        </w:rPr>
      </w:pPr>
      <w:proofErr w:type="spellStart"/>
      <w:proofErr w:type="gramStart"/>
      <w:r w:rsidRPr="00EC0B12">
        <w:rPr>
          <w:lang w:eastAsia="en-GB"/>
        </w:rPr>
        <w:t>Bertoldi</w:t>
      </w:r>
      <w:proofErr w:type="spellEnd"/>
      <w:r w:rsidRPr="00EC0B12">
        <w:rPr>
          <w:lang w:eastAsia="en-GB"/>
        </w:rPr>
        <w:t xml:space="preserve">, Paolo and </w:t>
      </w:r>
      <w:proofErr w:type="spellStart"/>
      <w:r w:rsidRPr="00EC0B12">
        <w:rPr>
          <w:lang w:eastAsia="en-GB"/>
        </w:rPr>
        <w:t>Rezessy</w:t>
      </w:r>
      <w:proofErr w:type="spellEnd"/>
      <w:r w:rsidRPr="00EC0B12">
        <w:rPr>
          <w:lang w:eastAsia="en-GB"/>
        </w:rPr>
        <w:t>, Silvia.</w:t>
      </w:r>
      <w:proofErr w:type="gramEnd"/>
      <w:r w:rsidRPr="00EC0B12">
        <w:rPr>
          <w:lang w:eastAsia="en-GB"/>
        </w:rPr>
        <w:t xml:space="preserve"> Voluntary Agreements in the Field of Energy Efficiency and Emission Reduction: Review and Analysis of the Experience in Member States of the European Union. Joint Research Centre of the European Union, May 2010, available at </w:t>
      </w:r>
      <w:hyperlink r:id="rId27" w:history="1">
        <w:r w:rsidRPr="006B3EF0">
          <w:rPr>
            <w:rStyle w:val="Hyperlink"/>
            <w:rFonts w:cs="Times New Roman"/>
            <w:sz w:val="21"/>
            <w:szCs w:val="20"/>
            <w:lang w:eastAsia="en-GB"/>
          </w:rPr>
          <w:t>http://ec.europa.eu/energy/efficiency/studies/doc/2010_05_jrc_va_study.pdf</w:t>
        </w:r>
      </w:hyperlink>
      <w:r>
        <w:rPr>
          <w:lang w:eastAsia="en-GB"/>
        </w:rPr>
        <w:t xml:space="preserve"> </w:t>
      </w:r>
    </w:p>
    <w:p w:rsidR="00964A32" w:rsidRDefault="00964A32" w:rsidP="00964A32">
      <w:pPr>
        <w:ind w:left="284" w:hanging="284"/>
        <w:jc w:val="left"/>
        <w:rPr>
          <w:lang w:eastAsia="en-GB"/>
        </w:rPr>
      </w:pPr>
      <w:proofErr w:type="spellStart"/>
      <w:proofErr w:type="gramStart"/>
      <w:r w:rsidRPr="00964A32">
        <w:rPr>
          <w:lang w:eastAsia="en-GB"/>
        </w:rPr>
        <w:t>Biagini</w:t>
      </w:r>
      <w:proofErr w:type="spellEnd"/>
      <w:r w:rsidRPr="00964A32">
        <w:rPr>
          <w:lang w:eastAsia="en-GB"/>
        </w:rPr>
        <w:t xml:space="preserve">, </w:t>
      </w:r>
      <w:proofErr w:type="spellStart"/>
      <w:r w:rsidRPr="00964A32">
        <w:rPr>
          <w:lang w:eastAsia="en-GB"/>
        </w:rPr>
        <w:t>Bonizella</w:t>
      </w:r>
      <w:proofErr w:type="spellEnd"/>
      <w:r w:rsidRPr="00964A32">
        <w:rPr>
          <w:lang w:eastAsia="en-GB"/>
        </w:rPr>
        <w:t xml:space="preserve"> et al. Assessing Resources under Special Climate Change Fund.</w:t>
      </w:r>
      <w:proofErr w:type="gramEnd"/>
      <w:r w:rsidRPr="00964A32">
        <w:rPr>
          <w:lang w:eastAsia="en-GB"/>
        </w:rPr>
        <w:t xml:space="preserve"> </w:t>
      </w:r>
      <w:proofErr w:type="gramStart"/>
      <w:r w:rsidRPr="00964A32">
        <w:rPr>
          <w:lang w:eastAsia="en-GB"/>
        </w:rPr>
        <w:t>Global Environment Facility.</w:t>
      </w:r>
      <w:proofErr w:type="gramEnd"/>
      <w:r w:rsidRPr="00964A32">
        <w:rPr>
          <w:lang w:eastAsia="en-GB"/>
        </w:rPr>
        <w:t xml:space="preserve"> 2011, p. 8</w:t>
      </w:r>
    </w:p>
    <w:p w:rsidR="00EC0B12" w:rsidRDefault="00EC0B12" w:rsidP="00964A32">
      <w:pPr>
        <w:ind w:left="284" w:hanging="284"/>
        <w:jc w:val="left"/>
        <w:rPr>
          <w:lang w:eastAsia="en-GB"/>
        </w:rPr>
      </w:pPr>
      <w:proofErr w:type="gramStart"/>
      <w:r w:rsidRPr="00EC0B12">
        <w:rPr>
          <w:lang w:eastAsia="en-GB"/>
        </w:rPr>
        <w:t>Business Incubators.</w:t>
      </w:r>
      <w:proofErr w:type="gramEnd"/>
      <w:r w:rsidRPr="00EC0B12">
        <w:rPr>
          <w:lang w:eastAsia="en-GB"/>
        </w:rPr>
        <w:t xml:space="preserve"> </w:t>
      </w:r>
      <w:proofErr w:type="spellStart"/>
      <w:r w:rsidRPr="00EC0B12">
        <w:rPr>
          <w:lang w:eastAsia="en-GB"/>
        </w:rPr>
        <w:t>Swedbank</w:t>
      </w:r>
      <w:proofErr w:type="spellEnd"/>
      <w:r w:rsidRPr="00EC0B12">
        <w:rPr>
          <w:lang w:eastAsia="en-GB"/>
        </w:rPr>
        <w:t xml:space="preserve">, available at </w:t>
      </w:r>
      <w:hyperlink r:id="rId28" w:history="1">
        <w:r w:rsidRPr="006B3EF0">
          <w:rPr>
            <w:rStyle w:val="Hyperlink"/>
            <w:rFonts w:cs="Times New Roman"/>
            <w:sz w:val="21"/>
            <w:szCs w:val="20"/>
            <w:lang w:eastAsia="en-GB"/>
          </w:rPr>
          <w:t>https://www.swedbank.lv/en/jaundibinatiem_uznemumiem/biznesa_inkubatori/</w:t>
        </w:r>
      </w:hyperlink>
      <w:r>
        <w:rPr>
          <w:lang w:eastAsia="en-GB"/>
        </w:rPr>
        <w:t xml:space="preserve"> </w:t>
      </w:r>
    </w:p>
    <w:p w:rsidR="00EC0B12" w:rsidRDefault="00EC0B12" w:rsidP="00964A32">
      <w:pPr>
        <w:ind w:left="284" w:hanging="284"/>
        <w:jc w:val="left"/>
        <w:rPr>
          <w:lang w:eastAsia="en-GB"/>
        </w:rPr>
      </w:pPr>
      <w:r w:rsidRPr="00EC0B12">
        <w:rPr>
          <w:lang w:eastAsia="en-GB"/>
        </w:rPr>
        <w:t xml:space="preserve">Buying Green! </w:t>
      </w:r>
      <w:proofErr w:type="gramStart"/>
      <w:r w:rsidRPr="00EC0B12">
        <w:rPr>
          <w:lang w:eastAsia="en-GB"/>
        </w:rPr>
        <w:t>A Handbook on Green Public Procurement.</w:t>
      </w:r>
      <w:proofErr w:type="gramEnd"/>
      <w:r w:rsidRPr="00EC0B12">
        <w:rPr>
          <w:lang w:eastAsia="en-GB"/>
        </w:rPr>
        <w:t xml:space="preserve"> </w:t>
      </w:r>
      <w:proofErr w:type="gramStart"/>
      <w:r w:rsidRPr="00EC0B12">
        <w:rPr>
          <w:lang w:eastAsia="en-GB"/>
        </w:rPr>
        <w:t>2nd edition.</w:t>
      </w:r>
      <w:proofErr w:type="gramEnd"/>
      <w:r w:rsidRPr="00EC0B12">
        <w:rPr>
          <w:lang w:eastAsia="en-GB"/>
        </w:rPr>
        <w:t xml:space="preserve"> </w:t>
      </w:r>
      <w:proofErr w:type="gramStart"/>
      <w:r w:rsidRPr="00EC0B12">
        <w:rPr>
          <w:lang w:eastAsia="en-GB"/>
        </w:rPr>
        <w:t>European Commission.</w:t>
      </w:r>
      <w:proofErr w:type="gramEnd"/>
      <w:r w:rsidRPr="00EC0B12">
        <w:rPr>
          <w:lang w:eastAsia="en-GB"/>
        </w:rPr>
        <w:t xml:space="preserve"> 2011, available at </w:t>
      </w:r>
      <w:hyperlink r:id="rId29" w:history="1">
        <w:r w:rsidRPr="006B3EF0">
          <w:rPr>
            <w:rStyle w:val="Hyperlink"/>
            <w:rFonts w:cs="Times New Roman"/>
            <w:sz w:val="21"/>
            <w:szCs w:val="20"/>
            <w:lang w:eastAsia="en-GB"/>
          </w:rPr>
          <w:t>http://ec.europa.eu/environment/gpp/pdf/handbook.pdf</w:t>
        </w:r>
      </w:hyperlink>
      <w:r>
        <w:rPr>
          <w:lang w:eastAsia="en-GB"/>
        </w:rPr>
        <w:t xml:space="preserve"> </w:t>
      </w:r>
    </w:p>
    <w:p w:rsidR="00EC0B12" w:rsidRDefault="00EC0B12" w:rsidP="00964A32">
      <w:pPr>
        <w:ind w:left="284" w:hanging="284"/>
        <w:jc w:val="left"/>
        <w:rPr>
          <w:lang w:eastAsia="en-GB"/>
        </w:rPr>
      </w:pPr>
      <w:r w:rsidRPr="00EC0B12">
        <w:rPr>
          <w:lang w:eastAsia="en-GB"/>
        </w:rPr>
        <w:t xml:space="preserve">Communication from the Commission to the European Parliament, the Council, the European Economic and Social Committee and the Committee of the Regions “Public procurement for a better environment”, COM (2008) 400, available at </w:t>
      </w:r>
      <w:hyperlink r:id="rId30" w:history="1">
        <w:r w:rsidRPr="006B3EF0">
          <w:rPr>
            <w:rStyle w:val="Hyperlink"/>
            <w:rFonts w:cs="Times New Roman"/>
            <w:sz w:val="21"/>
            <w:szCs w:val="20"/>
            <w:lang w:eastAsia="en-GB"/>
          </w:rPr>
          <w:t>http://eur-lex.europa.eu/LexUriServ/LexUriServ.do?uri=COM:2008:0400:FIN:EN:PDF</w:t>
        </w:r>
      </w:hyperlink>
      <w:r>
        <w:rPr>
          <w:lang w:eastAsia="en-GB"/>
        </w:rPr>
        <w:t xml:space="preserve"> </w:t>
      </w:r>
    </w:p>
    <w:p w:rsidR="00986CD1" w:rsidRDefault="00986CD1" w:rsidP="00964A32">
      <w:pPr>
        <w:ind w:left="284" w:hanging="284"/>
        <w:jc w:val="left"/>
        <w:rPr>
          <w:lang w:eastAsia="en-GB"/>
        </w:rPr>
      </w:pPr>
      <w:r w:rsidRPr="00986CD1">
        <w:rPr>
          <w:lang w:eastAsia="en-GB"/>
        </w:rPr>
        <w:t xml:space="preserve">Council Directive 91/676/EEC Concerning the Protection of Waters </w:t>
      </w:r>
      <w:proofErr w:type="gramStart"/>
      <w:r w:rsidRPr="00986CD1">
        <w:rPr>
          <w:lang w:eastAsia="en-GB"/>
        </w:rPr>
        <w:t>Against</w:t>
      </w:r>
      <w:proofErr w:type="gramEnd"/>
      <w:r w:rsidRPr="00986CD1">
        <w:rPr>
          <w:lang w:eastAsia="en-GB"/>
        </w:rPr>
        <w:t xml:space="preserve"> Pollution Caused by Nitrates from Agricultural Sources</w:t>
      </w:r>
    </w:p>
    <w:p w:rsidR="000F1BAC" w:rsidRDefault="000F1BAC" w:rsidP="00964A32">
      <w:pPr>
        <w:ind w:left="284" w:hanging="284"/>
        <w:jc w:val="left"/>
        <w:rPr>
          <w:lang w:eastAsia="en-GB"/>
        </w:rPr>
      </w:pPr>
      <w:r w:rsidRPr="000F1BAC">
        <w:rPr>
          <w:lang w:eastAsia="en-GB"/>
        </w:rPr>
        <w:t xml:space="preserve">Decree of the President of the Republic of Belarus on October 16, 2009 № 510 “On improvement of a controlling (supervision) activities in the Republic of Belarus” </w:t>
      </w:r>
      <w:hyperlink r:id="rId31" w:history="1">
        <w:r w:rsidRPr="006B3EF0">
          <w:rPr>
            <w:rStyle w:val="Hyperlink"/>
            <w:rFonts w:cs="Times New Roman"/>
            <w:sz w:val="21"/>
            <w:szCs w:val="20"/>
            <w:lang w:eastAsia="en-GB"/>
          </w:rPr>
          <w:t>http://www.pravo.by/main.aspx?guid=3871&amp;p0=P30900510&amp;p2={NRPA}</w:t>
        </w:r>
      </w:hyperlink>
      <w:r>
        <w:rPr>
          <w:lang w:eastAsia="en-GB"/>
        </w:rPr>
        <w:t xml:space="preserve"> </w:t>
      </w:r>
    </w:p>
    <w:p w:rsidR="00FD3BBA" w:rsidRDefault="00FD3BBA" w:rsidP="00964A32">
      <w:pPr>
        <w:ind w:left="284" w:hanging="284"/>
        <w:jc w:val="left"/>
        <w:rPr>
          <w:lang w:eastAsia="en-GB"/>
        </w:rPr>
      </w:pPr>
      <w:proofErr w:type="gramStart"/>
      <w:r w:rsidRPr="00FD3BBA">
        <w:rPr>
          <w:lang w:eastAsia="en-GB"/>
        </w:rPr>
        <w:t>Direct payments.</w:t>
      </w:r>
      <w:proofErr w:type="gramEnd"/>
      <w:r w:rsidRPr="00FD3BBA">
        <w:rPr>
          <w:lang w:eastAsia="en-GB"/>
        </w:rPr>
        <w:t xml:space="preserve"> </w:t>
      </w:r>
      <w:proofErr w:type="gramStart"/>
      <w:r w:rsidRPr="00FD3BBA">
        <w:rPr>
          <w:lang w:eastAsia="en-GB"/>
        </w:rPr>
        <w:t>Agriculture and Rural Development.</w:t>
      </w:r>
      <w:proofErr w:type="gramEnd"/>
      <w:r w:rsidRPr="00FD3BBA">
        <w:rPr>
          <w:lang w:eastAsia="en-GB"/>
        </w:rPr>
        <w:t xml:space="preserve"> European Commission, available at </w:t>
      </w:r>
      <w:hyperlink r:id="rId32" w:history="1">
        <w:r w:rsidRPr="00206407">
          <w:rPr>
            <w:rStyle w:val="Hyperlink"/>
            <w:rFonts w:cs="Times New Roman"/>
            <w:sz w:val="21"/>
            <w:szCs w:val="20"/>
            <w:lang w:eastAsia="en-GB"/>
          </w:rPr>
          <w:t>http://ec.europa.eu/agriculture/direct-support/direct-payments/index_en.htm</w:t>
        </w:r>
      </w:hyperlink>
      <w:r>
        <w:rPr>
          <w:lang w:eastAsia="en-GB"/>
        </w:rPr>
        <w:t xml:space="preserve"> </w:t>
      </w:r>
    </w:p>
    <w:p w:rsidR="00964A32" w:rsidRDefault="00964A32" w:rsidP="00964A32">
      <w:pPr>
        <w:ind w:left="284" w:hanging="284"/>
        <w:jc w:val="left"/>
        <w:rPr>
          <w:lang w:eastAsia="en-GB"/>
        </w:rPr>
      </w:pPr>
      <w:r w:rsidRPr="00964A32">
        <w:rPr>
          <w:lang w:eastAsia="en-GB"/>
        </w:rPr>
        <w:t>Directive 2001/81/EC of the European Parliament and the Council on National Emission Ceilings for certain pollutants</w:t>
      </w:r>
      <w:r>
        <w:rPr>
          <w:lang w:eastAsia="en-GB"/>
        </w:rPr>
        <w:t xml:space="preserve"> </w:t>
      </w:r>
    </w:p>
    <w:p w:rsidR="00EC0B12" w:rsidRDefault="00EC0B12" w:rsidP="00964A32">
      <w:pPr>
        <w:ind w:left="284" w:hanging="284"/>
        <w:jc w:val="left"/>
        <w:rPr>
          <w:lang w:eastAsia="en-GB"/>
        </w:rPr>
      </w:pPr>
      <w:r w:rsidRPr="00EC0B12">
        <w:rPr>
          <w:lang w:eastAsia="en-GB"/>
        </w:rPr>
        <w:t xml:space="preserve">Faber, Jasper et al. “Behavioural Climate Change Mitigation Options and Their Appropriate Inclusion in Quantitative Longer Term Policy Scenarios”. April, 2012, available at </w:t>
      </w:r>
      <w:hyperlink r:id="rId33" w:history="1">
        <w:r w:rsidRPr="006B3EF0">
          <w:rPr>
            <w:rStyle w:val="Hyperlink"/>
            <w:rFonts w:cs="Times New Roman"/>
            <w:sz w:val="21"/>
            <w:szCs w:val="20"/>
            <w:lang w:eastAsia="en-GB"/>
          </w:rPr>
          <w:t>http://ec.europa.eu/clima/policies/roadmap/docs/main_report_en.pdf</w:t>
        </w:r>
      </w:hyperlink>
      <w:r>
        <w:rPr>
          <w:lang w:eastAsia="en-GB"/>
        </w:rPr>
        <w:t xml:space="preserve"> </w:t>
      </w:r>
    </w:p>
    <w:p w:rsidR="00986CD1" w:rsidRDefault="00986CD1" w:rsidP="00964A32">
      <w:pPr>
        <w:ind w:left="284" w:hanging="284"/>
        <w:jc w:val="left"/>
        <w:rPr>
          <w:lang w:eastAsia="en-GB"/>
        </w:rPr>
      </w:pPr>
      <w:r w:rsidRPr="00986CD1">
        <w:rPr>
          <w:lang w:eastAsia="en-GB"/>
        </w:rPr>
        <w:lastRenderedPageBreak/>
        <w:t xml:space="preserve">Good Agricultural Practices. Food and Agriculture Organization of the United Nations, available at </w:t>
      </w:r>
      <w:hyperlink r:id="rId34" w:history="1">
        <w:r w:rsidRPr="006B3EF0">
          <w:rPr>
            <w:rStyle w:val="Hyperlink"/>
            <w:rFonts w:cs="Times New Roman"/>
            <w:sz w:val="21"/>
            <w:szCs w:val="20"/>
            <w:lang w:eastAsia="en-GB"/>
          </w:rPr>
          <w:t>http://www.fao.org/prods/gap/</w:t>
        </w:r>
      </w:hyperlink>
      <w:r>
        <w:rPr>
          <w:lang w:eastAsia="en-GB"/>
        </w:rPr>
        <w:t xml:space="preserve"> </w:t>
      </w:r>
    </w:p>
    <w:p w:rsidR="002E6A03" w:rsidRDefault="002E6A03" w:rsidP="00964A32">
      <w:pPr>
        <w:ind w:left="284" w:hanging="284"/>
        <w:jc w:val="left"/>
        <w:rPr>
          <w:lang w:eastAsia="en-GB"/>
        </w:rPr>
      </w:pPr>
      <w:r>
        <w:rPr>
          <w:lang w:eastAsia="en-GB"/>
        </w:rPr>
        <w:t xml:space="preserve">Outcomes of state environmental competitions, available at </w:t>
      </w:r>
      <w:hyperlink r:id="rId35" w:history="1">
        <w:r w:rsidRPr="006B3EF0">
          <w:rPr>
            <w:rStyle w:val="Hyperlink"/>
            <w:rFonts w:cs="Times New Roman"/>
            <w:sz w:val="21"/>
            <w:szCs w:val="20"/>
            <w:lang w:eastAsia="en-GB"/>
          </w:rPr>
          <w:t>http://www.minpriroda.gov.by/ru/news/p-alignjustifyitogi-6-respublikanskix-konkursov-ekologicheskoj-napravlennosti-podvedeny-v-ministerstve-prirodnyx-resursov-i-oxrany-okruzhajuschej-sredyp_i_1374.html</w:t>
        </w:r>
      </w:hyperlink>
      <w:r>
        <w:rPr>
          <w:lang w:eastAsia="en-GB"/>
        </w:rPr>
        <w:t xml:space="preserve"> </w:t>
      </w:r>
    </w:p>
    <w:p w:rsidR="0005776F" w:rsidRDefault="0005776F" w:rsidP="00964A32">
      <w:pPr>
        <w:ind w:left="284" w:hanging="284"/>
        <w:jc w:val="left"/>
        <w:rPr>
          <w:lang w:eastAsia="en-GB"/>
        </w:rPr>
      </w:pPr>
      <w:proofErr w:type="gramStart"/>
      <w:r w:rsidRPr="0005776F">
        <w:rPr>
          <w:lang w:eastAsia="en-GB"/>
        </w:rPr>
        <w:t>EMAS.</w:t>
      </w:r>
      <w:proofErr w:type="gramEnd"/>
      <w:r w:rsidRPr="0005776F">
        <w:rPr>
          <w:lang w:eastAsia="en-GB"/>
        </w:rPr>
        <w:t xml:space="preserve"> </w:t>
      </w:r>
      <w:proofErr w:type="gramStart"/>
      <w:r w:rsidRPr="0005776F">
        <w:rPr>
          <w:lang w:eastAsia="en-GB"/>
        </w:rPr>
        <w:t>European Commission.</w:t>
      </w:r>
      <w:proofErr w:type="gramEnd"/>
      <w:r w:rsidRPr="0005776F">
        <w:rPr>
          <w:lang w:eastAsia="en-GB"/>
        </w:rPr>
        <w:t xml:space="preserve"> Environment, available at </w:t>
      </w:r>
      <w:hyperlink r:id="rId36" w:history="1">
        <w:r w:rsidRPr="006B3EF0">
          <w:rPr>
            <w:rStyle w:val="Hyperlink"/>
            <w:rFonts w:cs="Times New Roman"/>
            <w:sz w:val="21"/>
            <w:szCs w:val="20"/>
            <w:lang w:eastAsia="en-GB"/>
          </w:rPr>
          <w:t>http://ec.europa.eu/environment/emas/index_en.htm</w:t>
        </w:r>
      </w:hyperlink>
      <w:r>
        <w:rPr>
          <w:lang w:eastAsia="en-GB"/>
        </w:rPr>
        <w:t xml:space="preserve"> </w:t>
      </w:r>
    </w:p>
    <w:p w:rsidR="00EC0B12" w:rsidRDefault="00EC0B12" w:rsidP="00964A32">
      <w:pPr>
        <w:ind w:left="284" w:hanging="284"/>
        <w:jc w:val="left"/>
        <w:rPr>
          <w:lang w:eastAsia="en-GB"/>
        </w:rPr>
      </w:pPr>
      <w:proofErr w:type="gramStart"/>
      <w:r w:rsidRPr="00EC0B12">
        <w:rPr>
          <w:lang w:eastAsia="en-GB"/>
        </w:rPr>
        <w:t>EU GPP Criteria.</w:t>
      </w:r>
      <w:proofErr w:type="gramEnd"/>
      <w:r w:rsidRPr="00EC0B12">
        <w:rPr>
          <w:lang w:eastAsia="en-GB"/>
        </w:rPr>
        <w:t xml:space="preserve"> </w:t>
      </w:r>
      <w:proofErr w:type="gramStart"/>
      <w:r w:rsidRPr="00EC0B12">
        <w:rPr>
          <w:lang w:eastAsia="en-GB"/>
        </w:rPr>
        <w:t>European Commission.</w:t>
      </w:r>
      <w:proofErr w:type="gramEnd"/>
      <w:r w:rsidRPr="00EC0B12">
        <w:rPr>
          <w:lang w:eastAsia="en-GB"/>
        </w:rPr>
        <w:t xml:space="preserve"> Environment, available at </w:t>
      </w:r>
      <w:hyperlink r:id="rId37" w:history="1">
        <w:r w:rsidRPr="006B3EF0">
          <w:rPr>
            <w:rStyle w:val="Hyperlink"/>
            <w:rFonts w:cs="Times New Roman"/>
            <w:sz w:val="21"/>
            <w:szCs w:val="20"/>
            <w:lang w:eastAsia="en-GB"/>
          </w:rPr>
          <w:t>http://ec.europa.eu/environment/gpp/eu_gpp_criteria_en.htm</w:t>
        </w:r>
      </w:hyperlink>
      <w:r>
        <w:rPr>
          <w:lang w:eastAsia="en-GB"/>
        </w:rPr>
        <w:t xml:space="preserve"> </w:t>
      </w:r>
    </w:p>
    <w:p w:rsidR="0005776F" w:rsidRDefault="0005776F" w:rsidP="00964A32">
      <w:pPr>
        <w:ind w:left="284" w:hanging="284"/>
        <w:jc w:val="left"/>
        <w:rPr>
          <w:lang w:eastAsia="en-GB"/>
        </w:rPr>
      </w:pPr>
      <w:proofErr w:type="gramStart"/>
      <w:r w:rsidRPr="0005776F">
        <w:rPr>
          <w:lang w:eastAsia="en-GB"/>
        </w:rPr>
        <w:t>Euro and Emissions Standards.</w:t>
      </w:r>
      <w:proofErr w:type="gramEnd"/>
      <w:r w:rsidRPr="0005776F">
        <w:rPr>
          <w:lang w:eastAsia="en-GB"/>
        </w:rPr>
        <w:t xml:space="preserve"> Low Emission Zones in Europe, available at </w:t>
      </w:r>
      <w:hyperlink r:id="rId38" w:history="1">
        <w:r w:rsidRPr="006B3EF0">
          <w:rPr>
            <w:rStyle w:val="Hyperlink"/>
            <w:rFonts w:cs="Times New Roman"/>
            <w:sz w:val="21"/>
            <w:szCs w:val="20"/>
            <w:lang w:eastAsia="en-GB"/>
          </w:rPr>
          <w:t>http://www.lowemissionzones.eu/what-are-lezs?showall=&amp;start=4</w:t>
        </w:r>
      </w:hyperlink>
      <w:r>
        <w:rPr>
          <w:lang w:eastAsia="en-GB"/>
        </w:rPr>
        <w:t xml:space="preserve"> </w:t>
      </w:r>
    </w:p>
    <w:p w:rsidR="00964A32" w:rsidRDefault="00964A32" w:rsidP="00964A32">
      <w:pPr>
        <w:ind w:left="284" w:hanging="284"/>
        <w:jc w:val="left"/>
        <w:rPr>
          <w:lang w:eastAsia="en-GB"/>
        </w:rPr>
      </w:pPr>
      <w:proofErr w:type="gramStart"/>
      <w:r w:rsidRPr="00964A32">
        <w:rPr>
          <w:lang w:eastAsia="en-GB"/>
        </w:rPr>
        <w:t>European Mobility Week.</w:t>
      </w:r>
      <w:proofErr w:type="gramEnd"/>
      <w:r w:rsidRPr="00964A32">
        <w:rPr>
          <w:lang w:eastAsia="en-GB"/>
        </w:rPr>
        <w:t xml:space="preserve"> European Commission, available at </w:t>
      </w:r>
      <w:hyperlink r:id="rId39" w:history="1">
        <w:r w:rsidRPr="006B3EF0">
          <w:rPr>
            <w:rStyle w:val="Hyperlink"/>
            <w:rFonts w:cs="Times New Roman"/>
            <w:sz w:val="21"/>
            <w:szCs w:val="20"/>
            <w:lang w:eastAsia="en-GB"/>
          </w:rPr>
          <w:t>http://www.mobilityweek.eu/join-us/about/</w:t>
        </w:r>
      </w:hyperlink>
      <w:r>
        <w:rPr>
          <w:lang w:eastAsia="en-GB"/>
        </w:rPr>
        <w:t xml:space="preserve"> </w:t>
      </w:r>
    </w:p>
    <w:p w:rsidR="002E6A03" w:rsidRDefault="002E6A03" w:rsidP="00964A32">
      <w:pPr>
        <w:ind w:left="284" w:hanging="284"/>
        <w:jc w:val="left"/>
        <w:rPr>
          <w:lang w:eastAsia="en-GB"/>
        </w:rPr>
      </w:pPr>
      <w:r w:rsidRPr="002E6A03">
        <w:rPr>
          <w:lang w:eastAsia="en-GB"/>
        </w:rPr>
        <w:t>European Neighbourhood and Partnership Instrument, Republic of Moldova, Country Strategy Paper, 2007-2013, European Commission</w:t>
      </w:r>
    </w:p>
    <w:p w:rsidR="002E6A03" w:rsidRDefault="002E6A03" w:rsidP="00964A32">
      <w:pPr>
        <w:ind w:left="284" w:hanging="284"/>
        <w:jc w:val="left"/>
        <w:rPr>
          <w:lang w:eastAsia="en-GB"/>
        </w:rPr>
      </w:pPr>
      <w:r w:rsidRPr="002E6A03">
        <w:rPr>
          <w:lang w:eastAsia="en-GB"/>
        </w:rPr>
        <w:t>Georgian Green Business Award</w:t>
      </w:r>
      <w:r>
        <w:rPr>
          <w:lang w:eastAsia="en-GB"/>
        </w:rPr>
        <w:t xml:space="preserve">, available at </w:t>
      </w:r>
      <w:hyperlink r:id="rId40" w:history="1">
        <w:r w:rsidRPr="006B3EF0">
          <w:rPr>
            <w:rStyle w:val="Hyperlink"/>
            <w:rFonts w:cs="Times New Roman"/>
            <w:sz w:val="21"/>
            <w:szCs w:val="20"/>
            <w:lang w:eastAsia="en-GB"/>
          </w:rPr>
          <w:t>http://moe.gov.ge/index.php?lang_id=GEO&amp;sec_id=40&amp;info_id=2411</w:t>
        </w:r>
      </w:hyperlink>
      <w:r>
        <w:rPr>
          <w:lang w:eastAsia="en-GB"/>
        </w:rPr>
        <w:t xml:space="preserve"> </w:t>
      </w:r>
    </w:p>
    <w:p w:rsidR="005813A9" w:rsidRDefault="005813A9" w:rsidP="00964A32">
      <w:pPr>
        <w:ind w:left="284" w:hanging="284"/>
        <w:jc w:val="left"/>
        <w:rPr>
          <w:lang w:eastAsia="en-GB"/>
        </w:rPr>
      </w:pPr>
      <w:proofErr w:type="gramStart"/>
      <w:r w:rsidRPr="005813A9">
        <w:rPr>
          <w:lang w:eastAsia="en-GB"/>
        </w:rPr>
        <w:t>GPP Brochure.</w:t>
      </w:r>
      <w:proofErr w:type="gramEnd"/>
      <w:r w:rsidRPr="005813A9">
        <w:rPr>
          <w:lang w:eastAsia="en-GB"/>
        </w:rPr>
        <w:t xml:space="preserve"> </w:t>
      </w:r>
      <w:proofErr w:type="gramStart"/>
      <w:r w:rsidRPr="005813A9">
        <w:rPr>
          <w:lang w:eastAsia="en-GB"/>
        </w:rPr>
        <w:t>European Commission.</w:t>
      </w:r>
      <w:proofErr w:type="gramEnd"/>
      <w:r w:rsidRPr="005813A9">
        <w:rPr>
          <w:lang w:eastAsia="en-GB"/>
        </w:rPr>
        <w:t xml:space="preserve"> Environment, available at </w:t>
      </w:r>
      <w:hyperlink r:id="rId41" w:history="1">
        <w:r w:rsidRPr="00E4370E">
          <w:rPr>
            <w:rStyle w:val="Hyperlink"/>
            <w:rFonts w:cs="Times New Roman"/>
            <w:sz w:val="21"/>
            <w:szCs w:val="20"/>
            <w:lang w:eastAsia="en-GB"/>
          </w:rPr>
          <w:t>http://ec.europa.eu/environment/gpp/brochure_en.htm</w:t>
        </w:r>
      </w:hyperlink>
      <w:r>
        <w:rPr>
          <w:lang w:eastAsia="en-GB"/>
        </w:rPr>
        <w:t xml:space="preserve"> </w:t>
      </w:r>
    </w:p>
    <w:p w:rsidR="0005776F" w:rsidRDefault="0005776F" w:rsidP="00964A32">
      <w:pPr>
        <w:ind w:left="284" w:hanging="284"/>
        <w:jc w:val="left"/>
        <w:rPr>
          <w:lang w:eastAsia="en-GB"/>
        </w:rPr>
      </w:pPr>
      <w:r w:rsidRPr="0005776F">
        <w:rPr>
          <w:lang w:eastAsia="en-GB"/>
        </w:rPr>
        <w:t xml:space="preserve">Green Behaviour Encouraged through Strengthened Environmental Self-Identity. </w:t>
      </w:r>
      <w:proofErr w:type="gramStart"/>
      <w:r w:rsidRPr="0005776F">
        <w:rPr>
          <w:lang w:eastAsia="en-GB"/>
        </w:rPr>
        <w:t>Science for Environment Policy.</w:t>
      </w:r>
      <w:proofErr w:type="gramEnd"/>
      <w:r w:rsidRPr="0005776F">
        <w:rPr>
          <w:lang w:eastAsia="en-GB"/>
        </w:rPr>
        <w:t xml:space="preserve"> European Commission DG Environment News Alert Service, edited by SCU, The University of the West of England, Bristol. Issue 353, December 5, 2013, available at </w:t>
      </w:r>
      <w:hyperlink r:id="rId42" w:history="1">
        <w:r w:rsidRPr="006B3EF0">
          <w:rPr>
            <w:rStyle w:val="Hyperlink"/>
            <w:rFonts w:cs="Times New Roman"/>
            <w:sz w:val="21"/>
            <w:szCs w:val="20"/>
            <w:lang w:eastAsia="en-GB"/>
          </w:rPr>
          <w:t>http://ec.europa.eu/environment/integration/research/newsalert/pdf/353na5.pdf</w:t>
        </w:r>
      </w:hyperlink>
      <w:r>
        <w:rPr>
          <w:lang w:eastAsia="en-GB"/>
        </w:rPr>
        <w:t xml:space="preserve"> </w:t>
      </w:r>
    </w:p>
    <w:p w:rsidR="000F1BAC" w:rsidRDefault="000F1BAC" w:rsidP="00964A32">
      <w:pPr>
        <w:ind w:left="284" w:hanging="284"/>
        <w:jc w:val="left"/>
        <w:rPr>
          <w:lang w:eastAsia="en-GB"/>
        </w:rPr>
      </w:pPr>
      <w:proofErr w:type="gramStart"/>
      <w:r w:rsidRPr="000F1BAC">
        <w:rPr>
          <w:lang w:eastAsia="en-GB"/>
        </w:rPr>
        <w:t>Green Investment Scheme.</w:t>
      </w:r>
      <w:proofErr w:type="gramEnd"/>
      <w:r w:rsidRPr="000F1BAC">
        <w:rPr>
          <w:lang w:eastAsia="en-GB"/>
        </w:rPr>
        <w:t xml:space="preserve"> Ministry of the Environment of the Republic of Poland, available at </w:t>
      </w:r>
      <w:hyperlink r:id="rId43" w:history="1">
        <w:r w:rsidRPr="006B3EF0">
          <w:rPr>
            <w:rStyle w:val="Hyperlink"/>
            <w:rFonts w:cs="Times New Roman"/>
            <w:sz w:val="21"/>
            <w:szCs w:val="20"/>
            <w:lang w:eastAsia="en-GB"/>
          </w:rPr>
          <w:t>http://www.mos.gov.pl/kategoria/4945_green_investment_scheme/?j=en</w:t>
        </w:r>
      </w:hyperlink>
      <w:r>
        <w:rPr>
          <w:lang w:eastAsia="en-GB"/>
        </w:rPr>
        <w:t xml:space="preserve"> </w:t>
      </w:r>
    </w:p>
    <w:p w:rsidR="00964A32" w:rsidRDefault="00964A32" w:rsidP="00964A32">
      <w:pPr>
        <w:ind w:left="284" w:hanging="284"/>
        <w:jc w:val="left"/>
        <w:rPr>
          <w:lang w:eastAsia="en-GB"/>
        </w:rPr>
      </w:pPr>
      <w:r>
        <w:rPr>
          <w:lang w:eastAsia="en-GB"/>
        </w:rPr>
        <w:t xml:space="preserve">IBRD: Working with countries to achieve development results. World Bank, available at </w:t>
      </w:r>
      <w:hyperlink r:id="rId44" w:history="1">
        <w:r w:rsidRPr="00964A32">
          <w:rPr>
            <w:lang w:eastAsia="en-GB"/>
          </w:rPr>
          <w:t>http://siteresources.worldbank.org/EXTABOUTUS/Resources/IBRDResults.pdf</w:t>
        </w:r>
      </w:hyperlink>
      <w:r>
        <w:rPr>
          <w:lang w:eastAsia="en-GB"/>
        </w:rPr>
        <w:t xml:space="preserve"> </w:t>
      </w:r>
    </w:p>
    <w:p w:rsidR="002E6A03" w:rsidRDefault="002E6A03" w:rsidP="00964A32">
      <w:pPr>
        <w:ind w:left="284" w:hanging="284"/>
        <w:jc w:val="left"/>
        <w:rPr>
          <w:lang w:eastAsia="en-GB"/>
        </w:rPr>
      </w:pPr>
      <w:r w:rsidRPr="002E6A03">
        <w:rPr>
          <w:lang w:eastAsia="en-GB"/>
        </w:rPr>
        <w:t>Implementation of the European Neighbourhood Policy in Republic of Moldova Progress in 2012 and recommendations for action, European Commission Joint Staff Working Document (2013)</w:t>
      </w:r>
    </w:p>
    <w:p w:rsidR="00964A32" w:rsidRDefault="00964A32" w:rsidP="00964A32">
      <w:pPr>
        <w:ind w:left="284" w:hanging="284"/>
        <w:jc w:val="left"/>
        <w:rPr>
          <w:lang w:eastAsia="en-GB"/>
        </w:rPr>
      </w:pPr>
      <w:proofErr w:type="spellStart"/>
      <w:r w:rsidRPr="00964A32">
        <w:rPr>
          <w:lang w:eastAsia="en-GB"/>
        </w:rPr>
        <w:t>Informatīvais</w:t>
      </w:r>
      <w:proofErr w:type="spellEnd"/>
      <w:r w:rsidRPr="00964A32">
        <w:rPr>
          <w:lang w:eastAsia="en-GB"/>
        </w:rPr>
        <w:t xml:space="preserve"> </w:t>
      </w:r>
      <w:proofErr w:type="spellStart"/>
      <w:r w:rsidRPr="00964A32">
        <w:rPr>
          <w:lang w:eastAsia="en-GB"/>
        </w:rPr>
        <w:t>ziņojums</w:t>
      </w:r>
      <w:proofErr w:type="spellEnd"/>
      <w:r w:rsidRPr="00964A32">
        <w:rPr>
          <w:lang w:eastAsia="en-GB"/>
        </w:rPr>
        <w:t xml:space="preserve"> Par </w:t>
      </w:r>
      <w:proofErr w:type="spellStart"/>
      <w:r w:rsidRPr="00964A32">
        <w:rPr>
          <w:lang w:eastAsia="en-GB"/>
        </w:rPr>
        <w:t>pasākumiem</w:t>
      </w:r>
      <w:proofErr w:type="spellEnd"/>
      <w:r w:rsidRPr="00964A32">
        <w:rPr>
          <w:lang w:eastAsia="en-GB"/>
        </w:rPr>
        <w:t xml:space="preserve"> </w:t>
      </w:r>
      <w:proofErr w:type="spellStart"/>
      <w:r w:rsidRPr="00964A32">
        <w:rPr>
          <w:lang w:eastAsia="en-GB"/>
        </w:rPr>
        <w:t>Valsts</w:t>
      </w:r>
      <w:proofErr w:type="spellEnd"/>
      <w:r w:rsidRPr="00964A32">
        <w:rPr>
          <w:lang w:eastAsia="en-GB"/>
        </w:rPr>
        <w:t xml:space="preserve"> </w:t>
      </w:r>
      <w:proofErr w:type="spellStart"/>
      <w:r w:rsidRPr="00964A32">
        <w:rPr>
          <w:lang w:eastAsia="en-GB"/>
        </w:rPr>
        <w:t>kopējo</w:t>
      </w:r>
      <w:proofErr w:type="spellEnd"/>
      <w:r w:rsidRPr="00964A32">
        <w:rPr>
          <w:lang w:eastAsia="en-GB"/>
        </w:rPr>
        <w:t xml:space="preserve"> </w:t>
      </w:r>
      <w:proofErr w:type="spellStart"/>
      <w:r w:rsidRPr="00964A32">
        <w:rPr>
          <w:lang w:eastAsia="en-GB"/>
        </w:rPr>
        <w:t>emisiju</w:t>
      </w:r>
      <w:proofErr w:type="spellEnd"/>
      <w:r w:rsidRPr="00964A32">
        <w:rPr>
          <w:lang w:eastAsia="en-GB"/>
        </w:rPr>
        <w:t xml:space="preserve"> </w:t>
      </w:r>
      <w:proofErr w:type="spellStart"/>
      <w:r w:rsidRPr="00964A32">
        <w:rPr>
          <w:lang w:eastAsia="en-GB"/>
        </w:rPr>
        <w:t>gaisā</w:t>
      </w:r>
      <w:proofErr w:type="spellEnd"/>
      <w:r w:rsidRPr="00964A32">
        <w:rPr>
          <w:lang w:eastAsia="en-GB"/>
        </w:rPr>
        <w:t xml:space="preserve"> </w:t>
      </w:r>
      <w:proofErr w:type="spellStart"/>
      <w:r w:rsidRPr="00964A32">
        <w:rPr>
          <w:lang w:eastAsia="en-GB"/>
        </w:rPr>
        <w:t>samazināšanai</w:t>
      </w:r>
      <w:proofErr w:type="spellEnd"/>
      <w:r w:rsidRPr="00964A32">
        <w:rPr>
          <w:lang w:eastAsia="en-GB"/>
        </w:rPr>
        <w:t>, 2006 (Latvia’s National Programme under the National Emission Ceilings Directive, 2006)</w:t>
      </w:r>
    </w:p>
    <w:p w:rsidR="00EC0B12" w:rsidRDefault="00EC0B12" w:rsidP="00964A32">
      <w:pPr>
        <w:ind w:left="284" w:hanging="284"/>
        <w:jc w:val="left"/>
        <w:rPr>
          <w:lang w:eastAsia="en-GB"/>
        </w:rPr>
      </w:pPr>
      <w:r w:rsidRPr="00EC0B12">
        <w:rPr>
          <w:lang w:eastAsia="en-GB"/>
        </w:rPr>
        <w:t>Interfax Environmental and Energy Rating Agency</w:t>
      </w:r>
      <w:r>
        <w:rPr>
          <w:lang w:eastAsia="en-GB"/>
        </w:rPr>
        <w:t xml:space="preserve">, available at </w:t>
      </w:r>
      <w:hyperlink r:id="rId45" w:history="1">
        <w:r w:rsidRPr="006B3EF0">
          <w:rPr>
            <w:rStyle w:val="Hyperlink"/>
            <w:rFonts w:cs="Times New Roman"/>
            <w:sz w:val="21"/>
            <w:szCs w:val="20"/>
            <w:lang w:eastAsia="en-GB"/>
          </w:rPr>
          <w:t>http://interfax-era.ru/</w:t>
        </w:r>
      </w:hyperlink>
      <w:r>
        <w:rPr>
          <w:lang w:eastAsia="en-GB"/>
        </w:rPr>
        <w:t xml:space="preserve"> </w:t>
      </w:r>
    </w:p>
    <w:p w:rsidR="0005776F" w:rsidRDefault="0005776F" w:rsidP="00964A32">
      <w:pPr>
        <w:ind w:left="284" w:hanging="284"/>
        <w:jc w:val="left"/>
        <w:rPr>
          <w:lang w:eastAsia="en-GB"/>
        </w:rPr>
      </w:pPr>
      <w:proofErr w:type="gramStart"/>
      <w:r w:rsidRPr="0005776F">
        <w:rPr>
          <w:lang w:eastAsia="en-GB"/>
        </w:rPr>
        <w:t>ISO 14001 – Environmental Management.</w:t>
      </w:r>
      <w:proofErr w:type="gramEnd"/>
      <w:r w:rsidRPr="0005776F">
        <w:rPr>
          <w:lang w:eastAsia="en-GB"/>
        </w:rPr>
        <w:t xml:space="preserve"> ISO, available at </w:t>
      </w:r>
      <w:hyperlink r:id="rId46" w:history="1">
        <w:r w:rsidRPr="006B3EF0">
          <w:rPr>
            <w:rStyle w:val="Hyperlink"/>
            <w:rFonts w:cs="Times New Roman"/>
            <w:sz w:val="21"/>
            <w:szCs w:val="20"/>
            <w:lang w:eastAsia="en-GB"/>
          </w:rPr>
          <w:t>http://www.iso.org/iso/home/standards/management-standards/iso14000.htm</w:t>
        </w:r>
      </w:hyperlink>
      <w:r>
        <w:rPr>
          <w:lang w:eastAsia="en-GB"/>
        </w:rPr>
        <w:t xml:space="preserve"> </w:t>
      </w:r>
    </w:p>
    <w:p w:rsidR="0005776F" w:rsidRDefault="0005776F" w:rsidP="00964A32">
      <w:pPr>
        <w:ind w:left="284" w:hanging="284"/>
        <w:jc w:val="left"/>
        <w:rPr>
          <w:lang w:eastAsia="en-GB"/>
        </w:rPr>
      </w:pPr>
      <w:r w:rsidRPr="0005776F">
        <w:rPr>
          <w:lang w:eastAsia="en-GB"/>
        </w:rPr>
        <w:t xml:space="preserve">Kiss and Ride, available at </w:t>
      </w:r>
      <w:hyperlink r:id="rId47" w:history="1">
        <w:r w:rsidRPr="006B3EF0">
          <w:rPr>
            <w:rStyle w:val="Hyperlink"/>
            <w:rFonts w:cs="Times New Roman"/>
            <w:sz w:val="21"/>
            <w:szCs w:val="20"/>
            <w:lang w:eastAsia="en-GB"/>
          </w:rPr>
          <w:t>http://www.meinbezirk.at/eisenstadt/leute/kiss-and-ride-bahnfahrer-kuessen-besser-d437212.html</w:t>
        </w:r>
      </w:hyperlink>
      <w:r>
        <w:rPr>
          <w:lang w:eastAsia="en-GB"/>
        </w:rPr>
        <w:t xml:space="preserve"> </w:t>
      </w:r>
    </w:p>
    <w:p w:rsidR="00EC0B12" w:rsidRDefault="00EC0B12" w:rsidP="00964A32">
      <w:pPr>
        <w:ind w:left="284" w:hanging="284"/>
        <w:jc w:val="left"/>
        <w:rPr>
          <w:lang w:eastAsia="en-GB"/>
        </w:rPr>
      </w:pPr>
      <w:r w:rsidRPr="00EC0B12">
        <w:rPr>
          <w:lang w:eastAsia="en-GB"/>
        </w:rPr>
        <w:t>Law of Ukraine 21.12.2010 # 2818-VI</w:t>
      </w:r>
      <w:r>
        <w:rPr>
          <w:lang w:eastAsia="en-GB"/>
        </w:rPr>
        <w:t xml:space="preserve"> </w:t>
      </w:r>
    </w:p>
    <w:p w:rsidR="00986CD1" w:rsidRDefault="00986CD1" w:rsidP="00964A32">
      <w:pPr>
        <w:ind w:left="284" w:hanging="284"/>
        <w:jc w:val="left"/>
        <w:rPr>
          <w:lang w:eastAsia="en-GB"/>
        </w:rPr>
      </w:pPr>
      <w:proofErr w:type="spellStart"/>
      <w:proofErr w:type="gramStart"/>
      <w:r w:rsidRPr="00986CD1">
        <w:rPr>
          <w:lang w:eastAsia="en-GB"/>
        </w:rPr>
        <w:lastRenderedPageBreak/>
        <w:t>Lesáková</w:t>
      </w:r>
      <w:proofErr w:type="spellEnd"/>
      <w:r w:rsidRPr="00986CD1">
        <w:rPr>
          <w:lang w:eastAsia="en-GB"/>
        </w:rPr>
        <w:t xml:space="preserve">, </w:t>
      </w:r>
      <w:proofErr w:type="spellStart"/>
      <w:r w:rsidRPr="00986CD1">
        <w:rPr>
          <w:lang w:eastAsia="en-GB"/>
        </w:rPr>
        <w:t>Ľubica</w:t>
      </w:r>
      <w:proofErr w:type="spellEnd"/>
      <w:r w:rsidRPr="00986CD1">
        <w:rPr>
          <w:lang w:eastAsia="en-GB"/>
        </w:rPr>
        <w:t>.</w:t>
      </w:r>
      <w:proofErr w:type="gramEnd"/>
      <w:r w:rsidRPr="00986CD1">
        <w:rPr>
          <w:lang w:eastAsia="en-GB"/>
        </w:rPr>
        <w:t xml:space="preserve"> </w:t>
      </w:r>
      <w:proofErr w:type="gramStart"/>
      <w:r w:rsidRPr="00986CD1">
        <w:rPr>
          <w:lang w:eastAsia="en-GB"/>
        </w:rPr>
        <w:t>“The Role of Business Incubators in Supporting the SME Start-up”.</w:t>
      </w:r>
      <w:proofErr w:type="gramEnd"/>
      <w:r w:rsidRPr="00986CD1">
        <w:rPr>
          <w:lang w:eastAsia="en-GB"/>
        </w:rPr>
        <w:t xml:space="preserve"> </w:t>
      </w:r>
      <w:proofErr w:type="spellStart"/>
      <w:proofErr w:type="gramStart"/>
      <w:r w:rsidRPr="00986CD1">
        <w:rPr>
          <w:lang w:eastAsia="en-GB"/>
        </w:rPr>
        <w:t>Acta</w:t>
      </w:r>
      <w:proofErr w:type="spellEnd"/>
      <w:r w:rsidRPr="00986CD1">
        <w:rPr>
          <w:lang w:eastAsia="en-GB"/>
        </w:rPr>
        <w:t xml:space="preserve"> </w:t>
      </w:r>
      <w:proofErr w:type="spellStart"/>
      <w:r w:rsidRPr="00986CD1">
        <w:rPr>
          <w:lang w:eastAsia="en-GB"/>
        </w:rPr>
        <w:t>Polytechnica</w:t>
      </w:r>
      <w:proofErr w:type="spellEnd"/>
      <w:r w:rsidRPr="00986CD1">
        <w:rPr>
          <w:lang w:eastAsia="en-GB"/>
        </w:rPr>
        <w:t xml:space="preserve"> </w:t>
      </w:r>
      <w:proofErr w:type="spellStart"/>
      <w:r w:rsidRPr="00986CD1">
        <w:rPr>
          <w:lang w:eastAsia="en-GB"/>
        </w:rPr>
        <w:t>Hungarica</w:t>
      </w:r>
      <w:proofErr w:type="spellEnd"/>
      <w:r w:rsidRPr="00986CD1">
        <w:rPr>
          <w:lang w:eastAsia="en-GB"/>
        </w:rPr>
        <w:t>.</w:t>
      </w:r>
      <w:proofErr w:type="gramEnd"/>
      <w:r w:rsidRPr="00986CD1">
        <w:rPr>
          <w:lang w:eastAsia="en-GB"/>
        </w:rPr>
        <w:t xml:space="preserve"> Vol. 9, No. 3, 2012, available at </w:t>
      </w:r>
      <w:hyperlink r:id="rId48" w:history="1">
        <w:r w:rsidRPr="006B3EF0">
          <w:rPr>
            <w:rStyle w:val="Hyperlink"/>
            <w:rFonts w:cs="Times New Roman"/>
            <w:sz w:val="21"/>
            <w:szCs w:val="20"/>
            <w:lang w:eastAsia="en-GB"/>
          </w:rPr>
          <w:t>http://www.uni-obuda.hu/journal/Lesakova_35.pdf</w:t>
        </w:r>
      </w:hyperlink>
      <w:r>
        <w:rPr>
          <w:lang w:eastAsia="en-GB"/>
        </w:rPr>
        <w:t xml:space="preserve"> </w:t>
      </w:r>
    </w:p>
    <w:p w:rsidR="0005776F" w:rsidRDefault="0005776F" w:rsidP="00964A32">
      <w:pPr>
        <w:ind w:left="284" w:hanging="284"/>
        <w:jc w:val="left"/>
        <w:rPr>
          <w:lang w:eastAsia="en-GB"/>
        </w:rPr>
      </w:pPr>
      <w:r w:rsidRPr="0005776F">
        <w:rPr>
          <w:lang w:eastAsia="en-GB"/>
        </w:rPr>
        <w:t xml:space="preserve">Let’s Do It! available at </w:t>
      </w:r>
      <w:hyperlink r:id="rId49" w:history="1">
        <w:r w:rsidRPr="006B3EF0">
          <w:rPr>
            <w:rStyle w:val="Hyperlink"/>
            <w:rFonts w:cs="Times New Roman"/>
            <w:sz w:val="21"/>
            <w:szCs w:val="20"/>
            <w:lang w:eastAsia="en-GB"/>
          </w:rPr>
          <w:t>http://www.letsdoitworld.org/</w:t>
        </w:r>
      </w:hyperlink>
      <w:r>
        <w:rPr>
          <w:lang w:eastAsia="en-GB"/>
        </w:rPr>
        <w:t xml:space="preserve"> </w:t>
      </w:r>
    </w:p>
    <w:p w:rsidR="00EC0B12" w:rsidRDefault="00EC0B12" w:rsidP="00964A32">
      <w:pPr>
        <w:ind w:left="284" w:hanging="284"/>
        <w:jc w:val="left"/>
        <w:rPr>
          <w:lang w:eastAsia="en-GB"/>
        </w:rPr>
      </w:pPr>
      <w:proofErr w:type="spellStart"/>
      <w:r w:rsidRPr="00EC0B12">
        <w:rPr>
          <w:lang w:eastAsia="en-GB"/>
        </w:rPr>
        <w:t>Lindqvist</w:t>
      </w:r>
      <w:proofErr w:type="spellEnd"/>
      <w:r w:rsidRPr="00EC0B12">
        <w:rPr>
          <w:lang w:eastAsia="en-GB"/>
        </w:rPr>
        <w:t xml:space="preserve">, </w:t>
      </w:r>
      <w:proofErr w:type="spellStart"/>
      <w:r w:rsidRPr="00EC0B12">
        <w:rPr>
          <w:lang w:eastAsia="en-GB"/>
        </w:rPr>
        <w:t>Kajsa</w:t>
      </w:r>
      <w:proofErr w:type="spellEnd"/>
      <w:r w:rsidRPr="00EC0B12">
        <w:rPr>
          <w:lang w:eastAsia="en-GB"/>
        </w:rPr>
        <w:t xml:space="preserve">. </w:t>
      </w:r>
      <w:proofErr w:type="gramStart"/>
      <w:r w:rsidRPr="00EC0B12">
        <w:rPr>
          <w:lang w:eastAsia="en-GB"/>
        </w:rPr>
        <w:t>“Great Potential for Changing Behaviour”.</w:t>
      </w:r>
      <w:proofErr w:type="gramEnd"/>
      <w:r w:rsidRPr="00EC0B12">
        <w:rPr>
          <w:lang w:eastAsia="en-GB"/>
        </w:rPr>
        <w:t xml:space="preserve"> Acid News, No. 4, December 2012</w:t>
      </w:r>
      <w:r>
        <w:rPr>
          <w:lang w:eastAsia="en-GB"/>
        </w:rPr>
        <w:t xml:space="preserve"> </w:t>
      </w:r>
    </w:p>
    <w:p w:rsidR="002E6A03" w:rsidRDefault="002E6A03" w:rsidP="00964A32">
      <w:pPr>
        <w:ind w:left="284" w:hanging="284"/>
        <w:jc w:val="left"/>
        <w:rPr>
          <w:lang w:eastAsia="en-GB"/>
        </w:rPr>
      </w:pPr>
      <w:r w:rsidRPr="002E6A03">
        <w:rPr>
          <w:lang w:eastAsia="en-GB"/>
        </w:rPr>
        <w:t>Memorandum on development of mechanisms for interaction of business structures and the Ministry of Natural Resources and Environmental Protection</w:t>
      </w:r>
      <w:r>
        <w:rPr>
          <w:lang w:eastAsia="en-GB"/>
        </w:rPr>
        <w:t xml:space="preserve">, available at </w:t>
      </w:r>
      <w:hyperlink r:id="rId50" w:history="1">
        <w:r w:rsidRPr="006B3EF0">
          <w:rPr>
            <w:rStyle w:val="Hyperlink"/>
            <w:rFonts w:cs="Times New Roman"/>
            <w:sz w:val="21"/>
            <w:szCs w:val="20"/>
            <w:lang w:eastAsia="en-GB"/>
          </w:rPr>
          <w:t>http://www.belta.by/ru/all_news/society/Memorandum-o-vyrabotke-mexanizmov-vzaimodejstvija-biznes-struktur-i-Minprirody-podpisan-v-Minske_i_580452.html</w:t>
        </w:r>
      </w:hyperlink>
      <w:r>
        <w:rPr>
          <w:lang w:eastAsia="en-GB"/>
        </w:rPr>
        <w:t xml:space="preserve"> </w:t>
      </w:r>
    </w:p>
    <w:p w:rsidR="00986CD1" w:rsidRDefault="00986CD1" w:rsidP="00964A32">
      <w:pPr>
        <w:ind w:left="284" w:hanging="284"/>
        <w:jc w:val="left"/>
        <w:rPr>
          <w:lang w:eastAsia="en-GB"/>
        </w:rPr>
      </w:pPr>
      <w:proofErr w:type="spellStart"/>
      <w:r w:rsidRPr="00986CD1">
        <w:rPr>
          <w:lang w:eastAsia="en-GB"/>
        </w:rPr>
        <w:t>Meulepas</w:t>
      </w:r>
      <w:proofErr w:type="spellEnd"/>
      <w:r w:rsidRPr="00986CD1">
        <w:rPr>
          <w:lang w:eastAsia="en-GB"/>
        </w:rPr>
        <w:t xml:space="preserve">, Peter. </w:t>
      </w:r>
      <w:proofErr w:type="gramStart"/>
      <w:r w:rsidRPr="00986CD1">
        <w:rPr>
          <w:lang w:eastAsia="en-GB"/>
        </w:rPr>
        <w:t>Voluntary Agreements to Reduce SO</w:t>
      </w:r>
      <w:r w:rsidRPr="00986CD1">
        <w:rPr>
          <w:vertAlign w:val="subscript"/>
          <w:lang w:eastAsia="en-GB"/>
        </w:rPr>
        <w:t>2</w:t>
      </w:r>
      <w:r w:rsidRPr="00986CD1">
        <w:rPr>
          <w:lang w:eastAsia="en-GB"/>
        </w:rPr>
        <w:t xml:space="preserve"> and </w:t>
      </w:r>
      <w:proofErr w:type="spellStart"/>
      <w:r w:rsidRPr="00986CD1">
        <w:rPr>
          <w:lang w:eastAsia="en-GB"/>
        </w:rPr>
        <w:t>NOx</w:t>
      </w:r>
      <w:proofErr w:type="spellEnd"/>
      <w:r w:rsidRPr="00986CD1">
        <w:rPr>
          <w:lang w:eastAsia="en-GB"/>
        </w:rPr>
        <w:t xml:space="preserve"> Emissions of Power Stations in Flemish Region.</w:t>
      </w:r>
      <w:proofErr w:type="gramEnd"/>
      <w:r w:rsidRPr="00986CD1">
        <w:rPr>
          <w:lang w:eastAsia="en-GB"/>
        </w:rPr>
        <w:t xml:space="preserve"> 2013, available at </w:t>
      </w:r>
      <w:hyperlink r:id="rId51" w:history="1">
        <w:r w:rsidRPr="006B3EF0">
          <w:rPr>
            <w:rStyle w:val="Hyperlink"/>
            <w:rFonts w:cs="Times New Roman"/>
            <w:sz w:val="21"/>
            <w:szCs w:val="20"/>
            <w:lang w:eastAsia="en-GB"/>
          </w:rPr>
          <w:t>http://www.unece.org/fileadmin/DAM/env/documents/2013/air/wgsr_51/5_Reduction_of_SO2_and_NOx_through_a_voluntary_agreement_with_the_Flemish_power_plant_sector.pdf</w:t>
        </w:r>
      </w:hyperlink>
      <w:r>
        <w:rPr>
          <w:lang w:eastAsia="en-GB"/>
        </w:rPr>
        <w:t xml:space="preserve"> </w:t>
      </w:r>
    </w:p>
    <w:p w:rsidR="00964A32" w:rsidRDefault="00964A32" w:rsidP="00964A32">
      <w:pPr>
        <w:ind w:left="284" w:hanging="284"/>
        <w:jc w:val="left"/>
        <w:rPr>
          <w:lang w:eastAsia="en-GB"/>
        </w:rPr>
      </w:pPr>
      <w:proofErr w:type="gramStart"/>
      <w:r w:rsidRPr="00964A32">
        <w:rPr>
          <w:lang w:eastAsia="en-GB"/>
        </w:rPr>
        <w:t>Mobility.</w:t>
      </w:r>
      <w:proofErr w:type="gramEnd"/>
      <w:r w:rsidRPr="00964A32">
        <w:rPr>
          <w:lang w:eastAsia="en-GB"/>
        </w:rPr>
        <w:t xml:space="preserve"> Brussels, Sustainable City, available at </w:t>
      </w:r>
      <w:hyperlink r:id="rId52" w:history="1">
        <w:r w:rsidRPr="006B3EF0">
          <w:rPr>
            <w:rStyle w:val="Hyperlink"/>
            <w:rFonts w:cs="Times New Roman"/>
            <w:sz w:val="21"/>
            <w:szCs w:val="20"/>
            <w:lang w:eastAsia="en-GB"/>
          </w:rPr>
          <w:t>http://www.sustainablecity.be/themas/mobility</w:t>
        </w:r>
      </w:hyperlink>
      <w:r>
        <w:rPr>
          <w:lang w:eastAsia="en-GB"/>
        </w:rPr>
        <w:t xml:space="preserve"> </w:t>
      </w:r>
    </w:p>
    <w:p w:rsidR="002E6A03" w:rsidRDefault="002E6A03" w:rsidP="00964A32">
      <w:pPr>
        <w:ind w:left="284" w:hanging="284"/>
        <w:jc w:val="left"/>
        <w:rPr>
          <w:lang w:eastAsia="en-GB"/>
        </w:rPr>
      </w:pPr>
      <w:r w:rsidRPr="002E6A03">
        <w:rPr>
          <w:lang w:eastAsia="en-GB"/>
        </w:rPr>
        <w:t>Moldovan Sustainable Energy Financing facility</w:t>
      </w:r>
      <w:r>
        <w:rPr>
          <w:lang w:eastAsia="en-GB"/>
        </w:rPr>
        <w:t>,</w:t>
      </w:r>
      <w:r w:rsidRPr="002E6A03">
        <w:rPr>
          <w:lang w:eastAsia="en-GB"/>
        </w:rPr>
        <w:t xml:space="preserve"> available at </w:t>
      </w:r>
      <w:hyperlink r:id="rId53" w:history="1">
        <w:r w:rsidRPr="006B3EF0">
          <w:rPr>
            <w:rStyle w:val="Hyperlink"/>
            <w:rFonts w:cs="Times New Roman"/>
            <w:sz w:val="21"/>
            <w:szCs w:val="20"/>
            <w:lang w:eastAsia="en-GB"/>
          </w:rPr>
          <w:t>http://www.moseff.org/index.php?id=1&amp;L=1</w:t>
        </w:r>
      </w:hyperlink>
      <w:r>
        <w:rPr>
          <w:lang w:eastAsia="en-GB"/>
        </w:rPr>
        <w:t xml:space="preserve"> </w:t>
      </w:r>
    </w:p>
    <w:p w:rsidR="00EC0B12" w:rsidRDefault="00EC0B12" w:rsidP="00964A32">
      <w:pPr>
        <w:ind w:left="284" w:hanging="284"/>
        <w:jc w:val="left"/>
        <w:rPr>
          <w:lang w:eastAsia="en-GB"/>
        </w:rPr>
      </w:pPr>
      <w:proofErr w:type="spellStart"/>
      <w:r w:rsidRPr="00EC0B12">
        <w:rPr>
          <w:lang w:eastAsia="en-GB"/>
        </w:rPr>
        <w:t>Nitsevych</w:t>
      </w:r>
      <w:proofErr w:type="spellEnd"/>
      <w:r w:rsidRPr="00EC0B12">
        <w:rPr>
          <w:lang w:eastAsia="en-GB"/>
        </w:rPr>
        <w:t xml:space="preserve">, Arthur. </w:t>
      </w:r>
      <w:proofErr w:type="gramStart"/>
      <w:r w:rsidRPr="00EC0B12">
        <w:rPr>
          <w:lang w:eastAsia="en-GB"/>
        </w:rPr>
        <w:t>Environment Law in Ukraine.</w:t>
      </w:r>
      <w:proofErr w:type="gramEnd"/>
      <w:r w:rsidRPr="00EC0B12">
        <w:rPr>
          <w:lang w:eastAsia="en-GB"/>
        </w:rPr>
        <w:t xml:space="preserve"> April 28, 2009, available at </w:t>
      </w:r>
      <w:hyperlink r:id="rId54" w:history="1">
        <w:r w:rsidRPr="006B3EF0">
          <w:rPr>
            <w:rStyle w:val="Hyperlink"/>
            <w:rFonts w:cs="Times New Roman"/>
            <w:sz w:val="21"/>
            <w:szCs w:val="20"/>
            <w:lang w:eastAsia="en-GB"/>
          </w:rPr>
          <w:t>http://www.hg.org/article.asp?id=6264</w:t>
        </w:r>
      </w:hyperlink>
      <w:r>
        <w:rPr>
          <w:lang w:eastAsia="en-GB"/>
        </w:rPr>
        <w:t xml:space="preserve"> </w:t>
      </w:r>
    </w:p>
    <w:p w:rsidR="00964A32" w:rsidRDefault="00964A32" w:rsidP="00964A32">
      <w:pPr>
        <w:ind w:left="284" w:hanging="284"/>
        <w:jc w:val="left"/>
        <w:rPr>
          <w:lang w:eastAsia="en-GB"/>
        </w:rPr>
      </w:pPr>
      <w:r w:rsidRPr="00964A32">
        <w:rPr>
          <w:lang w:eastAsia="en-GB"/>
        </w:rPr>
        <w:t xml:space="preserve">Nordic </w:t>
      </w:r>
      <w:proofErr w:type="spellStart"/>
      <w:r w:rsidRPr="00964A32">
        <w:rPr>
          <w:lang w:eastAsia="en-GB"/>
        </w:rPr>
        <w:t>Ecolabelling</w:t>
      </w:r>
      <w:proofErr w:type="spellEnd"/>
      <w:r w:rsidRPr="00964A32">
        <w:rPr>
          <w:lang w:eastAsia="en-GB"/>
        </w:rPr>
        <w:t xml:space="preserve">, available at </w:t>
      </w:r>
      <w:hyperlink r:id="rId55" w:history="1">
        <w:r w:rsidRPr="006B3EF0">
          <w:rPr>
            <w:rStyle w:val="Hyperlink"/>
            <w:rFonts w:cs="Times New Roman"/>
            <w:sz w:val="21"/>
            <w:szCs w:val="20"/>
            <w:lang w:eastAsia="en-GB"/>
          </w:rPr>
          <w:t>http://www.nordic-ecolabel.org/</w:t>
        </w:r>
      </w:hyperlink>
      <w:r>
        <w:rPr>
          <w:lang w:eastAsia="en-GB"/>
        </w:rPr>
        <w:t xml:space="preserve"> </w:t>
      </w:r>
    </w:p>
    <w:p w:rsidR="00964A32" w:rsidRDefault="00964A32" w:rsidP="00964A32">
      <w:pPr>
        <w:ind w:left="284" w:hanging="284"/>
        <w:jc w:val="left"/>
        <w:rPr>
          <w:lang w:eastAsia="en-GB"/>
        </w:rPr>
      </w:pPr>
      <w:proofErr w:type="gramStart"/>
      <w:r w:rsidRPr="00964A32">
        <w:rPr>
          <w:lang w:eastAsia="en-GB"/>
        </w:rPr>
        <w:t>Operational Programme Infrastructure and Environment.</w:t>
      </w:r>
      <w:proofErr w:type="gramEnd"/>
      <w:r w:rsidRPr="00964A32">
        <w:rPr>
          <w:lang w:eastAsia="en-GB"/>
        </w:rPr>
        <w:t xml:space="preserve"> The National Strategic Reference Framework for the years 2007-2013. Ministry of Regional Development of the Republic of Poland, 2007</w:t>
      </w:r>
    </w:p>
    <w:p w:rsidR="002E6A03" w:rsidRDefault="002E6A03" w:rsidP="00964A32">
      <w:pPr>
        <w:ind w:left="284" w:hanging="284"/>
        <w:jc w:val="left"/>
        <w:rPr>
          <w:lang w:eastAsia="en-GB"/>
        </w:rPr>
      </w:pPr>
      <w:proofErr w:type="gramStart"/>
      <w:r w:rsidRPr="002E6A03">
        <w:rPr>
          <w:lang w:eastAsia="en-GB"/>
        </w:rPr>
        <w:t>Overview of Russian Environmental Regulation.</w:t>
      </w:r>
      <w:proofErr w:type="gramEnd"/>
      <w:r w:rsidRPr="002E6A03">
        <w:rPr>
          <w:lang w:eastAsia="en-GB"/>
        </w:rPr>
        <w:t xml:space="preserve"> </w:t>
      </w:r>
      <w:proofErr w:type="gramStart"/>
      <w:r w:rsidRPr="002E6A03">
        <w:rPr>
          <w:lang w:eastAsia="en-GB"/>
        </w:rPr>
        <w:t>King &amp;</w:t>
      </w:r>
      <w:proofErr w:type="gramEnd"/>
      <w:r w:rsidRPr="002E6A03">
        <w:rPr>
          <w:lang w:eastAsia="en-GB"/>
        </w:rPr>
        <w:t xml:space="preserve"> Spalding, 2012, available at </w:t>
      </w:r>
      <w:hyperlink r:id="rId56" w:history="1">
        <w:r w:rsidRPr="006B3EF0">
          <w:rPr>
            <w:rStyle w:val="Hyperlink"/>
            <w:rFonts w:cs="Times New Roman"/>
            <w:sz w:val="21"/>
            <w:szCs w:val="20"/>
            <w:lang w:eastAsia="en-GB"/>
          </w:rPr>
          <w:t>http://www.kslaw.com/imageserver/KSPublic/library/publication/RussianEnvironmental.pdf</w:t>
        </w:r>
      </w:hyperlink>
      <w:r>
        <w:rPr>
          <w:lang w:eastAsia="en-GB"/>
        </w:rPr>
        <w:t xml:space="preserve"> </w:t>
      </w:r>
    </w:p>
    <w:p w:rsidR="0005776F" w:rsidRDefault="0005776F" w:rsidP="00964A32">
      <w:pPr>
        <w:ind w:left="284" w:hanging="284"/>
        <w:jc w:val="left"/>
        <w:rPr>
          <w:lang w:eastAsia="en-GB"/>
        </w:rPr>
      </w:pPr>
      <w:r w:rsidRPr="0005776F">
        <w:rPr>
          <w:lang w:eastAsia="en-GB"/>
        </w:rPr>
        <w:t xml:space="preserve">Park and Ride, available at </w:t>
      </w:r>
      <w:hyperlink r:id="rId57" w:history="1">
        <w:r w:rsidRPr="006B3EF0">
          <w:rPr>
            <w:rStyle w:val="Hyperlink"/>
            <w:rFonts w:cs="Times New Roman"/>
            <w:sz w:val="21"/>
            <w:szCs w:val="20"/>
            <w:lang w:eastAsia="en-GB"/>
          </w:rPr>
          <w:t>http://en.wikipedia.org/wiki/Park_and_ride</w:t>
        </w:r>
      </w:hyperlink>
      <w:r>
        <w:rPr>
          <w:lang w:eastAsia="en-GB"/>
        </w:rPr>
        <w:t xml:space="preserve"> </w:t>
      </w:r>
    </w:p>
    <w:p w:rsidR="00964A32" w:rsidRDefault="00964A32" w:rsidP="00964A32">
      <w:pPr>
        <w:ind w:left="284" w:hanging="284"/>
        <w:jc w:val="left"/>
        <w:rPr>
          <w:lang w:eastAsia="en-GB"/>
        </w:rPr>
      </w:pPr>
      <w:r w:rsidRPr="00964A32">
        <w:rPr>
          <w:lang w:eastAsia="en-GB"/>
        </w:rPr>
        <w:t xml:space="preserve">Polish Funds, available at </w:t>
      </w:r>
      <w:hyperlink r:id="rId58" w:history="1">
        <w:r w:rsidRPr="006B3EF0">
          <w:rPr>
            <w:rStyle w:val="Hyperlink"/>
            <w:rFonts w:cs="Times New Roman"/>
            <w:sz w:val="21"/>
            <w:szCs w:val="20"/>
            <w:lang w:eastAsia="en-GB"/>
          </w:rPr>
          <w:t>http://www.ekoportal.gov.pl/opencms/opencms/ekoportal/en/ForEntrepreneurs/PolishFunds/</w:t>
        </w:r>
      </w:hyperlink>
      <w:r>
        <w:rPr>
          <w:lang w:eastAsia="en-GB"/>
        </w:rPr>
        <w:t xml:space="preserve"> </w:t>
      </w:r>
    </w:p>
    <w:p w:rsidR="00964A32" w:rsidRDefault="00964A32" w:rsidP="00964A32">
      <w:pPr>
        <w:ind w:left="284" w:hanging="284"/>
        <w:jc w:val="left"/>
        <w:rPr>
          <w:lang w:eastAsia="en-GB"/>
        </w:rPr>
      </w:pPr>
      <w:proofErr w:type="gramStart"/>
      <w:r w:rsidRPr="00964A32">
        <w:rPr>
          <w:lang w:eastAsia="en-GB"/>
        </w:rPr>
        <w:t>Programmes.</w:t>
      </w:r>
      <w:proofErr w:type="gramEnd"/>
      <w:r w:rsidRPr="00964A32">
        <w:rPr>
          <w:lang w:eastAsia="en-GB"/>
        </w:rPr>
        <w:t xml:space="preserve"> Ministry of the Environment of the Republic of Poland, available at </w:t>
      </w:r>
      <w:hyperlink r:id="rId59" w:history="1">
        <w:r w:rsidRPr="006B3EF0">
          <w:rPr>
            <w:rStyle w:val="Hyperlink"/>
            <w:rFonts w:cs="Times New Roman"/>
            <w:sz w:val="21"/>
            <w:szCs w:val="20"/>
            <w:lang w:eastAsia="en-GB"/>
          </w:rPr>
          <w:t>http://www.mos.gov.pl/kategoria/4950_programmes_and_rank_lists/</w:t>
        </w:r>
      </w:hyperlink>
      <w:r>
        <w:rPr>
          <w:lang w:eastAsia="en-GB"/>
        </w:rPr>
        <w:t xml:space="preserve"> </w:t>
      </w:r>
    </w:p>
    <w:p w:rsidR="00964A32" w:rsidRDefault="00964A32" w:rsidP="00964A32">
      <w:pPr>
        <w:ind w:left="284" w:hanging="284"/>
        <w:jc w:val="left"/>
        <w:rPr>
          <w:lang w:eastAsia="en-GB"/>
        </w:rPr>
      </w:pPr>
      <w:r w:rsidRPr="00964A32">
        <w:rPr>
          <w:lang w:eastAsia="en-GB"/>
        </w:rPr>
        <w:t>Republic of Poland, Report on the Directive 2001/81/EC of the European parliament and of the Council of 23 October 2001 on national emission ceilings for certain atmospheric pollutants, 2007</w:t>
      </w:r>
      <w:r>
        <w:rPr>
          <w:lang w:eastAsia="en-GB"/>
        </w:rPr>
        <w:t xml:space="preserve"> </w:t>
      </w:r>
    </w:p>
    <w:p w:rsidR="00EC0B12" w:rsidRDefault="00EC0B12" w:rsidP="00964A32">
      <w:pPr>
        <w:ind w:left="284" w:hanging="284"/>
        <w:jc w:val="left"/>
        <w:rPr>
          <w:lang w:eastAsia="en-GB"/>
        </w:rPr>
      </w:pPr>
      <w:r w:rsidRPr="00EC0B12">
        <w:rPr>
          <w:lang w:eastAsia="en-GB"/>
        </w:rPr>
        <w:t xml:space="preserve">Resolution 15-6, adopted in St. Petersburg on 13.06.2000 at the 15th plenary session of the </w:t>
      </w:r>
      <w:proofErr w:type="spellStart"/>
      <w:r w:rsidRPr="00EC0B12">
        <w:rPr>
          <w:lang w:eastAsia="en-GB"/>
        </w:rPr>
        <w:t>Interparliamentary</w:t>
      </w:r>
      <w:proofErr w:type="spellEnd"/>
      <w:r w:rsidRPr="00EC0B12">
        <w:rPr>
          <w:lang w:eastAsia="en-GB"/>
        </w:rPr>
        <w:t xml:space="preserve"> Assembly of the CIS member states</w:t>
      </w:r>
    </w:p>
    <w:p w:rsidR="000F1BAC" w:rsidRDefault="000F1BAC" w:rsidP="00964A32">
      <w:pPr>
        <w:ind w:left="284" w:hanging="284"/>
        <w:jc w:val="left"/>
        <w:rPr>
          <w:lang w:eastAsia="en-GB"/>
        </w:rPr>
      </w:pPr>
      <w:r w:rsidRPr="000F1BAC">
        <w:rPr>
          <w:lang w:eastAsia="en-GB"/>
        </w:rPr>
        <w:t>Resolution of the Council of Ministers of the Republic of Belarus from 17.02.2012 № 156 (as amended on 04.10.2013) “On approval of the unified list of administrative procedures…</w:t>
      </w:r>
      <w:proofErr w:type="gramStart"/>
      <w:r w:rsidRPr="000F1BAC">
        <w:rPr>
          <w:lang w:eastAsia="en-GB"/>
        </w:rPr>
        <w:t>”.</w:t>
      </w:r>
      <w:proofErr w:type="gramEnd"/>
      <w:r w:rsidRPr="000F1BAC">
        <w:rPr>
          <w:lang w:eastAsia="en-GB"/>
        </w:rPr>
        <w:t xml:space="preserve">  minsk.gov.by/</w:t>
      </w:r>
      <w:proofErr w:type="spellStart"/>
      <w:r w:rsidRPr="000F1BAC">
        <w:rPr>
          <w:lang w:eastAsia="en-GB"/>
        </w:rPr>
        <w:t>ru</w:t>
      </w:r>
      <w:proofErr w:type="spellEnd"/>
      <w:r w:rsidRPr="000F1BAC">
        <w:rPr>
          <w:lang w:eastAsia="en-GB"/>
        </w:rPr>
        <w:t>/org/5194/attach/d595817/post_sm_156_red_883.doc</w:t>
      </w:r>
      <w:r>
        <w:rPr>
          <w:lang w:eastAsia="en-GB"/>
        </w:rPr>
        <w:t xml:space="preserve"> </w:t>
      </w:r>
    </w:p>
    <w:p w:rsidR="000F1BAC" w:rsidRDefault="000F1BAC" w:rsidP="00964A32">
      <w:pPr>
        <w:ind w:left="284" w:hanging="284"/>
        <w:jc w:val="left"/>
        <w:rPr>
          <w:lang w:eastAsia="en-GB"/>
        </w:rPr>
      </w:pPr>
      <w:proofErr w:type="gramStart"/>
      <w:r w:rsidRPr="000F1BAC">
        <w:rPr>
          <w:lang w:eastAsia="en-GB"/>
        </w:rPr>
        <w:t>“RIO+20” National Assessment Report, Republic of Armenia, 2012.</w:t>
      </w:r>
      <w:proofErr w:type="gramEnd"/>
      <w:r w:rsidRPr="000F1BAC">
        <w:rPr>
          <w:lang w:eastAsia="en-GB"/>
        </w:rPr>
        <w:t xml:space="preserve"> </w:t>
      </w:r>
      <w:proofErr w:type="gramStart"/>
      <w:r w:rsidRPr="000F1BAC">
        <w:rPr>
          <w:lang w:eastAsia="en-GB"/>
        </w:rPr>
        <w:t>available</w:t>
      </w:r>
      <w:proofErr w:type="gramEnd"/>
      <w:r w:rsidRPr="000F1BAC">
        <w:rPr>
          <w:lang w:eastAsia="en-GB"/>
        </w:rPr>
        <w:t xml:space="preserve"> at </w:t>
      </w:r>
      <w:hyperlink r:id="rId60" w:history="1">
        <w:r w:rsidRPr="006B3EF0">
          <w:rPr>
            <w:rStyle w:val="Hyperlink"/>
            <w:rFonts w:cs="Times New Roman"/>
            <w:sz w:val="21"/>
            <w:szCs w:val="20"/>
            <w:lang w:eastAsia="en-GB"/>
          </w:rPr>
          <w:t>http://www.mnp.am/?p=169</w:t>
        </w:r>
      </w:hyperlink>
      <w:r>
        <w:rPr>
          <w:lang w:eastAsia="en-GB"/>
        </w:rPr>
        <w:t xml:space="preserve"> </w:t>
      </w:r>
    </w:p>
    <w:p w:rsidR="00EC0B12" w:rsidRDefault="00EC0B12" w:rsidP="00964A32">
      <w:pPr>
        <w:ind w:left="284" w:hanging="284"/>
        <w:jc w:val="left"/>
        <w:rPr>
          <w:lang w:eastAsia="en-GB"/>
        </w:rPr>
      </w:pPr>
      <w:proofErr w:type="gramStart"/>
      <w:r w:rsidRPr="00EC0B12">
        <w:rPr>
          <w:lang w:eastAsia="en-GB"/>
        </w:rPr>
        <w:lastRenderedPageBreak/>
        <w:t>Rio Declaration on Environment and Development.</w:t>
      </w:r>
      <w:proofErr w:type="gramEnd"/>
      <w:r w:rsidRPr="00EC0B12">
        <w:rPr>
          <w:lang w:eastAsia="en-GB"/>
        </w:rPr>
        <w:t xml:space="preserve"> UN General Assembly, Rio de Janeiro, 3-14 June 1992</w:t>
      </w:r>
    </w:p>
    <w:p w:rsidR="00964A32" w:rsidRDefault="00964A32" w:rsidP="00964A32">
      <w:pPr>
        <w:ind w:left="284" w:hanging="284"/>
        <w:jc w:val="left"/>
        <w:rPr>
          <w:lang w:eastAsia="en-GB"/>
        </w:rPr>
      </w:pPr>
      <w:proofErr w:type="gramStart"/>
      <w:r w:rsidRPr="00964A32">
        <w:rPr>
          <w:lang w:eastAsia="en-GB"/>
        </w:rPr>
        <w:t>Special Climate Change Fund.</w:t>
      </w:r>
      <w:proofErr w:type="gramEnd"/>
      <w:r w:rsidRPr="00964A32">
        <w:rPr>
          <w:lang w:eastAsia="en-GB"/>
        </w:rPr>
        <w:t xml:space="preserve"> Climate Funds Update. </w:t>
      </w:r>
      <w:proofErr w:type="gramStart"/>
      <w:r w:rsidRPr="00964A32">
        <w:rPr>
          <w:lang w:eastAsia="en-GB"/>
        </w:rPr>
        <w:t>available</w:t>
      </w:r>
      <w:proofErr w:type="gramEnd"/>
      <w:r w:rsidRPr="00964A32">
        <w:rPr>
          <w:lang w:eastAsia="en-GB"/>
        </w:rPr>
        <w:t xml:space="preserve"> at </w:t>
      </w:r>
      <w:hyperlink r:id="rId61" w:history="1">
        <w:r w:rsidRPr="006B3EF0">
          <w:rPr>
            <w:rStyle w:val="Hyperlink"/>
            <w:rFonts w:cs="Times New Roman"/>
            <w:sz w:val="21"/>
            <w:szCs w:val="20"/>
            <w:lang w:eastAsia="en-GB"/>
          </w:rPr>
          <w:t>http://www.climatefundsupdate.org/listing/special-climate-change-fund</w:t>
        </w:r>
      </w:hyperlink>
      <w:r>
        <w:rPr>
          <w:lang w:eastAsia="en-GB"/>
        </w:rPr>
        <w:t xml:space="preserve"> </w:t>
      </w:r>
    </w:p>
    <w:p w:rsidR="000F1BAC" w:rsidRDefault="000F1BAC" w:rsidP="00964A32">
      <w:pPr>
        <w:ind w:left="284" w:hanging="284"/>
        <w:jc w:val="left"/>
        <w:rPr>
          <w:lang w:eastAsia="en-GB"/>
        </w:rPr>
      </w:pPr>
      <w:r w:rsidRPr="000F1BAC">
        <w:rPr>
          <w:lang w:eastAsia="en-GB"/>
        </w:rPr>
        <w:t xml:space="preserve">State of the Environment Azerbaijan, available at </w:t>
      </w:r>
      <w:hyperlink r:id="rId62" w:history="1">
        <w:r w:rsidRPr="006B3EF0">
          <w:rPr>
            <w:rStyle w:val="Hyperlink"/>
            <w:rFonts w:cs="Times New Roman"/>
            <w:sz w:val="21"/>
            <w:szCs w:val="20"/>
            <w:lang w:eastAsia="en-GB"/>
          </w:rPr>
          <w:t>http://enrin.grida.no/htmls/azer/soe/ecology/html/environmental_policy.html</w:t>
        </w:r>
      </w:hyperlink>
      <w:r>
        <w:rPr>
          <w:lang w:eastAsia="en-GB"/>
        </w:rPr>
        <w:t xml:space="preserve"> </w:t>
      </w:r>
    </w:p>
    <w:p w:rsidR="00964A32" w:rsidRDefault="00964A32" w:rsidP="00964A32">
      <w:pPr>
        <w:ind w:left="284" w:hanging="284"/>
        <w:jc w:val="left"/>
        <w:rPr>
          <w:lang w:eastAsia="en-GB"/>
        </w:rPr>
      </w:pPr>
      <w:proofErr w:type="gramStart"/>
      <w:r w:rsidRPr="00964A32">
        <w:rPr>
          <w:lang w:eastAsia="en-GB"/>
        </w:rPr>
        <w:t>Sustainable building.</w:t>
      </w:r>
      <w:proofErr w:type="gramEnd"/>
      <w:r w:rsidRPr="00964A32">
        <w:rPr>
          <w:lang w:eastAsia="en-GB"/>
        </w:rPr>
        <w:t xml:space="preserve"> Brussels, Sustainable City, available at </w:t>
      </w:r>
      <w:hyperlink r:id="rId63" w:history="1">
        <w:r w:rsidRPr="006B3EF0">
          <w:rPr>
            <w:rStyle w:val="Hyperlink"/>
            <w:rFonts w:cs="Times New Roman"/>
            <w:sz w:val="21"/>
            <w:szCs w:val="20"/>
            <w:lang w:eastAsia="en-GB"/>
          </w:rPr>
          <w:t>http://www.sustainablecity.be/themas/sustainable-building</w:t>
        </w:r>
      </w:hyperlink>
      <w:r>
        <w:rPr>
          <w:lang w:eastAsia="en-GB"/>
        </w:rPr>
        <w:t xml:space="preserve"> </w:t>
      </w:r>
    </w:p>
    <w:p w:rsidR="000F1BAC" w:rsidRDefault="000F1BAC" w:rsidP="00964A32">
      <w:pPr>
        <w:ind w:left="284" w:hanging="284"/>
        <w:jc w:val="left"/>
        <w:rPr>
          <w:lang w:eastAsia="en-GB"/>
        </w:rPr>
      </w:pPr>
      <w:proofErr w:type="gramStart"/>
      <w:r w:rsidRPr="000F1BAC">
        <w:rPr>
          <w:lang w:eastAsia="en-GB"/>
        </w:rPr>
        <w:t>Tax Code of the Republic of Belarus (Special Part).</w:t>
      </w:r>
      <w:proofErr w:type="gramEnd"/>
      <w:r w:rsidRPr="000F1BAC">
        <w:rPr>
          <w:lang w:eastAsia="en-GB"/>
        </w:rPr>
        <w:t xml:space="preserve"> </w:t>
      </w:r>
      <w:hyperlink r:id="rId64" w:history="1">
        <w:r w:rsidRPr="006B3EF0">
          <w:rPr>
            <w:rStyle w:val="Hyperlink"/>
            <w:rFonts w:cs="Times New Roman"/>
            <w:sz w:val="21"/>
            <w:szCs w:val="20"/>
            <w:lang w:eastAsia="en-GB"/>
          </w:rPr>
          <w:t>http://minsk.gov.by/ru/org/8643/attach/263b953/kontrol_nalog_kodeks.shtml</w:t>
        </w:r>
      </w:hyperlink>
      <w:r>
        <w:rPr>
          <w:lang w:eastAsia="en-GB"/>
        </w:rPr>
        <w:t xml:space="preserve"> </w:t>
      </w:r>
    </w:p>
    <w:p w:rsidR="0005776F" w:rsidRDefault="0005776F" w:rsidP="00964A32">
      <w:pPr>
        <w:ind w:left="284" w:hanging="284"/>
        <w:jc w:val="left"/>
        <w:rPr>
          <w:lang w:eastAsia="en-GB"/>
        </w:rPr>
      </w:pPr>
      <w:r w:rsidRPr="0005776F">
        <w:rPr>
          <w:lang w:eastAsia="en-GB"/>
        </w:rPr>
        <w:t xml:space="preserve">The Big Cleanup </w:t>
      </w:r>
      <w:proofErr w:type="gramStart"/>
      <w:r w:rsidRPr="0005776F">
        <w:rPr>
          <w:lang w:eastAsia="en-GB"/>
        </w:rPr>
        <w:t>Over</w:t>
      </w:r>
      <w:proofErr w:type="gramEnd"/>
      <w:r w:rsidRPr="0005776F">
        <w:rPr>
          <w:lang w:eastAsia="en-GB"/>
        </w:rPr>
        <w:t xml:space="preserve"> All Latvia, available at </w:t>
      </w:r>
      <w:hyperlink r:id="rId65" w:history="1">
        <w:r w:rsidRPr="006B3EF0">
          <w:rPr>
            <w:rStyle w:val="Hyperlink"/>
            <w:rFonts w:cs="Times New Roman"/>
            <w:sz w:val="21"/>
            <w:szCs w:val="20"/>
            <w:lang w:eastAsia="en-GB"/>
          </w:rPr>
          <w:t>http://www.talkas.lv/?lng=en</w:t>
        </w:r>
      </w:hyperlink>
      <w:r>
        <w:rPr>
          <w:lang w:eastAsia="en-GB"/>
        </w:rPr>
        <w:t xml:space="preserve"> </w:t>
      </w:r>
    </w:p>
    <w:p w:rsidR="00986CD1" w:rsidRDefault="00986CD1" w:rsidP="00964A32">
      <w:pPr>
        <w:ind w:left="284" w:hanging="284"/>
        <w:jc w:val="left"/>
        <w:rPr>
          <w:lang w:eastAsia="en-GB"/>
        </w:rPr>
      </w:pPr>
      <w:r w:rsidRPr="00986CD1">
        <w:rPr>
          <w:lang w:eastAsia="en-GB"/>
        </w:rPr>
        <w:t>The Early Transition Countries Fund, EBRD, June 2013</w:t>
      </w:r>
    </w:p>
    <w:p w:rsidR="00EC0B12" w:rsidRDefault="00EC0B12" w:rsidP="00964A32">
      <w:pPr>
        <w:ind w:left="284" w:hanging="284"/>
        <w:jc w:val="left"/>
        <w:rPr>
          <w:lang w:eastAsia="en-GB"/>
        </w:rPr>
      </w:pPr>
      <w:r w:rsidRPr="00EC0B12">
        <w:rPr>
          <w:lang w:eastAsia="en-GB"/>
        </w:rPr>
        <w:t>The Federal Law of 27.07.2010 N 225 (as amended on 23.07.2013.) “On mandatory civil liability insurance of the owner of a dangerous object for injury resulting from an accident at the dangerous object”</w:t>
      </w:r>
    </w:p>
    <w:p w:rsidR="002E6A03" w:rsidRDefault="002E6A03" w:rsidP="00964A32">
      <w:pPr>
        <w:ind w:left="284" w:hanging="284"/>
        <w:jc w:val="left"/>
        <w:rPr>
          <w:lang w:eastAsia="en-GB"/>
        </w:rPr>
      </w:pPr>
      <w:r w:rsidRPr="002E6A03">
        <w:rPr>
          <w:lang w:eastAsia="en-GB"/>
        </w:rPr>
        <w:t xml:space="preserve">The Law of the Republic of Belarus “On Renewable Energy Sources”, December 27, 2010 № 204-Z. </w:t>
      </w:r>
      <w:hyperlink r:id="rId66" w:history="1">
        <w:r w:rsidRPr="006B3EF0">
          <w:rPr>
            <w:rStyle w:val="Hyperlink"/>
            <w:rFonts w:cs="Times New Roman"/>
            <w:sz w:val="21"/>
            <w:szCs w:val="20"/>
            <w:lang w:eastAsia="en-GB"/>
          </w:rPr>
          <w:t>http://pravo.by/main.aspx?guid=3871&amp;p0=H11000204&amp;p2={NRPA}</w:t>
        </w:r>
      </w:hyperlink>
      <w:r>
        <w:rPr>
          <w:lang w:eastAsia="en-GB"/>
        </w:rPr>
        <w:t xml:space="preserve"> </w:t>
      </w:r>
    </w:p>
    <w:p w:rsidR="00964A32" w:rsidRDefault="00964A32" w:rsidP="00964A32">
      <w:pPr>
        <w:ind w:left="284" w:hanging="284"/>
        <w:jc w:val="left"/>
        <w:rPr>
          <w:lang w:eastAsia="en-GB"/>
        </w:rPr>
      </w:pPr>
      <w:proofErr w:type="gramStart"/>
      <w:r w:rsidRPr="00964A32">
        <w:rPr>
          <w:lang w:eastAsia="en-GB"/>
        </w:rPr>
        <w:t>The National Environmental Policy for 2009 – 2012 and its 2016 Outlook.</w:t>
      </w:r>
      <w:proofErr w:type="gramEnd"/>
      <w:r w:rsidRPr="00964A32">
        <w:rPr>
          <w:lang w:eastAsia="en-GB"/>
        </w:rPr>
        <w:t xml:space="preserve"> Council of Ministers of the Republic of Poland, 2008</w:t>
      </w:r>
    </w:p>
    <w:p w:rsidR="00986CD1" w:rsidRDefault="00986CD1" w:rsidP="00964A32">
      <w:pPr>
        <w:ind w:left="284" w:hanging="284"/>
        <w:jc w:val="left"/>
        <w:rPr>
          <w:lang w:eastAsia="en-GB"/>
        </w:rPr>
      </w:pPr>
      <w:proofErr w:type="gramStart"/>
      <w:r w:rsidRPr="00986CD1">
        <w:rPr>
          <w:lang w:eastAsia="en-GB"/>
        </w:rPr>
        <w:t>The Nitrates Directive.</w:t>
      </w:r>
      <w:proofErr w:type="gramEnd"/>
      <w:r w:rsidRPr="00986CD1">
        <w:rPr>
          <w:lang w:eastAsia="en-GB"/>
        </w:rPr>
        <w:t xml:space="preserve"> </w:t>
      </w:r>
      <w:proofErr w:type="gramStart"/>
      <w:r w:rsidRPr="00986CD1">
        <w:rPr>
          <w:lang w:eastAsia="en-GB"/>
        </w:rPr>
        <w:t>European Commission.</w:t>
      </w:r>
      <w:proofErr w:type="gramEnd"/>
      <w:r w:rsidRPr="00986CD1">
        <w:rPr>
          <w:lang w:eastAsia="en-GB"/>
        </w:rPr>
        <w:t xml:space="preserve"> Environment, available at </w:t>
      </w:r>
      <w:hyperlink r:id="rId67" w:history="1">
        <w:r w:rsidRPr="006B3EF0">
          <w:rPr>
            <w:rStyle w:val="Hyperlink"/>
            <w:rFonts w:cs="Times New Roman"/>
            <w:sz w:val="21"/>
            <w:szCs w:val="20"/>
            <w:lang w:eastAsia="en-GB"/>
          </w:rPr>
          <w:t>http://ec.europa.eu/environment/water/water-nitrates/</w:t>
        </w:r>
      </w:hyperlink>
      <w:r>
        <w:rPr>
          <w:lang w:eastAsia="en-GB"/>
        </w:rPr>
        <w:t xml:space="preserve"> </w:t>
      </w:r>
    </w:p>
    <w:p w:rsidR="00964A32" w:rsidRDefault="00964A32" w:rsidP="00964A32">
      <w:pPr>
        <w:ind w:left="284" w:hanging="284"/>
        <w:jc w:val="left"/>
        <w:rPr>
          <w:lang w:eastAsia="en-GB"/>
        </w:rPr>
      </w:pPr>
      <w:proofErr w:type="gramStart"/>
      <w:r w:rsidRPr="00964A32">
        <w:rPr>
          <w:lang w:eastAsia="en-GB"/>
        </w:rPr>
        <w:t>The “Table of Eleven”.</w:t>
      </w:r>
      <w:proofErr w:type="gramEnd"/>
      <w:r w:rsidRPr="00964A32">
        <w:rPr>
          <w:lang w:eastAsia="en-GB"/>
        </w:rPr>
        <w:t xml:space="preserve"> </w:t>
      </w:r>
      <w:proofErr w:type="gramStart"/>
      <w:r w:rsidRPr="00964A32">
        <w:rPr>
          <w:lang w:eastAsia="en-GB"/>
        </w:rPr>
        <w:t>A versatile tool.</w:t>
      </w:r>
      <w:proofErr w:type="gramEnd"/>
      <w:r w:rsidRPr="00964A32">
        <w:rPr>
          <w:lang w:eastAsia="en-GB"/>
        </w:rPr>
        <w:t xml:space="preserve"> November 2004, available at </w:t>
      </w:r>
      <w:hyperlink r:id="rId68" w:history="1">
        <w:r w:rsidRPr="006B3EF0">
          <w:rPr>
            <w:rStyle w:val="Hyperlink"/>
            <w:rFonts w:cs="Times New Roman"/>
            <w:sz w:val="21"/>
            <w:szCs w:val="20"/>
            <w:lang w:eastAsia="en-GB"/>
          </w:rPr>
          <w:t>http://www.sam.gov.lv/images/modules/items/PDF/item_618_NL_The_table_of_Eleven.pdf</w:t>
        </w:r>
      </w:hyperlink>
      <w:r>
        <w:rPr>
          <w:lang w:eastAsia="en-GB"/>
        </w:rPr>
        <w:t xml:space="preserve"> </w:t>
      </w:r>
    </w:p>
    <w:p w:rsidR="00EC0B12" w:rsidRDefault="00EC0B12" w:rsidP="00964A32">
      <w:pPr>
        <w:ind w:left="284" w:hanging="284"/>
        <w:jc w:val="left"/>
        <w:rPr>
          <w:lang w:eastAsia="en-GB"/>
        </w:rPr>
      </w:pPr>
      <w:proofErr w:type="gramStart"/>
      <w:r w:rsidRPr="00EC0B12">
        <w:rPr>
          <w:lang w:eastAsia="en-GB"/>
        </w:rPr>
        <w:t>The Value of Business Incubation and Best Practices.</w:t>
      </w:r>
      <w:proofErr w:type="gramEnd"/>
      <w:r w:rsidRPr="00EC0B12">
        <w:rPr>
          <w:lang w:eastAsia="en-GB"/>
        </w:rPr>
        <w:t xml:space="preserve"> </w:t>
      </w:r>
      <w:proofErr w:type="gramStart"/>
      <w:r w:rsidRPr="00EC0B12">
        <w:rPr>
          <w:lang w:eastAsia="en-GB"/>
        </w:rPr>
        <w:t>National Business Incubation Association.</w:t>
      </w:r>
      <w:proofErr w:type="gramEnd"/>
      <w:r w:rsidRPr="00EC0B12">
        <w:rPr>
          <w:lang w:eastAsia="en-GB"/>
        </w:rPr>
        <w:t xml:space="preserve"> 2010, available at </w:t>
      </w:r>
      <w:hyperlink r:id="rId69" w:history="1">
        <w:r w:rsidRPr="006B3EF0">
          <w:rPr>
            <w:rStyle w:val="Hyperlink"/>
            <w:rFonts w:cs="Times New Roman"/>
            <w:sz w:val="21"/>
            <w:szCs w:val="20"/>
            <w:lang w:eastAsia="en-GB"/>
          </w:rPr>
          <w:t>http://icecommittee.org/reports/Tracy_Kitts_Presentation_ICE_Nov_3_10.pdf</w:t>
        </w:r>
      </w:hyperlink>
      <w:r>
        <w:rPr>
          <w:lang w:eastAsia="en-GB"/>
        </w:rPr>
        <w:t xml:space="preserve"> </w:t>
      </w:r>
    </w:p>
    <w:p w:rsidR="00964A32" w:rsidRDefault="00964A32" w:rsidP="00964A32">
      <w:pPr>
        <w:ind w:left="284" w:hanging="284"/>
        <w:jc w:val="left"/>
        <w:rPr>
          <w:lang w:eastAsia="en-GB"/>
        </w:rPr>
      </w:pPr>
      <w:r w:rsidRPr="00964A32">
        <w:rPr>
          <w:lang w:eastAsia="en-GB"/>
        </w:rPr>
        <w:t xml:space="preserve">“Thomson Reuters Point Carbon”, as cited in The EU Emission Trading System (EU ETS) factsheet, 2013, available at </w:t>
      </w:r>
      <w:hyperlink r:id="rId70" w:history="1">
        <w:r w:rsidRPr="006B3EF0">
          <w:rPr>
            <w:rStyle w:val="Hyperlink"/>
            <w:rFonts w:cs="Times New Roman"/>
            <w:sz w:val="21"/>
            <w:szCs w:val="20"/>
            <w:lang w:eastAsia="en-GB"/>
          </w:rPr>
          <w:t>http://ec.europa.eu/clima/publications/docs/factsheet_ets_2013_en.pdf</w:t>
        </w:r>
      </w:hyperlink>
      <w:r>
        <w:rPr>
          <w:lang w:eastAsia="en-GB"/>
        </w:rPr>
        <w:t xml:space="preserve"> </w:t>
      </w:r>
    </w:p>
    <w:p w:rsidR="00964A32" w:rsidRDefault="00964A32" w:rsidP="00964A32">
      <w:pPr>
        <w:ind w:left="284" w:hanging="284"/>
        <w:jc w:val="left"/>
        <w:rPr>
          <w:lang w:eastAsia="en-GB"/>
        </w:rPr>
      </w:pPr>
      <w:r w:rsidRPr="00964A32">
        <w:rPr>
          <w:lang w:eastAsia="en-GB"/>
        </w:rPr>
        <w:t xml:space="preserve">Trend Tables of data reported until 31 August 2012. Centre on Emission Inventories and Projections, available at </w:t>
      </w:r>
      <w:hyperlink r:id="rId71" w:history="1">
        <w:r w:rsidRPr="006B3EF0">
          <w:rPr>
            <w:rStyle w:val="Hyperlink"/>
            <w:rFonts w:cs="Times New Roman"/>
            <w:sz w:val="21"/>
            <w:szCs w:val="20"/>
            <w:lang w:eastAsia="en-GB"/>
          </w:rPr>
          <w:t>http://www.ceip.at/overview-of-submissions-under-clrtap/2012-submissions/</w:t>
        </w:r>
      </w:hyperlink>
      <w:r>
        <w:rPr>
          <w:lang w:eastAsia="en-GB"/>
        </w:rPr>
        <w:t xml:space="preserve"> </w:t>
      </w:r>
    </w:p>
    <w:p w:rsidR="00964A32" w:rsidRDefault="00964A32" w:rsidP="00964A32">
      <w:pPr>
        <w:ind w:left="284" w:hanging="284"/>
        <w:jc w:val="left"/>
        <w:rPr>
          <w:lang w:eastAsia="en-GB"/>
        </w:rPr>
      </w:pPr>
      <w:proofErr w:type="gramStart"/>
      <w:r w:rsidRPr="00964A32">
        <w:rPr>
          <w:lang w:eastAsia="en-GB"/>
        </w:rPr>
        <w:t>UNDP-GEF.</w:t>
      </w:r>
      <w:proofErr w:type="gramEnd"/>
      <w:r w:rsidRPr="00964A32">
        <w:rPr>
          <w:lang w:eastAsia="en-GB"/>
        </w:rPr>
        <w:t xml:space="preserve"> Climate Change Mitigation</w:t>
      </w:r>
      <w:r>
        <w:rPr>
          <w:lang w:eastAsia="en-GB"/>
        </w:rPr>
        <w:t xml:space="preserve">, available at </w:t>
      </w:r>
      <w:hyperlink r:id="rId72" w:history="1">
        <w:r w:rsidRPr="006B3EF0">
          <w:rPr>
            <w:rStyle w:val="Hyperlink"/>
            <w:rFonts w:cs="Times New Roman"/>
            <w:sz w:val="21"/>
            <w:szCs w:val="20"/>
            <w:lang w:eastAsia="en-GB"/>
          </w:rPr>
          <w:t>http://web.undp.org/gef/do_cc_mitigation.shtml</w:t>
        </w:r>
      </w:hyperlink>
      <w:r>
        <w:rPr>
          <w:lang w:eastAsia="en-GB"/>
        </w:rPr>
        <w:t xml:space="preserve"> </w:t>
      </w:r>
    </w:p>
    <w:p w:rsidR="00964A32" w:rsidRDefault="00964A32" w:rsidP="00964A32">
      <w:pPr>
        <w:ind w:left="284" w:hanging="284"/>
        <w:jc w:val="left"/>
        <w:rPr>
          <w:lang w:eastAsia="en-GB"/>
        </w:rPr>
      </w:pPr>
      <w:proofErr w:type="gramStart"/>
      <w:r w:rsidRPr="00964A32">
        <w:rPr>
          <w:lang w:eastAsia="en-GB"/>
        </w:rPr>
        <w:t>UNDP-GEF.</w:t>
      </w:r>
      <w:proofErr w:type="gramEnd"/>
      <w:r w:rsidRPr="00964A32">
        <w:rPr>
          <w:lang w:eastAsia="en-GB"/>
        </w:rPr>
        <w:t xml:space="preserve"> Climate Change Mitigation</w:t>
      </w:r>
      <w:r>
        <w:rPr>
          <w:lang w:eastAsia="en-GB"/>
        </w:rPr>
        <w:t xml:space="preserve">, available at </w:t>
      </w:r>
      <w:hyperlink r:id="rId73" w:history="1">
        <w:r w:rsidRPr="006B3EF0">
          <w:rPr>
            <w:rStyle w:val="Hyperlink"/>
            <w:rFonts w:cs="Times New Roman"/>
            <w:sz w:val="21"/>
            <w:szCs w:val="20"/>
            <w:lang w:eastAsia="en-GB"/>
          </w:rPr>
          <w:t>http://web.undp.org/gef/do_cc_mitigation.shtml</w:t>
        </w:r>
      </w:hyperlink>
      <w:r>
        <w:rPr>
          <w:lang w:eastAsia="en-GB"/>
        </w:rPr>
        <w:t xml:space="preserve"> </w:t>
      </w:r>
    </w:p>
    <w:p w:rsidR="00EC0B12" w:rsidRDefault="00EC0B12" w:rsidP="00964A32">
      <w:pPr>
        <w:ind w:left="284" w:hanging="284"/>
        <w:jc w:val="left"/>
        <w:rPr>
          <w:lang w:eastAsia="en-GB"/>
        </w:rPr>
      </w:pPr>
      <w:proofErr w:type="gramStart"/>
      <w:r w:rsidRPr="00EC0B12">
        <w:rPr>
          <w:lang w:eastAsia="en-GB"/>
        </w:rPr>
        <w:t>United Nations Environment Programme.</w:t>
      </w:r>
      <w:proofErr w:type="gramEnd"/>
      <w:r w:rsidRPr="00EC0B12">
        <w:rPr>
          <w:lang w:eastAsia="en-GB"/>
        </w:rPr>
        <w:t xml:space="preserve"> About GEI, available at </w:t>
      </w:r>
      <w:hyperlink r:id="rId74" w:history="1">
        <w:r w:rsidRPr="006B3EF0">
          <w:rPr>
            <w:rStyle w:val="Hyperlink"/>
            <w:rFonts w:cs="Times New Roman"/>
            <w:sz w:val="21"/>
            <w:szCs w:val="20"/>
            <w:lang w:eastAsia="en-GB"/>
          </w:rPr>
          <w:t>http://www.unep.org/greeneconomy/AboutGEI/WhatisGEI/tabid/29784/Default.aspx</w:t>
        </w:r>
      </w:hyperlink>
      <w:r>
        <w:rPr>
          <w:lang w:eastAsia="en-GB"/>
        </w:rPr>
        <w:t xml:space="preserve"> </w:t>
      </w:r>
    </w:p>
    <w:p w:rsidR="00EC0B12" w:rsidRDefault="00EC0B12" w:rsidP="00964A32">
      <w:pPr>
        <w:ind w:left="284" w:hanging="284"/>
        <w:jc w:val="left"/>
        <w:rPr>
          <w:lang w:eastAsia="en-GB"/>
        </w:rPr>
      </w:pPr>
      <w:r w:rsidRPr="00EC0B12">
        <w:rPr>
          <w:lang w:eastAsia="en-GB"/>
        </w:rPr>
        <w:t xml:space="preserve">What are LEZs? Low Emission Zones in Europe, available at </w:t>
      </w:r>
      <w:hyperlink r:id="rId75" w:history="1">
        <w:r w:rsidRPr="006B3EF0">
          <w:rPr>
            <w:rStyle w:val="Hyperlink"/>
            <w:rFonts w:cs="Times New Roman"/>
            <w:sz w:val="21"/>
            <w:szCs w:val="20"/>
            <w:lang w:eastAsia="en-GB"/>
          </w:rPr>
          <w:t>http://www.lowemissionzones.eu/what-are-lezs</w:t>
        </w:r>
      </w:hyperlink>
      <w:r>
        <w:rPr>
          <w:lang w:eastAsia="en-GB"/>
        </w:rPr>
        <w:t xml:space="preserve"> </w:t>
      </w:r>
    </w:p>
    <w:p w:rsidR="00964A32" w:rsidRDefault="00EC0B12" w:rsidP="00964A32">
      <w:pPr>
        <w:ind w:left="284" w:hanging="284"/>
        <w:jc w:val="left"/>
        <w:rPr>
          <w:lang w:eastAsia="en-GB"/>
        </w:rPr>
      </w:pPr>
      <w:r w:rsidRPr="00EC0B12">
        <w:rPr>
          <w:lang w:eastAsia="en-GB"/>
        </w:rPr>
        <w:lastRenderedPageBreak/>
        <w:t xml:space="preserve">What Is an Environmental Management System? </w:t>
      </w:r>
      <w:proofErr w:type="gramStart"/>
      <w:r w:rsidRPr="00EC0B12">
        <w:rPr>
          <w:lang w:eastAsia="en-GB"/>
        </w:rPr>
        <w:t>European Commission.</w:t>
      </w:r>
      <w:proofErr w:type="gramEnd"/>
      <w:r w:rsidRPr="00EC0B12">
        <w:rPr>
          <w:lang w:eastAsia="en-GB"/>
        </w:rPr>
        <w:t xml:space="preserve"> Environment, available at </w:t>
      </w:r>
      <w:hyperlink r:id="rId76" w:history="1">
        <w:r w:rsidRPr="006B3EF0">
          <w:rPr>
            <w:rStyle w:val="Hyperlink"/>
            <w:rFonts w:cs="Times New Roman"/>
            <w:sz w:val="21"/>
            <w:szCs w:val="20"/>
            <w:lang w:eastAsia="en-GB"/>
          </w:rPr>
          <w:t>http://ec.europa.eu/environment/emas/about/enviro_en.htm</w:t>
        </w:r>
      </w:hyperlink>
      <w:r>
        <w:rPr>
          <w:lang w:eastAsia="en-GB"/>
        </w:rPr>
        <w:t xml:space="preserve"> </w:t>
      </w:r>
    </w:p>
    <w:p w:rsidR="00964A32" w:rsidRDefault="00964A32" w:rsidP="00964A32">
      <w:pPr>
        <w:ind w:left="284" w:hanging="284"/>
        <w:jc w:val="left"/>
        <w:rPr>
          <w:lang w:eastAsia="en-GB"/>
        </w:rPr>
      </w:pPr>
    </w:p>
    <w:p w:rsidR="00964A32" w:rsidRPr="00964A32" w:rsidRDefault="00964A32" w:rsidP="00964A32">
      <w:pPr>
        <w:ind w:left="284" w:hanging="284"/>
        <w:jc w:val="left"/>
        <w:rPr>
          <w:lang w:eastAsia="en-GB"/>
        </w:rPr>
        <w:sectPr w:rsidR="00964A32" w:rsidRPr="00964A32" w:rsidSect="00762C9B">
          <w:pgSz w:w="11906" w:h="16838"/>
          <w:pgMar w:top="1134" w:right="1134" w:bottom="1191" w:left="1701" w:header="709" w:footer="709" w:gutter="0"/>
          <w:cols w:space="708"/>
          <w:docGrid w:linePitch="360"/>
        </w:sectPr>
      </w:pPr>
    </w:p>
    <w:p w:rsidR="009E254B" w:rsidRPr="001346FF" w:rsidRDefault="009E254B" w:rsidP="007C5379">
      <w:pPr>
        <w:pStyle w:val="Heading1"/>
        <w:numPr>
          <w:ilvl w:val="0"/>
          <w:numId w:val="0"/>
        </w:numPr>
        <w:ind w:left="425" w:hanging="425"/>
      </w:pPr>
      <w:bookmarkStart w:id="69" w:name="_Toc387396941"/>
      <w:r w:rsidRPr="001346FF">
        <w:lastRenderedPageBreak/>
        <w:t>Annex I – Sample questionnaire in English</w:t>
      </w:r>
      <w:bookmarkEnd w:id="69"/>
      <w:r w:rsidRPr="001346FF">
        <w:t xml:space="preserve"> </w:t>
      </w:r>
    </w:p>
    <w:p w:rsidR="009E254B" w:rsidRPr="001346FF" w:rsidRDefault="009E254B" w:rsidP="009E254B">
      <w:pPr>
        <w:jc w:val="center"/>
        <w:rPr>
          <w:b/>
          <w:sz w:val="28"/>
          <w:u w:val="single"/>
        </w:rPr>
      </w:pPr>
      <w:r w:rsidRPr="001346FF">
        <w:rPr>
          <w:b/>
          <w:sz w:val="28"/>
          <w:u w:val="single"/>
        </w:rPr>
        <w:t>Part 1: Existing incentives for improvement of environmental behaviour</w:t>
      </w:r>
    </w:p>
    <w:p w:rsidR="009E254B" w:rsidRPr="001346FF" w:rsidRDefault="009E254B" w:rsidP="009E254B"/>
    <w:p w:rsidR="009E254B" w:rsidRPr="001346FF" w:rsidRDefault="009E254B" w:rsidP="009E25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2812"/>
        <w:gridCol w:w="3016"/>
      </w:tblGrid>
      <w:tr w:rsidR="009E254B" w:rsidRPr="001346FF" w:rsidTr="009E254B">
        <w:trPr>
          <w:trHeight w:val="494"/>
        </w:trPr>
        <w:tc>
          <w:tcPr>
            <w:tcW w:w="9570" w:type="dxa"/>
            <w:gridSpan w:val="3"/>
            <w:shd w:val="clear" w:color="auto" w:fill="auto"/>
          </w:tcPr>
          <w:p w:rsidR="009E254B" w:rsidRPr="001346FF" w:rsidRDefault="009E254B" w:rsidP="009E254B">
            <w:pPr>
              <w:spacing w:before="120" w:after="120"/>
              <w:jc w:val="center"/>
              <w:rPr>
                <w:b/>
              </w:rPr>
            </w:pPr>
            <w:r w:rsidRPr="001346FF">
              <w:rPr>
                <w:b/>
              </w:rPr>
              <w:t>Administrative incentives</w:t>
            </w:r>
          </w:p>
        </w:tc>
      </w:tr>
      <w:tr w:rsidR="009E254B" w:rsidRPr="001346FF" w:rsidTr="009E254B">
        <w:tc>
          <w:tcPr>
            <w:tcW w:w="9570" w:type="dxa"/>
            <w:gridSpan w:val="3"/>
            <w:shd w:val="clear" w:color="auto" w:fill="auto"/>
          </w:tcPr>
          <w:p w:rsidR="009E254B" w:rsidRPr="001346FF" w:rsidRDefault="009E254B" w:rsidP="009E254B">
            <w:pPr>
              <w:spacing w:before="120" w:after="120"/>
              <w:rPr>
                <w:i/>
              </w:rPr>
            </w:pPr>
            <w:r w:rsidRPr="001346FF">
              <w:rPr>
                <w:i/>
                <w:sz w:val="20"/>
              </w:rPr>
              <w:t>Administrative incentives encourage undertakings to improve their environmental behaviour by providing instruments that provide more flexibility or reduce the burden imposed by the respective legislation. This type of incentives is available to undertakings that are subject to the relevant legislation (e.g. legislation on industrial permits), meaning that, for example, the undertakings that introduce less polluting technologies will have less stringent or more flexible regulatory compliance burden.</w:t>
            </w:r>
          </w:p>
        </w:tc>
      </w:tr>
      <w:tr w:rsidR="009E254B" w:rsidRPr="001346FF" w:rsidTr="009E254B">
        <w:tc>
          <w:tcPr>
            <w:tcW w:w="3742" w:type="dxa"/>
            <w:shd w:val="clear" w:color="auto" w:fill="C6D9F1"/>
          </w:tcPr>
          <w:p w:rsidR="009E254B" w:rsidRPr="001346FF" w:rsidRDefault="009E254B" w:rsidP="009E254B">
            <w:r w:rsidRPr="001346FF">
              <w:t>1. Does the national system provide for the following administrative incentives:</w:t>
            </w:r>
          </w:p>
        </w:tc>
        <w:tc>
          <w:tcPr>
            <w:tcW w:w="2812" w:type="dxa"/>
            <w:shd w:val="clear" w:color="auto" w:fill="C6D9F1"/>
          </w:tcPr>
          <w:p w:rsidR="009E254B" w:rsidRPr="001346FF" w:rsidRDefault="009E254B" w:rsidP="009E254B">
            <w:r w:rsidRPr="001346FF">
              <w:t>Please list the respective legal acts and/or policies governing the incentives (if there are any)</w:t>
            </w:r>
          </w:p>
        </w:tc>
        <w:tc>
          <w:tcPr>
            <w:tcW w:w="3016" w:type="dxa"/>
            <w:shd w:val="clear" w:color="auto" w:fill="C6D9F1"/>
          </w:tcPr>
          <w:p w:rsidR="009E254B" w:rsidRPr="001346FF" w:rsidRDefault="009E254B" w:rsidP="009E254B">
            <w:r w:rsidRPr="001346FF">
              <w:t>Please provide a brief overview of the main legal requirements (or policy measures) regarding the incentives encompassed in each respective legal act (or policy document)</w:t>
            </w:r>
          </w:p>
        </w:tc>
      </w:tr>
      <w:tr w:rsidR="009E254B" w:rsidRPr="001346FF" w:rsidTr="009E254B">
        <w:tc>
          <w:tcPr>
            <w:tcW w:w="3742" w:type="dxa"/>
            <w:shd w:val="clear" w:color="auto" w:fill="auto"/>
          </w:tcPr>
          <w:p w:rsidR="009E254B" w:rsidRPr="001346FF" w:rsidRDefault="009E254B" w:rsidP="009E254B">
            <w:pPr>
              <w:ind w:left="720"/>
              <w:jc w:val="left"/>
            </w:pPr>
            <w:proofErr w:type="gramStart"/>
            <w:r w:rsidRPr="001346FF">
              <w:t>1.a</w:t>
            </w:r>
            <w:proofErr w:type="gramEnd"/>
            <w:r w:rsidRPr="001346FF">
              <w:t>) extended permits for less polluting activities in the framework of industrial pollution permitting system?</w:t>
            </w:r>
          </w:p>
        </w:tc>
        <w:tc>
          <w:tcPr>
            <w:tcW w:w="2812" w:type="dxa"/>
            <w:shd w:val="clear" w:color="auto" w:fill="FFFFFF"/>
          </w:tcPr>
          <w:p w:rsidR="009E254B" w:rsidRPr="001346FF" w:rsidRDefault="009E254B" w:rsidP="009E254B"/>
        </w:tc>
        <w:tc>
          <w:tcPr>
            <w:tcW w:w="3016" w:type="dxa"/>
            <w:shd w:val="clear" w:color="auto" w:fill="FFFFFF"/>
          </w:tcPr>
          <w:p w:rsidR="009E254B" w:rsidRPr="001346FF" w:rsidRDefault="009E254B" w:rsidP="009E254B"/>
        </w:tc>
      </w:tr>
      <w:tr w:rsidR="009E254B" w:rsidRPr="001346FF" w:rsidTr="009E254B">
        <w:tc>
          <w:tcPr>
            <w:tcW w:w="3742" w:type="dxa"/>
            <w:shd w:val="clear" w:color="auto" w:fill="auto"/>
          </w:tcPr>
          <w:p w:rsidR="009E254B" w:rsidRPr="001346FF" w:rsidRDefault="009E254B" w:rsidP="009E254B">
            <w:pPr>
              <w:ind w:left="720"/>
              <w:jc w:val="left"/>
            </w:pPr>
            <w:proofErr w:type="gramStart"/>
            <w:r w:rsidRPr="001346FF">
              <w:t>1.b</w:t>
            </w:r>
            <w:proofErr w:type="gramEnd"/>
            <w:r w:rsidRPr="001346FF">
              <w:t>) reduced inspection frequency for less polluting activities in the framework of industrial pollution permitting system?</w:t>
            </w:r>
          </w:p>
        </w:tc>
        <w:tc>
          <w:tcPr>
            <w:tcW w:w="2812" w:type="dxa"/>
            <w:shd w:val="clear" w:color="auto" w:fill="FFFFFF"/>
          </w:tcPr>
          <w:p w:rsidR="009E254B" w:rsidRPr="001346FF" w:rsidRDefault="009E254B" w:rsidP="009E254B"/>
        </w:tc>
        <w:tc>
          <w:tcPr>
            <w:tcW w:w="3016" w:type="dxa"/>
            <w:shd w:val="clear" w:color="auto" w:fill="FFFFFF"/>
          </w:tcPr>
          <w:p w:rsidR="009E254B" w:rsidRPr="001346FF" w:rsidRDefault="009E254B" w:rsidP="009E254B"/>
        </w:tc>
      </w:tr>
      <w:tr w:rsidR="009E254B" w:rsidRPr="001346FF" w:rsidTr="009E254B">
        <w:tc>
          <w:tcPr>
            <w:tcW w:w="3742" w:type="dxa"/>
            <w:shd w:val="clear" w:color="auto" w:fill="auto"/>
          </w:tcPr>
          <w:p w:rsidR="009E254B" w:rsidRPr="001346FF" w:rsidRDefault="009E254B" w:rsidP="009E254B">
            <w:pPr>
              <w:ind w:left="720"/>
              <w:jc w:val="left"/>
            </w:pPr>
            <w:proofErr w:type="gramStart"/>
            <w:r w:rsidRPr="001346FF">
              <w:t>1.</w:t>
            </w:r>
            <w:proofErr w:type="gramEnd"/>
            <w:r w:rsidRPr="001346FF">
              <w:t>c) any other administrative incentives?</w:t>
            </w:r>
          </w:p>
        </w:tc>
        <w:tc>
          <w:tcPr>
            <w:tcW w:w="2812" w:type="dxa"/>
            <w:shd w:val="clear" w:color="auto" w:fill="FFFFFF"/>
          </w:tcPr>
          <w:p w:rsidR="009E254B" w:rsidRPr="001346FF" w:rsidRDefault="009E254B" w:rsidP="009E254B"/>
        </w:tc>
        <w:tc>
          <w:tcPr>
            <w:tcW w:w="3016" w:type="dxa"/>
            <w:shd w:val="clear" w:color="auto" w:fill="FFFFFF"/>
          </w:tcPr>
          <w:p w:rsidR="009E254B" w:rsidRPr="001346FF" w:rsidRDefault="009E254B" w:rsidP="009E254B"/>
        </w:tc>
      </w:tr>
      <w:tr w:rsidR="009E254B" w:rsidRPr="001346FF" w:rsidTr="009E254B">
        <w:tc>
          <w:tcPr>
            <w:tcW w:w="3742" w:type="dxa"/>
            <w:shd w:val="clear" w:color="auto" w:fill="auto"/>
          </w:tcPr>
          <w:p w:rsidR="009E254B" w:rsidRPr="001346FF" w:rsidRDefault="009E254B" w:rsidP="009E254B"/>
          <w:p w:rsidR="009E254B" w:rsidRPr="001346FF" w:rsidRDefault="009E254B" w:rsidP="009E254B">
            <w:r w:rsidRPr="001346FF">
              <w:t>Additional comments and remarks</w:t>
            </w:r>
          </w:p>
          <w:p w:rsidR="009E254B" w:rsidRPr="001346FF" w:rsidRDefault="009E254B" w:rsidP="009E254B"/>
        </w:tc>
        <w:tc>
          <w:tcPr>
            <w:tcW w:w="5828" w:type="dxa"/>
            <w:gridSpan w:val="2"/>
            <w:shd w:val="clear" w:color="auto" w:fill="FFFFFF"/>
          </w:tcPr>
          <w:p w:rsidR="009E254B" w:rsidRPr="001346FF" w:rsidRDefault="009E254B" w:rsidP="009E254B"/>
        </w:tc>
      </w:tr>
      <w:tr w:rsidR="009E254B" w:rsidRPr="001346FF" w:rsidTr="009E254B">
        <w:trPr>
          <w:trHeight w:val="459"/>
        </w:trPr>
        <w:tc>
          <w:tcPr>
            <w:tcW w:w="9570" w:type="dxa"/>
            <w:gridSpan w:val="3"/>
            <w:shd w:val="clear" w:color="auto" w:fill="auto"/>
          </w:tcPr>
          <w:p w:rsidR="009E254B" w:rsidRPr="001346FF" w:rsidRDefault="009E254B" w:rsidP="009E254B">
            <w:pPr>
              <w:spacing w:before="120" w:after="120"/>
              <w:jc w:val="center"/>
              <w:rPr>
                <w:b/>
              </w:rPr>
            </w:pPr>
            <w:r w:rsidRPr="001346FF">
              <w:rPr>
                <w:b/>
              </w:rPr>
              <w:t>Economic and fiscal incentives</w:t>
            </w:r>
          </w:p>
        </w:tc>
      </w:tr>
      <w:tr w:rsidR="009E254B" w:rsidRPr="001346FF" w:rsidTr="009E254B">
        <w:tc>
          <w:tcPr>
            <w:tcW w:w="9570" w:type="dxa"/>
            <w:gridSpan w:val="3"/>
            <w:shd w:val="clear" w:color="auto" w:fill="auto"/>
          </w:tcPr>
          <w:p w:rsidR="009E254B" w:rsidRPr="001346FF" w:rsidRDefault="009E254B" w:rsidP="009E254B">
            <w:pPr>
              <w:rPr>
                <w:i/>
                <w:sz w:val="20"/>
              </w:rPr>
            </w:pPr>
            <w:r w:rsidRPr="001346FF">
              <w:rPr>
                <w:i/>
                <w:sz w:val="20"/>
              </w:rPr>
              <w:t xml:space="preserve">Economic incentives are introduced either through voluntary or compulsory instruments. They stimulate shift towards more environment-friendly behaviour by providing reduced fiscal rates (taxes) or financial support (as well as reduced costs) for undertakings/individuals as a reward for exceeding minimum </w:t>
            </w:r>
            <w:r w:rsidRPr="001346FF">
              <w:rPr>
                <w:i/>
                <w:sz w:val="20"/>
              </w:rPr>
              <w:lastRenderedPageBreak/>
              <w:t>mandatory environmental standards.</w:t>
            </w:r>
          </w:p>
        </w:tc>
      </w:tr>
      <w:tr w:rsidR="009E254B" w:rsidRPr="001346FF" w:rsidTr="009E254B">
        <w:tc>
          <w:tcPr>
            <w:tcW w:w="3742" w:type="dxa"/>
            <w:shd w:val="clear" w:color="auto" w:fill="C6D9F1"/>
          </w:tcPr>
          <w:p w:rsidR="009E254B" w:rsidRPr="001346FF" w:rsidRDefault="009E254B" w:rsidP="009E254B">
            <w:r w:rsidRPr="001346FF">
              <w:lastRenderedPageBreak/>
              <w:t>2. Does the national system provide for the following economic and fiscal incentives:</w:t>
            </w:r>
          </w:p>
        </w:tc>
        <w:tc>
          <w:tcPr>
            <w:tcW w:w="2812" w:type="dxa"/>
            <w:shd w:val="clear" w:color="auto" w:fill="C6D9F1"/>
          </w:tcPr>
          <w:p w:rsidR="009E254B" w:rsidRPr="001346FF" w:rsidRDefault="009E254B" w:rsidP="009E254B">
            <w:r w:rsidRPr="001346FF">
              <w:t>Please list the respective legal acts and/or policies governing the incentives (if there are any)</w:t>
            </w:r>
          </w:p>
        </w:tc>
        <w:tc>
          <w:tcPr>
            <w:tcW w:w="3016" w:type="dxa"/>
            <w:shd w:val="clear" w:color="auto" w:fill="C6D9F1"/>
          </w:tcPr>
          <w:p w:rsidR="009E254B" w:rsidRPr="001346FF" w:rsidRDefault="009E254B" w:rsidP="009E254B">
            <w:r w:rsidRPr="001346FF">
              <w:rPr>
                <w:rFonts w:cs="Calibri"/>
                <w:color w:val="000000"/>
              </w:rPr>
              <w:t>Please provide a brief overview of the main legal requirements (or policy measures) regarding the incentives encompassed in each respective legal act (or policy document)</w:t>
            </w:r>
          </w:p>
        </w:tc>
      </w:tr>
      <w:tr w:rsidR="009E254B" w:rsidRPr="001346FF" w:rsidTr="009E254B">
        <w:tc>
          <w:tcPr>
            <w:tcW w:w="3742" w:type="dxa"/>
            <w:shd w:val="clear" w:color="auto" w:fill="auto"/>
          </w:tcPr>
          <w:p w:rsidR="009E254B" w:rsidRPr="001346FF" w:rsidRDefault="009E254B" w:rsidP="009E254B">
            <w:pPr>
              <w:ind w:left="720"/>
              <w:jc w:val="left"/>
            </w:pPr>
            <w:proofErr w:type="gramStart"/>
            <w:r w:rsidRPr="001346FF">
              <w:t>2.a</w:t>
            </w:r>
            <w:proofErr w:type="gramEnd"/>
            <w:r w:rsidRPr="001346FF">
              <w:t>) reduced charges for less polluting activities/use of less polluting technologies?</w:t>
            </w:r>
          </w:p>
        </w:tc>
        <w:tc>
          <w:tcPr>
            <w:tcW w:w="2812" w:type="dxa"/>
            <w:shd w:val="clear" w:color="auto" w:fill="FFFFFF"/>
          </w:tcPr>
          <w:p w:rsidR="009E254B" w:rsidRPr="001346FF" w:rsidRDefault="009E254B" w:rsidP="009E254B"/>
        </w:tc>
        <w:tc>
          <w:tcPr>
            <w:tcW w:w="3016" w:type="dxa"/>
            <w:shd w:val="clear" w:color="auto" w:fill="FFFFFF"/>
          </w:tcPr>
          <w:p w:rsidR="009E254B" w:rsidRPr="001346FF" w:rsidRDefault="009E254B" w:rsidP="009E254B"/>
        </w:tc>
      </w:tr>
      <w:tr w:rsidR="009E254B" w:rsidRPr="001346FF" w:rsidTr="009E254B">
        <w:tc>
          <w:tcPr>
            <w:tcW w:w="3742" w:type="dxa"/>
            <w:shd w:val="clear" w:color="auto" w:fill="auto"/>
          </w:tcPr>
          <w:p w:rsidR="009E254B" w:rsidRPr="001346FF" w:rsidRDefault="009E254B" w:rsidP="009E254B">
            <w:pPr>
              <w:ind w:left="720"/>
              <w:jc w:val="left"/>
            </w:pPr>
            <w:proofErr w:type="gramStart"/>
            <w:r w:rsidRPr="001346FF">
              <w:t>2.b</w:t>
            </w:r>
            <w:proofErr w:type="gramEnd"/>
            <w:r w:rsidRPr="001346FF">
              <w:t>) increased charges/taxes/levies for especially polluting activities?</w:t>
            </w:r>
          </w:p>
        </w:tc>
        <w:tc>
          <w:tcPr>
            <w:tcW w:w="2812" w:type="dxa"/>
            <w:shd w:val="clear" w:color="auto" w:fill="FFFFFF"/>
          </w:tcPr>
          <w:p w:rsidR="009E254B" w:rsidRPr="001346FF" w:rsidRDefault="009E254B" w:rsidP="009E254B"/>
        </w:tc>
        <w:tc>
          <w:tcPr>
            <w:tcW w:w="3016" w:type="dxa"/>
            <w:shd w:val="clear" w:color="auto" w:fill="FFFFFF"/>
          </w:tcPr>
          <w:p w:rsidR="009E254B" w:rsidRPr="001346FF" w:rsidRDefault="009E254B" w:rsidP="009E254B"/>
        </w:tc>
      </w:tr>
      <w:tr w:rsidR="009E254B" w:rsidRPr="001346FF" w:rsidTr="009E254B">
        <w:tc>
          <w:tcPr>
            <w:tcW w:w="3742" w:type="dxa"/>
            <w:shd w:val="clear" w:color="auto" w:fill="auto"/>
          </w:tcPr>
          <w:p w:rsidR="009E254B" w:rsidRPr="001346FF" w:rsidRDefault="009E254B" w:rsidP="009E254B">
            <w:pPr>
              <w:ind w:left="720"/>
              <w:jc w:val="left"/>
            </w:pPr>
            <w:proofErr w:type="gramStart"/>
            <w:r w:rsidRPr="001346FF">
              <w:t>2.</w:t>
            </w:r>
            <w:proofErr w:type="gramEnd"/>
            <w:r w:rsidRPr="001346FF">
              <w:t>c) special loan and grant programme for establishing environment-friendly businesses or introduction of environmental technologies?</w:t>
            </w:r>
          </w:p>
        </w:tc>
        <w:tc>
          <w:tcPr>
            <w:tcW w:w="2812" w:type="dxa"/>
            <w:shd w:val="clear" w:color="auto" w:fill="FFFFFF"/>
          </w:tcPr>
          <w:p w:rsidR="009E254B" w:rsidRPr="001346FF" w:rsidRDefault="009E254B" w:rsidP="009E254B"/>
        </w:tc>
        <w:tc>
          <w:tcPr>
            <w:tcW w:w="3016" w:type="dxa"/>
            <w:shd w:val="clear" w:color="auto" w:fill="FFFFFF"/>
          </w:tcPr>
          <w:p w:rsidR="009E254B" w:rsidRPr="001346FF" w:rsidRDefault="009E254B" w:rsidP="009E254B"/>
        </w:tc>
      </w:tr>
      <w:tr w:rsidR="009E254B" w:rsidRPr="001346FF" w:rsidTr="009E254B">
        <w:tc>
          <w:tcPr>
            <w:tcW w:w="3742" w:type="dxa"/>
            <w:shd w:val="clear" w:color="auto" w:fill="auto"/>
          </w:tcPr>
          <w:p w:rsidR="009E254B" w:rsidRPr="001346FF" w:rsidRDefault="009E254B" w:rsidP="009E254B">
            <w:pPr>
              <w:ind w:left="720"/>
              <w:jc w:val="left"/>
            </w:pPr>
            <w:proofErr w:type="gramStart"/>
            <w:r w:rsidRPr="001346FF">
              <w:t>2.d</w:t>
            </w:r>
            <w:proofErr w:type="gramEnd"/>
            <w:r w:rsidRPr="001346FF">
              <w:t>) preferred status for environment-friendly undertakings/undertakings using less polluting technologies etc. in public procurement procedures (i.e. sustainable public procurement)?</w:t>
            </w:r>
          </w:p>
        </w:tc>
        <w:tc>
          <w:tcPr>
            <w:tcW w:w="2812" w:type="dxa"/>
            <w:shd w:val="clear" w:color="auto" w:fill="FFFFFF"/>
          </w:tcPr>
          <w:p w:rsidR="009E254B" w:rsidRPr="001346FF" w:rsidRDefault="009E254B" w:rsidP="009E254B"/>
        </w:tc>
        <w:tc>
          <w:tcPr>
            <w:tcW w:w="3016" w:type="dxa"/>
            <w:shd w:val="clear" w:color="auto" w:fill="FFFFFF"/>
          </w:tcPr>
          <w:p w:rsidR="009E254B" w:rsidRPr="001346FF" w:rsidRDefault="009E254B" w:rsidP="009E254B"/>
        </w:tc>
      </w:tr>
      <w:tr w:rsidR="009E254B" w:rsidRPr="001346FF" w:rsidTr="009E254B">
        <w:tc>
          <w:tcPr>
            <w:tcW w:w="3742" w:type="dxa"/>
            <w:shd w:val="clear" w:color="auto" w:fill="auto"/>
          </w:tcPr>
          <w:p w:rsidR="009E254B" w:rsidRPr="001346FF" w:rsidRDefault="009E254B" w:rsidP="009E254B">
            <w:pPr>
              <w:ind w:left="720"/>
              <w:jc w:val="left"/>
            </w:pPr>
            <w:proofErr w:type="gramStart"/>
            <w:r w:rsidRPr="001346FF">
              <w:t>2.e</w:t>
            </w:r>
            <w:proofErr w:type="gramEnd"/>
            <w:r w:rsidRPr="001346FF">
              <w:t>) reduced insurance rates for environment-friendly undertakings and technologies?</w:t>
            </w:r>
          </w:p>
        </w:tc>
        <w:tc>
          <w:tcPr>
            <w:tcW w:w="2812" w:type="dxa"/>
            <w:shd w:val="clear" w:color="auto" w:fill="FFFFFF"/>
          </w:tcPr>
          <w:p w:rsidR="009E254B" w:rsidRPr="001346FF" w:rsidRDefault="009E254B" w:rsidP="009E254B"/>
        </w:tc>
        <w:tc>
          <w:tcPr>
            <w:tcW w:w="3016" w:type="dxa"/>
            <w:shd w:val="clear" w:color="auto" w:fill="FFFFFF"/>
          </w:tcPr>
          <w:p w:rsidR="009E254B" w:rsidRPr="001346FF" w:rsidRDefault="009E254B" w:rsidP="009E254B"/>
        </w:tc>
      </w:tr>
      <w:tr w:rsidR="009E254B" w:rsidRPr="001346FF" w:rsidTr="009E254B">
        <w:tc>
          <w:tcPr>
            <w:tcW w:w="3742" w:type="dxa"/>
            <w:shd w:val="clear" w:color="auto" w:fill="auto"/>
          </w:tcPr>
          <w:p w:rsidR="009E254B" w:rsidRPr="001346FF" w:rsidRDefault="009E254B" w:rsidP="009E254B">
            <w:pPr>
              <w:ind w:left="720"/>
              <w:jc w:val="left"/>
            </w:pPr>
            <w:proofErr w:type="gramStart"/>
            <w:r w:rsidRPr="001346FF">
              <w:t>2.f</w:t>
            </w:r>
            <w:proofErr w:type="gramEnd"/>
            <w:r w:rsidRPr="001346FF">
              <w:t>) funding schemes for introduction of green technologies, establishment and/or operation of environment-friendly businesses (indicate if funding is provided for private or public sector/enterprises)?</w:t>
            </w:r>
          </w:p>
        </w:tc>
        <w:tc>
          <w:tcPr>
            <w:tcW w:w="2812" w:type="dxa"/>
            <w:shd w:val="clear" w:color="auto" w:fill="FFFFFF"/>
          </w:tcPr>
          <w:p w:rsidR="009E254B" w:rsidRPr="001346FF" w:rsidRDefault="009E254B" w:rsidP="009E254B"/>
        </w:tc>
        <w:tc>
          <w:tcPr>
            <w:tcW w:w="3016" w:type="dxa"/>
            <w:shd w:val="clear" w:color="auto" w:fill="FFFFFF"/>
          </w:tcPr>
          <w:p w:rsidR="009E254B" w:rsidRPr="001346FF" w:rsidRDefault="009E254B" w:rsidP="009E254B"/>
        </w:tc>
      </w:tr>
      <w:tr w:rsidR="009E254B" w:rsidRPr="001346FF" w:rsidTr="009E254B">
        <w:tc>
          <w:tcPr>
            <w:tcW w:w="3742" w:type="dxa"/>
            <w:shd w:val="clear" w:color="auto" w:fill="auto"/>
          </w:tcPr>
          <w:p w:rsidR="009E254B" w:rsidRPr="001346FF" w:rsidRDefault="009E254B" w:rsidP="009E254B">
            <w:pPr>
              <w:ind w:left="720"/>
              <w:jc w:val="left"/>
            </w:pPr>
            <w:proofErr w:type="gramStart"/>
            <w:r w:rsidRPr="001346FF">
              <w:t>2.g</w:t>
            </w:r>
            <w:proofErr w:type="gramEnd"/>
            <w:r w:rsidRPr="001346FF">
              <w:t xml:space="preserve">) free business support services for environment-friendly undertakings (e.g. offices providing consultations </w:t>
            </w:r>
            <w:r w:rsidRPr="001346FF">
              <w:lastRenderedPageBreak/>
              <w:t>to start a business)?</w:t>
            </w:r>
          </w:p>
        </w:tc>
        <w:tc>
          <w:tcPr>
            <w:tcW w:w="2812" w:type="dxa"/>
            <w:shd w:val="clear" w:color="auto" w:fill="FFFFFF"/>
          </w:tcPr>
          <w:p w:rsidR="009E254B" w:rsidRPr="001346FF" w:rsidRDefault="009E254B" w:rsidP="009E254B"/>
        </w:tc>
        <w:tc>
          <w:tcPr>
            <w:tcW w:w="3016" w:type="dxa"/>
            <w:shd w:val="clear" w:color="auto" w:fill="FFFFFF"/>
          </w:tcPr>
          <w:p w:rsidR="009E254B" w:rsidRPr="001346FF" w:rsidRDefault="009E254B" w:rsidP="009E254B"/>
        </w:tc>
      </w:tr>
      <w:tr w:rsidR="009E254B" w:rsidRPr="001346FF" w:rsidTr="009E254B">
        <w:tc>
          <w:tcPr>
            <w:tcW w:w="3742" w:type="dxa"/>
            <w:shd w:val="clear" w:color="auto" w:fill="auto"/>
          </w:tcPr>
          <w:p w:rsidR="009E254B" w:rsidRPr="001346FF" w:rsidRDefault="009E254B" w:rsidP="009E254B">
            <w:pPr>
              <w:ind w:left="720"/>
              <w:jc w:val="left"/>
            </w:pPr>
            <w:proofErr w:type="gramStart"/>
            <w:r w:rsidRPr="001346FF">
              <w:lastRenderedPageBreak/>
              <w:t>2.h</w:t>
            </w:r>
            <w:proofErr w:type="gramEnd"/>
            <w:r w:rsidRPr="001346FF">
              <w:t>) any other economic or fiscal incentives?</w:t>
            </w:r>
          </w:p>
        </w:tc>
        <w:tc>
          <w:tcPr>
            <w:tcW w:w="2812" w:type="dxa"/>
            <w:shd w:val="clear" w:color="auto" w:fill="FFFFFF"/>
          </w:tcPr>
          <w:p w:rsidR="009E254B" w:rsidRPr="001346FF" w:rsidRDefault="009E254B" w:rsidP="009E254B"/>
        </w:tc>
        <w:tc>
          <w:tcPr>
            <w:tcW w:w="3016" w:type="dxa"/>
            <w:shd w:val="clear" w:color="auto" w:fill="FFFFFF"/>
          </w:tcPr>
          <w:p w:rsidR="009E254B" w:rsidRPr="001346FF" w:rsidRDefault="009E254B" w:rsidP="009E254B"/>
        </w:tc>
      </w:tr>
      <w:tr w:rsidR="009E254B" w:rsidRPr="001346FF" w:rsidTr="009E254B">
        <w:tc>
          <w:tcPr>
            <w:tcW w:w="3742" w:type="dxa"/>
            <w:shd w:val="clear" w:color="auto" w:fill="auto"/>
          </w:tcPr>
          <w:p w:rsidR="009E254B" w:rsidRPr="001346FF" w:rsidRDefault="009E254B" w:rsidP="009E254B"/>
          <w:p w:rsidR="009E254B" w:rsidRPr="001346FF" w:rsidRDefault="009E254B" w:rsidP="009E254B">
            <w:r w:rsidRPr="001346FF">
              <w:t>Additional comments and remarks</w:t>
            </w:r>
          </w:p>
          <w:p w:rsidR="009E254B" w:rsidRPr="001346FF" w:rsidRDefault="009E254B" w:rsidP="009E254B"/>
        </w:tc>
        <w:tc>
          <w:tcPr>
            <w:tcW w:w="5828" w:type="dxa"/>
            <w:gridSpan w:val="2"/>
            <w:shd w:val="clear" w:color="auto" w:fill="FFFFFF"/>
          </w:tcPr>
          <w:p w:rsidR="009E254B" w:rsidRPr="001346FF" w:rsidRDefault="009E254B" w:rsidP="009E254B"/>
        </w:tc>
      </w:tr>
      <w:tr w:rsidR="009E254B" w:rsidRPr="001346FF" w:rsidTr="009E254B">
        <w:trPr>
          <w:trHeight w:val="465"/>
        </w:trPr>
        <w:tc>
          <w:tcPr>
            <w:tcW w:w="9570" w:type="dxa"/>
            <w:gridSpan w:val="3"/>
            <w:shd w:val="clear" w:color="auto" w:fill="auto"/>
          </w:tcPr>
          <w:p w:rsidR="009E254B" w:rsidRPr="001346FF" w:rsidRDefault="009E254B" w:rsidP="009E254B">
            <w:pPr>
              <w:spacing w:before="120" w:after="120"/>
              <w:jc w:val="center"/>
              <w:rPr>
                <w:b/>
              </w:rPr>
            </w:pPr>
            <w:r w:rsidRPr="001346FF">
              <w:rPr>
                <w:b/>
              </w:rPr>
              <w:t>Reputational incentives</w:t>
            </w:r>
          </w:p>
        </w:tc>
      </w:tr>
      <w:tr w:rsidR="009E254B" w:rsidRPr="001346FF" w:rsidTr="009E254B">
        <w:tc>
          <w:tcPr>
            <w:tcW w:w="9570" w:type="dxa"/>
            <w:gridSpan w:val="3"/>
            <w:shd w:val="clear" w:color="auto" w:fill="auto"/>
          </w:tcPr>
          <w:p w:rsidR="009E254B" w:rsidRPr="001346FF" w:rsidRDefault="009E254B" w:rsidP="009E254B">
            <w:pPr>
              <w:rPr>
                <w:i/>
                <w:sz w:val="20"/>
              </w:rPr>
            </w:pPr>
            <w:r w:rsidRPr="001346FF">
              <w:rPr>
                <w:i/>
                <w:sz w:val="20"/>
              </w:rPr>
              <w:t>Reputation incentives motivate undertakings to choose more environment-friendly behaviour in order to create a reputation as an environmentally conscious undertaking, which in turn ensures recognition among the consumers and general public at large. Usually the information on the undertaking’s choice to be more environment-conscious is provided to the general public in an easily accessible manner.</w:t>
            </w:r>
          </w:p>
        </w:tc>
      </w:tr>
      <w:tr w:rsidR="009E254B" w:rsidRPr="001346FF" w:rsidTr="009E254B">
        <w:tc>
          <w:tcPr>
            <w:tcW w:w="3742" w:type="dxa"/>
            <w:shd w:val="clear" w:color="auto" w:fill="C6D9F1"/>
          </w:tcPr>
          <w:p w:rsidR="009E254B" w:rsidRPr="001346FF" w:rsidRDefault="009E254B" w:rsidP="009E254B">
            <w:r w:rsidRPr="001346FF">
              <w:t>3. Does the national system provide for the following reputational incentives:</w:t>
            </w:r>
          </w:p>
        </w:tc>
        <w:tc>
          <w:tcPr>
            <w:tcW w:w="2812" w:type="dxa"/>
            <w:shd w:val="clear" w:color="auto" w:fill="C6D9F1"/>
          </w:tcPr>
          <w:p w:rsidR="009E254B" w:rsidRPr="001346FF" w:rsidRDefault="009E254B" w:rsidP="009E254B">
            <w:r w:rsidRPr="001346FF">
              <w:t>Please list the respective legal acts and/or policies governing the incentives (if there are any)</w:t>
            </w:r>
          </w:p>
        </w:tc>
        <w:tc>
          <w:tcPr>
            <w:tcW w:w="3016" w:type="dxa"/>
            <w:shd w:val="clear" w:color="auto" w:fill="C6D9F1"/>
          </w:tcPr>
          <w:p w:rsidR="009E254B" w:rsidRPr="001346FF" w:rsidRDefault="009E254B" w:rsidP="009E254B">
            <w:r w:rsidRPr="001346FF">
              <w:rPr>
                <w:rFonts w:cs="Calibri"/>
                <w:color w:val="000000"/>
              </w:rPr>
              <w:t>Please provide a brief overview of the main legal requirements (or policy measures) regarding the incentives encompassed in each respective legal act (or policy document)</w:t>
            </w:r>
          </w:p>
        </w:tc>
      </w:tr>
      <w:tr w:rsidR="009E254B" w:rsidRPr="001346FF" w:rsidTr="009E254B">
        <w:tc>
          <w:tcPr>
            <w:tcW w:w="3742" w:type="dxa"/>
            <w:shd w:val="clear" w:color="auto" w:fill="auto"/>
          </w:tcPr>
          <w:p w:rsidR="009E254B" w:rsidRPr="001346FF" w:rsidRDefault="009E254B" w:rsidP="009E254B">
            <w:pPr>
              <w:ind w:left="720"/>
              <w:jc w:val="left"/>
            </w:pPr>
            <w:proofErr w:type="gramStart"/>
            <w:r w:rsidRPr="001346FF">
              <w:t>3.a</w:t>
            </w:r>
            <w:proofErr w:type="gramEnd"/>
            <w:r w:rsidRPr="001346FF">
              <w:t>) sustainability index scheme or equivalent voluntary mechanism indicating (or awarding) sustainable (environment-friendly) behaviour of the company, where general public can freely access information on participating companies’ sustainability index?</w:t>
            </w:r>
          </w:p>
        </w:tc>
        <w:tc>
          <w:tcPr>
            <w:tcW w:w="2812" w:type="dxa"/>
            <w:shd w:val="clear" w:color="auto" w:fill="FFFFFF"/>
          </w:tcPr>
          <w:p w:rsidR="009E254B" w:rsidRPr="001346FF" w:rsidRDefault="009E254B" w:rsidP="009E254B"/>
        </w:tc>
        <w:tc>
          <w:tcPr>
            <w:tcW w:w="3016" w:type="dxa"/>
            <w:shd w:val="clear" w:color="auto" w:fill="FFFFFF"/>
          </w:tcPr>
          <w:p w:rsidR="009E254B" w:rsidRPr="001346FF" w:rsidRDefault="009E254B" w:rsidP="009E254B"/>
        </w:tc>
      </w:tr>
      <w:tr w:rsidR="009E254B" w:rsidRPr="001346FF" w:rsidTr="009E254B">
        <w:tc>
          <w:tcPr>
            <w:tcW w:w="3742" w:type="dxa"/>
            <w:shd w:val="clear" w:color="auto" w:fill="auto"/>
          </w:tcPr>
          <w:p w:rsidR="009E254B" w:rsidRPr="001346FF" w:rsidRDefault="009E254B" w:rsidP="009E254B">
            <w:pPr>
              <w:ind w:left="720"/>
              <w:jc w:val="left"/>
            </w:pPr>
            <w:proofErr w:type="gramStart"/>
            <w:r w:rsidRPr="001346FF">
              <w:t>3.b</w:t>
            </w:r>
            <w:proofErr w:type="gramEnd"/>
            <w:r w:rsidRPr="001346FF">
              <w:t>) eco-labelling scheme?</w:t>
            </w:r>
          </w:p>
        </w:tc>
        <w:tc>
          <w:tcPr>
            <w:tcW w:w="2812" w:type="dxa"/>
            <w:shd w:val="clear" w:color="auto" w:fill="FFFFFF"/>
          </w:tcPr>
          <w:p w:rsidR="009E254B" w:rsidRPr="001346FF" w:rsidRDefault="009E254B" w:rsidP="009E254B"/>
        </w:tc>
        <w:tc>
          <w:tcPr>
            <w:tcW w:w="3016" w:type="dxa"/>
            <w:shd w:val="clear" w:color="auto" w:fill="FFFFFF"/>
          </w:tcPr>
          <w:p w:rsidR="009E254B" w:rsidRPr="001346FF" w:rsidRDefault="009E254B" w:rsidP="009E254B"/>
        </w:tc>
      </w:tr>
      <w:tr w:rsidR="009E254B" w:rsidRPr="001346FF" w:rsidTr="009E254B">
        <w:tc>
          <w:tcPr>
            <w:tcW w:w="3742" w:type="dxa"/>
            <w:shd w:val="clear" w:color="auto" w:fill="auto"/>
          </w:tcPr>
          <w:p w:rsidR="009E254B" w:rsidRPr="001346FF" w:rsidRDefault="009E254B" w:rsidP="009E254B">
            <w:pPr>
              <w:ind w:left="720"/>
              <w:jc w:val="left"/>
            </w:pPr>
            <w:proofErr w:type="gramStart"/>
            <w:r w:rsidRPr="001346FF">
              <w:t>3.</w:t>
            </w:r>
            <w:proofErr w:type="gramEnd"/>
            <w:r w:rsidRPr="001346FF">
              <w:t>c) environmental management scheme (e.g. ISO 14001)?</w:t>
            </w:r>
          </w:p>
        </w:tc>
        <w:tc>
          <w:tcPr>
            <w:tcW w:w="2812" w:type="dxa"/>
            <w:shd w:val="clear" w:color="auto" w:fill="FFFFFF"/>
          </w:tcPr>
          <w:p w:rsidR="009E254B" w:rsidRPr="001346FF" w:rsidRDefault="009E254B" w:rsidP="009E254B"/>
        </w:tc>
        <w:tc>
          <w:tcPr>
            <w:tcW w:w="3016" w:type="dxa"/>
            <w:shd w:val="clear" w:color="auto" w:fill="FFFFFF"/>
          </w:tcPr>
          <w:p w:rsidR="009E254B" w:rsidRPr="001346FF" w:rsidRDefault="009E254B" w:rsidP="009E254B"/>
        </w:tc>
      </w:tr>
      <w:tr w:rsidR="009E254B" w:rsidRPr="001346FF" w:rsidTr="009E254B">
        <w:tc>
          <w:tcPr>
            <w:tcW w:w="3742" w:type="dxa"/>
            <w:shd w:val="clear" w:color="auto" w:fill="auto"/>
          </w:tcPr>
          <w:p w:rsidR="009E254B" w:rsidRPr="001346FF" w:rsidRDefault="009E254B" w:rsidP="009E254B">
            <w:pPr>
              <w:ind w:left="720"/>
              <w:jc w:val="left"/>
            </w:pPr>
            <w:proofErr w:type="gramStart"/>
            <w:r w:rsidRPr="001346FF">
              <w:t>3.d</w:t>
            </w:r>
            <w:proofErr w:type="gramEnd"/>
            <w:r w:rsidRPr="001346FF">
              <w:t>) any other reputational incentives?</w:t>
            </w:r>
          </w:p>
        </w:tc>
        <w:tc>
          <w:tcPr>
            <w:tcW w:w="2812" w:type="dxa"/>
            <w:shd w:val="clear" w:color="auto" w:fill="FFFFFF"/>
          </w:tcPr>
          <w:p w:rsidR="009E254B" w:rsidRPr="001346FF" w:rsidRDefault="009E254B" w:rsidP="009E254B"/>
        </w:tc>
        <w:tc>
          <w:tcPr>
            <w:tcW w:w="3016" w:type="dxa"/>
            <w:shd w:val="clear" w:color="auto" w:fill="FFFFFF"/>
          </w:tcPr>
          <w:p w:rsidR="009E254B" w:rsidRPr="001346FF" w:rsidRDefault="009E254B" w:rsidP="009E254B"/>
        </w:tc>
      </w:tr>
      <w:tr w:rsidR="009E254B" w:rsidRPr="001346FF" w:rsidTr="009E254B">
        <w:tc>
          <w:tcPr>
            <w:tcW w:w="3742" w:type="dxa"/>
            <w:shd w:val="clear" w:color="auto" w:fill="auto"/>
          </w:tcPr>
          <w:p w:rsidR="009E254B" w:rsidRPr="001346FF" w:rsidRDefault="009E254B" w:rsidP="009E254B"/>
          <w:p w:rsidR="009E254B" w:rsidRPr="001346FF" w:rsidRDefault="009E254B" w:rsidP="009E254B">
            <w:r w:rsidRPr="001346FF">
              <w:t>Additional comments and remarks</w:t>
            </w:r>
          </w:p>
          <w:p w:rsidR="009E254B" w:rsidRPr="001346FF" w:rsidRDefault="009E254B" w:rsidP="009E254B"/>
        </w:tc>
        <w:tc>
          <w:tcPr>
            <w:tcW w:w="5828" w:type="dxa"/>
            <w:gridSpan w:val="2"/>
            <w:shd w:val="clear" w:color="auto" w:fill="FFFFFF"/>
          </w:tcPr>
          <w:p w:rsidR="009E254B" w:rsidRPr="001346FF" w:rsidRDefault="009E254B" w:rsidP="009E254B"/>
        </w:tc>
      </w:tr>
      <w:tr w:rsidR="009E254B" w:rsidRPr="001346FF" w:rsidTr="009E254B">
        <w:tc>
          <w:tcPr>
            <w:tcW w:w="9570" w:type="dxa"/>
            <w:gridSpan w:val="3"/>
            <w:shd w:val="clear" w:color="auto" w:fill="C6D9F1"/>
          </w:tcPr>
          <w:p w:rsidR="009E254B" w:rsidRPr="001346FF" w:rsidRDefault="009E254B" w:rsidP="009E254B">
            <w:pPr>
              <w:spacing w:before="120" w:after="120"/>
            </w:pPr>
            <w:r w:rsidRPr="001346FF">
              <w:lastRenderedPageBreak/>
              <w:t>4. Assessment of the incentives</w:t>
            </w:r>
          </w:p>
        </w:tc>
      </w:tr>
      <w:tr w:rsidR="009E254B" w:rsidRPr="001346FF" w:rsidTr="009E254B">
        <w:tc>
          <w:tcPr>
            <w:tcW w:w="3742" w:type="dxa"/>
            <w:shd w:val="clear" w:color="auto" w:fill="auto"/>
          </w:tcPr>
          <w:p w:rsidR="009E254B" w:rsidRPr="001346FF" w:rsidRDefault="009E254B" w:rsidP="009E254B">
            <w:pPr>
              <w:jc w:val="left"/>
              <w:rPr>
                <w:rFonts w:cs="Arial"/>
                <w:szCs w:val="21"/>
              </w:rPr>
            </w:pPr>
            <w:r w:rsidRPr="001346FF">
              <w:rPr>
                <w:rFonts w:cs="Arial"/>
                <w:szCs w:val="21"/>
              </w:rPr>
              <w:t xml:space="preserve">Please select and provide a more detailed description of few of the successful and one or few of the less successful incentives (can be selected from the ones mentioned in questions 1 to 3) introduced in the country. </w:t>
            </w:r>
          </w:p>
          <w:p w:rsidR="009E254B" w:rsidRPr="001346FF" w:rsidRDefault="009E254B" w:rsidP="009E254B">
            <w:pPr>
              <w:pStyle w:val="ListParagraph"/>
              <w:numPr>
                <w:ilvl w:val="0"/>
                <w:numId w:val="41"/>
              </w:numPr>
              <w:spacing w:after="0" w:line="240" w:lineRule="auto"/>
              <w:rPr>
                <w:rFonts w:ascii="Arial" w:hAnsi="Arial" w:cs="Arial"/>
                <w:sz w:val="21"/>
                <w:szCs w:val="21"/>
                <w:lang w:val="en-GB"/>
              </w:rPr>
            </w:pPr>
            <w:r w:rsidRPr="001346FF">
              <w:rPr>
                <w:rFonts w:ascii="Arial" w:hAnsi="Arial" w:cs="Arial"/>
                <w:sz w:val="21"/>
                <w:szCs w:val="21"/>
                <w:lang w:val="en-GB"/>
              </w:rPr>
              <w:t>What were the reasons for failure of the incentives that turned to be least successful?</w:t>
            </w:r>
          </w:p>
          <w:p w:rsidR="009E254B" w:rsidRPr="001346FF" w:rsidRDefault="009E254B" w:rsidP="009E254B">
            <w:pPr>
              <w:pStyle w:val="ListParagraph"/>
              <w:numPr>
                <w:ilvl w:val="0"/>
                <w:numId w:val="41"/>
              </w:numPr>
              <w:spacing w:after="0" w:line="240" w:lineRule="auto"/>
              <w:rPr>
                <w:lang w:val="en-GB"/>
              </w:rPr>
            </w:pPr>
            <w:r w:rsidRPr="001346FF">
              <w:rPr>
                <w:rFonts w:ascii="Arial" w:hAnsi="Arial" w:cs="Arial"/>
                <w:sz w:val="21"/>
                <w:szCs w:val="21"/>
                <w:lang w:val="en-GB"/>
              </w:rPr>
              <w:t>What were the main success factors of the successful ones?</w:t>
            </w:r>
          </w:p>
        </w:tc>
        <w:tc>
          <w:tcPr>
            <w:tcW w:w="5828" w:type="dxa"/>
            <w:gridSpan w:val="2"/>
            <w:shd w:val="clear" w:color="auto" w:fill="auto"/>
          </w:tcPr>
          <w:p w:rsidR="009E254B" w:rsidRPr="001346FF" w:rsidRDefault="009E254B" w:rsidP="009E254B"/>
        </w:tc>
      </w:tr>
      <w:tr w:rsidR="009E254B" w:rsidRPr="001346FF" w:rsidTr="009E254B">
        <w:trPr>
          <w:trHeight w:val="389"/>
        </w:trPr>
        <w:tc>
          <w:tcPr>
            <w:tcW w:w="9570" w:type="dxa"/>
            <w:gridSpan w:val="3"/>
            <w:shd w:val="clear" w:color="auto" w:fill="auto"/>
          </w:tcPr>
          <w:p w:rsidR="009E254B" w:rsidRPr="001346FF" w:rsidRDefault="009E254B" w:rsidP="009E254B">
            <w:pPr>
              <w:spacing w:before="120" w:after="120"/>
              <w:jc w:val="center"/>
              <w:rPr>
                <w:b/>
              </w:rPr>
            </w:pPr>
          </w:p>
        </w:tc>
      </w:tr>
      <w:tr w:rsidR="009E254B" w:rsidRPr="001346FF" w:rsidTr="009E254B">
        <w:trPr>
          <w:trHeight w:val="389"/>
        </w:trPr>
        <w:tc>
          <w:tcPr>
            <w:tcW w:w="9570" w:type="dxa"/>
            <w:gridSpan w:val="3"/>
            <w:shd w:val="clear" w:color="auto" w:fill="auto"/>
          </w:tcPr>
          <w:p w:rsidR="009E254B" w:rsidRPr="001346FF" w:rsidRDefault="009E254B" w:rsidP="009E254B">
            <w:pPr>
              <w:spacing w:before="120" w:after="120"/>
              <w:jc w:val="center"/>
              <w:rPr>
                <w:b/>
              </w:rPr>
            </w:pPr>
            <w:r w:rsidRPr="001346FF">
              <w:rPr>
                <w:b/>
              </w:rPr>
              <w:t>General questions</w:t>
            </w:r>
          </w:p>
        </w:tc>
      </w:tr>
      <w:tr w:rsidR="009E254B" w:rsidRPr="001346FF" w:rsidTr="009E254B">
        <w:tc>
          <w:tcPr>
            <w:tcW w:w="9570" w:type="dxa"/>
            <w:gridSpan w:val="3"/>
            <w:shd w:val="clear" w:color="auto" w:fill="C6D9F1"/>
          </w:tcPr>
          <w:p w:rsidR="009E254B" w:rsidRPr="001346FF" w:rsidRDefault="009E254B" w:rsidP="009E254B">
            <w:r w:rsidRPr="001346FF">
              <w:t>5. Please provide a brief description of state affiliated or private institutions in the country providing funding or support for implementation of environmental projects, introduction of green technologies etc. (e.g. State Environment Fund, Environment Investment Bureau etc.)</w:t>
            </w:r>
          </w:p>
        </w:tc>
      </w:tr>
      <w:tr w:rsidR="009E254B" w:rsidRPr="001346FF" w:rsidTr="009E254B">
        <w:tc>
          <w:tcPr>
            <w:tcW w:w="3742" w:type="dxa"/>
            <w:shd w:val="clear" w:color="auto" w:fill="auto"/>
          </w:tcPr>
          <w:p w:rsidR="009E254B" w:rsidRPr="001346FF" w:rsidRDefault="009E254B" w:rsidP="009E254B">
            <w:pPr>
              <w:jc w:val="left"/>
              <w:rPr>
                <w:rFonts w:cs="Arial"/>
                <w:szCs w:val="21"/>
              </w:rPr>
            </w:pPr>
            <w:r w:rsidRPr="001346FF">
              <w:rPr>
                <w:rFonts w:cs="Arial"/>
                <w:szCs w:val="21"/>
              </w:rPr>
              <w:t>Please provide the following information on each fund or entity:</w:t>
            </w:r>
          </w:p>
          <w:p w:rsidR="009E254B" w:rsidRPr="001346FF" w:rsidRDefault="009E254B" w:rsidP="009E254B">
            <w:pPr>
              <w:pStyle w:val="ListParagraph"/>
              <w:numPr>
                <w:ilvl w:val="0"/>
                <w:numId w:val="40"/>
              </w:numPr>
              <w:spacing w:after="0" w:line="240" w:lineRule="auto"/>
              <w:rPr>
                <w:rFonts w:ascii="Arial" w:hAnsi="Arial" w:cs="Arial"/>
                <w:sz w:val="21"/>
                <w:szCs w:val="21"/>
                <w:lang w:val="en-GB"/>
              </w:rPr>
            </w:pPr>
            <w:r w:rsidRPr="001346FF">
              <w:rPr>
                <w:rFonts w:ascii="Arial" w:hAnsi="Arial" w:cs="Arial"/>
                <w:sz w:val="21"/>
                <w:szCs w:val="21"/>
                <w:lang w:val="en-GB"/>
              </w:rPr>
              <w:t xml:space="preserve">ownership (public or private) </w:t>
            </w:r>
          </w:p>
          <w:p w:rsidR="009E254B" w:rsidRPr="001346FF" w:rsidRDefault="009E254B" w:rsidP="009E254B">
            <w:pPr>
              <w:pStyle w:val="ListParagraph"/>
              <w:numPr>
                <w:ilvl w:val="0"/>
                <w:numId w:val="40"/>
              </w:numPr>
              <w:spacing w:after="0" w:line="240" w:lineRule="auto"/>
              <w:rPr>
                <w:rFonts w:ascii="Arial" w:hAnsi="Arial" w:cs="Arial"/>
                <w:sz w:val="21"/>
                <w:szCs w:val="21"/>
                <w:lang w:val="en-GB"/>
              </w:rPr>
            </w:pPr>
            <w:r w:rsidRPr="001346FF">
              <w:rPr>
                <w:rFonts w:ascii="Arial" w:hAnsi="Arial" w:cs="Arial"/>
                <w:sz w:val="21"/>
                <w:szCs w:val="21"/>
                <w:lang w:val="en-GB"/>
              </w:rPr>
              <w:t>aim and purpose</w:t>
            </w:r>
          </w:p>
          <w:p w:rsidR="009E254B" w:rsidRPr="001346FF" w:rsidRDefault="009E254B" w:rsidP="009E254B">
            <w:pPr>
              <w:pStyle w:val="ListParagraph"/>
              <w:numPr>
                <w:ilvl w:val="0"/>
                <w:numId w:val="40"/>
              </w:numPr>
              <w:spacing w:after="0" w:line="240" w:lineRule="auto"/>
              <w:rPr>
                <w:rFonts w:ascii="Arial" w:hAnsi="Arial" w:cs="Arial"/>
                <w:sz w:val="21"/>
                <w:szCs w:val="21"/>
                <w:lang w:val="en-GB"/>
              </w:rPr>
            </w:pPr>
            <w:proofErr w:type="gramStart"/>
            <w:r w:rsidRPr="001346FF">
              <w:rPr>
                <w:rFonts w:ascii="Arial" w:hAnsi="Arial" w:cs="Arial"/>
                <w:sz w:val="21"/>
                <w:szCs w:val="21"/>
                <w:lang w:val="en-GB"/>
              </w:rPr>
              <w:t>funding</w:t>
            </w:r>
            <w:proofErr w:type="gramEnd"/>
            <w:r w:rsidRPr="001346FF">
              <w:rPr>
                <w:rFonts w:ascii="Arial" w:hAnsi="Arial" w:cs="Arial"/>
                <w:sz w:val="21"/>
                <w:szCs w:val="21"/>
                <w:lang w:val="en-GB"/>
              </w:rPr>
              <w:t xml:space="preserve"> source (private funds, management of donor financing, State budget, etc.)</w:t>
            </w:r>
          </w:p>
          <w:p w:rsidR="009E254B" w:rsidRPr="001346FF" w:rsidRDefault="009E254B" w:rsidP="009E254B">
            <w:pPr>
              <w:pStyle w:val="ListParagraph"/>
              <w:numPr>
                <w:ilvl w:val="0"/>
                <w:numId w:val="40"/>
              </w:numPr>
              <w:spacing w:after="0" w:line="240" w:lineRule="auto"/>
              <w:rPr>
                <w:rFonts w:ascii="Arial" w:hAnsi="Arial" w:cs="Arial"/>
                <w:sz w:val="21"/>
                <w:szCs w:val="21"/>
                <w:lang w:val="en-GB"/>
              </w:rPr>
            </w:pPr>
            <w:proofErr w:type="gramStart"/>
            <w:r w:rsidRPr="001346FF">
              <w:rPr>
                <w:rFonts w:ascii="Arial" w:hAnsi="Arial" w:cs="Arial"/>
                <w:sz w:val="21"/>
                <w:szCs w:val="21"/>
                <w:lang w:val="en-GB"/>
              </w:rPr>
              <w:t>type</w:t>
            </w:r>
            <w:proofErr w:type="gramEnd"/>
            <w:r w:rsidRPr="001346FF">
              <w:rPr>
                <w:rFonts w:ascii="Arial" w:hAnsi="Arial" w:cs="Arial"/>
                <w:sz w:val="21"/>
                <w:szCs w:val="21"/>
                <w:lang w:val="en-GB"/>
              </w:rPr>
              <w:t xml:space="preserve"> of financing (grants, loans, etc.)</w:t>
            </w:r>
          </w:p>
          <w:p w:rsidR="009E254B" w:rsidRPr="001346FF" w:rsidRDefault="009E254B" w:rsidP="009E254B">
            <w:pPr>
              <w:pStyle w:val="ListParagraph"/>
              <w:numPr>
                <w:ilvl w:val="0"/>
                <w:numId w:val="40"/>
              </w:numPr>
              <w:spacing w:after="0" w:line="240" w:lineRule="auto"/>
              <w:rPr>
                <w:lang w:val="en-GB"/>
              </w:rPr>
            </w:pPr>
            <w:r w:rsidRPr="001346FF">
              <w:rPr>
                <w:rFonts w:ascii="Arial" w:hAnsi="Arial" w:cs="Arial"/>
                <w:sz w:val="21"/>
                <w:szCs w:val="21"/>
                <w:lang w:val="en-GB"/>
              </w:rPr>
              <w:t>type of financed measures</w:t>
            </w:r>
          </w:p>
        </w:tc>
        <w:tc>
          <w:tcPr>
            <w:tcW w:w="5828" w:type="dxa"/>
            <w:gridSpan w:val="2"/>
            <w:shd w:val="clear" w:color="auto" w:fill="auto"/>
          </w:tcPr>
          <w:p w:rsidR="009E254B" w:rsidRPr="001346FF" w:rsidRDefault="009E254B" w:rsidP="009E254B"/>
        </w:tc>
      </w:tr>
      <w:tr w:rsidR="009E254B" w:rsidRPr="001346FF" w:rsidTr="009E254B">
        <w:tc>
          <w:tcPr>
            <w:tcW w:w="9570" w:type="dxa"/>
            <w:gridSpan w:val="3"/>
            <w:shd w:val="clear" w:color="auto" w:fill="C6D9F1"/>
          </w:tcPr>
          <w:p w:rsidR="009E254B" w:rsidRPr="001346FF" w:rsidRDefault="009E254B" w:rsidP="009E254B">
            <w:pPr>
              <w:spacing w:before="120" w:after="120"/>
            </w:pPr>
            <w:r w:rsidRPr="001346FF">
              <w:t xml:space="preserve">6. Is the country a party to any bi-lateral environmental agreement with neighbouring country? </w:t>
            </w:r>
            <w:r w:rsidRPr="001346FF">
              <w:rPr>
                <w:b/>
              </w:rPr>
              <w:t>(If no, please go to Q 7)</w:t>
            </w:r>
          </w:p>
        </w:tc>
      </w:tr>
      <w:tr w:rsidR="009E254B" w:rsidRPr="001346FF" w:rsidTr="009E254B">
        <w:tc>
          <w:tcPr>
            <w:tcW w:w="3742" w:type="dxa"/>
            <w:shd w:val="clear" w:color="auto" w:fill="auto"/>
          </w:tcPr>
          <w:p w:rsidR="009E254B" w:rsidRPr="001346FF" w:rsidRDefault="009E254B" w:rsidP="009E254B">
            <w:pPr>
              <w:jc w:val="left"/>
            </w:pPr>
            <w:r w:rsidRPr="001346FF">
              <w:t>Please list the bi-lateral environmental agreements in the field of cooperation for environmental protection, exchange of information, transfer of knowledge on “green technology”.</w:t>
            </w:r>
          </w:p>
        </w:tc>
        <w:tc>
          <w:tcPr>
            <w:tcW w:w="5828" w:type="dxa"/>
            <w:gridSpan w:val="2"/>
            <w:shd w:val="clear" w:color="auto" w:fill="auto"/>
          </w:tcPr>
          <w:p w:rsidR="009E254B" w:rsidRPr="001346FF" w:rsidRDefault="009E254B" w:rsidP="009E254B"/>
        </w:tc>
      </w:tr>
      <w:tr w:rsidR="009E254B" w:rsidRPr="001346FF" w:rsidTr="009E254B">
        <w:tc>
          <w:tcPr>
            <w:tcW w:w="3742" w:type="dxa"/>
            <w:shd w:val="clear" w:color="auto" w:fill="auto"/>
          </w:tcPr>
          <w:p w:rsidR="009E254B" w:rsidRPr="001346FF" w:rsidRDefault="009E254B" w:rsidP="009E254B">
            <w:pPr>
              <w:jc w:val="left"/>
            </w:pPr>
            <w:r w:rsidRPr="001346FF">
              <w:t xml:space="preserve">Please describe the incentives (e.g. administrative and/or economic and fiscal) introduced by the country to comply with the requirements of each agreement (either it is encompassed in the provisions of the agreement or </w:t>
            </w:r>
            <w:r w:rsidRPr="001346FF">
              <w:lastRenderedPageBreak/>
              <w:t xml:space="preserve">provided in the implementation plan of the country at issue). </w:t>
            </w:r>
          </w:p>
        </w:tc>
        <w:tc>
          <w:tcPr>
            <w:tcW w:w="5828" w:type="dxa"/>
            <w:gridSpan w:val="2"/>
            <w:shd w:val="clear" w:color="auto" w:fill="auto"/>
          </w:tcPr>
          <w:p w:rsidR="009E254B" w:rsidRPr="001346FF" w:rsidRDefault="009E254B" w:rsidP="009E254B"/>
        </w:tc>
      </w:tr>
      <w:tr w:rsidR="009E254B" w:rsidRPr="001346FF" w:rsidTr="009E254B">
        <w:tc>
          <w:tcPr>
            <w:tcW w:w="9570" w:type="dxa"/>
            <w:gridSpan w:val="3"/>
            <w:shd w:val="clear" w:color="auto" w:fill="C6D9F1"/>
          </w:tcPr>
          <w:p w:rsidR="009E254B" w:rsidRPr="001346FF" w:rsidRDefault="009E254B" w:rsidP="009E254B">
            <w:pPr>
              <w:spacing w:before="120" w:after="120"/>
            </w:pPr>
            <w:r w:rsidRPr="001346FF">
              <w:lastRenderedPageBreak/>
              <w:t>7. Multilateral environmental agreements (i.e. treaties, conventions)</w:t>
            </w:r>
          </w:p>
        </w:tc>
      </w:tr>
      <w:tr w:rsidR="009E254B" w:rsidRPr="001346FF" w:rsidTr="009E254B">
        <w:tc>
          <w:tcPr>
            <w:tcW w:w="3742" w:type="dxa"/>
            <w:shd w:val="clear" w:color="auto" w:fill="auto"/>
          </w:tcPr>
          <w:p w:rsidR="009E254B" w:rsidRPr="001346FF" w:rsidRDefault="009E254B" w:rsidP="009E254B">
            <w:pPr>
              <w:jc w:val="left"/>
            </w:pPr>
            <w:r w:rsidRPr="001346FF">
              <w:t>Please describe the introduced incentives in order to stimulate compliance with multilateral environmental agreements (might also be encompassed in implementation plans).</w:t>
            </w:r>
          </w:p>
        </w:tc>
        <w:tc>
          <w:tcPr>
            <w:tcW w:w="5828" w:type="dxa"/>
            <w:gridSpan w:val="2"/>
            <w:shd w:val="clear" w:color="auto" w:fill="auto"/>
          </w:tcPr>
          <w:p w:rsidR="009E254B" w:rsidRPr="001346FF" w:rsidRDefault="009E254B" w:rsidP="009E254B"/>
        </w:tc>
      </w:tr>
    </w:tbl>
    <w:p w:rsidR="00480839" w:rsidRDefault="00480839" w:rsidP="009E254B"/>
    <w:p w:rsidR="00480839" w:rsidRDefault="00480839">
      <w:pPr>
        <w:spacing w:before="0" w:line="240" w:lineRule="auto"/>
        <w:jc w:val="left"/>
      </w:pPr>
      <w:r>
        <w:br w:type="page"/>
      </w:r>
    </w:p>
    <w:p w:rsidR="009E254B" w:rsidRPr="001346FF" w:rsidRDefault="00480839" w:rsidP="00480839">
      <w:pPr>
        <w:pStyle w:val="Heading1"/>
        <w:numPr>
          <w:ilvl w:val="0"/>
          <w:numId w:val="0"/>
        </w:numPr>
        <w:ind w:left="425" w:hanging="425"/>
      </w:pPr>
      <w:bookmarkStart w:id="70" w:name="_Toc387396942"/>
      <w:r>
        <w:lastRenderedPageBreak/>
        <w:t xml:space="preserve">Annex 2 </w:t>
      </w:r>
      <w:r w:rsidR="00E31704">
        <w:t>-</w:t>
      </w:r>
      <w:r>
        <w:rPr>
          <w:lang w:val="lv-LV"/>
        </w:rPr>
        <w:t xml:space="preserve"> WB, GEF and EBRD country strategies</w:t>
      </w:r>
      <w:bookmarkEnd w:id="70"/>
      <w:r>
        <w:rPr>
          <w:lang w:val="lv-LV"/>
        </w:rPr>
        <w:t xml:space="preserve"> </w:t>
      </w:r>
    </w:p>
    <w:p w:rsidR="00480839" w:rsidRPr="007363AF" w:rsidRDefault="00480839" w:rsidP="00480839">
      <w:pPr>
        <w:spacing w:after="120"/>
        <w:rPr>
          <w:b/>
          <w:lang w:eastAsia="en-GB"/>
        </w:rPr>
      </w:pPr>
      <w:r w:rsidRPr="007363AF">
        <w:rPr>
          <w:b/>
          <w:lang w:eastAsia="en-GB"/>
        </w:rPr>
        <w:t>World Bank’s Country strategies</w:t>
      </w:r>
    </w:p>
    <w:p w:rsidR="00480839" w:rsidRPr="001346FF" w:rsidRDefault="00480839" w:rsidP="00480839">
      <w:pPr>
        <w:spacing w:after="120"/>
        <w:rPr>
          <w:u w:val="single"/>
          <w:lang w:eastAsia="en-GB"/>
        </w:rPr>
      </w:pPr>
      <w:r w:rsidRPr="001346FF">
        <w:rPr>
          <w:u w:val="single"/>
          <w:lang w:eastAsia="en-GB"/>
        </w:rPr>
        <w:t>Armenia</w:t>
      </w:r>
    </w:p>
    <w:p w:rsidR="00480839" w:rsidRPr="001346FF" w:rsidRDefault="00480839" w:rsidP="00480839">
      <w:pPr>
        <w:spacing w:after="120"/>
        <w:rPr>
          <w:lang w:eastAsia="en-GB"/>
        </w:rPr>
      </w:pPr>
      <w:r w:rsidRPr="001346FF">
        <w:rPr>
          <w:lang w:eastAsia="en-GB"/>
        </w:rPr>
        <w:t>The World Bank Group’s Country Partnership Strategy (CPS) for 2009 -2012, extended until 2013, is anchored on two strategic objectives: addressing vulnerability (for the short-term) and strengthening competitiveness for post-crisis growth (for the long-term).</w:t>
      </w:r>
    </w:p>
    <w:p w:rsidR="00480839" w:rsidRPr="001346FF" w:rsidRDefault="00480839" w:rsidP="00480839">
      <w:pPr>
        <w:spacing w:after="120"/>
        <w:rPr>
          <w:lang w:eastAsia="en-GB"/>
        </w:rPr>
      </w:pPr>
      <w:r w:rsidRPr="001346FF">
        <w:rPr>
          <w:lang w:eastAsia="en-GB"/>
        </w:rPr>
        <w:t xml:space="preserve">In addition to investment projects and analytical work, the World Bank has proposed a series </w:t>
      </w:r>
      <w:proofErr w:type="gramStart"/>
      <w:r w:rsidRPr="001346FF">
        <w:rPr>
          <w:lang w:eastAsia="en-GB"/>
        </w:rPr>
        <w:t xml:space="preserve">of three annual Development Policy Operations (DPO) to protect the poor and support greater human capital development, and to improve competitiveness by encouraging better governance and fostering a more </w:t>
      </w:r>
      <w:proofErr w:type="spellStart"/>
      <w:r w:rsidRPr="001346FF">
        <w:rPr>
          <w:lang w:eastAsia="en-GB"/>
        </w:rPr>
        <w:t>favorable</w:t>
      </w:r>
      <w:proofErr w:type="spellEnd"/>
      <w:r w:rsidRPr="001346FF">
        <w:rPr>
          <w:lang w:eastAsia="en-GB"/>
        </w:rPr>
        <w:t xml:space="preserve"> investment climate</w:t>
      </w:r>
      <w:proofErr w:type="gramEnd"/>
      <w:r w:rsidRPr="001346FF">
        <w:rPr>
          <w:lang w:eastAsia="en-GB"/>
        </w:rPr>
        <w:t>.</w:t>
      </w:r>
    </w:p>
    <w:p w:rsidR="00480839" w:rsidRPr="001346FF" w:rsidRDefault="00480839" w:rsidP="00480839">
      <w:pPr>
        <w:spacing w:after="120"/>
        <w:rPr>
          <w:u w:val="single"/>
          <w:lang w:eastAsia="en-GB"/>
        </w:rPr>
      </w:pPr>
      <w:r w:rsidRPr="001346FF">
        <w:rPr>
          <w:u w:val="single"/>
          <w:lang w:eastAsia="en-GB"/>
        </w:rPr>
        <w:t>Azerbaijan</w:t>
      </w:r>
    </w:p>
    <w:p w:rsidR="00480839" w:rsidRPr="001346FF" w:rsidRDefault="00480839" w:rsidP="00480839">
      <w:pPr>
        <w:spacing w:after="120"/>
        <w:rPr>
          <w:lang w:eastAsia="en-GB"/>
        </w:rPr>
      </w:pPr>
      <w:r w:rsidRPr="001346FF">
        <w:rPr>
          <w:lang w:eastAsia="en-GB"/>
        </w:rPr>
        <w:t>Two pillars of Bank’s strategy in Azerbaijan are: strengthening the non-oil economy and improving the effectiveness of social and community services. The former will be achieved through better business environment, better infrastructure and agriculture improvements, while the latter will be achieved by overhauling health, education, social protection and water supply.</w:t>
      </w:r>
    </w:p>
    <w:p w:rsidR="00480839" w:rsidRPr="001346FF" w:rsidRDefault="00480839" w:rsidP="00480839">
      <w:pPr>
        <w:spacing w:after="120"/>
        <w:rPr>
          <w:lang w:eastAsia="en-GB"/>
        </w:rPr>
      </w:pPr>
      <w:r w:rsidRPr="001346FF">
        <w:rPr>
          <w:lang w:eastAsia="en-GB"/>
        </w:rPr>
        <w:t>The Bank, therefore, is modifying its approach in many ways. It will focus on completing the implementation of existing projects, and only consider new ones where there is a strong track record of institutional capacity. The Bank will also lean towards more analytical work and policy dialogue.</w:t>
      </w:r>
    </w:p>
    <w:p w:rsidR="00480839" w:rsidRPr="001346FF" w:rsidRDefault="00480839" w:rsidP="00480839">
      <w:pPr>
        <w:spacing w:after="120"/>
        <w:rPr>
          <w:u w:val="single"/>
          <w:lang w:eastAsia="en-GB"/>
        </w:rPr>
      </w:pPr>
      <w:r w:rsidRPr="001346FF">
        <w:rPr>
          <w:u w:val="single"/>
          <w:lang w:eastAsia="en-GB"/>
        </w:rPr>
        <w:t>Belarus</w:t>
      </w:r>
    </w:p>
    <w:p w:rsidR="00480839" w:rsidRPr="001346FF" w:rsidRDefault="00480839" w:rsidP="00480839">
      <w:pPr>
        <w:spacing w:after="120"/>
        <w:rPr>
          <w:lang w:eastAsia="en-GB"/>
        </w:rPr>
      </w:pPr>
      <w:r w:rsidRPr="001346FF">
        <w:rPr>
          <w:lang w:eastAsia="en-GB"/>
        </w:rPr>
        <w:t>In the period from 2013 through 2017, the World Bank Group’s assistance to Belarus will be concentrated in three areas:</w:t>
      </w:r>
    </w:p>
    <w:p w:rsidR="00480839" w:rsidRPr="00D537B5" w:rsidRDefault="00480839" w:rsidP="00480839">
      <w:pPr>
        <w:pStyle w:val="ListParagraph"/>
        <w:numPr>
          <w:ilvl w:val="0"/>
          <w:numId w:val="14"/>
        </w:numPr>
        <w:spacing w:after="120" w:line="240" w:lineRule="auto"/>
        <w:rPr>
          <w:rFonts w:ascii="Arial" w:hAnsi="Arial" w:cs="Arial"/>
          <w:sz w:val="21"/>
          <w:szCs w:val="21"/>
          <w:lang w:val="en-GB" w:eastAsia="en-GB"/>
        </w:rPr>
      </w:pPr>
      <w:r w:rsidRPr="00D537B5">
        <w:rPr>
          <w:rFonts w:ascii="Arial" w:hAnsi="Arial" w:cs="Arial"/>
          <w:sz w:val="21"/>
          <w:szCs w:val="21"/>
          <w:lang w:val="en-GB" w:eastAsia="en-GB"/>
        </w:rPr>
        <w:t>Increasing competitiveness of the economy by supporting structural reforms, including reducing the role of the state, transforming the state-owned enterprises sector, and promoting private and financial sector development and integration into the global economy.</w:t>
      </w:r>
    </w:p>
    <w:p w:rsidR="00480839" w:rsidRPr="00D537B5" w:rsidRDefault="00480839" w:rsidP="00480839">
      <w:pPr>
        <w:pStyle w:val="ListParagraph"/>
        <w:numPr>
          <w:ilvl w:val="0"/>
          <w:numId w:val="14"/>
        </w:numPr>
        <w:spacing w:after="120" w:line="240" w:lineRule="auto"/>
        <w:rPr>
          <w:rFonts w:ascii="Arial" w:hAnsi="Arial" w:cs="Arial"/>
          <w:sz w:val="21"/>
          <w:szCs w:val="21"/>
          <w:lang w:val="en-GB" w:eastAsia="en-GB"/>
        </w:rPr>
      </w:pPr>
      <w:r w:rsidRPr="00D537B5">
        <w:rPr>
          <w:rFonts w:ascii="Arial" w:hAnsi="Arial" w:cs="Arial"/>
          <w:sz w:val="21"/>
          <w:szCs w:val="21"/>
          <w:lang w:val="en-GB" w:eastAsia="en-GB"/>
        </w:rPr>
        <w:t xml:space="preserve">Improving quality and efficiency of public infrastructure services, use of agricultural and forestry resources and increasing global public goods benefits.        </w:t>
      </w:r>
    </w:p>
    <w:p w:rsidR="00480839" w:rsidRPr="00D537B5" w:rsidRDefault="00480839" w:rsidP="00480839">
      <w:pPr>
        <w:pStyle w:val="ListParagraph"/>
        <w:numPr>
          <w:ilvl w:val="0"/>
          <w:numId w:val="14"/>
        </w:numPr>
        <w:spacing w:after="120" w:line="240" w:lineRule="auto"/>
        <w:rPr>
          <w:rFonts w:ascii="Arial" w:hAnsi="Arial" w:cs="Arial"/>
          <w:sz w:val="21"/>
          <w:szCs w:val="21"/>
          <w:lang w:val="en-GB" w:eastAsia="en-GB"/>
        </w:rPr>
      </w:pPr>
      <w:r w:rsidRPr="00D537B5">
        <w:rPr>
          <w:rFonts w:ascii="Arial" w:hAnsi="Arial" w:cs="Arial"/>
          <w:sz w:val="21"/>
          <w:szCs w:val="21"/>
          <w:lang w:val="en-GB" w:eastAsia="en-GB"/>
        </w:rPr>
        <w:t>Enhancing human development outcomes through better education, health and social services.</w:t>
      </w:r>
    </w:p>
    <w:p w:rsidR="00480839" w:rsidRPr="001346FF" w:rsidRDefault="00480839" w:rsidP="00480839">
      <w:pPr>
        <w:spacing w:after="120"/>
        <w:rPr>
          <w:u w:val="single"/>
          <w:lang w:eastAsia="en-GB"/>
        </w:rPr>
      </w:pPr>
      <w:r w:rsidRPr="001346FF">
        <w:rPr>
          <w:u w:val="single"/>
          <w:lang w:eastAsia="en-GB"/>
        </w:rPr>
        <w:t>Georgia</w:t>
      </w:r>
    </w:p>
    <w:p w:rsidR="00480839" w:rsidRPr="001346FF" w:rsidRDefault="00480839" w:rsidP="00480839">
      <w:pPr>
        <w:spacing w:after="120"/>
        <w:rPr>
          <w:lang w:eastAsia="en-GB"/>
        </w:rPr>
      </w:pPr>
      <w:r w:rsidRPr="001346FF">
        <w:rPr>
          <w:lang w:eastAsia="en-GB"/>
        </w:rPr>
        <w:t>The Country Partnership Strategy (CPS) for financial years 2010-2013 was approved by the Board in September 2009 with newly planned IDA/IBRD lending of about US$ 396 million for fiscal years 2010-2013. The strategic objectives of the CPS are: to meet post conflict and vulnerability needs, and strengthen competitiveness for post-crisis growth.</w:t>
      </w:r>
    </w:p>
    <w:p w:rsidR="00480839" w:rsidRPr="001346FF" w:rsidRDefault="00480839" w:rsidP="00480839">
      <w:pPr>
        <w:spacing w:after="120"/>
        <w:rPr>
          <w:u w:val="single"/>
          <w:lang w:eastAsia="en-GB"/>
        </w:rPr>
      </w:pPr>
      <w:r w:rsidRPr="001346FF">
        <w:rPr>
          <w:u w:val="single"/>
          <w:lang w:eastAsia="en-GB"/>
        </w:rPr>
        <w:t>Moldova</w:t>
      </w:r>
    </w:p>
    <w:p w:rsidR="00480839" w:rsidRPr="001346FF" w:rsidRDefault="00480839" w:rsidP="00480839">
      <w:pPr>
        <w:spacing w:after="120"/>
        <w:rPr>
          <w:lang w:eastAsia="en-GB"/>
        </w:rPr>
      </w:pPr>
      <w:r w:rsidRPr="001346FF">
        <w:rPr>
          <w:lang w:eastAsia="en-GB"/>
        </w:rPr>
        <w:t>The World Bank's Country Partnership Strategy (CPS) for Moldova for 2009-2012 focuses on three strategic priorities:</w:t>
      </w:r>
    </w:p>
    <w:p w:rsidR="00480839" w:rsidRPr="00D537B5" w:rsidRDefault="00480839" w:rsidP="00480839">
      <w:pPr>
        <w:pStyle w:val="ListParagraph"/>
        <w:numPr>
          <w:ilvl w:val="0"/>
          <w:numId w:val="15"/>
        </w:numPr>
        <w:spacing w:after="120" w:line="240" w:lineRule="auto"/>
        <w:rPr>
          <w:rFonts w:ascii="Arial" w:hAnsi="Arial" w:cs="Arial"/>
          <w:sz w:val="21"/>
          <w:szCs w:val="21"/>
          <w:lang w:val="en-GB" w:eastAsia="en-GB"/>
        </w:rPr>
      </w:pPr>
      <w:r w:rsidRPr="00D537B5">
        <w:rPr>
          <w:rFonts w:ascii="Arial" w:hAnsi="Arial" w:cs="Arial"/>
          <w:sz w:val="21"/>
          <w:szCs w:val="21"/>
          <w:lang w:val="en-GB" w:eastAsia="en-GB"/>
        </w:rPr>
        <w:t>Improving economic competitiveness to support sustainable economic growth;</w:t>
      </w:r>
    </w:p>
    <w:p w:rsidR="00480839" w:rsidRPr="00D537B5" w:rsidRDefault="00480839" w:rsidP="00480839">
      <w:pPr>
        <w:pStyle w:val="ListParagraph"/>
        <w:numPr>
          <w:ilvl w:val="0"/>
          <w:numId w:val="15"/>
        </w:numPr>
        <w:spacing w:after="120" w:line="240" w:lineRule="auto"/>
        <w:rPr>
          <w:rFonts w:ascii="Arial" w:hAnsi="Arial" w:cs="Arial"/>
          <w:sz w:val="21"/>
          <w:szCs w:val="21"/>
          <w:lang w:val="en-GB" w:eastAsia="en-GB"/>
        </w:rPr>
      </w:pPr>
      <w:r w:rsidRPr="00D537B5">
        <w:rPr>
          <w:rFonts w:ascii="Arial" w:hAnsi="Arial" w:cs="Arial"/>
          <w:sz w:val="21"/>
          <w:szCs w:val="21"/>
          <w:lang w:val="en-GB" w:eastAsia="en-GB"/>
        </w:rPr>
        <w:t>Minimizing social and environmental risks, building human capital, promoting social inclusion;</w:t>
      </w:r>
    </w:p>
    <w:p w:rsidR="00480839" w:rsidRPr="00D537B5" w:rsidRDefault="00480839" w:rsidP="00480839">
      <w:pPr>
        <w:pStyle w:val="ListParagraph"/>
        <w:numPr>
          <w:ilvl w:val="0"/>
          <w:numId w:val="15"/>
        </w:numPr>
        <w:spacing w:after="120" w:line="240" w:lineRule="auto"/>
        <w:rPr>
          <w:rFonts w:ascii="Arial" w:hAnsi="Arial" w:cs="Arial"/>
          <w:sz w:val="21"/>
          <w:szCs w:val="21"/>
          <w:lang w:val="en-GB" w:eastAsia="en-GB"/>
        </w:rPr>
      </w:pPr>
      <w:r w:rsidRPr="00D537B5">
        <w:rPr>
          <w:rFonts w:ascii="Arial" w:hAnsi="Arial" w:cs="Arial"/>
          <w:sz w:val="21"/>
          <w:szCs w:val="21"/>
          <w:lang w:val="en-GB" w:eastAsia="en-GB"/>
        </w:rPr>
        <w:t>Improving public sector governance.</w:t>
      </w:r>
    </w:p>
    <w:p w:rsidR="00480839" w:rsidRPr="001346FF" w:rsidRDefault="00480839" w:rsidP="00480839">
      <w:pPr>
        <w:spacing w:after="120"/>
        <w:rPr>
          <w:lang w:eastAsia="en-GB"/>
        </w:rPr>
      </w:pPr>
      <w:r w:rsidRPr="001346FF">
        <w:rPr>
          <w:lang w:eastAsia="en-GB"/>
        </w:rPr>
        <w:lastRenderedPageBreak/>
        <w:t>A mid-term progress report in June 2011 found the strategy to be on track and extended it to 2013.</w:t>
      </w:r>
    </w:p>
    <w:p w:rsidR="00480839" w:rsidRPr="001346FF" w:rsidRDefault="00480839" w:rsidP="00480839">
      <w:pPr>
        <w:spacing w:after="120"/>
        <w:rPr>
          <w:u w:val="single"/>
          <w:lang w:eastAsia="en-GB"/>
        </w:rPr>
      </w:pPr>
      <w:r w:rsidRPr="001346FF">
        <w:rPr>
          <w:u w:val="single"/>
          <w:lang w:eastAsia="en-GB"/>
        </w:rPr>
        <w:t>Russia</w:t>
      </w:r>
    </w:p>
    <w:p w:rsidR="00480839" w:rsidRPr="001346FF" w:rsidRDefault="00480839" w:rsidP="00480839">
      <w:pPr>
        <w:spacing w:after="120"/>
        <w:rPr>
          <w:lang w:eastAsia="en-GB"/>
        </w:rPr>
      </w:pPr>
      <w:r w:rsidRPr="001346FF">
        <w:rPr>
          <w:lang w:eastAsia="en-GB"/>
        </w:rPr>
        <w:t>The Country Partnership Strategy (2012 – 2016) will support Russia's efforts to (</w:t>
      </w:r>
      <w:proofErr w:type="spellStart"/>
      <w:r w:rsidRPr="001346FF">
        <w:rPr>
          <w:lang w:eastAsia="en-GB"/>
        </w:rPr>
        <w:t>i</w:t>
      </w:r>
      <w:proofErr w:type="spellEnd"/>
      <w:r w:rsidRPr="001346FF">
        <w:rPr>
          <w:lang w:eastAsia="en-GB"/>
        </w:rPr>
        <w:t>) increase growth and diversification through better management of public finances, improved investment climate and innovation, stronger financial sector, better infrastructure, and more effective protection of the environment; (ii) expand human potential by strengthening skills and social services through improvements in education, health, and social protection; (iii) deepen Russia's global and regional role related to its aspirations as a donor and the provision of global public goods; (iv) and improve governance and transparency through more accountability and better service standards in public administration, procurement, and financial management.</w:t>
      </w:r>
    </w:p>
    <w:p w:rsidR="00480839" w:rsidRPr="001346FF" w:rsidRDefault="00480839" w:rsidP="00480839">
      <w:pPr>
        <w:keepNext/>
        <w:keepLines/>
        <w:spacing w:after="120"/>
        <w:rPr>
          <w:u w:val="single"/>
          <w:lang w:eastAsia="en-GB"/>
        </w:rPr>
      </w:pPr>
      <w:r w:rsidRPr="001346FF">
        <w:rPr>
          <w:u w:val="single"/>
          <w:lang w:eastAsia="en-GB"/>
        </w:rPr>
        <w:t>Ukraine</w:t>
      </w:r>
    </w:p>
    <w:p w:rsidR="00480839" w:rsidRPr="001346FF" w:rsidRDefault="00480839" w:rsidP="00480839">
      <w:pPr>
        <w:keepNext/>
        <w:keepLines/>
        <w:spacing w:after="120"/>
        <w:rPr>
          <w:lang w:eastAsia="en-GB"/>
        </w:rPr>
      </w:pPr>
      <w:r w:rsidRPr="001346FF">
        <w:rPr>
          <w:lang w:eastAsia="en-GB"/>
        </w:rPr>
        <w:t>The World Bank's Country Partnership Strategy for Ukraine for 2012-2016 is targeting implementation issues by aiming to strengthen the relationships between the state, citizens and business.</w:t>
      </w:r>
    </w:p>
    <w:p w:rsidR="00480839" w:rsidRPr="001346FF" w:rsidRDefault="00480839" w:rsidP="00480839">
      <w:pPr>
        <w:spacing w:after="120"/>
        <w:rPr>
          <w:lang w:eastAsia="en-GB"/>
        </w:rPr>
      </w:pPr>
      <w:r w:rsidRPr="001346FF">
        <w:rPr>
          <w:lang w:eastAsia="en-GB"/>
        </w:rPr>
        <w:t>The first pillar focuses on improving public services, enhancing sustainability and efficiency of public finances, and promoting a more transparent and accountable use of public resources.</w:t>
      </w:r>
    </w:p>
    <w:p w:rsidR="00480839" w:rsidRDefault="00480839" w:rsidP="00480839">
      <w:pPr>
        <w:spacing w:after="120"/>
        <w:rPr>
          <w:lang w:eastAsia="en-GB"/>
        </w:rPr>
      </w:pPr>
      <w:r w:rsidRPr="001346FF">
        <w:rPr>
          <w:lang w:eastAsia="en-GB"/>
        </w:rPr>
        <w:t>The second pillar focuses on improvements in the business climate and the promotion of domestic and foreign investments, as well as competitiveness and job creation.</w:t>
      </w:r>
    </w:p>
    <w:p w:rsidR="00480839" w:rsidRDefault="00480839" w:rsidP="00480839">
      <w:pPr>
        <w:spacing w:after="120"/>
        <w:rPr>
          <w:lang w:eastAsia="en-GB"/>
        </w:rPr>
      </w:pPr>
    </w:p>
    <w:p w:rsidR="00480839" w:rsidRPr="007363AF" w:rsidRDefault="00480839" w:rsidP="00480839">
      <w:pPr>
        <w:spacing w:after="120"/>
        <w:rPr>
          <w:b/>
          <w:lang w:eastAsia="en-GB"/>
        </w:rPr>
      </w:pPr>
      <w:r w:rsidRPr="007363AF">
        <w:rPr>
          <w:b/>
          <w:lang w:eastAsia="en-GB"/>
        </w:rPr>
        <w:t>Available Global Environmental Facility</w:t>
      </w:r>
      <w:r>
        <w:rPr>
          <w:b/>
          <w:lang w:eastAsia="en-GB"/>
        </w:rPr>
        <w:t xml:space="preserve"> (GEF)</w:t>
      </w:r>
      <w:r w:rsidRPr="007363AF">
        <w:rPr>
          <w:b/>
          <w:lang w:eastAsia="en-GB"/>
        </w:rPr>
        <w:t xml:space="preserve"> financing for the specific countries </w:t>
      </w:r>
    </w:p>
    <w:p w:rsidR="00480839" w:rsidRPr="001346FF" w:rsidRDefault="00480839" w:rsidP="00480839">
      <w:pPr>
        <w:spacing w:after="120"/>
        <w:rPr>
          <w:u w:val="single"/>
          <w:lang w:eastAsia="en-GB"/>
        </w:rPr>
      </w:pPr>
      <w:r w:rsidRPr="001346FF">
        <w:rPr>
          <w:u w:val="single"/>
          <w:lang w:eastAsia="en-GB"/>
        </w:rPr>
        <w:t>Armenia</w:t>
      </w:r>
    </w:p>
    <w:p w:rsidR="00480839" w:rsidRPr="001346FF" w:rsidRDefault="00480839" w:rsidP="00480839">
      <w:pPr>
        <w:spacing w:after="120"/>
        <w:rPr>
          <w:lang w:eastAsia="en-GB"/>
        </w:rPr>
      </w:pPr>
      <w:r w:rsidRPr="001346FF">
        <w:rPr>
          <w:lang w:eastAsia="en-GB"/>
        </w:rPr>
        <w:t xml:space="preserve">Since joining the GEF, Armenia received GEF grants totalling USD 30.1 Million that leveraged USD 110.7 Million in co-financing resources for 24 national projects. These include nine projects in climate change, six in biodiversity, </w:t>
      </w:r>
      <w:proofErr w:type="gramStart"/>
      <w:r w:rsidRPr="001346FF">
        <w:rPr>
          <w:lang w:eastAsia="en-GB"/>
        </w:rPr>
        <w:t>four</w:t>
      </w:r>
      <w:proofErr w:type="gramEnd"/>
      <w:r w:rsidRPr="001346FF">
        <w:rPr>
          <w:lang w:eastAsia="en-GB"/>
        </w:rPr>
        <w:t xml:space="preserve"> in persistent organic pollutants, two in multi-focal areas and two in land degradation. Similarly, Armenia participated in six regional and global projects financed by the GEF totalling USD 83.5 Million that leveraged USD 107.7 Million in co-financing resources. These include two in climate change, one in multi-focal areas, one in international waters, one in biodiversity, and one in persistent organic pollutants. </w:t>
      </w:r>
    </w:p>
    <w:p w:rsidR="00480839" w:rsidRPr="001346FF" w:rsidRDefault="00480839" w:rsidP="00480839">
      <w:pPr>
        <w:spacing w:after="120"/>
        <w:rPr>
          <w:lang w:eastAsia="en-GB"/>
        </w:rPr>
      </w:pPr>
      <w:r w:rsidRPr="001346FF">
        <w:rPr>
          <w:lang w:eastAsia="en-GB"/>
        </w:rPr>
        <w:t xml:space="preserve">Additionally, the GEF Small Grants Programme (GEF SGP) which started in Armenia in </w:t>
      </w:r>
      <w:proofErr w:type="gramStart"/>
      <w:r w:rsidRPr="001346FF">
        <w:rPr>
          <w:lang w:eastAsia="en-GB"/>
        </w:rPr>
        <w:t>2009,</w:t>
      </w:r>
      <w:proofErr w:type="gramEnd"/>
      <w:r w:rsidRPr="001346FF">
        <w:rPr>
          <w:lang w:eastAsia="en-GB"/>
        </w:rPr>
        <w:t xml:space="preserve"> has received financial support totalling USD 1 Million leveraging USD 2.03 Million in co-financing resources for 27 projects executed by civil society and community-based organizations. </w:t>
      </w:r>
    </w:p>
    <w:p w:rsidR="00480839" w:rsidRPr="001346FF" w:rsidRDefault="00480839" w:rsidP="00480839">
      <w:pPr>
        <w:spacing w:after="120"/>
        <w:rPr>
          <w:u w:val="single"/>
          <w:lang w:eastAsia="en-GB"/>
        </w:rPr>
      </w:pPr>
      <w:r w:rsidRPr="001346FF">
        <w:rPr>
          <w:lang w:eastAsia="en-GB"/>
        </w:rPr>
        <w:t xml:space="preserve">During the current GEF-5 replenishment period (July 2010 – June 2014), Armenia received an indicative allocation to formulate and execute projects for USD 1.5 Million in biodiversity, USD 2.3 Million in climate change, and USD 4.1 Million in land degradation. </w:t>
      </w:r>
    </w:p>
    <w:p w:rsidR="00480839" w:rsidRPr="001346FF" w:rsidRDefault="00480839" w:rsidP="00480839">
      <w:pPr>
        <w:spacing w:after="120"/>
        <w:rPr>
          <w:u w:val="single"/>
          <w:lang w:eastAsia="en-GB"/>
        </w:rPr>
      </w:pPr>
      <w:r w:rsidRPr="001346FF">
        <w:rPr>
          <w:u w:val="single"/>
          <w:lang w:eastAsia="en-GB"/>
        </w:rPr>
        <w:t>Azerbaijan</w:t>
      </w:r>
    </w:p>
    <w:p w:rsidR="00480839" w:rsidRPr="001346FF" w:rsidRDefault="00480839" w:rsidP="00480839">
      <w:pPr>
        <w:spacing w:after="120"/>
        <w:rPr>
          <w:lang w:eastAsia="en-GB"/>
        </w:rPr>
      </w:pPr>
      <w:r w:rsidRPr="001346FF">
        <w:rPr>
          <w:lang w:eastAsia="en-GB"/>
        </w:rPr>
        <w:t xml:space="preserve">Since joining the GEF, Azerbaijan received GEF grants totalling USD 27.9 Million that leveraged USD 50.6 Million in co-financing resources for 14 national projects. These include four projects in biodiversity, three in climate change, two in ozone layer protection, </w:t>
      </w:r>
      <w:proofErr w:type="gramStart"/>
      <w:r w:rsidRPr="001346FF">
        <w:rPr>
          <w:lang w:eastAsia="en-GB"/>
        </w:rPr>
        <w:t>two</w:t>
      </w:r>
      <w:proofErr w:type="gramEnd"/>
      <w:r w:rsidRPr="001346FF">
        <w:rPr>
          <w:lang w:eastAsia="en-GB"/>
        </w:rPr>
        <w:t xml:space="preserve"> in persistent organic pollutants, two in multi-focal areas, and one in land degradation. </w:t>
      </w:r>
    </w:p>
    <w:p w:rsidR="00480839" w:rsidRPr="001346FF" w:rsidRDefault="00480839" w:rsidP="00480839">
      <w:pPr>
        <w:spacing w:after="120"/>
        <w:rPr>
          <w:lang w:eastAsia="en-GB"/>
        </w:rPr>
      </w:pPr>
      <w:r w:rsidRPr="001346FF">
        <w:rPr>
          <w:lang w:eastAsia="en-GB"/>
        </w:rPr>
        <w:lastRenderedPageBreak/>
        <w:t xml:space="preserve">Similarly, Azerbaijan participated in 10 regional and global projects financed by the GEF totalling USD 34.9 Million that leveraged USD 132.1 Million in co-financing resources. These include five projects in international waters, two in ozone layer protection, two in persistent organic pollutants, and one in climate change. </w:t>
      </w:r>
    </w:p>
    <w:p w:rsidR="00480839" w:rsidRPr="001346FF" w:rsidRDefault="00480839" w:rsidP="00480839">
      <w:pPr>
        <w:spacing w:after="120"/>
        <w:rPr>
          <w:lang w:eastAsia="en-GB"/>
        </w:rPr>
      </w:pPr>
      <w:r w:rsidRPr="001346FF">
        <w:rPr>
          <w:lang w:eastAsia="en-GB"/>
        </w:rPr>
        <w:t xml:space="preserve">During the current GEF-5 replenishment period (July 2010 – June 2014), Azerbaijan received an indicative allocation to formulate and execute projects for USD 1.5 Million in biodiversity, USD 6.5 Million in climate change, and USD 3.4 Million in land degradation. </w:t>
      </w:r>
    </w:p>
    <w:p w:rsidR="00480839" w:rsidRPr="001346FF" w:rsidRDefault="00480839" w:rsidP="00480839">
      <w:pPr>
        <w:spacing w:after="120"/>
        <w:rPr>
          <w:u w:val="single"/>
          <w:lang w:eastAsia="en-GB"/>
        </w:rPr>
      </w:pPr>
      <w:r w:rsidRPr="001346FF">
        <w:rPr>
          <w:u w:val="single"/>
          <w:lang w:eastAsia="en-GB"/>
        </w:rPr>
        <w:t>Belarus</w:t>
      </w:r>
    </w:p>
    <w:p w:rsidR="00480839" w:rsidRPr="001346FF" w:rsidRDefault="00480839" w:rsidP="00480839">
      <w:pPr>
        <w:spacing w:after="120"/>
        <w:rPr>
          <w:lang w:eastAsia="en-GB"/>
        </w:rPr>
      </w:pPr>
      <w:r w:rsidRPr="001346FF">
        <w:rPr>
          <w:lang w:eastAsia="en-GB"/>
        </w:rPr>
        <w:t xml:space="preserve">Since joining the GEF, Belarus received GEF grants totalling USD 34.4 Million that leveraged USD 89.3 Million in co-financing resources for 19 national projects. These include six projects in biodiversity, six in climate change, </w:t>
      </w:r>
      <w:proofErr w:type="gramStart"/>
      <w:r w:rsidRPr="001346FF">
        <w:rPr>
          <w:lang w:eastAsia="en-GB"/>
        </w:rPr>
        <w:t>three</w:t>
      </w:r>
      <w:proofErr w:type="gramEnd"/>
      <w:r w:rsidRPr="001346FF">
        <w:rPr>
          <w:lang w:eastAsia="en-GB"/>
        </w:rPr>
        <w:t xml:space="preserve"> in multi-focal areas, two in persistent organic pollutants, one in land degradation, and one in ozone layer protection. </w:t>
      </w:r>
    </w:p>
    <w:p w:rsidR="00480839" w:rsidRPr="001346FF" w:rsidRDefault="00480839" w:rsidP="00480839">
      <w:pPr>
        <w:spacing w:after="120"/>
        <w:rPr>
          <w:lang w:eastAsia="en-GB"/>
        </w:rPr>
      </w:pPr>
      <w:r w:rsidRPr="001346FF">
        <w:rPr>
          <w:lang w:eastAsia="en-GB"/>
        </w:rPr>
        <w:t xml:space="preserve">Similarly, Belarus participated in 12 regional and global projects financed by the GEF </w:t>
      </w:r>
      <w:proofErr w:type="spellStart"/>
      <w:r w:rsidRPr="001346FF">
        <w:rPr>
          <w:lang w:eastAsia="en-GB"/>
        </w:rPr>
        <w:t>totaling</w:t>
      </w:r>
      <w:proofErr w:type="spellEnd"/>
      <w:r w:rsidRPr="001346FF">
        <w:rPr>
          <w:lang w:eastAsia="en-GB"/>
        </w:rPr>
        <w:t xml:space="preserve"> USD 155.9 Million that leveraged USD 452.5 Million in co-financing resources. These include four in international waters, three in multi-focal areas, two in ozone layer protection, one in biodiversity, one in climate change, and one in persistent organic pollutants. </w:t>
      </w:r>
    </w:p>
    <w:p w:rsidR="00480839" w:rsidRPr="001346FF" w:rsidRDefault="00480839" w:rsidP="00480839">
      <w:pPr>
        <w:spacing w:after="120"/>
        <w:rPr>
          <w:lang w:eastAsia="en-GB"/>
        </w:rPr>
      </w:pPr>
      <w:r w:rsidRPr="001346FF">
        <w:rPr>
          <w:lang w:eastAsia="en-GB"/>
        </w:rPr>
        <w:t xml:space="preserve">Additionally, the GEF Small Grants Programme (GEF SGP) which started in Belarus in </w:t>
      </w:r>
      <w:proofErr w:type="gramStart"/>
      <w:r w:rsidRPr="001346FF">
        <w:rPr>
          <w:lang w:eastAsia="en-GB"/>
        </w:rPr>
        <w:t>2004,</w:t>
      </w:r>
      <w:proofErr w:type="gramEnd"/>
      <w:r w:rsidRPr="001346FF">
        <w:rPr>
          <w:lang w:eastAsia="en-GB"/>
        </w:rPr>
        <w:t xml:space="preserve"> has received financial support totalling USD 3 Million leveraging USD 3.6 Million in co-financing resources for 84 projects executed by civil society and community-based organizations. </w:t>
      </w:r>
    </w:p>
    <w:p w:rsidR="00480839" w:rsidRPr="001346FF" w:rsidRDefault="00480839" w:rsidP="00480839">
      <w:pPr>
        <w:spacing w:after="120"/>
        <w:rPr>
          <w:u w:val="single"/>
          <w:lang w:eastAsia="en-GB"/>
        </w:rPr>
      </w:pPr>
      <w:r w:rsidRPr="001346FF">
        <w:rPr>
          <w:lang w:eastAsia="en-GB"/>
        </w:rPr>
        <w:t>During the current GEF-5 replenishment period (July 2010 – June 2014), Belarus received an indicative allocation to formulate and execute projects for USD 1.5 Million in biodiversity, USD 9.5 Million in climate change, and USD 0.5 Million in land degradation.</w:t>
      </w:r>
    </w:p>
    <w:p w:rsidR="00480839" w:rsidRPr="001346FF" w:rsidRDefault="00480839" w:rsidP="00480839">
      <w:pPr>
        <w:spacing w:after="120"/>
        <w:rPr>
          <w:u w:val="single"/>
          <w:lang w:eastAsia="en-GB"/>
        </w:rPr>
      </w:pPr>
      <w:r w:rsidRPr="001346FF">
        <w:rPr>
          <w:u w:val="single"/>
          <w:lang w:eastAsia="en-GB"/>
        </w:rPr>
        <w:t>Georgia</w:t>
      </w:r>
    </w:p>
    <w:p w:rsidR="00480839" w:rsidRPr="001346FF" w:rsidRDefault="00480839" w:rsidP="00480839">
      <w:pPr>
        <w:spacing w:after="120"/>
        <w:rPr>
          <w:lang w:eastAsia="en-GB"/>
        </w:rPr>
      </w:pPr>
      <w:r w:rsidRPr="001346FF">
        <w:rPr>
          <w:lang w:eastAsia="en-GB"/>
        </w:rPr>
        <w:t xml:space="preserve">Since joining the GEF, Azerbaijan received GEF grants totalling USD 27.9 Million that leveraged USD 50.6 Million in co-financing resources for 14 national projects. These include four projects in biodiversity, three in climate change, two in ozone layer protection, </w:t>
      </w:r>
      <w:proofErr w:type="gramStart"/>
      <w:r w:rsidRPr="001346FF">
        <w:rPr>
          <w:lang w:eastAsia="en-GB"/>
        </w:rPr>
        <w:t>two</w:t>
      </w:r>
      <w:proofErr w:type="gramEnd"/>
      <w:r w:rsidRPr="001346FF">
        <w:rPr>
          <w:lang w:eastAsia="en-GB"/>
        </w:rPr>
        <w:t xml:space="preserve"> in persistent organic pollutants, two in multi-focal areas, and one in land degradation. </w:t>
      </w:r>
    </w:p>
    <w:p w:rsidR="00480839" w:rsidRPr="001346FF" w:rsidRDefault="00480839" w:rsidP="00480839">
      <w:pPr>
        <w:spacing w:after="120"/>
        <w:rPr>
          <w:lang w:eastAsia="en-GB"/>
        </w:rPr>
      </w:pPr>
      <w:r w:rsidRPr="001346FF">
        <w:rPr>
          <w:lang w:eastAsia="en-GB"/>
        </w:rPr>
        <w:t xml:space="preserve">Similarly, Azerbaijan participated in 10 regional and global projects financed by the GEF totalling USD 34.9 Million that leveraged USD 132.1 Million in co-financing resources. These include five projects in international waters, two in ozone layer protection, two in persistent organic pollutants, and one in climate change. </w:t>
      </w:r>
    </w:p>
    <w:p w:rsidR="00480839" w:rsidRPr="001346FF" w:rsidRDefault="00480839" w:rsidP="00480839">
      <w:pPr>
        <w:spacing w:after="120"/>
        <w:rPr>
          <w:u w:val="single"/>
          <w:lang w:eastAsia="en-GB"/>
        </w:rPr>
      </w:pPr>
      <w:r w:rsidRPr="001346FF">
        <w:rPr>
          <w:lang w:eastAsia="en-GB"/>
        </w:rPr>
        <w:t xml:space="preserve">During the current GEF-5 replenishment period (July 2010 – June 2014), Azerbaijan received an indicative allocation to formulate and execute projects for USD 1.5 Million in biodiversity, USD 6.5 Million in climate change, and USD 3.4 Million in land degradation. </w:t>
      </w:r>
    </w:p>
    <w:p w:rsidR="00480839" w:rsidRPr="001346FF" w:rsidRDefault="00480839" w:rsidP="00480839">
      <w:pPr>
        <w:spacing w:after="120"/>
        <w:rPr>
          <w:u w:val="single"/>
          <w:lang w:eastAsia="en-GB"/>
        </w:rPr>
      </w:pPr>
      <w:r w:rsidRPr="001346FF">
        <w:rPr>
          <w:u w:val="single"/>
          <w:lang w:eastAsia="en-GB"/>
        </w:rPr>
        <w:t>Moldova</w:t>
      </w:r>
    </w:p>
    <w:p w:rsidR="00480839" w:rsidRPr="001346FF" w:rsidRDefault="00480839" w:rsidP="00480839">
      <w:pPr>
        <w:spacing w:after="120"/>
        <w:rPr>
          <w:lang w:eastAsia="en-GB"/>
        </w:rPr>
      </w:pPr>
      <w:r w:rsidRPr="001346FF">
        <w:rPr>
          <w:lang w:eastAsia="en-GB"/>
        </w:rPr>
        <w:t xml:space="preserve">Since Moldova joined and applied for grants, it received GEF grants totalling US$ 28,751,770, leveraging US$57,087,108 in co-financing resources for 18 national projects. These include six projects in biodiversity, six in climate change, and two in international waters, one in land degradation, two in persistent organic pollutants and two in multi-focal areas. </w:t>
      </w:r>
    </w:p>
    <w:p w:rsidR="00480839" w:rsidRPr="001346FF" w:rsidRDefault="00480839" w:rsidP="00480839">
      <w:pPr>
        <w:spacing w:after="120"/>
        <w:rPr>
          <w:lang w:eastAsia="en-GB"/>
        </w:rPr>
      </w:pPr>
      <w:r w:rsidRPr="001346FF">
        <w:rPr>
          <w:lang w:eastAsia="en-GB"/>
        </w:rPr>
        <w:lastRenderedPageBreak/>
        <w:t xml:space="preserve">Similarly, Moldova has participated in nine regional and global projects financed by the GEF totalling $36,042,816, leveraging US$387,411,396 in co-financing resources. These include one project in persistent organic pollutants and eight in international waters. </w:t>
      </w:r>
    </w:p>
    <w:p w:rsidR="00480839" w:rsidRPr="001346FF" w:rsidRDefault="00480839" w:rsidP="00480839">
      <w:pPr>
        <w:spacing w:after="120"/>
        <w:rPr>
          <w:u w:val="single"/>
          <w:lang w:eastAsia="en-GB"/>
        </w:rPr>
      </w:pPr>
      <w:r w:rsidRPr="001346FF">
        <w:rPr>
          <w:lang w:eastAsia="en-GB"/>
        </w:rPr>
        <w:t xml:space="preserve">During the current replenishment period (GEF-5), from July 2010 to June 2014, Moldova has received an indicative allocation to formulate and execute projects for US$1,500,000 in biodiversity, US$2,000,000 in climate change and US$4,880,000 in land degradation. As of march 2012 (latest available data), there are projects </w:t>
      </w:r>
      <w:proofErr w:type="gramStart"/>
      <w:r w:rsidRPr="001346FF">
        <w:rPr>
          <w:lang w:eastAsia="en-GB"/>
        </w:rPr>
        <w:t>awaiting</w:t>
      </w:r>
      <w:proofErr w:type="gramEnd"/>
      <w:r w:rsidRPr="001346FF">
        <w:rPr>
          <w:lang w:eastAsia="en-GB"/>
        </w:rPr>
        <w:t xml:space="preserve"> for Council approval for US$4,879,050 in land degradation. </w:t>
      </w:r>
    </w:p>
    <w:p w:rsidR="00480839" w:rsidRPr="001346FF" w:rsidRDefault="00480839" w:rsidP="00480839">
      <w:pPr>
        <w:spacing w:after="120"/>
        <w:rPr>
          <w:u w:val="single"/>
          <w:lang w:eastAsia="en-GB"/>
        </w:rPr>
      </w:pPr>
      <w:r w:rsidRPr="001346FF">
        <w:rPr>
          <w:u w:val="single"/>
          <w:lang w:eastAsia="en-GB"/>
        </w:rPr>
        <w:t>Russia</w:t>
      </w:r>
    </w:p>
    <w:p w:rsidR="00480839" w:rsidRPr="001346FF" w:rsidRDefault="00480839" w:rsidP="00480839">
      <w:pPr>
        <w:spacing w:after="120"/>
        <w:rPr>
          <w:lang w:eastAsia="en-GB"/>
        </w:rPr>
      </w:pPr>
      <w:r w:rsidRPr="001346FF">
        <w:rPr>
          <w:lang w:eastAsia="en-GB"/>
        </w:rPr>
        <w:t xml:space="preserve">Since joining the GEF, Russia received GEF grants totalling USD 311.8 Million that leveraged USD 2.1 Billion in co-financing resources for 52 national projects. These include 18 projects in climate change, 15 in biodiversity, nine in multi-focal areas, four in ozone layer protection, three in international waters, and three in persistent organic pollutants. </w:t>
      </w:r>
    </w:p>
    <w:p w:rsidR="00480839" w:rsidRPr="001346FF" w:rsidRDefault="00480839" w:rsidP="00480839">
      <w:pPr>
        <w:spacing w:after="120"/>
        <w:rPr>
          <w:lang w:eastAsia="en-GB"/>
        </w:rPr>
      </w:pPr>
      <w:r w:rsidRPr="001346FF">
        <w:rPr>
          <w:lang w:eastAsia="en-GB"/>
        </w:rPr>
        <w:t xml:space="preserve">Similarly, Russia participated in 26 regional and global projects financed by the GEF totalling USD 111.2 Million that leveraged USD 567.4 Million in co-financing resources. These include 16 in international waters, four in multi-focal areas, </w:t>
      </w:r>
      <w:proofErr w:type="gramStart"/>
      <w:r w:rsidRPr="001346FF">
        <w:rPr>
          <w:lang w:eastAsia="en-GB"/>
        </w:rPr>
        <w:t>three</w:t>
      </w:r>
      <w:proofErr w:type="gramEnd"/>
      <w:r w:rsidRPr="001346FF">
        <w:rPr>
          <w:lang w:eastAsia="en-GB"/>
        </w:rPr>
        <w:t xml:space="preserve"> in biodiversity, two in climate change, and one in ozone layer protection. </w:t>
      </w:r>
    </w:p>
    <w:p w:rsidR="00480839" w:rsidRPr="001346FF" w:rsidRDefault="00480839" w:rsidP="00480839">
      <w:pPr>
        <w:spacing w:after="120"/>
        <w:rPr>
          <w:u w:val="single"/>
          <w:lang w:eastAsia="en-GB"/>
        </w:rPr>
      </w:pPr>
      <w:r w:rsidRPr="001346FF">
        <w:rPr>
          <w:lang w:eastAsia="en-GB"/>
        </w:rPr>
        <w:t xml:space="preserve">During the current GEF-5 replenishment period (July 2010 – June 2014), Russia received an indicative allocation to formulate and execute projects for USD 24.3 Million in biodiversity, USD 87 Million in climate change, and USD 8.1 Million in land degradation. </w:t>
      </w:r>
    </w:p>
    <w:p w:rsidR="00480839" w:rsidRPr="001346FF" w:rsidRDefault="00480839" w:rsidP="00480839">
      <w:pPr>
        <w:spacing w:after="120"/>
        <w:rPr>
          <w:u w:val="single"/>
          <w:lang w:eastAsia="en-GB"/>
        </w:rPr>
      </w:pPr>
      <w:r w:rsidRPr="001346FF">
        <w:rPr>
          <w:u w:val="single"/>
          <w:lang w:eastAsia="en-GB"/>
        </w:rPr>
        <w:t>Ukraine</w:t>
      </w:r>
    </w:p>
    <w:p w:rsidR="00480839" w:rsidRPr="001346FF" w:rsidRDefault="00480839" w:rsidP="00480839">
      <w:pPr>
        <w:spacing w:after="120"/>
        <w:rPr>
          <w:lang w:eastAsia="en-GB"/>
        </w:rPr>
      </w:pPr>
      <w:r w:rsidRPr="001346FF">
        <w:rPr>
          <w:lang w:eastAsia="en-GB"/>
        </w:rPr>
        <w:t xml:space="preserve">Since Ukraine joined and applied for grants, it received GEF grants totalling US$63,769,005, leveraging US$208,717,264 in co-financing resources for 15 national projects. These include seven projects in biodiversity, seven in climate change, two in ozone depleting substances, one in persistent organic pollutants and two in multi-focal areas. </w:t>
      </w:r>
    </w:p>
    <w:p w:rsidR="00480839" w:rsidRPr="001346FF" w:rsidRDefault="00480839" w:rsidP="00480839">
      <w:pPr>
        <w:spacing w:after="120"/>
        <w:rPr>
          <w:lang w:eastAsia="en-GB"/>
        </w:rPr>
      </w:pPr>
      <w:r w:rsidRPr="001346FF">
        <w:rPr>
          <w:lang w:eastAsia="en-GB"/>
        </w:rPr>
        <w:t xml:space="preserve">Similarly, Ukraine has participated in 23 regional and global projects financed by the GEF totalling US$129,757,670, leveraging US$524,904,391 in co-financing resources. These include two projects in biodiversity, one in climate change, 17 in international waters, two in ozone depleting substances and one in multi-focal areas. </w:t>
      </w:r>
    </w:p>
    <w:p w:rsidR="00480839" w:rsidRPr="001346FF" w:rsidRDefault="00480839" w:rsidP="00480839">
      <w:pPr>
        <w:spacing w:after="120"/>
        <w:rPr>
          <w:lang w:eastAsia="en-GB"/>
        </w:rPr>
      </w:pPr>
      <w:r w:rsidRPr="001346FF">
        <w:rPr>
          <w:lang w:eastAsia="en-GB"/>
        </w:rPr>
        <w:t xml:space="preserve">Additionally, the Small Grants Programme that started in Ukraine in 2010 has received financial support totalling US$1,490,466, leveraging US$3,880,428 in co-financing resources for 32 projects executed by civil society and community based organizations. </w:t>
      </w:r>
    </w:p>
    <w:p w:rsidR="00480839" w:rsidRDefault="00480839" w:rsidP="00480839">
      <w:pPr>
        <w:spacing w:after="120"/>
        <w:rPr>
          <w:lang w:eastAsia="en-GB"/>
        </w:rPr>
      </w:pPr>
      <w:r w:rsidRPr="001346FF">
        <w:rPr>
          <w:lang w:eastAsia="en-GB"/>
        </w:rPr>
        <w:t>During the current replenishment period (GEF-5), from July 2010 to June 2014, Ukraine has received an indicative allocation to formulate and execute projects for US$1,500,000 in biodiversity, US$22,460,000 in climate change and US$2,990,000 in land degradation. To date, there are projects awaiting Council approval for US$991,062 in biodiversity, US$3,507,207 in climate change and US$1,140,081 in land degradation.</w:t>
      </w:r>
    </w:p>
    <w:p w:rsidR="00480839" w:rsidRPr="00480839" w:rsidRDefault="00480839" w:rsidP="00480839">
      <w:pPr>
        <w:spacing w:after="120"/>
        <w:rPr>
          <w:lang w:eastAsia="en-GB"/>
        </w:rPr>
      </w:pPr>
    </w:p>
    <w:p w:rsidR="00480839" w:rsidRPr="007363AF" w:rsidRDefault="00480839" w:rsidP="00D73464">
      <w:pPr>
        <w:keepNext/>
        <w:keepLines/>
        <w:spacing w:after="120"/>
        <w:rPr>
          <w:b/>
          <w:lang w:eastAsia="en-GB"/>
        </w:rPr>
      </w:pPr>
      <w:r w:rsidRPr="007363AF">
        <w:rPr>
          <w:b/>
          <w:lang w:eastAsia="en-GB"/>
        </w:rPr>
        <w:lastRenderedPageBreak/>
        <w:t xml:space="preserve">EBRD Country strategies </w:t>
      </w:r>
    </w:p>
    <w:p w:rsidR="00480839" w:rsidRPr="001346FF" w:rsidRDefault="00480839" w:rsidP="00D73464">
      <w:pPr>
        <w:keepNext/>
        <w:keepLines/>
        <w:spacing w:after="120"/>
        <w:rPr>
          <w:u w:val="single"/>
          <w:lang w:eastAsia="en-GB"/>
        </w:rPr>
      </w:pPr>
      <w:r w:rsidRPr="001346FF">
        <w:rPr>
          <w:u w:val="single"/>
          <w:lang w:eastAsia="en-GB"/>
        </w:rPr>
        <w:t>Armenia</w:t>
      </w:r>
    </w:p>
    <w:p w:rsidR="00480839" w:rsidRPr="001346FF" w:rsidRDefault="00480839" w:rsidP="00D73464">
      <w:pPr>
        <w:keepNext/>
        <w:keepLines/>
        <w:spacing w:after="120"/>
        <w:rPr>
          <w:lang w:eastAsia="en-GB"/>
        </w:rPr>
      </w:pPr>
      <w:r w:rsidRPr="001346FF">
        <w:rPr>
          <w:lang w:eastAsia="en-GB"/>
        </w:rPr>
        <w:t>The EBRD’s current country strategy was approved in May 2012. The EBRD’s key priorities for the three-year strategy are to develop the financial sector and improve access to finance, especially for MSMEs, to improve municipal and urban transport infrastructure, and to develop agribusiness and high value-added industrial companies – in particular through identifying investments in industries with export potential. A further priority is to support the development of sustainable energy and mining, potentially through the provision of energy efficiency credit lines for industrial and residential users, supporting investments in renewable generation capacities and regional energy infrastructure, and bankable mining projects with high standards of environmental and social protection.</w:t>
      </w:r>
    </w:p>
    <w:p w:rsidR="00480839" w:rsidRPr="001346FF" w:rsidRDefault="00480839" w:rsidP="00480839">
      <w:pPr>
        <w:spacing w:after="120"/>
        <w:rPr>
          <w:u w:val="single"/>
          <w:lang w:eastAsia="en-GB"/>
        </w:rPr>
      </w:pPr>
      <w:r w:rsidRPr="001346FF">
        <w:rPr>
          <w:u w:val="single"/>
          <w:lang w:eastAsia="en-GB"/>
        </w:rPr>
        <w:t>Azerbaijan</w:t>
      </w:r>
    </w:p>
    <w:p w:rsidR="00480839" w:rsidRPr="001346FF" w:rsidRDefault="00480839" w:rsidP="00480839">
      <w:pPr>
        <w:spacing w:after="120"/>
        <w:rPr>
          <w:lang w:eastAsia="en-GB"/>
        </w:rPr>
      </w:pPr>
      <w:r w:rsidRPr="001346FF">
        <w:rPr>
          <w:lang w:eastAsia="en-GB"/>
        </w:rPr>
        <w:t>The EBRD’s strategy for Azerbaijan was adopted in December 2010 and identifies five key strategic priorities. In the enterprise sector, focus will be given to developing the non-oil sector through investments. In the financial sector, the Bank will prioritise promoting further competition and consolidation, as well as foreign investment, and assisting in the development of new financial instruments such as mortgage financing, leasing and energy efficiency credit lines. It will also support the development of microfinance, particularly in the regions, and promoting the expansion of the non-bank financial sector. Other key areas for the EBRD include supporting infrastructure development, promoting transparent procurement practices, instilling commercial discipline and improving financial transparency and institutional governance. The Bank’s Small Business Support (SBS) Programme will provide advisory services to companies in the country. A new country strategy will be developed by the end of 2013.</w:t>
      </w:r>
    </w:p>
    <w:p w:rsidR="00480839" w:rsidRPr="001346FF" w:rsidRDefault="00480839" w:rsidP="00480839">
      <w:pPr>
        <w:keepNext/>
        <w:keepLines/>
        <w:spacing w:after="120"/>
        <w:rPr>
          <w:u w:val="single"/>
          <w:lang w:eastAsia="en-GB"/>
        </w:rPr>
      </w:pPr>
      <w:r w:rsidRPr="001346FF">
        <w:rPr>
          <w:u w:val="single"/>
          <w:lang w:eastAsia="en-GB"/>
        </w:rPr>
        <w:t>Belarus</w:t>
      </w:r>
    </w:p>
    <w:p w:rsidR="00480839" w:rsidRPr="001346FF" w:rsidRDefault="00480839" w:rsidP="00480839">
      <w:pPr>
        <w:keepNext/>
        <w:keepLines/>
        <w:spacing w:after="120"/>
        <w:rPr>
          <w:lang w:eastAsia="en-GB"/>
        </w:rPr>
      </w:pPr>
      <w:r w:rsidRPr="001346FF">
        <w:rPr>
          <w:lang w:eastAsia="en-GB"/>
        </w:rPr>
        <w:t>In March 2013 the EBRD adopted a new three-year country strategy for Belarus. Like the preceding strategy, the EBRD will continue to calibrate the scope of its activities in response to developments in the country measured against political and economic benchmarks. The main focus of the strategy is the EBRD’s continued support for private sector development both directly by investing in corporates across all sectors of the economy and indirectly by providing credit-lines to our partner banks for on-lending to small and medium-sized companies. The EBRD aims to be a catalyst to attract foreign investment and know-how. It will also continue to provide businesses with access to advisory services through its Business Advisory Services (BAS) Programme and its Enterprise Growth Programme. In the infrastructure sector, the EBRD will focus on private sector projects and on municipal projects with a strong environmental impact that improve the lives of the people of Belarus and are conducive to sector reforms nationwide.</w:t>
      </w:r>
    </w:p>
    <w:p w:rsidR="00480839" w:rsidRPr="001346FF" w:rsidRDefault="00480839" w:rsidP="00480839">
      <w:pPr>
        <w:spacing w:after="120"/>
        <w:rPr>
          <w:u w:val="single"/>
          <w:lang w:eastAsia="en-GB"/>
        </w:rPr>
      </w:pPr>
      <w:r w:rsidRPr="001346FF">
        <w:rPr>
          <w:u w:val="single"/>
          <w:lang w:eastAsia="en-GB"/>
        </w:rPr>
        <w:t>Georgia</w:t>
      </w:r>
    </w:p>
    <w:p w:rsidR="00480839" w:rsidRPr="001346FF" w:rsidRDefault="00480839" w:rsidP="00480839">
      <w:pPr>
        <w:spacing w:after="120"/>
        <w:rPr>
          <w:lang w:eastAsia="en-GB"/>
        </w:rPr>
      </w:pPr>
      <w:r w:rsidRPr="001346FF">
        <w:rPr>
          <w:lang w:eastAsia="en-GB"/>
        </w:rPr>
        <w:t>Priorities for 2013 and onwards will continue to focus on private sector investment, further modernising the energy sector and helping to transform Georgia into a regional economic hub. The Bank will also support the new Georgian government’s priority of making growth more socially inclusive. The Bank will cooperate closely with other international financial institutions and multilateral and bilateral partners, including the European Union, in its operations as well as through policy dialogue to enhance its leverage and maximum transition impact in Georgia.</w:t>
      </w:r>
    </w:p>
    <w:p w:rsidR="00480839" w:rsidRPr="001346FF" w:rsidRDefault="00480839" w:rsidP="00D73464">
      <w:pPr>
        <w:keepNext/>
        <w:keepLines/>
        <w:spacing w:after="120"/>
        <w:rPr>
          <w:u w:val="single"/>
          <w:lang w:eastAsia="en-GB"/>
        </w:rPr>
      </w:pPr>
      <w:r w:rsidRPr="001346FF">
        <w:rPr>
          <w:u w:val="single"/>
          <w:lang w:eastAsia="en-GB"/>
        </w:rPr>
        <w:lastRenderedPageBreak/>
        <w:t>Moldova</w:t>
      </w:r>
    </w:p>
    <w:p w:rsidR="00480839" w:rsidRPr="001346FF" w:rsidRDefault="00480839" w:rsidP="00D73464">
      <w:pPr>
        <w:keepNext/>
        <w:keepLines/>
        <w:spacing w:after="120"/>
        <w:rPr>
          <w:lang w:eastAsia="en-GB"/>
        </w:rPr>
      </w:pPr>
      <w:r w:rsidRPr="001346FF">
        <w:rPr>
          <w:lang w:eastAsia="en-GB"/>
        </w:rPr>
        <w:t>Priorities for the EBRD’s operations in Moldova over the strategy period (2010-13) focus on activities in the infrastructure, financial and corporate sectors and policy dialogue. The Bank will support the rehabilitation and modernisation of the country’s infrastructure, both transport and municipal, with particular emphasis on tariff reforms and improvements in procurement practices. In the financial sector, the Bank will provide debt and equity financing to both existing and new clients and promote improvements in corporate governance and the transparency of shareholding structures. It will also support measures for facilitating local currency lending. The corporate sector is to be developed by backing the growth of existing companies and supporting new investments in the country including energy efficiency investments. The EBRD will also undertake policy dialogue on the business climate with authorities and the business community, in close coordination with other IFIs, and continue providing Small Business Finance Team assistance.</w:t>
      </w:r>
    </w:p>
    <w:p w:rsidR="00480839" w:rsidRPr="001346FF" w:rsidRDefault="00480839" w:rsidP="00480839">
      <w:pPr>
        <w:spacing w:after="120"/>
        <w:rPr>
          <w:u w:val="single"/>
          <w:lang w:eastAsia="en-GB"/>
        </w:rPr>
      </w:pPr>
      <w:r w:rsidRPr="001346FF">
        <w:rPr>
          <w:u w:val="single"/>
          <w:lang w:eastAsia="en-GB"/>
        </w:rPr>
        <w:t>Russia</w:t>
      </w:r>
    </w:p>
    <w:p w:rsidR="00480839" w:rsidRPr="001346FF" w:rsidRDefault="00480839" w:rsidP="00480839">
      <w:pPr>
        <w:spacing w:after="120"/>
        <w:rPr>
          <w:lang w:eastAsia="en-GB"/>
        </w:rPr>
      </w:pPr>
      <w:r w:rsidRPr="001346FF">
        <w:rPr>
          <w:lang w:eastAsia="en-GB"/>
        </w:rPr>
        <w:t>The overarching strategic priorities of the EBRD in Russia are diversification, modernisation and innovation, support for the private sector and regional development. As outlined in the country strategy for Russia (2013-15), energy efficiency will be an integral part of the EBRD’s activity in the country. The Bank aims to address the demand side of energy use by reducing waste of energy and greenhouse emissions in all sectors, which are important to support corporate competitiveness and to combat climate change.</w:t>
      </w:r>
    </w:p>
    <w:p w:rsidR="00480839" w:rsidRPr="001346FF" w:rsidRDefault="00480839" w:rsidP="00480839">
      <w:pPr>
        <w:spacing w:after="120"/>
        <w:rPr>
          <w:u w:val="single"/>
          <w:lang w:eastAsia="en-GB"/>
        </w:rPr>
      </w:pPr>
      <w:r w:rsidRPr="001346FF">
        <w:rPr>
          <w:u w:val="single"/>
          <w:lang w:eastAsia="en-GB"/>
        </w:rPr>
        <w:t>Ukraine</w:t>
      </w:r>
    </w:p>
    <w:p w:rsidR="00480839" w:rsidRDefault="00480839" w:rsidP="00480839">
      <w:pPr>
        <w:spacing w:after="120"/>
        <w:rPr>
          <w:lang w:eastAsia="en-GB"/>
        </w:rPr>
      </w:pPr>
      <w:r w:rsidRPr="001346FF">
        <w:rPr>
          <w:lang w:eastAsia="en-GB"/>
        </w:rPr>
        <w:t xml:space="preserve">A new country strategy for Ukraine was approved by the EBRD in 2011 and will run until 2014. During the post crisis economic recovery period the Bank aims to focus on addressing the key transition challenges in line with the government’s reform programme, in close coordination with other international financial institutions (IFIs) and bilateral donors. The principal </w:t>
      </w:r>
      <w:proofErr w:type="spellStart"/>
      <w:r w:rsidRPr="001346FF">
        <w:rPr>
          <w:lang w:eastAsia="en-GB"/>
        </w:rPr>
        <w:t>sectoral</w:t>
      </w:r>
      <w:proofErr w:type="spellEnd"/>
      <w:r w:rsidRPr="001346FF">
        <w:rPr>
          <w:lang w:eastAsia="en-GB"/>
        </w:rPr>
        <w:t xml:space="preserve"> areas of focus for the EBRD will be energy, enterprises, infrastructure, the financial sector and capital markets. A key goal for the EBRD is to work with the National Bank of Ukraine to facilitate the ability of IFIs and others to lend in local currency and thereby facilitate access to a wider range of competitive funding for local businesses.</w:t>
      </w:r>
    </w:p>
    <w:p w:rsidR="00480839" w:rsidRPr="001346FF" w:rsidRDefault="00480839" w:rsidP="00480839">
      <w:pPr>
        <w:spacing w:after="120"/>
        <w:rPr>
          <w:lang w:eastAsia="en-GB"/>
        </w:rPr>
      </w:pPr>
    </w:p>
    <w:p w:rsidR="00480839" w:rsidRPr="001346FF" w:rsidRDefault="00480839" w:rsidP="00480839">
      <w:pPr>
        <w:spacing w:after="120"/>
        <w:rPr>
          <w:lang w:eastAsia="en-GB"/>
        </w:rPr>
      </w:pPr>
    </w:p>
    <w:p w:rsidR="00480839" w:rsidRPr="00333093" w:rsidRDefault="00480839" w:rsidP="00480839"/>
    <w:p w:rsidR="009E254B" w:rsidRDefault="009E254B" w:rsidP="009E254B"/>
    <w:p w:rsidR="00762C9B" w:rsidRPr="001346FF" w:rsidRDefault="00762C9B" w:rsidP="009E254B"/>
    <w:sectPr w:rsidR="00762C9B" w:rsidRPr="001346FF" w:rsidSect="004B0E48">
      <w:headerReference w:type="first" r:id="rId77"/>
      <w:footerReference w:type="first" r:id="rId78"/>
      <w:pgSz w:w="11906" w:h="16838" w:code="9"/>
      <w:pgMar w:top="1701" w:right="1134" w:bottom="1276" w:left="1418" w:header="709" w:footer="567" w:gutter="0"/>
      <w:cols w:space="720"/>
      <w:formProt w:val="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F64" w:rsidRDefault="00332F64">
      <w:r>
        <w:separator/>
      </w:r>
    </w:p>
    <w:p w:rsidR="00332F64" w:rsidRDefault="00332F64"/>
    <w:p w:rsidR="00332F64" w:rsidRDefault="00332F64"/>
  </w:endnote>
  <w:endnote w:type="continuationSeparator" w:id="0">
    <w:p w:rsidR="00332F64" w:rsidRDefault="00332F64">
      <w:r>
        <w:continuationSeparator/>
      </w:r>
    </w:p>
    <w:p w:rsidR="00332F64" w:rsidRDefault="00332F64"/>
    <w:p w:rsidR="00332F64" w:rsidRDefault="00332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Swis721 Cn BT">
    <w:charset w:val="00"/>
    <w:family w:val="swiss"/>
    <w:pitch w:val="variable"/>
    <w:sig w:usb0="00000087" w:usb1="00000000" w:usb2="00000000" w:usb3="00000000" w:csb0="0000001B" w:csb1="00000000"/>
  </w:font>
  <w:font w:name="Swis721 BT">
    <w:charset w:val="00"/>
    <w:family w:val="swiss"/>
    <w:pitch w:val="variable"/>
    <w:sig w:usb0="00000087" w:usb1="00000000" w:usb2="00000000" w:usb3="00000000" w:csb0="0000001B"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619" w:rsidRDefault="00476619" w:rsidP="00E45880">
    <w:pPr>
      <w:pStyle w:val="Footer"/>
      <w:rPr>
        <w:b/>
      </w:rPr>
    </w:pPr>
    <w:r>
      <w:tab/>
    </w:r>
    <w:r>
      <w:fldChar w:fldCharType="begin"/>
    </w:r>
    <w:r>
      <w:instrText xml:space="preserve"> STYLEREF  "Cover brol"  \* MERGEFORMAT </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619" w:rsidRDefault="00476619">
    <w:pPr>
      <w:pStyle w:val="Footer"/>
      <w:jc w:val="right"/>
    </w:pPr>
    <w:r>
      <w:fldChar w:fldCharType="begin"/>
    </w:r>
    <w:r>
      <w:instrText xml:space="preserve"> PAGE   \* MERGEFORMAT </w:instrText>
    </w:r>
    <w:r>
      <w:fldChar w:fldCharType="separate"/>
    </w:r>
    <w:r w:rsidR="00791588">
      <w:t>9</w:t>
    </w:r>
    <w:r>
      <w:fldChar w:fldCharType="end"/>
    </w:r>
  </w:p>
  <w:p w:rsidR="00476619" w:rsidRDefault="00476619" w:rsidP="00E458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093" w:type="dxa"/>
      <w:tblCellMar>
        <w:left w:w="0" w:type="dxa"/>
        <w:right w:w="0" w:type="dxa"/>
      </w:tblCellMar>
      <w:tblLook w:val="00A0" w:firstRow="1" w:lastRow="0" w:firstColumn="1" w:lastColumn="0" w:noHBand="0" w:noVBand="0"/>
    </w:tblPr>
    <w:tblGrid>
      <w:gridCol w:w="3860"/>
      <w:gridCol w:w="3401"/>
    </w:tblGrid>
    <w:tr w:rsidR="00476619" w:rsidTr="00291440">
      <w:tc>
        <w:tcPr>
          <w:tcW w:w="3861" w:type="dxa"/>
        </w:tcPr>
        <w:p w:rsidR="00476619" w:rsidRDefault="00476619" w:rsidP="00291440">
          <w:pPr>
            <w:pStyle w:val="Coverfooter"/>
          </w:pPr>
          <w:bookmarkStart w:id="0" w:name="OLE_LINK1"/>
          <w:bookmarkStart w:id="1" w:name="OLE_LINK2"/>
          <w:bookmarkStart w:id="2" w:name="_Hlk165100841"/>
          <w:r>
            <w:t>This project is funded</w:t>
          </w:r>
          <w:r>
            <w:br/>
            <w:t>by the European Union</w:t>
          </w:r>
        </w:p>
      </w:tc>
      <w:tc>
        <w:tcPr>
          <w:tcW w:w="3401" w:type="dxa"/>
        </w:tcPr>
        <w:p w:rsidR="00476619" w:rsidRDefault="00476619" w:rsidP="00291440">
          <w:pPr>
            <w:pStyle w:val="Coverfooter"/>
          </w:pPr>
          <w:r>
            <w:t>And implemented</w:t>
          </w:r>
          <w:r>
            <w:br/>
            <w:t>by a consortium led by MWH</w:t>
          </w:r>
        </w:p>
      </w:tc>
    </w:tr>
    <w:bookmarkEnd w:id="0"/>
    <w:bookmarkEnd w:id="1"/>
    <w:bookmarkEnd w:id="2"/>
  </w:tbl>
  <w:p w:rsidR="00476619" w:rsidRDefault="00476619" w:rsidP="00514979">
    <w:pPr>
      <w:pStyle w:val="Footer"/>
      <w:tabs>
        <w:tab w:val="left" w:pos="1653"/>
      </w:tabs>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093" w:type="dxa"/>
      <w:tblCellMar>
        <w:left w:w="0" w:type="dxa"/>
        <w:right w:w="0" w:type="dxa"/>
      </w:tblCellMar>
      <w:tblLook w:val="00A0" w:firstRow="1" w:lastRow="0" w:firstColumn="1" w:lastColumn="0" w:noHBand="0" w:noVBand="0"/>
    </w:tblPr>
    <w:tblGrid>
      <w:gridCol w:w="3860"/>
      <w:gridCol w:w="3401"/>
    </w:tblGrid>
    <w:tr w:rsidR="00476619" w:rsidTr="00291440">
      <w:tc>
        <w:tcPr>
          <w:tcW w:w="3861" w:type="dxa"/>
        </w:tcPr>
        <w:p w:rsidR="00476619" w:rsidRDefault="00476619" w:rsidP="00291440">
          <w:pPr>
            <w:pStyle w:val="Coverfooter"/>
          </w:pPr>
          <w:r>
            <w:t>This project is funded</w:t>
          </w:r>
          <w:r>
            <w:br/>
            <w:t>by the European Union</w:t>
          </w:r>
        </w:p>
      </w:tc>
      <w:tc>
        <w:tcPr>
          <w:tcW w:w="3401" w:type="dxa"/>
        </w:tcPr>
        <w:p w:rsidR="00476619" w:rsidRDefault="00476619" w:rsidP="00291440">
          <w:pPr>
            <w:pStyle w:val="Coverfooter"/>
          </w:pPr>
          <w:r>
            <w:t>A project implemented</w:t>
          </w:r>
          <w:r>
            <w:br/>
            <w:t>by a consortium led by MWH</w:t>
          </w:r>
        </w:p>
      </w:tc>
    </w:tr>
  </w:tbl>
  <w:p w:rsidR="00476619" w:rsidRDefault="00476619" w:rsidP="00514979">
    <w:pPr>
      <w:pStyle w:val="Footer"/>
      <w:tabs>
        <w:tab w:val="left" w:pos="1653"/>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F64" w:rsidRDefault="00332F64" w:rsidP="003053EC">
      <w:pPr>
        <w:spacing w:before="0" w:line="240" w:lineRule="auto"/>
      </w:pPr>
      <w:r>
        <w:separator/>
      </w:r>
    </w:p>
  </w:footnote>
  <w:footnote w:type="continuationSeparator" w:id="0">
    <w:p w:rsidR="00332F64" w:rsidRDefault="00332F64">
      <w:r>
        <w:continuationSeparator/>
      </w:r>
    </w:p>
    <w:p w:rsidR="00332F64" w:rsidRDefault="00332F64"/>
    <w:p w:rsidR="00332F64" w:rsidRDefault="00332F64"/>
  </w:footnote>
  <w:footnote w:id="1">
    <w:p w:rsidR="00476619" w:rsidRPr="00681826" w:rsidRDefault="00476619" w:rsidP="00516EF9">
      <w:pPr>
        <w:pStyle w:val="FootnoteText"/>
        <w:jc w:val="left"/>
      </w:pPr>
      <w:r w:rsidRPr="00681826">
        <w:rPr>
          <w:rStyle w:val="FootnoteReference"/>
        </w:rPr>
        <w:footnoteRef/>
      </w:r>
      <w:r w:rsidRPr="00681826">
        <w:t xml:space="preserve"> </w:t>
      </w:r>
      <w:proofErr w:type="gramStart"/>
      <w:r w:rsidRPr="00681826">
        <w:t>The “Table of Eleven”.</w:t>
      </w:r>
      <w:proofErr w:type="gramEnd"/>
      <w:r w:rsidRPr="00681826">
        <w:t xml:space="preserve"> </w:t>
      </w:r>
      <w:proofErr w:type="gramStart"/>
      <w:r w:rsidRPr="00681826">
        <w:t>A versatile tool.</w:t>
      </w:r>
      <w:proofErr w:type="gramEnd"/>
      <w:r w:rsidRPr="00681826">
        <w:t xml:space="preserve"> November 2004, available at </w:t>
      </w:r>
      <w:hyperlink r:id="rId1" w:history="1">
        <w:r w:rsidRPr="00986389">
          <w:rPr>
            <w:rStyle w:val="Hyperlink"/>
            <w:sz w:val="18"/>
            <w:szCs w:val="18"/>
          </w:rPr>
          <w:t>http://www.sam.gov.lv/images/modules/items/PDF/item_618_NL_The_table_of_Eleven.pdf</w:t>
        </w:r>
      </w:hyperlink>
      <w:r w:rsidRPr="00681826">
        <w:t xml:space="preserve"> </w:t>
      </w:r>
    </w:p>
  </w:footnote>
  <w:footnote w:id="2">
    <w:p w:rsidR="00476619" w:rsidRPr="00681826" w:rsidRDefault="00476619" w:rsidP="00516EF9">
      <w:pPr>
        <w:pStyle w:val="FootnoteText"/>
        <w:jc w:val="left"/>
      </w:pPr>
      <w:r w:rsidRPr="00681826">
        <w:rPr>
          <w:rStyle w:val="FootnoteReference"/>
        </w:rPr>
        <w:footnoteRef/>
      </w:r>
      <w:r w:rsidRPr="00681826">
        <w:t xml:space="preserve"> </w:t>
      </w:r>
      <w:proofErr w:type="gramStart"/>
      <w:r w:rsidRPr="00681826">
        <w:t xml:space="preserve">Aldrich, </w:t>
      </w:r>
      <w:proofErr w:type="spellStart"/>
      <w:r w:rsidRPr="00681826">
        <w:t>Lokey</w:t>
      </w:r>
      <w:proofErr w:type="spellEnd"/>
      <w:r w:rsidRPr="00681826">
        <w:t xml:space="preserve"> Elizabeth and </w:t>
      </w:r>
      <w:proofErr w:type="spellStart"/>
      <w:r w:rsidRPr="00681826">
        <w:t>Koerner</w:t>
      </w:r>
      <w:proofErr w:type="spellEnd"/>
      <w:r w:rsidRPr="00681826">
        <w:t xml:space="preserve"> L. Cassandra.</w:t>
      </w:r>
      <w:proofErr w:type="gramEnd"/>
      <w:r w:rsidRPr="00681826">
        <w:t xml:space="preserve"> Unveiling Assigned Amount Unit (AAU) Trades: Current</w:t>
      </w:r>
    </w:p>
    <w:p w:rsidR="00476619" w:rsidRPr="00681826" w:rsidRDefault="00476619" w:rsidP="00516EF9">
      <w:pPr>
        <w:pStyle w:val="FootnoteText"/>
        <w:jc w:val="left"/>
      </w:pPr>
      <w:proofErr w:type="gramStart"/>
      <w:r w:rsidRPr="00681826">
        <w:t>Market Impacts and Prospects for the Future.</w:t>
      </w:r>
      <w:proofErr w:type="gramEnd"/>
      <w:r w:rsidRPr="00681826">
        <w:t xml:space="preserve"> </w:t>
      </w:r>
      <w:r w:rsidRPr="00681826">
        <w:rPr>
          <w:i/>
        </w:rPr>
        <w:t>Atmosphere,</w:t>
      </w:r>
      <w:r w:rsidRPr="00681826">
        <w:t xml:space="preserve"> 2012, 3, p. 232</w:t>
      </w:r>
    </w:p>
  </w:footnote>
  <w:footnote w:id="3">
    <w:p w:rsidR="00476619" w:rsidRPr="00681826" w:rsidRDefault="00476619" w:rsidP="00516EF9">
      <w:pPr>
        <w:pStyle w:val="FootnoteText"/>
        <w:jc w:val="left"/>
      </w:pPr>
      <w:r w:rsidRPr="00681826">
        <w:rPr>
          <w:rStyle w:val="FootnoteReference"/>
        </w:rPr>
        <w:footnoteRef/>
      </w:r>
      <w:r w:rsidRPr="00681826">
        <w:t xml:space="preserve"> </w:t>
      </w:r>
      <w:proofErr w:type="gramStart"/>
      <w:r w:rsidRPr="00681826">
        <w:t>Processes ensuring removal of greenhouse gases from the atmosphere through physical or chemical reactions or changes.</w:t>
      </w:r>
      <w:proofErr w:type="gramEnd"/>
    </w:p>
  </w:footnote>
  <w:footnote w:id="4">
    <w:p w:rsidR="00476619" w:rsidRPr="00681826" w:rsidRDefault="00476619" w:rsidP="00516EF9">
      <w:pPr>
        <w:pStyle w:val="FootnoteText"/>
        <w:jc w:val="left"/>
      </w:pPr>
      <w:r w:rsidRPr="00681826">
        <w:rPr>
          <w:rStyle w:val="FootnoteReference"/>
        </w:rPr>
        <w:footnoteRef/>
      </w:r>
      <w:r w:rsidRPr="00681826">
        <w:t xml:space="preserve"> IBRD: Working with countries to achieve development results. World Bank, available at http://siteresources.worldbank.org/EXTABOUTUS/Resources/IBRDResults.pdf</w:t>
      </w:r>
    </w:p>
  </w:footnote>
  <w:footnote w:id="5">
    <w:p w:rsidR="00476619" w:rsidRPr="00681826" w:rsidRDefault="00476619" w:rsidP="00516EF9">
      <w:pPr>
        <w:pStyle w:val="FootnoteText"/>
        <w:jc w:val="left"/>
      </w:pPr>
      <w:r w:rsidRPr="00681826">
        <w:rPr>
          <w:rStyle w:val="FootnoteReference"/>
        </w:rPr>
        <w:footnoteRef/>
      </w:r>
      <w:r w:rsidRPr="00681826">
        <w:t xml:space="preserve"> </w:t>
      </w:r>
      <w:proofErr w:type="gramStart"/>
      <w:r w:rsidRPr="00681826">
        <w:t>UNDP-GEF.</w:t>
      </w:r>
      <w:proofErr w:type="gramEnd"/>
      <w:r w:rsidRPr="00681826">
        <w:t xml:space="preserve"> </w:t>
      </w:r>
      <w:proofErr w:type="gramStart"/>
      <w:r w:rsidRPr="00681826">
        <w:t>Climate Change Mitigation.</w:t>
      </w:r>
      <w:proofErr w:type="gramEnd"/>
      <w:r w:rsidRPr="00681826">
        <w:t xml:space="preserve"> </w:t>
      </w:r>
      <w:hyperlink r:id="rId2" w:history="1">
        <w:r w:rsidRPr="00681826">
          <w:rPr>
            <w:rStyle w:val="Hyperlink"/>
          </w:rPr>
          <w:t>http://web.undp.org/gef/do_cc_mitigation.shtml</w:t>
        </w:r>
      </w:hyperlink>
      <w:r w:rsidRPr="00681826">
        <w:t xml:space="preserve"> </w:t>
      </w:r>
    </w:p>
  </w:footnote>
  <w:footnote w:id="6">
    <w:p w:rsidR="00476619" w:rsidRPr="00681826" w:rsidRDefault="00476619" w:rsidP="00516EF9">
      <w:pPr>
        <w:pStyle w:val="FootnoteText"/>
        <w:jc w:val="left"/>
      </w:pPr>
      <w:r w:rsidRPr="00681826">
        <w:rPr>
          <w:rStyle w:val="FootnoteReference"/>
        </w:rPr>
        <w:footnoteRef/>
      </w:r>
      <w:r w:rsidRPr="00681826">
        <w:t xml:space="preserve"> </w:t>
      </w:r>
      <w:proofErr w:type="gramStart"/>
      <w:r w:rsidRPr="00681826">
        <w:t>UNDP-GEF.</w:t>
      </w:r>
      <w:proofErr w:type="gramEnd"/>
      <w:r w:rsidRPr="00681826">
        <w:t xml:space="preserve"> </w:t>
      </w:r>
      <w:proofErr w:type="gramStart"/>
      <w:r w:rsidRPr="00681826">
        <w:t>Climate Change Adaptation.</w:t>
      </w:r>
      <w:proofErr w:type="gramEnd"/>
      <w:r w:rsidRPr="00681826">
        <w:t xml:space="preserve"> </w:t>
      </w:r>
      <w:hyperlink r:id="rId3" w:history="1">
        <w:r w:rsidRPr="00681826">
          <w:rPr>
            <w:rStyle w:val="Hyperlink"/>
          </w:rPr>
          <w:t>http://web.undp.org/gef/do_cc_adaptation.shtml</w:t>
        </w:r>
      </w:hyperlink>
      <w:r w:rsidRPr="00681826">
        <w:t xml:space="preserve"> </w:t>
      </w:r>
    </w:p>
  </w:footnote>
  <w:footnote w:id="7">
    <w:p w:rsidR="00476619" w:rsidRPr="00681826" w:rsidRDefault="00476619" w:rsidP="00516EF9">
      <w:pPr>
        <w:pStyle w:val="FootnoteText"/>
        <w:jc w:val="left"/>
      </w:pPr>
      <w:r w:rsidRPr="00681826">
        <w:rPr>
          <w:rStyle w:val="FootnoteReference"/>
        </w:rPr>
        <w:footnoteRef/>
      </w:r>
      <w:r w:rsidRPr="00681826">
        <w:t xml:space="preserve"> </w:t>
      </w:r>
      <w:proofErr w:type="gramStart"/>
      <w:r w:rsidRPr="00681826">
        <w:t>Special Climate Change Fund.</w:t>
      </w:r>
      <w:proofErr w:type="gramEnd"/>
      <w:r w:rsidRPr="00681826">
        <w:t xml:space="preserve"> Climate Funds Update. available at </w:t>
      </w:r>
      <w:hyperlink r:id="rId4" w:history="1">
        <w:r w:rsidRPr="00D15E57">
          <w:rPr>
            <w:rStyle w:val="Hyperlink"/>
            <w:sz w:val="18"/>
            <w:szCs w:val="18"/>
          </w:rPr>
          <w:t>http://www.climatefundsupdate.org/listing/special-climate-change-fund</w:t>
        </w:r>
      </w:hyperlink>
      <w:r w:rsidRPr="00681826">
        <w:t xml:space="preserve"> </w:t>
      </w:r>
    </w:p>
  </w:footnote>
  <w:footnote w:id="8">
    <w:p w:rsidR="00476619" w:rsidRPr="00681826" w:rsidRDefault="00476619" w:rsidP="00516EF9">
      <w:pPr>
        <w:pStyle w:val="FootnoteText"/>
        <w:jc w:val="left"/>
      </w:pPr>
      <w:r w:rsidRPr="00681826">
        <w:rPr>
          <w:rStyle w:val="FootnoteReference"/>
        </w:rPr>
        <w:footnoteRef/>
      </w:r>
      <w:r w:rsidRPr="00681826">
        <w:t xml:space="preserve"> </w:t>
      </w:r>
      <w:proofErr w:type="spellStart"/>
      <w:proofErr w:type="gramStart"/>
      <w:r w:rsidRPr="00681826">
        <w:t>Biagini</w:t>
      </w:r>
      <w:proofErr w:type="spellEnd"/>
      <w:r w:rsidRPr="00681826">
        <w:t xml:space="preserve">, </w:t>
      </w:r>
      <w:proofErr w:type="spellStart"/>
      <w:r w:rsidRPr="00681826">
        <w:t>Bonizella</w:t>
      </w:r>
      <w:proofErr w:type="spellEnd"/>
      <w:r w:rsidRPr="00681826">
        <w:t xml:space="preserve"> et al. Assessing Resources under Special Climate Change Fund.</w:t>
      </w:r>
      <w:proofErr w:type="gramEnd"/>
      <w:r w:rsidRPr="00681826">
        <w:t xml:space="preserve"> </w:t>
      </w:r>
      <w:proofErr w:type="gramStart"/>
      <w:r w:rsidRPr="00681826">
        <w:t>Global Environment Facility.</w:t>
      </w:r>
      <w:proofErr w:type="gramEnd"/>
      <w:r w:rsidRPr="00681826">
        <w:t xml:space="preserve"> 2011, p. 8</w:t>
      </w:r>
    </w:p>
  </w:footnote>
  <w:footnote w:id="9">
    <w:p w:rsidR="00476619" w:rsidRPr="00681826" w:rsidRDefault="00476619" w:rsidP="00516EF9">
      <w:pPr>
        <w:pStyle w:val="FootnoteText"/>
        <w:jc w:val="left"/>
      </w:pPr>
      <w:r w:rsidRPr="00681826">
        <w:rPr>
          <w:rStyle w:val="FootnoteReference"/>
        </w:rPr>
        <w:footnoteRef/>
      </w:r>
      <w:r w:rsidRPr="00681826">
        <w:t xml:space="preserve"> Allocation of resources based on transparent indicators reflecting country performance and country potential to achieve global environmental benefits.</w:t>
      </w:r>
    </w:p>
  </w:footnote>
  <w:footnote w:id="10">
    <w:p w:rsidR="00476619" w:rsidRPr="00681826" w:rsidRDefault="00476619" w:rsidP="00516EF9">
      <w:pPr>
        <w:pStyle w:val="FootnoteText"/>
        <w:jc w:val="left"/>
      </w:pPr>
      <w:r w:rsidRPr="00681826">
        <w:rPr>
          <w:rStyle w:val="FootnoteReference"/>
        </w:rPr>
        <w:footnoteRef/>
      </w:r>
      <w:r w:rsidRPr="00681826">
        <w:t xml:space="preserve"> EU ETS covers more than 11,000 power stations and industrial plants in 31 countries, as well as airlines</w:t>
      </w:r>
    </w:p>
  </w:footnote>
  <w:footnote w:id="11">
    <w:p w:rsidR="00476619" w:rsidRPr="00681826" w:rsidRDefault="00476619" w:rsidP="00516EF9">
      <w:pPr>
        <w:pStyle w:val="FootnoteText"/>
        <w:jc w:val="left"/>
      </w:pPr>
      <w:r w:rsidRPr="00681826">
        <w:rPr>
          <w:rStyle w:val="FootnoteReference"/>
        </w:rPr>
        <w:footnoteRef/>
      </w:r>
      <w:r w:rsidRPr="00681826">
        <w:t xml:space="preserve"> “Thomson Reuters Point Carbon”, as cited in The EU Emission Trading System (EU ETS) factsheet, 2013, available at </w:t>
      </w:r>
      <w:hyperlink r:id="rId5" w:history="1">
        <w:r w:rsidRPr="00681826">
          <w:rPr>
            <w:rStyle w:val="Hyperlink"/>
          </w:rPr>
          <w:t>http://ec.europa.eu/clima/publications/docs/factsheet_ets_2013_en.pdf</w:t>
        </w:r>
      </w:hyperlink>
      <w:r w:rsidRPr="00681826">
        <w:t xml:space="preserve"> </w:t>
      </w:r>
    </w:p>
  </w:footnote>
  <w:footnote w:id="12">
    <w:p w:rsidR="00476619" w:rsidRPr="00681826" w:rsidRDefault="00476619" w:rsidP="00516EF9">
      <w:pPr>
        <w:pStyle w:val="FootnoteText"/>
        <w:jc w:val="left"/>
      </w:pPr>
      <w:r w:rsidRPr="00681826">
        <w:rPr>
          <w:rStyle w:val="FootnoteReference"/>
        </w:rPr>
        <w:footnoteRef/>
      </w:r>
      <w:r w:rsidRPr="00681826">
        <w:t xml:space="preserve"> One of the themes under LIFE+ Environment Policy and Governance is specifically dedicated to air</w:t>
      </w:r>
    </w:p>
  </w:footnote>
  <w:footnote w:id="13">
    <w:p w:rsidR="00476619" w:rsidRPr="00681826" w:rsidRDefault="00476619" w:rsidP="00516EF9">
      <w:pPr>
        <w:pStyle w:val="FootnoteText"/>
        <w:jc w:val="left"/>
      </w:pPr>
      <w:r w:rsidRPr="00681826">
        <w:rPr>
          <w:rStyle w:val="FootnoteReference"/>
        </w:rPr>
        <w:footnoteRef/>
      </w:r>
      <w:r w:rsidRPr="00681826">
        <w:t xml:space="preserve"> Air: Best Projects. </w:t>
      </w:r>
      <w:proofErr w:type="gramStart"/>
      <w:r w:rsidRPr="00681826">
        <w:t>LIFE Programme.</w:t>
      </w:r>
      <w:proofErr w:type="gramEnd"/>
      <w:r w:rsidRPr="00681826">
        <w:t xml:space="preserve"> EC, available at </w:t>
      </w:r>
      <w:hyperlink r:id="rId6" w:history="1">
        <w:r w:rsidRPr="00681826">
          <w:rPr>
            <w:rStyle w:val="Hyperlink"/>
          </w:rPr>
          <w:t>http://ec.europa.eu/environment/life/themes/air/best.htm</w:t>
        </w:r>
      </w:hyperlink>
      <w:r w:rsidRPr="00681826">
        <w:t xml:space="preserve"> </w:t>
      </w:r>
    </w:p>
  </w:footnote>
  <w:footnote w:id="14">
    <w:p w:rsidR="00476619" w:rsidRPr="00681826" w:rsidRDefault="00476619" w:rsidP="00516EF9">
      <w:pPr>
        <w:pStyle w:val="FootnoteText"/>
        <w:jc w:val="left"/>
      </w:pPr>
      <w:r w:rsidRPr="00681826">
        <w:rPr>
          <w:rStyle w:val="FootnoteReference"/>
        </w:rPr>
        <w:footnoteRef/>
      </w:r>
      <w:r w:rsidRPr="00681826">
        <w:t xml:space="preserve"> </w:t>
      </w:r>
      <w:proofErr w:type="gramStart"/>
      <w:r w:rsidRPr="00681826">
        <w:t>European Mobility Week.</w:t>
      </w:r>
      <w:proofErr w:type="gramEnd"/>
      <w:r w:rsidRPr="00681826">
        <w:t xml:space="preserve"> European Commission, </w:t>
      </w:r>
      <w:r w:rsidRPr="00D15E57">
        <w:t xml:space="preserve">available at </w:t>
      </w:r>
      <w:hyperlink r:id="rId7" w:history="1">
        <w:r w:rsidRPr="00D15E57">
          <w:rPr>
            <w:rStyle w:val="Hyperlink"/>
            <w:sz w:val="18"/>
            <w:szCs w:val="18"/>
          </w:rPr>
          <w:t>http://www.mobilityweek.eu/join-us/about/</w:t>
        </w:r>
      </w:hyperlink>
      <w:r w:rsidRPr="00681826">
        <w:t xml:space="preserve"> </w:t>
      </w:r>
    </w:p>
  </w:footnote>
  <w:footnote w:id="15">
    <w:p w:rsidR="00476619" w:rsidRPr="00681826" w:rsidRDefault="00476619">
      <w:pPr>
        <w:pStyle w:val="FootnoteText"/>
      </w:pPr>
      <w:r w:rsidRPr="00681826">
        <w:rPr>
          <w:rStyle w:val="FootnoteReference"/>
        </w:rPr>
        <w:footnoteRef/>
      </w:r>
      <w:r w:rsidRPr="00681826">
        <w:t xml:space="preserve"> </w:t>
      </w:r>
      <w:proofErr w:type="gramStart"/>
      <w:r w:rsidRPr="00681826">
        <w:t>EMAS.</w:t>
      </w:r>
      <w:proofErr w:type="gramEnd"/>
      <w:r w:rsidRPr="00681826">
        <w:t xml:space="preserve"> European Commission, available at </w:t>
      </w:r>
      <w:hyperlink r:id="rId8" w:history="1">
        <w:r w:rsidRPr="00681826">
          <w:rPr>
            <w:rStyle w:val="Hyperlink"/>
            <w:rFonts w:cs="Times New Roman"/>
            <w:sz w:val="18"/>
            <w:szCs w:val="18"/>
          </w:rPr>
          <w:t>http://ec.europa.eu/environment/emas/index_en.htm</w:t>
        </w:r>
      </w:hyperlink>
      <w:r w:rsidRPr="00681826">
        <w:t xml:space="preserve"> </w:t>
      </w:r>
    </w:p>
  </w:footnote>
  <w:footnote w:id="16">
    <w:p w:rsidR="00476619" w:rsidRPr="00681826" w:rsidRDefault="00476619" w:rsidP="00516EF9">
      <w:pPr>
        <w:pStyle w:val="FootnoteText"/>
        <w:jc w:val="left"/>
      </w:pPr>
      <w:r w:rsidRPr="00681826">
        <w:rPr>
          <w:rStyle w:val="FootnoteReference"/>
        </w:rPr>
        <w:footnoteRef/>
      </w:r>
      <w:r w:rsidRPr="00681826">
        <w:t xml:space="preserve"> Nordic </w:t>
      </w:r>
      <w:proofErr w:type="spellStart"/>
      <w:r w:rsidRPr="00681826">
        <w:t>Ecolabelling</w:t>
      </w:r>
      <w:proofErr w:type="spellEnd"/>
      <w:r w:rsidRPr="00681826">
        <w:t xml:space="preserve">, available at </w:t>
      </w:r>
      <w:hyperlink r:id="rId9" w:history="1">
        <w:r w:rsidRPr="00D15E57">
          <w:rPr>
            <w:rStyle w:val="Hyperlink"/>
            <w:sz w:val="18"/>
            <w:szCs w:val="18"/>
          </w:rPr>
          <w:t>http://www.nordic-ecolabel.org/</w:t>
        </w:r>
      </w:hyperlink>
      <w:r w:rsidRPr="00D15E57">
        <w:t xml:space="preserve"> </w:t>
      </w:r>
    </w:p>
  </w:footnote>
  <w:footnote w:id="17">
    <w:p w:rsidR="00476619" w:rsidRPr="00681826" w:rsidRDefault="00476619">
      <w:pPr>
        <w:pStyle w:val="FootnoteText"/>
      </w:pPr>
      <w:r w:rsidRPr="00681826">
        <w:rPr>
          <w:rStyle w:val="FootnoteReference"/>
        </w:rPr>
        <w:footnoteRef/>
      </w:r>
      <w:r w:rsidRPr="00681826">
        <w:t xml:space="preserve"> Communication from the Commission to the European Parliament, the Council, the European Economic and Social Committee and the Committee of the Regions “Public procurement for a better environment”, COM (2008) 400, available at </w:t>
      </w:r>
      <w:hyperlink r:id="rId10" w:history="1">
        <w:r w:rsidRPr="00681826">
          <w:rPr>
            <w:rStyle w:val="Hyperlink"/>
            <w:rFonts w:cs="Times New Roman"/>
            <w:sz w:val="18"/>
            <w:szCs w:val="18"/>
          </w:rPr>
          <w:t>http://eur-lex.europa.eu/LexUriServ/LexUriServ.do?uri=COM:2008:0400:FIN:EN:PDF</w:t>
        </w:r>
      </w:hyperlink>
      <w:r w:rsidRPr="00681826">
        <w:t xml:space="preserve"> </w:t>
      </w:r>
    </w:p>
  </w:footnote>
  <w:footnote w:id="18">
    <w:p w:rsidR="00476619" w:rsidRPr="00681826" w:rsidRDefault="00476619" w:rsidP="005813A9">
      <w:pPr>
        <w:pStyle w:val="FootnoteText"/>
        <w:jc w:val="left"/>
      </w:pPr>
      <w:r w:rsidRPr="00681826">
        <w:rPr>
          <w:rStyle w:val="FootnoteReference"/>
        </w:rPr>
        <w:footnoteRef/>
      </w:r>
      <w:r w:rsidRPr="00681826">
        <w:t xml:space="preserve"> </w:t>
      </w:r>
      <w:proofErr w:type="gramStart"/>
      <w:r w:rsidRPr="00681826">
        <w:t>GPP Brochure.</w:t>
      </w:r>
      <w:proofErr w:type="gramEnd"/>
      <w:r w:rsidRPr="00681826">
        <w:t xml:space="preserve"> </w:t>
      </w:r>
      <w:proofErr w:type="gramStart"/>
      <w:r w:rsidRPr="00681826">
        <w:t>European Commission.</w:t>
      </w:r>
      <w:proofErr w:type="gramEnd"/>
      <w:r w:rsidRPr="00681826">
        <w:t xml:space="preserve"> Environment, available at </w:t>
      </w:r>
      <w:hyperlink r:id="rId11" w:history="1">
        <w:r w:rsidRPr="00681826">
          <w:rPr>
            <w:rStyle w:val="Hyperlink"/>
            <w:rFonts w:cs="Times New Roman"/>
            <w:sz w:val="18"/>
            <w:szCs w:val="18"/>
          </w:rPr>
          <w:t>http://ec.europa.eu/environment/gpp/brochure_en.htm</w:t>
        </w:r>
      </w:hyperlink>
      <w:r w:rsidRPr="00681826">
        <w:t xml:space="preserve"> </w:t>
      </w:r>
    </w:p>
  </w:footnote>
  <w:footnote w:id="19">
    <w:p w:rsidR="00476619" w:rsidRPr="00681826" w:rsidRDefault="00476619">
      <w:pPr>
        <w:pStyle w:val="FootnoteText"/>
      </w:pPr>
      <w:r w:rsidRPr="00681826">
        <w:rPr>
          <w:rStyle w:val="FootnoteReference"/>
        </w:rPr>
        <w:footnoteRef/>
      </w:r>
      <w:r w:rsidRPr="00681826">
        <w:t xml:space="preserve"> About IMPEL. IMPEL, available at </w:t>
      </w:r>
      <w:hyperlink r:id="rId12" w:history="1">
        <w:r w:rsidRPr="00681826">
          <w:rPr>
            <w:rStyle w:val="Hyperlink"/>
            <w:rFonts w:cs="Times New Roman"/>
            <w:sz w:val="18"/>
            <w:szCs w:val="18"/>
          </w:rPr>
          <w:t>http://impel.eu/about/</w:t>
        </w:r>
      </w:hyperlink>
      <w:r w:rsidRPr="00681826">
        <w:t xml:space="preserve"> </w:t>
      </w:r>
    </w:p>
  </w:footnote>
  <w:footnote w:id="20">
    <w:p w:rsidR="00476619" w:rsidRPr="00681826" w:rsidRDefault="00476619" w:rsidP="00516EF9">
      <w:pPr>
        <w:pStyle w:val="FootnoteText"/>
        <w:jc w:val="left"/>
      </w:pPr>
      <w:r w:rsidRPr="00681826">
        <w:rPr>
          <w:rStyle w:val="FootnoteReference"/>
        </w:rPr>
        <w:footnoteRef/>
      </w:r>
      <w:r w:rsidRPr="00681826">
        <w:t xml:space="preserve"> </w:t>
      </w:r>
      <w:proofErr w:type="gramStart"/>
      <w:r w:rsidRPr="00681826">
        <w:t>NEC Reduction Programme 2006, Belgium.</w:t>
      </w:r>
      <w:proofErr w:type="gramEnd"/>
    </w:p>
  </w:footnote>
  <w:footnote w:id="21">
    <w:p w:rsidR="00476619" w:rsidRPr="00681826" w:rsidRDefault="00476619" w:rsidP="00516EF9">
      <w:pPr>
        <w:pStyle w:val="FootnoteText"/>
        <w:jc w:val="left"/>
      </w:pPr>
      <w:r w:rsidRPr="00681826">
        <w:rPr>
          <w:rStyle w:val="FootnoteReference"/>
        </w:rPr>
        <w:footnoteRef/>
      </w:r>
      <w:r w:rsidRPr="00681826">
        <w:t xml:space="preserve"> Trend Tables of data reported until 31 August 2012. Centre on Emission Inventories and Projections, available at </w:t>
      </w:r>
      <w:hyperlink r:id="rId13" w:history="1">
        <w:r w:rsidRPr="00681826">
          <w:rPr>
            <w:rStyle w:val="Hyperlink"/>
          </w:rPr>
          <w:t>http://www.ceip.at/overview-of-submissions-under-clrtap/2012-submissions/</w:t>
        </w:r>
      </w:hyperlink>
      <w:r w:rsidRPr="00681826">
        <w:t xml:space="preserve"> </w:t>
      </w:r>
    </w:p>
  </w:footnote>
  <w:footnote w:id="22">
    <w:p w:rsidR="00476619" w:rsidRPr="00681826" w:rsidRDefault="00476619" w:rsidP="00516EF9">
      <w:pPr>
        <w:pStyle w:val="FootnoteText"/>
        <w:jc w:val="left"/>
      </w:pPr>
      <w:r w:rsidRPr="00681826">
        <w:rPr>
          <w:rStyle w:val="FootnoteReference"/>
        </w:rPr>
        <w:footnoteRef/>
      </w:r>
      <w:r w:rsidRPr="00681826">
        <w:t xml:space="preserve"> Directive 2001/81/EC of the European Parliament and the Council on National Emission Ceilings for certain pollutants</w:t>
      </w:r>
    </w:p>
  </w:footnote>
  <w:footnote w:id="23">
    <w:p w:rsidR="00476619" w:rsidRPr="00681826" w:rsidRDefault="00476619" w:rsidP="00516EF9">
      <w:pPr>
        <w:pStyle w:val="FootnoteText"/>
        <w:jc w:val="left"/>
      </w:pPr>
      <w:r w:rsidRPr="00681826">
        <w:rPr>
          <w:rStyle w:val="FootnoteReference"/>
        </w:rPr>
        <w:footnoteRef/>
      </w:r>
      <w:r w:rsidRPr="00681826">
        <w:t xml:space="preserve"> </w:t>
      </w:r>
      <w:proofErr w:type="gramStart"/>
      <w:r w:rsidRPr="00681826">
        <w:t>Sustainable building.</w:t>
      </w:r>
      <w:proofErr w:type="gramEnd"/>
      <w:r w:rsidRPr="00681826">
        <w:t xml:space="preserve"> Brussels, Sustainable City, available at </w:t>
      </w:r>
      <w:hyperlink r:id="rId14" w:history="1">
        <w:r w:rsidRPr="00681826">
          <w:rPr>
            <w:rStyle w:val="Hyperlink"/>
          </w:rPr>
          <w:t>http://www.sustainablecity.be/themas/sustainable-building</w:t>
        </w:r>
      </w:hyperlink>
    </w:p>
  </w:footnote>
  <w:footnote w:id="24">
    <w:p w:rsidR="00476619" w:rsidRPr="00681826" w:rsidRDefault="00476619" w:rsidP="00516EF9">
      <w:pPr>
        <w:pStyle w:val="FootnoteText"/>
        <w:jc w:val="left"/>
      </w:pPr>
      <w:r w:rsidRPr="00681826">
        <w:rPr>
          <w:rStyle w:val="FootnoteReference"/>
        </w:rPr>
        <w:footnoteRef/>
      </w:r>
      <w:r w:rsidRPr="00681826">
        <w:t xml:space="preserve"> Ibid.</w:t>
      </w:r>
    </w:p>
  </w:footnote>
  <w:footnote w:id="25">
    <w:p w:rsidR="00476619" w:rsidRPr="00681826" w:rsidRDefault="00476619" w:rsidP="00516EF9">
      <w:pPr>
        <w:pStyle w:val="FootnoteText"/>
        <w:jc w:val="left"/>
      </w:pPr>
      <w:r w:rsidRPr="00681826">
        <w:rPr>
          <w:rStyle w:val="FootnoteReference"/>
        </w:rPr>
        <w:footnoteRef/>
      </w:r>
      <w:r w:rsidRPr="00681826">
        <w:t xml:space="preserve"> </w:t>
      </w:r>
      <w:proofErr w:type="gramStart"/>
      <w:r w:rsidRPr="00681826">
        <w:t>Mobility.</w:t>
      </w:r>
      <w:proofErr w:type="gramEnd"/>
      <w:r w:rsidRPr="00681826">
        <w:t xml:space="preserve"> Brussels, Sustainable City, available at </w:t>
      </w:r>
      <w:hyperlink r:id="rId15" w:history="1">
        <w:r w:rsidRPr="00681826">
          <w:rPr>
            <w:rStyle w:val="Hyperlink"/>
          </w:rPr>
          <w:t>http://www.sustainablecity.be/themas/mobility</w:t>
        </w:r>
      </w:hyperlink>
      <w:r w:rsidRPr="00681826">
        <w:t xml:space="preserve"> </w:t>
      </w:r>
    </w:p>
  </w:footnote>
  <w:footnote w:id="26">
    <w:p w:rsidR="00476619" w:rsidRPr="00681826" w:rsidRDefault="00476619" w:rsidP="00516EF9">
      <w:pPr>
        <w:pStyle w:val="FootnoteText"/>
        <w:jc w:val="left"/>
      </w:pPr>
      <w:r w:rsidRPr="00681826">
        <w:rPr>
          <w:rStyle w:val="FootnoteReference"/>
        </w:rPr>
        <w:footnoteRef/>
      </w:r>
      <w:r w:rsidRPr="00681826">
        <w:t xml:space="preserve"> </w:t>
      </w:r>
      <w:proofErr w:type="spellStart"/>
      <w:r w:rsidRPr="00681826">
        <w:t>Informatīvais</w:t>
      </w:r>
      <w:proofErr w:type="spellEnd"/>
      <w:r w:rsidRPr="00681826">
        <w:t xml:space="preserve"> </w:t>
      </w:r>
      <w:proofErr w:type="spellStart"/>
      <w:r w:rsidRPr="00681826">
        <w:t>ziņojums</w:t>
      </w:r>
      <w:proofErr w:type="spellEnd"/>
      <w:r w:rsidRPr="00681826">
        <w:t xml:space="preserve"> Par </w:t>
      </w:r>
      <w:proofErr w:type="spellStart"/>
      <w:r w:rsidRPr="00681826">
        <w:t>pasākumiem</w:t>
      </w:r>
      <w:proofErr w:type="spellEnd"/>
      <w:r w:rsidRPr="00681826">
        <w:t xml:space="preserve"> </w:t>
      </w:r>
      <w:proofErr w:type="spellStart"/>
      <w:r w:rsidRPr="00681826">
        <w:t>Valsts</w:t>
      </w:r>
      <w:proofErr w:type="spellEnd"/>
      <w:r w:rsidRPr="00681826">
        <w:t xml:space="preserve"> </w:t>
      </w:r>
      <w:proofErr w:type="spellStart"/>
      <w:r w:rsidRPr="00681826">
        <w:t>kopējo</w:t>
      </w:r>
      <w:proofErr w:type="spellEnd"/>
      <w:r w:rsidRPr="00681826">
        <w:t xml:space="preserve"> </w:t>
      </w:r>
      <w:proofErr w:type="spellStart"/>
      <w:r w:rsidRPr="00681826">
        <w:t>emisiju</w:t>
      </w:r>
      <w:proofErr w:type="spellEnd"/>
      <w:r w:rsidRPr="00681826">
        <w:t xml:space="preserve"> </w:t>
      </w:r>
      <w:proofErr w:type="spellStart"/>
      <w:r w:rsidRPr="00681826">
        <w:t>gaisā</w:t>
      </w:r>
      <w:proofErr w:type="spellEnd"/>
      <w:r w:rsidRPr="00681826">
        <w:t xml:space="preserve"> </w:t>
      </w:r>
      <w:proofErr w:type="spellStart"/>
      <w:r w:rsidRPr="00681826">
        <w:t>samazināšanai</w:t>
      </w:r>
      <w:proofErr w:type="spellEnd"/>
      <w:r w:rsidRPr="00681826">
        <w:t>, 2006 (Latvia’s National Programme under the National Emission Ceilings Directive, 2006)</w:t>
      </w:r>
    </w:p>
  </w:footnote>
  <w:footnote w:id="27">
    <w:p w:rsidR="00476619" w:rsidRPr="00681826" w:rsidRDefault="00476619" w:rsidP="00516EF9">
      <w:pPr>
        <w:pStyle w:val="FootnoteText"/>
        <w:jc w:val="left"/>
      </w:pPr>
      <w:r w:rsidRPr="00681826">
        <w:rPr>
          <w:rStyle w:val="FootnoteReference"/>
        </w:rPr>
        <w:footnoteRef/>
      </w:r>
      <w:r w:rsidRPr="00681826">
        <w:t xml:space="preserve"> Ibid.</w:t>
      </w:r>
    </w:p>
  </w:footnote>
  <w:footnote w:id="28">
    <w:p w:rsidR="00476619" w:rsidRPr="00FD3BBA" w:rsidRDefault="00476619">
      <w:pPr>
        <w:pStyle w:val="FootnoteText"/>
      </w:pPr>
      <w:r w:rsidRPr="00476619">
        <w:rPr>
          <w:rStyle w:val="FootnoteReference"/>
        </w:rPr>
        <w:footnoteRef/>
      </w:r>
      <w:r w:rsidRPr="00476619">
        <w:t xml:space="preserve"> “Direct payments are payments granted directly to farmers under certain support schemes. Direct payments ensure a safety net for farmers in the form of a basic income support, decoupled from production, stabilising their income stemming from sales on the markets, which are subject to volatility.” </w:t>
      </w:r>
      <w:proofErr w:type="gramStart"/>
      <w:r w:rsidRPr="00476619">
        <w:t>Direct payments.</w:t>
      </w:r>
      <w:proofErr w:type="gramEnd"/>
      <w:r w:rsidRPr="00476619">
        <w:t xml:space="preserve"> </w:t>
      </w:r>
      <w:proofErr w:type="gramStart"/>
      <w:r w:rsidRPr="00476619">
        <w:t>Agriculture and Rural Development.</w:t>
      </w:r>
      <w:proofErr w:type="gramEnd"/>
      <w:r w:rsidRPr="00476619">
        <w:t xml:space="preserve"> European Commission, available at </w:t>
      </w:r>
      <w:hyperlink r:id="rId16" w:history="1">
        <w:r w:rsidRPr="00476619">
          <w:rPr>
            <w:rStyle w:val="Hyperlink"/>
            <w:rFonts w:cs="Times New Roman"/>
            <w:sz w:val="18"/>
            <w:szCs w:val="18"/>
          </w:rPr>
          <w:t>http://ec.europa.eu/agriculture/direct-support/direct-payments/index_en.htm</w:t>
        </w:r>
      </w:hyperlink>
      <w:r>
        <w:t xml:space="preserve"> </w:t>
      </w:r>
    </w:p>
  </w:footnote>
  <w:footnote w:id="29">
    <w:p w:rsidR="00476619" w:rsidRPr="00681826" w:rsidRDefault="00476619" w:rsidP="00516EF9">
      <w:pPr>
        <w:pStyle w:val="FootnoteText"/>
        <w:jc w:val="left"/>
      </w:pPr>
      <w:r w:rsidRPr="00681826">
        <w:rPr>
          <w:rStyle w:val="FootnoteReference"/>
        </w:rPr>
        <w:footnoteRef/>
      </w:r>
      <w:r w:rsidRPr="00681826">
        <w:t xml:space="preserve"> Republic of Poland, Report on the Directive 2001/81/EC of the European parliament and of the Council of 23 October 2001 on national emission ceilings for certain atmospheric pollutants, 2007</w:t>
      </w:r>
    </w:p>
  </w:footnote>
  <w:footnote w:id="30">
    <w:p w:rsidR="00476619" w:rsidRPr="00681826" w:rsidRDefault="00476619" w:rsidP="00516EF9">
      <w:pPr>
        <w:pStyle w:val="FootnoteText"/>
        <w:jc w:val="left"/>
      </w:pPr>
      <w:r w:rsidRPr="00681826">
        <w:rPr>
          <w:rStyle w:val="FootnoteReference"/>
        </w:rPr>
        <w:footnoteRef/>
      </w:r>
      <w:r w:rsidRPr="00681826">
        <w:t xml:space="preserve"> </w:t>
      </w:r>
      <w:proofErr w:type="gramStart"/>
      <w:r w:rsidRPr="00681826">
        <w:t>Air Pollution (Poland).</w:t>
      </w:r>
      <w:proofErr w:type="gramEnd"/>
      <w:r w:rsidRPr="00681826">
        <w:t xml:space="preserve"> European Environment Agency, available at </w:t>
      </w:r>
      <w:hyperlink r:id="rId17" w:history="1">
        <w:r w:rsidRPr="00681826">
          <w:rPr>
            <w:rStyle w:val="Hyperlink"/>
          </w:rPr>
          <w:t>http://www.eea.europa.eu/soer/countries/pl/soertopic_view?topic=air%20pollution</w:t>
        </w:r>
      </w:hyperlink>
      <w:r w:rsidRPr="00681826">
        <w:t xml:space="preserve"> </w:t>
      </w:r>
    </w:p>
  </w:footnote>
  <w:footnote w:id="31">
    <w:p w:rsidR="00476619" w:rsidRPr="00681826" w:rsidRDefault="00476619" w:rsidP="00516EF9">
      <w:pPr>
        <w:pStyle w:val="FootnoteText"/>
        <w:jc w:val="left"/>
      </w:pPr>
      <w:r w:rsidRPr="00681826">
        <w:rPr>
          <w:rStyle w:val="FootnoteReference"/>
        </w:rPr>
        <w:footnoteRef/>
      </w:r>
      <w:r w:rsidRPr="00681826">
        <w:t xml:space="preserve"> </w:t>
      </w:r>
      <w:proofErr w:type="gramStart"/>
      <w:r w:rsidRPr="00681826">
        <w:t>Programmes.</w:t>
      </w:r>
      <w:proofErr w:type="gramEnd"/>
      <w:r w:rsidRPr="00681826">
        <w:t xml:space="preserve"> Ministry of the Environment of the Republic of Poland, available at </w:t>
      </w:r>
      <w:hyperlink r:id="rId18" w:history="1">
        <w:r w:rsidRPr="00681826">
          <w:rPr>
            <w:rStyle w:val="Hyperlink"/>
          </w:rPr>
          <w:t>http://www.mos.gov.pl/kategoria/4950_programmes_and_rank_lists/</w:t>
        </w:r>
      </w:hyperlink>
      <w:r w:rsidRPr="00681826">
        <w:t xml:space="preserve"> </w:t>
      </w:r>
    </w:p>
  </w:footnote>
  <w:footnote w:id="32">
    <w:p w:rsidR="00476619" w:rsidRPr="00681826" w:rsidRDefault="00476619" w:rsidP="00516EF9">
      <w:pPr>
        <w:pStyle w:val="FootnoteText"/>
        <w:jc w:val="left"/>
      </w:pPr>
      <w:r w:rsidRPr="00681826">
        <w:rPr>
          <w:rStyle w:val="FootnoteReference"/>
        </w:rPr>
        <w:footnoteRef/>
      </w:r>
      <w:r w:rsidRPr="00681826">
        <w:t xml:space="preserve"> </w:t>
      </w:r>
      <w:proofErr w:type="gramStart"/>
      <w:r w:rsidRPr="00681826">
        <w:t>The National Environmental Policy for 2009 – 2012 and its 2016 Outlook.</w:t>
      </w:r>
      <w:proofErr w:type="gramEnd"/>
      <w:r w:rsidRPr="00681826">
        <w:t xml:space="preserve"> Council of Ministers of the Republic of Poland, 2008</w:t>
      </w:r>
    </w:p>
  </w:footnote>
  <w:footnote w:id="33">
    <w:p w:rsidR="00476619" w:rsidRPr="00681826" w:rsidRDefault="00476619" w:rsidP="00516EF9">
      <w:pPr>
        <w:pStyle w:val="FootnoteText"/>
        <w:jc w:val="left"/>
      </w:pPr>
      <w:r w:rsidRPr="00681826">
        <w:rPr>
          <w:rStyle w:val="FootnoteReference"/>
        </w:rPr>
        <w:footnoteRef/>
      </w:r>
      <w:r w:rsidRPr="00681826">
        <w:t xml:space="preserve"> </w:t>
      </w:r>
      <w:proofErr w:type="gramStart"/>
      <w:r w:rsidRPr="00681826">
        <w:t>Operational Programme Infrastructure and Environment.</w:t>
      </w:r>
      <w:proofErr w:type="gramEnd"/>
      <w:r w:rsidRPr="00681826">
        <w:t xml:space="preserve"> The National Strategic Reference Framework for the years 2007-2013. Ministry of Regional Development of the Republic of Poland, 2007</w:t>
      </w:r>
    </w:p>
  </w:footnote>
  <w:footnote w:id="34">
    <w:p w:rsidR="00476619" w:rsidRPr="00681826" w:rsidRDefault="00476619" w:rsidP="00516EF9">
      <w:pPr>
        <w:pStyle w:val="FootnoteText"/>
        <w:jc w:val="left"/>
      </w:pPr>
      <w:r w:rsidRPr="00681826">
        <w:rPr>
          <w:rStyle w:val="FootnoteReference"/>
        </w:rPr>
        <w:footnoteRef/>
      </w:r>
      <w:r w:rsidRPr="00681826">
        <w:t xml:space="preserve"> Polish Funds, available at </w:t>
      </w:r>
      <w:hyperlink r:id="rId19" w:history="1">
        <w:r w:rsidRPr="00681826">
          <w:rPr>
            <w:rStyle w:val="Hyperlink"/>
          </w:rPr>
          <w:t>http://www.ekoportal.gov.pl/opencms/opencms/ekoportal/en/ForEntrepreneurs/PolishFunds/</w:t>
        </w:r>
      </w:hyperlink>
      <w:r w:rsidRPr="00681826">
        <w:t xml:space="preserve"> </w:t>
      </w:r>
    </w:p>
  </w:footnote>
  <w:footnote w:id="35">
    <w:p w:rsidR="00476619" w:rsidRPr="00681826" w:rsidRDefault="00476619" w:rsidP="00516EF9">
      <w:pPr>
        <w:pStyle w:val="FootnoteText"/>
        <w:jc w:val="left"/>
      </w:pPr>
      <w:r w:rsidRPr="00681826">
        <w:rPr>
          <w:rStyle w:val="FootnoteReference"/>
        </w:rPr>
        <w:footnoteRef/>
      </w:r>
      <w:r w:rsidRPr="00681826">
        <w:t xml:space="preserve"> </w:t>
      </w:r>
      <w:proofErr w:type="gramStart"/>
      <w:r w:rsidRPr="00681826">
        <w:t>Green Investment Scheme.</w:t>
      </w:r>
      <w:proofErr w:type="gramEnd"/>
      <w:r w:rsidRPr="00681826">
        <w:t xml:space="preserve"> Ministry of the Environment of the Republic of Poland, available at </w:t>
      </w:r>
      <w:hyperlink r:id="rId20" w:history="1">
        <w:r w:rsidRPr="00681826">
          <w:rPr>
            <w:rStyle w:val="Hyperlink"/>
          </w:rPr>
          <w:t>http://www.mos.gov.pl/kategoria/4945_green_investment_scheme/?j=en</w:t>
        </w:r>
      </w:hyperlink>
      <w:r w:rsidRPr="00681826">
        <w:t xml:space="preserve"> </w:t>
      </w:r>
    </w:p>
  </w:footnote>
  <w:footnote w:id="36">
    <w:p w:rsidR="00476619" w:rsidRPr="00681826" w:rsidRDefault="00476619" w:rsidP="00516EF9">
      <w:pPr>
        <w:pStyle w:val="FootnoteText"/>
        <w:jc w:val="left"/>
      </w:pPr>
      <w:r w:rsidRPr="00681826">
        <w:rPr>
          <w:rStyle w:val="FootnoteReference"/>
        </w:rPr>
        <w:footnoteRef/>
      </w:r>
      <w:r w:rsidRPr="00681826">
        <w:t xml:space="preserve"> </w:t>
      </w:r>
      <w:proofErr w:type="gramStart"/>
      <w:r w:rsidRPr="00681826">
        <w:t>“RIO+20” National Assessment Report, Republic of Armenia, 2012.</w:t>
      </w:r>
      <w:proofErr w:type="gramEnd"/>
      <w:r w:rsidRPr="00681826">
        <w:t xml:space="preserve"> available at </w:t>
      </w:r>
      <w:hyperlink r:id="rId21" w:history="1">
        <w:r w:rsidRPr="00681826">
          <w:rPr>
            <w:rStyle w:val="Hyperlink"/>
          </w:rPr>
          <w:t>http://www.mnp.am/?p=169</w:t>
        </w:r>
      </w:hyperlink>
      <w:r w:rsidRPr="00681826">
        <w:t xml:space="preserve"> </w:t>
      </w:r>
    </w:p>
  </w:footnote>
  <w:footnote w:id="37">
    <w:p w:rsidR="00476619" w:rsidRPr="00681826" w:rsidRDefault="00476619" w:rsidP="00516EF9">
      <w:pPr>
        <w:pStyle w:val="FootnoteText"/>
        <w:jc w:val="left"/>
      </w:pPr>
      <w:r w:rsidRPr="00681826">
        <w:rPr>
          <w:rStyle w:val="FootnoteReference"/>
        </w:rPr>
        <w:footnoteRef/>
      </w:r>
      <w:r w:rsidRPr="00681826">
        <w:t xml:space="preserve"> </w:t>
      </w:r>
      <w:proofErr w:type="gramStart"/>
      <w:r w:rsidRPr="00681826">
        <w:t>Armenia Renewable Resources and Energy Efficiency Fund.</w:t>
      </w:r>
      <w:proofErr w:type="gramEnd"/>
      <w:r w:rsidRPr="00681826">
        <w:t xml:space="preserve"> available at </w:t>
      </w:r>
      <w:hyperlink r:id="rId22" w:history="1">
        <w:r w:rsidRPr="00681826">
          <w:rPr>
            <w:rStyle w:val="Hyperlink"/>
          </w:rPr>
          <w:t>http://r2e2.am/en/about-us/</w:t>
        </w:r>
      </w:hyperlink>
    </w:p>
  </w:footnote>
  <w:footnote w:id="38">
    <w:p w:rsidR="00476619" w:rsidRPr="00681826" w:rsidRDefault="00476619" w:rsidP="00516EF9">
      <w:pPr>
        <w:pStyle w:val="FootnoteText"/>
        <w:jc w:val="left"/>
      </w:pPr>
      <w:r w:rsidRPr="00681826">
        <w:rPr>
          <w:rStyle w:val="FootnoteReference"/>
        </w:rPr>
        <w:footnoteRef/>
      </w:r>
      <w:r w:rsidRPr="00681826">
        <w:t xml:space="preserve"> State of the Environment Azerbaijan, available at </w:t>
      </w:r>
      <w:hyperlink r:id="rId23" w:history="1">
        <w:r w:rsidRPr="00681826">
          <w:rPr>
            <w:rStyle w:val="Hyperlink"/>
          </w:rPr>
          <w:t>http://enrin.grida.no/htmls/azer/soe/ecology/html/environmental_policy.html</w:t>
        </w:r>
      </w:hyperlink>
      <w:r w:rsidRPr="00681826">
        <w:t xml:space="preserve"> </w:t>
      </w:r>
    </w:p>
  </w:footnote>
  <w:footnote w:id="39">
    <w:p w:rsidR="00476619" w:rsidRPr="00681826" w:rsidRDefault="00476619" w:rsidP="00516EF9">
      <w:pPr>
        <w:pStyle w:val="FootnoteText"/>
        <w:jc w:val="left"/>
      </w:pPr>
      <w:r w:rsidRPr="00681826">
        <w:rPr>
          <w:rStyle w:val="FootnoteReference"/>
        </w:rPr>
        <w:footnoteRef/>
      </w:r>
      <w:r w:rsidRPr="00681826">
        <w:t xml:space="preserve"> Resolution of the Council of Ministers of the Republic of Belarus from 17.02.2012 № 156 (as amended on 04.10.2013) “On approval of the unified list of administrative procedures…</w:t>
      </w:r>
      <w:proofErr w:type="gramStart"/>
      <w:r w:rsidRPr="00681826">
        <w:t>”.</w:t>
      </w:r>
      <w:proofErr w:type="gramEnd"/>
      <w:r w:rsidRPr="00681826">
        <w:t xml:space="preserve">  minsk.gov.by/</w:t>
      </w:r>
      <w:proofErr w:type="spellStart"/>
      <w:r w:rsidRPr="00681826">
        <w:t>ru</w:t>
      </w:r>
      <w:proofErr w:type="spellEnd"/>
      <w:r w:rsidRPr="00681826">
        <w:t xml:space="preserve">/org/5194/attach/d595817/post_sm_156_red_883.doc </w:t>
      </w:r>
    </w:p>
  </w:footnote>
  <w:footnote w:id="40">
    <w:p w:rsidR="00476619" w:rsidRPr="00681826" w:rsidRDefault="00476619" w:rsidP="00516EF9">
      <w:pPr>
        <w:pStyle w:val="FootnoteText"/>
        <w:jc w:val="left"/>
      </w:pPr>
      <w:r w:rsidRPr="00681826">
        <w:rPr>
          <w:rStyle w:val="FootnoteReference"/>
        </w:rPr>
        <w:footnoteRef/>
      </w:r>
      <w:r w:rsidRPr="00681826">
        <w:t xml:space="preserve">   Decree of the President of the Republic of Belarus on October 16, 2009 № 510 “On improvement of a controlling (supervision) activities in the Republic of Belarus” </w:t>
      </w:r>
      <w:hyperlink r:id="rId24" w:history="1">
        <w:r w:rsidRPr="00681826">
          <w:rPr>
            <w:rStyle w:val="Hyperlink"/>
          </w:rPr>
          <w:t>http://www.pravo.by/main.aspx?guid=3871&amp;p0=P30900510&amp;p2={NRPA}</w:t>
        </w:r>
      </w:hyperlink>
      <w:r w:rsidRPr="00681826">
        <w:t xml:space="preserve"> </w:t>
      </w:r>
    </w:p>
  </w:footnote>
  <w:footnote w:id="41">
    <w:p w:rsidR="00476619" w:rsidRPr="00681826" w:rsidRDefault="00476619" w:rsidP="00516EF9">
      <w:pPr>
        <w:pStyle w:val="FootnoteText"/>
        <w:jc w:val="left"/>
      </w:pPr>
      <w:r w:rsidRPr="00681826">
        <w:rPr>
          <w:rStyle w:val="FootnoteReference"/>
        </w:rPr>
        <w:footnoteRef/>
      </w:r>
      <w:r w:rsidRPr="00681826">
        <w:t xml:space="preserve"> </w:t>
      </w:r>
      <w:proofErr w:type="gramStart"/>
      <w:r w:rsidRPr="00681826">
        <w:t>Tax Code of the Republic of Belarus (Special Part).</w:t>
      </w:r>
      <w:proofErr w:type="gramEnd"/>
      <w:r w:rsidRPr="00681826">
        <w:t xml:space="preserve"> </w:t>
      </w:r>
      <w:hyperlink r:id="rId25" w:history="1">
        <w:r w:rsidRPr="00681826">
          <w:rPr>
            <w:rStyle w:val="Hyperlink"/>
          </w:rPr>
          <w:t>http://minsk.gov.by/ru/org/8643/attach/263b953/kontrol_nalog_kodeks.shtml</w:t>
        </w:r>
      </w:hyperlink>
      <w:r w:rsidRPr="00681826">
        <w:t xml:space="preserve"> </w:t>
      </w:r>
    </w:p>
  </w:footnote>
  <w:footnote w:id="42">
    <w:p w:rsidR="00476619" w:rsidRPr="00681826" w:rsidRDefault="00476619" w:rsidP="00516EF9">
      <w:pPr>
        <w:pStyle w:val="FootnoteText"/>
        <w:jc w:val="left"/>
      </w:pPr>
      <w:r w:rsidRPr="00681826">
        <w:rPr>
          <w:rStyle w:val="FootnoteReference"/>
        </w:rPr>
        <w:footnoteRef/>
      </w:r>
      <w:r w:rsidRPr="00681826">
        <w:t xml:space="preserve"> </w:t>
      </w:r>
      <w:hyperlink r:id="rId26" w:history="1">
        <w:r w:rsidRPr="00681826">
          <w:rPr>
            <w:rStyle w:val="Hyperlink"/>
          </w:rPr>
          <w:t>http://www.belta.by/ru/all_news/society/Memorandum-o-vyrabotke-mexanizmov-vzaimodejstvija-biznes-struktur-i-Minprirody-podpisan-v-Minske_i_580452.html</w:t>
        </w:r>
      </w:hyperlink>
      <w:r w:rsidRPr="00681826">
        <w:t xml:space="preserve"> </w:t>
      </w:r>
    </w:p>
  </w:footnote>
  <w:footnote w:id="43">
    <w:p w:rsidR="00476619" w:rsidRPr="00681826" w:rsidRDefault="00476619" w:rsidP="00516EF9">
      <w:pPr>
        <w:pStyle w:val="FootnoteText"/>
        <w:jc w:val="left"/>
      </w:pPr>
      <w:r w:rsidRPr="00681826">
        <w:rPr>
          <w:rStyle w:val="FootnoteReference"/>
        </w:rPr>
        <w:footnoteRef/>
      </w:r>
      <w:r w:rsidRPr="00681826">
        <w:t xml:space="preserve"> The Law of the Republic of Belarus “On Renewable Energy Sources”, December 27, 2010 № 204-Z. </w:t>
      </w:r>
      <w:hyperlink r:id="rId27" w:history="1">
        <w:r w:rsidRPr="00681826">
          <w:rPr>
            <w:rStyle w:val="Hyperlink"/>
          </w:rPr>
          <w:t>http://pravo.by/main.aspx?guid=3871&amp;p0=H11000204&amp;p2={NRPA}</w:t>
        </w:r>
      </w:hyperlink>
      <w:r w:rsidRPr="00681826">
        <w:t xml:space="preserve"> </w:t>
      </w:r>
    </w:p>
  </w:footnote>
  <w:footnote w:id="44">
    <w:p w:rsidR="00476619" w:rsidRPr="00681826" w:rsidRDefault="00476619" w:rsidP="00516EF9">
      <w:pPr>
        <w:pStyle w:val="FootnoteText"/>
        <w:jc w:val="left"/>
      </w:pPr>
      <w:r w:rsidRPr="00681826">
        <w:rPr>
          <w:rStyle w:val="FootnoteReference"/>
        </w:rPr>
        <w:footnoteRef/>
      </w:r>
      <w:r w:rsidRPr="00681826">
        <w:t xml:space="preserve"> </w:t>
      </w:r>
      <w:hyperlink r:id="rId28" w:history="1">
        <w:r w:rsidRPr="00681826">
          <w:rPr>
            <w:rStyle w:val="Hyperlink"/>
          </w:rPr>
          <w:t>http://www.minpriroda.gov.by/ru/news/p-alignjustifyitogi-6-respublikanskix-konkursov-ekologicheskoj-napravlennosti-podvedeny-v-ministerstve-prirodnyx-resursov-i-oxrany-okruzhajuschej-sredyp_i_1374.html</w:t>
        </w:r>
      </w:hyperlink>
      <w:r w:rsidRPr="00681826">
        <w:t xml:space="preserve"> </w:t>
      </w:r>
    </w:p>
  </w:footnote>
  <w:footnote w:id="45">
    <w:p w:rsidR="00476619" w:rsidRPr="00681826" w:rsidRDefault="00476619" w:rsidP="00516EF9">
      <w:pPr>
        <w:pStyle w:val="FootnoteText"/>
        <w:jc w:val="left"/>
      </w:pPr>
      <w:r w:rsidRPr="00681826">
        <w:rPr>
          <w:rStyle w:val="FootnoteReference"/>
        </w:rPr>
        <w:footnoteRef/>
      </w:r>
      <w:r w:rsidRPr="00681826">
        <w:t xml:space="preserve"> </w:t>
      </w:r>
      <w:hyperlink r:id="rId29" w:history="1">
        <w:r w:rsidRPr="00681826">
          <w:rPr>
            <w:rStyle w:val="Hyperlink"/>
          </w:rPr>
          <w:t>http://moe.gov.ge/index.php?lang_id=GEO&amp;sec_id=40&amp;info_id=2411</w:t>
        </w:r>
      </w:hyperlink>
      <w:r w:rsidRPr="00681826">
        <w:t xml:space="preserve"> (in Georgian)</w:t>
      </w:r>
    </w:p>
  </w:footnote>
  <w:footnote w:id="46">
    <w:p w:rsidR="00476619" w:rsidRPr="00681826" w:rsidRDefault="00476619" w:rsidP="00516EF9">
      <w:pPr>
        <w:pStyle w:val="FootnoteText"/>
        <w:jc w:val="left"/>
      </w:pPr>
      <w:r w:rsidRPr="00681826">
        <w:rPr>
          <w:rStyle w:val="FootnoteReference"/>
        </w:rPr>
        <w:footnoteRef/>
      </w:r>
      <w:r w:rsidRPr="00681826">
        <w:t xml:space="preserve"> European Neighbourhood and Partnership Instrument, Republic of Moldova, Country Strategy Paper, 2007-2013, European Commission </w:t>
      </w:r>
    </w:p>
  </w:footnote>
  <w:footnote w:id="47">
    <w:p w:rsidR="00476619" w:rsidRPr="00681826" w:rsidRDefault="00476619" w:rsidP="00516EF9">
      <w:pPr>
        <w:pStyle w:val="FootnoteText"/>
        <w:jc w:val="left"/>
      </w:pPr>
      <w:r w:rsidRPr="00681826">
        <w:rPr>
          <w:rStyle w:val="FootnoteReference"/>
        </w:rPr>
        <w:footnoteRef/>
      </w:r>
      <w:r w:rsidRPr="00681826">
        <w:t xml:space="preserve"> Implementation of the European Neighbourhood Policy in Republic of Moldova Progress in 2012 and recommendations for action, European Commission Joint Staff Working Document (2013)</w:t>
      </w:r>
    </w:p>
  </w:footnote>
  <w:footnote w:id="48">
    <w:p w:rsidR="00476619" w:rsidRPr="00681826" w:rsidRDefault="00476619" w:rsidP="00516EF9">
      <w:pPr>
        <w:pStyle w:val="FootnoteText"/>
        <w:jc w:val="left"/>
      </w:pPr>
      <w:r w:rsidRPr="00681826">
        <w:rPr>
          <w:rStyle w:val="FootnoteReference"/>
        </w:rPr>
        <w:footnoteRef/>
      </w:r>
      <w:r w:rsidRPr="00681826">
        <w:t xml:space="preserve"> More about the Moldovan Sustainable Energy Financing facility available at </w:t>
      </w:r>
      <w:hyperlink r:id="rId30" w:history="1">
        <w:r w:rsidRPr="00681826">
          <w:rPr>
            <w:rStyle w:val="Hyperlink"/>
          </w:rPr>
          <w:t>http://www.moseff.org/index.php?id=1&amp;L=1</w:t>
        </w:r>
      </w:hyperlink>
      <w:r w:rsidRPr="00681826">
        <w:t xml:space="preserve"> </w:t>
      </w:r>
    </w:p>
  </w:footnote>
  <w:footnote w:id="49">
    <w:p w:rsidR="00476619" w:rsidRPr="00681826" w:rsidRDefault="00476619" w:rsidP="00516EF9">
      <w:pPr>
        <w:pStyle w:val="FootnoteText"/>
        <w:jc w:val="left"/>
      </w:pPr>
      <w:r w:rsidRPr="00681826">
        <w:rPr>
          <w:rStyle w:val="FootnoteReference"/>
        </w:rPr>
        <w:footnoteRef/>
      </w:r>
      <w:r w:rsidRPr="00681826">
        <w:t xml:space="preserve"> Joint Integrated Local Development Programme</w:t>
      </w:r>
    </w:p>
  </w:footnote>
  <w:footnote w:id="50">
    <w:p w:rsidR="00476619" w:rsidRPr="00681826" w:rsidRDefault="00476619" w:rsidP="00516EF9">
      <w:pPr>
        <w:pStyle w:val="FootnoteText"/>
        <w:jc w:val="left"/>
      </w:pPr>
      <w:r w:rsidRPr="00681826">
        <w:rPr>
          <w:rStyle w:val="FootnoteReference"/>
        </w:rPr>
        <w:footnoteRef/>
      </w:r>
      <w:r w:rsidRPr="00681826">
        <w:t xml:space="preserve"> Confidence Building Measures Programme</w:t>
      </w:r>
    </w:p>
  </w:footnote>
  <w:footnote w:id="51">
    <w:p w:rsidR="00476619" w:rsidRPr="00681826" w:rsidRDefault="00476619" w:rsidP="00516EF9">
      <w:pPr>
        <w:pStyle w:val="FootnoteText"/>
        <w:jc w:val="left"/>
      </w:pPr>
      <w:r w:rsidRPr="00681826">
        <w:rPr>
          <w:rStyle w:val="FootnoteReference"/>
        </w:rPr>
        <w:footnoteRef/>
      </w:r>
      <w:r w:rsidRPr="00681826">
        <w:t xml:space="preserve"> </w:t>
      </w:r>
      <w:proofErr w:type="gramStart"/>
      <w:r w:rsidRPr="00681826">
        <w:t>Overview of Russian Environmental Regulation.</w:t>
      </w:r>
      <w:proofErr w:type="gramEnd"/>
      <w:r w:rsidRPr="00681826">
        <w:t xml:space="preserve"> King &amp; Spalding, 2012, available at http://www.kslaw.com/imageserver/KSPublic/library/publication/RussianEnvironmental.pdf  </w:t>
      </w:r>
      <w:r w:rsidRPr="00681826">
        <w:cr/>
      </w:r>
    </w:p>
  </w:footnote>
  <w:footnote w:id="52">
    <w:p w:rsidR="00476619" w:rsidRPr="00681826" w:rsidRDefault="00476619" w:rsidP="00516EF9">
      <w:pPr>
        <w:pStyle w:val="FootnoteText"/>
        <w:jc w:val="left"/>
      </w:pPr>
      <w:r w:rsidRPr="00681826">
        <w:rPr>
          <w:rStyle w:val="FootnoteReference"/>
        </w:rPr>
        <w:footnoteRef/>
      </w:r>
      <w:r w:rsidRPr="00681826">
        <w:t xml:space="preserve"> The Federal Law of 27.07.2010 N 225 (as amended on 23.07.2013.) “On mandatory civil liability insurance of the owner of a dangerous object for injury resulting from an accident at the dangerous object”</w:t>
      </w:r>
    </w:p>
  </w:footnote>
  <w:footnote w:id="53">
    <w:p w:rsidR="00476619" w:rsidRPr="00681826" w:rsidRDefault="00476619" w:rsidP="00516EF9">
      <w:pPr>
        <w:pStyle w:val="FootnoteText"/>
        <w:jc w:val="left"/>
      </w:pPr>
      <w:r w:rsidRPr="00681826">
        <w:rPr>
          <w:rStyle w:val="FootnoteReference"/>
        </w:rPr>
        <w:footnoteRef/>
      </w:r>
      <w:r w:rsidRPr="00681826">
        <w:t xml:space="preserve"> Resolution 15-6, adopted in St. Petersburg on 13.06.2000 at the 15th plenary session of the </w:t>
      </w:r>
      <w:proofErr w:type="spellStart"/>
      <w:r w:rsidRPr="00681826">
        <w:t>Interparliamentary</w:t>
      </w:r>
      <w:proofErr w:type="spellEnd"/>
      <w:r w:rsidRPr="00681826">
        <w:t xml:space="preserve"> Assembly of the CIS member states.</w:t>
      </w:r>
    </w:p>
  </w:footnote>
  <w:footnote w:id="54">
    <w:p w:rsidR="00476619" w:rsidRPr="00681826" w:rsidRDefault="00476619" w:rsidP="00516EF9">
      <w:pPr>
        <w:pStyle w:val="FootnoteText"/>
        <w:jc w:val="left"/>
      </w:pPr>
      <w:r w:rsidRPr="00681826">
        <w:rPr>
          <w:rStyle w:val="FootnoteReference"/>
        </w:rPr>
        <w:footnoteRef/>
      </w:r>
      <w:r w:rsidRPr="00681826">
        <w:t xml:space="preserve"> </w:t>
      </w:r>
      <w:hyperlink r:id="rId31" w:history="1">
        <w:r w:rsidRPr="00681826">
          <w:rPr>
            <w:rStyle w:val="Hyperlink"/>
          </w:rPr>
          <w:t>http://interfax-era.ru/</w:t>
        </w:r>
      </w:hyperlink>
      <w:r w:rsidRPr="00681826">
        <w:t xml:space="preserve"> </w:t>
      </w:r>
    </w:p>
  </w:footnote>
  <w:footnote w:id="55">
    <w:p w:rsidR="00476619" w:rsidRPr="00681826" w:rsidRDefault="00476619" w:rsidP="00516EF9">
      <w:pPr>
        <w:pStyle w:val="FootnoteText"/>
        <w:jc w:val="left"/>
      </w:pPr>
      <w:r w:rsidRPr="00681826">
        <w:rPr>
          <w:rStyle w:val="FootnoteReference"/>
        </w:rPr>
        <w:footnoteRef/>
      </w:r>
      <w:r w:rsidRPr="00681826">
        <w:t xml:space="preserve"> </w:t>
      </w:r>
      <w:proofErr w:type="spellStart"/>
      <w:r w:rsidRPr="00681826">
        <w:t>Nitsevych</w:t>
      </w:r>
      <w:proofErr w:type="spellEnd"/>
      <w:r w:rsidRPr="00681826">
        <w:t xml:space="preserve">, Arthur. </w:t>
      </w:r>
      <w:proofErr w:type="gramStart"/>
      <w:r w:rsidRPr="00681826">
        <w:t>Environment Law in Ukraine.</w:t>
      </w:r>
      <w:proofErr w:type="gramEnd"/>
      <w:r w:rsidRPr="00681826">
        <w:t xml:space="preserve"> April 28, 2009, available at </w:t>
      </w:r>
      <w:hyperlink r:id="rId32" w:history="1">
        <w:r w:rsidRPr="00681826">
          <w:rPr>
            <w:rStyle w:val="Hyperlink"/>
          </w:rPr>
          <w:t>http://www.hg.org/article.asp?id=6264</w:t>
        </w:r>
      </w:hyperlink>
      <w:r w:rsidRPr="00681826">
        <w:t xml:space="preserve"> </w:t>
      </w:r>
    </w:p>
  </w:footnote>
  <w:footnote w:id="56">
    <w:p w:rsidR="00476619" w:rsidRPr="00681826" w:rsidRDefault="00476619" w:rsidP="00516EF9">
      <w:pPr>
        <w:pStyle w:val="FootnoteText"/>
        <w:jc w:val="left"/>
      </w:pPr>
      <w:r w:rsidRPr="00681826">
        <w:rPr>
          <w:rStyle w:val="FootnoteReference"/>
        </w:rPr>
        <w:footnoteRef/>
      </w:r>
      <w:r w:rsidRPr="00681826">
        <w:t xml:space="preserve"> Law of Ukraine 21.12.2010 # 2818-VI</w:t>
      </w:r>
    </w:p>
  </w:footnote>
  <w:footnote w:id="57">
    <w:p w:rsidR="00476619" w:rsidRPr="00681826" w:rsidRDefault="00476619" w:rsidP="00516EF9">
      <w:pPr>
        <w:pStyle w:val="FootnoteText"/>
        <w:jc w:val="left"/>
      </w:pPr>
      <w:r w:rsidRPr="00681826">
        <w:rPr>
          <w:rStyle w:val="FootnoteReference"/>
        </w:rPr>
        <w:footnoteRef/>
      </w:r>
      <w:r w:rsidRPr="00681826">
        <w:t xml:space="preserve"> Communication from the Commission to the European Parliament, the Council, the European Economic and Social Committee and the Committee of the Regions “Public procurement for a better environment”, COM (2008) 400, available at </w:t>
      </w:r>
      <w:hyperlink r:id="rId33" w:history="1">
        <w:r w:rsidRPr="00681826">
          <w:rPr>
            <w:rStyle w:val="Hyperlink"/>
          </w:rPr>
          <w:t>http://eur-lex.europa.eu/LexUriServ/LexUriServ.do?uri=COM:2008:0400:FIN:EN:PDF</w:t>
        </w:r>
      </w:hyperlink>
      <w:r w:rsidRPr="00681826">
        <w:t xml:space="preserve"> </w:t>
      </w:r>
    </w:p>
  </w:footnote>
  <w:footnote w:id="58">
    <w:p w:rsidR="00476619" w:rsidRPr="00681826" w:rsidRDefault="00476619" w:rsidP="00516EF9">
      <w:pPr>
        <w:pStyle w:val="FootnoteText"/>
        <w:jc w:val="left"/>
      </w:pPr>
      <w:r w:rsidRPr="00681826">
        <w:rPr>
          <w:rStyle w:val="FootnoteReference"/>
        </w:rPr>
        <w:footnoteRef/>
      </w:r>
      <w:r w:rsidRPr="00681826">
        <w:t xml:space="preserve"> </w:t>
      </w:r>
      <w:proofErr w:type="gramStart"/>
      <w:r w:rsidRPr="00681826">
        <w:t>„[</w:t>
      </w:r>
      <w:proofErr w:type="gramEnd"/>
      <w:r w:rsidRPr="00681826">
        <w:t xml:space="preserve">…] UNEP has developed a working definition of a green economy as one that results in improved human well-being and social equity, while significantly reducing environmental risks and ecological scarcities. In its simplest expression, a green economy can be thought of as one which is low carbon, resource efficient and socially inclusive”. </w:t>
      </w:r>
      <w:proofErr w:type="gramStart"/>
      <w:r w:rsidRPr="00681826">
        <w:t>United Nations Environment Programme.</w:t>
      </w:r>
      <w:proofErr w:type="gramEnd"/>
      <w:r w:rsidRPr="00681826">
        <w:t xml:space="preserve"> About GEI, available at </w:t>
      </w:r>
      <w:hyperlink r:id="rId34" w:history="1">
        <w:r w:rsidRPr="00681826">
          <w:rPr>
            <w:rStyle w:val="Hyperlink"/>
          </w:rPr>
          <w:t>http://www.unep.org/greeneconomy/AboutGEI/WhatisGEI/tabid/29784/Default.aspx</w:t>
        </w:r>
      </w:hyperlink>
      <w:r w:rsidRPr="00681826">
        <w:t xml:space="preserve"> </w:t>
      </w:r>
    </w:p>
  </w:footnote>
  <w:footnote w:id="59">
    <w:p w:rsidR="00476619" w:rsidRPr="00681826" w:rsidRDefault="00476619" w:rsidP="00516EF9">
      <w:pPr>
        <w:pStyle w:val="FootnoteText"/>
        <w:jc w:val="left"/>
      </w:pPr>
      <w:r w:rsidRPr="00681826">
        <w:rPr>
          <w:rStyle w:val="FootnoteReference"/>
        </w:rPr>
        <w:footnoteRef/>
      </w:r>
      <w:r w:rsidRPr="00681826">
        <w:t xml:space="preserve"> </w:t>
      </w:r>
      <w:proofErr w:type="spellStart"/>
      <w:proofErr w:type="gramStart"/>
      <w:r w:rsidRPr="00681826">
        <w:t>Bertoldi</w:t>
      </w:r>
      <w:proofErr w:type="spellEnd"/>
      <w:r w:rsidRPr="00681826">
        <w:t xml:space="preserve">, Paolo and </w:t>
      </w:r>
      <w:proofErr w:type="spellStart"/>
      <w:r w:rsidRPr="00681826">
        <w:t>Rezessy</w:t>
      </w:r>
      <w:proofErr w:type="spellEnd"/>
      <w:r w:rsidRPr="00681826">
        <w:t>, Silvia.</w:t>
      </w:r>
      <w:proofErr w:type="gramEnd"/>
      <w:r w:rsidRPr="00681826">
        <w:t xml:space="preserve"> Voluntary Agreements in the Field of Energy Efficiency and Emission Reduction: Review and Analysis of the Experience in Member States of the European Union. Joint Research Centre of the European Union, May 2010, available at </w:t>
      </w:r>
      <w:hyperlink r:id="rId35" w:history="1">
        <w:r w:rsidRPr="00681826">
          <w:rPr>
            <w:rStyle w:val="Hyperlink"/>
          </w:rPr>
          <w:t>http://ec.europa.eu/energy/efficiency/studies/doc/2010_05_jrc_va_study.pdf</w:t>
        </w:r>
      </w:hyperlink>
      <w:r w:rsidRPr="00681826">
        <w:t xml:space="preserve"> </w:t>
      </w:r>
    </w:p>
  </w:footnote>
  <w:footnote w:id="60">
    <w:p w:rsidR="00476619" w:rsidRPr="00681826" w:rsidRDefault="00476619" w:rsidP="00516EF9">
      <w:pPr>
        <w:pStyle w:val="FootnoteText"/>
        <w:jc w:val="left"/>
      </w:pPr>
      <w:r w:rsidRPr="00681826">
        <w:rPr>
          <w:rStyle w:val="FootnoteReference"/>
        </w:rPr>
        <w:footnoteRef/>
      </w:r>
      <w:r w:rsidRPr="00681826">
        <w:t xml:space="preserve"> From the observed partner countries Annex I parties are: Belarus, Russian Federation and Ukraine. Non-Annex I parties: Armenia, Azerbaijan, Georgia and Republic of Moldova.</w:t>
      </w:r>
    </w:p>
  </w:footnote>
  <w:footnote w:id="61">
    <w:p w:rsidR="00476619" w:rsidRPr="00681826" w:rsidRDefault="00476619" w:rsidP="00516EF9">
      <w:pPr>
        <w:pStyle w:val="FootnoteText"/>
        <w:jc w:val="left"/>
      </w:pPr>
      <w:r w:rsidRPr="00681826">
        <w:rPr>
          <w:rStyle w:val="FootnoteReference"/>
        </w:rPr>
        <w:footnoteRef/>
      </w:r>
      <w:r w:rsidRPr="00681826">
        <w:t xml:space="preserve"> What Is an Environmental Management System? </w:t>
      </w:r>
      <w:proofErr w:type="gramStart"/>
      <w:r w:rsidRPr="00681826">
        <w:t>European Commission.</w:t>
      </w:r>
      <w:proofErr w:type="gramEnd"/>
      <w:r w:rsidRPr="00681826">
        <w:t xml:space="preserve"> Environment, available at </w:t>
      </w:r>
      <w:hyperlink r:id="rId36" w:history="1">
        <w:r w:rsidRPr="00681826">
          <w:rPr>
            <w:rStyle w:val="Hyperlink"/>
          </w:rPr>
          <w:t>http://ec.europa.eu/environment/emas/about/enviro_en.htm</w:t>
        </w:r>
      </w:hyperlink>
      <w:r w:rsidRPr="00681826">
        <w:t xml:space="preserve"> </w:t>
      </w:r>
    </w:p>
  </w:footnote>
  <w:footnote w:id="62">
    <w:p w:rsidR="00476619" w:rsidRPr="00681826" w:rsidRDefault="00476619" w:rsidP="00516EF9">
      <w:pPr>
        <w:pStyle w:val="FootnoteText"/>
        <w:jc w:val="left"/>
      </w:pPr>
      <w:r w:rsidRPr="00681826">
        <w:rPr>
          <w:rStyle w:val="FootnoteReference"/>
        </w:rPr>
        <w:footnoteRef/>
      </w:r>
      <w:r w:rsidRPr="00681826">
        <w:t xml:space="preserve"> “Low Emission Zones (LEZs) are areas or roads where the most polluting vehicles are restricted from entering. This means that vehicles are banned, or in some cases charged, if they enter the LEZ when their emissions are over a set level”. What are LEZs? Low Emission Zones in Europe, available at </w:t>
      </w:r>
      <w:hyperlink r:id="rId37" w:history="1">
        <w:r w:rsidRPr="00681826">
          <w:rPr>
            <w:rStyle w:val="Hyperlink"/>
          </w:rPr>
          <w:t>http://www.lowemissionzones.eu/what-are-lezs</w:t>
        </w:r>
      </w:hyperlink>
      <w:r w:rsidRPr="00681826">
        <w:t xml:space="preserve"> </w:t>
      </w:r>
    </w:p>
  </w:footnote>
  <w:footnote w:id="63">
    <w:p w:rsidR="00476619" w:rsidRPr="00681826" w:rsidRDefault="00476619" w:rsidP="00516EF9">
      <w:pPr>
        <w:pStyle w:val="FootnoteText"/>
        <w:jc w:val="left"/>
      </w:pPr>
      <w:r w:rsidRPr="00681826">
        <w:rPr>
          <w:rStyle w:val="FootnoteReference"/>
        </w:rPr>
        <w:footnoteRef/>
      </w:r>
      <w:r w:rsidRPr="00681826">
        <w:t xml:space="preserve"> Parking lots with connections to public transport that allow people headed to city centres to leave their vehicles and transfer to a public transport.</w:t>
      </w:r>
    </w:p>
  </w:footnote>
  <w:footnote w:id="64">
    <w:p w:rsidR="00476619" w:rsidRPr="00681826" w:rsidRDefault="00476619" w:rsidP="00516EF9">
      <w:pPr>
        <w:pStyle w:val="FootnoteText"/>
        <w:jc w:val="left"/>
      </w:pPr>
      <w:r w:rsidRPr="00681826">
        <w:rPr>
          <w:rStyle w:val="FootnoteReference"/>
        </w:rPr>
        <w:footnoteRef/>
      </w:r>
      <w:r w:rsidRPr="00681826">
        <w:t xml:space="preserve"> “According to WHO [World Health Organization] recommendation, a maximum of 2,500 calories a day, and eating 500 g of fruit and vegetables”. </w:t>
      </w:r>
      <w:proofErr w:type="spellStart"/>
      <w:r w:rsidRPr="00681826">
        <w:t>Lindqvist</w:t>
      </w:r>
      <w:proofErr w:type="spellEnd"/>
      <w:r w:rsidRPr="00681826">
        <w:t xml:space="preserve">, </w:t>
      </w:r>
      <w:proofErr w:type="spellStart"/>
      <w:r w:rsidRPr="00681826">
        <w:t>Kajsa</w:t>
      </w:r>
      <w:proofErr w:type="spellEnd"/>
      <w:r w:rsidRPr="00681826">
        <w:t xml:space="preserve">. </w:t>
      </w:r>
      <w:proofErr w:type="gramStart"/>
      <w:r w:rsidRPr="00681826">
        <w:t>“Great Potential for Changing Behaviour”.</w:t>
      </w:r>
      <w:proofErr w:type="gramEnd"/>
      <w:r w:rsidRPr="00681826">
        <w:t xml:space="preserve"> Acid News, No. 4, December 2012</w:t>
      </w:r>
    </w:p>
  </w:footnote>
  <w:footnote w:id="65">
    <w:p w:rsidR="00476619" w:rsidRPr="00681826" w:rsidRDefault="00476619" w:rsidP="00516EF9">
      <w:pPr>
        <w:pStyle w:val="FootnoteText"/>
        <w:jc w:val="left"/>
      </w:pPr>
      <w:r w:rsidRPr="00681826">
        <w:rPr>
          <w:rStyle w:val="FootnoteReference"/>
        </w:rPr>
        <w:footnoteRef/>
      </w:r>
      <w:r w:rsidRPr="00681826">
        <w:t xml:space="preserve"> Faber, Jasper et al. “Behavioural Climate Change Mitigation Options and Their Appropriate Inclusion in Quantitative Longer Term Policy Scenarios”. April, 2012, available at </w:t>
      </w:r>
      <w:hyperlink r:id="rId38" w:history="1">
        <w:r w:rsidRPr="00681826">
          <w:rPr>
            <w:rStyle w:val="Hyperlink"/>
          </w:rPr>
          <w:t>http://ec.europa.eu/clima/policies/roadmap/docs/main_report_en.pdf</w:t>
        </w:r>
      </w:hyperlink>
      <w:r w:rsidRPr="00681826">
        <w:t xml:space="preserve"> </w:t>
      </w:r>
    </w:p>
  </w:footnote>
  <w:footnote w:id="66">
    <w:p w:rsidR="00476619" w:rsidRPr="00681826" w:rsidRDefault="00476619" w:rsidP="00D73464">
      <w:pPr>
        <w:pStyle w:val="FootnoteText"/>
        <w:keepNext/>
        <w:keepLines/>
        <w:jc w:val="left"/>
      </w:pPr>
      <w:r w:rsidRPr="00681826">
        <w:rPr>
          <w:rStyle w:val="FootnoteReference"/>
        </w:rPr>
        <w:footnoteRef/>
      </w:r>
      <w:r w:rsidRPr="00681826">
        <w:t xml:space="preserve"> “National authorities should endeavour to promote the internalization of environmental costs and the use of economic instruments, taking into account the approach that the polluter should, in principle, bear the cost of pollution, with due regard to the public interest and without distorting international trade and investment.” </w:t>
      </w:r>
      <w:proofErr w:type="gramStart"/>
      <w:r w:rsidRPr="00681826">
        <w:t>Principle 16.</w:t>
      </w:r>
      <w:proofErr w:type="gramEnd"/>
      <w:r w:rsidRPr="00681826">
        <w:t xml:space="preserve"> </w:t>
      </w:r>
      <w:proofErr w:type="gramStart"/>
      <w:r w:rsidRPr="00681826">
        <w:t>Rio Declaration on Environment and Development.</w:t>
      </w:r>
      <w:proofErr w:type="gramEnd"/>
      <w:r w:rsidRPr="00681826">
        <w:t xml:space="preserve"> UN General Assembly, Rio de Janeiro, 3-14 June 1992</w:t>
      </w:r>
    </w:p>
  </w:footnote>
  <w:footnote w:id="67">
    <w:p w:rsidR="00476619" w:rsidRPr="00681826" w:rsidRDefault="00476619" w:rsidP="00516EF9">
      <w:pPr>
        <w:pStyle w:val="FootnoteText"/>
        <w:jc w:val="left"/>
      </w:pPr>
      <w:r w:rsidRPr="00681826">
        <w:rPr>
          <w:rStyle w:val="FootnoteReference"/>
        </w:rPr>
        <w:footnoteRef/>
      </w:r>
      <w:r w:rsidRPr="00681826">
        <w:t xml:space="preserve"> The programme may be zero-interest or low-interest (with partial interest rate subsidy) as well. Differentiated loan interest rates may be applied upon a project profile.</w:t>
      </w:r>
    </w:p>
  </w:footnote>
  <w:footnote w:id="68">
    <w:p w:rsidR="00476619" w:rsidRPr="00681826" w:rsidRDefault="00476619" w:rsidP="00516EF9">
      <w:pPr>
        <w:pStyle w:val="FootnoteText"/>
        <w:jc w:val="left"/>
      </w:pPr>
      <w:r w:rsidRPr="00681826">
        <w:rPr>
          <w:rStyle w:val="FootnoteReference"/>
        </w:rPr>
        <w:footnoteRef/>
      </w:r>
      <w:r w:rsidRPr="00681826">
        <w:t xml:space="preserve"> State is a strong and experienced player in “subsidies markets”, but may be weaker player in lending markets. It is reasonable to involve commercial lending sector (banks) into promotional schemes.</w:t>
      </w:r>
    </w:p>
  </w:footnote>
  <w:footnote w:id="69">
    <w:p w:rsidR="00476619" w:rsidRPr="00681826" w:rsidRDefault="00476619" w:rsidP="00516EF9">
      <w:pPr>
        <w:pStyle w:val="FootnoteText"/>
        <w:jc w:val="left"/>
      </w:pPr>
      <w:r w:rsidRPr="00681826">
        <w:rPr>
          <w:rStyle w:val="FootnoteReference"/>
        </w:rPr>
        <w:footnoteRef/>
      </w:r>
      <w:r w:rsidRPr="00681826">
        <w:t xml:space="preserve"> </w:t>
      </w:r>
      <w:proofErr w:type="gramStart"/>
      <w:r w:rsidRPr="00681826">
        <w:t>EU GPP Criteria.</w:t>
      </w:r>
      <w:proofErr w:type="gramEnd"/>
      <w:r w:rsidRPr="00681826">
        <w:t xml:space="preserve"> </w:t>
      </w:r>
      <w:proofErr w:type="gramStart"/>
      <w:r w:rsidRPr="00681826">
        <w:t>European Commission.</w:t>
      </w:r>
      <w:proofErr w:type="gramEnd"/>
      <w:r w:rsidRPr="00681826">
        <w:t xml:space="preserve"> Environment, available at </w:t>
      </w:r>
      <w:hyperlink r:id="rId39" w:history="1">
        <w:r w:rsidRPr="00681826">
          <w:rPr>
            <w:rStyle w:val="Hyperlink"/>
          </w:rPr>
          <w:t>http://ec.europa.eu/environment/gpp/eu_gpp_criteria_en.htm</w:t>
        </w:r>
      </w:hyperlink>
      <w:r w:rsidRPr="00681826">
        <w:t xml:space="preserve"> </w:t>
      </w:r>
    </w:p>
  </w:footnote>
  <w:footnote w:id="70">
    <w:p w:rsidR="00476619" w:rsidRPr="00681826" w:rsidRDefault="00476619" w:rsidP="00516EF9">
      <w:pPr>
        <w:pStyle w:val="FootnoteText"/>
        <w:jc w:val="left"/>
      </w:pPr>
      <w:r w:rsidRPr="00681826">
        <w:rPr>
          <w:rStyle w:val="FootnoteReference"/>
        </w:rPr>
        <w:footnoteRef/>
      </w:r>
      <w:r w:rsidRPr="00681826">
        <w:t xml:space="preserve"> Buying Green! </w:t>
      </w:r>
      <w:proofErr w:type="gramStart"/>
      <w:r w:rsidRPr="00681826">
        <w:t>A Handbook on Green Public Procurement.</w:t>
      </w:r>
      <w:proofErr w:type="gramEnd"/>
      <w:r w:rsidRPr="00681826">
        <w:t xml:space="preserve"> </w:t>
      </w:r>
      <w:proofErr w:type="gramStart"/>
      <w:r w:rsidRPr="00681826">
        <w:t>2nd edition.</w:t>
      </w:r>
      <w:proofErr w:type="gramEnd"/>
      <w:r w:rsidRPr="00681826">
        <w:t xml:space="preserve"> </w:t>
      </w:r>
      <w:proofErr w:type="gramStart"/>
      <w:r w:rsidRPr="00681826">
        <w:t>European Commission.</w:t>
      </w:r>
      <w:proofErr w:type="gramEnd"/>
      <w:r w:rsidRPr="00681826">
        <w:t xml:space="preserve"> 2011, available at </w:t>
      </w:r>
      <w:hyperlink r:id="rId40" w:history="1">
        <w:r w:rsidRPr="00681826">
          <w:rPr>
            <w:rStyle w:val="Hyperlink"/>
          </w:rPr>
          <w:t>http://ec.europa.eu/environment/gpp/pdf/handbook.pdf</w:t>
        </w:r>
      </w:hyperlink>
      <w:r w:rsidRPr="00681826">
        <w:t xml:space="preserve"> </w:t>
      </w:r>
    </w:p>
  </w:footnote>
  <w:footnote w:id="71">
    <w:p w:rsidR="00476619" w:rsidRPr="00681826" w:rsidRDefault="00476619" w:rsidP="00516EF9">
      <w:pPr>
        <w:pStyle w:val="FootnoteText"/>
        <w:jc w:val="left"/>
      </w:pPr>
      <w:r w:rsidRPr="00681826">
        <w:rPr>
          <w:rStyle w:val="FootnoteReference"/>
        </w:rPr>
        <w:footnoteRef/>
      </w:r>
      <w:r w:rsidRPr="00681826">
        <w:t xml:space="preserve"> </w:t>
      </w:r>
      <w:proofErr w:type="gramStart"/>
      <w:r w:rsidRPr="00681826">
        <w:t>Business Incubators.</w:t>
      </w:r>
      <w:proofErr w:type="gramEnd"/>
      <w:r w:rsidRPr="00681826">
        <w:t xml:space="preserve"> </w:t>
      </w:r>
      <w:proofErr w:type="spellStart"/>
      <w:r w:rsidRPr="00681826">
        <w:t>Swedbank</w:t>
      </w:r>
      <w:proofErr w:type="spellEnd"/>
      <w:r w:rsidRPr="00681826">
        <w:t xml:space="preserve">, available at </w:t>
      </w:r>
      <w:hyperlink r:id="rId41" w:history="1">
        <w:r w:rsidRPr="00681826">
          <w:rPr>
            <w:rStyle w:val="Hyperlink"/>
          </w:rPr>
          <w:t>https://www.swedbank.lv/en/jaundibinatiem_uznemumiem/biznesa_inkubatori/</w:t>
        </w:r>
      </w:hyperlink>
      <w:r w:rsidRPr="00681826">
        <w:t xml:space="preserve"> </w:t>
      </w:r>
    </w:p>
  </w:footnote>
  <w:footnote w:id="72">
    <w:p w:rsidR="00476619" w:rsidRPr="00681826" w:rsidRDefault="00476619" w:rsidP="00516EF9">
      <w:pPr>
        <w:pStyle w:val="FootnoteText"/>
        <w:jc w:val="left"/>
      </w:pPr>
      <w:r w:rsidRPr="00681826">
        <w:rPr>
          <w:rStyle w:val="FootnoteReference"/>
        </w:rPr>
        <w:footnoteRef/>
      </w:r>
      <w:r w:rsidRPr="00681826">
        <w:t xml:space="preserve"> </w:t>
      </w:r>
      <w:proofErr w:type="gramStart"/>
      <w:r w:rsidRPr="00681826">
        <w:t>The Value of Business Incubation and Best Practices.</w:t>
      </w:r>
      <w:proofErr w:type="gramEnd"/>
      <w:r w:rsidRPr="00681826">
        <w:t xml:space="preserve"> </w:t>
      </w:r>
      <w:proofErr w:type="gramStart"/>
      <w:r w:rsidRPr="00681826">
        <w:t>National Business Incubation Association.</w:t>
      </w:r>
      <w:proofErr w:type="gramEnd"/>
      <w:r w:rsidRPr="00681826">
        <w:t xml:space="preserve"> 2010, available at </w:t>
      </w:r>
      <w:hyperlink r:id="rId42" w:history="1">
        <w:r w:rsidRPr="00681826">
          <w:rPr>
            <w:rStyle w:val="Hyperlink"/>
          </w:rPr>
          <w:t>http://icecommittee.org/reports/Tracy_Kitts_Presentation_ICE_Nov_3_10.pdf</w:t>
        </w:r>
      </w:hyperlink>
      <w:r w:rsidRPr="00681826">
        <w:t xml:space="preserve"> </w:t>
      </w:r>
    </w:p>
  </w:footnote>
  <w:footnote w:id="73">
    <w:p w:rsidR="00476619" w:rsidRPr="00681826" w:rsidRDefault="00476619" w:rsidP="00516EF9">
      <w:pPr>
        <w:pStyle w:val="FootnoteText"/>
        <w:jc w:val="left"/>
      </w:pPr>
      <w:r w:rsidRPr="00681826">
        <w:rPr>
          <w:rStyle w:val="FootnoteReference"/>
        </w:rPr>
        <w:footnoteRef/>
      </w:r>
      <w:r w:rsidRPr="00681826">
        <w:t xml:space="preserve"> </w:t>
      </w:r>
      <w:proofErr w:type="spellStart"/>
      <w:proofErr w:type="gramStart"/>
      <w:r w:rsidRPr="00681826">
        <w:t>Lesáková</w:t>
      </w:r>
      <w:proofErr w:type="spellEnd"/>
      <w:r w:rsidRPr="00681826">
        <w:t xml:space="preserve">, </w:t>
      </w:r>
      <w:proofErr w:type="spellStart"/>
      <w:r w:rsidRPr="00681826">
        <w:t>Ľubica</w:t>
      </w:r>
      <w:proofErr w:type="spellEnd"/>
      <w:r w:rsidRPr="00681826">
        <w:t>.</w:t>
      </w:r>
      <w:proofErr w:type="gramEnd"/>
      <w:r w:rsidRPr="00681826">
        <w:t xml:space="preserve"> </w:t>
      </w:r>
      <w:proofErr w:type="gramStart"/>
      <w:r w:rsidRPr="00681826">
        <w:t>“The Role of Business Incubators in Supporting the SME Start-up”.</w:t>
      </w:r>
      <w:proofErr w:type="gramEnd"/>
      <w:r w:rsidRPr="00681826">
        <w:t xml:space="preserve"> </w:t>
      </w:r>
      <w:proofErr w:type="spellStart"/>
      <w:proofErr w:type="gramStart"/>
      <w:r w:rsidRPr="00681826">
        <w:t>Acta</w:t>
      </w:r>
      <w:proofErr w:type="spellEnd"/>
      <w:r w:rsidRPr="00681826">
        <w:t xml:space="preserve"> </w:t>
      </w:r>
      <w:proofErr w:type="spellStart"/>
      <w:r w:rsidRPr="00681826">
        <w:t>Polytechnica</w:t>
      </w:r>
      <w:proofErr w:type="spellEnd"/>
      <w:r w:rsidRPr="00681826">
        <w:t xml:space="preserve"> </w:t>
      </w:r>
      <w:proofErr w:type="spellStart"/>
      <w:r w:rsidRPr="00681826">
        <w:t>Hungarica</w:t>
      </w:r>
      <w:proofErr w:type="spellEnd"/>
      <w:r w:rsidRPr="00681826">
        <w:t>.</w:t>
      </w:r>
      <w:proofErr w:type="gramEnd"/>
      <w:r w:rsidRPr="00681826">
        <w:t xml:space="preserve"> Vol. 9, No. 3, 2012, available at </w:t>
      </w:r>
      <w:hyperlink r:id="rId43" w:history="1">
        <w:r w:rsidRPr="00681826">
          <w:rPr>
            <w:rStyle w:val="Hyperlink"/>
          </w:rPr>
          <w:t>http://www.uni-obuda.hu/journal/Lesakova_35.pdf</w:t>
        </w:r>
      </w:hyperlink>
      <w:r w:rsidRPr="00681826">
        <w:t xml:space="preserve"> </w:t>
      </w:r>
    </w:p>
  </w:footnote>
  <w:footnote w:id="74">
    <w:p w:rsidR="00476619" w:rsidRPr="00681826" w:rsidRDefault="00476619" w:rsidP="00516EF9">
      <w:pPr>
        <w:pStyle w:val="FootnoteText"/>
        <w:jc w:val="left"/>
      </w:pPr>
      <w:r w:rsidRPr="00681826">
        <w:rPr>
          <w:rStyle w:val="FootnoteReference"/>
        </w:rPr>
        <w:footnoteRef/>
      </w:r>
      <w:r w:rsidRPr="00681826">
        <w:t xml:space="preserve"> </w:t>
      </w:r>
      <w:proofErr w:type="spellStart"/>
      <w:r w:rsidRPr="00681826">
        <w:t>Meulepas</w:t>
      </w:r>
      <w:proofErr w:type="spellEnd"/>
      <w:r w:rsidRPr="00681826">
        <w:t xml:space="preserve">, Peter. </w:t>
      </w:r>
      <w:proofErr w:type="gramStart"/>
      <w:r w:rsidRPr="00681826">
        <w:t>Voluntary Agreements to Reduce SO</w:t>
      </w:r>
      <w:r w:rsidRPr="00681826">
        <w:rPr>
          <w:vertAlign w:val="subscript"/>
        </w:rPr>
        <w:t>2</w:t>
      </w:r>
      <w:r w:rsidRPr="00681826">
        <w:t xml:space="preserve"> and </w:t>
      </w:r>
      <w:proofErr w:type="spellStart"/>
      <w:r w:rsidRPr="00681826">
        <w:t>NOx</w:t>
      </w:r>
      <w:proofErr w:type="spellEnd"/>
      <w:r w:rsidRPr="00681826">
        <w:t xml:space="preserve"> Emissions of Power Stations in Flemish Region.</w:t>
      </w:r>
      <w:proofErr w:type="gramEnd"/>
      <w:r w:rsidRPr="00681826">
        <w:t xml:space="preserve"> 2013, available at </w:t>
      </w:r>
      <w:hyperlink r:id="rId44" w:history="1">
        <w:r w:rsidRPr="00681826">
          <w:rPr>
            <w:rStyle w:val="Hyperlink"/>
          </w:rPr>
          <w:t>http://www.unece.org/fileadmin/DAM/env/documents/2013/air/wgsr_51/5_Reduction_of_SO2_and_NOx_through_a_voluntary_agreement_with_the_Flemish_power_plant_sector.pdf</w:t>
        </w:r>
      </w:hyperlink>
      <w:r w:rsidRPr="00681826">
        <w:t xml:space="preserve"> </w:t>
      </w:r>
    </w:p>
  </w:footnote>
  <w:footnote w:id="75">
    <w:p w:rsidR="00476619" w:rsidRPr="00681826" w:rsidRDefault="00476619" w:rsidP="00516EF9">
      <w:pPr>
        <w:pStyle w:val="FootnoteText"/>
        <w:jc w:val="left"/>
      </w:pPr>
      <w:r w:rsidRPr="00681826">
        <w:rPr>
          <w:rStyle w:val="FootnoteReference"/>
        </w:rPr>
        <w:footnoteRef/>
      </w:r>
      <w:r w:rsidRPr="00681826">
        <w:t xml:space="preserve"> </w:t>
      </w:r>
      <w:proofErr w:type="spellStart"/>
      <w:proofErr w:type="gramStart"/>
      <w:r w:rsidRPr="00681826">
        <w:t>Bertoldi</w:t>
      </w:r>
      <w:proofErr w:type="spellEnd"/>
      <w:r w:rsidRPr="00681826">
        <w:t xml:space="preserve">, Paolo and </w:t>
      </w:r>
      <w:proofErr w:type="spellStart"/>
      <w:r w:rsidRPr="00681826">
        <w:t>Rezessy</w:t>
      </w:r>
      <w:proofErr w:type="spellEnd"/>
      <w:r w:rsidRPr="00681826">
        <w:t>, Silvia.</w:t>
      </w:r>
      <w:proofErr w:type="gramEnd"/>
      <w:r w:rsidRPr="00681826">
        <w:t xml:space="preserve"> Voluntary Agreements in the Field of Energy Efficiency and Emission Reduction: Review and Analysis of the Experience in Member States of the European Union. Joint Research Centre of the European Union, May 2010, available at </w:t>
      </w:r>
      <w:hyperlink r:id="rId45" w:history="1">
        <w:r w:rsidRPr="00681826">
          <w:rPr>
            <w:rStyle w:val="Hyperlink"/>
          </w:rPr>
          <w:t>http://ec.europa.eu/energy/efficiency/studies/doc/2010_05_jrc_va_study.pdf</w:t>
        </w:r>
      </w:hyperlink>
      <w:r w:rsidRPr="00681826">
        <w:t xml:space="preserve"> </w:t>
      </w:r>
    </w:p>
  </w:footnote>
  <w:footnote w:id="76">
    <w:p w:rsidR="00476619" w:rsidRPr="00681826" w:rsidRDefault="00476619" w:rsidP="00516EF9">
      <w:pPr>
        <w:pStyle w:val="FootnoteText"/>
        <w:jc w:val="left"/>
      </w:pPr>
      <w:r w:rsidRPr="00681826">
        <w:rPr>
          <w:rStyle w:val="FootnoteReference"/>
        </w:rPr>
        <w:footnoteRef/>
      </w:r>
      <w:r w:rsidRPr="00681826">
        <w:t xml:space="preserve"> Good Agricultural Practices. </w:t>
      </w:r>
      <w:r w:rsidRPr="00681826">
        <w:rPr>
          <w:lang w:eastAsia="en-GB"/>
        </w:rPr>
        <w:t xml:space="preserve">Food and Agriculture Organization of the United Nations, available at </w:t>
      </w:r>
      <w:hyperlink r:id="rId46" w:history="1">
        <w:r w:rsidRPr="00681826">
          <w:rPr>
            <w:rStyle w:val="Hyperlink"/>
            <w:lang w:eastAsia="en-GB"/>
          </w:rPr>
          <w:t>http://www.fao.org/prods/gap/</w:t>
        </w:r>
      </w:hyperlink>
      <w:r w:rsidRPr="00681826">
        <w:rPr>
          <w:lang w:eastAsia="en-GB"/>
        </w:rPr>
        <w:t xml:space="preserve"> </w:t>
      </w:r>
    </w:p>
  </w:footnote>
  <w:footnote w:id="77">
    <w:p w:rsidR="00476619" w:rsidRPr="00681826" w:rsidRDefault="00476619" w:rsidP="00516EF9">
      <w:pPr>
        <w:pStyle w:val="FootnoteText"/>
        <w:jc w:val="left"/>
      </w:pPr>
      <w:r w:rsidRPr="00681826">
        <w:rPr>
          <w:rStyle w:val="FootnoteReference"/>
        </w:rPr>
        <w:footnoteRef/>
      </w:r>
      <w:r w:rsidRPr="00681826">
        <w:t xml:space="preserve"> Council Directive 91/676/EEC Concerning the Protection of Waters Against Pollution Caused by Nitrates from Agricultural Sources</w:t>
      </w:r>
    </w:p>
  </w:footnote>
  <w:footnote w:id="78">
    <w:p w:rsidR="00476619" w:rsidRPr="00681826" w:rsidRDefault="00476619" w:rsidP="00516EF9">
      <w:pPr>
        <w:pStyle w:val="FootnoteText"/>
        <w:jc w:val="left"/>
      </w:pPr>
      <w:r w:rsidRPr="00681826">
        <w:rPr>
          <w:rStyle w:val="FootnoteReference"/>
        </w:rPr>
        <w:footnoteRef/>
      </w:r>
      <w:r w:rsidRPr="00681826">
        <w:t xml:space="preserve"> </w:t>
      </w:r>
      <w:proofErr w:type="gramStart"/>
      <w:r w:rsidRPr="00681826">
        <w:t>The Nitrates Directive.</w:t>
      </w:r>
      <w:proofErr w:type="gramEnd"/>
      <w:r w:rsidRPr="00681826">
        <w:t xml:space="preserve"> </w:t>
      </w:r>
      <w:proofErr w:type="gramStart"/>
      <w:r w:rsidRPr="00681826">
        <w:t>European Commission.</w:t>
      </w:r>
      <w:proofErr w:type="gramEnd"/>
      <w:r w:rsidRPr="00681826">
        <w:t xml:space="preserve"> Environment, available at </w:t>
      </w:r>
      <w:hyperlink r:id="rId47" w:history="1">
        <w:r w:rsidRPr="00681826">
          <w:rPr>
            <w:rStyle w:val="Hyperlink"/>
          </w:rPr>
          <w:t>http://ec.europa.eu/environment/water/water-nitrates/</w:t>
        </w:r>
      </w:hyperlink>
      <w:r w:rsidRPr="00681826">
        <w:t xml:space="preserve"> </w:t>
      </w:r>
    </w:p>
  </w:footnote>
  <w:footnote w:id="79">
    <w:p w:rsidR="00476619" w:rsidRPr="00681826" w:rsidRDefault="00476619" w:rsidP="00516EF9">
      <w:pPr>
        <w:pStyle w:val="FootnoteText"/>
        <w:jc w:val="left"/>
      </w:pPr>
      <w:r w:rsidRPr="00681826">
        <w:rPr>
          <w:rStyle w:val="FootnoteReference"/>
        </w:rPr>
        <w:footnoteRef/>
      </w:r>
      <w:r w:rsidRPr="00681826">
        <w:t xml:space="preserve"> The Early Transition Countries Fund, EBRD, June 2013</w:t>
      </w:r>
    </w:p>
  </w:footnote>
  <w:footnote w:id="80">
    <w:p w:rsidR="00476619" w:rsidRPr="00681826" w:rsidRDefault="00476619" w:rsidP="00516EF9">
      <w:pPr>
        <w:pStyle w:val="FootnoteText"/>
        <w:jc w:val="left"/>
      </w:pPr>
      <w:r w:rsidRPr="00681826">
        <w:rPr>
          <w:rStyle w:val="FootnoteReference"/>
        </w:rPr>
        <w:footnoteRef/>
      </w:r>
      <w:r w:rsidRPr="00681826">
        <w:t xml:space="preserve"> subject to future Council and European Parliament Agreement</w:t>
      </w:r>
    </w:p>
  </w:footnote>
  <w:footnote w:id="81">
    <w:p w:rsidR="00476619" w:rsidRPr="00681826" w:rsidRDefault="00476619" w:rsidP="00516EF9">
      <w:pPr>
        <w:pStyle w:val="FootnoteText"/>
        <w:jc w:val="left"/>
      </w:pPr>
      <w:r w:rsidRPr="00681826">
        <w:rPr>
          <w:rStyle w:val="FootnoteReference"/>
        </w:rPr>
        <w:footnoteRef/>
      </w:r>
      <w:r w:rsidRPr="00681826">
        <w:t xml:space="preserve"> What Is an Environmental Management System? </w:t>
      </w:r>
      <w:proofErr w:type="gramStart"/>
      <w:r w:rsidRPr="00681826">
        <w:t>European Commission.</w:t>
      </w:r>
      <w:proofErr w:type="gramEnd"/>
      <w:r w:rsidRPr="00681826">
        <w:t xml:space="preserve"> Environment, available at </w:t>
      </w:r>
      <w:hyperlink r:id="rId48" w:history="1">
        <w:r w:rsidRPr="00681826">
          <w:rPr>
            <w:rStyle w:val="Hyperlink"/>
          </w:rPr>
          <w:t>http://ec.europa.eu/environment/emas/about/enviro_en.htm</w:t>
        </w:r>
      </w:hyperlink>
      <w:r w:rsidRPr="00681826">
        <w:t xml:space="preserve"> </w:t>
      </w:r>
    </w:p>
  </w:footnote>
  <w:footnote w:id="82">
    <w:p w:rsidR="00476619" w:rsidRPr="00681826" w:rsidRDefault="00476619" w:rsidP="00516EF9">
      <w:pPr>
        <w:pStyle w:val="FootnoteText"/>
        <w:jc w:val="left"/>
      </w:pPr>
      <w:r w:rsidRPr="00681826">
        <w:rPr>
          <w:rStyle w:val="FootnoteReference"/>
        </w:rPr>
        <w:footnoteRef/>
      </w:r>
      <w:r w:rsidRPr="00681826">
        <w:t xml:space="preserve"> </w:t>
      </w:r>
      <w:proofErr w:type="gramStart"/>
      <w:r w:rsidRPr="00681826">
        <w:t>ISO 14001 – Environmental Management.</w:t>
      </w:r>
      <w:proofErr w:type="gramEnd"/>
      <w:r w:rsidRPr="00681826">
        <w:t xml:space="preserve"> ISO, available at </w:t>
      </w:r>
      <w:hyperlink r:id="rId49" w:history="1">
        <w:r w:rsidRPr="00681826">
          <w:rPr>
            <w:rStyle w:val="Hyperlink"/>
          </w:rPr>
          <w:t>http://www.iso.org/iso/home/standards/management-standards/iso14000.htm</w:t>
        </w:r>
      </w:hyperlink>
      <w:r w:rsidRPr="00681826">
        <w:t xml:space="preserve"> </w:t>
      </w:r>
    </w:p>
  </w:footnote>
  <w:footnote w:id="83">
    <w:p w:rsidR="00476619" w:rsidRPr="00681826" w:rsidRDefault="00476619" w:rsidP="00516EF9">
      <w:pPr>
        <w:pStyle w:val="FootnoteText"/>
        <w:jc w:val="left"/>
      </w:pPr>
      <w:r w:rsidRPr="00681826">
        <w:rPr>
          <w:rStyle w:val="FootnoteReference"/>
        </w:rPr>
        <w:footnoteRef/>
      </w:r>
      <w:r w:rsidRPr="00681826">
        <w:t xml:space="preserve"> </w:t>
      </w:r>
      <w:proofErr w:type="gramStart"/>
      <w:r w:rsidRPr="00681826">
        <w:t>EMAS.</w:t>
      </w:r>
      <w:proofErr w:type="gramEnd"/>
      <w:r w:rsidRPr="00681826">
        <w:t xml:space="preserve"> </w:t>
      </w:r>
      <w:proofErr w:type="gramStart"/>
      <w:r w:rsidRPr="00681826">
        <w:t>European Commission.</w:t>
      </w:r>
      <w:proofErr w:type="gramEnd"/>
      <w:r w:rsidRPr="00681826">
        <w:t xml:space="preserve"> Environment, available at </w:t>
      </w:r>
      <w:hyperlink r:id="rId50" w:history="1">
        <w:r w:rsidRPr="00681826">
          <w:rPr>
            <w:rStyle w:val="Hyperlink"/>
          </w:rPr>
          <w:t>http://ec.europa.eu/environment/emas/index_en.htm</w:t>
        </w:r>
      </w:hyperlink>
      <w:r w:rsidRPr="00681826">
        <w:t xml:space="preserve"> </w:t>
      </w:r>
    </w:p>
  </w:footnote>
  <w:footnote w:id="84">
    <w:p w:rsidR="00476619" w:rsidRPr="00681826" w:rsidRDefault="00476619" w:rsidP="00516EF9">
      <w:pPr>
        <w:pStyle w:val="FootnoteText"/>
        <w:jc w:val="left"/>
      </w:pPr>
      <w:r w:rsidRPr="00681826">
        <w:rPr>
          <w:rStyle w:val="FootnoteReference"/>
        </w:rPr>
        <w:footnoteRef/>
      </w:r>
      <w:r w:rsidRPr="00681826">
        <w:t xml:space="preserve"> What Is an Environmental Management System? </w:t>
      </w:r>
      <w:proofErr w:type="gramStart"/>
      <w:r w:rsidRPr="00681826">
        <w:t>European Commission.</w:t>
      </w:r>
      <w:proofErr w:type="gramEnd"/>
      <w:r w:rsidRPr="00681826">
        <w:t xml:space="preserve"> Environment, available at </w:t>
      </w:r>
      <w:hyperlink r:id="rId51" w:history="1">
        <w:r w:rsidRPr="00681826">
          <w:rPr>
            <w:rStyle w:val="Hyperlink"/>
          </w:rPr>
          <w:t>http://ec.europa.eu/environment/emas/about/enviro_en.htm</w:t>
        </w:r>
      </w:hyperlink>
      <w:r w:rsidRPr="00681826">
        <w:t xml:space="preserve"> </w:t>
      </w:r>
    </w:p>
  </w:footnote>
  <w:footnote w:id="85">
    <w:p w:rsidR="00476619" w:rsidRPr="00681826" w:rsidRDefault="00476619" w:rsidP="00516EF9">
      <w:pPr>
        <w:pStyle w:val="FootnoteText"/>
        <w:jc w:val="left"/>
      </w:pPr>
      <w:r w:rsidRPr="00681826">
        <w:rPr>
          <w:rStyle w:val="FootnoteReference"/>
        </w:rPr>
        <w:footnoteRef/>
      </w:r>
      <w:r w:rsidRPr="00681826">
        <w:t xml:space="preserve"> Green Behaviour Encouraged through Strengthened Environmental Self-Identity. </w:t>
      </w:r>
      <w:proofErr w:type="gramStart"/>
      <w:r w:rsidRPr="00681826">
        <w:t>Science for Environment Policy.</w:t>
      </w:r>
      <w:proofErr w:type="gramEnd"/>
      <w:r w:rsidRPr="00681826">
        <w:t xml:space="preserve"> European Commission DG Environment News Alert Service, edited by SCU, The University of the West of England, Bristol. Issue 353, December 5, 2013, available at </w:t>
      </w:r>
      <w:hyperlink r:id="rId52" w:history="1">
        <w:r w:rsidRPr="00681826">
          <w:rPr>
            <w:rStyle w:val="Hyperlink"/>
          </w:rPr>
          <w:t>http://ec.europa.eu/environment/integration/research/newsalert/pdf/353na5.pdf</w:t>
        </w:r>
      </w:hyperlink>
      <w:r w:rsidRPr="00681826">
        <w:t xml:space="preserve"> </w:t>
      </w:r>
    </w:p>
  </w:footnote>
  <w:footnote w:id="86">
    <w:p w:rsidR="00476619" w:rsidRPr="00681826" w:rsidRDefault="00476619" w:rsidP="00516EF9">
      <w:pPr>
        <w:pStyle w:val="FootnoteText"/>
        <w:jc w:val="left"/>
      </w:pPr>
      <w:r w:rsidRPr="00681826">
        <w:rPr>
          <w:rStyle w:val="FootnoteReference"/>
        </w:rPr>
        <w:footnoteRef/>
      </w:r>
      <w:r w:rsidRPr="00681826">
        <w:t xml:space="preserve"> The Big Cleanup Over All Latvia, available at </w:t>
      </w:r>
      <w:hyperlink r:id="rId53" w:history="1">
        <w:r w:rsidRPr="00681826">
          <w:rPr>
            <w:rStyle w:val="Hyperlink"/>
          </w:rPr>
          <w:t>http://www.talkas.lv/?lng=en</w:t>
        </w:r>
      </w:hyperlink>
      <w:r w:rsidRPr="00681826">
        <w:t xml:space="preserve"> </w:t>
      </w:r>
    </w:p>
  </w:footnote>
  <w:footnote w:id="87">
    <w:p w:rsidR="00476619" w:rsidRPr="00681826" w:rsidRDefault="00476619" w:rsidP="00516EF9">
      <w:pPr>
        <w:pStyle w:val="FootnoteText"/>
        <w:jc w:val="left"/>
      </w:pPr>
      <w:r w:rsidRPr="00681826">
        <w:rPr>
          <w:rStyle w:val="FootnoteReference"/>
        </w:rPr>
        <w:footnoteRef/>
      </w:r>
      <w:r w:rsidRPr="00681826">
        <w:t xml:space="preserve"> Let’s Do It! available at </w:t>
      </w:r>
      <w:hyperlink r:id="rId54" w:history="1">
        <w:r w:rsidRPr="00681826">
          <w:rPr>
            <w:rStyle w:val="Hyperlink"/>
          </w:rPr>
          <w:t>http://www.letsdoitworld.org/</w:t>
        </w:r>
      </w:hyperlink>
      <w:r w:rsidRPr="00681826">
        <w:t xml:space="preserve"> </w:t>
      </w:r>
    </w:p>
  </w:footnote>
  <w:footnote w:id="88">
    <w:p w:rsidR="00476619" w:rsidRPr="00681826" w:rsidRDefault="00476619" w:rsidP="00516EF9">
      <w:pPr>
        <w:pStyle w:val="FootnoteText"/>
        <w:jc w:val="left"/>
      </w:pPr>
      <w:r w:rsidRPr="00681826">
        <w:rPr>
          <w:rStyle w:val="FootnoteReference"/>
        </w:rPr>
        <w:footnoteRef/>
      </w:r>
      <w:r w:rsidRPr="00681826">
        <w:t xml:space="preserve"> What are LEZs? Low Emission Zones in Europe, available at </w:t>
      </w:r>
      <w:hyperlink r:id="rId55" w:history="1">
        <w:r w:rsidRPr="00681826">
          <w:rPr>
            <w:rStyle w:val="Hyperlink"/>
          </w:rPr>
          <w:t>http://www.lowemissionzones.eu/what-are-lezs</w:t>
        </w:r>
      </w:hyperlink>
      <w:r w:rsidRPr="00681826">
        <w:t xml:space="preserve"> </w:t>
      </w:r>
    </w:p>
  </w:footnote>
  <w:footnote w:id="89">
    <w:p w:rsidR="00476619" w:rsidRPr="00681826" w:rsidRDefault="00476619" w:rsidP="00516EF9">
      <w:pPr>
        <w:pStyle w:val="FootnoteText"/>
        <w:jc w:val="left"/>
      </w:pPr>
      <w:r w:rsidRPr="00681826">
        <w:rPr>
          <w:rStyle w:val="FootnoteReference"/>
        </w:rPr>
        <w:footnoteRef/>
      </w:r>
      <w:r w:rsidRPr="00681826">
        <w:t xml:space="preserve"> </w:t>
      </w:r>
      <w:proofErr w:type="gramStart"/>
      <w:r w:rsidRPr="00681826">
        <w:t>Euro and Emissions Standards.</w:t>
      </w:r>
      <w:proofErr w:type="gramEnd"/>
      <w:r w:rsidRPr="00681826">
        <w:t xml:space="preserve"> Low Emission Zones in Europe, available at </w:t>
      </w:r>
      <w:hyperlink r:id="rId56" w:history="1">
        <w:r w:rsidRPr="00681826">
          <w:rPr>
            <w:rStyle w:val="Hyperlink"/>
          </w:rPr>
          <w:t>http://www.lowemissionzones.eu/what-are-lezs?showall=&amp;start=4</w:t>
        </w:r>
      </w:hyperlink>
      <w:r w:rsidRPr="00681826">
        <w:t xml:space="preserve"> </w:t>
      </w:r>
    </w:p>
  </w:footnote>
  <w:footnote w:id="90">
    <w:p w:rsidR="00476619" w:rsidRPr="00681826" w:rsidRDefault="00476619" w:rsidP="00516EF9">
      <w:pPr>
        <w:pStyle w:val="FootnoteText"/>
        <w:jc w:val="left"/>
      </w:pPr>
      <w:r w:rsidRPr="00681826">
        <w:rPr>
          <w:rStyle w:val="FootnoteReference"/>
        </w:rPr>
        <w:footnoteRef/>
      </w:r>
      <w:r w:rsidRPr="00681826">
        <w:t xml:space="preserve"> Parking lots with connections to public transport that allow people headed to city centres to leave their vehicles and transfer to a public transport.</w:t>
      </w:r>
    </w:p>
  </w:footnote>
  <w:footnote w:id="91">
    <w:p w:rsidR="00476619" w:rsidRPr="00681826" w:rsidRDefault="00476619" w:rsidP="00516EF9">
      <w:pPr>
        <w:pStyle w:val="FootnoteText"/>
        <w:jc w:val="left"/>
      </w:pPr>
      <w:r w:rsidRPr="00681826">
        <w:rPr>
          <w:rStyle w:val="FootnoteReference"/>
        </w:rPr>
        <w:footnoteRef/>
      </w:r>
      <w:r w:rsidRPr="00681826">
        <w:t xml:space="preserve"> A drop-off point, where private vehicles can stop and drop-off (or pick up) passengers, who continue the way using other means of transport – usually public transport, as trains, buses. </w:t>
      </w:r>
    </w:p>
  </w:footnote>
  <w:footnote w:id="92">
    <w:p w:rsidR="00476619" w:rsidRPr="00681826" w:rsidRDefault="00476619">
      <w:pPr>
        <w:pStyle w:val="FootnoteText"/>
      </w:pPr>
      <w:r w:rsidRPr="00681826">
        <w:rPr>
          <w:rStyle w:val="FootnoteReference"/>
        </w:rPr>
        <w:footnoteRef/>
      </w:r>
      <w:r w:rsidRPr="00681826">
        <w:t xml:space="preserve"> Park and Ride, available at </w:t>
      </w:r>
      <w:hyperlink r:id="rId57" w:history="1">
        <w:r w:rsidRPr="00681826">
          <w:rPr>
            <w:rStyle w:val="Hyperlink"/>
            <w:rFonts w:cs="Times New Roman"/>
            <w:sz w:val="18"/>
            <w:szCs w:val="18"/>
          </w:rPr>
          <w:t>http://en.wikipedia.org/wiki/Park_and_ride</w:t>
        </w:r>
      </w:hyperlink>
      <w:r w:rsidRPr="00681826">
        <w:t xml:space="preserve"> </w:t>
      </w:r>
    </w:p>
  </w:footnote>
  <w:footnote w:id="93">
    <w:p w:rsidR="00476619" w:rsidRPr="00681826" w:rsidRDefault="00476619">
      <w:pPr>
        <w:pStyle w:val="FootnoteText"/>
      </w:pPr>
      <w:r w:rsidRPr="00681826">
        <w:rPr>
          <w:rStyle w:val="FootnoteReference"/>
        </w:rPr>
        <w:footnoteRef/>
      </w:r>
      <w:r w:rsidRPr="00681826">
        <w:t xml:space="preserve"> Kiss and Ride, available at </w:t>
      </w:r>
      <w:hyperlink r:id="rId58" w:history="1">
        <w:r w:rsidRPr="00681826">
          <w:rPr>
            <w:rStyle w:val="Hyperlink"/>
            <w:rFonts w:cs="Times New Roman"/>
            <w:sz w:val="18"/>
            <w:szCs w:val="18"/>
          </w:rPr>
          <w:t>http://www.meinbezirk.at/eisenstadt/leute/kiss-and-ride-bahnfahrer-kuessen-besser-d437212.html</w:t>
        </w:r>
      </w:hyperlink>
      <w:r w:rsidRPr="00681826">
        <w:t xml:space="preserve"> </w:t>
      </w:r>
    </w:p>
  </w:footnote>
  <w:footnote w:id="94">
    <w:p w:rsidR="00476619" w:rsidRPr="00681826" w:rsidRDefault="00476619" w:rsidP="00516EF9">
      <w:pPr>
        <w:pStyle w:val="FootnoteText"/>
        <w:jc w:val="left"/>
      </w:pPr>
      <w:r w:rsidRPr="00681826">
        <w:rPr>
          <w:rStyle w:val="FootnoteReference"/>
        </w:rPr>
        <w:footnoteRef/>
      </w:r>
      <w:r w:rsidRPr="00681826">
        <w:t xml:space="preserve"> Faber, Jasper et al. “Behavioural Climate Change Mitigation Options and Their Appropriate Inclusion in Quantitative Longer Term Policy Scenarios”. April, 2012, available at </w:t>
      </w:r>
      <w:hyperlink r:id="rId59" w:history="1">
        <w:r w:rsidRPr="00681826">
          <w:rPr>
            <w:rStyle w:val="Hyperlink"/>
          </w:rPr>
          <w:t>http://ec.europa.eu/clima/policies/roadmap/docs/main_report_en.pdf</w:t>
        </w:r>
      </w:hyperlink>
      <w:r w:rsidRPr="00681826">
        <w:t xml:space="preserve"> </w:t>
      </w:r>
    </w:p>
  </w:footnote>
  <w:footnote w:id="95">
    <w:p w:rsidR="00476619" w:rsidRPr="00681826" w:rsidRDefault="00476619" w:rsidP="00516EF9">
      <w:pPr>
        <w:pStyle w:val="FootnoteText"/>
        <w:jc w:val="left"/>
      </w:pPr>
      <w:r w:rsidRPr="00681826">
        <w:rPr>
          <w:rStyle w:val="FootnoteReference"/>
        </w:rPr>
        <w:footnoteRef/>
      </w:r>
      <w:r w:rsidRPr="00681826">
        <w:t xml:space="preserve"> Ibid.</w:t>
      </w:r>
    </w:p>
  </w:footnote>
  <w:footnote w:id="96">
    <w:p w:rsidR="00476619" w:rsidRPr="00681826" w:rsidRDefault="00476619" w:rsidP="00516EF9">
      <w:pPr>
        <w:pStyle w:val="FootnoteText"/>
        <w:jc w:val="left"/>
      </w:pPr>
      <w:r w:rsidRPr="00681826">
        <w:rPr>
          <w:rStyle w:val="FootnoteReference"/>
        </w:rPr>
        <w:footnoteRef/>
      </w:r>
      <w:r w:rsidRPr="00681826">
        <w:t xml:space="preserve"> </w:t>
      </w:r>
      <w:proofErr w:type="spellStart"/>
      <w:r w:rsidRPr="00681826">
        <w:t>Lindqvist</w:t>
      </w:r>
      <w:proofErr w:type="spellEnd"/>
      <w:r w:rsidRPr="00681826">
        <w:t xml:space="preserve">, </w:t>
      </w:r>
      <w:proofErr w:type="spellStart"/>
      <w:r w:rsidRPr="00681826">
        <w:t>Kajsa</w:t>
      </w:r>
      <w:proofErr w:type="spellEnd"/>
      <w:r w:rsidRPr="00681826">
        <w:t xml:space="preserve">. </w:t>
      </w:r>
      <w:proofErr w:type="gramStart"/>
      <w:r w:rsidRPr="00681826">
        <w:t>“Great Potential for Changing Behaviour”.</w:t>
      </w:r>
      <w:proofErr w:type="gramEnd"/>
      <w:r w:rsidRPr="00681826">
        <w:t xml:space="preserve"> Acid News, No. 4, December 2012</w:t>
      </w:r>
    </w:p>
  </w:footnote>
  <w:footnote w:id="97">
    <w:p w:rsidR="00476619" w:rsidRPr="00681826" w:rsidRDefault="00476619" w:rsidP="00516EF9">
      <w:pPr>
        <w:pStyle w:val="FootnoteText"/>
        <w:jc w:val="left"/>
      </w:pPr>
      <w:r w:rsidRPr="00681826">
        <w:rPr>
          <w:rStyle w:val="FootnoteReference"/>
        </w:rPr>
        <w:footnoteRef/>
      </w:r>
      <w:r w:rsidRPr="00681826">
        <w:t xml:space="preserve"> Faber, Jasper et al. “Behavioural Climate Change Mitigation Options and Their Appropriate Inclusion in Quantitative Longer Term Policy Scenarios”. April, 2012, available at </w:t>
      </w:r>
      <w:hyperlink r:id="rId60" w:history="1">
        <w:r w:rsidRPr="00681826">
          <w:rPr>
            <w:rStyle w:val="Hyperlink"/>
          </w:rPr>
          <w:t>http://ec.europa.eu/clima/policies/roadmap/docs/main_report_en.pdf</w:t>
        </w:r>
      </w:hyperlink>
      <w:r w:rsidRPr="00681826">
        <w:t xml:space="preserve"> </w:t>
      </w:r>
    </w:p>
  </w:footnote>
  <w:footnote w:id="98">
    <w:p w:rsidR="00476619" w:rsidRPr="00681826" w:rsidRDefault="00476619" w:rsidP="00516EF9">
      <w:pPr>
        <w:pStyle w:val="FootnoteText"/>
        <w:jc w:val="left"/>
      </w:pPr>
      <w:r w:rsidRPr="00681826">
        <w:rPr>
          <w:rStyle w:val="FootnoteReference"/>
        </w:rPr>
        <w:footnoteRef/>
      </w:r>
      <w:r w:rsidRPr="00681826">
        <w:t xml:space="preserve"> Ibid.</w:t>
      </w:r>
    </w:p>
  </w:footnote>
  <w:footnote w:id="99">
    <w:p w:rsidR="00476619" w:rsidRPr="00681826" w:rsidRDefault="00476619" w:rsidP="00516EF9">
      <w:pPr>
        <w:pStyle w:val="FootnoteText"/>
        <w:jc w:val="left"/>
      </w:pPr>
      <w:r w:rsidRPr="00681826">
        <w:rPr>
          <w:rStyle w:val="FootnoteReference"/>
        </w:rPr>
        <w:footnoteRef/>
      </w:r>
      <w:r w:rsidRPr="00681826">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619" w:rsidRPr="004C7211" w:rsidRDefault="00476619" w:rsidP="00836269">
    <w:pPr>
      <w:pStyle w:val="Header"/>
    </w:pPr>
    <w:fldSimple w:instr=" STYLEREF  &quot;Cover Title 1&quot;  \* MERGEFORMAT ">
      <w:r w:rsidRPr="00786416">
        <w:rPr>
          <w:b/>
          <w:bCs/>
        </w:rPr>
        <w:t>Air Quality Governance in the ENPI East</w:t>
      </w:r>
      <w:r>
        <w:t xml:space="preserve"> Countries</w:t>
      </w:r>
    </w:fldSimple>
    <w:r>
      <w:tab/>
    </w:r>
    <w:fldSimple w:instr=" STYLEREF  &quot;Cover contract Number&quot;  \* MERGEFORMAT ">
      <w:r>
        <w:t>Contract number 2010/232-231</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619" w:rsidRPr="00791588" w:rsidRDefault="00791588" w:rsidP="00791588">
    <w:pPr>
      <w:pStyle w:val="Header"/>
      <w:pBdr>
        <w:bottom w:val="single" w:sz="2" w:space="3" w:color="auto"/>
      </w:pBdr>
      <w:tabs>
        <w:tab w:val="clear" w:pos="9356"/>
        <w:tab w:val="right" w:pos="5580"/>
      </w:tabs>
    </w:pPr>
    <w:r>
      <w:t xml:space="preserve">A ir Quality Governance </w:t>
    </w:r>
    <w:r>
      <w:t>in the ENPI East countries</w:t>
    </w:r>
    <w:r>
      <w:tab/>
    </w:r>
    <w:r>
      <w:tab/>
    </w:r>
    <w:r>
      <w:tab/>
    </w:r>
    <w:r>
      <w:tab/>
    </w:r>
    <w:r>
      <w:tab/>
    </w:r>
    <w:r>
      <w:fldChar w:fldCharType="begin"/>
    </w:r>
    <w:r>
      <w:instrText xml:space="preserve"> STYLEREF  "Cover contract Number"  \* MERGEFORMAT </w:instrText>
    </w:r>
    <w:r>
      <w:fldChar w:fldCharType="separate"/>
    </w:r>
    <w:r>
      <w:t>Contract number 2010/232-231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619" w:rsidRDefault="00476619" w:rsidP="00D1144F">
    <w:pPr>
      <w:pStyle w:val="Header"/>
      <w:pBdr>
        <w:bottom w:val="none" w:sz="0" w:space="0" w:color="auto"/>
      </w:pBdr>
    </w:pPr>
    <w:r>
      <w:rPr>
        <w:lang w:val="en-GB" w:eastAsia="en-GB"/>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2850" cy="10706100"/>
          <wp:effectExtent l="19050" t="0" r="0" b="0"/>
          <wp:wrapNone/>
          <wp:docPr id="1" name="Picture 1" descr="EU Report Bck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 Report Bckgr"/>
                  <pic:cNvPicPr>
                    <a:picLocks noChangeAspect="1" noChangeArrowheads="1"/>
                  </pic:cNvPicPr>
                </pic:nvPicPr>
                <pic:blipFill>
                  <a:blip r:embed="rId1"/>
                  <a:srcRect/>
                  <a:stretch>
                    <a:fillRect/>
                  </a:stretch>
                </pic:blipFill>
                <pic:spPr bwMode="auto">
                  <a:xfrm>
                    <a:off x="0" y="0"/>
                    <a:ext cx="7562850" cy="1070610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619" w:rsidRDefault="00476619">
    <w:pPr>
      <w:pStyle w:val="TableTex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E3040"/>
    <w:multiLevelType w:val="multilevel"/>
    <w:tmpl w:val="9788E0EA"/>
    <w:lvl w:ilvl="0">
      <w:start w:val="1"/>
      <w:numFmt w:val="decimal"/>
      <w:pStyle w:val="AppH1"/>
      <w:lvlText w:val="Annex %1."/>
      <w:lvlJc w:val="left"/>
      <w:pPr>
        <w:tabs>
          <w:tab w:val="num" w:pos="1134"/>
        </w:tabs>
        <w:ind w:left="0" w:firstLine="0"/>
      </w:pPr>
      <w:rPr>
        <w:rFonts w:hint="default"/>
        <w:sz w:val="24"/>
        <w:szCs w:val="24"/>
      </w:rPr>
    </w:lvl>
    <w:lvl w:ilvl="1">
      <w:start w:val="1"/>
      <w:numFmt w:val="decimal"/>
      <w:pStyle w:val="AppH2"/>
      <w:lvlText w:val="%2."/>
      <w:lvlJc w:val="left"/>
      <w:pPr>
        <w:tabs>
          <w:tab w:val="num" w:pos="360"/>
        </w:tabs>
        <w:ind w:left="284" w:hanging="284"/>
      </w:pPr>
      <w:rPr>
        <w:rFonts w:hint="default"/>
      </w:rPr>
    </w:lvl>
    <w:lvl w:ilvl="2">
      <w:start w:val="1"/>
      <w:numFmt w:val="decimal"/>
      <w:pStyle w:val="AppH3"/>
      <w:lvlText w:val="%2.%3."/>
      <w:lvlJc w:val="left"/>
      <w:pPr>
        <w:tabs>
          <w:tab w:val="num" w:pos="425"/>
        </w:tabs>
        <w:ind w:left="425" w:hanging="425"/>
      </w:pPr>
      <w:rPr>
        <w:rFonts w:hint="default"/>
      </w:rPr>
    </w:lvl>
    <w:lvl w:ilvl="3">
      <w:start w:val="1"/>
      <w:numFmt w:val="none"/>
      <w:pStyle w:val="AppH4"/>
      <w:suff w:val="nothing"/>
      <w:lvlText w:val=""/>
      <w:lvlJc w:val="left"/>
      <w:pPr>
        <w:ind w:left="0" w:firstLine="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nsid w:val="0C6B129B"/>
    <w:multiLevelType w:val="hybridMultilevel"/>
    <w:tmpl w:val="E9C483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E353218"/>
    <w:multiLevelType w:val="hybridMultilevel"/>
    <w:tmpl w:val="1C82ED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0EB605F2"/>
    <w:multiLevelType w:val="hybridMultilevel"/>
    <w:tmpl w:val="A10A690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0EC557BF"/>
    <w:multiLevelType w:val="hybridMultilevel"/>
    <w:tmpl w:val="0E44BCEA"/>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102178A0"/>
    <w:multiLevelType w:val="hybridMultilevel"/>
    <w:tmpl w:val="2D160DD4"/>
    <w:lvl w:ilvl="0" w:tplc="00561C02">
      <w:start w:val="1"/>
      <w:numFmt w:val="bullet"/>
      <w:pStyle w:val="tablebullets"/>
      <w:lvlText w:val=""/>
      <w:lvlJc w:val="left"/>
      <w:pPr>
        <w:tabs>
          <w:tab w:val="num" w:pos="227"/>
        </w:tabs>
        <w:ind w:left="227" w:hanging="227"/>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7E5A9C"/>
    <w:multiLevelType w:val="hybridMultilevel"/>
    <w:tmpl w:val="2C147312"/>
    <w:lvl w:ilvl="0" w:tplc="04260001">
      <w:start w:val="1"/>
      <w:numFmt w:val="bullet"/>
      <w:lvlText w:val=""/>
      <w:lvlJc w:val="left"/>
      <w:pPr>
        <w:ind w:left="720" w:hanging="360"/>
      </w:pPr>
      <w:rPr>
        <w:rFonts w:ascii="Symbol" w:hAnsi="Symbol" w:hint="default"/>
      </w:rPr>
    </w:lvl>
    <w:lvl w:ilvl="1" w:tplc="16A4F1E2">
      <w:numFmt w:val="bullet"/>
      <w:lvlText w:val="-"/>
      <w:lvlJc w:val="left"/>
      <w:pPr>
        <w:ind w:left="1440" w:hanging="360"/>
      </w:pPr>
      <w:rPr>
        <w:rFonts w:ascii="Calibri" w:eastAsia="Calibri" w:hAnsi="Calibri" w:cs="Calibri"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14327BC0"/>
    <w:multiLevelType w:val="hybridMultilevel"/>
    <w:tmpl w:val="856E56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6CA6886"/>
    <w:multiLevelType w:val="hybridMultilevel"/>
    <w:tmpl w:val="B1A8FD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94D5A9D"/>
    <w:multiLevelType w:val="hybridMultilevel"/>
    <w:tmpl w:val="225A5A4E"/>
    <w:lvl w:ilvl="0" w:tplc="EDE40760">
      <w:start w:val="1"/>
      <w:numFmt w:val="bullet"/>
      <w:pStyle w:val="Tablebullets0"/>
      <w:lvlText w:val=""/>
      <w:lvlJc w:val="left"/>
      <w:pPr>
        <w:tabs>
          <w:tab w:val="num" w:pos="170"/>
        </w:tabs>
        <w:ind w:left="17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963AC4"/>
    <w:multiLevelType w:val="hybridMultilevel"/>
    <w:tmpl w:val="7B304C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19C41726"/>
    <w:multiLevelType w:val="multilevel"/>
    <w:tmpl w:val="8314FFCE"/>
    <w:lvl w:ilvl="0">
      <w:start w:val="1"/>
      <w:numFmt w:val="bullet"/>
      <w:pStyle w:val="Bullet1"/>
      <w:lvlText w:val=""/>
      <w:lvlJc w:val="left"/>
      <w:pPr>
        <w:tabs>
          <w:tab w:val="num" w:pos="284"/>
        </w:tabs>
        <w:ind w:left="284" w:hanging="284"/>
      </w:pPr>
      <w:rPr>
        <w:rFonts w:ascii="Symbol" w:hAnsi="Symbol" w:hint="default"/>
        <w:color w:val="0084B6"/>
      </w:rPr>
    </w:lvl>
    <w:lvl w:ilvl="1">
      <w:start w:val="1"/>
      <w:numFmt w:val="bullet"/>
      <w:pStyle w:val="Bullet2"/>
      <w:lvlText w:val=""/>
      <w:lvlJc w:val="left"/>
      <w:pPr>
        <w:tabs>
          <w:tab w:val="num" w:pos="709"/>
        </w:tabs>
        <w:ind w:left="709" w:hanging="284"/>
      </w:pPr>
      <w:rPr>
        <w:rFonts w:ascii="Symbol" w:hAnsi="Symbol" w:hint="default"/>
        <w:color w:val="808080"/>
      </w:rPr>
    </w:lvl>
    <w:lvl w:ilvl="2">
      <w:start w:val="1"/>
      <w:numFmt w:val="bullet"/>
      <w:pStyle w:val="Bullet3"/>
      <w:lvlText w:val="-"/>
      <w:lvlJc w:val="left"/>
      <w:pPr>
        <w:tabs>
          <w:tab w:val="num" w:pos="851"/>
        </w:tabs>
        <w:ind w:left="851" w:hanging="142"/>
      </w:pPr>
      <w:rPr>
        <w:rFonts w:ascii="Calibri" w:hAnsi="Calibri"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B9C588C"/>
    <w:multiLevelType w:val="hybridMultilevel"/>
    <w:tmpl w:val="63344B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1D3B202F"/>
    <w:multiLevelType w:val="multilevel"/>
    <w:tmpl w:val="D3E81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FA02A0"/>
    <w:multiLevelType w:val="hybridMultilevel"/>
    <w:tmpl w:val="E04C4D46"/>
    <w:lvl w:ilvl="0" w:tplc="FF5E5138">
      <w:start w:val="1"/>
      <w:numFmt w:val="decimal"/>
      <w:pStyle w:val="FigureTitle"/>
      <w:lvlText w:val="Figure %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174EDF"/>
    <w:multiLevelType w:val="hybridMultilevel"/>
    <w:tmpl w:val="B034628A"/>
    <w:lvl w:ilvl="0" w:tplc="0426000F">
      <w:start w:val="1"/>
      <w:numFmt w:val="decimal"/>
      <w:lvlText w:val="%1."/>
      <w:lvlJc w:val="left"/>
      <w:pPr>
        <w:ind w:left="720" w:hanging="360"/>
      </w:pPr>
      <w:rPr>
        <w:rFonts w:hint="default"/>
      </w:rPr>
    </w:lvl>
    <w:lvl w:ilvl="1" w:tplc="E22AF194">
      <w:numFmt w:val="bullet"/>
      <w:lvlText w:val="•"/>
      <w:lvlJc w:val="left"/>
      <w:pPr>
        <w:ind w:left="1440" w:hanging="360"/>
      </w:pPr>
      <w:rPr>
        <w:rFonts w:ascii="Calibri" w:eastAsia="Calibri" w:hAnsi="Calibri" w:cs="Calibri"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26E73769"/>
    <w:multiLevelType w:val="hybridMultilevel"/>
    <w:tmpl w:val="F16C73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27C60DB4"/>
    <w:multiLevelType w:val="hybridMultilevel"/>
    <w:tmpl w:val="7CAE932E"/>
    <w:lvl w:ilvl="0" w:tplc="0405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B1F1056"/>
    <w:multiLevelType w:val="hybridMultilevel"/>
    <w:tmpl w:val="DEB2F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2C0275EA"/>
    <w:multiLevelType w:val="hybridMultilevel"/>
    <w:tmpl w:val="B86825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32D84441"/>
    <w:multiLevelType w:val="hybridMultilevel"/>
    <w:tmpl w:val="59241D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3BD774FC"/>
    <w:multiLevelType w:val="hybridMultilevel"/>
    <w:tmpl w:val="840C38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3B7067D"/>
    <w:multiLevelType w:val="hybridMultilevel"/>
    <w:tmpl w:val="42DAF6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48006CC5"/>
    <w:multiLevelType w:val="hybridMultilevel"/>
    <w:tmpl w:val="2698FD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C400B12"/>
    <w:multiLevelType w:val="multilevel"/>
    <w:tmpl w:val="1CCAF078"/>
    <w:lvl w:ilvl="0">
      <w:start w:val="1"/>
      <w:numFmt w:val="decimal"/>
      <w:pStyle w:val="Heading1"/>
      <w:lvlText w:val="%1."/>
      <w:lvlJc w:val="left"/>
      <w:pPr>
        <w:tabs>
          <w:tab w:val="num" w:pos="425"/>
        </w:tabs>
        <w:ind w:left="425" w:hanging="425"/>
      </w:pPr>
    </w:lvl>
    <w:lvl w:ilvl="1">
      <w:start w:val="1"/>
      <w:numFmt w:val="decimal"/>
      <w:pStyle w:val="Heading2"/>
      <w:lvlText w:val="%1.%2."/>
      <w:lvlJc w:val="left"/>
      <w:pPr>
        <w:tabs>
          <w:tab w:val="num" w:pos="851"/>
        </w:tabs>
        <w:ind w:left="851" w:hanging="567"/>
      </w:pPr>
    </w:lvl>
    <w:lvl w:ilvl="2">
      <w:start w:val="1"/>
      <w:numFmt w:val="decimal"/>
      <w:pStyle w:val="Heading3"/>
      <w:lvlText w:val="%1.%2.%3."/>
      <w:lvlJc w:val="left"/>
      <w:pPr>
        <w:tabs>
          <w:tab w:val="num" w:pos="709"/>
        </w:tabs>
        <w:ind w:left="709" w:hanging="709"/>
      </w:pPr>
      <w:rPr>
        <w:b w:val="0"/>
        <w:color w:val="auto"/>
      </w:r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abstractNum w:abstractNumId="25">
    <w:nsid w:val="4D6157B3"/>
    <w:multiLevelType w:val="hybridMultilevel"/>
    <w:tmpl w:val="9242747C"/>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4E0721DD"/>
    <w:multiLevelType w:val="hybridMultilevel"/>
    <w:tmpl w:val="B2EA70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4F0D6473"/>
    <w:multiLevelType w:val="hybridMultilevel"/>
    <w:tmpl w:val="49FA8E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507C59F8"/>
    <w:multiLevelType w:val="hybridMultilevel"/>
    <w:tmpl w:val="B582E0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513B048F"/>
    <w:multiLevelType w:val="hybridMultilevel"/>
    <w:tmpl w:val="011034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nsid w:val="554D4567"/>
    <w:multiLevelType w:val="singleLevel"/>
    <w:tmpl w:val="652E0860"/>
    <w:lvl w:ilvl="0">
      <w:start w:val="1"/>
      <w:numFmt w:val="decimal"/>
      <w:pStyle w:val="Tabletitle"/>
      <w:lvlText w:val="Table %1."/>
      <w:lvlJc w:val="left"/>
      <w:pPr>
        <w:tabs>
          <w:tab w:val="num" w:pos="1980"/>
        </w:tabs>
        <w:ind w:left="1892" w:hanging="992"/>
      </w:pPr>
      <w:rPr>
        <w:rFonts w:cs="Times New Roman" w:hint="default"/>
        <w:b w:val="0"/>
        <w:i/>
      </w:rPr>
    </w:lvl>
  </w:abstractNum>
  <w:abstractNum w:abstractNumId="31">
    <w:nsid w:val="5AB056EF"/>
    <w:multiLevelType w:val="hybridMultilevel"/>
    <w:tmpl w:val="8DD226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5D5D02E7"/>
    <w:multiLevelType w:val="hybridMultilevel"/>
    <w:tmpl w:val="3028C5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5F492DFE"/>
    <w:multiLevelType w:val="hybridMultilevel"/>
    <w:tmpl w:val="38824C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5F5D3FD4"/>
    <w:multiLevelType w:val="hybridMultilevel"/>
    <w:tmpl w:val="CE041562"/>
    <w:lvl w:ilvl="0" w:tplc="5B6801FE">
      <w:start w:val="1"/>
      <w:numFmt w:val="bullet"/>
      <w:pStyle w:val="Bullets2"/>
      <w:lvlText w:val=""/>
      <w:lvlJc w:val="left"/>
      <w:pPr>
        <w:tabs>
          <w:tab w:val="num" w:pos="567"/>
        </w:tabs>
        <w:ind w:left="567" w:hanging="283"/>
      </w:pPr>
      <w:rPr>
        <w:rFonts w:ascii="Symbol" w:hAnsi="Symbol" w:hint="default"/>
        <w:color w:val="999999"/>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618508C2"/>
    <w:multiLevelType w:val="hybridMultilevel"/>
    <w:tmpl w:val="80828D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016496"/>
    <w:multiLevelType w:val="hybridMultilevel"/>
    <w:tmpl w:val="322C15CC"/>
    <w:lvl w:ilvl="0" w:tplc="08842210">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nsid w:val="65454741"/>
    <w:multiLevelType w:val="hybridMultilevel"/>
    <w:tmpl w:val="ADE6E6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nsid w:val="6D18042F"/>
    <w:multiLevelType w:val="hybridMultilevel"/>
    <w:tmpl w:val="2EFA97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nsid w:val="6E493974"/>
    <w:multiLevelType w:val="hybridMultilevel"/>
    <w:tmpl w:val="B916F9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6E852BC4"/>
    <w:multiLevelType w:val="hybridMultilevel"/>
    <w:tmpl w:val="84BEDA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711345FB"/>
    <w:multiLevelType w:val="hybridMultilevel"/>
    <w:tmpl w:val="EA94C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nsid w:val="7E874A06"/>
    <w:multiLevelType w:val="multilevel"/>
    <w:tmpl w:val="1A6AADF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pStyle w:val="Heading6"/>
      <w:suff w:val="space"/>
      <w:lvlText w:val="%1.%2.%3.%4."/>
      <w:lvlJc w:val="left"/>
      <w:pPr>
        <w:ind w:left="864" w:hanging="864"/>
      </w:pPr>
    </w:lvl>
    <w:lvl w:ilvl="4">
      <w:start w:val="1"/>
      <w:numFmt w:val="decimal"/>
      <w:pStyle w:val="Heading7"/>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num w:numId="1">
    <w:abstractNumId w:val="42"/>
  </w:num>
  <w:num w:numId="2">
    <w:abstractNumId w:val="24"/>
  </w:num>
  <w:num w:numId="3">
    <w:abstractNumId w:val="0"/>
  </w:num>
  <w:num w:numId="4">
    <w:abstractNumId w:val="34"/>
  </w:num>
  <w:num w:numId="5">
    <w:abstractNumId w:val="14"/>
  </w:num>
  <w:num w:numId="6">
    <w:abstractNumId w:val="9"/>
  </w:num>
  <w:num w:numId="7">
    <w:abstractNumId w:val="5"/>
  </w:num>
  <w:num w:numId="8">
    <w:abstractNumId w:val="11"/>
  </w:num>
  <w:num w:numId="9">
    <w:abstractNumId w:val="30"/>
  </w:num>
  <w:num w:numId="10">
    <w:abstractNumId w:val="13"/>
  </w:num>
  <w:num w:numId="11">
    <w:abstractNumId w:val="28"/>
  </w:num>
  <w:num w:numId="12">
    <w:abstractNumId w:val="27"/>
  </w:num>
  <w:num w:numId="13">
    <w:abstractNumId w:val="8"/>
  </w:num>
  <w:num w:numId="14">
    <w:abstractNumId w:val="23"/>
  </w:num>
  <w:num w:numId="15">
    <w:abstractNumId w:val="40"/>
  </w:num>
  <w:num w:numId="16">
    <w:abstractNumId w:val="18"/>
  </w:num>
  <w:num w:numId="17">
    <w:abstractNumId w:val="7"/>
  </w:num>
  <w:num w:numId="18">
    <w:abstractNumId w:val="22"/>
  </w:num>
  <w:num w:numId="19">
    <w:abstractNumId w:val="31"/>
  </w:num>
  <w:num w:numId="20">
    <w:abstractNumId w:val="6"/>
  </w:num>
  <w:num w:numId="21">
    <w:abstractNumId w:val="29"/>
  </w:num>
  <w:num w:numId="22">
    <w:abstractNumId w:val="12"/>
  </w:num>
  <w:num w:numId="23">
    <w:abstractNumId w:val="10"/>
  </w:num>
  <w:num w:numId="24">
    <w:abstractNumId w:val="3"/>
  </w:num>
  <w:num w:numId="25">
    <w:abstractNumId w:val="1"/>
  </w:num>
  <w:num w:numId="26">
    <w:abstractNumId w:val="19"/>
  </w:num>
  <w:num w:numId="27">
    <w:abstractNumId w:val="37"/>
  </w:num>
  <w:num w:numId="28">
    <w:abstractNumId w:val="2"/>
  </w:num>
  <w:num w:numId="29">
    <w:abstractNumId w:val="38"/>
  </w:num>
  <w:num w:numId="30">
    <w:abstractNumId w:val="15"/>
  </w:num>
  <w:num w:numId="31">
    <w:abstractNumId w:val="4"/>
  </w:num>
  <w:num w:numId="32">
    <w:abstractNumId w:val="41"/>
  </w:num>
  <w:num w:numId="33">
    <w:abstractNumId w:val="20"/>
  </w:num>
  <w:num w:numId="34">
    <w:abstractNumId w:val="16"/>
  </w:num>
  <w:num w:numId="35">
    <w:abstractNumId w:val="25"/>
  </w:num>
  <w:num w:numId="36">
    <w:abstractNumId w:val="33"/>
  </w:num>
  <w:num w:numId="37">
    <w:abstractNumId w:val="26"/>
  </w:num>
  <w:num w:numId="38">
    <w:abstractNumId w:val="21"/>
  </w:num>
  <w:num w:numId="39">
    <w:abstractNumId w:val="36"/>
  </w:num>
  <w:num w:numId="40">
    <w:abstractNumId w:val="32"/>
  </w:num>
  <w:num w:numId="41">
    <w:abstractNumId w:val="39"/>
  </w:num>
  <w:num w:numId="4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nl-NL" w:vendorID="9" w:dllVersion="512" w:checkStyle="1"/>
  <w:activeWritingStyle w:appName="MSWord" w:lang="en-GB" w:vendorID="8" w:dllVersion="513" w:checkStyle="1"/>
  <w:activeWritingStyle w:appName="MSWord" w:lang="fr-FR" w:vendorID="9" w:dllVersion="512" w:checkStyle="1"/>
  <w:activeWritingStyle w:appName="MSWord" w:lang="ru-RU" w:vendorID="1" w:dllVersion="512" w:checkStyle="1"/>
  <w:activeWritingStyle w:appName="MSWord" w:lang="it-IT" w:vendorID="3" w:dllVersion="517" w:checkStyle="1"/>
  <w:activeWritingStyle w:appName="MSWord" w:lang="fi-FI" w:vendorID="22" w:dllVersion="513" w:checkStyle="1"/>
  <w:activeWritingStyle w:appName="MSWord" w:lang="pt-PT" w:vendorID="13" w:dllVersion="513" w:checkStyle="1"/>
  <w:activeWritingStyle w:appName="MSWord" w:lang="cs-CZ" w:vendorID="7" w:dllVersion="514" w:checkStyle="1"/>
  <w:activeWritingStyle w:appName="MSWord" w:lang="lv-LV" w:vendorID="71" w:dllVersion="512"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LW_DocType" w:val="@WB-RAPPORT"/>
    <w:docVar w:name="varSavedBefore" w:val="T"/>
  </w:docVars>
  <w:rsids>
    <w:rsidRoot w:val="00864B74"/>
    <w:rsid w:val="0000059A"/>
    <w:rsid w:val="00000FBA"/>
    <w:rsid w:val="00001024"/>
    <w:rsid w:val="00001DEE"/>
    <w:rsid w:val="00002ABB"/>
    <w:rsid w:val="00002DFC"/>
    <w:rsid w:val="000034B2"/>
    <w:rsid w:val="00003BE9"/>
    <w:rsid w:val="00004191"/>
    <w:rsid w:val="00004753"/>
    <w:rsid w:val="00005299"/>
    <w:rsid w:val="000055AD"/>
    <w:rsid w:val="00005E2C"/>
    <w:rsid w:val="0000744A"/>
    <w:rsid w:val="00010049"/>
    <w:rsid w:val="000113F7"/>
    <w:rsid w:val="0001169E"/>
    <w:rsid w:val="000120FE"/>
    <w:rsid w:val="00012804"/>
    <w:rsid w:val="00014228"/>
    <w:rsid w:val="000154EA"/>
    <w:rsid w:val="000155BE"/>
    <w:rsid w:val="000156F9"/>
    <w:rsid w:val="00015AA0"/>
    <w:rsid w:val="0001775C"/>
    <w:rsid w:val="00020937"/>
    <w:rsid w:val="00020F10"/>
    <w:rsid w:val="000213DA"/>
    <w:rsid w:val="000240BE"/>
    <w:rsid w:val="000257B4"/>
    <w:rsid w:val="0002771C"/>
    <w:rsid w:val="00027DF9"/>
    <w:rsid w:val="0003013F"/>
    <w:rsid w:val="00030BB6"/>
    <w:rsid w:val="00030CBD"/>
    <w:rsid w:val="00033E78"/>
    <w:rsid w:val="000343F5"/>
    <w:rsid w:val="000354AA"/>
    <w:rsid w:val="00037605"/>
    <w:rsid w:val="00037C5B"/>
    <w:rsid w:val="00037FF1"/>
    <w:rsid w:val="00041E16"/>
    <w:rsid w:val="00042C9B"/>
    <w:rsid w:val="00044CE3"/>
    <w:rsid w:val="00045692"/>
    <w:rsid w:val="00046033"/>
    <w:rsid w:val="000465AB"/>
    <w:rsid w:val="00046664"/>
    <w:rsid w:val="00046F9A"/>
    <w:rsid w:val="00050E8D"/>
    <w:rsid w:val="000514A8"/>
    <w:rsid w:val="000518F7"/>
    <w:rsid w:val="0005281C"/>
    <w:rsid w:val="00052C96"/>
    <w:rsid w:val="00053341"/>
    <w:rsid w:val="00054A37"/>
    <w:rsid w:val="00054BD4"/>
    <w:rsid w:val="00054E27"/>
    <w:rsid w:val="0005592F"/>
    <w:rsid w:val="00055BB3"/>
    <w:rsid w:val="00055C99"/>
    <w:rsid w:val="00055C9D"/>
    <w:rsid w:val="0005617C"/>
    <w:rsid w:val="000565BD"/>
    <w:rsid w:val="0005776F"/>
    <w:rsid w:val="00057F11"/>
    <w:rsid w:val="00060387"/>
    <w:rsid w:val="0006045E"/>
    <w:rsid w:val="00062A25"/>
    <w:rsid w:val="00062A95"/>
    <w:rsid w:val="00062EEB"/>
    <w:rsid w:val="0006310F"/>
    <w:rsid w:val="000635CE"/>
    <w:rsid w:val="000655A7"/>
    <w:rsid w:val="000657FF"/>
    <w:rsid w:val="00065B3D"/>
    <w:rsid w:val="00066669"/>
    <w:rsid w:val="00067254"/>
    <w:rsid w:val="00067C70"/>
    <w:rsid w:val="0007178A"/>
    <w:rsid w:val="00071888"/>
    <w:rsid w:val="00071C95"/>
    <w:rsid w:val="0007297F"/>
    <w:rsid w:val="00073944"/>
    <w:rsid w:val="00073EBB"/>
    <w:rsid w:val="00074167"/>
    <w:rsid w:val="000748D8"/>
    <w:rsid w:val="00074ADC"/>
    <w:rsid w:val="00075B77"/>
    <w:rsid w:val="00075DD9"/>
    <w:rsid w:val="00076094"/>
    <w:rsid w:val="0007721C"/>
    <w:rsid w:val="000817C8"/>
    <w:rsid w:val="00081F1D"/>
    <w:rsid w:val="00083B88"/>
    <w:rsid w:val="000841E9"/>
    <w:rsid w:val="00085FCA"/>
    <w:rsid w:val="00086001"/>
    <w:rsid w:val="0008665C"/>
    <w:rsid w:val="000927F0"/>
    <w:rsid w:val="00092DCC"/>
    <w:rsid w:val="000935CF"/>
    <w:rsid w:val="0009362D"/>
    <w:rsid w:val="000939DD"/>
    <w:rsid w:val="000941E3"/>
    <w:rsid w:val="00094BC3"/>
    <w:rsid w:val="00094D6D"/>
    <w:rsid w:val="000972E7"/>
    <w:rsid w:val="00097429"/>
    <w:rsid w:val="00097822"/>
    <w:rsid w:val="00097FF2"/>
    <w:rsid w:val="000A0096"/>
    <w:rsid w:val="000A04E4"/>
    <w:rsid w:val="000A0E6E"/>
    <w:rsid w:val="000A25B9"/>
    <w:rsid w:val="000A2AC6"/>
    <w:rsid w:val="000A34B5"/>
    <w:rsid w:val="000A40F9"/>
    <w:rsid w:val="000A42CF"/>
    <w:rsid w:val="000A4D6C"/>
    <w:rsid w:val="000A4DEF"/>
    <w:rsid w:val="000A6BD3"/>
    <w:rsid w:val="000A757A"/>
    <w:rsid w:val="000B0120"/>
    <w:rsid w:val="000B0361"/>
    <w:rsid w:val="000B0F42"/>
    <w:rsid w:val="000B2C4D"/>
    <w:rsid w:val="000B48C4"/>
    <w:rsid w:val="000B48E2"/>
    <w:rsid w:val="000B581B"/>
    <w:rsid w:val="000B5F19"/>
    <w:rsid w:val="000C091D"/>
    <w:rsid w:val="000C193D"/>
    <w:rsid w:val="000C1F6B"/>
    <w:rsid w:val="000C4167"/>
    <w:rsid w:val="000C4624"/>
    <w:rsid w:val="000C50AF"/>
    <w:rsid w:val="000C668A"/>
    <w:rsid w:val="000C6691"/>
    <w:rsid w:val="000C7517"/>
    <w:rsid w:val="000D0BA6"/>
    <w:rsid w:val="000D286C"/>
    <w:rsid w:val="000D2E06"/>
    <w:rsid w:val="000D4C64"/>
    <w:rsid w:val="000D5869"/>
    <w:rsid w:val="000D7402"/>
    <w:rsid w:val="000E16B5"/>
    <w:rsid w:val="000E1915"/>
    <w:rsid w:val="000E1DA8"/>
    <w:rsid w:val="000E3191"/>
    <w:rsid w:val="000E31C5"/>
    <w:rsid w:val="000E3201"/>
    <w:rsid w:val="000E44DB"/>
    <w:rsid w:val="000E6A3F"/>
    <w:rsid w:val="000F015E"/>
    <w:rsid w:val="000F01BA"/>
    <w:rsid w:val="000F0AA4"/>
    <w:rsid w:val="000F0B8E"/>
    <w:rsid w:val="000F0C61"/>
    <w:rsid w:val="000F1BAC"/>
    <w:rsid w:val="000F3136"/>
    <w:rsid w:val="000F536B"/>
    <w:rsid w:val="000F62A3"/>
    <w:rsid w:val="000F6E8E"/>
    <w:rsid w:val="000F7599"/>
    <w:rsid w:val="001001E9"/>
    <w:rsid w:val="001015A3"/>
    <w:rsid w:val="001028AD"/>
    <w:rsid w:val="0010297F"/>
    <w:rsid w:val="00102B5D"/>
    <w:rsid w:val="00104FF6"/>
    <w:rsid w:val="00107317"/>
    <w:rsid w:val="00110AB8"/>
    <w:rsid w:val="00112297"/>
    <w:rsid w:val="00112B5C"/>
    <w:rsid w:val="001146B9"/>
    <w:rsid w:val="001147F2"/>
    <w:rsid w:val="00114F0D"/>
    <w:rsid w:val="001165F4"/>
    <w:rsid w:val="00116B3D"/>
    <w:rsid w:val="00117F5A"/>
    <w:rsid w:val="001206A2"/>
    <w:rsid w:val="00120DDE"/>
    <w:rsid w:val="00122521"/>
    <w:rsid w:val="0012320E"/>
    <w:rsid w:val="00123283"/>
    <w:rsid w:val="00123B36"/>
    <w:rsid w:val="00125DD8"/>
    <w:rsid w:val="00125F58"/>
    <w:rsid w:val="00127D88"/>
    <w:rsid w:val="00127E16"/>
    <w:rsid w:val="00130B66"/>
    <w:rsid w:val="00132014"/>
    <w:rsid w:val="00132A14"/>
    <w:rsid w:val="00132F53"/>
    <w:rsid w:val="001338C9"/>
    <w:rsid w:val="00133BD2"/>
    <w:rsid w:val="001341EE"/>
    <w:rsid w:val="001346FF"/>
    <w:rsid w:val="00134B15"/>
    <w:rsid w:val="001358FF"/>
    <w:rsid w:val="00136D17"/>
    <w:rsid w:val="001405CE"/>
    <w:rsid w:val="00141FB8"/>
    <w:rsid w:val="00142198"/>
    <w:rsid w:val="00142EAA"/>
    <w:rsid w:val="001441F1"/>
    <w:rsid w:val="00144712"/>
    <w:rsid w:val="0014535E"/>
    <w:rsid w:val="00145572"/>
    <w:rsid w:val="00145839"/>
    <w:rsid w:val="0014629E"/>
    <w:rsid w:val="001478D6"/>
    <w:rsid w:val="00151781"/>
    <w:rsid w:val="001519FD"/>
    <w:rsid w:val="00152072"/>
    <w:rsid w:val="0015268A"/>
    <w:rsid w:val="00153839"/>
    <w:rsid w:val="00153CCD"/>
    <w:rsid w:val="00153E3E"/>
    <w:rsid w:val="001556DD"/>
    <w:rsid w:val="0015609D"/>
    <w:rsid w:val="001560FD"/>
    <w:rsid w:val="00156394"/>
    <w:rsid w:val="001602DA"/>
    <w:rsid w:val="001611E3"/>
    <w:rsid w:val="001612B6"/>
    <w:rsid w:val="001620D7"/>
    <w:rsid w:val="0016325A"/>
    <w:rsid w:val="00164584"/>
    <w:rsid w:val="0016699C"/>
    <w:rsid w:val="00166F83"/>
    <w:rsid w:val="001701DD"/>
    <w:rsid w:val="001702D1"/>
    <w:rsid w:val="00171148"/>
    <w:rsid w:val="0017163B"/>
    <w:rsid w:val="0017356E"/>
    <w:rsid w:val="00173A38"/>
    <w:rsid w:val="00174BEE"/>
    <w:rsid w:val="0017670F"/>
    <w:rsid w:val="00177749"/>
    <w:rsid w:val="00180383"/>
    <w:rsid w:val="00181271"/>
    <w:rsid w:val="00181F5C"/>
    <w:rsid w:val="001823E6"/>
    <w:rsid w:val="00183DAA"/>
    <w:rsid w:val="00184FFA"/>
    <w:rsid w:val="001851AC"/>
    <w:rsid w:val="0018547E"/>
    <w:rsid w:val="00186AC3"/>
    <w:rsid w:val="00186DB4"/>
    <w:rsid w:val="00187AA0"/>
    <w:rsid w:val="00190D43"/>
    <w:rsid w:val="00191951"/>
    <w:rsid w:val="00192ADD"/>
    <w:rsid w:val="001931EF"/>
    <w:rsid w:val="0019321B"/>
    <w:rsid w:val="00193224"/>
    <w:rsid w:val="0019519B"/>
    <w:rsid w:val="001952C4"/>
    <w:rsid w:val="00195351"/>
    <w:rsid w:val="001964D3"/>
    <w:rsid w:val="00197AE4"/>
    <w:rsid w:val="00197DEF"/>
    <w:rsid w:val="00197E49"/>
    <w:rsid w:val="001A0FBA"/>
    <w:rsid w:val="001A0FD8"/>
    <w:rsid w:val="001A133A"/>
    <w:rsid w:val="001A17A7"/>
    <w:rsid w:val="001A2D31"/>
    <w:rsid w:val="001A2E00"/>
    <w:rsid w:val="001A407C"/>
    <w:rsid w:val="001A49E0"/>
    <w:rsid w:val="001A5116"/>
    <w:rsid w:val="001A6E40"/>
    <w:rsid w:val="001A79DB"/>
    <w:rsid w:val="001B0D02"/>
    <w:rsid w:val="001B14AF"/>
    <w:rsid w:val="001B21C8"/>
    <w:rsid w:val="001B26C5"/>
    <w:rsid w:val="001B3188"/>
    <w:rsid w:val="001B3C88"/>
    <w:rsid w:val="001B427C"/>
    <w:rsid w:val="001B4E5B"/>
    <w:rsid w:val="001B622F"/>
    <w:rsid w:val="001B66FC"/>
    <w:rsid w:val="001B6744"/>
    <w:rsid w:val="001B6E93"/>
    <w:rsid w:val="001B7692"/>
    <w:rsid w:val="001C07D9"/>
    <w:rsid w:val="001C0A35"/>
    <w:rsid w:val="001C1AEC"/>
    <w:rsid w:val="001C2227"/>
    <w:rsid w:val="001C2B33"/>
    <w:rsid w:val="001C46A2"/>
    <w:rsid w:val="001C5B6F"/>
    <w:rsid w:val="001C6EEF"/>
    <w:rsid w:val="001D0064"/>
    <w:rsid w:val="001D03E6"/>
    <w:rsid w:val="001D2748"/>
    <w:rsid w:val="001D4426"/>
    <w:rsid w:val="001D4C85"/>
    <w:rsid w:val="001D51A2"/>
    <w:rsid w:val="001D5DD4"/>
    <w:rsid w:val="001D6167"/>
    <w:rsid w:val="001D6868"/>
    <w:rsid w:val="001D6964"/>
    <w:rsid w:val="001E0138"/>
    <w:rsid w:val="001E08E6"/>
    <w:rsid w:val="001E10CD"/>
    <w:rsid w:val="001E12FD"/>
    <w:rsid w:val="001E1A77"/>
    <w:rsid w:val="001E34A1"/>
    <w:rsid w:val="001E3818"/>
    <w:rsid w:val="001E44C2"/>
    <w:rsid w:val="001E5DD0"/>
    <w:rsid w:val="001E72AA"/>
    <w:rsid w:val="001E76E5"/>
    <w:rsid w:val="001E7899"/>
    <w:rsid w:val="001E7CEB"/>
    <w:rsid w:val="001F087C"/>
    <w:rsid w:val="001F0C26"/>
    <w:rsid w:val="001F0CED"/>
    <w:rsid w:val="001F1862"/>
    <w:rsid w:val="001F18F8"/>
    <w:rsid w:val="001F1D5A"/>
    <w:rsid w:val="001F216A"/>
    <w:rsid w:val="001F2AB3"/>
    <w:rsid w:val="001F2B84"/>
    <w:rsid w:val="001F35CA"/>
    <w:rsid w:val="001F3B31"/>
    <w:rsid w:val="001F4DE9"/>
    <w:rsid w:val="001F4FD4"/>
    <w:rsid w:val="001F59D0"/>
    <w:rsid w:val="001F5C79"/>
    <w:rsid w:val="001F64B8"/>
    <w:rsid w:val="001F6938"/>
    <w:rsid w:val="001F7FC9"/>
    <w:rsid w:val="002016AF"/>
    <w:rsid w:val="00201A65"/>
    <w:rsid w:val="002024F2"/>
    <w:rsid w:val="00202E88"/>
    <w:rsid w:val="0020318E"/>
    <w:rsid w:val="00203DB2"/>
    <w:rsid w:val="00203F9C"/>
    <w:rsid w:val="002040D0"/>
    <w:rsid w:val="002048AE"/>
    <w:rsid w:val="002053C3"/>
    <w:rsid w:val="002059F2"/>
    <w:rsid w:val="00206F0D"/>
    <w:rsid w:val="00207161"/>
    <w:rsid w:val="00207182"/>
    <w:rsid w:val="002077F9"/>
    <w:rsid w:val="00210990"/>
    <w:rsid w:val="0021175D"/>
    <w:rsid w:val="002122F8"/>
    <w:rsid w:val="00212BA3"/>
    <w:rsid w:val="00214053"/>
    <w:rsid w:val="002145DC"/>
    <w:rsid w:val="00216EDD"/>
    <w:rsid w:val="00217393"/>
    <w:rsid w:val="00217CD4"/>
    <w:rsid w:val="002222B6"/>
    <w:rsid w:val="00222B17"/>
    <w:rsid w:val="0022391A"/>
    <w:rsid w:val="00224796"/>
    <w:rsid w:val="00225018"/>
    <w:rsid w:val="0022547A"/>
    <w:rsid w:val="00225553"/>
    <w:rsid w:val="00225FF0"/>
    <w:rsid w:val="0023054D"/>
    <w:rsid w:val="0023094D"/>
    <w:rsid w:val="00230D7F"/>
    <w:rsid w:val="00232437"/>
    <w:rsid w:val="002329E2"/>
    <w:rsid w:val="00232A06"/>
    <w:rsid w:val="00234E2E"/>
    <w:rsid w:val="002355BC"/>
    <w:rsid w:val="00235C19"/>
    <w:rsid w:val="0023607C"/>
    <w:rsid w:val="0023665E"/>
    <w:rsid w:val="00237A05"/>
    <w:rsid w:val="00237A4F"/>
    <w:rsid w:val="00237C03"/>
    <w:rsid w:val="00242BC2"/>
    <w:rsid w:val="0024356D"/>
    <w:rsid w:val="002440A5"/>
    <w:rsid w:val="00244301"/>
    <w:rsid w:val="0024443E"/>
    <w:rsid w:val="00245397"/>
    <w:rsid w:val="00245403"/>
    <w:rsid w:val="0024548A"/>
    <w:rsid w:val="00245A1D"/>
    <w:rsid w:val="00246B26"/>
    <w:rsid w:val="00247033"/>
    <w:rsid w:val="00247FE2"/>
    <w:rsid w:val="002500C4"/>
    <w:rsid w:val="00250C1C"/>
    <w:rsid w:val="0025176E"/>
    <w:rsid w:val="00253D9B"/>
    <w:rsid w:val="002544EE"/>
    <w:rsid w:val="00255729"/>
    <w:rsid w:val="0025591A"/>
    <w:rsid w:val="00255EBF"/>
    <w:rsid w:val="0026004C"/>
    <w:rsid w:val="0026073E"/>
    <w:rsid w:val="00264229"/>
    <w:rsid w:val="00264387"/>
    <w:rsid w:val="002648EC"/>
    <w:rsid w:val="00264BDA"/>
    <w:rsid w:val="00265520"/>
    <w:rsid w:val="00265BDB"/>
    <w:rsid w:val="00265F0E"/>
    <w:rsid w:val="00265F16"/>
    <w:rsid w:val="0026606F"/>
    <w:rsid w:val="00266609"/>
    <w:rsid w:val="002668CF"/>
    <w:rsid w:val="00266D09"/>
    <w:rsid w:val="00266FEE"/>
    <w:rsid w:val="00267412"/>
    <w:rsid w:val="00267C32"/>
    <w:rsid w:val="00267D40"/>
    <w:rsid w:val="00270248"/>
    <w:rsid w:val="002716D4"/>
    <w:rsid w:val="002724AC"/>
    <w:rsid w:val="002737A0"/>
    <w:rsid w:val="00274001"/>
    <w:rsid w:val="0027475D"/>
    <w:rsid w:val="00281A9F"/>
    <w:rsid w:val="002847CA"/>
    <w:rsid w:val="00284DB5"/>
    <w:rsid w:val="002855D3"/>
    <w:rsid w:val="00285A6A"/>
    <w:rsid w:val="00285E4A"/>
    <w:rsid w:val="0028619A"/>
    <w:rsid w:val="00286265"/>
    <w:rsid w:val="0028715A"/>
    <w:rsid w:val="002871B4"/>
    <w:rsid w:val="002878FF"/>
    <w:rsid w:val="00287B36"/>
    <w:rsid w:val="00287EE8"/>
    <w:rsid w:val="00290162"/>
    <w:rsid w:val="00290605"/>
    <w:rsid w:val="00291432"/>
    <w:rsid w:val="00291440"/>
    <w:rsid w:val="00292738"/>
    <w:rsid w:val="00292F88"/>
    <w:rsid w:val="00293C20"/>
    <w:rsid w:val="002946B1"/>
    <w:rsid w:val="002964F2"/>
    <w:rsid w:val="00297B75"/>
    <w:rsid w:val="002A0523"/>
    <w:rsid w:val="002A202C"/>
    <w:rsid w:val="002A20F2"/>
    <w:rsid w:val="002A2BE9"/>
    <w:rsid w:val="002A7A0C"/>
    <w:rsid w:val="002A7E0D"/>
    <w:rsid w:val="002B0273"/>
    <w:rsid w:val="002B0F2A"/>
    <w:rsid w:val="002B1503"/>
    <w:rsid w:val="002B239E"/>
    <w:rsid w:val="002C08D9"/>
    <w:rsid w:val="002C0DA6"/>
    <w:rsid w:val="002C1359"/>
    <w:rsid w:val="002C138D"/>
    <w:rsid w:val="002C1EDE"/>
    <w:rsid w:val="002C22E9"/>
    <w:rsid w:val="002C3D71"/>
    <w:rsid w:val="002C4567"/>
    <w:rsid w:val="002C5324"/>
    <w:rsid w:val="002C6466"/>
    <w:rsid w:val="002C6C21"/>
    <w:rsid w:val="002C7008"/>
    <w:rsid w:val="002C760E"/>
    <w:rsid w:val="002D0DAE"/>
    <w:rsid w:val="002D1BBD"/>
    <w:rsid w:val="002D239D"/>
    <w:rsid w:val="002D3C9A"/>
    <w:rsid w:val="002D3F4C"/>
    <w:rsid w:val="002D5BA5"/>
    <w:rsid w:val="002D653D"/>
    <w:rsid w:val="002D7708"/>
    <w:rsid w:val="002E01F5"/>
    <w:rsid w:val="002E0676"/>
    <w:rsid w:val="002E0BF8"/>
    <w:rsid w:val="002E1DAF"/>
    <w:rsid w:val="002E1DE1"/>
    <w:rsid w:val="002E238D"/>
    <w:rsid w:val="002E2450"/>
    <w:rsid w:val="002E297D"/>
    <w:rsid w:val="002E3862"/>
    <w:rsid w:val="002E4A47"/>
    <w:rsid w:val="002E5CA0"/>
    <w:rsid w:val="002E5D63"/>
    <w:rsid w:val="002E5DDF"/>
    <w:rsid w:val="002E64D2"/>
    <w:rsid w:val="002E6532"/>
    <w:rsid w:val="002E6A03"/>
    <w:rsid w:val="002E7185"/>
    <w:rsid w:val="002E7BA4"/>
    <w:rsid w:val="002E7C84"/>
    <w:rsid w:val="002E7F05"/>
    <w:rsid w:val="002F1146"/>
    <w:rsid w:val="002F1DA6"/>
    <w:rsid w:val="002F257C"/>
    <w:rsid w:val="002F3338"/>
    <w:rsid w:val="002F4CC4"/>
    <w:rsid w:val="002F4F5C"/>
    <w:rsid w:val="002F5088"/>
    <w:rsid w:val="002F78AE"/>
    <w:rsid w:val="002F7EFB"/>
    <w:rsid w:val="002F7F07"/>
    <w:rsid w:val="00302453"/>
    <w:rsid w:val="00302519"/>
    <w:rsid w:val="00302F8F"/>
    <w:rsid w:val="003038FA"/>
    <w:rsid w:val="00304996"/>
    <w:rsid w:val="003053EC"/>
    <w:rsid w:val="00305575"/>
    <w:rsid w:val="00305967"/>
    <w:rsid w:val="003059C6"/>
    <w:rsid w:val="00306DE7"/>
    <w:rsid w:val="00306E06"/>
    <w:rsid w:val="00306E8D"/>
    <w:rsid w:val="003072DF"/>
    <w:rsid w:val="003076CB"/>
    <w:rsid w:val="00307D59"/>
    <w:rsid w:val="003101BB"/>
    <w:rsid w:val="00310578"/>
    <w:rsid w:val="00311B3C"/>
    <w:rsid w:val="00311BEC"/>
    <w:rsid w:val="00311D8A"/>
    <w:rsid w:val="00312965"/>
    <w:rsid w:val="00314812"/>
    <w:rsid w:val="00314C96"/>
    <w:rsid w:val="00315D25"/>
    <w:rsid w:val="003169FC"/>
    <w:rsid w:val="003202F3"/>
    <w:rsid w:val="00321060"/>
    <w:rsid w:val="00322336"/>
    <w:rsid w:val="00323453"/>
    <w:rsid w:val="0032369A"/>
    <w:rsid w:val="003237E3"/>
    <w:rsid w:val="003247D8"/>
    <w:rsid w:val="003262E9"/>
    <w:rsid w:val="0033051D"/>
    <w:rsid w:val="0033121B"/>
    <w:rsid w:val="00331487"/>
    <w:rsid w:val="003319FC"/>
    <w:rsid w:val="00332027"/>
    <w:rsid w:val="00332191"/>
    <w:rsid w:val="0033224F"/>
    <w:rsid w:val="003323A6"/>
    <w:rsid w:val="003328B7"/>
    <w:rsid w:val="00332C76"/>
    <w:rsid w:val="00332E51"/>
    <w:rsid w:val="00332E87"/>
    <w:rsid w:val="00332F64"/>
    <w:rsid w:val="0033329F"/>
    <w:rsid w:val="00333687"/>
    <w:rsid w:val="0033426C"/>
    <w:rsid w:val="00336566"/>
    <w:rsid w:val="00337BD5"/>
    <w:rsid w:val="00340A43"/>
    <w:rsid w:val="00340E74"/>
    <w:rsid w:val="0034275D"/>
    <w:rsid w:val="00344B2E"/>
    <w:rsid w:val="00345008"/>
    <w:rsid w:val="003467D9"/>
    <w:rsid w:val="00347127"/>
    <w:rsid w:val="003478B1"/>
    <w:rsid w:val="0034792E"/>
    <w:rsid w:val="00350AD5"/>
    <w:rsid w:val="0035167D"/>
    <w:rsid w:val="00352648"/>
    <w:rsid w:val="003533ED"/>
    <w:rsid w:val="00353744"/>
    <w:rsid w:val="00354A45"/>
    <w:rsid w:val="00357C4E"/>
    <w:rsid w:val="00360771"/>
    <w:rsid w:val="003613FF"/>
    <w:rsid w:val="00363A0A"/>
    <w:rsid w:val="00365327"/>
    <w:rsid w:val="003657AA"/>
    <w:rsid w:val="00365D4F"/>
    <w:rsid w:val="003671E2"/>
    <w:rsid w:val="00370520"/>
    <w:rsid w:val="00370D53"/>
    <w:rsid w:val="00371D7F"/>
    <w:rsid w:val="00372157"/>
    <w:rsid w:val="00372AC2"/>
    <w:rsid w:val="00372E22"/>
    <w:rsid w:val="00373011"/>
    <w:rsid w:val="0037403C"/>
    <w:rsid w:val="00374979"/>
    <w:rsid w:val="00374B96"/>
    <w:rsid w:val="0037509E"/>
    <w:rsid w:val="00375516"/>
    <w:rsid w:val="00375806"/>
    <w:rsid w:val="00376A57"/>
    <w:rsid w:val="003770BA"/>
    <w:rsid w:val="00377B34"/>
    <w:rsid w:val="00380CB8"/>
    <w:rsid w:val="003822BC"/>
    <w:rsid w:val="0038234B"/>
    <w:rsid w:val="003835EF"/>
    <w:rsid w:val="00383969"/>
    <w:rsid w:val="003842FF"/>
    <w:rsid w:val="00384367"/>
    <w:rsid w:val="00384FAD"/>
    <w:rsid w:val="003853AF"/>
    <w:rsid w:val="00390470"/>
    <w:rsid w:val="00390790"/>
    <w:rsid w:val="00391288"/>
    <w:rsid w:val="00392C03"/>
    <w:rsid w:val="003932C8"/>
    <w:rsid w:val="00393B0F"/>
    <w:rsid w:val="0039433D"/>
    <w:rsid w:val="003953B7"/>
    <w:rsid w:val="0039566A"/>
    <w:rsid w:val="00395BBE"/>
    <w:rsid w:val="003A0641"/>
    <w:rsid w:val="003A11A5"/>
    <w:rsid w:val="003A1543"/>
    <w:rsid w:val="003A18A3"/>
    <w:rsid w:val="003A2036"/>
    <w:rsid w:val="003A3D59"/>
    <w:rsid w:val="003A3FA8"/>
    <w:rsid w:val="003A442F"/>
    <w:rsid w:val="003A4B37"/>
    <w:rsid w:val="003A5162"/>
    <w:rsid w:val="003A64B5"/>
    <w:rsid w:val="003A72D7"/>
    <w:rsid w:val="003A7D64"/>
    <w:rsid w:val="003B02F1"/>
    <w:rsid w:val="003B05E6"/>
    <w:rsid w:val="003B0C86"/>
    <w:rsid w:val="003B0D00"/>
    <w:rsid w:val="003B17B0"/>
    <w:rsid w:val="003B2490"/>
    <w:rsid w:val="003B3DCF"/>
    <w:rsid w:val="003B44D3"/>
    <w:rsid w:val="003B4935"/>
    <w:rsid w:val="003B578E"/>
    <w:rsid w:val="003B6461"/>
    <w:rsid w:val="003C125C"/>
    <w:rsid w:val="003C2506"/>
    <w:rsid w:val="003C251A"/>
    <w:rsid w:val="003C28A5"/>
    <w:rsid w:val="003C3CE7"/>
    <w:rsid w:val="003C56DD"/>
    <w:rsid w:val="003C60F6"/>
    <w:rsid w:val="003C6EF8"/>
    <w:rsid w:val="003C7D09"/>
    <w:rsid w:val="003D0B75"/>
    <w:rsid w:val="003D0C91"/>
    <w:rsid w:val="003D1613"/>
    <w:rsid w:val="003D2FFC"/>
    <w:rsid w:val="003D324D"/>
    <w:rsid w:val="003D3281"/>
    <w:rsid w:val="003D494F"/>
    <w:rsid w:val="003D5B87"/>
    <w:rsid w:val="003D65D4"/>
    <w:rsid w:val="003D7680"/>
    <w:rsid w:val="003E0D20"/>
    <w:rsid w:val="003E178E"/>
    <w:rsid w:val="003E211E"/>
    <w:rsid w:val="003E269B"/>
    <w:rsid w:val="003E487A"/>
    <w:rsid w:val="003E4A86"/>
    <w:rsid w:val="003E4E93"/>
    <w:rsid w:val="003F0D78"/>
    <w:rsid w:val="003F139C"/>
    <w:rsid w:val="003F2B0C"/>
    <w:rsid w:val="003F3A35"/>
    <w:rsid w:val="003F485B"/>
    <w:rsid w:val="003F4A5C"/>
    <w:rsid w:val="003F6128"/>
    <w:rsid w:val="00401699"/>
    <w:rsid w:val="004017AB"/>
    <w:rsid w:val="00401D49"/>
    <w:rsid w:val="0040231C"/>
    <w:rsid w:val="004026AC"/>
    <w:rsid w:val="00402B18"/>
    <w:rsid w:val="00404E50"/>
    <w:rsid w:val="00405244"/>
    <w:rsid w:val="004064D0"/>
    <w:rsid w:val="00407542"/>
    <w:rsid w:val="00407A5A"/>
    <w:rsid w:val="00407CAB"/>
    <w:rsid w:val="00410EFF"/>
    <w:rsid w:val="004110A1"/>
    <w:rsid w:val="0041289E"/>
    <w:rsid w:val="00414CCE"/>
    <w:rsid w:val="00414E1F"/>
    <w:rsid w:val="00415132"/>
    <w:rsid w:val="00415D4F"/>
    <w:rsid w:val="00415E47"/>
    <w:rsid w:val="00416771"/>
    <w:rsid w:val="004168BC"/>
    <w:rsid w:val="00417421"/>
    <w:rsid w:val="0042032E"/>
    <w:rsid w:val="004214EC"/>
    <w:rsid w:val="00421940"/>
    <w:rsid w:val="00421977"/>
    <w:rsid w:val="00421D6F"/>
    <w:rsid w:val="00422721"/>
    <w:rsid w:val="00422D23"/>
    <w:rsid w:val="004231BA"/>
    <w:rsid w:val="0043073F"/>
    <w:rsid w:val="00430839"/>
    <w:rsid w:val="00430E04"/>
    <w:rsid w:val="00431AEA"/>
    <w:rsid w:val="00431D42"/>
    <w:rsid w:val="004321B0"/>
    <w:rsid w:val="004328E8"/>
    <w:rsid w:val="004328FB"/>
    <w:rsid w:val="00432B96"/>
    <w:rsid w:val="00433C10"/>
    <w:rsid w:val="00433C7B"/>
    <w:rsid w:val="00433D11"/>
    <w:rsid w:val="00437519"/>
    <w:rsid w:val="00440717"/>
    <w:rsid w:val="0044130F"/>
    <w:rsid w:val="00441C53"/>
    <w:rsid w:val="00444759"/>
    <w:rsid w:val="00445822"/>
    <w:rsid w:val="00445975"/>
    <w:rsid w:val="00445C35"/>
    <w:rsid w:val="00445C4A"/>
    <w:rsid w:val="00446C1D"/>
    <w:rsid w:val="00447968"/>
    <w:rsid w:val="004519FE"/>
    <w:rsid w:val="00451E05"/>
    <w:rsid w:val="00453483"/>
    <w:rsid w:val="00453B50"/>
    <w:rsid w:val="00453BFE"/>
    <w:rsid w:val="00454637"/>
    <w:rsid w:val="00454A36"/>
    <w:rsid w:val="00454C4D"/>
    <w:rsid w:val="0045500F"/>
    <w:rsid w:val="004557D5"/>
    <w:rsid w:val="00456480"/>
    <w:rsid w:val="004602E9"/>
    <w:rsid w:val="0046187E"/>
    <w:rsid w:val="004623F9"/>
    <w:rsid w:val="004624D6"/>
    <w:rsid w:val="00462D83"/>
    <w:rsid w:val="0046426A"/>
    <w:rsid w:val="00464646"/>
    <w:rsid w:val="0046548B"/>
    <w:rsid w:val="004655AA"/>
    <w:rsid w:val="00466503"/>
    <w:rsid w:val="00466A4A"/>
    <w:rsid w:val="00467917"/>
    <w:rsid w:val="004704B0"/>
    <w:rsid w:val="004710B2"/>
    <w:rsid w:val="00471239"/>
    <w:rsid w:val="00471358"/>
    <w:rsid w:val="00472B71"/>
    <w:rsid w:val="004765C8"/>
    <w:rsid w:val="00476619"/>
    <w:rsid w:val="00476EFE"/>
    <w:rsid w:val="00477D29"/>
    <w:rsid w:val="0048081B"/>
    <w:rsid w:val="00480839"/>
    <w:rsid w:val="00480998"/>
    <w:rsid w:val="0048457F"/>
    <w:rsid w:val="00484FC2"/>
    <w:rsid w:val="004857B4"/>
    <w:rsid w:val="0048581A"/>
    <w:rsid w:val="00485910"/>
    <w:rsid w:val="00485BEB"/>
    <w:rsid w:val="004867CF"/>
    <w:rsid w:val="00487904"/>
    <w:rsid w:val="00487963"/>
    <w:rsid w:val="004900E0"/>
    <w:rsid w:val="004901D4"/>
    <w:rsid w:val="00490794"/>
    <w:rsid w:val="004910CB"/>
    <w:rsid w:val="0049350C"/>
    <w:rsid w:val="00494F81"/>
    <w:rsid w:val="004959D9"/>
    <w:rsid w:val="00496640"/>
    <w:rsid w:val="004969F1"/>
    <w:rsid w:val="0049717B"/>
    <w:rsid w:val="00497D8C"/>
    <w:rsid w:val="004A04A8"/>
    <w:rsid w:val="004A1110"/>
    <w:rsid w:val="004A3C20"/>
    <w:rsid w:val="004A3D0D"/>
    <w:rsid w:val="004A423E"/>
    <w:rsid w:val="004A4AE5"/>
    <w:rsid w:val="004A50A4"/>
    <w:rsid w:val="004A51AC"/>
    <w:rsid w:val="004A60E0"/>
    <w:rsid w:val="004B0BAB"/>
    <w:rsid w:val="004B0E48"/>
    <w:rsid w:val="004B197D"/>
    <w:rsid w:val="004B2A4D"/>
    <w:rsid w:val="004B40D0"/>
    <w:rsid w:val="004B4279"/>
    <w:rsid w:val="004B60F3"/>
    <w:rsid w:val="004B6DEB"/>
    <w:rsid w:val="004B7302"/>
    <w:rsid w:val="004B7EB7"/>
    <w:rsid w:val="004C0504"/>
    <w:rsid w:val="004C0EA3"/>
    <w:rsid w:val="004C18F3"/>
    <w:rsid w:val="004C2376"/>
    <w:rsid w:val="004C256C"/>
    <w:rsid w:val="004C2BEF"/>
    <w:rsid w:val="004C352A"/>
    <w:rsid w:val="004C3B7A"/>
    <w:rsid w:val="004C3B83"/>
    <w:rsid w:val="004C4BA4"/>
    <w:rsid w:val="004C63C7"/>
    <w:rsid w:val="004C6464"/>
    <w:rsid w:val="004C7147"/>
    <w:rsid w:val="004C7211"/>
    <w:rsid w:val="004D0524"/>
    <w:rsid w:val="004D28B7"/>
    <w:rsid w:val="004D4146"/>
    <w:rsid w:val="004D53AA"/>
    <w:rsid w:val="004D604D"/>
    <w:rsid w:val="004D6E53"/>
    <w:rsid w:val="004D76CF"/>
    <w:rsid w:val="004E033C"/>
    <w:rsid w:val="004E04A1"/>
    <w:rsid w:val="004E17D6"/>
    <w:rsid w:val="004E2922"/>
    <w:rsid w:val="004E29EA"/>
    <w:rsid w:val="004E3AF0"/>
    <w:rsid w:val="004E3B0D"/>
    <w:rsid w:val="004E3C2B"/>
    <w:rsid w:val="004E4023"/>
    <w:rsid w:val="004E4449"/>
    <w:rsid w:val="004E4C22"/>
    <w:rsid w:val="004E511B"/>
    <w:rsid w:val="004E5475"/>
    <w:rsid w:val="004E5E6C"/>
    <w:rsid w:val="004F0730"/>
    <w:rsid w:val="004F0A79"/>
    <w:rsid w:val="004F0F41"/>
    <w:rsid w:val="004F3601"/>
    <w:rsid w:val="004F42FF"/>
    <w:rsid w:val="004F523C"/>
    <w:rsid w:val="004F54AB"/>
    <w:rsid w:val="004F566F"/>
    <w:rsid w:val="004F5D73"/>
    <w:rsid w:val="004F6116"/>
    <w:rsid w:val="004F641B"/>
    <w:rsid w:val="004F7CCB"/>
    <w:rsid w:val="0050126F"/>
    <w:rsid w:val="0050169C"/>
    <w:rsid w:val="00501B17"/>
    <w:rsid w:val="00501C2C"/>
    <w:rsid w:val="005023FD"/>
    <w:rsid w:val="005026D9"/>
    <w:rsid w:val="00503243"/>
    <w:rsid w:val="00503850"/>
    <w:rsid w:val="00503DAB"/>
    <w:rsid w:val="00504284"/>
    <w:rsid w:val="005048FF"/>
    <w:rsid w:val="00505AFD"/>
    <w:rsid w:val="005065DB"/>
    <w:rsid w:val="00507D84"/>
    <w:rsid w:val="005114B5"/>
    <w:rsid w:val="0051162A"/>
    <w:rsid w:val="005116EE"/>
    <w:rsid w:val="00511D31"/>
    <w:rsid w:val="005130D9"/>
    <w:rsid w:val="00513684"/>
    <w:rsid w:val="00513A18"/>
    <w:rsid w:val="00514979"/>
    <w:rsid w:val="00514CBF"/>
    <w:rsid w:val="005155F0"/>
    <w:rsid w:val="00515A59"/>
    <w:rsid w:val="00515D07"/>
    <w:rsid w:val="00516C64"/>
    <w:rsid w:val="00516EF9"/>
    <w:rsid w:val="005209D8"/>
    <w:rsid w:val="00520A7B"/>
    <w:rsid w:val="00520E6C"/>
    <w:rsid w:val="00522696"/>
    <w:rsid w:val="00523D80"/>
    <w:rsid w:val="005247A7"/>
    <w:rsid w:val="005250D7"/>
    <w:rsid w:val="00527317"/>
    <w:rsid w:val="0052770C"/>
    <w:rsid w:val="0053084E"/>
    <w:rsid w:val="00530F0B"/>
    <w:rsid w:val="00531B3A"/>
    <w:rsid w:val="00531E9D"/>
    <w:rsid w:val="005347D2"/>
    <w:rsid w:val="00534E02"/>
    <w:rsid w:val="005355A9"/>
    <w:rsid w:val="00535A87"/>
    <w:rsid w:val="00536B56"/>
    <w:rsid w:val="00536CEE"/>
    <w:rsid w:val="00536F3F"/>
    <w:rsid w:val="00540589"/>
    <w:rsid w:val="00541797"/>
    <w:rsid w:val="00541846"/>
    <w:rsid w:val="0054254C"/>
    <w:rsid w:val="00542743"/>
    <w:rsid w:val="005428ED"/>
    <w:rsid w:val="00544849"/>
    <w:rsid w:val="00544C79"/>
    <w:rsid w:val="005464B4"/>
    <w:rsid w:val="0054661E"/>
    <w:rsid w:val="005473F0"/>
    <w:rsid w:val="00547689"/>
    <w:rsid w:val="00547D22"/>
    <w:rsid w:val="00550F2B"/>
    <w:rsid w:val="00551D40"/>
    <w:rsid w:val="005532FE"/>
    <w:rsid w:val="00553978"/>
    <w:rsid w:val="0055456F"/>
    <w:rsid w:val="005546E3"/>
    <w:rsid w:val="0055626B"/>
    <w:rsid w:val="00556962"/>
    <w:rsid w:val="00556C13"/>
    <w:rsid w:val="00556FFF"/>
    <w:rsid w:val="00561FCF"/>
    <w:rsid w:val="00562A0A"/>
    <w:rsid w:val="005642FD"/>
    <w:rsid w:val="00564646"/>
    <w:rsid w:val="005651AF"/>
    <w:rsid w:val="005652C2"/>
    <w:rsid w:val="00565994"/>
    <w:rsid w:val="00565FDF"/>
    <w:rsid w:val="005661B1"/>
    <w:rsid w:val="00566BE8"/>
    <w:rsid w:val="00566D4C"/>
    <w:rsid w:val="00567217"/>
    <w:rsid w:val="00567A6D"/>
    <w:rsid w:val="00567D25"/>
    <w:rsid w:val="00574111"/>
    <w:rsid w:val="00574C2C"/>
    <w:rsid w:val="00576640"/>
    <w:rsid w:val="0057686A"/>
    <w:rsid w:val="00577F3D"/>
    <w:rsid w:val="00580490"/>
    <w:rsid w:val="00580919"/>
    <w:rsid w:val="00580989"/>
    <w:rsid w:val="005811EF"/>
    <w:rsid w:val="005813A9"/>
    <w:rsid w:val="0058161B"/>
    <w:rsid w:val="00581E89"/>
    <w:rsid w:val="00584214"/>
    <w:rsid w:val="0058515A"/>
    <w:rsid w:val="00585A69"/>
    <w:rsid w:val="00586286"/>
    <w:rsid w:val="00586356"/>
    <w:rsid w:val="00586C5E"/>
    <w:rsid w:val="005876E7"/>
    <w:rsid w:val="00587BAF"/>
    <w:rsid w:val="0059138B"/>
    <w:rsid w:val="00591D74"/>
    <w:rsid w:val="005923E4"/>
    <w:rsid w:val="0059388D"/>
    <w:rsid w:val="00593CED"/>
    <w:rsid w:val="00596863"/>
    <w:rsid w:val="00596E31"/>
    <w:rsid w:val="00597595"/>
    <w:rsid w:val="00597D19"/>
    <w:rsid w:val="005A0411"/>
    <w:rsid w:val="005A06BB"/>
    <w:rsid w:val="005A0D08"/>
    <w:rsid w:val="005A1766"/>
    <w:rsid w:val="005A344C"/>
    <w:rsid w:val="005A3FE6"/>
    <w:rsid w:val="005A40F9"/>
    <w:rsid w:val="005A466C"/>
    <w:rsid w:val="005A482B"/>
    <w:rsid w:val="005A4905"/>
    <w:rsid w:val="005A5544"/>
    <w:rsid w:val="005A5D9C"/>
    <w:rsid w:val="005A5F7A"/>
    <w:rsid w:val="005A5FB7"/>
    <w:rsid w:val="005A7BE2"/>
    <w:rsid w:val="005A7CF4"/>
    <w:rsid w:val="005B028F"/>
    <w:rsid w:val="005B02FA"/>
    <w:rsid w:val="005B0BB1"/>
    <w:rsid w:val="005B1FFC"/>
    <w:rsid w:val="005B2114"/>
    <w:rsid w:val="005B2E62"/>
    <w:rsid w:val="005B3188"/>
    <w:rsid w:val="005B3CA2"/>
    <w:rsid w:val="005B4472"/>
    <w:rsid w:val="005B47BB"/>
    <w:rsid w:val="005B4A83"/>
    <w:rsid w:val="005B639F"/>
    <w:rsid w:val="005B6CF8"/>
    <w:rsid w:val="005B6F8C"/>
    <w:rsid w:val="005C0E3C"/>
    <w:rsid w:val="005C112E"/>
    <w:rsid w:val="005C147C"/>
    <w:rsid w:val="005C3556"/>
    <w:rsid w:val="005C36A9"/>
    <w:rsid w:val="005C3F8A"/>
    <w:rsid w:val="005C4549"/>
    <w:rsid w:val="005C4A80"/>
    <w:rsid w:val="005C4EB8"/>
    <w:rsid w:val="005C6583"/>
    <w:rsid w:val="005C705E"/>
    <w:rsid w:val="005D019C"/>
    <w:rsid w:val="005D0A82"/>
    <w:rsid w:val="005D16AC"/>
    <w:rsid w:val="005D1BCE"/>
    <w:rsid w:val="005D4091"/>
    <w:rsid w:val="005D53B0"/>
    <w:rsid w:val="005D5B40"/>
    <w:rsid w:val="005D61D2"/>
    <w:rsid w:val="005D62F0"/>
    <w:rsid w:val="005D6A11"/>
    <w:rsid w:val="005D6DC1"/>
    <w:rsid w:val="005D7737"/>
    <w:rsid w:val="005E006E"/>
    <w:rsid w:val="005E0953"/>
    <w:rsid w:val="005E0B73"/>
    <w:rsid w:val="005E0C10"/>
    <w:rsid w:val="005E103A"/>
    <w:rsid w:val="005E1B9A"/>
    <w:rsid w:val="005E3307"/>
    <w:rsid w:val="005E3C50"/>
    <w:rsid w:val="005E4932"/>
    <w:rsid w:val="005E58D7"/>
    <w:rsid w:val="005E5E7B"/>
    <w:rsid w:val="005E6148"/>
    <w:rsid w:val="005E716E"/>
    <w:rsid w:val="005F2410"/>
    <w:rsid w:val="005F37DC"/>
    <w:rsid w:val="005F4C37"/>
    <w:rsid w:val="005F5477"/>
    <w:rsid w:val="005F5778"/>
    <w:rsid w:val="005F6962"/>
    <w:rsid w:val="005F712D"/>
    <w:rsid w:val="005F7DF1"/>
    <w:rsid w:val="005F7E7C"/>
    <w:rsid w:val="00600905"/>
    <w:rsid w:val="006018CB"/>
    <w:rsid w:val="006025CA"/>
    <w:rsid w:val="00602859"/>
    <w:rsid w:val="00603719"/>
    <w:rsid w:val="006059FD"/>
    <w:rsid w:val="006060DD"/>
    <w:rsid w:val="006062B6"/>
    <w:rsid w:val="0060780E"/>
    <w:rsid w:val="00607D71"/>
    <w:rsid w:val="00611CB0"/>
    <w:rsid w:val="006124E0"/>
    <w:rsid w:val="00613E2F"/>
    <w:rsid w:val="00614D07"/>
    <w:rsid w:val="006159B7"/>
    <w:rsid w:val="0061604C"/>
    <w:rsid w:val="0061662B"/>
    <w:rsid w:val="0061680D"/>
    <w:rsid w:val="00616EF9"/>
    <w:rsid w:val="00617BB0"/>
    <w:rsid w:val="00617EDA"/>
    <w:rsid w:val="00620196"/>
    <w:rsid w:val="00620B96"/>
    <w:rsid w:val="00620F82"/>
    <w:rsid w:val="00621065"/>
    <w:rsid w:val="00621D6D"/>
    <w:rsid w:val="0062322E"/>
    <w:rsid w:val="006238C8"/>
    <w:rsid w:val="006242CC"/>
    <w:rsid w:val="0062639A"/>
    <w:rsid w:val="0062700C"/>
    <w:rsid w:val="00627226"/>
    <w:rsid w:val="006276C0"/>
    <w:rsid w:val="00627815"/>
    <w:rsid w:val="00630215"/>
    <w:rsid w:val="00631653"/>
    <w:rsid w:val="00632124"/>
    <w:rsid w:val="0063264B"/>
    <w:rsid w:val="00632961"/>
    <w:rsid w:val="00633412"/>
    <w:rsid w:val="0063405C"/>
    <w:rsid w:val="00634468"/>
    <w:rsid w:val="00634D1C"/>
    <w:rsid w:val="00634E93"/>
    <w:rsid w:val="00636C7C"/>
    <w:rsid w:val="00637A21"/>
    <w:rsid w:val="00637A51"/>
    <w:rsid w:val="00637DB5"/>
    <w:rsid w:val="006400C5"/>
    <w:rsid w:val="006409F1"/>
    <w:rsid w:val="00640F16"/>
    <w:rsid w:val="00641446"/>
    <w:rsid w:val="006419BF"/>
    <w:rsid w:val="00641AF6"/>
    <w:rsid w:val="006424D9"/>
    <w:rsid w:val="0064265A"/>
    <w:rsid w:val="00642A3C"/>
    <w:rsid w:val="00643816"/>
    <w:rsid w:val="00643A34"/>
    <w:rsid w:val="00645193"/>
    <w:rsid w:val="0064552C"/>
    <w:rsid w:val="006459C9"/>
    <w:rsid w:val="0064658A"/>
    <w:rsid w:val="00647336"/>
    <w:rsid w:val="00647E59"/>
    <w:rsid w:val="0065025A"/>
    <w:rsid w:val="0065075D"/>
    <w:rsid w:val="00651087"/>
    <w:rsid w:val="0065358C"/>
    <w:rsid w:val="00653976"/>
    <w:rsid w:val="006545A4"/>
    <w:rsid w:val="00654887"/>
    <w:rsid w:val="00655F53"/>
    <w:rsid w:val="00656602"/>
    <w:rsid w:val="0065663E"/>
    <w:rsid w:val="0066338F"/>
    <w:rsid w:val="00663477"/>
    <w:rsid w:val="00665640"/>
    <w:rsid w:val="006676F1"/>
    <w:rsid w:val="00667780"/>
    <w:rsid w:val="00670BB6"/>
    <w:rsid w:val="00670CFE"/>
    <w:rsid w:val="00670E53"/>
    <w:rsid w:val="00671B5A"/>
    <w:rsid w:val="0067245D"/>
    <w:rsid w:val="006727D6"/>
    <w:rsid w:val="0067428C"/>
    <w:rsid w:val="00674890"/>
    <w:rsid w:val="006752BB"/>
    <w:rsid w:val="00675487"/>
    <w:rsid w:val="0067646E"/>
    <w:rsid w:val="00677C6D"/>
    <w:rsid w:val="0068009F"/>
    <w:rsid w:val="00680110"/>
    <w:rsid w:val="00680FC8"/>
    <w:rsid w:val="00681357"/>
    <w:rsid w:val="00681826"/>
    <w:rsid w:val="00682AE9"/>
    <w:rsid w:val="006835B7"/>
    <w:rsid w:val="00684267"/>
    <w:rsid w:val="0068513E"/>
    <w:rsid w:val="00685667"/>
    <w:rsid w:val="00685C72"/>
    <w:rsid w:val="0068667B"/>
    <w:rsid w:val="00686911"/>
    <w:rsid w:val="006901D6"/>
    <w:rsid w:val="006906EF"/>
    <w:rsid w:val="00690C9D"/>
    <w:rsid w:val="006938AD"/>
    <w:rsid w:val="0069474B"/>
    <w:rsid w:val="006951A4"/>
    <w:rsid w:val="00695BBE"/>
    <w:rsid w:val="00695D0A"/>
    <w:rsid w:val="00695E85"/>
    <w:rsid w:val="00697264"/>
    <w:rsid w:val="006978DE"/>
    <w:rsid w:val="00697D1F"/>
    <w:rsid w:val="006A041B"/>
    <w:rsid w:val="006A1079"/>
    <w:rsid w:val="006A119E"/>
    <w:rsid w:val="006A1585"/>
    <w:rsid w:val="006A176C"/>
    <w:rsid w:val="006A51D3"/>
    <w:rsid w:val="006A593E"/>
    <w:rsid w:val="006A7174"/>
    <w:rsid w:val="006B0795"/>
    <w:rsid w:val="006B08EC"/>
    <w:rsid w:val="006B0A1A"/>
    <w:rsid w:val="006B1E34"/>
    <w:rsid w:val="006B27B3"/>
    <w:rsid w:val="006B356A"/>
    <w:rsid w:val="006B4193"/>
    <w:rsid w:val="006B454E"/>
    <w:rsid w:val="006B4F3D"/>
    <w:rsid w:val="006B5956"/>
    <w:rsid w:val="006B7A6A"/>
    <w:rsid w:val="006C03B0"/>
    <w:rsid w:val="006C04BA"/>
    <w:rsid w:val="006C253D"/>
    <w:rsid w:val="006C31FC"/>
    <w:rsid w:val="006C5D9E"/>
    <w:rsid w:val="006C605C"/>
    <w:rsid w:val="006C6E2C"/>
    <w:rsid w:val="006C718F"/>
    <w:rsid w:val="006C784B"/>
    <w:rsid w:val="006D00AE"/>
    <w:rsid w:val="006D18FB"/>
    <w:rsid w:val="006D4189"/>
    <w:rsid w:val="006D57D0"/>
    <w:rsid w:val="006D5FAF"/>
    <w:rsid w:val="006D6827"/>
    <w:rsid w:val="006D6F26"/>
    <w:rsid w:val="006D70EA"/>
    <w:rsid w:val="006E4888"/>
    <w:rsid w:val="006E4B99"/>
    <w:rsid w:val="006E4D93"/>
    <w:rsid w:val="006E51C2"/>
    <w:rsid w:val="006E54F3"/>
    <w:rsid w:val="006E6DE6"/>
    <w:rsid w:val="006E7001"/>
    <w:rsid w:val="006E7832"/>
    <w:rsid w:val="006F1A57"/>
    <w:rsid w:val="006F2AF9"/>
    <w:rsid w:val="006F5456"/>
    <w:rsid w:val="006F5B47"/>
    <w:rsid w:val="006F7551"/>
    <w:rsid w:val="0070040A"/>
    <w:rsid w:val="00700933"/>
    <w:rsid w:val="0070136F"/>
    <w:rsid w:val="00703103"/>
    <w:rsid w:val="00705899"/>
    <w:rsid w:val="007059BF"/>
    <w:rsid w:val="00705CF3"/>
    <w:rsid w:val="007060A2"/>
    <w:rsid w:val="007072AE"/>
    <w:rsid w:val="007074B1"/>
    <w:rsid w:val="00710BF1"/>
    <w:rsid w:val="00711B09"/>
    <w:rsid w:val="00711C30"/>
    <w:rsid w:val="00712DE8"/>
    <w:rsid w:val="00713068"/>
    <w:rsid w:val="00714471"/>
    <w:rsid w:val="0071532E"/>
    <w:rsid w:val="0071548C"/>
    <w:rsid w:val="00716B45"/>
    <w:rsid w:val="00716C71"/>
    <w:rsid w:val="00717949"/>
    <w:rsid w:val="0072017E"/>
    <w:rsid w:val="007207D1"/>
    <w:rsid w:val="00721988"/>
    <w:rsid w:val="00723107"/>
    <w:rsid w:val="007235A4"/>
    <w:rsid w:val="00723E83"/>
    <w:rsid w:val="007240FF"/>
    <w:rsid w:val="0072499A"/>
    <w:rsid w:val="00724A21"/>
    <w:rsid w:val="007263D9"/>
    <w:rsid w:val="00726F59"/>
    <w:rsid w:val="007277B1"/>
    <w:rsid w:val="00731E6C"/>
    <w:rsid w:val="0073417B"/>
    <w:rsid w:val="007353F2"/>
    <w:rsid w:val="00736569"/>
    <w:rsid w:val="00737100"/>
    <w:rsid w:val="00737D96"/>
    <w:rsid w:val="00737DC0"/>
    <w:rsid w:val="00740C5F"/>
    <w:rsid w:val="0074144A"/>
    <w:rsid w:val="00742FC1"/>
    <w:rsid w:val="0074667F"/>
    <w:rsid w:val="00746E41"/>
    <w:rsid w:val="00747DCC"/>
    <w:rsid w:val="00747EAE"/>
    <w:rsid w:val="007514CF"/>
    <w:rsid w:val="00753280"/>
    <w:rsid w:val="00753A40"/>
    <w:rsid w:val="00753BD6"/>
    <w:rsid w:val="0075402B"/>
    <w:rsid w:val="00754EE2"/>
    <w:rsid w:val="00757900"/>
    <w:rsid w:val="007606C3"/>
    <w:rsid w:val="0076075C"/>
    <w:rsid w:val="007609E0"/>
    <w:rsid w:val="00760B1C"/>
    <w:rsid w:val="00760C2E"/>
    <w:rsid w:val="00761A2B"/>
    <w:rsid w:val="00761CDA"/>
    <w:rsid w:val="0076294B"/>
    <w:rsid w:val="00762C9B"/>
    <w:rsid w:val="00762F60"/>
    <w:rsid w:val="00764317"/>
    <w:rsid w:val="00764FDA"/>
    <w:rsid w:val="007662FA"/>
    <w:rsid w:val="007664A5"/>
    <w:rsid w:val="007675FC"/>
    <w:rsid w:val="00767852"/>
    <w:rsid w:val="00767A9B"/>
    <w:rsid w:val="00767ECC"/>
    <w:rsid w:val="0077085E"/>
    <w:rsid w:val="00770C96"/>
    <w:rsid w:val="00770D0A"/>
    <w:rsid w:val="00771DAA"/>
    <w:rsid w:val="00772116"/>
    <w:rsid w:val="0077237D"/>
    <w:rsid w:val="00772962"/>
    <w:rsid w:val="00773466"/>
    <w:rsid w:val="0077585A"/>
    <w:rsid w:val="00775B7C"/>
    <w:rsid w:val="0077678B"/>
    <w:rsid w:val="007772AD"/>
    <w:rsid w:val="007774C3"/>
    <w:rsid w:val="007800BA"/>
    <w:rsid w:val="00780316"/>
    <w:rsid w:val="00781137"/>
    <w:rsid w:val="0078148A"/>
    <w:rsid w:val="00781E5A"/>
    <w:rsid w:val="0078263C"/>
    <w:rsid w:val="007827B7"/>
    <w:rsid w:val="00784409"/>
    <w:rsid w:val="00784BB9"/>
    <w:rsid w:val="00784BBB"/>
    <w:rsid w:val="00786416"/>
    <w:rsid w:val="00787286"/>
    <w:rsid w:val="007879BD"/>
    <w:rsid w:val="00787EBD"/>
    <w:rsid w:val="00790580"/>
    <w:rsid w:val="007907EF"/>
    <w:rsid w:val="00791404"/>
    <w:rsid w:val="00791588"/>
    <w:rsid w:val="00791CEC"/>
    <w:rsid w:val="00793241"/>
    <w:rsid w:val="0079412E"/>
    <w:rsid w:val="007941D0"/>
    <w:rsid w:val="00795457"/>
    <w:rsid w:val="007A011B"/>
    <w:rsid w:val="007A066C"/>
    <w:rsid w:val="007A1B53"/>
    <w:rsid w:val="007A2205"/>
    <w:rsid w:val="007A2C38"/>
    <w:rsid w:val="007A2C4D"/>
    <w:rsid w:val="007A4191"/>
    <w:rsid w:val="007A4248"/>
    <w:rsid w:val="007A4389"/>
    <w:rsid w:val="007A5BF7"/>
    <w:rsid w:val="007A5D8B"/>
    <w:rsid w:val="007A6307"/>
    <w:rsid w:val="007A6BBF"/>
    <w:rsid w:val="007A6D03"/>
    <w:rsid w:val="007A725F"/>
    <w:rsid w:val="007B0489"/>
    <w:rsid w:val="007B06E9"/>
    <w:rsid w:val="007B0B08"/>
    <w:rsid w:val="007B1214"/>
    <w:rsid w:val="007B3060"/>
    <w:rsid w:val="007B4562"/>
    <w:rsid w:val="007B4A46"/>
    <w:rsid w:val="007B6D53"/>
    <w:rsid w:val="007B7706"/>
    <w:rsid w:val="007C19BA"/>
    <w:rsid w:val="007C2400"/>
    <w:rsid w:val="007C2F1D"/>
    <w:rsid w:val="007C3FC8"/>
    <w:rsid w:val="007C416D"/>
    <w:rsid w:val="007C4B8D"/>
    <w:rsid w:val="007C4C8E"/>
    <w:rsid w:val="007C4DFC"/>
    <w:rsid w:val="007C5201"/>
    <w:rsid w:val="007C5379"/>
    <w:rsid w:val="007C55FC"/>
    <w:rsid w:val="007C5A23"/>
    <w:rsid w:val="007C64F1"/>
    <w:rsid w:val="007C6ADD"/>
    <w:rsid w:val="007C7CAC"/>
    <w:rsid w:val="007D037D"/>
    <w:rsid w:val="007D054F"/>
    <w:rsid w:val="007D1B5A"/>
    <w:rsid w:val="007D2AEC"/>
    <w:rsid w:val="007D3A51"/>
    <w:rsid w:val="007D3DFD"/>
    <w:rsid w:val="007D3E95"/>
    <w:rsid w:val="007D4000"/>
    <w:rsid w:val="007D4779"/>
    <w:rsid w:val="007D4A47"/>
    <w:rsid w:val="007D538F"/>
    <w:rsid w:val="007D67A1"/>
    <w:rsid w:val="007D6B6D"/>
    <w:rsid w:val="007D7778"/>
    <w:rsid w:val="007D7AC0"/>
    <w:rsid w:val="007E008B"/>
    <w:rsid w:val="007E0633"/>
    <w:rsid w:val="007E0F18"/>
    <w:rsid w:val="007E122F"/>
    <w:rsid w:val="007E18C8"/>
    <w:rsid w:val="007E200D"/>
    <w:rsid w:val="007E2C8F"/>
    <w:rsid w:val="007E3701"/>
    <w:rsid w:val="007E4121"/>
    <w:rsid w:val="007E4151"/>
    <w:rsid w:val="007E44CB"/>
    <w:rsid w:val="007E4914"/>
    <w:rsid w:val="007E7CB1"/>
    <w:rsid w:val="007E7E9E"/>
    <w:rsid w:val="007F2BFA"/>
    <w:rsid w:val="007F2FC9"/>
    <w:rsid w:val="007F4293"/>
    <w:rsid w:val="007F445D"/>
    <w:rsid w:val="007F4EE3"/>
    <w:rsid w:val="007F6DF4"/>
    <w:rsid w:val="007F7670"/>
    <w:rsid w:val="007F7AFB"/>
    <w:rsid w:val="0080095A"/>
    <w:rsid w:val="00800975"/>
    <w:rsid w:val="00800EAC"/>
    <w:rsid w:val="0080182B"/>
    <w:rsid w:val="00801E35"/>
    <w:rsid w:val="0080303C"/>
    <w:rsid w:val="00805176"/>
    <w:rsid w:val="008061ED"/>
    <w:rsid w:val="00806752"/>
    <w:rsid w:val="00806D53"/>
    <w:rsid w:val="00806FE1"/>
    <w:rsid w:val="0080775F"/>
    <w:rsid w:val="00807A31"/>
    <w:rsid w:val="00807EED"/>
    <w:rsid w:val="0081052C"/>
    <w:rsid w:val="008116E1"/>
    <w:rsid w:val="008117BD"/>
    <w:rsid w:val="00812782"/>
    <w:rsid w:val="008129FE"/>
    <w:rsid w:val="00812A03"/>
    <w:rsid w:val="00812CB2"/>
    <w:rsid w:val="00812DED"/>
    <w:rsid w:val="00813956"/>
    <w:rsid w:val="008146E9"/>
    <w:rsid w:val="008147DB"/>
    <w:rsid w:val="00814FFE"/>
    <w:rsid w:val="00815087"/>
    <w:rsid w:val="0081519E"/>
    <w:rsid w:val="00815A47"/>
    <w:rsid w:val="008160E6"/>
    <w:rsid w:val="00816E3A"/>
    <w:rsid w:val="008177A2"/>
    <w:rsid w:val="00817E31"/>
    <w:rsid w:val="00820240"/>
    <w:rsid w:val="0082271C"/>
    <w:rsid w:val="0082344E"/>
    <w:rsid w:val="00823479"/>
    <w:rsid w:val="0082567B"/>
    <w:rsid w:val="00827ECA"/>
    <w:rsid w:val="00830271"/>
    <w:rsid w:val="0083040A"/>
    <w:rsid w:val="008319BB"/>
    <w:rsid w:val="00831D53"/>
    <w:rsid w:val="00832CDD"/>
    <w:rsid w:val="00833094"/>
    <w:rsid w:val="00833669"/>
    <w:rsid w:val="00833718"/>
    <w:rsid w:val="008339D7"/>
    <w:rsid w:val="008351E4"/>
    <w:rsid w:val="008353BC"/>
    <w:rsid w:val="00835C70"/>
    <w:rsid w:val="00836269"/>
    <w:rsid w:val="008366C3"/>
    <w:rsid w:val="008374ED"/>
    <w:rsid w:val="00837909"/>
    <w:rsid w:val="00837B1C"/>
    <w:rsid w:val="00837C10"/>
    <w:rsid w:val="008405BB"/>
    <w:rsid w:val="008408DB"/>
    <w:rsid w:val="008415DF"/>
    <w:rsid w:val="00843EF7"/>
    <w:rsid w:val="0084406D"/>
    <w:rsid w:val="008459FB"/>
    <w:rsid w:val="00845A24"/>
    <w:rsid w:val="00845C05"/>
    <w:rsid w:val="00846B79"/>
    <w:rsid w:val="008505EE"/>
    <w:rsid w:val="00851DAF"/>
    <w:rsid w:val="008525D4"/>
    <w:rsid w:val="00852BB7"/>
    <w:rsid w:val="00853D8C"/>
    <w:rsid w:val="0085427D"/>
    <w:rsid w:val="00854CD4"/>
    <w:rsid w:val="00856784"/>
    <w:rsid w:val="00856FBF"/>
    <w:rsid w:val="0085787A"/>
    <w:rsid w:val="00860100"/>
    <w:rsid w:val="00862481"/>
    <w:rsid w:val="00862CA4"/>
    <w:rsid w:val="008639E0"/>
    <w:rsid w:val="00863B51"/>
    <w:rsid w:val="00864387"/>
    <w:rsid w:val="00864B74"/>
    <w:rsid w:val="008653ED"/>
    <w:rsid w:val="00865F0A"/>
    <w:rsid w:val="00866603"/>
    <w:rsid w:val="00866A85"/>
    <w:rsid w:val="00866CF2"/>
    <w:rsid w:val="0087004F"/>
    <w:rsid w:val="00871A31"/>
    <w:rsid w:val="008733DA"/>
    <w:rsid w:val="00874DDE"/>
    <w:rsid w:val="00874FC9"/>
    <w:rsid w:val="00875073"/>
    <w:rsid w:val="008754AC"/>
    <w:rsid w:val="00875839"/>
    <w:rsid w:val="00876660"/>
    <w:rsid w:val="008767C5"/>
    <w:rsid w:val="00877BC0"/>
    <w:rsid w:val="0088156A"/>
    <w:rsid w:val="008822CD"/>
    <w:rsid w:val="00882338"/>
    <w:rsid w:val="00883395"/>
    <w:rsid w:val="00883404"/>
    <w:rsid w:val="00884070"/>
    <w:rsid w:val="00884153"/>
    <w:rsid w:val="008848D8"/>
    <w:rsid w:val="008861EE"/>
    <w:rsid w:val="00886458"/>
    <w:rsid w:val="00886585"/>
    <w:rsid w:val="00886C4F"/>
    <w:rsid w:val="008878B6"/>
    <w:rsid w:val="0089028F"/>
    <w:rsid w:val="00890AD2"/>
    <w:rsid w:val="00890E10"/>
    <w:rsid w:val="00891D6A"/>
    <w:rsid w:val="00891DE8"/>
    <w:rsid w:val="0089243F"/>
    <w:rsid w:val="008925FA"/>
    <w:rsid w:val="008939CA"/>
    <w:rsid w:val="00895397"/>
    <w:rsid w:val="008973A9"/>
    <w:rsid w:val="008973BE"/>
    <w:rsid w:val="00897E37"/>
    <w:rsid w:val="008A2262"/>
    <w:rsid w:val="008A3948"/>
    <w:rsid w:val="008A3F46"/>
    <w:rsid w:val="008A50E7"/>
    <w:rsid w:val="008A67E1"/>
    <w:rsid w:val="008A712C"/>
    <w:rsid w:val="008B0925"/>
    <w:rsid w:val="008B0BCA"/>
    <w:rsid w:val="008B1C88"/>
    <w:rsid w:val="008B2127"/>
    <w:rsid w:val="008B2666"/>
    <w:rsid w:val="008B3129"/>
    <w:rsid w:val="008B3929"/>
    <w:rsid w:val="008B3B95"/>
    <w:rsid w:val="008B3F92"/>
    <w:rsid w:val="008B4C8C"/>
    <w:rsid w:val="008B5BB7"/>
    <w:rsid w:val="008B6E8F"/>
    <w:rsid w:val="008B76C5"/>
    <w:rsid w:val="008C0C9E"/>
    <w:rsid w:val="008C136D"/>
    <w:rsid w:val="008C15BA"/>
    <w:rsid w:val="008C2B9B"/>
    <w:rsid w:val="008C36C2"/>
    <w:rsid w:val="008C37F9"/>
    <w:rsid w:val="008C709E"/>
    <w:rsid w:val="008C79E8"/>
    <w:rsid w:val="008D0305"/>
    <w:rsid w:val="008D0AA8"/>
    <w:rsid w:val="008D0CDA"/>
    <w:rsid w:val="008D123E"/>
    <w:rsid w:val="008D1D67"/>
    <w:rsid w:val="008D2318"/>
    <w:rsid w:val="008D2C45"/>
    <w:rsid w:val="008D403D"/>
    <w:rsid w:val="008D5C20"/>
    <w:rsid w:val="008D65DC"/>
    <w:rsid w:val="008D6646"/>
    <w:rsid w:val="008D6661"/>
    <w:rsid w:val="008D698A"/>
    <w:rsid w:val="008D6B2F"/>
    <w:rsid w:val="008D6C4F"/>
    <w:rsid w:val="008D6F6D"/>
    <w:rsid w:val="008E05A9"/>
    <w:rsid w:val="008E16F4"/>
    <w:rsid w:val="008E4866"/>
    <w:rsid w:val="008E49E0"/>
    <w:rsid w:val="008E4AA6"/>
    <w:rsid w:val="008E55A3"/>
    <w:rsid w:val="008E7299"/>
    <w:rsid w:val="008E72E5"/>
    <w:rsid w:val="008E732B"/>
    <w:rsid w:val="008F032F"/>
    <w:rsid w:val="008F06C6"/>
    <w:rsid w:val="008F27A3"/>
    <w:rsid w:val="008F2DCA"/>
    <w:rsid w:val="008F2E48"/>
    <w:rsid w:val="008F331C"/>
    <w:rsid w:val="008F3475"/>
    <w:rsid w:val="008F4353"/>
    <w:rsid w:val="008F4880"/>
    <w:rsid w:val="008F4D3C"/>
    <w:rsid w:val="008F7B34"/>
    <w:rsid w:val="009001BF"/>
    <w:rsid w:val="009018F2"/>
    <w:rsid w:val="00901C33"/>
    <w:rsid w:val="0090292A"/>
    <w:rsid w:val="00903270"/>
    <w:rsid w:val="009056D2"/>
    <w:rsid w:val="00905B07"/>
    <w:rsid w:val="00905F6A"/>
    <w:rsid w:val="0090704B"/>
    <w:rsid w:val="00907245"/>
    <w:rsid w:val="009100BA"/>
    <w:rsid w:val="00911397"/>
    <w:rsid w:val="00911F31"/>
    <w:rsid w:val="00913920"/>
    <w:rsid w:val="00913B9A"/>
    <w:rsid w:val="00914786"/>
    <w:rsid w:val="009151EE"/>
    <w:rsid w:val="009155B7"/>
    <w:rsid w:val="009157CE"/>
    <w:rsid w:val="00915C40"/>
    <w:rsid w:val="00916934"/>
    <w:rsid w:val="0091793E"/>
    <w:rsid w:val="0092018F"/>
    <w:rsid w:val="00920D2D"/>
    <w:rsid w:val="00921712"/>
    <w:rsid w:val="009217DB"/>
    <w:rsid w:val="009218AD"/>
    <w:rsid w:val="0092215B"/>
    <w:rsid w:val="00925844"/>
    <w:rsid w:val="009329EF"/>
    <w:rsid w:val="00933978"/>
    <w:rsid w:val="00934146"/>
    <w:rsid w:val="0093414D"/>
    <w:rsid w:val="009344C6"/>
    <w:rsid w:val="00934904"/>
    <w:rsid w:val="00936103"/>
    <w:rsid w:val="00936279"/>
    <w:rsid w:val="00936AAB"/>
    <w:rsid w:val="00936D82"/>
    <w:rsid w:val="009372F9"/>
    <w:rsid w:val="00937716"/>
    <w:rsid w:val="00940A57"/>
    <w:rsid w:val="00941A80"/>
    <w:rsid w:val="00941EDB"/>
    <w:rsid w:val="00942047"/>
    <w:rsid w:val="00942B8F"/>
    <w:rsid w:val="0094379A"/>
    <w:rsid w:val="0094411A"/>
    <w:rsid w:val="00944F93"/>
    <w:rsid w:val="00945870"/>
    <w:rsid w:val="00945AAD"/>
    <w:rsid w:val="0095002E"/>
    <w:rsid w:val="0095015B"/>
    <w:rsid w:val="00950B69"/>
    <w:rsid w:val="009514E3"/>
    <w:rsid w:val="00951EFA"/>
    <w:rsid w:val="009526E6"/>
    <w:rsid w:val="00952F79"/>
    <w:rsid w:val="00954A09"/>
    <w:rsid w:val="00954D13"/>
    <w:rsid w:val="00954D1C"/>
    <w:rsid w:val="0095663C"/>
    <w:rsid w:val="00960804"/>
    <w:rsid w:val="00960E5A"/>
    <w:rsid w:val="009618AD"/>
    <w:rsid w:val="00963841"/>
    <w:rsid w:val="00964A32"/>
    <w:rsid w:val="00964A4D"/>
    <w:rsid w:val="009654CA"/>
    <w:rsid w:val="00970DCB"/>
    <w:rsid w:val="009713A2"/>
    <w:rsid w:val="00973468"/>
    <w:rsid w:val="009736C7"/>
    <w:rsid w:val="00973CE3"/>
    <w:rsid w:val="009743E1"/>
    <w:rsid w:val="00975A4E"/>
    <w:rsid w:val="00976831"/>
    <w:rsid w:val="009770C5"/>
    <w:rsid w:val="0097786F"/>
    <w:rsid w:val="00977B68"/>
    <w:rsid w:val="009812DC"/>
    <w:rsid w:val="00981903"/>
    <w:rsid w:val="00984D5F"/>
    <w:rsid w:val="0098513A"/>
    <w:rsid w:val="00986389"/>
    <w:rsid w:val="00986C39"/>
    <w:rsid w:val="00986CD1"/>
    <w:rsid w:val="00986D2B"/>
    <w:rsid w:val="0098735C"/>
    <w:rsid w:val="0098747D"/>
    <w:rsid w:val="009902F2"/>
    <w:rsid w:val="00991AA6"/>
    <w:rsid w:val="00991B2A"/>
    <w:rsid w:val="009925EB"/>
    <w:rsid w:val="00992A6D"/>
    <w:rsid w:val="009948C1"/>
    <w:rsid w:val="0099520F"/>
    <w:rsid w:val="009978A5"/>
    <w:rsid w:val="00997960"/>
    <w:rsid w:val="009A00A5"/>
    <w:rsid w:val="009A097E"/>
    <w:rsid w:val="009A102D"/>
    <w:rsid w:val="009A39B2"/>
    <w:rsid w:val="009A641E"/>
    <w:rsid w:val="009A65FF"/>
    <w:rsid w:val="009A71D6"/>
    <w:rsid w:val="009A7317"/>
    <w:rsid w:val="009A7C86"/>
    <w:rsid w:val="009A7DD1"/>
    <w:rsid w:val="009A7E19"/>
    <w:rsid w:val="009A7F13"/>
    <w:rsid w:val="009B0165"/>
    <w:rsid w:val="009B01AB"/>
    <w:rsid w:val="009B0695"/>
    <w:rsid w:val="009B0AE1"/>
    <w:rsid w:val="009B1541"/>
    <w:rsid w:val="009B230E"/>
    <w:rsid w:val="009B2C10"/>
    <w:rsid w:val="009B345A"/>
    <w:rsid w:val="009B34F9"/>
    <w:rsid w:val="009B5938"/>
    <w:rsid w:val="009B5C6D"/>
    <w:rsid w:val="009B61C5"/>
    <w:rsid w:val="009B72B9"/>
    <w:rsid w:val="009C0DD3"/>
    <w:rsid w:val="009C15FE"/>
    <w:rsid w:val="009C1790"/>
    <w:rsid w:val="009C1F6D"/>
    <w:rsid w:val="009C22BA"/>
    <w:rsid w:val="009C3627"/>
    <w:rsid w:val="009C577C"/>
    <w:rsid w:val="009C642E"/>
    <w:rsid w:val="009C77F7"/>
    <w:rsid w:val="009C79F9"/>
    <w:rsid w:val="009D003C"/>
    <w:rsid w:val="009D05B3"/>
    <w:rsid w:val="009D20D0"/>
    <w:rsid w:val="009D24EA"/>
    <w:rsid w:val="009D2671"/>
    <w:rsid w:val="009D280B"/>
    <w:rsid w:val="009D2D05"/>
    <w:rsid w:val="009D509F"/>
    <w:rsid w:val="009D56EF"/>
    <w:rsid w:val="009D7211"/>
    <w:rsid w:val="009D72BD"/>
    <w:rsid w:val="009D772A"/>
    <w:rsid w:val="009D7A50"/>
    <w:rsid w:val="009E00CC"/>
    <w:rsid w:val="009E02D4"/>
    <w:rsid w:val="009E077F"/>
    <w:rsid w:val="009E08EB"/>
    <w:rsid w:val="009E0D83"/>
    <w:rsid w:val="009E14AE"/>
    <w:rsid w:val="009E19AB"/>
    <w:rsid w:val="009E1F56"/>
    <w:rsid w:val="009E254B"/>
    <w:rsid w:val="009E25B1"/>
    <w:rsid w:val="009E35B4"/>
    <w:rsid w:val="009E6067"/>
    <w:rsid w:val="009E630D"/>
    <w:rsid w:val="009E6B8B"/>
    <w:rsid w:val="009E7035"/>
    <w:rsid w:val="009E7D06"/>
    <w:rsid w:val="009F0973"/>
    <w:rsid w:val="009F1871"/>
    <w:rsid w:val="009F3904"/>
    <w:rsid w:val="009F3D86"/>
    <w:rsid w:val="009F4B29"/>
    <w:rsid w:val="009F6BB6"/>
    <w:rsid w:val="009F7062"/>
    <w:rsid w:val="009F7366"/>
    <w:rsid w:val="009F7612"/>
    <w:rsid w:val="009F7636"/>
    <w:rsid w:val="009F7984"/>
    <w:rsid w:val="009F7C66"/>
    <w:rsid w:val="00A00E4D"/>
    <w:rsid w:val="00A014D0"/>
    <w:rsid w:val="00A0164E"/>
    <w:rsid w:val="00A01E4B"/>
    <w:rsid w:val="00A01F0E"/>
    <w:rsid w:val="00A05EBB"/>
    <w:rsid w:val="00A0627A"/>
    <w:rsid w:val="00A124A4"/>
    <w:rsid w:val="00A1363E"/>
    <w:rsid w:val="00A13C9D"/>
    <w:rsid w:val="00A14203"/>
    <w:rsid w:val="00A14E95"/>
    <w:rsid w:val="00A1581A"/>
    <w:rsid w:val="00A159D2"/>
    <w:rsid w:val="00A16DE9"/>
    <w:rsid w:val="00A17AA6"/>
    <w:rsid w:val="00A204C1"/>
    <w:rsid w:val="00A20F88"/>
    <w:rsid w:val="00A211C6"/>
    <w:rsid w:val="00A21CA2"/>
    <w:rsid w:val="00A24501"/>
    <w:rsid w:val="00A247D2"/>
    <w:rsid w:val="00A25E03"/>
    <w:rsid w:val="00A2660D"/>
    <w:rsid w:val="00A266E4"/>
    <w:rsid w:val="00A26953"/>
    <w:rsid w:val="00A26F96"/>
    <w:rsid w:val="00A27326"/>
    <w:rsid w:val="00A302A0"/>
    <w:rsid w:val="00A3278D"/>
    <w:rsid w:val="00A32904"/>
    <w:rsid w:val="00A3290F"/>
    <w:rsid w:val="00A32BF4"/>
    <w:rsid w:val="00A33215"/>
    <w:rsid w:val="00A33BC7"/>
    <w:rsid w:val="00A36477"/>
    <w:rsid w:val="00A37CF1"/>
    <w:rsid w:val="00A4050B"/>
    <w:rsid w:val="00A415AF"/>
    <w:rsid w:val="00A42757"/>
    <w:rsid w:val="00A43C29"/>
    <w:rsid w:val="00A4448F"/>
    <w:rsid w:val="00A445BC"/>
    <w:rsid w:val="00A45102"/>
    <w:rsid w:val="00A465F8"/>
    <w:rsid w:val="00A46885"/>
    <w:rsid w:val="00A47A8C"/>
    <w:rsid w:val="00A539B8"/>
    <w:rsid w:val="00A54540"/>
    <w:rsid w:val="00A54CCA"/>
    <w:rsid w:val="00A55186"/>
    <w:rsid w:val="00A5597D"/>
    <w:rsid w:val="00A5650D"/>
    <w:rsid w:val="00A56E09"/>
    <w:rsid w:val="00A602CC"/>
    <w:rsid w:val="00A6035F"/>
    <w:rsid w:val="00A606F4"/>
    <w:rsid w:val="00A60B65"/>
    <w:rsid w:val="00A61145"/>
    <w:rsid w:val="00A61589"/>
    <w:rsid w:val="00A61EDE"/>
    <w:rsid w:val="00A62529"/>
    <w:rsid w:val="00A62681"/>
    <w:rsid w:val="00A62B7C"/>
    <w:rsid w:val="00A62CF9"/>
    <w:rsid w:val="00A641BD"/>
    <w:rsid w:val="00A663CF"/>
    <w:rsid w:val="00A67785"/>
    <w:rsid w:val="00A70097"/>
    <w:rsid w:val="00A70139"/>
    <w:rsid w:val="00A71079"/>
    <w:rsid w:val="00A725D5"/>
    <w:rsid w:val="00A73C57"/>
    <w:rsid w:val="00A743CF"/>
    <w:rsid w:val="00A7679C"/>
    <w:rsid w:val="00A76838"/>
    <w:rsid w:val="00A7770D"/>
    <w:rsid w:val="00A823E4"/>
    <w:rsid w:val="00A838E0"/>
    <w:rsid w:val="00A83DAB"/>
    <w:rsid w:val="00A83F83"/>
    <w:rsid w:val="00A843D7"/>
    <w:rsid w:val="00A84AA9"/>
    <w:rsid w:val="00A8546D"/>
    <w:rsid w:val="00A85470"/>
    <w:rsid w:val="00A873E9"/>
    <w:rsid w:val="00A87ACC"/>
    <w:rsid w:val="00A908AE"/>
    <w:rsid w:val="00A90BC1"/>
    <w:rsid w:val="00A930BA"/>
    <w:rsid w:val="00A9374C"/>
    <w:rsid w:val="00A937FE"/>
    <w:rsid w:val="00A96634"/>
    <w:rsid w:val="00AA0BAA"/>
    <w:rsid w:val="00AA1762"/>
    <w:rsid w:val="00AA234C"/>
    <w:rsid w:val="00AA2440"/>
    <w:rsid w:val="00AA27C9"/>
    <w:rsid w:val="00AA440D"/>
    <w:rsid w:val="00AA4EDF"/>
    <w:rsid w:val="00AA54F8"/>
    <w:rsid w:val="00AA6A69"/>
    <w:rsid w:val="00AA6F2C"/>
    <w:rsid w:val="00AA70E4"/>
    <w:rsid w:val="00AA79C9"/>
    <w:rsid w:val="00AA7C20"/>
    <w:rsid w:val="00AB017D"/>
    <w:rsid w:val="00AB0393"/>
    <w:rsid w:val="00AB3422"/>
    <w:rsid w:val="00AB34F4"/>
    <w:rsid w:val="00AB37DC"/>
    <w:rsid w:val="00AB4F45"/>
    <w:rsid w:val="00AB66FD"/>
    <w:rsid w:val="00AB6999"/>
    <w:rsid w:val="00AC1179"/>
    <w:rsid w:val="00AC1690"/>
    <w:rsid w:val="00AC3FB4"/>
    <w:rsid w:val="00AC4782"/>
    <w:rsid w:val="00AC4FD0"/>
    <w:rsid w:val="00AC52C9"/>
    <w:rsid w:val="00AC558F"/>
    <w:rsid w:val="00AC5B94"/>
    <w:rsid w:val="00AC68B9"/>
    <w:rsid w:val="00AC6C1E"/>
    <w:rsid w:val="00AD03FB"/>
    <w:rsid w:val="00AD04B9"/>
    <w:rsid w:val="00AD0B9B"/>
    <w:rsid w:val="00AD1606"/>
    <w:rsid w:val="00AD204B"/>
    <w:rsid w:val="00AD366B"/>
    <w:rsid w:val="00AD5433"/>
    <w:rsid w:val="00AD6AEF"/>
    <w:rsid w:val="00AD705E"/>
    <w:rsid w:val="00AD7566"/>
    <w:rsid w:val="00AE0DF2"/>
    <w:rsid w:val="00AE244B"/>
    <w:rsid w:val="00AE24B0"/>
    <w:rsid w:val="00AE42EC"/>
    <w:rsid w:val="00AE4740"/>
    <w:rsid w:val="00AE5646"/>
    <w:rsid w:val="00AE5A27"/>
    <w:rsid w:val="00AE681A"/>
    <w:rsid w:val="00AE7540"/>
    <w:rsid w:val="00AF0808"/>
    <w:rsid w:val="00AF10A9"/>
    <w:rsid w:val="00AF21AA"/>
    <w:rsid w:val="00AF2BC3"/>
    <w:rsid w:val="00AF30FB"/>
    <w:rsid w:val="00AF35B6"/>
    <w:rsid w:val="00AF4145"/>
    <w:rsid w:val="00AF527F"/>
    <w:rsid w:val="00AF5A53"/>
    <w:rsid w:val="00AF6446"/>
    <w:rsid w:val="00AF6894"/>
    <w:rsid w:val="00B009BF"/>
    <w:rsid w:val="00B01A07"/>
    <w:rsid w:val="00B026C9"/>
    <w:rsid w:val="00B04E5A"/>
    <w:rsid w:val="00B05DCE"/>
    <w:rsid w:val="00B066DA"/>
    <w:rsid w:val="00B067B1"/>
    <w:rsid w:val="00B06A8A"/>
    <w:rsid w:val="00B06BE2"/>
    <w:rsid w:val="00B06E17"/>
    <w:rsid w:val="00B077F0"/>
    <w:rsid w:val="00B10399"/>
    <w:rsid w:val="00B1082E"/>
    <w:rsid w:val="00B110A4"/>
    <w:rsid w:val="00B11C3E"/>
    <w:rsid w:val="00B11CE0"/>
    <w:rsid w:val="00B1225E"/>
    <w:rsid w:val="00B122C4"/>
    <w:rsid w:val="00B12A61"/>
    <w:rsid w:val="00B14580"/>
    <w:rsid w:val="00B14D1C"/>
    <w:rsid w:val="00B153D9"/>
    <w:rsid w:val="00B168C0"/>
    <w:rsid w:val="00B17612"/>
    <w:rsid w:val="00B201FE"/>
    <w:rsid w:val="00B204BD"/>
    <w:rsid w:val="00B2076D"/>
    <w:rsid w:val="00B20AD5"/>
    <w:rsid w:val="00B21A92"/>
    <w:rsid w:val="00B223EF"/>
    <w:rsid w:val="00B22673"/>
    <w:rsid w:val="00B22C80"/>
    <w:rsid w:val="00B23259"/>
    <w:rsid w:val="00B2348A"/>
    <w:rsid w:val="00B24D06"/>
    <w:rsid w:val="00B253A5"/>
    <w:rsid w:val="00B255DB"/>
    <w:rsid w:val="00B26244"/>
    <w:rsid w:val="00B27250"/>
    <w:rsid w:val="00B2741C"/>
    <w:rsid w:val="00B30E26"/>
    <w:rsid w:val="00B31203"/>
    <w:rsid w:val="00B316ED"/>
    <w:rsid w:val="00B337B2"/>
    <w:rsid w:val="00B33C5B"/>
    <w:rsid w:val="00B34D27"/>
    <w:rsid w:val="00B3544B"/>
    <w:rsid w:val="00B3575C"/>
    <w:rsid w:val="00B35F57"/>
    <w:rsid w:val="00B403C6"/>
    <w:rsid w:val="00B40CD7"/>
    <w:rsid w:val="00B41C45"/>
    <w:rsid w:val="00B420C7"/>
    <w:rsid w:val="00B420D2"/>
    <w:rsid w:val="00B425E9"/>
    <w:rsid w:val="00B42F1A"/>
    <w:rsid w:val="00B43CEE"/>
    <w:rsid w:val="00B43E3B"/>
    <w:rsid w:val="00B44759"/>
    <w:rsid w:val="00B44881"/>
    <w:rsid w:val="00B44C3B"/>
    <w:rsid w:val="00B44FC9"/>
    <w:rsid w:val="00B45210"/>
    <w:rsid w:val="00B45278"/>
    <w:rsid w:val="00B45F09"/>
    <w:rsid w:val="00B464F1"/>
    <w:rsid w:val="00B46A19"/>
    <w:rsid w:val="00B4739C"/>
    <w:rsid w:val="00B51AB4"/>
    <w:rsid w:val="00B51BB4"/>
    <w:rsid w:val="00B53A9A"/>
    <w:rsid w:val="00B54297"/>
    <w:rsid w:val="00B544D4"/>
    <w:rsid w:val="00B545D8"/>
    <w:rsid w:val="00B55E6A"/>
    <w:rsid w:val="00B56715"/>
    <w:rsid w:val="00B57F34"/>
    <w:rsid w:val="00B6111D"/>
    <w:rsid w:val="00B614BB"/>
    <w:rsid w:val="00B62122"/>
    <w:rsid w:val="00B63155"/>
    <w:rsid w:val="00B63526"/>
    <w:rsid w:val="00B63A26"/>
    <w:rsid w:val="00B63AAC"/>
    <w:rsid w:val="00B63F56"/>
    <w:rsid w:val="00B64373"/>
    <w:rsid w:val="00B64525"/>
    <w:rsid w:val="00B65900"/>
    <w:rsid w:val="00B66899"/>
    <w:rsid w:val="00B70C22"/>
    <w:rsid w:val="00B70CE8"/>
    <w:rsid w:val="00B72584"/>
    <w:rsid w:val="00B748C5"/>
    <w:rsid w:val="00B749A7"/>
    <w:rsid w:val="00B74D00"/>
    <w:rsid w:val="00B76ACC"/>
    <w:rsid w:val="00B77231"/>
    <w:rsid w:val="00B7777E"/>
    <w:rsid w:val="00B779E0"/>
    <w:rsid w:val="00B802F8"/>
    <w:rsid w:val="00B804CE"/>
    <w:rsid w:val="00B81609"/>
    <w:rsid w:val="00B818FE"/>
    <w:rsid w:val="00B81E2C"/>
    <w:rsid w:val="00B834C7"/>
    <w:rsid w:val="00B83F2A"/>
    <w:rsid w:val="00B84CAD"/>
    <w:rsid w:val="00B84CDF"/>
    <w:rsid w:val="00B859A3"/>
    <w:rsid w:val="00B86ABE"/>
    <w:rsid w:val="00B86CAF"/>
    <w:rsid w:val="00B86DFB"/>
    <w:rsid w:val="00B875F9"/>
    <w:rsid w:val="00B9052F"/>
    <w:rsid w:val="00B90EC3"/>
    <w:rsid w:val="00B94377"/>
    <w:rsid w:val="00B97233"/>
    <w:rsid w:val="00B97589"/>
    <w:rsid w:val="00BA219E"/>
    <w:rsid w:val="00BA526C"/>
    <w:rsid w:val="00BA552B"/>
    <w:rsid w:val="00BA5AD9"/>
    <w:rsid w:val="00BA6819"/>
    <w:rsid w:val="00BA683C"/>
    <w:rsid w:val="00BA746E"/>
    <w:rsid w:val="00BA7BA4"/>
    <w:rsid w:val="00BB0178"/>
    <w:rsid w:val="00BB05C6"/>
    <w:rsid w:val="00BB1597"/>
    <w:rsid w:val="00BB1F35"/>
    <w:rsid w:val="00BB2216"/>
    <w:rsid w:val="00BB2DEC"/>
    <w:rsid w:val="00BB3815"/>
    <w:rsid w:val="00BB3AB0"/>
    <w:rsid w:val="00BB3FA3"/>
    <w:rsid w:val="00BB433F"/>
    <w:rsid w:val="00BB57F8"/>
    <w:rsid w:val="00BB59EC"/>
    <w:rsid w:val="00BB5CBA"/>
    <w:rsid w:val="00BB63F4"/>
    <w:rsid w:val="00BB6CF7"/>
    <w:rsid w:val="00BB7C18"/>
    <w:rsid w:val="00BC016D"/>
    <w:rsid w:val="00BC0D0B"/>
    <w:rsid w:val="00BC30C0"/>
    <w:rsid w:val="00BC3D03"/>
    <w:rsid w:val="00BC4C3C"/>
    <w:rsid w:val="00BC6624"/>
    <w:rsid w:val="00BD0302"/>
    <w:rsid w:val="00BD0BFF"/>
    <w:rsid w:val="00BD0C8F"/>
    <w:rsid w:val="00BD1354"/>
    <w:rsid w:val="00BD145F"/>
    <w:rsid w:val="00BD2642"/>
    <w:rsid w:val="00BD3359"/>
    <w:rsid w:val="00BD3730"/>
    <w:rsid w:val="00BD463F"/>
    <w:rsid w:val="00BD4EAD"/>
    <w:rsid w:val="00BD582F"/>
    <w:rsid w:val="00BD6707"/>
    <w:rsid w:val="00BD6E83"/>
    <w:rsid w:val="00BD77ED"/>
    <w:rsid w:val="00BE05DE"/>
    <w:rsid w:val="00BE06C2"/>
    <w:rsid w:val="00BE10C3"/>
    <w:rsid w:val="00BE110A"/>
    <w:rsid w:val="00BE19D4"/>
    <w:rsid w:val="00BE2AFF"/>
    <w:rsid w:val="00BE2FB4"/>
    <w:rsid w:val="00BE3779"/>
    <w:rsid w:val="00BE3B94"/>
    <w:rsid w:val="00BE4C35"/>
    <w:rsid w:val="00BE4EC3"/>
    <w:rsid w:val="00BE5A8F"/>
    <w:rsid w:val="00BE5F47"/>
    <w:rsid w:val="00BE5FDA"/>
    <w:rsid w:val="00BE6B1A"/>
    <w:rsid w:val="00BE6DCD"/>
    <w:rsid w:val="00BF012F"/>
    <w:rsid w:val="00BF06D8"/>
    <w:rsid w:val="00BF1135"/>
    <w:rsid w:val="00BF1B73"/>
    <w:rsid w:val="00BF1E6C"/>
    <w:rsid w:val="00BF1F20"/>
    <w:rsid w:val="00BF3972"/>
    <w:rsid w:val="00BF4ADB"/>
    <w:rsid w:val="00BF50EA"/>
    <w:rsid w:val="00BF5D9E"/>
    <w:rsid w:val="00BF66ED"/>
    <w:rsid w:val="00BF70AF"/>
    <w:rsid w:val="00C017C1"/>
    <w:rsid w:val="00C019A1"/>
    <w:rsid w:val="00C03D63"/>
    <w:rsid w:val="00C046E7"/>
    <w:rsid w:val="00C049FA"/>
    <w:rsid w:val="00C04E64"/>
    <w:rsid w:val="00C0547A"/>
    <w:rsid w:val="00C05998"/>
    <w:rsid w:val="00C060FE"/>
    <w:rsid w:val="00C0652E"/>
    <w:rsid w:val="00C0696E"/>
    <w:rsid w:val="00C10089"/>
    <w:rsid w:val="00C105AD"/>
    <w:rsid w:val="00C11074"/>
    <w:rsid w:val="00C11260"/>
    <w:rsid w:val="00C11C0C"/>
    <w:rsid w:val="00C122F3"/>
    <w:rsid w:val="00C12CA7"/>
    <w:rsid w:val="00C131CB"/>
    <w:rsid w:val="00C13DEB"/>
    <w:rsid w:val="00C1462C"/>
    <w:rsid w:val="00C14CB3"/>
    <w:rsid w:val="00C14D77"/>
    <w:rsid w:val="00C14E00"/>
    <w:rsid w:val="00C154F3"/>
    <w:rsid w:val="00C16ED4"/>
    <w:rsid w:val="00C17049"/>
    <w:rsid w:val="00C17766"/>
    <w:rsid w:val="00C23894"/>
    <w:rsid w:val="00C23ECC"/>
    <w:rsid w:val="00C23F8D"/>
    <w:rsid w:val="00C248ED"/>
    <w:rsid w:val="00C253EF"/>
    <w:rsid w:val="00C25580"/>
    <w:rsid w:val="00C26804"/>
    <w:rsid w:val="00C26F44"/>
    <w:rsid w:val="00C272EC"/>
    <w:rsid w:val="00C30478"/>
    <w:rsid w:val="00C305D7"/>
    <w:rsid w:val="00C31CE6"/>
    <w:rsid w:val="00C32AA0"/>
    <w:rsid w:val="00C32C40"/>
    <w:rsid w:val="00C32DF8"/>
    <w:rsid w:val="00C34057"/>
    <w:rsid w:val="00C34271"/>
    <w:rsid w:val="00C34611"/>
    <w:rsid w:val="00C34779"/>
    <w:rsid w:val="00C34875"/>
    <w:rsid w:val="00C35908"/>
    <w:rsid w:val="00C359E5"/>
    <w:rsid w:val="00C35EAF"/>
    <w:rsid w:val="00C3634B"/>
    <w:rsid w:val="00C370AC"/>
    <w:rsid w:val="00C40D04"/>
    <w:rsid w:val="00C40F9E"/>
    <w:rsid w:val="00C4157C"/>
    <w:rsid w:val="00C41859"/>
    <w:rsid w:val="00C43675"/>
    <w:rsid w:val="00C43DB7"/>
    <w:rsid w:val="00C440AE"/>
    <w:rsid w:val="00C451FE"/>
    <w:rsid w:val="00C46206"/>
    <w:rsid w:val="00C46D1C"/>
    <w:rsid w:val="00C4712A"/>
    <w:rsid w:val="00C525FC"/>
    <w:rsid w:val="00C544B6"/>
    <w:rsid w:val="00C54B53"/>
    <w:rsid w:val="00C57285"/>
    <w:rsid w:val="00C57AA1"/>
    <w:rsid w:val="00C60764"/>
    <w:rsid w:val="00C61F2C"/>
    <w:rsid w:val="00C6410C"/>
    <w:rsid w:val="00C64BE3"/>
    <w:rsid w:val="00C65962"/>
    <w:rsid w:val="00C672EC"/>
    <w:rsid w:val="00C701BD"/>
    <w:rsid w:val="00C706B2"/>
    <w:rsid w:val="00C7103E"/>
    <w:rsid w:val="00C71D17"/>
    <w:rsid w:val="00C7221C"/>
    <w:rsid w:val="00C7335D"/>
    <w:rsid w:val="00C73D49"/>
    <w:rsid w:val="00C74281"/>
    <w:rsid w:val="00C74C87"/>
    <w:rsid w:val="00C74FC5"/>
    <w:rsid w:val="00C7766F"/>
    <w:rsid w:val="00C77CB9"/>
    <w:rsid w:val="00C803A7"/>
    <w:rsid w:val="00C8118B"/>
    <w:rsid w:val="00C826D8"/>
    <w:rsid w:val="00C82E63"/>
    <w:rsid w:val="00C8455D"/>
    <w:rsid w:val="00C84D35"/>
    <w:rsid w:val="00C860BC"/>
    <w:rsid w:val="00C863B5"/>
    <w:rsid w:val="00C87E61"/>
    <w:rsid w:val="00C9053B"/>
    <w:rsid w:val="00C916C7"/>
    <w:rsid w:val="00C91F1D"/>
    <w:rsid w:val="00C933FE"/>
    <w:rsid w:val="00C94D91"/>
    <w:rsid w:val="00C95729"/>
    <w:rsid w:val="00C95C95"/>
    <w:rsid w:val="00C97DE2"/>
    <w:rsid w:val="00CA00A8"/>
    <w:rsid w:val="00CA0AB5"/>
    <w:rsid w:val="00CA14D5"/>
    <w:rsid w:val="00CA1DE1"/>
    <w:rsid w:val="00CA1F3B"/>
    <w:rsid w:val="00CA219F"/>
    <w:rsid w:val="00CA26D2"/>
    <w:rsid w:val="00CA286F"/>
    <w:rsid w:val="00CA4304"/>
    <w:rsid w:val="00CA5289"/>
    <w:rsid w:val="00CA5ABB"/>
    <w:rsid w:val="00CA5EF5"/>
    <w:rsid w:val="00CA6A0A"/>
    <w:rsid w:val="00CB3D86"/>
    <w:rsid w:val="00CB3DA1"/>
    <w:rsid w:val="00CB3F75"/>
    <w:rsid w:val="00CB576B"/>
    <w:rsid w:val="00CB63A3"/>
    <w:rsid w:val="00CB6558"/>
    <w:rsid w:val="00CB6745"/>
    <w:rsid w:val="00CC285C"/>
    <w:rsid w:val="00CC313C"/>
    <w:rsid w:val="00CC5087"/>
    <w:rsid w:val="00CC53E0"/>
    <w:rsid w:val="00CC5C09"/>
    <w:rsid w:val="00CC5C58"/>
    <w:rsid w:val="00CC691C"/>
    <w:rsid w:val="00CD005A"/>
    <w:rsid w:val="00CD01BB"/>
    <w:rsid w:val="00CD131A"/>
    <w:rsid w:val="00CD1844"/>
    <w:rsid w:val="00CD2151"/>
    <w:rsid w:val="00CD27B7"/>
    <w:rsid w:val="00CD2A5B"/>
    <w:rsid w:val="00CD2B09"/>
    <w:rsid w:val="00CD3A46"/>
    <w:rsid w:val="00CD459C"/>
    <w:rsid w:val="00CD504F"/>
    <w:rsid w:val="00CD5FDC"/>
    <w:rsid w:val="00CD66D6"/>
    <w:rsid w:val="00CD6D78"/>
    <w:rsid w:val="00CD72C8"/>
    <w:rsid w:val="00CD74E4"/>
    <w:rsid w:val="00CE12C4"/>
    <w:rsid w:val="00CE4D77"/>
    <w:rsid w:val="00CE4DD1"/>
    <w:rsid w:val="00CE5C70"/>
    <w:rsid w:val="00CE5DB4"/>
    <w:rsid w:val="00CE5E91"/>
    <w:rsid w:val="00CF04D8"/>
    <w:rsid w:val="00CF38A9"/>
    <w:rsid w:val="00CF3F0A"/>
    <w:rsid w:val="00CF4261"/>
    <w:rsid w:val="00CF45EC"/>
    <w:rsid w:val="00CF5026"/>
    <w:rsid w:val="00CF5226"/>
    <w:rsid w:val="00CF78B6"/>
    <w:rsid w:val="00CF7F9B"/>
    <w:rsid w:val="00D00453"/>
    <w:rsid w:val="00D00AF6"/>
    <w:rsid w:val="00D0109F"/>
    <w:rsid w:val="00D02078"/>
    <w:rsid w:val="00D020E3"/>
    <w:rsid w:val="00D028CC"/>
    <w:rsid w:val="00D046B4"/>
    <w:rsid w:val="00D052AF"/>
    <w:rsid w:val="00D074DC"/>
    <w:rsid w:val="00D10107"/>
    <w:rsid w:val="00D10177"/>
    <w:rsid w:val="00D1144F"/>
    <w:rsid w:val="00D12374"/>
    <w:rsid w:val="00D12CBA"/>
    <w:rsid w:val="00D1313C"/>
    <w:rsid w:val="00D13E7C"/>
    <w:rsid w:val="00D14556"/>
    <w:rsid w:val="00D14766"/>
    <w:rsid w:val="00D149F7"/>
    <w:rsid w:val="00D14B7A"/>
    <w:rsid w:val="00D14DD7"/>
    <w:rsid w:val="00D15E57"/>
    <w:rsid w:val="00D17346"/>
    <w:rsid w:val="00D173F5"/>
    <w:rsid w:val="00D174E2"/>
    <w:rsid w:val="00D20DA9"/>
    <w:rsid w:val="00D211F7"/>
    <w:rsid w:val="00D21999"/>
    <w:rsid w:val="00D25756"/>
    <w:rsid w:val="00D26964"/>
    <w:rsid w:val="00D27E5F"/>
    <w:rsid w:val="00D3058B"/>
    <w:rsid w:val="00D308D7"/>
    <w:rsid w:val="00D30CEF"/>
    <w:rsid w:val="00D31718"/>
    <w:rsid w:val="00D320BC"/>
    <w:rsid w:val="00D327E5"/>
    <w:rsid w:val="00D3293B"/>
    <w:rsid w:val="00D32985"/>
    <w:rsid w:val="00D32ECE"/>
    <w:rsid w:val="00D32F1E"/>
    <w:rsid w:val="00D33244"/>
    <w:rsid w:val="00D33E9E"/>
    <w:rsid w:val="00D351ED"/>
    <w:rsid w:val="00D35859"/>
    <w:rsid w:val="00D35DE5"/>
    <w:rsid w:val="00D372F6"/>
    <w:rsid w:val="00D373D3"/>
    <w:rsid w:val="00D40AE0"/>
    <w:rsid w:val="00D4167A"/>
    <w:rsid w:val="00D417FD"/>
    <w:rsid w:val="00D419CE"/>
    <w:rsid w:val="00D4322F"/>
    <w:rsid w:val="00D453CE"/>
    <w:rsid w:val="00D45887"/>
    <w:rsid w:val="00D46C29"/>
    <w:rsid w:val="00D50260"/>
    <w:rsid w:val="00D514EC"/>
    <w:rsid w:val="00D517D5"/>
    <w:rsid w:val="00D537B5"/>
    <w:rsid w:val="00D53C27"/>
    <w:rsid w:val="00D542C4"/>
    <w:rsid w:val="00D54456"/>
    <w:rsid w:val="00D568AC"/>
    <w:rsid w:val="00D56B65"/>
    <w:rsid w:val="00D57677"/>
    <w:rsid w:val="00D6004D"/>
    <w:rsid w:val="00D60F6F"/>
    <w:rsid w:val="00D61455"/>
    <w:rsid w:val="00D62017"/>
    <w:rsid w:val="00D62D6E"/>
    <w:rsid w:val="00D63188"/>
    <w:rsid w:val="00D638F3"/>
    <w:rsid w:val="00D64E82"/>
    <w:rsid w:val="00D65A81"/>
    <w:rsid w:val="00D65C95"/>
    <w:rsid w:val="00D667DE"/>
    <w:rsid w:val="00D67ACF"/>
    <w:rsid w:val="00D70941"/>
    <w:rsid w:val="00D70F3C"/>
    <w:rsid w:val="00D7125D"/>
    <w:rsid w:val="00D72139"/>
    <w:rsid w:val="00D73464"/>
    <w:rsid w:val="00D73D25"/>
    <w:rsid w:val="00D7466E"/>
    <w:rsid w:val="00D74671"/>
    <w:rsid w:val="00D74CD0"/>
    <w:rsid w:val="00D759B4"/>
    <w:rsid w:val="00D76FFA"/>
    <w:rsid w:val="00D770D2"/>
    <w:rsid w:val="00D77CE1"/>
    <w:rsid w:val="00D80628"/>
    <w:rsid w:val="00D81173"/>
    <w:rsid w:val="00D811C5"/>
    <w:rsid w:val="00D82E29"/>
    <w:rsid w:val="00D83FF7"/>
    <w:rsid w:val="00D845EA"/>
    <w:rsid w:val="00D86E2D"/>
    <w:rsid w:val="00D90733"/>
    <w:rsid w:val="00D90EDC"/>
    <w:rsid w:val="00D915DF"/>
    <w:rsid w:val="00D91B8E"/>
    <w:rsid w:val="00D92376"/>
    <w:rsid w:val="00D924A4"/>
    <w:rsid w:val="00D926A2"/>
    <w:rsid w:val="00D962AB"/>
    <w:rsid w:val="00D96B97"/>
    <w:rsid w:val="00D96FA2"/>
    <w:rsid w:val="00D9767E"/>
    <w:rsid w:val="00DA2014"/>
    <w:rsid w:val="00DA260E"/>
    <w:rsid w:val="00DA2981"/>
    <w:rsid w:val="00DA33C5"/>
    <w:rsid w:val="00DA35FF"/>
    <w:rsid w:val="00DA3C5F"/>
    <w:rsid w:val="00DA3E6C"/>
    <w:rsid w:val="00DA4CED"/>
    <w:rsid w:val="00DA6835"/>
    <w:rsid w:val="00DA6A66"/>
    <w:rsid w:val="00DA6DF9"/>
    <w:rsid w:val="00DA6FF3"/>
    <w:rsid w:val="00DA732C"/>
    <w:rsid w:val="00DA746F"/>
    <w:rsid w:val="00DA7908"/>
    <w:rsid w:val="00DA7C1F"/>
    <w:rsid w:val="00DB0A6F"/>
    <w:rsid w:val="00DB1687"/>
    <w:rsid w:val="00DB219A"/>
    <w:rsid w:val="00DB2E57"/>
    <w:rsid w:val="00DB3CAA"/>
    <w:rsid w:val="00DB646D"/>
    <w:rsid w:val="00DB6964"/>
    <w:rsid w:val="00DB7F72"/>
    <w:rsid w:val="00DC048F"/>
    <w:rsid w:val="00DC0B28"/>
    <w:rsid w:val="00DC0D66"/>
    <w:rsid w:val="00DC14DF"/>
    <w:rsid w:val="00DC20CE"/>
    <w:rsid w:val="00DC271D"/>
    <w:rsid w:val="00DC3369"/>
    <w:rsid w:val="00DC3DCB"/>
    <w:rsid w:val="00DC40C8"/>
    <w:rsid w:val="00DC46E2"/>
    <w:rsid w:val="00DC5748"/>
    <w:rsid w:val="00DC6A51"/>
    <w:rsid w:val="00DC7199"/>
    <w:rsid w:val="00DD0E35"/>
    <w:rsid w:val="00DD102F"/>
    <w:rsid w:val="00DD2699"/>
    <w:rsid w:val="00DD2C57"/>
    <w:rsid w:val="00DD2CA6"/>
    <w:rsid w:val="00DD5AE4"/>
    <w:rsid w:val="00DD701E"/>
    <w:rsid w:val="00DD79E0"/>
    <w:rsid w:val="00DD7A6C"/>
    <w:rsid w:val="00DD7CA9"/>
    <w:rsid w:val="00DE27F0"/>
    <w:rsid w:val="00DE4B0F"/>
    <w:rsid w:val="00DE51D2"/>
    <w:rsid w:val="00DE546F"/>
    <w:rsid w:val="00DE5BCF"/>
    <w:rsid w:val="00DE5F92"/>
    <w:rsid w:val="00DE6D1F"/>
    <w:rsid w:val="00DF0905"/>
    <w:rsid w:val="00DF1172"/>
    <w:rsid w:val="00DF29D4"/>
    <w:rsid w:val="00DF432A"/>
    <w:rsid w:val="00DF5142"/>
    <w:rsid w:val="00DF51F4"/>
    <w:rsid w:val="00DF57AB"/>
    <w:rsid w:val="00DF614B"/>
    <w:rsid w:val="00DF65B3"/>
    <w:rsid w:val="00DF68CD"/>
    <w:rsid w:val="00DF7381"/>
    <w:rsid w:val="00E00007"/>
    <w:rsid w:val="00E000ED"/>
    <w:rsid w:val="00E00590"/>
    <w:rsid w:val="00E028A0"/>
    <w:rsid w:val="00E03498"/>
    <w:rsid w:val="00E03C4A"/>
    <w:rsid w:val="00E03C86"/>
    <w:rsid w:val="00E03DA6"/>
    <w:rsid w:val="00E03F24"/>
    <w:rsid w:val="00E03FC9"/>
    <w:rsid w:val="00E047A2"/>
    <w:rsid w:val="00E0510E"/>
    <w:rsid w:val="00E0561B"/>
    <w:rsid w:val="00E05C13"/>
    <w:rsid w:val="00E066A7"/>
    <w:rsid w:val="00E06B92"/>
    <w:rsid w:val="00E06DC4"/>
    <w:rsid w:val="00E06F1E"/>
    <w:rsid w:val="00E07D68"/>
    <w:rsid w:val="00E10439"/>
    <w:rsid w:val="00E10C99"/>
    <w:rsid w:val="00E10E00"/>
    <w:rsid w:val="00E11374"/>
    <w:rsid w:val="00E116B1"/>
    <w:rsid w:val="00E13DA9"/>
    <w:rsid w:val="00E14EE3"/>
    <w:rsid w:val="00E15229"/>
    <w:rsid w:val="00E1533F"/>
    <w:rsid w:val="00E1550E"/>
    <w:rsid w:val="00E161DD"/>
    <w:rsid w:val="00E164C6"/>
    <w:rsid w:val="00E16CAB"/>
    <w:rsid w:val="00E17308"/>
    <w:rsid w:val="00E24638"/>
    <w:rsid w:val="00E24D4E"/>
    <w:rsid w:val="00E25B47"/>
    <w:rsid w:val="00E25FDC"/>
    <w:rsid w:val="00E300E9"/>
    <w:rsid w:val="00E30138"/>
    <w:rsid w:val="00E31704"/>
    <w:rsid w:val="00E33B54"/>
    <w:rsid w:val="00E3435D"/>
    <w:rsid w:val="00E35461"/>
    <w:rsid w:val="00E3676F"/>
    <w:rsid w:val="00E36805"/>
    <w:rsid w:val="00E368E3"/>
    <w:rsid w:val="00E36ED5"/>
    <w:rsid w:val="00E37027"/>
    <w:rsid w:val="00E37572"/>
    <w:rsid w:val="00E4094F"/>
    <w:rsid w:val="00E40BA0"/>
    <w:rsid w:val="00E41342"/>
    <w:rsid w:val="00E415AB"/>
    <w:rsid w:val="00E41ED5"/>
    <w:rsid w:val="00E42B76"/>
    <w:rsid w:val="00E430EE"/>
    <w:rsid w:val="00E43AD9"/>
    <w:rsid w:val="00E45523"/>
    <w:rsid w:val="00E45880"/>
    <w:rsid w:val="00E507E4"/>
    <w:rsid w:val="00E5108D"/>
    <w:rsid w:val="00E51FB0"/>
    <w:rsid w:val="00E52391"/>
    <w:rsid w:val="00E527CE"/>
    <w:rsid w:val="00E52C04"/>
    <w:rsid w:val="00E5485E"/>
    <w:rsid w:val="00E54DD8"/>
    <w:rsid w:val="00E55650"/>
    <w:rsid w:val="00E57639"/>
    <w:rsid w:val="00E5795C"/>
    <w:rsid w:val="00E57967"/>
    <w:rsid w:val="00E5796A"/>
    <w:rsid w:val="00E607C8"/>
    <w:rsid w:val="00E61A4A"/>
    <w:rsid w:val="00E61FD3"/>
    <w:rsid w:val="00E634D8"/>
    <w:rsid w:val="00E641A5"/>
    <w:rsid w:val="00E6458E"/>
    <w:rsid w:val="00E65A41"/>
    <w:rsid w:val="00E65FF9"/>
    <w:rsid w:val="00E66490"/>
    <w:rsid w:val="00E665CC"/>
    <w:rsid w:val="00E70112"/>
    <w:rsid w:val="00E70A11"/>
    <w:rsid w:val="00E72FB1"/>
    <w:rsid w:val="00E73043"/>
    <w:rsid w:val="00E730AC"/>
    <w:rsid w:val="00E734B7"/>
    <w:rsid w:val="00E73D6B"/>
    <w:rsid w:val="00E75541"/>
    <w:rsid w:val="00E773D4"/>
    <w:rsid w:val="00E80E4E"/>
    <w:rsid w:val="00E80FB8"/>
    <w:rsid w:val="00E82D93"/>
    <w:rsid w:val="00E82F5F"/>
    <w:rsid w:val="00E86599"/>
    <w:rsid w:val="00E91315"/>
    <w:rsid w:val="00E92579"/>
    <w:rsid w:val="00E9308E"/>
    <w:rsid w:val="00E9341B"/>
    <w:rsid w:val="00E948F8"/>
    <w:rsid w:val="00E94E7B"/>
    <w:rsid w:val="00E96F4E"/>
    <w:rsid w:val="00E97170"/>
    <w:rsid w:val="00E97BAB"/>
    <w:rsid w:val="00EA1F52"/>
    <w:rsid w:val="00EA285C"/>
    <w:rsid w:val="00EA36E0"/>
    <w:rsid w:val="00EA4509"/>
    <w:rsid w:val="00EA4B17"/>
    <w:rsid w:val="00EA4F1C"/>
    <w:rsid w:val="00EA521B"/>
    <w:rsid w:val="00EA5742"/>
    <w:rsid w:val="00EA5841"/>
    <w:rsid w:val="00EB026B"/>
    <w:rsid w:val="00EB0DBD"/>
    <w:rsid w:val="00EB2754"/>
    <w:rsid w:val="00EB2BD1"/>
    <w:rsid w:val="00EB2DD5"/>
    <w:rsid w:val="00EB3933"/>
    <w:rsid w:val="00EB3B0B"/>
    <w:rsid w:val="00EB4126"/>
    <w:rsid w:val="00EB478E"/>
    <w:rsid w:val="00EB4D92"/>
    <w:rsid w:val="00EB4F72"/>
    <w:rsid w:val="00EB55B2"/>
    <w:rsid w:val="00EB6AF0"/>
    <w:rsid w:val="00EB74D4"/>
    <w:rsid w:val="00EC069E"/>
    <w:rsid w:val="00EC0B12"/>
    <w:rsid w:val="00EC0F0E"/>
    <w:rsid w:val="00EC26D0"/>
    <w:rsid w:val="00EC2A3E"/>
    <w:rsid w:val="00EC361C"/>
    <w:rsid w:val="00EC4D53"/>
    <w:rsid w:val="00EC6015"/>
    <w:rsid w:val="00EC62DE"/>
    <w:rsid w:val="00EC63A2"/>
    <w:rsid w:val="00EC702C"/>
    <w:rsid w:val="00EC72FF"/>
    <w:rsid w:val="00EC7B32"/>
    <w:rsid w:val="00EC7D78"/>
    <w:rsid w:val="00ED0EC7"/>
    <w:rsid w:val="00ED1C01"/>
    <w:rsid w:val="00ED1C93"/>
    <w:rsid w:val="00ED1D16"/>
    <w:rsid w:val="00ED2362"/>
    <w:rsid w:val="00ED3880"/>
    <w:rsid w:val="00ED4BDC"/>
    <w:rsid w:val="00ED5586"/>
    <w:rsid w:val="00ED5982"/>
    <w:rsid w:val="00ED7779"/>
    <w:rsid w:val="00EE070A"/>
    <w:rsid w:val="00EE180C"/>
    <w:rsid w:val="00EE2B3A"/>
    <w:rsid w:val="00EE3BFC"/>
    <w:rsid w:val="00EE44B1"/>
    <w:rsid w:val="00EE7DDE"/>
    <w:rsid w:val="00EF153C"/>
    <w:rsid w:val="00EF3F67"/>
    <w:rsid w:val="00EF40CC"/>
    <w:rsid w:val="00EF428D"/>
    <w:rsid w:val="00EF4B7E"/>
    <w:rsid w:val="00EF4DB8"/>
    <w:rsid w:val="00F0038A"/>
    <w:rsid w:val="00F004DF"/>
    <w:rsid w:val="00F00671"/>
    <w:rsid w:val="00F00DFF"/>
    <w:rsid w:val="00F02967"/>
    <w:rsid w:val="00F02BE3"/>
    <w:rsid w:val="00F0305D"/>
    <w:rsid w:val="00F04E65"/>
    <w:rsid w:val="00F050FE"/>
    <w:rsid w:val="00F05302"/>
    <w:rsid w:val="00F075A3"/>
    <w:rsid w:val="00F11472"/>
    <w:rsid w:val="00F1164B"/>
    <w:rsid w:val="00F1265F"/>
    <w:rsid w:val="00F12927"/>
    <w:rsid w:val="00F12EAF"/>
    <w:rsid w:val="00F13C59"/>
    <w:rsid w:val="00F13E11"/>
    <w:rsid w:val="00F14751"/>
    <w:rsid w:val="00F1517D"/>
    <w:rsid w:val="00F157E5"/>
    <w:rsid w:val="00F15D52"/>
    <w:rsid w:val="00F16DD0"/>
    <w:rsid w:val="00F20389"/>
    <w:rsid w:val="00F20CB0"/>
    <w:rsid w:val="00F21207"/>
    <w:rsid w:val="00F23CAE"/>
    <w:rsid w:val="00F24167"/>
    <w:rsid w:val="00F24980"/>
    <w:rsid w:val="00F25159"/>
    <w:rsid w:val="00F256C3"/>
    <w:rsid w:val="00F25DE0"/>
    <w:rsid w:val="00F2747D"/>
    <w:rsid w:val="00F27755"/>
    <w:rsid w:val="00F3313B"/>
    <w:rsid w:val="00F33CFD"/>
    <w:rsid w:val="00F34161"/>
    <w:rsid w:val="00F347A2"/>
    <w:rsid w:val="00F34AB0"/>
    <w:rsid w:val="00F35058"/>
    <w:rsid w:val="00F352A2"/>
    <w:rsid w:val="00F360A3"/>
    <w:rsid w:val="00F37F53"/>
    <w:rsid w:val="00F4069B"/>
    <w:rsid w:val="00F40ACF"/>
    <w:rsid w:val="00F430CA"/>
    <w:rsid w:val="00F43FDD"/>
    <w:rsid w:val="00F452AE"/>
    <w:rsid w:val="00F452C4"/>
    <w:rsid w:val="00F46404"/>
    <w:rsid w:val="00F46B6B"/>
    <w:rsid w:val="00F47626"/>
    <w:rsid w:val="00F47AC6"/>
    <w:rsid w:val="00F506BD"/>
    <w:rsid w:val="00F5238E"/>
    <w:rsid w:val="00F525FC"/>
    <w:rsid w:val="00F54A16"/>
    <w:rsid w:val="00F55606"/>
    <w:rsid w:val="00F57224"/>
    <w:rsid w:val="00F57290"/>
    <w:rsid w:val="00F5768E"/>
    <w:rsid w:val="00F6099C"/>
    <w:rsid w:val="00F610BC"/>
    <w:rsid w:val="00F6268D"/>
    <w:rsid w:val="00F63C8C"/>
    <w:rsid w:val="00F63EB6"/>
    <w:rsid w:val="00F6402B"/>
    <w:rsid w:val="00F64FFD"/>
    <w:rsid w:val="00F65192"/>
    <w:rsid w:val="00F65ED9"/>
    <w:rsid w:val="00F6621D"/>
    <w:rsid w:val="00F66362"/>
    <w:rsid w:val="00F66413"/>
    <w:rsid w:val="00F705D7"/>
    <w:rsid w:val="00F70954"/>
    <w:rsid w:val="00F7227B"/>
    <w:rsid w:val="00F73026"/>
    <w:rsid w:val="00F7373E"/>
    <w:rsid w:val="00F73D70"/>
    <w:rsid w:val="00F7401C"/>
    <w:rsid w:val="00F743A7"/>
    <w:rsid w:val="00F74913"/>
    <w:rsid w:val="00F7545C"/>
    <w:rsid w:val="00F75BCD"/>
    <w:rsid w:val="00F76213"/>
    <w:rsid w:val="00F76605"/>
    <w:rsid w:val="00F76E3D"/>
    <w:rsid w:val="00F77203"/>
    <w:rsid w:val="00F8066B"/>
    <w:rsid w:val="00F80A58"/>
    <w:rsid w:val="00F81377"/>
    <w:rsid w:val="00F81784"/>
    <w:rsid w:val="00F82B7D"/>
    <w:rsid w:val="00F82D5D"/>
    <w:rsid w:val="00F835C0"/>
    <w:rsid w:val="00F8387D"/>
    <w:rsid w:val="00F857AD"/>
    <w:rsid w:val="00F85928"/>
    <w:rsid w:val="00F85F55"/>
    <w:rsid w:val="00F8611A"/>
    <w:rsid w:val="00F8787D"/>
    <w:rsid w:val="00F9116B"/>
    <w:rsid w:val="00F91C26"/>
    <w:rsid w:val="00F92112"/>
    <w:rsid w:val="00F92C10"/>
    <w:rsid w:val="00F92D0E"/>
    <w:rsid w:val="00F93659"/>
    <w:rsid w:val="00F93EC8"/>
    <w:rsid w:val="00F94AA6"/>
    <w:rsid w:val="00F94F77"/>
    <w:rsid w:val="00F94FAD"/>
    <w:rsid w:val="00F954DD"/>
    <w:rsid w:val="00F9763E"/>
    <w:rsid w:val="00FA1934"/>
    <w:rsid w:val="00FA20A6"/>
    <w:rsid w:val="00FA20FB"/>
    <w:rsid w:val="00FA4E12"/>
    <w:rsid w:val="00FA50F0"/>
    <w:rsid w:val="00FA53CD"/>
    <w:rsid w:val="00FA5773"/>
    <w:rsid w:val="00FA59D6"/>
    <w:rsid w:val="00FA62E9"/>
    <w:rsid w:val="00FA78DD"/>
    <w:rsid w:val="00FA7F37"/>
    <w:rsid w:val="00FB00D3"/>
    <w:rsid w:val="00FB0B51"/>
    <w:rsid w:val="00FB12FD"/>
    <w:rsid w:val="00FB1942"/>
    <w:rsid w:val="00FB26B6"/>
    <w:rsid w:val="00FB34C8"/>
    <w:rsid w:val="00FB36D7"/>
    <w:rsid w:val="00FB3CAF"/>
    <w:rsid w:val="00FB4340"/>
    <w:rsid w:val="00FB53CA"/>
    <w:rsid w:val="00FB56B2"/>
    <w:rsid w:val="00FB623F"/>
    <w:rsid w:val="00FB704F"/>
    <w:rsid w:val="00FC1F36"/>
    <w:rsid w:val="00FC2E31"/>
    <w:rsid w:val="00FC34ED"/>
    <w:rsid w:val="00FC3849"/>
    <w:rsid w:val="00FC3C68"/>
    <w:rsid w:val="00FC574A"/>
    <w:rsid w:val="00FC6B08"/>
    <w:rsid w:val="00FC6EE3"/>
    <w:rsid w:val="00FD0D5A"/>
    <w:rsid w:val="00FD1B81"/>
    <w:rsid w:val="00FD1C60"/>
    <w:rsid w:val="00FD1D5A"/>
    <w:rsid w:val="00FD1F59"/>
    <w:rsid w:val="00FD2297"/>
    <w:rsid w:val="00FD3BBA"/>
    <w:rsid w:val="00FD4A59"/>
    <w:rsid w:val="00FD5393"/>
    <w:rsid w:val="00FD6BFB"/>
    <w:rsid w:val="00FD7364"/>
    <w:rsid w:val="00FE07A6"/>
    <w:rsid w:val="00FE1831"/>
    <w:rsid w:val="00FE265D"/>
    <w:rsid w:val="00FE42A4"/>
    <w:rsid w:val="00FE4406"/>
    <w:rsid w:val="00FE4DCF"/>
    <w:rsid w:val="00FE5550"/>
    <w:rsid w:val="00FE5BB5"/>
    <w:rsid w:val="00FE759C"/>
    <w:rsid w:val="00FF00CF"/>
    <w:rsid w:val="00FF1099"/>
    <w:rsid w:val="00FF185A"/>
    <w:rsid w:val="00FF1900"/>
    <w:rsid w:val="00FF237B"/>
    <w:rsid w:val="00FF2691"/>
    <w:rsid w:val="00FF2D45"/>
    <w:rsid w:val="00FF4C1B"/>
    <w:rsid w:val="00FF59F9"/>
    <w:rsid w:val="00FF5A38"/>
    <w:rsid w:val="00FF5A40"/>
    <w:rsid w:val="00FF6CF1"/>
    <w:rsid w:val="00FF7F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37FE"/>
    <w:pPr>
      <w:spacing w:before="160" w:line="288" w:lineRule="auto"/>
      <w:jc w:val="both"/>
    </w:pPr>
    <w:rPr>
      <w:rFonts w:ascii="Arial" w:hAnsi="Arial"/>
      <w:sz w:val="21"/>
      <w:lang w:val="en-GB" w:eastAsia="en-US"/>
    </w:rPr>
  </w:style>
  <w:style w:type="paragraph" w:styleId="Heading1">
    <w:name w:val="heading 1"/>
    <w:basedOn w:val="Normal"/>
    <w:next w:val="Normal"/>
    <w:link w:val="Heading1Char"/>
    <w:qFormat/>
    <w:rsid w:val="00640F16"/>
    <w:pPr>
      <w:keepNext/>
      <w:numPr>
        <w:numId w:val="2"/>
      </w:numPr>
      <w:pBdr>
        <w:bottom w:val="single" w:sz="2" w:space="1" w:color="000080"/>
      </w:pBdr>
      <w:spacing w:before="120" w:after="480"/>
      <w:outlineLvl w:val="0"/>
    </w:pPr>
    <w:rPr>
      <w:b/>
      <w:caps/>
      <w:color w:val="000080"/>
      <w:sz w:val="24"/>
    </w:rPr>
  </w:style>
  <w:style w:type="paragraph" w:styleId="Heading2">
    <w:name w:val="heading 2"/>
    <w:basedOn w:val="Normal"/>
    <w:next w:val="Normal"/>
    <w:link w:val="Heading2Char"/>
    <w:qFormat/>
    <w:rsid w:val="006A51D3"/>
    <w:pPr>
      <w:keepNext/>
      <w:numPr>
        <w:ilvl w:val="1"/>
        <w:numId w:val="2"/>
      </w:numPr>
      <w:spacing w:before="360" w:after="120" w:line="264" w:lineRule="auto"/>
      <w:jc w:val="left"/>
      <w:outlineLvl w:val="1"/>
    </w:pPr>
    <w:rPr>
      <w:b/>
      <w:smallCaps/>
      <w:color w:val="000080"/>
      <w:sz w:val="22"/>
    </w:rPr>
  </w:style>
  <w:style w:type="paragraph" w:styleId="Heading3">
    <w:name w:val="heading 3"/>
    <w:basedOn w:val="Normal"/>
    <w:next w:val="Normal"/>
    <w:link w:val="Heading3Char"/>
    <w:qFormat/>
    <w:rsid w:val="000C4167"/>
    <w:pPr>
      <w:keepNext/>
      <w:numPr>
        <w:ilvl w:val="2"/>
        <w:numId w:val="2"/>
      </w:numPr>
      <w:spacing w:before="240" w:after="120" w:line="240" w:lineRule="exact"/>
      <w:jc w:val="left"/>
      <w:outlineLvl w:val="2"/>
    </w:pPr>
    <w:rPr>
      <w:b/>
      <w:color w:val="000080"/>
    </w:rPr>
  </w:style>
  <w:style w:type="paragraph" w:styleId="Heading4">
    <w:name w:val="heading 4"/>
    <w:basedOn w:val="Normal"/>
    <w:next w:val="Normal"/>
    <w:link w:val="Heading4Char"/>
    <w:qFormat/>
    <w:rsid w:val="00640F16"/>
    <w:pPr>
      <w:keepNext/>
      <w:keepLines/>
      <w:spacing w:before="240"/>
      <w:jc w:val="left"/>
      <w:outlineLvl w:val="3"/>
    </w:pPr>
    <w:rPr>
      <w:b/>
      <w:i/>
      <w:color w:val="000080"/>
    </w:rPr>
  </w:style>
  <w:style w:type="paragraph" w:styleId="Heading5">
    <w:name w:val="heading 5"/>
    <w:basedOn w:val="Heading1"/>
    <w:next w:val="Normal"/>
    <w:link w:val="Heading5Char"/>
    <w:qFormat/>
    <w:rsid w:val="0082271C"/>
    <w:pPr>
      <w:numPr>
        <w:numId w:val="0"/>
      </w:numPr>
      <w:pBdr>
        <w:bottom w:val="none" w:sz="0" w:space="0" w:color="auto"/>
      </w:pBdr>
      <w:suppressAutoHyphens/>
      <w:spacing w:before="200" w:after="0"/>
      <w:jc w:val="left"/>
      <w:outlineLvl w:val="4"/>
    </w:pPr>
    <w:rPr>
      <w:bCs/>
      <w:i/>
      <w:iCs/>
      <w:sz w:val="21"/>
      <w:szCs w:val="21"/>
    </w:rPr>
  </w:style>
  <w:style w:type="paragraph" w:styleId="Heading6">
    <w:name w:val="heading 6"/>
    <w:basedOn w:val="Normal"/>
    <w:next w:val="Normal"/>
    <w:link w:val="Heading6Char"/>
    <w:qFormat/>
    <w:rsid w:val="00640F16"/>
    <w:pPr>
      <w:numPr>
        <w:ilvl w:val="3"/>
        <w:numId w:val="1"/>
      </w:numPr>
      <w:spacing w:before="240"/>
      <w:outlineLvl w:val="5"/>
    </w:pPr>
    <w:rPr>
      <w:b/>
    </w:rPr>
  </w:style>
  <w:style w:type="paragraph" w:styleId="Heading7">
    <w:name w:val="heading 7"/>
    <w:basedOn w:val="Normal"/>
    <w:next w:val="Normal"/>
    <w:link w:val="Heading7Char"/>
    <w:qFormat/>
    <w:rsid w:val="00640F16"/>
    <w:pPr>
      <w:numPr>
        <w:ilvl w:val="4"/>
        <w:numId w:val="1"/>
      </w:numPr>
      <w:outlineLvl w:val="6"/>
    </w:pPr>
    <w:rPr>
      <w:b/>
    </w:rPr>
  </w:style>
  <w:style w:type="paragraph" w:styleId="Heading8">
    <w:name w:val="heading 8"/>
    <w:basedOn w:val="Normal"/>
    <w:next w:val="Normal"/>
    <w:link w:val="Heading8Char"/>
    <w:qFormat/>
    <w:rsid w:val="00640F16"/>
    <w:pPr>
      <w:outlineLvl w:val="7"/>
    </w:pPr>
    <w:rPr>
      <w:i/>
    </w:rPr>
  </w:style>
  <w:style w:type="paragraph" w:styleId="Heading9">
    <w:name w:val="heading 9"/>
    <w:basedOn w:val="Normal"/>
    <w:next w:val="Normal"/>
    <w:link w:val="Heading9Char"/>
    <w:qFormat/>
    <w:rsid w:val="00640F16"/>
    <w:p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E3779"/>
    <w:rPr>
      <w:rFonts w:ascii="Arial" w:hAnsi="Arial"/>
      <w:b/>
      <w:caps/>
      <w:color w:val="000080"/>
      <w:sz w:val="24"/>
    </w:rPr>
  </w:style>
  <w:style w:type="character" w:customStyle="1" w:styleId="Heading2Char">
    <w:name w:val="Heading 2 Char"/>
    <w:link w:val="Heading2"/>
    <w:rsid w:val="006A51D3"/>
    <w:rPr>
      <w:rFonts w:ascii="Arial" w:hAnsi="Arial"/>
      <w:b/>
      <w:smallCaps/>
      <w:color w:val="000080"/>
      <w:sz w:val="22"/>
    </w:rPr>
  </w:style>
  <w:style w:type="character" w:customStyle="1" w:styleId="Heading3Char">
    <w:name w:val="Heading 3 Char"/>
    <w:link w:val="Heading3"/>
    <w:rsid w:val="00CB6558"/>
    <w:rPr>
      <w:rFonts w:ascii="Arial" w:hAnsi="Arial"/>
      <w:b/>
      <w:color w:val="000080"/>
      <w:sz w:val="21"/>
    </w:rPr>
  </w:style>
  <w:style w:type="character" w:customStyle="1" w:styleId="Heading4Char">
    <w:name w:val="Heading 4 Char"/>
    <w:link w:val="Heading4"/>
    <w:rsid w:val="009F7062"/>
    <w:rPr>
      <w:rFonts w:ascii="Arial" w:hAnsi="Arial"/>
      <w:b/>
      <w:i/>
      <w:noProof w:val="0"/>
      <w:color w:val="000080"/>
      <w:sz w:val="21"/>
      <w:lang w:val="en-GB" w:eastAsia="en-US" w:bidi="ar-SA"/>
    </w:rPr>
  </w:style>
  <w:style w:type="character" w:customStyle="1" w:styleId="Heading5Char">
    <w:name w:val="Heading 5 Char"/>
    <w:link w:val="Heading5"/>
    <w:rsid w:val="0082271C"/>
    <w:rPr>
      <w:rFonts w:ascii="Arial" w:hAnsi="Arial"/>
      <w:b/>
      <w:bCs/>
      <w:i/>
      <w:iCs/>
      <w:caps/>
      <w:noProof w:val="0"/>
      <w:color w:val="000080"/>
      <w:sz w:val="21"/>
      <w:szCs w:val="21"/>
      <w:lang w:val="en-GB" w:eastAsia="en-US" w:bidi="ar-SA"/>
    </w:rPr>
  </w:style>
  <w:style w:type="paragraph" w:styleId="Caption">
    <w:name w:val="caption"/>
    <w:basedOn w:val="Normal"/>
    <w:next w:val="Normal"/>
    <w:qFormat/>
    <w:rsid w:val="00640F16"/>
    <w:pPr>
      <w:spacing w:before="120" w:after="120" w:line="240" w:lineRule="exact"/>
      <w:jc w:val="center"/>
    </w:pPr>
    <w:rPr>
      <w:i/>
    </w:rPr>
  </w:style>
  <w:style w:type="paragraph" w:styleId="TOC1">
    <w:name w:val="toc 1"/>
    <w:basedOn w:val="Normal"/>
    <w:next w:val="Normal"/>
    <w:autoRedefine/>
    <w:uiPriority w:val="39"/>
    <w:rsid w:val="00640F16"/>
    <w:pPr>
      <w:spacing w:before="120" w:after="120"/>
      <w:jc w:val="left"/>
    </w:pPr>
    <w:rPr>
      <w:rFonts w:ascii="Calibri" w:hAnsi="Calibri" w:cs="Calibri"/>
      <w:b/>
      <w:bCs/>
      <w:caps/>
      <w:sz w:val="20"/>
    </w:rPr>
  </w:style>
  <w:style w:type="paragraph" w:styleId="TOC2">
    <w:name w:val="toc 2"/>
    <w:basedOn w:val="Normal"/>
    <w:next w:val="Normal"/>
    <w:autoRedefine/>
    <w:uiPriority w:val="39"/>
    <w:rsid w:val="00CE5DB4"/>
    <w:pPr>
      <w:spacing w:before="0"/>
      <w:ind w:left="210"/>
      <w:jc w:val="left"/>
    </w:pPr>
    <w:rPr>
      <w:rFonts w:ascii="Calibri" w:hAnsi="Calibri" w:cs="Calibri"/>
      <w:smallCaps/>
      <w:sz w:val="20"/>
    </w:rPr>
  </w:style>
  <w:style w:type="paragraph" w:styleId="TOC3">
    <w:name w:val="toc 3"/>
    <w:basedOn w:val="Normal"/>
    <w:next w:val="Normal"/>
    <w:autoRedefine/>
    <w:uiPriority w:val="39"/>
    <w:rsid w:val="00640F16"/>
    <w:pPr>
      <w:spacing w:before="0"/>
      <w:ind w:left="420"/>
      <w:jc w:val="left"/>
    </w:pPr>
    <w:rPr>
      <w:rFonts w:ascii="Calibri" w:hAnsi="Calibri" w:cs="Calibri"/>
      <w:i/>
      <w:iCs/>
      <w:sz w:val="20"/>
    </w:rPr>
  </w:style>
  <w:style w:type="paragraph" w:customStyle="1" w:styleId="Bullets2">
    <w:name w:val="Bullets 2"/>
    <w:basedOn w:val="Bullets3"/>
    <w:rsid w:val="005D5B40"/>
    <w:pPr>
      <w:numPr>
        <w:numId w:val="4"/>
      </w:numPr>
      <w:spacing w:before="0"/>
    </w:pPr>
  </w:style>
  <w:style w:type="paragraph" w:customStyle="1" w:styleId="Bullets3">
    <w:name w:val="Bullets 3"/>
    <w:basedOn w:val="Normal"/>
    <w:rsid w:val="00640F16"/>
  </w:style>
  <w:style w:type="paragraph" w:customStyle="1" w:styleId="Bullets">
    <w:name w:val="Bullets"/>
    <w:basedOn w:val="Normal"/>
    <w:link w:val="BulletsCharChar"/>
    <w:rsid w:val="00F7401C"/>
    <w:pPr>
      <w:spacing w:before="0"/>
    </w:pPr>
    <w:rPr>
      <w:szCs w:val="21"/>
    </w:rPr>
  </w:style>
  <w:style w:type="character" w:customStyle="1" w:styleId="BulletsCharChar">
    <w:name w:val="Bullets Char Char"/>
    <w:link w:val="Bullets"/>
    <w:rsid w:val="00F7401C"/>
    <w:rPr>
      <w:rFonts w:ascii="Arial" w:hAnsi="Arial" w:cs="Arial"/>
      <w:sz w:val="21"/>
      <w:szCs w:val="21"/>
    </w:rPr>
  </w:style>
  <w:style w:type="paragraph" w:customStyle="1" w:styleId="TableText">
    <w:name w:val="Table Text"/>
    <w:basedOn w:val="Normal"/>
    <w:link w:val="TableTextChar"/>
    <w:rsid w:val="00640F16"/>
    <w:pPr>
      <w:spacing w:before="40"/>
      <w:jc w:val="left"/>
    </w:pPr>
    <w:rPr>
      <w:sz w:val="20"/>
    </w:rPr>
  </w:style>
  <w:style w:type="character" w:customStyle="1" w:styleId="TableTextChar">
    <w:name w:val="Table Text Char"/>
    <w:link w:val="TableText"/>
    <w:rsid w:val="00E03498"/>
    <w:rPr>
      <w:rFonts w:ascii="Arial" w:hAnsi="Arial"/>
      <w:noProof w:val="0"/>
      <w:lang w:val="en-GB" w:eastAsia="en-US" w:bidi="ar-SA"/>
    </w:rPr>
  </w:style>
  <w:style w:type="paragraph" w:customStyle="1" w:styleId="TableHeading">
    <w:name w:val="Table Heading"/>
    <w:basedOn w:val="TableText"/>
    <w:link w:val="TableHeadingChar"/>
    <w:rsid w:val="00640F16"/>
    <w:pPr>
      <w:keepNext/>
      <w:spacing w:after="40" w:line="240" w:lineRule="auto"/>
      <w:jc w:val="center"/>
    </w:pPr>
    <w:rPr>
      <w:rFonts w:ascii="Arial Narrow" w:hAnsi="Arial Narrow"/>
      <w:smallCaps/>
      <w:color w:val="000080"/>
    </w:rPr>
  </w:style>
  <w:style w:type="character" w:customStyle="1" w:styleId="TableHeadingChar">
    <w:name w:val="Table Heading Char"/>
    <w:link w:val="TableHeading"/>
    <w:rsid w:val="00E03498"/>
    <w:rPr>
      <w:rFonts w:ascii="Arial Narrow" w:hAnsi="Arial Narrow"/>
      <w:smallCaps/>
      <w:noProof w:val="0"/>
      <w:color w:val="000080"/>
      <w:lang w:val="en-GB" w:eastAsia="en-US" w:bidi="ar-SA"/>
    </w:rPr>
  </w:style>
  <w:style w:type="paragraph" w:styleId="Footer">
    <w:name w:val="footer"/>
    <w:basedOn w:val="Normal"/>
    <w:link w:val="FooterChar"/>
    <w:uiPriority w:val="99"/>
    <w:rsid w:val="00E45880"/>
    <w:pPr>
      <w:pBdr>
        <w:top w:val="single" w:sz="2" w:space="6" w:color="auto"/>
      </w:pBdr>
      <w:tabs>
        <w:tab w:val="right" w:pos="9356"/>
      </w:tabs>
      <w:spacing w:before="0" w:line="240" w:lineRule="auto"/>
      <w:jc w:val="center"/>
    </w:pPr>
    <w:rPr>
      <w:bCs/>
      <w:noProof/>
      <w:sz w:val="16"/>
      <w:szCs w:val="16"/>
    </w:rPr>
  </w:style>
  <w:style w:type="paragraph" w:styleId="Header">
    <w:name w:val="header"/>
    <w:basedOn w:val="Normal"/>
    <w:link w:val="HeaderChar"/>
    <w:uiPriority w:val="99"/>
    <w:rsid w:val="004F523C"/>
    <w:pPr>
      <w:pBdr>
        <w:bottom w:val="single" w:sz="2" w:space="4" w:color="auto"/>
      </w:pBdr>
      <w:tabs>
        <w:tab w:val="right" w:pos="9356"/>
      </w:tabs>
      <w:spacing w:before="0"/>
      <w:jc w:val="left"/>
    </w:pPr>
    <w:rPr>
      <w:rFonts w:ascii="Arial Narrow" w:hAnsi="Arial Narrow"/>
      <w:noProof/>
      <w:sz w:val="18"/>
      <w:szCs w:val="18"/>
      <w:lang w:val="en-US"/>
    </w:rPr>
  </w:style>
  <w:style w:type="paragraph" w:styleId="TOC4">
    <w:name w:val="toc 4"/>
    <w:basedOn w:val="Normal"/>
    <w:next w:val="Normal"/>
    <w:autoRedefine/>
    <w:uiPriority w:val="39"/>
    <w:rsid w:val="00CE5DB4"/>
    <w:pPr>
      <w:spacing w:before="0"/>
      <w:ind w:left="630"/>
      <w:jc w:val="left"/>
    </w:pPr>
    <w:rPr>
      <w:rFonts w:ascii="Calibri" w:hAnsi="Calibri" w:cs="Calibri"/>
      <w:sz w:val="18"/>
      <w:szCs w:val="18"/>
    </w:rPr>
  </w:style>
  <w:style w:type="paragraph" w:styleId="TOC5">
    <w:name w:val="toc 5"/>
    <w:basedOn w:val="Normal"/>
    <w:next w:val="Normal"/>
    <w:autoRedefine/>
    <w:uiPriority w:val="39"/>
    <w:rsid w:val="00A01F0E"/>
    <w:pPr>
      <w:spacing w:before="0"/>
      <w:ind w:left="840"/>
      <w:jc w:val="left"/>
    </w:pPr>
    <w:rPr>
      <w:rFonts w:ascii="Calibri" w:hAnsi="Calibri" w:cs="Calibri"/>
      <w:sz w:val="18"/>
      <w:szCs w:val="18"/>
    </w:rPr>
  </w:style>
  <w:style w:type="paragraph" w:styleId="TOC6">
    <w:name w:val="toc 6"/>
    <w:basedOn w:val="Normal"/>
    <w:next w:val="Normal"/>
    <w:autoRedefine/>
    <w:uiPriority w:val="39"/>
    <w:rsid w:val="00640F16"/>
    <w:pPr>
      <w:spacing w:before="0"/>
      <w:ind w:left="1050"/>
      <w:jc w:val="left"/>
    </w:pPr>
    <w:rPr>
      <w:rFonts w:ascii="Calibri" w:hAnsi="Calibri" w:cs="Calibri"/>
      <w:sz w:val="18"/>
      <w:szCs w:val="18"/>
    </w:rPr>
  </w:style>
  <w:style w:type="paragraph" w:styleId="TOC7">
    <w:name w:val="toc 7"/>
    <w:basedOn w:val="Normal"/>
    <w:next w:val="Normal"/>
    <w:autoRedefine/>
    <w:uiPriority w:val="39"/>
    <w:rsid w:val="00640F16"/>
    <w:pPr>
      <w:spacing w:before="0"/>
      <w:ind w:left="1260"/>
      <w:jc w:val="left"/>
    </w:pPr>
    <w:rPr>
      <w:rFonts w:ascii="Calibri" w:hAnsi="Calibri" w:cs="Calibri"/>
      <w:sz w:val="18"/>
      <w:szCs w:val="18"/>
    </w:rPr>
  </w:style>
  <w:style w:type="paragraph" w:styleId="TOC8">
    <w:name w:val="toc 8"/>
    <w:basedOn w:val="Normal"/>
    <w:next w:val="Normal"/>
    <w:autoRedefine/>
    <w:uiPriority w:val="39"/>
    <w:rsid w:val="00EC63A2"/>
    <w:pPr>
      <w:spacing w:before="0"/>
      <w:ind w:left="1470"/>
      <w:jc w:val="left"/>
    </w:pPr>
    <w:rPr>
      <w:rFonts w:ascii="Calibri" w:hAnsi="Calibri" w:cs="Calibri"/>
      <w:sz w:val="18"/>
      <w:szCs w:val="18"/>
    </w:rPr>
  </w:style>
  <w:style w:type="paragraph" w:styleId="TOC9">
    <w:name w:val="toc 9"/>
    <w:basedOn w:val="Normal"/>
    <w:next w:val="Normal"/>
    <w:autoRedefine/>
    <w:uiPriority w:val="39"/>
    <w:rsid w:val="00640F16"/>
    <w:pPr>
      <w:spacing w:before="0"/>
      <w:ind w:left="1680"/>
      <w:jc w:val="left"/>
    </w:pPr>
    <w:rPr>
      <w:rFonts w:ascii="Calibri" w:hAnsi="Calibri" w:cs="Calibri"/>
      <w:sz w:val="18"/>
      <w:szCs w:val="18"/>
    </w:rPr>
  </w:style>
  <w:style w:type="paragraph" w:customStyle="1" w:styleId="AppH1">
    <w:name w:val="App H1"/>
    <w:next w:val="Normal"/>
    <w:rsid w:val="0048457F"/>
    <w:pPr>
      <w:pageBreakBefore/>
      <w:numPr>
        <w:numId w:val="3"/>
      </w:numPr>
      <w:pBdr>
        <w:bottom w:val="single" w:sz="2" w:space="3" w:color="C0C0C0"/>
      </w:pBdr>
      <w:tabs>
        <w:tab w:val="left" w:pos="1276"/>
      </w:tabs>
      <w:spacing w:after="240"/>
      <w:jc w:val="center"/>
    </w:pPr>
    <w:rPr>
      <w:rFonts w:ascii="Arial" w:hAnsi="Arial"/>
      <w:b/>
      <w:smallCaps/>
      <w:noProof/>
      <w:color w:val="000080"/>
      <w:sz w:val="24"/>
      <w:szCs w:val="24"/>
      <w:lang w:val="en-US" w:eastAsia="en-US"/>
    </w:rPr>
  </w:style>
  <w:style w:type="paragraph" w:styleId="TableofAuthorities">
    <w:name w:val="table of authorities"/>
    <w:basedOn w:val="Normal"/>
    <w:next w:val="Normal"/>
    <w:semiHidden/>
    <w:rsid w:val="00640F16"/>
    <w:pPr>
      <w:ind w:left="200" w:hanging="200"/>
    </w:pPr>
  </w:style>
  <w:style w:type="character" w:styleId="EndnoteReference">
    <w:name w:val="endnote reference"/>
    <w:semiHidden/>
    <w:rsid w:val="00640F16"/>
    <w:rPr>
      <w:noProof w:val="0"/>
      <w:vertAlign w:val="superscript"/>
      <w:lang w:val="en-GB"/>
    </w:rPr>
  </w:style>
  <w:style w:type="paragraph" w:styleId="EndnoteText">
    <w:name w:val="endnote text"/>
    <w:basedOn w:val="Normal"/>
    <w:link w:val="EndnoteTextChar"/>
    <w:semiHidden/>
    <w:rsid w:val="00640F16"/>
  </w:style>
  <w:style w:type="character" w:styleId="FollowedHyperlink">
    <w:name w:val="FollowedHyperlink"/>
    <w:uiPriority w:val="99"/>
    <w:rsid w:val="00640F16"/>
    <w:rPr>
      <w:noProof w:val="0"/>
      <w:color w:val="800080"/>
      <w:u w:val="single"/>
      <w:lang w:val="en-GB"/>
    </w:rPr>
  </w:style>
  <w:style w:type="character" w:styleId="Hyperlink">
    <w:name w:val="Hyperlink"/>
    <w:aliases w:val="min"/>
    <w:uiPriority w:val="99"/>
    <w:rsid w:val="009D24EA"/>
    <w:rPr>
      <w:rFonts w:cs="Arial"/>
      <w:noProof w:val="0"/>
      <w:color w:val="0000FF"/>
      <w:sz w:val="16"/>
      <w:szCs w:val="16"/>
      <w:u w:val="single"/>
      <w:lang w:val="en-GB"/>
    </w:rPr>
  </w:style>
  <w:style w:type="paragraph" w:styleId="IndexHeading">
    <w:name w:val="index heading"/>
    <w:basedOn w:val="Normal"/>
    <w:next w:val="Normal"/>
    <w:semiHidden/>
    <w:rsid w:val="00640F16"/>
    <w:rPr>
      <w:b/>
    </w:rPr>
  </w:style>
  <w:style w:type="paragraph" w:styleId="TableofFigures">
    <w:name w:val="table of figures"/>
    <w:basedOn w:val="Normal"/>
    <w:next w:val="Normal"/>
    <w:semiHidden/>
    <w:rsid w:val="00640F16"/>
    <w:pPr>
      <w:ind w:left="400" w:hanging="400"/>
    </w:pPr>
  </w:style>
  <w:style w:type="paragraph" w:customStyle="1" w:styleId="tablebullets">
    <w:name w:val="table bullets"/>
    <w:basedOn w:val="Tablenormal0"/>
    <w:rsid w:val="00C14E00"/>
    <w:pPr>
      <w:numPr>
        <w:numId w:val="7"/>
      </w:numPr>
    </w:pPr>
  </w:style>
  <w:style w:type="paragraph" w:customStyle="1" w:styleId="Tablenormal0">
    <w:name w:val="Table normal"/>
    <w:basedOn w:val="Normal"/>
    <w:rsid w:val="00B90EC3"/>
    <w:pPr>
      <w:autoSpaceDE w:val="0"/>
      <w:autoSpaceDN w:val="0"/>
      <w:adjustRightInd w:val="0"/>
      <w:spacing w:before="40" w:after="40" w:line="240" w:lineRule="auto"/>
      <w:jc w:val="left"/>
    </w:pPr>
    <w:rPr>
      <w:color w:val="000000"/>
      <w:sz w:val="20"/>
      <w:lang w:val="en-US" w:eastAsia="ru-RU"/>
    </w:rPr>
  </w:style>
  <w:style w:type="paragraph" w:styleId="CommentText">
    <w:name w:val="annotation text"/>
    <w:basedOn w:val="Normal"/>
    <w:link w:val="CommentTextChar"/>
    <w:uiPriority w:val="99"/>
    <w:semiHidden/>
    <w:rsid w:val="00640F16"/>
  </w:style>
  <w:style w:type="paragraph" w:styleId="Title">
    <w:name w:val="Title"/>
    <w:basedOn w:val="Normal"/>
    <w:link w:val="TitleChar"/>
    <w:qFormat/>
    <w:rsid w:val="00640F16"/>
    <w:pPr>
      <w:tabs>
        <w:tab w:val="left" w:pos="482"/>
      </w:tabs>
      <w:spacing w:before="480"/>
      <w:ind w:left="425" w:hanging="425"/>
      <w:jc w:val="left"/>
      <w:outlineLvl w:val="0"/>
    </w:pPr>
    <w:rPr>
      <w:bCs/>
      <w:i/>
      <w:iCs/>
      <w:color w:val="FFFFFF"/>
      <w:kern w:val="28"/>
      <w:sz w:val="40"/>
      <w:szCs w:val="40"/>
    </w:rPr>
  </w:style>
  <w:style w:type="character" w:styleId="CommentReference">
    <w:name w:val="annotation reference"/>
    <w:uiPriority w:val="99"/>
    <w:semiHidden/>
    <w:rsid w:val="00640F16"/>
    <w:rPr>
      <w:noProof w:val="0"/>
      <w:sz w:val="16"/>
      <w:lang w:val="en-GB"/>
    </w:rPr>
  </w:style>
  <w:style w:type="character" w:styleId="FootnoteReference">
    <w:name w:val="footnote reference"/>
    <w:uiPriority w:val="99"/>
    <w:semiHidden/>
    <w:rsid w:val="00267412"/>
    <w:rPr>
      <w:rFonts w:cs="Arial"/>
      <w:color w:val="000000"/>
      <w:szCs w:val="21"/>
      <w:vertAlign w:val="superscript"/>
    </w:rPr>
  </w:style>
  <w:style w:type="paragraph" w:styleId="FootnoteText">
    <w:name w:val="footnote text"/>
    <w:basedOn w:val="Normal"/>
    <w:link w:val="FootnoteTextChar"/>
    <w:uiPriority w:val="99"/>
    <w:semiHidden/>
    <w:rsid w:val="00547689"/>
    <w:pPr>
      <w:spacing w:before="80"/>
      <w:ind w:left="284" w:hanging="284"/>
    </w:pPr>
    <w:rPr>
      <w:sz w:val="18"/>
      <w:szCs w:val="18"/>
    </w:rPr>
  </w:style>
  <w:style w:type="paragraph" w:customStyle="1" w:styleId="Tablebullets0">
    <w:name w:val="Table bullets"/>
    <w:basedOn w:val="TableText"/>
    <w:link w:val="TablebulletsChar"/>
    <w:rsid w:val="00640F16"/>
    <w:pPr>
      <w:numPr>
        <w:numId w:val="6"/>
      </w:numPr>
    </w:pPr>
  </w:style>
  <w:style w:type="paragraph" w:customStyle="1" w:styleId="AppH2">
    <w:name w:val="App H2"/>
    <w:basedOn w:val="Heading2"/>
    <w:rsid w:val="007F4293"/>
    <w:pPr>
      <w:numPr>
        <w:numId w:val="3"/>
      </w:numPr>
      <w:tabs>
        <w:tab w:val="left" w:pos="284"/>
      </w:tabs>
      <w:suppressAutoHyphens/>
    </w:pPr>
    <w:rPr>
      <w:szCs w:val="22"/>
    </w:rPr>
  </w:style>
  <w:style w:type="paragraph" w:customStyle="1" w:styleId="AppH3">
    <w:name w:val="App H3"/>
    <w:basedOn w:val="Heading3"/>
    <w:rsid w:val="00547689"/>
    <w:pPr>
      <w:numPr>
        <w:numId w:val="3"/>
      </w:numPr>
      <w:tabs>
        <w:tab w:val="left" w:pos="709"/>
      </w:tabs>
      <w:spacing w:before="360"/>
    </w:pPr>
    <w:rPr>
      <w:bCs/>
      <w:iCs/>
    </w:rPr>
  </w:style>
  <w:style w:type="paragraph" w:customStyle="1" w:styleId="AppH4">
    <w:name w:val="App H4"/>
    <w:basedOn w:val="Heading4"/>
    <w:rsid w:val="00640F16"/>
    <w:pPr>
      <w:numPr>
        <w:ilvl w:val="3"/>
        <w:numId w:val="3"/>
      </w:numPr>
    </w:pPr>
  </w:style>
  <w:style w:type="paragraph" w:customStyle="1" w:styleId="StyleHeading2Justified">
    <w:name w:val="Style Heading 2 + Justified"/>
    <w:basedOn w:val="Heading2"/>
    <w:semiHidden/>
    <w:rsid w:val="00640F16"/>
    <w:pPr>
      <w:tabs>
        <w:tab w:val="num" w:pos="576"/>
        <w:tab w:val="left" w:pos="709"/>
      </w:tabs>
      <w:overflowPunct w:val="0"/>
      <w:autoSpaceDE w:val="0"/>
      <w:autoSpaceDN w:val="0"/>
      <w:adjustRightInd w:val="0"/>
      <w:spacing w:before="240" w:line="240" w:lineRule="auto"/>
      <w:ind w:left="576" w:hanging="576"/>
      <w:textAlignment w:val="baseline"/>
    </w:pPr>
    <w:rPr>
      <w:color w:val="auto"/>
      <w:sz w:val="28"/>
      <w:lang w:val="en-US"/>
    </w:rPr>
  </w:style>
  <w:style w:type="paragraph" w:customStyle="1" w:styleId="StyleCaptionCentered">
    <w:name w:val="Style Caption + Centered"/>
    <w:basedOn w:val="Caption"/>
    <w:semiHidden/>
    <w:rsid w:val="00640F16"/>
    <w:pPr>
      <w:overflowPunct w:val="0"/>
      <w:autoSpaceDE w:val="0"/>
      <w:autoSpaceDN w:val="0"/>
      <w:adjustRightInd w:val="0"/>
      <w:spacing w:after="20" w:line="240" w:lineRule="auto"/>
      <w:textAlignment w:val="baseline"/>
    </w:pPr>
    <w:rPr>
      <w:b/>
      <w:i w:val="0"/>
      <w:sz w:val="20"/>
      <w:lang w:val="en-US"/>
    </w:rPr>
  </w:style>
  <w:style w:type="paragraph" w:customStyle="1" w:styleId="StyleBodyTextIndent">
    <w:name w:val="Style Body Text Indent"/>
    <w:aliases w:val="Body Text Indent Char + Justified Left:  0 ..."/>
    <w:basedOn w:val="Normal"/>
    <w:semiHidden/>
    <w:rsid w:val="00640F16"/>
    <w:pPr>
      <w:overflowPunct w:val="0"/>
      <w:autoSpaceDE w:val="0"/>
      <w:autoSpaceDN w:val="0"/>
      <w:adjustRightInd w:val="0"/>
      <w:spacing w:before="60" w:line="240" w:lineRule="auto"/>
      <w:textAlignment w:val="baseline"/>
    </w:pPr>
    <w:rPr>
      <w:sz w:val="20"/>
      <w:lang w:val="en-US"/>
    </w:rPr>
  </w:style>
  <w:style w:type="paragraph" w:customStyle="1" w:styleId="footer2">
    <w:name w:val="footer 2"/>
    <w:basedOn w:val="Normal"/>
    <w:semiHidden/>
    <w:rsid w:val="00640F16"/>
    <w:pPr>
      <w:pBdr>
        <w:top w:val="single" w:sz="6" w:space="1" w:color="auto"/>
      </w:pBdr>
      <w:tabs>
        <w:tab w:val="right" w:pos="9071"/>
      </w:tabs>
    </w:pPr>
  </w:style>
  <w:style w:type="paragraph" w:customStyle="1" w:styleId="footer3">
    <w:name w:val="footer 3"/>
    <w:basedOn w:val="Footer"/>
    <w:semiHidden/>
    <w:rsid w:val="00640F16"/>
    <w:pPr>
      <w:tabs>
        <w:tab w:val="clear" w:pos="9356"/>
        <w:tab w:val="right" w:pos="14601"/>
      </w:tabs>
      <w:overflowPunct w:val="0"/>
      <w:autoSpaceDE w:val="0"/>
      <w:autoSpaceDN w:val="0"/>
      <w:adjustRightInd w:val="0"/>
      <w:jc w:val="left"/>
      <w:textAlignment w:val="baseline"/>
    </w:pPr>
    <w:rPr>
      <w:b/>
      <w:sz w:val="20"/>
      <w:lang w:val="en-US"/>
    </w:rPr>
  </w:style>
  <w:style w:type="paragraph" w:customStyle="1" w:styleId="undhead">
    <w:name w:val="und_head"/>
    <w:basedOn w:val="Normal"/>
    <w:semiHidden/>
    <w:rsid w:val="00640F16"/>
    <w:pPr>
      <w:tabs>
        <w:tab w:val="left" w:pos="426"/>
        <w:tab w:val="left" w:pos="720"/>
      </w:tabs>
      <w:overflowPunct w:val="0"/>
      <w:autoSpaceDE w:val="0"/>
      <w:autoSpaceDN w:val="0"/>
      <w:adjustRightInd w:val="0"/>
      <w:spacing w:before="180" w:line="240" w:lineRule="auto"/>
      <w:ind w:left="426" w:hanging="426"/>
      <w:jc w:val="left"/>
      <w:textAlignment w:val="baseline"/>
    </w:pPr>
    <w:rPr>
      <w:sz w:val="20"/>
      <w:u w:val="single"/>
      <w:lang w:val="en-US"/>
    </w:rPr>
  </w:style>
  <w:style w:type="paragraph" w:customStyle="1" w:styleId="undbullet">
    <w:name w:val="und_bullet"/>
    <w:basedOn w:val="Normal"/>
    <w:semiHidden/>
    <w:rsid w:val="00640F16"/>
    <w:pPr>
      <w:tabs>
        <w:tab w:val="left" w:pos="567"/>
      </w:tabs>
      <w:overflowPunct w:val="0"/>
      <w:autoSpaceDE w:val="0"/>
      <w:autoSpaceDN w:val="0"/>
      <w:adjustRightInd w:val="0"/>
      <w:spacing w:before="120" w:line="240" w:lineRule="auto"/>
      <w:ind w:left="644" w:hanging="360"/>
      <w:jc w:val="left"/>
      <w:textAlignment w:val="baseline"/>
    </w:pPr>
    <w:rPr>
      <w:sz w:val="20"/>
      <w:lang w:val="en-US"/>
    </w:rPr>
  </w:style>
  <w:style w:type="paragraph" w:customStyle="1" w:styleId="undbullet2">
    <w:name w:val="und_bullet 2"/>
    <w:basedOn w:val="undbullet"/>
    <w:semiHidden/>
    <w:rsid w:val="00640F16"/>
    <w:pPr>
      <w:tabs>
        <w:tab w:val="clear" w:pos="567"/>
        <w:tab w:val="left" w:pos="709"/>
      </w:tabs>
      <w:ind w:left="709" w:hanging="425"/>
      <w:jc w:val="both"/>
    </w:pPr>
  </w:style>
  <w:style w:type="paragraph" w:customStyle="1" w:styleId="undbullet3">
    <w:name w:val="und_bullet 3"/>
    <w:basedOn w:val="undbullet2"/>
    <w:semiHidden/>
    <w:rsid w:val="00640F16"/>
  </w:style>
  <w:style w:type="paragraph" w:styleId="DocumentMap">
    <w:name w:val="Document Map"/>
    <w:basedOn w:val="Normal"/>
    <w:semiHidden/>
    <w:rsid w:val="00640F16"/>
    <w:pPr>
      <w:widowControl w:val="0"/>
      <w:shd w:val="clear" w:color="auto" w:fill="000080"/>
      <w:overflowPunct w:val="0"/>
      <w:autoSpaceDE w:val="0"/>
      <w:autoSpaceDN w:val="0"/>
      <w:adjustRightInd w:val="0"/>
      <w:spacing w:before="120" w:after="120" w:line="360" w:lineRule="auto"/>
      <w:jc w:val="left"/>
      <w:textAlignment w:val="baseline"/>
    </w:pPr>
    <w:rPr>
      <w:rFonts w:ascii="Tahoma" w:hAnsi="Tahoma"/>
      <w:color w:val="000000"/>
      <w:sz w:val="24"/>
      <w:lang w:val="en-AU"/>
    </w:rPr>
  </w:style>
  <w:style w:type="paragraph" w:customStyle="1" w:styleId="StyleHeading1Justified">
    <w:name w:val="Style Heading 1 + Justified"/>
    <w:basedOn w:val="Heading1"/>
    <w:semiHidden/>
    <w:rsid w:val="00640F16"/>
    <w:pPr>
      <w:numPr>
        <w:numId w:val="0"/>
      </w:numPr>
      <w:pBdr>
        <w:bottom w:val="single" w:sz="6" w:space="1" w:color="auto"/>
      </w:pBdr>
      <w:tabs>
        <w:tab w:val="num" w:pos="360"/>
        <w:tab w:val="left" w:pos="9180"/>
      </w:tabs>
      <w:overflowPunct w:val="0"/>
      <w:autoSpaceDE w:val="0"/>
      <w:autoSpaceDN w:val="0"/>
      <w:adjustRightInd w:val="0"/>
      <w:spacing w:before="0" w:line="240" w:lineRule="auto"/>
      <w:ind w:left="360" w:hanging="360"/>
      <w:textAlignment w:val="baseline"/>
    </w:pPr>
    <w:rPr>
      <w:caps w:val="0"/>
      <w:smallCaps/>
      <w:color w:val="auto"/>
      <w:kern w:val="32"/>
      <w:sz w:val="40"/>
      <w:lang w:val="en-US"/>
    </w:rPr>
  </w:style>
  <w:style w:type="paragraph" w:customStyle="1" w:styleId="StyleBodyTextIndentArialBlackJustifiedLeft0cmBefoCharCharCharCharCharChar">
    <w:name w:val="Style Body Text Indent + Arial Black Justified Left:  0 cm Befo... Char Char Char Char Char Char"/>
    <w:basedOn w:val="Normal"/>
    <w:semiHidden/>
    <w:rsid w:val="00640F16"/>
    <w:pPr>
      <w:overflowPunct w:val="0"/>
      <w:autoSpaceDE w:val="0"/>
      <w:autoSpaceDN w:val="0"/>
      <w:adjustRightInd w:val="0"/>
      <w:spacing w:before="40" w:after="80" w:line="240" w:lineRule="auto"/>
      <w:textAlignment w:val="baseline"/>
    </w:pPr>
    <w:rPr>
      <w:color w:val="000000"/>
      <w:sz w:val="20"/>
      <w:lang w:val="en-US"/>
    </w:rPr>
  </w:style>
  <w:style w:type="paragraph" w:customStyle="1" w:styleId="StyleStyleBodyTextIndentArialBlackJustifiedLeft0cmBe">
    <w:name w:val="Style Style Body Text Indent + Arial Black Justified Left:  0 cm Be..."/>
    <w:basedOn w:val="StyleBodyTextIndentArialBlackJustifiedLeft0cmBefoCharCharCharCharCharChar"/>
    <w:semiHidden/>
    <w:rsid w:val="00640F16"/>
  </w:style>
  <w:style w:type="paragraph" w:customStyle="1" w:styleId="StyleStyleBodyTextIndentArialBlackJustifiedLeft0cmBe1">
    <w:name w:val="Style Style Body Text Indent + Arial Black Justified Left:  0 cm Be...1"/>
    <w:basedOn w:val="StyleBodyTextIndentArialBlackJustifiedLeft0cmBefoCharCharCharCharCharChar"/>
    <w:semiHidden/>
    <w:rsid w:val="00640F16"/>
    <w:pPr>
      <w:spacing w:before="20" w:after="100"/>
    </w:pPr>
  </w:style>
  <w:style w:type="paragraph" w:customStyle="1" w:styleId="StyleCaptionCentered1">
    <w:name w:val="Style Caption + Centered1"/>
    <w:basedOn w:val="Caption"/>
    <w:semiHidden/>
    <w:rsid w:val="00640F16"/>
    <w:pPr>
      <w:overflowPunct w:val="0"/>
      <w:autoSpaceDE w:val="0"/>
      <w:autoSpaceDN w:val="0"/>
      <w:adjustRightInd w:val="0"/>
      <w:spacing w:before="240" w:after="0" w:line="240" w:lineRule="auto"/>
      <w:textAlignment w:val="baseline"/>
    </w:pPr>
    <w:rPr>
      <w:b/>
      <w:i w:val="0"/>
      <w:sz w:val="20"/>
      <w:lang w:val="en-US"/>
    </w:rPr>
  </w:style>
  <w:style w:type="paragraph" w:customStyle="1" w:styleId="CoverTitle1">
    <w:name w:val="Cover Title 1"/>
    <w:basedOn w:val="Normal"/>
    <w:rsid w:val="00640F16"/>
    <w:pPr>
      <w:jc w:val="left"/>
    </w:pPr>
    <w:rPr>
      <w:rFonts w:ascii="Arial Narrow" w:hAnsi="Arial Narrow"/>
      <w:b/>
      <w:bCs/>
      <w:color w:val="FFFFFF"/>
      <w:spacing w:val="10"/>
      <w:sz w:val="48"/>
      <w:szCs w:val="48"/>
    </w:rPr>
  </w:style>
  <w:style w:type="paragraph" w:customStyle="1" w:styleId="CoverTitle2">
    <w:name w:val="Cover Title 2"/>
    <w:basedOn w:val="Normal"/>
    <w:rsid w:val="006A51D3"/>
    <w:pPr>
      <w:suppressAutoHyphens/>
      <w:spacing w:before="480" w:after="240" w:line="480" w:lineRule="auto"/>
      <w:jc w:val="left"/>
    </w:pPr>
    <w:rPr>
      <w:i/>
      <w:color w:val="FFFFFF"/>
      <w:spacing w:val="10"/>
      <w:sz w:val="40"/>
    </w:rPr>
  </w:style>
  <w:style w:type="paragraph" w:customStyle="1" w:styleId="Coverdate">
    <w:name w:val="Cover date"/>
    <w:basedOn w:val="Normal"/>
    <w:rsid w:val="00640F16"/>
    <w:pPr>
      <w:spacing w:line="480" w:lineRule="auto"/>
    </w:pPr>
    <w:rPr>
      <w:i/>
      <w:color w:val="FFFFFF"/>
      <w:spacing w:val="10"/>
      <w:sz w:val="24"/>
    </w:rPr>
  </w:style>
  <w:style w:type="paragraph" w:customStyle="1" w:styleId="CoverFWCreference">
    <w:name w:val="Cover FWC reference"/>
    <w:basedOn w:val="Normal"/>
    <w:rsid w:val="00640F16"/>
    <w:pPr>
      <w:spacing w:before="0" w:line="240" w:lineRule="auto"/>
      <w:jc w:val="left"/>
    </w:pPr>
    <w:rPr>
      <w:b/>
      <w:color w:val="000080"/>
      <w:sz w:val="22"/>
      <w:szCs w:val="22"/>
    </w:rPr>
  </w:style>
  <w:style w:type="paragraph" w:customStyle="1" w:styleId="CovercontractNumber">
    <w:name w:val="Cover contract Number"/>
    <w:basedOn w:val="Normal"/>
    <w:rsid w:val="00640F16"/>
    <w:pPr>
      <w:spacing w:before="80" w:line="240" w:lineRule="auto"/>
      <w:jc w:val="left"/>
    </w:pPr>
    <w:rPr>
      <w:b/>
      <w:color w:val="000080"/>
      <w:sz w:val="22"/>
      <w:szCs w:val="22"/>
    </w:rPr>
  </w:style>
  <w:style w:type="paragraph" w:customStyle="1" w:styleId="Coverfooter">
    <w:name w:val="Cover footer"/>
    <w:basedOn w:val="Normal"/>
    <w:rsid w:val="00640F16"/>
    <w:pPr>
      <w:jc w:val="left"/>
    </w:pPr>
    <w:rPr>
      <w:color w:val="FFFFFF"/>
    </w:rPr>
  </w:style>
  <w:style w:type="paragraph" w:customStyle="1" w:styleId="Coverbrol">
    <w:name w:val="Cover brol"/>
    <w:rsid w:val="00640F16"/>
    <w:rPr>
      <w:rFonts w:ascii="Arial" w:hAnsi="Arial" w:cs="Arial"/>
      <w:i/>
      <w:iCs/>
      <w:color w:val="FFFFFF"/>
      <w:sz w:val="18"/>
      <w:szCs w:val="18"/>
      <w:lang w:val="fr-BE" w:eastAsia="en-US"/>
    </w:rPr>
  </w:style>
  <w:style w:type="character" w:styleId="PageNumber">
    <w:name w:val="page number"/>
    <w:rsid w:val="00E45880"/>
    <w:rPr>
      <w:b/>
      <w:noProof w:val="0"/>
      <w:lang w:val="en-GB"/>
    </w:rPr>
  </w:style>
  <w:style w:type="paragraph" w:customStyle="1" w:styleId="FigureTitle">
    <w:name w:val="Figure Title"/>
    <w:basedOn w:val="Normal"/>
    <w:rsid w:val="00CD3A46"/>
    <w:pPr>
      <w:numPr>
        <w:numId w:val="5"/>
      </w:numPr>
      <w:jc w:val="center"/>
    </w:pPr>
    <w:rPr>
      <w:i/>
      <w:iCs/>
    </w:rPr>
  </w:style>
  <w:style w:type="paragraph" w:customStyle="1" w:styleId="Picture">
    <w:name w:val="Picture"/>
    <w:basedOn w:val="Normal"/>
    <w:rsid w:val="00640F16"/>
    <w:pPr>
      <w:keepNext/>
      <w:spacing w:before="360" w:line="240" w:lineRule="auto"/>
      <w:jc w:val="center"/>
    </w:pPr>
  </w:style>
  <w:style w:type="paragraph" w:customStyle="1" w:styleId="TableTitle0">
    <w:name w:val="Table Title"/>
    <w:basedOn w:val="Normal"/>
    <w:rsid w:val="00640F16"/>
    <w:pPr>
      <w:keepNext/>
      <w:tabs>
        <w:tab w:val="num" w:pos="851"/>
      </w:tabs>
      <w:spacing w:before="240" w:after="120"/>
      <w:jc w:val="center"/>
    </w:pPr>
    <w:rPr>
      <w:i/>
      <w:iCs/>
    </w:rPr>
  </w:style>
  <w:style w:type="paragraph" w:customStyle="1" w:styleId="TitlenotinTOC">
    <w:name w:val="Title not in TOC"/>
    <w:basedOn w:val="Normal"/>
    <w:rsid w:val="006B08EC"/>
    <w:pPr>
      <w:pageBreakBefore/>
      <w:pBdr>
        <w:bottom w:val="single" w:sz="4" w:space="1" w:color="999999"/>
      </w:pBdr>
      <w:spacing w:after="240"/>
      <w:jc w:val="left"/>
    </w:pPr>
    <w:rPr>
      <w:b/>
      <w:color w:val="000080"/>
      <w:sz w:val="24"/>
    </w:rPr>
  </w:style>
  <w:style w:type="paragraph" w:customStyle="1" w:styleId="Title1">
    <w:name w:val="Title1"/>
    <w:basedOn w:val="Normal"/>
    <w:rsid w:val="00C40F9E"/>
    <w:pPr>
      <w:spacing w:line="264" w:lineRule="auto"/>
      <w:jc w:val="center"/>
    </w:pPr>
    <w:rPr>
      <w:b/>
      <w:bCs/>
      <w:sz w:val="28"/>
      <w:lang w:eastAsia="en-GB"/>
    </w:rPr>
  </w:style>
  <w:style w:type="character" w:customStyle="1" w:styleId="sg">
    <w:name w:val="sg"/>
    <w:basedOn w:val="DefaultParagraphFont"/>
    <w:rsid w:val="0064265A"/>
  </w:style>
  <w:style w:type="paragraph" w:customStyle="1" w:styleId="BoxBullets">
    <w:name w:val="Box Bullets"/>
    <w:basedOn w:val="Normal"/>
    <w:rsid w:val="008F2DCA"/>
    <w:pPr>
      <w:pBdr>
        <w:top w:val="single" w:sz="4" w:space="6" w:color="999999"/>
        <w:left w:val="single" w:sz="4" w:space="4" w:color="999999"/>
        <w:bottom w:val="single" w:sz="4" w:space="3" w:color="999999"/>
        <w:right w:val="single" w:sz="4" w:space="4" w:color="999999"/>
      </w:pBdr>
      <w:shd w:val="pct15" w:color="FFFF00" w:fill="auto"/>
      <w:tabs>
        <w:tab w:val="num" w:pos="227"/>
      </w:tabs>
      <w:spacing w:before="60" w:after="40"/>
      <w:ind w:left="227" w:hanging="227"/>
      <w:jc w:val="left"/>
    </w:pPr>
    <w:rPr>
      <w:rFonts w:cs="Arial"/>
      <w:i/>
      <w:iCs/>
      <w:color w:val="000080"/>
      <w:sz w:val="20"/>
      <w:szCs w:val="22"/>
      <w:lang w:eastAsia="fr-BE"/>
    </w:rPr>
  </w:style>
  <w:style w:type="table" w:styleId="TableGrid">
    <w:name w:val="Table Grid"/>
    <w:basedOn w:val="TableNormal"/>
    <w:uiPriority w:val="59"/>
    <w:rsid w:val="00C40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Text">
    <w:name w:val="Box Text"/>
    <w:basedOn w:val="BoxBullets"/>
    <w:rsid w:val="00936AAB"/>
    <w:pPr>
      <w:tabs>
        <w:tab w:val="clear" w:pos="227"/>
      </w:tabs>
      <w:ind w:left="0" w:firstLine="0"/>
    </w:pPr>
  </w:style>
  <w:style w:type="paragraph" w:styleId="BalloonText">
    <w:name w:val="Balloon Text"/>
    <w:basedOn w:val="Normal"/>
    <w:link w:val="BalloonTextChar"/>
    <w:uiPriority w:val="99"/>
    <w:semiHidden/>
    <w:rsid w:val="00AD04B9"/>
    <w:pPr>
      <w:spacing w:before="0" w:line="240" w:lineRule="auto"/>
      <w:jc w:val="left"/>
    </w:pPr>
    <w:rPr>
      <w:rFonts w:ascii="Tahoma" w:hAnsi="Tahoma" w:cs="Tahoma"/>
      <w:sz w:val="16"/>
      <w:szCs w:val="16"/>
      <w:lang w:val="en-US" w:eastAsia="ru-RU"/>
    </w:rPr>
  </w:style>
  <w:style w:type="paragraph" w:customStyle="1" w:styleId="Appendix">
    <w:name w:val="Appendix"/>
    <w:next w:val="Normal"/>
    <w:rsid w:val="00C94D91"/>
    <w:pPr>
      <w:pBdr>
        <w:bottom w:val="single" w:sz="2" w:space="3" w:color="C0C0C0"/>
      </w:pBdr>
      <w:tabs>
        <w:tab w:val="num" w:pos="425"/>
      </w:tabs>
      <w:spacing w:after="240"/>
      <w:ind w:left="1134" w:right="1134"/>
      <w:jc w:val="center"/>
    </w:pPr>
    <w:rPr>
      <w:rFonts w:ascii="Arial" w:hAnsi="Arial"/>
      <w:b/>
      <w:smallCaps/>
      <w:noProof/>
      <w:color w:val="000080"/>
      <w:sz w:val="22"/>
      <w:lang w:val="en-GB" w:eastAsia="en-GB"/>
    </w:rPr>
  </w:style>
  <w:style w:type="paragraph" w:customStyle="1" w:styleId="Boxtitle">
    <w:name w:val="Box title"/>
    <w:basedOn w:val="Normal"/>
    <w:rsid w:val="0026073E"/>
    <w:pPr>
      <w:keepNext/>
      <w:tabs>
        <w:tab w:val="num" w:pos="0"/>
      </w:tabs>
      <w:suppressAutoHyphens/>
      <w:spacing w:before="240" w:after="120" w:line="312" w:lineRule="auto"/>
      <w:jc w:val="center"/>
    </w:pPr>
    <w:rPr>
      <w:rFonts w:cs="Arial"/>
      <w:i/>
      <w:iCs/>
      <w:color w:val="808080"/>
      <w:sz w:val="20"/>
    </w:rPr>
  </w:style>
  <w:style w:type="paragraph" w:customStyle="1" w:styleId="Tableheading0">
    <w:name w:val="Table heading"/>
    <w:basedOn w:val="Normal"/>
    <w:link w:val="TableheadingChar0"/>
    <w:uiPriority w:val="99"/>
    <w:rsid w:val="003C3CE7"/>
    <w:pPr>
      <w:keepNext/>
      <w:suppressAutoHyphens/>
      <w:spacing w:before="40" w:after="20" w:line="264" w:lineRule="auto"/>
      <w:jc w:val="center"/>
    </w:pPr>
    <w:rPr>
      <w:rFonts w:ascii="Swis721 Cn BT" w:hAnsi="Swis721 Cn BT"/>
      <w:smallCaps/>
      <w:color w:val="00CCFF"/>
      <w:spacing w:val="6"/>
      <w:sz w:val="19"/>
      <w:szCs w:val="19"/>
      <w:lang w:eastAsia="fr-BE"/>
    </w:rPr>
  </w:style>
  <w:style w:type="character" w:customStyle="1" w:styleId="Bold">
    <w:name w:val="Bold"/>
    <w:rsid w:val="00112B5C"/>
    <w:rPr>
      <w:rFonts w:ascii="Swis721 BT" w:hAnsi="Swis721 BT"/>
      <w:b/>
      <w:bCs/>
      <w:noProof w:val="0"/>
      <w:lang w:val="en-GB"/>
    </w:rPr>
  </w:style>
  <w:style w:type="paragraph" w:customStyle="1" w:styleId="ActivitiesH1">
    <w:name w:val="Activities H1"/>
    <w:basedOn w:val="Heading4"/>
    <w:rsid w:val="00AA6A69"/>
    <w:pPr>
      <w:keepLines w:val="0"/>
      <w:pBdr>
        <w:bottom w:val="single" w:sz="4" w:space="1" w:color="999999"/>
      </w:pBdr>
      <w:tabs>
        <w:tab w:val="left" w:pos="851"/>
      </w:tabs>
      <w:suppressAutoHyphens/>
      <w:spacing w:before="360" w:line="312" w:lineRule="auto"/>
    </w:pPr>
    <w:rPr>
      <w:rFonts w:cs="Arial"/>
      <w:bCs/>
      <w:iCs/>
      <w:szCs w:val="21"/>
    </w:rPr>
  </w:style>
  <w:style w:type="character" w:customStyle="1" w:styleId="Blue">
    <w:name w:val="Blue"/>
    <w:rsid w:val="00CD3A46"/>
    <w:rPr>
      <w:rFonts w:cs="Arial"/>
      <w:noProof w:val="0"/>
      <w:color w:val="000080"/>
      <w:lang w:val="en-GB"/>
    </w:rPr>
  </w:style>
  <w:style w:type="paragraph" w:customStyle="1" w:styleId="Tasksub1">
    <w:name w:val="Task sub1"/>
    <w:rsid w:val="005C6583"/>
    <w:pPr>
      <w:keepNext/>
      <w:pBdr>
        <w:bottom w:val="single" w:sz="4" w:space="1" w:color="999999"/>
      </w:pBdr>
      <w:tabs>
        <w:tab w:val="num" w:pos="284"/>
      </w:tabs>
      <w:spacing w:before="240"/>
      <w:ind w:left="284" w:hanging="284"/>
    </w:pPr>
    <w:rPr>
      <w:rFonts w:ascii="Arial" w:hAnsi="Arial"/>
      <w:i/>
      <w:iCs/>
      <w:color w:val="000080"/>
      <w:sz w:val="21"/>
      <w:szCs w:val="21"/>
      <w:lang w:val="en-GB" w:eastAsia="en-US"/>
    </w:rPr>
  </w:style>
  <w:style w:type="character" w:styleId="Emphasis">
    <w:name w:val="Emphasis"/>
    <w:uiPriority w:val="20"/>
    <w:qFormat/>
    <w:rsid w:val="007D2AEC"/>
    <w:rPr>
      <w:i/>
      <w:iCs w:val="0"/>
      <w:noProof w:val="0"/>
      <w:lang w:val="en-GB"/>
    </w:rPr>
  </w:style>
  <w:style w:type="paragraph" w:styleId="NormalWeb">
    <w:name w:val="Normal (Web)"/>
    <w:basedOn w:val="Normal"/>
    <w:rsid w:val="00153E3E"/>
    <w:pPr>
      <w:spacing w:before="100" w:after="100" w:line="240" w:lineRule="auto"/>
      <w:jc w:val="left"/>
    </w:pPr>
    <w:rPr>
      <w:rFonts w:ascii="Times New Roman" w:hAnsi="Times New Roman"/>
      <w:sz w:val="24"/>
      <w:szCs w:val="24"/>
      <w:lang w:eastAsia="en-GB"/>
    </w:rPr>
  </w:style>
  <w:style w:type="paragraph" w:styleId="Index1">
    <w:name w:val="index 1"/>
    <w:basedOn w:val="Normal"/>
    <w:next w:val="Normal"/>
    <w:autoRedefine/>
    <w:semiHidden/>
    <w:rsid w:val="00230D7F"/>
    <w:pPr>
      <w:ind w:left="210" w:hanging="210"/>
    </w:pPr>
  </w:style>
  <w:style w:type="character" w:customStyle="1" w:styleId="shorttext">
    <w:name w:val="short_text"/>
    <w:rsid w:val="006D70EA"/>
  </w:style>
  <w:style w:type="character" w:customStyle="1" w:styleId="hps">
    <w:name w:val="hps"/>
    <w:rsid w:val="006D70EA"/>
  </w:style>
  <w:style w:type="character" w:customStyle="1" w:styleId="apple-style-span">
    <w:name w:val="apple-style-span"/>
    <w:rsid w:val="0065075D"/>
  </w:style>
  <w:style w:type="character" w:styleId="HTMLTypewriter">
    <w:name w:val="HTML Typewriter"/>
    <w:rsid w:val="0065075D"/>
    <w:rPr>
      <w:rFonts w:ascii="Courier New" w:eastAsia="Courier New" w:hAnsi="Courier New" w:cs="Courier New"/>
      <w:noProof w:val="0"/>
      <w:sz w:val="20"/>
      <w:szCs w:val="20"/>
      <w:lang w:val="en-GB"/>
    </w:rPr>
  </w:style>
  <w:style w:type="character" w:customStyle="1" w:styleId="FootnoteTextChar">
    <w:name w:val="Footnote Text Char"/>
    <w:link w:val="FootnoteText"/>
    <w:uiPriority w:val="99"/>
    <w:semiHidden/>
    <w:rsid w:val="00B545D8"/>
    <w:rPr>
      <w:rFonts w:ascii="Arial" w:hAnsi="Arial"/>
      <w:sz w:val="18"/>
      <w:szCs w:val="18"/>
      <w:lang w:val="en-GB" w:eastAsia="en-US"/>
    </w:rPr>
  </w:style>
  <w:style w:type="table" w:styleId="TableContemporary">
    <w:name w:val="Table Contemporary"/>
    <w:basedOn w:val="TableNormal"/>
    <w:rsid w:val="00D453CE"/>
    <w:pPr>
      <w:spacing w:before="160" w:line="288"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2E1DAF"/>
    <w:pPr>
      <w:spacing w:before="0" w:after="200" w:line="276" w:lineRule="auto"/>
      <w:ind w:left="720"/>
      <w:contextualSpacing/>
      <w:jc w:val="left"/>
    </w:pPr>
    <w:rPr>
      <w:rFonts w:ascii="Calibri" w:hAnsi="Calibri"/>
      <w:sz w:val="22"/>
      <w:szCs w:val="22"/>
      <w:lang w:val="en-US"/>
    </w:rPr>
  </w:style>
  <w:style w:type="paragraph" w:customStyle="1" w:styleId="Bullet1">
    <w:name w:val="Bullet 1"/>
    <w:basedOn w:val="Normal"/>
    <w:qFormat/>
    <w:rsid w:val="00F65192"/>
    <w:pPr>
      <w:numPr>
        <w:numId w:val="8"/>
      </w:numPr>
      <w:suppressAutoHyphens/>
      <w:spacing w:before="60" w:line="264" w:lineRule="auto"/>
    </w:pPr>
    <w:rPr>
      <w:sz w:val="20"/>
      <w:lang w:eastAsia="fr-BE"/>
    </w:rPr>
  </w:style>
  <w:style w:type="paragraph" w:customStyle="1" w:styleId="Bullet2">
    <w:name w:val="Bullet 2"/>
    <w:basedOn w:val="Normal"/>
    <w:rsid w:val="00F65192"/>
    <w:pPr>
      <w:numPr>
        <w:ilvl w:val="1"/>
        <w:numId w:val="8"/>
      </w:numPr>
      <w:suppressAutoHyphens/>
      <w:spacing w:before="40" w:line="264" w:lineRule="auto"/>
    </w:pPr>
    <w:rPr>
      <w:sz w:val="20"/>
    </w:rPr>
  </w:style>
  <w:style w:type="paragraph" w:customStyle="1" w:styleId="Bullet3">
    <w:name w:val="Bullet 3"/>
    <w:basedOn w:val="Bullet2"/>
    <w:rsid w:val="00F65192"/>
    <w:pPr>
      <w:numPr>
        <w:ilvl w:val="2"/>
      </w:numPr>
      <w:suppressAutoHyphens w:val="0"/>
      <w:spacing w:before="0"/>
    </w:pPr>
  </w:style>
  <w:style w:type="paragraph" w:styleId="CommentSubject">
    <w:name w:val="annotation subject"/>
    <w:basedOn w:val="CommentText"/>
    <w:next w:val="CommentText"/>
    <w:link w:val="CommentSubjectChar"/>
    <w:uiPriority w:val="99"/>
    <w:rsid w:val="00C97DE2"/>
    <w:rPr>
      <w:b/>
      <w:bCs/>
      <w:sz w:val="20"/>
    </w:rPr>
  </w:style>
  <w:style w:type="character" w:customStyle="1" w:styleId="CommentTextChar">
    <w:name w:val="Comment Text Char"/>
    <w:link w:val="CommentText"/>
    <w:uiPriority w:val="99"/>
    <w:semiHidden/>
    <w:rsid w:val="00C97DE2"/>
    <w:rPr>
      <w:rFonts w:ascii="Arial" w:hAnsi="Arial"/>
      <w:noProof w:val="0"/>
      <w:sz w:val="21"/>
      <w:lang w:val="en-GB" w:eastAsia="en-US"/>
    </w:rPr>
  </w:style>
  <w:style w:type="character" w:customStyle="1" w:styleId="CommentSubjectChar">
    <w:name w:val="Comment Subject Char"/>
    <w:basedOn w:val="CommentTextChar"/>
    <w:link w:val="CommentSubject"/>
    <w:uiPriority w:val="99"/>
    <w:rsid w:val="00C97DE2"/>
    <w:rPr>
      <w:rFonts w:ascii="Arial" w:hAnsi="Arial"/>
      <w:noProof w:val="0"/>
      <w:sz w:val="21"/>
      <w:lang w:val="en-GB" w:eastAsia="en-US"/>
    </w:rPr>
  </w:style>
  <w:style w:type="paragraph" w:styleId="Revision">
    <w:name w:val="Revision"/>
    <w:hidden/>
    <w:uiPriority w:val="99"/>
    <w:semiHidden/>
    <w:rsid w:val="00C97DE2"/>
    <w:rPr>
      <w:rFonts w:ascii="Arial" w:hAnsi="Arial"/>
      <w:sz w:val="21"/>
      <w:lang w:val="en-GB" w:eastAsia="en-US"/>
    </w:rPr>
  </w:style>
  <w:style w:type="character" w:customStyle="1" w:styleId="TableheadingChar0">
    <w:name w:val="Table heading Char"/>
    <w:link w:val="Tableheading0"/>
    <w:uiPriority w:val="99"/>
    <w:locked/>
    <w:rsid w:val="001C2227"/>
    <w:rPr>
      <w:rFonts w:ascii="Swis721 Cn BT" w:hAnsi="Swis721 Cn BT"/>
      <w:smallCaps/>
      <w:color w:val="00CCFF"/>
      <w:spacing w:val="6"/>
      <w:sz w:val="19"/>
      <w:szCs w:val="19"/>
      <w:lang w:val="en-GB" w:eastAsia="fr-BE"/>
    </w:rPr>
  </w:style>
  <w:style w:type="paragraph" w:customStyle="1" w:styleId="TableH2">
    <w:name w:val="Table H2"/>
    <w:basedOn w:val="Tableheading0"/>
    <w:uiPriority w:val="99"/>
    <w:rsid w:val="001C2227"/>
    <w:pPr>
      <w:keepNext w:val="0"/>
      <w:spacing w:before="20" w:afterLines="20" w:line="240" w:lineRule="auto"/>
      <w:jc w:val="left"/>
    </w:pPr>
    <w:rPr>
      <w:rFonts w:ascii="Arial Narrow" w:hAnsi="Arial Narrow"/>
      <w:i/>
      <w:smallCaps w:val="0"/>
      <w:color w:val="0084B6"/>
    </w:rPr>
  </w:style>
  <w:style w:type="character" w:customStyle="1" w:styleId="TablebulletsChar">
    <w:name w:val="Table bullets Char"/>
    <w:link w:val="Tablebullets0"/>
    <w:rsid w:val="001C2227"/>
    <w:rPr>
      <w:rFonts w:ascii="Arial" w:hAnsi="Arial"/>
    </w:rPr>
  </w:style>
  <w:style w:type="paragraph" w:customStyle="1" w:styleId="Logframebullet1">
    <w:name w:val="Logframe bullet 1"/>
    <w:basedOn w:val="Tablebullets0"/>
    <w:uiPriority w:val="99"/>
    <w:rsid w:val="001C2227"/>
    <w:pPr>
      <w:spacing w:before="20" w:line="240" w:lineRule="auto"/>
    </w:pPr>
    <w:rPr>
      <w:rFonts w:ascii="Arial Narrow" w:hAnsi="Arial Narrow" w:cs="Arial"/>
      <w:lang w:eastAsia="fr-BE"/>
    </w:rPr>
  </w:style>
  <w:style w:type="paragraph" w:customStyle="1" w:styleId="Logframenormal">
    <w:name w:val="Logframe normal"/>
    <w:basedOn w:val="Normal"/>
    <w:uiPriority w:val="99"/>
    <w:rsid w:val="001C2227"/>
    <w:pPr>
      <w:spacing w:before="40" w:after="20" w:line="240" w:lineRule="auto"/>
      <w:jc w:val="left"/>
    </w:pPr>
    <w:rPr>
      <w:rFonts w:ascii="Arial Narrow" w:hAnsi="Arial Narrow"/>
      <w:sz w:val="20"/>
      <w:lang w:eastAsia="fr-BE"/>
    </w:rPr>
  </w:style>
  <w:style w:type="character" w:customStyle="1" w:styleId="googqs-tidbit1">
    <w:name w:val="goog_qs-tidbit1"/>
    <w:rsid w:val="00EC2A3E"/>
    <w:rPr>
      <w:noProof w:val="0"/>
      <w:vanish w:val="0"/>
      <w:webHidden w:val="0"/>
      <w:lang w:val="en-GB"/>
      <w:specVanish/>
    </w:rPr>
  </w:style>
  <w:style w:type="character" w:customStyle="1" w:styleId="HeaderChar">
    <w:name w:val="Header Char"/>
    <w:link w:val="Header"/>
    <w:uiPriority w:val="99"/>
    <w:rsid w:val="00EC2A3E"/>
    <w:rPr>
      <w:rFonts w:ascii="Arial Narrow" w:hAnsi="Arial Narrow"/>
      <w:noProof/>
      <w:sz w:val="18"/>
      <w:szCs w:val="18"/>
      <w:lang w:val="en-US" w:eastAsia="en-US"/>
    </w:rPr>
  </w:style>
  <w:style w:type="paragraph" w:customStyle="1" w:styleId="Tabletext0">
    <w:name w:val="Table text"/>
    <w:basedOn w:val="Normal"/>
    <w:link w:val="TabletextChar0"/>
    <w:rsid w:val="00760B1C"/>
    <w:pPr>
      <w:spacing w:before="40" w:after="20" w:line="240" w:lineRule="auto"/>
      <w:jc w:val="left"/>
    </w:pPr>
    <w:rPr>
      <w:sz w:val="19"/>
      <w:szCs w:val="19"/>
      <w:lang w:eastAsia="fr-BE"/>
    </w:rPr>
  </w:style>
  <w:style w:type="character" w:customStyle="1" w:styleId="TabletextChar0">
    <w:name w:val="Table text Char"/>
    <w:link w:val="Tabletext0"/>
    <w:locked/>
    <w:rsid w:val="00760B1C"/>
    <w:rPr>
      <w:rFonts w:ascii="Arial" w:hAnsi="Arial"/>
      <w:sz w:val="19"/>
      <w:szCs w:val="19"/>
      <w:lang w:val="en-GB" w:eastAsia="fr-BE"/>
    </w:rPr>
  </w:style>
  <w:style w:type="paragraph" w:customStyle="1" w:styleId="Tabletitle">
    <w:name w:val="Table title"/>
    <w:basedOn w:val="Normal"/>
    <w:link w:val="TabletitleChar"/>
    <w:uiPriority w:val="99"/>
    <w:rsid w:val="00760B1C"/>
    <w:pPr>
      <w:keepNext/>
      <w:numPr>
        <w:numId w:val="9"/>
      </w:numPr>
      <w:tabs>
        <w:tab w:val="clear" w:pos="1980"/>
        <w:tab w:val="num" w:pos="993"/>
      </w:tabs>
      <w:suppressAutoHyphens/>
      <w:spacing w:before="240" w:after="240" w:line="240" w:lineRule="auto"/>
      <w:ind w:left="992"/>
      <w:jc w:val="center"/>
    </w:pPr>
    <w:rPr>
      <w:rFonts w:ascii="Arial Narrow" w:hAnsi="Arial Narrow"/>
      <w:i/>
      <w:iCs/>
      <w:color w:val="808080"/>
      <w:szCs w:val="21"/>
    </w:rPr>
  </w:style>
  <w:style w:type="character" w:customStyle="1" w:styleId="TabletitleChar">
    <w:name w:val="Table title Char"/>
    <w:link w:val="Tabletitle"/>
    <w:uiPriority w:val="99"/>
    <w:locked/>
    <w:rsid w:val="00760B1C"/>
    <w:rPr>
      <w:rFonts w:ascii="Arial Narrow" w:hAnsi="Arial Narrow"/>
      <w:i/>
      <w:iCs/>
      <w:color w:val="808080"/>
      <w:sz w:val="21"/>
      <w:szCs w:val="21"/>
    </w:rPr>
  </w:style>
  <w:style w:type="character" w:customStyle="1" w:styleId="st1">
    <w:name w:val="st1"/>
    <w:rsid w:val="00C95729"/>
  </w:style>
  <w:style w:type="character" w:customStyle="1" w:styleId="ft">
    <w:name w:val="ft"/>
    <w:rsid w:val="002F1146"/>
  </w:style>
  <w:style w:type="character" w:customStyle="1" w:styleId="pagetitle1">
    <w:name w:val="page_title1"/>
    <w:rsid w:val="00ED5586"/>
    <w:rPr>
      <w:rFonts w:ascii="Verdana" w:hAnsi="Verdana" w:hint="default"/>
      <w:b/>
      <w:bCs/>
      <w:noProof w:val="0"/>
      <w:sz w:val="22"/>
      <w:szCs w:val="22"/>
      <w:lang w:val="en-GB"/>
    </w:rPr>
  </w:style>
  <w:style w:type="paragraph" w:styleId="TOCHeading">
    <w:name w:val="TOC Heading"/>
    <w:basedOn w:val="Heading1"/>
    <w:next w:val="Normal"/>
    <w:uiPriority w:val="39"/>
    <w:semiHidden/>
    <w:unhideWhenUsed/>
    <w:qFormat/>
    <w:rsid w:val="00EA5742"/>
    <w:pPr>
      <w:keepLines/>
      <w:numPr>
        <w:numId w:val="0"/>
      </w:numPr>
      <w:pBdr>
        <w:bottom w:val="none" w:sz="0" w:space="0" w:color="auto"/>
      </w:pBdr>
      <w:spacing w:before="480" w:after="0" w:line="276" w:lineRule="auto"/>
      <w:jc w:val="left"/>
      <w:outlineLvl w:val="9"/>
    </w:pPr>
    <w:rPr>
      <w:rFonts w:ascii="Cambria" w:hAnsi="Cambria"/>
      <w:bCs/>
      <w:caps w:val="0"/>
      <w:color w:val="365F91"/>
      <w:sz w:val="28"/>
      <w:szCs w:val="28"/>
      <w:lang w:val="en-US"/>
    </w:rPr>
  </w:style>
  <w:style w:type="character" w:styleId="Strong">
    <w:name w:val="Strong"/>
    <w:uiPriority w:val="22"/>
    <w:qFormat/>
    <w:rsid w:val="001C46A2"/>
    <w:rPr>
      <w:b/>
      <w:bCs/>
      <w:noProof w:val="0"/>
      <w:lang w:val="en-GB"/>
    </w:rPr>
  </w:style>
  <w:style w:type="paragraph" w:customStyle="1" w:styleId="font5">
    <w:name w:val="font5"/>
    <w:basedOn w:val="Normal"/>
    <w:rsid w:val="000155BE"/>
    <w:pPr>
      <w:spacing w:before="100" w:beforeAutospacing="1" w:after="100" w:afterAutospacing="1" w:line="240" w:lineRule="auto"/>
      <w:jc w:val="left"/>
    </w:pPr>
    <w:rPr>
      <w:rFonts w:cs="Arial"/>
      <w:sz w:val="18"/>
      <w:szCs w:val="18"/>
      <w:lang w:val="en-US"/>
    </w:rPr>
  </w:style>
  <w:style w:type="paragraph" w:customStyle="1" w:styleId="font6">
    <w:name w:val="font6"/>
    <w:basedOn w:val="Normal"/>
    <w:rsid w:val="000155BE"/>
    <w:pPr>
      <w:spacing w:before="100" w:beforeAutospacing="1" w:after="100" w:afterAutospacing="1" w:line="240" w:lineRule="auto"/>
      <w:jc w:val="left"/>
    </w:pPr>
    <w:rPr>
      <w:rFonts w:cs="Arial"/>
      <w:b/>
      <w:bCs/>
      <w:sz w:val="18"/>
      <w:szCs w:val="18"/>
      <w:lang w:val="en-US"/>
    </w:rPr>
  </w:style>
  <w:style w:type="paragraph" w:customStyle="1" w:styleId="font7">
    <w:name w:val="font7"/>
    <w:basedOn w:val="Normal"/>
    <w:rsid w:val="000155BE"/>
    <w:pPr>
      <w:spacing w:before="100" w:beforeAutospacing="1" w:after="100" w:afterAutospacing="1" w:line="240" w:lineRule="auto"/>
      <w:jc w:val="left"/>
    </w:pPr>
    <w:rPr>
      <w:rFonts w:cs="Arial"/>
      <w:i/>
      <w:iCs/>
      <w:color w:val="1F497D"/>
      <w:sz w:val="18"/>
      <w:szCs w:val="18"/>
      <w:lang w:val="en-US"/>
    </w:rPr>
  </w:style>
  <w:style w:type="paragraph" w:customStyle="1" w:styleId="font8">
    <w:name w:val="font8"/>
    <w:basedOn w:val="Normal"/>
    <w:rsid w:val="000155BE"/>
    <w:pPr>
      <w:spacing w:before="100" w:beforeAutospacing="1" w:after="100" w:afterAutospacing="1" w:line="240" w:lineRule="auto"/>
      <w:jc w:val="left"/>
    </w:pPr>
    <w:rPr>
      <w:rFonts w:cs="Arial"/>
      <w:color w:val="1F497D"/>
      <w:sz w:val="18"/>
      <w:szCs w:val="18"/>
      <w:lang w:val="en-US"/>
    </w:rPr>
  </w:style>
  <w:style w:type="paragraph" w:customStyle="1" w:styleId="font9">
    <w:name w:val="font9"/>
    <w:basedOn w:val="Normal"/>
    <w:rsid w:val="000155BE"/>
    <w:pPr>
      <w:spacing w:before="100" w:beforeAutospacing="1" w:after="100" w:afterAutospacing="1" w:line="240" w:lineRule="auto"/>
      <w:jc w:val="left"/>
    </w:pPr>
    <w:rPr>
      <w:rFonts w:cs="Arial"/>
      <w:i/>
      <w:iCs/>
      <w:color w:val="FF0000"/>
      <w:sz w:val="18"/>
      <w:szCs w:val="18"/>
      <w:lang w:val="en-US"/>
    </w:rPr>
  </w:style>
  <w:style w:type="paragraph" w:customStyle="1" w:styleId="font10">
    <w:name w:val="font10"/>
    <w:basedOn w:val="Normal"/>
    <w:rsid w:val="000155BE"/>
    <w:pPr>
      <w:spacing w:before="100" w:beforeAutospacing="1" w:after="100" w:afterAutospacing="1" w:line="240" w:lineRule="auto"/>
      <w:jc w:val="left"/>
    </w:pPr>
    <w:rPr>
      <w:rFonts w:cs="Arial"/>
      <w:b/>
      <w:bCs/>
      <w:i/>
      <w:iCs/>
      <w:color w:val="1F497D"/>
      <w:sz w:val="18"/>
      <w:szCs w:val="18"/>
      <w:u w:val="single"/>
      <w:lang w:val="en-US"/>
    </w:rPr>
  </w:style>
  <w:style w:type="paragraph" w:customStyle="1" w:styleId="font11">
    <w:name w:val="font11"/>
    <w:basedOn w:val="Normal"/>
    <w:rsid w:val="000155BE"/>
    <w:pPr>
      <w:spacing w:before="100" w:beforeAutospacing="1" w:after="100" w:afterAutospacing="1" w:line="240" w:lineRule="auto"/>
      <w:jc w:val="left"/>
    </w:pPr>
    <w:rPr>
      <w:rFonts w:cs="Arial"/>
      <w:b/>
      <w:bCs/>
      <w:i/>
      <w:iCs/>
      <w:color w:val="FF0000"/>
      <w:sz w:val="18"/>
      <w:szCs w:val="18"/>
      <w:lang w:val="en-US"/>
    </w:rPr>
  </w:style>
  <w:style w:type="paragraph" w:customStyle="1" w:styleId="font12">
    <w:name w:val="font12"/>
    <w:basedOn w:val="Normal"/>
    <w:rsid w:val="000155BE"/>
    <w:pPr>
      <w:spacing w:before="100" w:beforeAutospacing="1" w:after="100" w:afterAutospacing="1" w:line="240" w:lineRule="auto"/>
      <w:jc w:val="left"/>
    </w:pPr>
    <w:rPr>
      <w:rFonts w:cs="Arial"/>
      <w:color w:val="FF0000"/>
      <w:sz w:val="18"/>
      <w:szCs w:val="18"/>
      <w:lang w:val="en-US"/>
    </w:rPr>
  </w:style>
  <w:style w:type="paragraph" w:customStyle="1" w:styleId="font13">
    <w:name w:val="font13"/>
    <w:basedOn w:val="Normal"/>
    <w:rsid w:val="000155BE"/>
    <w:pPr>
      <w:spacing w:before="100" w:beforeAutospacing="1" w:after="100" w:afterAutospacing="1" w:line="240" w:lineRule="auto"/>
      <w:jc w:val="left"/>
    </w:pPr>
    <w:rPr>
      <w:rFonts w:cs="Arial"/>
      <w:b/>
      <w:bCs/>
      <w:color w:val="1F497D"/>
      <w:sz w:val="18"/>
      <w:szCs w:val="18"/>
      <w:lang w:val="en-US"/>
    </w:rPr>
  </w:style>
  <w:style w:type="paragraph" w:customStyle="1" w:styleId="xl68">
    <w:name w:val="xl68"/>
    <w:basedOn w:val="Normal"/>
    <w:rsid w:val="000155BE"/>
    <w:pPr>
      <w:pBdr>
        <w:top w:val="single" w:sz="8" w:space="0" w:color="16365C"/>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69">
    <w:name w:val="xl69"/>
    <w:basedOn w:val="Normal"/>
    <w:rsid w:val="000155BE"/>
    <w:pPr>
      <w:pBdr>
        <w:top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70">
    <w:name w:val="xl70"/>
    <w:basedOn w:val="Normal"/>
    <w:rsid w:val="000155BE"/>
    <w:pPr>
      <w:pBdr>
        <w:top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71">
    <w:name w:val="xl71"/>
    <w:basedOn w:val="Normal"/>
    <w:rsid w:val="000155BE"/>
    <w:pPr>
      <w:pBdr>
        <w:top w:val="single" w:sz="8" w:space="0" w:color="16365C"/>
      </w:pBdr>
      <w:spacing w:before="100" w:beforeAutospacing="1" w:after="100" w:afterAutospacing="1" w:line="240" w:lineRule="auto"/>
      <w:jc w:val="right"/>
      <w:textAlignment w:val="center"/>
    </w:pPr>
    <w:rPr>
      <w:rFonts w:cs="Arial"/>
      <w:b/>
      <w:bCs/>
      <w:sz w:val="18"/>
      <w:szCs w:val="18"/>
      <w:lang w:val="en-US"/>
    </w:rPr>
  </w:style>
  <w:style w:type="paragraph" w:customStyle="1" w:styleId="xl72">
    <w:name w:val="xl72"/>
    <w:basedOn w:val="Normal"/>
    <w:rsid w:val="000155BE"/>
    <w:pPr>
      <w:pBdr>
        <w:top w:val="single" w:sz="8" w:space="0" w:color="16365C"/>
        <w:left w:val="single" w:sz="12" w:space="0" w:color="FFFFFF"/>
        <w:bottom w:val="single" w:sz="12" w:space="0" w:color="FFFFFF"/>
        <w:right w:val="single" w:sz="12" w:space="0" w:color="FFFFFF"/>
      </w:pBdr>
      <w:shd w:val="clear" w:color="000000" w:fill="C4D79B"/>
      <w:spacing w:before="100" w:beforeAutospacing="1" w:after="100" w:afterAutospacing="1" w:line="240" w:lineRule="auto"/>
      <w:jc w:val="center"/>
    </w:pPr>
    <w:rPr>
      <w:rFonts w:ascii="Arial Narrow" w:hAnsi="Arial Narrow"/>
      <w:b/>
      <w:bCs/>
      <w:sz w:val="18"/>
      <w:szCs w:val="18"/>
      <w:lang w:val="en-US"/>
    </w:rPr>
  </w:style>
  <w:style w:type="paragraph" w:customStyle="1" w:styleId="xl73">
    <w:name w:val="xl73"/>
    <w:basedOn w:val="Normal"/>
    <w:rsid w:val="000155BE"/>
    <w:pPr>
      <w:pBdr>
        <w:top w:val="single" w:sz="8" w:space="0" w:color="16365C"/>
      </w:pBdr>
      <w:spacing w:before="100" w:beforeAutospacing="1" w:after="100" w:afterAutospacing="1" w:line="240" w:lineRule="auto"/>
      <w:jc w:val="left"/>
    </w:pPr>
    <w:rPr>
      <w:rFonts w:ascii="Arial Narrow" w:hAnsi="Arial Narrow"/>
      <w:sz w:val="18"/>
      <w:szCs w:val="18"/>
      <w:lang w:val="en-US"/>
    </w:rPr>
  </w:style>
  <w:style w:type="paragraph" w:customStyle="1" w:styleId="xl74">
    <w:name w:val="xl74"/>
    <w:basedOn w:val="Normal"/>
    <w:rsid w:val="000155BE"/>
    <w:pP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75">
    <w:name w:val="xl75"/>
    <w:basedOn w:val="Normal"/>
    <w:rsid w:val="000155BE"/>
    <w:pPr>
      <w:pBdr>
        <w:left w:val="single" w:sz="8" w:space="0" w:color="16365C"/>
      </w:pBdr>
      <w:spacing w:before="100" w:beforeAutospacing="1" w:after="100" w:afterAutospacing="1" w:line="240" w:lineRule="auto"/>
      <w:jc w:val="left"/>
      <w:textAlignment w:val="center"/>
    </w:pPr>
    <w:rPr>
      <w:rFonts w:cs="Arial"/>
      <w:b/>
      <w:bCs/>
      <w:sz w:val="18"/>
      <w:szCs w:val="18"/>
      <w:lang w:val="en-US"/>
    </w:rPr>
  </w:style>
  <w:style w:type="paragraph" w:customStyle="1" w:styleId="xl76">
    <w:name w:val="xl76"/>
    <w:basedOn w:val="Normal"/>
    <w:rsid w:val="000155BE"/>
    <w:pPr>
      <w:spacing w:before="100" w:beforeAutospacing="1" w:after="100" w:afterAutospacing="1" w:line="240" w:lineRule="auto"/>
      <w:jc w:val="left"/>
      <w:textAlignment w:val="center"/>
    </w:pPr>
    <w:rPr>
      <w:rFonts w:cs="Arial"/>
      <w:b/>
      <w:bCs/>
      <w:sz w:val="18"/>
      <w:szCs w:val="18"/>
      <w:lang w:val="en-US"/>
    </w:rPr>
  </w:style>
  <w:style w:type="paragraph" w:customStyle="1" w:styleId="xl77">
    <w:name w:val="xl77"/>
    <w:basedOn w:val="Normal"/>
    <w:rsid w:val="000155BE"/>
    <w:pPr>
      <w:spacing w:before="100" w:beforeAutospacing="1" w:after="100" w:afterAutospacing="1" w:line="240" w:lineRule="auto"/>
      <w:jc w:val="left"/>
      <w:textAlignment w:val="center"/>
    </w:pPr>
    <w:rPr>
      <w:rFonts w:cs="Arial"/>
      <w:b/>
      <w:bCs/>
      <w:sz w:val="18"/>
      <w:szCs w:val="18"/>
      <w:lang w:val="en-US"/>
    </w:rPr>
  </w:style>
  <w:style w:type="paragraph" w:customStyle="1" w:styleId="xl78">
    <w:name w:val="xl78"/>
    <w:basedOn w:val="Normal"/>
    <w:rsid w:val="000155BE"/>
    <w:pPr>
      <w:spacing w:before="100" w:beforeAutospacing="1" w:after="100" w:afterAutospacing="1" w:line="240" w:lineRule="auto"/>
      <w:jc w:val="right"/>
      <w:textAlignment w:val="center"/>
    </w:pPr>
    <w:rPr>
      <w:rFonts w:cs="Arial"/>
      <w:b/>
      <w:bCs/>
      <w:sz w:val="18"/>
      <w:szCs w:val="18"/>
      <w:lang w:val="en-US"/>
    </w:rPr>
  </w:style>
  <w:style w:type="paragraph" w:customStyle="1" w:styleId="xl79">
    <w:name w:val="xl79"/>
    <w:basedOn w:val="Normal"/>
    <w:rsid w:val="000155BE"/>
    <w:pPr>
      <w:pBdr>
        <w:right w:val="single" w:sz="4" w:space="0" w:color="auto"/>
      </w:pBdr>
      <w:shd w:val="clear" w:color="000000" w:fill="FFFF00"/>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0">
    <w:name w:val="xl80"/>
    <w:basedOn w:val="Normal"/>
    <w:rsid w:val="000155BE"/>
    <w:pPr>
      <w:pBdr>
        <w:right w:val="single" w:sz="4" w:space="0" w:color="auto"/>
      </w:pBd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1">
    <w:name w:val="xl81"/>
    <w:basedOn w:val="Normal"/>
    <w:rsid w:val="000155BE"/>
    <w:pPr>
      <w:shd w:val="clear" w:color="000000" w:fill="EAEAEA"/>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2">
    <w:name w:val="xl82"/>
    <w:basedOn w:val="Normal"/>
    <w:rsid w:val="000155BE"/>
    <w:pP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3">
    <w:name w:val="xl83"/>
    <w:basedOn w:val="Normal"/>
    <w:rsid w:val="000155BE"/>
    <w:pPr>
      <w:pBdr>
        <w:right w:val="single" w:sz="4" w:space="0" w:color="auto"/>
      </w:pBd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4">
    <w:name w:val="xl84"/>
    <w:basedOn w:val="Normal"/>
    <w:rsid w:val="000155BE"/>
    <w:pPr>
      <w:pBdr>
        <w:left w:val="single" w:sz="4" w:space="0" w:color="auto"/>
      </w:pBdr>
      <w:shd w:val="clear" w:color="000000" w:fill="EAEAEA"/>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5">
    <w:name w:val="xl85"/>
    <w:basedOn w:val="Normal"/>
    <w:rsid w:val="000155BE"/>
    <w:pPr>
      <w:spacing w:before="100" w:beforeAutospacing="1" w:after="100" w:afterAutospacing="1" w:line="240" w:lineRule="auto"/>
      <w:jc w:val="left"/>
      <w:textAlignment w:val="center"/>
    </w:pPr>
    <w:rPr>
      <w:rFonts w:ascii="Arial Narrow" w:hAnsi="Arial Narrow"/>
      <w:b/>
      <w:bCs/>
      <w:sz w:val="18"/>
      <w:szCs w:val="18"/>
      <w:lang w:val="en-US"/>
    </w:rPr>
  </w:style>
  <w:style w:type="paragraph" w:customStyle="1" w:styleId="xl86">
    <w:name w:val="xl86"/>
    <w:basedOn w:val="Normal"/>
    <w:rsid w:val="000155BE"/>
    <w:pPr>
      <w:pBdr>
        <w:top w:val="single" w:sz="12" w:space="0" w:color="FFFFFF"/>
        <w:left w:val="single" w:sz="8" w:space="0" w:color="16365C"/>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87">
    <w:name w:val="xl87"/>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88">
    <w:name w:val="xl88"/>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89">
    <w:name w:val="xl89"/>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90">
    <w:name w:val="xl90"/>
    <w:basedOn w:val="Normal"/>
    <w:rsid w:val="000155BE"/>
    <w:pPr>
      <w:pBdr>
        <w:top w:val="single" w:sz="12" w:space="0" w:color="FFFFFF"/>
        <w:bottom w:val="single" w:sz="12" w:space="0" w:color="FFFFFF"/>
        <w:right w:val="single" w:sz="12" w:space="0" w:color="FFFFFF"/>
      </w:pBdr>
      <w:spacing w:before="100" w:beforeAutospacing="1" w:after="100" w:afterAutospacing="1" w:line="240" w:lineRule="auto"/>
      <w:jc w:val="center"/>
    </w:pPr>
    <w:rPr>
      <w:rFonts w:ascii="Arial Narrow" w:hAnsi="Arial Narrow"/>
      <w:b/>
      <w:bCs/>
      <w:sz w:val="24"/>
      <w:szCs w:val="24"/>
      <w:lang w:val="en-US"/>
    </w:rPr>
  </w:style>
  <w:style w:type="paragraph" w:customStyle="1" w:styleId="xl91">
    <w:name w:val="xl91"/>
    <w:basedOn w:val="Normal"/>
    <w:rsid w:val="000155BE"/>
    <w:pPr>
      <w:pBdr>
        <w:top w:val="single" w:sz="12" w:space="0" w:color="FFFFFF"/>
        <w:left w:val="single" w:sz="12" w:space="0" w:color="FFFFFF"/>
        <w:bottom w:val="single" w:sz="12" w:space="0" w:color="FFFFFF"/>
        <w:right w:val="single" w:sz="4" w:space="0" w:color="auto"/>
      </w:pBdr>
      <w:spacing w:before="100" w:beforeAutospacing="1" w:after="100" w:afterAutospacing="1" w:line="240" w:lineRule="auto"/>
      <w:jc w:val="left"/>
    </w:pPr>
    <w:rPr>
      <w:rFonts w:ascii="Arial Narrow" w:hAnsi="Arial Narrow"/>
      <w:sz w:val="18"/>
      <w:szCs w:val="18"/>
      <w:lang w:val="en-US"/>
    </w:rPr>
  </w:style>
  <w:style w:type="paragraph" w:customStyle="1" w:styleId="xl92">
    <w:name w:val="xl92"/>
    <w:basedOn w:val="Normal"/>
    <w:rsid w:val="000155BE"/>
    <w:pPr>
      <w:pBdr>
        <w:top w:val="single" w:sz="12" w:space="0" w:color="FFFFFF"/>
        <w:bottom w:val="single" w:sz="12" w:space="0" w:color="FFFFFF"/>
        <w:right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93">
    <w:name w:val="xl93"/>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94">
    <w:name w:val="xl94"/>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95">
    <w:name w:val="xl95"/>
    <w:basedOn w:val="Normal"/>
    <w:rsid w:val="000155BE"/>
    <w:pPr>
      <w:spacing w:before="100" w:beforeAutospacing="1" w:after="100" w:afterAutospacing="1" w:line="240" w:lineRule="auto"/>
      <w:jc w:val="left"/>
      <w:textAlignment w:val="center"/>
    </w:pPr>
    <w:rPr>
      <w:rFonts w:ascii="Arial Narrow" w:hAnsi="Arial Narrow"/>
      <w:b/>
      <w:bCs/>
      <w:color w:val="FFFFFF"/>
      <w:sz w:val="18"/>
      <w:szCs w:val="18"/>
      <w:lang w:val="en-US"/>
    </w:rPr>
  </w:style>
  <w:style w:type="paragraph" w:customStyle="1" w:styleId="xl96">
    <w:name w:val="xl96"/>
    <w:basedOn w:val="Normal"/>
    <w:rsid w:val="000155BE"/>
    <w:pPr>
      <w:pBdr>
        <w:top w:val="single" w:sz="12" w:space="0" w:color="FFFFFF"/>
        <w:right w:val="single" w:sz="4" w:space="0" w:color="auto"/>
      </w:pBdr>
      <w:spacing w:before="100" w:beforeAutospacing="1" w:after="100" w:afterAutospacing="1" w:line="240" w:lineRule="auto"/>
      <w:jc w:val="left"/>
    </w:pPr>
    <w:rPr>
      <w:rFonts w:ascii="Arial Narrow" w:hAnsi="Arial Narrow"/>
      <w:sz w:val="18"/>
      <w:szCs w:val="18"/>
      <w:lang w:val="en-US"/>
    </w:rPr>
  </w:style>
  <w:style w:type="paragraph" w:customStyle="1" w:styleId="xl97">
    <w:name w:val="xl97"/>
    <w:basedOn w:val="Normal"/>
    <w:rsid w:val="000155BE"/>
    <w:pPr>
      <w:pBdr>
        <w:bottom w:val="single" w:sz="12" w:space="0" w:color="FFFFFF"/>
      </w:pBdr>
      <w:shd w:val="clear" w:color="000000" w:fill="9BBB59"/>
      <w:spacing w:before="100" w:beforeAutospacing="1" w:after="100" w:afterAutospacing="1" w:line="240" w:lineRule="auto"/>
      <w:jc w:val="right"/>
    </w:pPr>
    <w:rPr>
      <w:rFonts w:ascii="Arial Narrow" w:hAnsi="Arial Narrow"/>
      <w:color w:val="FFFFFF"/>
      <w:sz w:val="18"/>
      <w:szCs w:val="18"/>
      <w:lang w:val="en-US"/>
    </w:rPr>
  </w:style>
  <w:style w:type="paragraph" w:customStyle="1" w:styleId="xl98">
    <w:name w:val="xl98"/>
    <w:basedOn w:val="Normal"/>
    <w:rsid w:val="000155BE"/>
    <w:pPr>
      <w:pBdr>
        <w:bottom w:val="single" w:sz="12" w:space="0" w:color="FFFFFF"/>
        <w:right w:val="single" w:sz="4" w:space="0" w:color="auto"/>
      </w:pBdr>
      <w:shd w:val="clear" w:color="000000" w:fill="9BBB59"/>
      <w:spacing w:before="100" w:beforeAutospacing="1" w:after="100" w:afterAutospacing="1" w:line="240" w:lineRule="auto"/>
      <w:jc w:val="right"/>
    </w:pPr>
    <w:rPr>
      <w:rFonts w:ascii="Arial Narrow" w:hAnsi="Arial Narrow"/>
      <w:color w:val="FFFFFF"/>
      <w:sz w:val="18"/>
      <w:szCs w:val="18"/>
      <w:lang w:val="en-US"/>
    </w:rPr>
  </w:style>
  <w:style w:type="paragraph" w:customStyle="1" w:styleId="xl99">
    <w:name w:val="xl99"/>
    <w:basedOn w:val="Normal"/>
    <w:rsid w:val="000155BE"/>
    <w:pPr>
      <w:pBdr>
        <w:left w:val="single" w:sz="4" w:space="0" w:color="auto"/>
        <w:bottom w:val="single" w:sz="12" w:space="0" w:color="FFFFFF"/>
      </w:pBdr>
      <w:shd w:val="clear" w:color="000000" w:fill="9BBB59"/>
      <w:spacing w:before="100" w:beforeAutospacing="1" w:after="100" w:afterAutospacing="1" w:line="240" w:lineRule="auto"/>
      <w:jc w:val="right"/>
    </w:pPr>
    <w:rPr>
      <w:rFonts w:ascii="Arial Narrow" w:hAnsi="Arial Narrow"/>
      <w:color w:val="FFFFFF"/>
      <w:sz w:val="18"/>
      <w:szCs w:val="18"/>
      <w:lang w:val="en-US"/>
    </w:rPr>
  </w:style>
  <w:style w:type="paragraph" w:customStyle="1" w:styleId="xl100">
    <w:name w:val="xl100"/>
    <w:basedOn w:val="Normal"/>
    <w:rsid w:val="000155BE"/>
    <w:pPr>
      <w:spacing w:before="100" w:beforeAutospacing="1" w:after="100" w:afterAutospacing="1" w:line="240" w:lineRule="auto"/>
      <w:jc w:val="left"/>
      <w:textAlignment w:val="center"/>
    </w:pPr>
    <w:rPr>
      <w:rFonts w:ascii="Arial Narrow" w:hAnsi="Arial Narrow"/>
      <w:color w:val="FFFFFF"/>
      <w:sz w:val="18"/>
      <w:szCs w:val="18"/>
      <w:lang w:val="en-US"/>
    </w:rPr>
  </w:style>
  <w:style w:type="paragraph" w:customStyle="1" w:styleId="xl101">
    <w:name w:val="xl101"/>
    <w:basedOn w:val="Normal"/>
    <w:rsid w:val="000155BE"/>
    <w:pPr>
      <w:pBdr>
        <w:top w:val="single" w:sz="12" w:space="0" w:color="FFFFFF"/>
        <w:left w:val="single" w:sz="8" w:space="0" w:color="16365C"/>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2">
    <w:name w:val="xl102"/>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3">
    <w:name w:val="xl103"/>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4">
    <w:name w:val="xl104"/>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5">
    <w:name w:val="xl105"/>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b/>
      <w:bCs/>
      <w:sz w:val="18"/>
      <w:szCs w:val="18"/>
      <w:lang w:val="en-US"/>
    </w:rPr>
  </w:style>
  <w:style w:type="paragraph" w:customStyle="1" w:styleId="xl106">
    <w:name w:val="xl106"/>
    <w:basedOn w:val="Normal"/>
    <w:rsid w:val="000155BE"/>
    <w:pPr>
      <w:pBdr>
        <w:right w:val="single" w:sz="4" w:space="0" w:color="auto"/>
      </w:pBdr>
      <w:spacing w:before="100" w:beforeAutospacing="1" w:after="100" w:afterAutospacing="1" w:line="240" w:lineRule="auto"/>
      <w:jc w:val="center"/>
    </w:pPr>
    <w:rPr>
      <w:rFonts w:ascii="Arial Narrow" w:hAnsi="Arial Narrow"/>
      <w:sz w:val="20"/>
      <w:lang w:val="en-US"/>
    </w:rPr>
  </w:style>
  <w:style w:type="paragraph" w:customStyle="1" w:styleId="xl107">
    <w:name w:val="xl107"/>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right"/>
    </w:pPr>
    <w:rPr>
      <w:rFonts w:ascii="Arial Narrow" w:hAnsi="Arial Narrow"/>
      <w:sz w:val="18"/>
      <w:szCs w:val="18"/>
      <w:lang w:val="en-US"/>
    </w:rPr>
  </w:style>
  <w:style w:type="paragraph" w:customStyle="1" w:styleId="xl108">
    <w:name w:val="xl108"/>
    <w:basedOn w:val="Normal"/>
    <w:rsid w:val="000155BE"/>
    <w:pPr>
      <w:pBdr>
        <w:top w:val="single" w:sz="12" w:space="0" w:color="FFFFFF"/>
        <w:bottom w:val="single" w:sz="12" w:space="0" w:color="FFFFFF"/>
        <w:right w:val="single" w:sz="4" w:space="0" w:color="auto"/>
      </w:pBdr>
      <w:shd w:val="clear" w:color="000000" w:fill="D8E4BC"/>
      <w:spacing w:before="100" w:beforeAutospacing="1" w:after="100" w:afterAutospacing="1" w:line="240" w:lineRule="auto"/>
      <w:jc w:val="right"/>
    </w:pPr>
    <w:rPr>
      <w:rFonts w:ascii="Arial Narrow" w:hAnsi="Arial Narrow"/>
      <w:sz w:val="18"/>
      <w:szCs w:val="18"/>
      <w:lang w:val="en-US"/>
    </w:rPr>
  </w:style>
  <w:style w:type="paragraph" w:customStyle="1" w:styleId="xl109">
    <w:name w:val="xl109"/>
    <w:basedOn w:val="Normal"/>
    <w:rsid w:val="000155BE"/>
    <w:pPr>
      <w:pBdr>
        <w:top w:val="single" w:sz="12" w:space="0" w:color="FFFFFF"/>
        <w:left w:val="single" w:sz="4" w:space="0" w:color="auto"/>
        <w:bottom w:val="single" w:sz="12" w:space="0" w:color="FFFFFF"/>
      </w:pBdr>
      <w:shd w:val="clear" w:color="000000" w:fill="D8E4BC"/>
      <w:spacing w:before="100" w:beforeAutospacing="1" w:after="100" w:afterAutospacing="1" w:line="240" w:lineRule="auto"/>
      <w:jc w:val="right"/>
    </w:pPr>
    <w:rPr>
      <w:rFonts w:ascii="Arial Narrow" w:hAnsi="Arial Narrow"/>
      <w:sz w:val="18"/>
      <w:szCs w:val="18"/>
      <w:lang w:val="en-US"/>
    </w:rPr>
  </w:style>
  <w:style w:type="paragraph" w:customStyle="1" w:styleId="xl110">
    <w:name w:val="xl110"/>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right"/>
      <w:textAlignment w:val="center"/>
    </w:pPr>
    <w:rPr>
      <w:rFonts w:cs="Arial"/>
      <w:sz w:val="18"/>
      <w:szCs w:val="18"/>
      <w:lang w:val="en-US"/>
    </w:rPr>
  </w:style>
  <w:style w:type="paragraph" w:customStyle="1" w:styleId="xl111">
    <w:name w:val="xl111"/>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sz w:val="18"/>
      <w:szCs w:val="18"/>
      <w:lang w:val="en-US"/>
    </w:rPr>
  </w:style>
  <w:style w:type="paragraph" w:customStyle="1" w:styleId="xl112">
    <w:name w:val="xl112"/>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sz w:val="18"/>
      <w:szCs w:val="18"/>
      <w:lang w:val="en-US"/>
    </w:rPr>
  </w:style>
  <w:style w:type="paragraph" w:customStyle="1" w:styleId="xl113">
    <w:name w:val="xl113"/>
    <w:basedOn w:val="Normal"/>
    <w:rsid w:val="000155BE"/>
    <w:pPr>
      <w:spacing w:before="100" w:beforeAutospacing="1" w:after="100" w:afterAutospacing="1" w:line="240" w:lineRule="auto"/>
      <w:jc w:val="center"/>
      <w:textAlignment w:val="center"/>
    </w:pPr>
    <w:rPr>
      <w:rFonts w:cs="Arial"/>
      <w:b/>
      <w:bCs/>
      <w:sz w:val="18"/>
      <w:szCs w:val="18"/>
      <w:lang w:val="en-US"/>
    </w:rPr>
  </w:style>
  <w:style w:type="paragraph" w:customStyle="1" w:styleId="xl114">
    <w:name w:val="xl114"/>
    <w:basedOn w:val="Normal"/>
    <w:rsid w:val="000155BE"/>
    <w:pPr>
      <w:pBdr>
        <w:top w:val="single" w:sz="12" w:space="0" w:color="FFFFFF"/>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15">
    <w:name w:val="xl115"/>
    <w:basedOn w:val="Normal"/>
    <w:rsid w:val="000155BE"/>
    <w:pPr>
      <w:pBdr>
        <w:top w:val="single" w:sz="12" w:space="0" w:color="FFFFFF"/>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16">
    <w:name w:val="xl116"/>
    <w:basedOn w:val="Normal"/>
    <w:rsid w:val="000155BE"/>
    <w:pPr>
      <w:pBdr>
        <w:top w:val="single" w:sz="12" w:space="0" w:color="FFFFFF"/>
        <w:bottom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17">
    <w:name w:val="xl117"/>
    <w:basedOn w:val="Normal"/>
    <w:rsid w:val="000155BE"/>
    <w:pPr>
      <w:pBdr>
        <w:top w:val="single" w:sz="12"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18">
    <w:name w:val="xl118"/>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19">
    <w:name w:val="xl119"/>
    <w:basedOn w:val="Normal"/>
    <w:rsid w:val="000155BE"/>
    <w:pPr>
      <w:pBdr>
        <w:top w:val="single" w:sz="8" w:space="0" w:color="FFFFFF"/>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20">
    <w:name w:val="xl120"/>
    <w:basedOn w:val="Normal"/>
    <w:rsid w:val="000155BE"/>
    <w:pPr>
      <w:pBdr>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21">
    <w:name w:val="xl121"/>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22">
    <w:name w:val="xl122"/>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23">
    <w:name w:val="xl123"/>
    <w:basedOn w:val="Normal"/>
    <w:rsid w:val="000155BE"/>
    <w:pPr>
      <w:pBdr>
        <w:top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24">
    <w:name w:val="xl124"/>
    <w:basedOn w:val="Normal"/>
    <w:rsid w:val="000155BE"/>
    <w:pPr>
      <w:pBdr>
        <w:left w:val="single" w:sz="8" w:space="0" w:color="16365C"/>
        <w:bottom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125">
    <w:name w:val="xl125"/>
    <w:basedOn w:val="Normal"/>
    <w:rsid w:val="000155BE"/>
    <w:pPr>
      <w:pBdr>
        <w:bottom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126">
    <w:name w:val="xl126"/>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27">
    <w:name w:val="xl127"/>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28">
    <w:name w:val="xl128"/>
    <w:basedOn w:val="Normal"/>
    <w:rsid w:val="000155BE"/>
    <w:pPr>
      <w:pBdr>
        <w:top w:val="single" w:sz="12" w:space="0" w:color="FFFFFF"/>
        <w:left w:val="single" w:sz="12" w:space="0" w:color="FFFFFF"/>
        <w:right w:val="single" w:sz="12" w:space="0" w:color="FFFFFF"/>
      </w:pBdr>
      <w:spacing w:before="100" w:beforeAutospacing="1" w:after="100" w:afterAutospacing="1" w:line="240" w:lineRule="auto"/>
      <w:jc w:val="center"/>
      <w:textAlignment w:val="center"/>
    </w:pPr>
    <w:rPr>
      <w:rFonts w:ascii="Arial Narrow" w:hAnsi="Arial Narrow"/>
      <w:color w:val="0084B6"/>
      <w:sz w:val="18"/>
      <w:szCs w:val="18"/>
      <w:lang w:val="en-US"/>
    </w:rPr>
  </w:style>
  <w:style w:type="paragraph" w:customStyle="1" w:styleId="xl129">
    <w:name w:val="xl129"/>
    <w:basedOn w:val="Normal"/>
    <w:rsid w:val="000155BE"/>
    <w:pPr>
      <w:pBdr>
        <w:right w:val="single" w:sz="4" w:space="0" w:color="auto"/>
      </w:pBdr>
      <w:spacing w:before="100" w:beforeAutospacing="1" w:after="100" w:afterAutospacing="1" w:line="240" w:lineRule="auto"/>
      <w:jc w:val="center"/>
    </w:pPr>
    <w:rPr>
      <w:rFonts w:ascii="Arial Narrow" w:hAnsi="Arial Narrow"/>
      <w:sz w:val="18"/>
      <w:szCs w:val="18"/>
      <w:lang w:val="en-US"/>
    </w:rPr>
  </w:style>
  <w:style w:type="paragraph" w:customStyle="1" w:styleId="xl130">
    <w:name w:val="xl130"/>
    <w:basedOn w:val="Normal"/>
    <w:rsid w:val="000155BE"/>
    <w:pPr>
      <w:spacing w:before="100" w:beforeAutospacing="1" w:after="100" w:afterAutospacing="1" w:line="240" w:lineRule="auto"/>
      <w:jc w:val="right"/>
    </w:pPr>
    <w:rPr>
      <w:rFonts w:ascii="Arial Narrow" w:hAnsi="Arial Narrow"/>
      <w:sz w:val="18"/>
      <w:szCs w:val="18"/>
      <w:lang w:val="en-US"/>
    </w:rPr>
  </w:style>
  <w:style w:type="paragraph" w:customStyle="1" w:styleId="xl131">
    <w:name w:val="xl131"/>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32">
    <w:name w:val="xl132"/>
    <w:basedOn w:val="Normal"/>
    <w:rsid w:val="000155BE"/>
    <w:pPr>
      <w:pBdr>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3">
    <w:name w:val="xl133"/>
    <w:basedOn w:val="Normal"/>
    <w:rsid w:val="000155BE"/>
    <w:pP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4">
    <w:name w:val="xl134"/>
    <w:basedOn w:val="Normal"/>
    <w:rsid w:val="000155BE"/>
    <w:pPr>
      <w:pBdr>
        <w:bottom w:val="single" w:sz="12" w:space="0" w:color="FFFFFF"/>
        <w:right w:val="single" w:sz="4" w:space="0" w:color="auto"/>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5">
    <w:name w:val="xl135"/>
    <w:basedOn w:val="Normal"/>
    <w:rsid w:val="000155BE"/>
    <w:pPr>
      <w:pBdr>
        <w:left w:val="single" w:sz="4" w:space="0" w:color="auto"/>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6">
    <w:name w:val="xl136"/>
    <w:basedOn w:val="Normal"/>
    <w:rsid w:val="000155BE"/>
    <w:pPr>
      <w:spacing w:before="100" w:beforeAutospacing="1" w:after="100" w:afterAutospacing="1" w:line="240" w:lineRule="auto"/>
      <w:jc w:val="left"/>
      <w:textAlignment w:val="center"/>
    </w:pPr>
    <w:rPr>
      <w:rFonts w:ascii="Arial Narrow" w:hAnsi="Arial Narrow"/>
      <w:sz w:val="20"/>
      <w:lang w:val="en-US"/>
    </w:rPr>
  </w:style>
  <w:style w:type="paragraph" w:customStyle="1" w:styleId="xl137">
    <w:name w:val="xl137"/>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sz w:val="18"/>
      <w:szCs w:val="18"/>
      <w:lang w:val="en-US"/>
    </w:rPr>
  </w:style>
  <w:style w:type="paragraph" w:customStyle="1" w:styleId="xl138">
    <w:name w:val="xl138"/>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sz w:val="18"/>
      <w:szCs w:val="18"/>
      <w:lang w:val="en-US"/>
    </w:rPr>
  </w:style>
  <w:style w:type="paragraph" w:customStyle="1" w:styleId="xl139">
    <w:name w:val="xl139"/>
    <w:basedOn w:val="Normal"/>
    <w:rsid w:val="000155BE"/>
    <w:pPr>
      <w:pBdr>
        <w:right w:val="single" w:sz="4" w:space="0" w:color="auto"/>
      </w:pBdr>
      <w:spacing w:before="100" w:beforeAutospacing="1" w:after="100" w:afterAutospacing="1" w:line="240" w:lineRule="auto"/>
      <w:jc w:val="center"/>
    </w:pPr>
    <w:rPr>
      <w:rFonts w:ascii="Arial Narrow" w:hAnsi="Arial Narrow"/>
      <w:sz w:val="18"/>
      <w:szCs w:val="18"/>
      <w:lang w:val="en-US"/>
    </w:rPr>
  </w:style>
  <w:style w:type="paragraph" w:customStyle="1" w:styleId="xl140">
    <w:name w:val="xl140"/>
    <w:basedOn w:val="Normal"/>
    <w:rsid w:val="000155BE"/>
    <w:pPr>
      <w:pBdr>
        <w:bottom w:val="single" w:sz="4" w:space="0" w:color="BFBFBF"/>
      </w:pBdr>
      <w:spacing w:before="100" w:beforeAutospacing="1" w:after="100" w:afterAutospacing="1" w:line="240" w:lineRule="auto"/>
      <w:jc w:val="left"/>
      <w:textAlignment w:val="top"/>
    </w:pPr>
    <w:rPr>
      <w:rFonts w:cs="Arial"/>
      <w:i/>
      <w:iCs/>
      <w:sz w:val="18"/>
      <w:szCs w:val="18"/>
      <w:lang w:val="en-US"/>
    </w:rPr>
  </w:style>
  <w:style w:type="paragraph" w:customStyle="1" w:styleId="xl141">
    <w:name w:val="xl141"/>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b/>
      <w:bCs/>
      <w:sz w:val="28"/>
      <w:szCs w:val="28"/>
      <w:lang w:val="en-US"/>
    </w:rPr>
  </w:style>
  <w:style w:type="paragraph" w:customStyle="1" w:styleId="xl142">
    <w:name w:val="xl142"/>
    <w:basedOn w:val="Normal"/>
    <w:rsid w:val="000155BE"/>
    <w:pPr>
      <w:pBdr>
        <w:right w:val="single" w:sz="4" w:space="0" w:color="auto"/>
      </w:pBdr>
      <w:spacing w:before="100" w:beforeAutospacing="1" w:after="100" w:afterAutospacing="1" w:line="240" w:lineRule="auto"/>
      <w:jc w:val="center"/>
    </w:pPr>
    <w:rPr>
      <w:rFonts w:ascii="Arial Narrow" w:hAnsi="Arial Narrow"/>
      <w:b/>
      <w:bCs/>
      <w:sz w:val="20"/>
      <w:lang w:val="en-US"/>
    </w:rPr>
  </w:style>
  <w:style w:type="paragraph" w:customStyle="1" w:styleId="xl143">
    <w:name w:val="xl143"/>
    <w:basedOn w:val="Normal"/>
    <w:rsid w:val="000155BE"/>
    <w:pPr>
      <w:pBdr>
        <w:top w:val="single" w:sz="8" w:space="0" w:color="FFFFFF"/>
        <w:bottom w:val="single" w:sz="8" w:space="0" w:color="FFFFFF"/>
      </w:pBdr>
      <w:shd w:val="clear" w:color="000000" w:fill="FFC000"/>
      <w:spacing w:before="100" w:beforeAutospacing="1" w:after="100" w:afterAutospacing="1" w:line="240" w:lineRule="auto"/>
      <w:jc w:val="right"/>
    </w:pPr>
    <w:rPr>
      <w:rFonts w:ascii="Arial Narrow" w:hAnsi="Arial Narrow"/>
      <w:sz w:val="18"/>
      <w:szCs w:val="18"/>
      <w:lang w:val="en-US"/>
    </w:rPr>
  </w:style>
  <w:style w:type="paragraph" w:customStyle="1" w:styleId="xl144">
    <w:name w:val="xl144"/>
    <w:basedOn w:val="Normal"/>
    <w:rsid w:val="000155BE"/>
    <w:pPr>
      <w:pBdr>
        <w:top w:val="single" w:sz="8" w:space="0" w:color="FFFFFF"/>
      </w:pBdr>
      <w:shd w:val="clear" w:color="000000" w:fill="FFC000"/>
      <w:spacing w:before="100" w:beforeAutospacing="1" w:after="100" w:afterAutospacing="1" w:line="240" w:lineRule="auto"/>
      <w:jc w:val="right"/>
    </w:pPr>
    <w:rPr>
      <w:rFonts w:ascii="Arial Narrow" w:hAnsi="Arial Narrow"/>
      <w:sz w:val="18"/>
      <w:szCs w:val="18"/>
      <w:lang w:val="en-US"/>
    </w:rPr>
  </w:style>
  <w:style w:type="paragraph" w:customStyle="1" w:styleId="xl145">
    <w:name w:val="xl145"/>
    <w:basedOn w:val="Normal"/>
    <w:rsid w:val="000155BE"/>
    <w:pPr>
      <w:pBdr>
        <w:bottom w:val="single" w:sz="4" w:space="0" w:color="BFBFBF"/>
      </w:pBdr>
      <w:spacing w:before="100" w:beforeAutospacing="1" w:after="100" w:afterAutospacing="1" w:line="240" w:lineRule="auto"/>
      <w:jc w:val="left"/>
      <w:textAlignment w:val="top"/>
    </w:pPr>
    <w:rPr>
      <w:rFonts w:cs="Arial"/>
      <w:i/>
      <w:iCs/>
      <w:color w:val="FF0000"/>
      <w:sz w:val="18"/>
      <w:szCs w:val="18"/>
      <w:lang w:val="en-US"/>
    </w:rPr>
  </w:style>
  <w:style w:type="paragraph" w:customStyle="1" w:styleId="xl146">
    <w:name w:val="xl146"/>
    <w:basedOn w:val="Normal"/>
    <w:rsid w:val="000155BE"/>
    <w:pPr>
      <w:pBdr>
        <w:top w:val="single" w:sz="8" w:space="0" w:color="FFFFFF"/>
        <w:left w:val="single" w:sz="8" w:space="0" w:color="FFFFFF"/>
        <w:bottom w:val="single" w:sz="8" w:space="0" w:color="FFFFFF"/>
        <w:right w:val="single" w:sz="8" w:space="0" w:color="FFFFFF"/>
      </w:pBdr>
      <w:shd w:val="clear" w:color="000000" w:fill="FFFF00"/>
      <w:spacing w:before="100" w:beforeAutospacing="1" w:after="100" w:afterAutospacing="1" w:line="240" w:lineRule="auto"/>
      <w:jc w:val="center"/>
      <w:textAlignment w:val="center"/>
    </w:pPr>
    <w:rPr>
      <w:rFonts w:cs="Arial"/>
      <w:b/>
      <w:bCs/>
      <w:sz w:val="28"/>
      <w:szCs w:val="28"/>
      <w:lang w:val="en-US"/>
    </w:rPr>
  </w:style>
  <w:style w:type="paragraph" w:customStyle="1" w:styleId="xl147">
    <w:name w:val="xl147"/>
    <w:basedOn w:val="Normal"/>
    <w:rsid w:val="000155BE"/>
    <w:pPr>
      <w:pBdr>
        <w:right w:val="single" w:sz="4" w:space="0" w:color="auto"/>
      </w:pBdr>
      <w:spacing w:before="100" w:beforeAutospacing="1" w:after="100" w:afterAutospacing="1" w:line="240" w:lineRule="auto"/>
      <w:jc w:val="center"/>
    </w:pPr>
    <w:rPr>
      <w:rFonts w:ascii="Arial Narrow" w:hAnsi="Arial Narrow"/>
      <w:color w:val="FF0000"/>
      <w:sz w:val="18"/>
      <w:szCs w:val="18"/>
      <w:lang w:val="en-US"/>
    </w:rPr>
  </w:style>
  <w:style w:type="paragraph" w:customStyle="1" w:styleId="xl148">
    <w:name w:val="xl148"/>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ascii="Arial Narrow" w:hAnsi="Arial Narrow"/>
      <w:color w:val="FF0000"/>
      <w:sz w:val="18"/>
      <w:szCs w:val="18"/>
      <w:lang w:val="en-US"/>
    </w:rPr>
  </w:style>
  <w:style w:type="paragraph" w:customStyle="1" w:styleId="xl149">
    <w:name w:val="xl149"/>
    <w:basedOn w:val="Normal"/>
    <w:rsid w:val="000155BE"/>
    <w:pPr>
      <w:pBdr>
        <w:top w:val="single" w:sz="8" w:space="0" w:color="FFFFFF"/>
        <w:bottom w:val="single" w:sz="8" w:space="0" w:color="FFFFFF"/>
      </w:pBdr>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0">
    <w:name w:val="xl150"/>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1">
    <w:name w:val="xl151"/>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2">
    <w:name w:val="xl152"/>
    <w:basedOn w:val="Normal"/>
    <w:rsid w:val="000155BE"/>
    <w:pPr>
      <w:pBdr>
        <w:top w:val="single" w:sz="8" w:space="0" w:color="FFFFFF"/>
        <w:bottom w:val="single" w:sz="8" w:space="0" w:color="FFFFFF"/>
      </w:pBdr>
      <w:shd w:val="clear" w:color="000000" w:fill="FF0000"/>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3">
    <w:name w:val="xl153"/>
    <w:basedOn w:val="Normal"/>
    <w:rsid w:val="000155BE"/>
    <w:pPr>
      <w:spacing w:before="100" w:beforeAutospacing="1" w:after="100" w:afterAutospacing="1" w:line="240" w:lineRule="auto"/>
      <w:jc w:val="left"/>
      <w:textAlignment w:val="center"/>
    </w:pPr>
    <w:rPr>
      <w:rFonts w:ascii="Arial Narrow" w:hAnsi="Arial Narrow"/>
      <w:color w:val="FF0000"/>
      <w:sz w:val="18"/>
      <w:szCs w:val="18"/>
      <w:lang w:val="en-US"/>
    </w:rPr>
  </w:style>
  <w:style w:type="paragraph" w:customStyle="1" w:styleId="xl154">
    <w:name w:val="xl154"/>
    <w:basedOn w:val="Normal"/>
    <w:rsid w:val="000155BE"/>
    <w:pPr>
      <w:pBdr>
        <w:left w:val="single" w:sz="12" w:space="0" w:color="FFFFFF"/>
        <w:bottom w:val="single" w:sz="12" w:space="0" w:color="FFFFFF"/>
      </w:pBdr>
      <w:spacing w:before="100" w:beforeAutospacing="1" w:after="100" w:afterAutospacing="1" w:line="240" w:lineRule="auto"/>
      <w:jc w:val="center"/>
    </w:pPr>
    <w:rPr>
      <w:rFonts w:ascii="Arial Narrow" w:hAnsi="Arial Narrow"/>
      <w:b/>
      <w:bCs/>
      <w:sz w:val="28"/>
      <w:szCs w:val="28"/>
      <w:lang w:val="en-US"/>
    </w:rPr>
  </w:style>
  <w:style w:type="paragraph" w:customStyle="1" w:styleId="xl155">
    <w:name w:val="xl155"/>
    <w:basedOn w:val="Normal"/>
    <w:rsid w:val="000155BE"/>
    <w:pPr>
      <w:pBdr>
        <w:top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56">
    <w:name w:val="xl156"/>
    <w:basedOn w:val="Normal"/>
    <w:rsid w:val="000155BE"/>
    <w:pPr>
      <w:pBdr>
        <w:left w:val="single" w:sz="12" w:space="0" w:color="FFFFFF"/>
        <w:bottom w:val="single" w:sz="12" w:space="0" w:color="FFFFFF"/>
      </w:pBdr>
      <w:shd w:val="clear" w:color="000000" w:fill="FFFF00"/>
      <w:spacing w:before="100" w:beforeAutospacing="1" w:after="100" w:afterAutospacing="1" w:line="240" w:lineRule="auto"/>
      <w:jc w:val="center"/>
    </w:pPr>
    <w:rPr>
      <w:rFonts w:ascii="Arial Narrow" w:hAnsi="Arial Narrow"/>
      <w:b/>
      <w:bCs/>
      <w:sz w:val="28"/>
      <w:szCs w:val="28"/>
      <w:lang w:val="en-US"/>
    </w:rPr>
  </w:style>
  <w:style w:type="paragraph" w:customStyle="1" w:styleId="xl157">
    <w:name w:val="xl157"/>
    <w:basedOn w:val="Normal"/>
    <w:rsid w:val="000155BE"/>
    <w:pPr>
      <w:pBdr>
        <w:top w:val="single" w:sz="12" w:space="0" w:color="FFFFFF"/>
        <w:left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158">
    <w:name w:val="xl158"/>
    <w:basedOn w:val="Normal"/>
    <w:rsid w:val="000155BE"/>
    <w:pPr>
      <w:pBdr>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59">
    <w:name w:val="xl159"/>
    <w:basedOn w:val="Normal"/>
    <w:rsid w:val="000155BE"/>
    <w:pPr>
      <w:pBdr>
        <w:top w:val="single" w:sz="8" w:space="0" w:color="FFFFFF"/>
        <w:bottom w:val="single" w:sz="8" w:space="0" w:color="FFFFFF"/>
      </w:pBdr>
      <w:shd w:val="clear" w:color="000000" w:fill="FF0000"/>
      <w:spacing w:before="100" w:beforeAutospacing="1" w:after="100" w:afterAutospacing="1" w:line="240" w:lineRule="auto"/>
      <w:jc w:val="right"/>
    </w:pPr>
    <w:rPr>
      <w:rFonts w:ascii="Arial Narrow" w:hAnsi="Arial Narrow"/>
      <w:sz w:val="18"/>
      <w:szCs w:val="18"/>
      <w:lang w:val="en-US"/>
    </w:rPr>
  </w:style>
  <w:style w:type="paragraph" w:customStyle="1" w:styleId="xl160">
    <w:name w:val="xl160"/>
    <w:basedOn w:val="Normal"/>
    <w:rsid w:val="000155BE"/>
    <w:pPr>
      <w:pBdr>
        <w:top w:val="single" w:sz="8" w:space="0" w:color="FFFFFF"/>
        <w:bottom w:val="single" w:sz="8" w:space="0" w:color="FFFFF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161">
    <w:name w:val="xl161"/>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162">
    <w:name w:val="xl162"/>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color w:val="FFC000"/>
      <w:sz w:val="18"/>
      <w:szCs w:val="18"/>
      <w:lang w:val="en-US"/>
    </w:rPr>
  </w:style>
  <w:style w:type="paragraph" w:customStyle="1" w:styleId="xl163">
    <w:name w:val="xl163"/>
    <w:basedOn w:val="Normal"/>
    <w:rsid w:val="000155BE"/>
    <w:pPr>
      <w:pBdr>
        <w:right w:val="single" w:sz="4" w:space="0" w:color="auto"/>
      </w:pBdr>
      <w:spacing w:before="100" w:beforeAutospacing="1" w:after="100" w:afterAutospacing="1" w:line="240" w:lineRule="auto"/>
      <w:jc w:val="center"/>
    </w:pPr>
    <w:rPr>
      <w:rFonts w:ascii="Arial Narrow" w:hAnsi="Arial Narrow"/>
      <w:color w:val="FFC000"/>
      <w:sz w:val="18"/>
      <w:szCs w:val="18"/>
      <w:lang w:val="en-US"/>
    </w:rPr>
  </w:style>
  <w:style w:type="paragraph" w:customStyle="1" w:styleId="xl164">
    <w:name w:val="xl164"/>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5">
    <w:name w:val="xl165"/>
    <w:basedOn w:val="Normal"/>
    <w:rsid w:val="000155BE"/>
    <w:pPr>
      <w:pBdr>
        <w:top w:val="single" w:sz="8" w:space="0" w:color="FFFFFF"/>
        <w:bottom w:val="single" w:sz="8" w:space="0" w:color="FFFFFF"/>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6">
    <w:name w:val="xl166"/>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7">
    <w:name w:val="xl167"/>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8">
    <w:name w:val="xl168"/>
    <w:basedOn w:val="Normal"/>
    <w:rsid w:val="000155BE"/>
    <w:pPr>
      <w:pBdr>
        <w:top w:val="single" w:sz="8" w:space="0" w:color="FFFFFF"/>
      </w:pBdr>
      <w:shd w:val="clear" w:color="000000" w:fill="FFC000"/>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9">
    <w:name w:val="xl169"/>
    <w:basedOn w:val="Normal"/>
    <w:rsid w:val="000155BE"/>
    <w:pPr>
      <w:pBdr>
        <w:top w:val="single" w:sz="8" w:space="0" w:color="FFFFFF"/>
        <w:bottom w:val="single" w:sz="8" w:space="0" w:color="FFFFFF"/>
      </w:pBdr>
      <w:shd w:val="clear" w:color="000000" w:fill="FFC000"/>
      <w:spacing w:before="100" w:beforeAutospacing="1" w:after="100" w:afterAutospacing="1" w:line="240" w:lineRule="auto"/>
      <w:jc w:val="right"/>
    </w:pPr>
    <w:rPr>
      <w:rFonts w:ascii="Arial Narrow" w:hAnsi="Arial Narrow"/>
      <w:color w:val="FFC000"/>
      <w:sz w:val="18"/>
      <w:szCs w:val="18"/>
      <w:lang w:val="en-US"/>
    </w:rPr>
  </w:style>
  <w:style w:type="paragraph" w:customStyle="1" w:styleId="xl170">
    <w:name w:val="xl170"/>
    <w:basedOn w:val="Normal"/>
    <w:rsid w:val="000155BE"/>
    <w:pPr>
      <w:pBdr>
        <w:top w:val="single" w:sz="8" w:space="0" w:color="FFFFFF"/>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71">
    <w:name w:val="xl171"/>
    <w:basedOn w:val="Normal"/>
    <w:rsid w:val="000155BE"/>
    <w:pPr>
      <w:spacing w:before="100" w:beforeAutospacing="1" w:after="100" w:afterAutospacing="1" w:line="240" w:lineRule="auto"/>
      <w:jc w:val="left"/>
      <w:textAlignment w:val="center"/>
    </w:pPr>
    <w:rPr>
      <w:rFonts w:ascii="Arial Narrow" w:hAnsi="Arial Narrow"/>
      <w:color w:val="FFC000"/>
      <w:sz w:val="18"/>
      <w:szCs w:val="18"/>
      <w:lang w:val="en-US"/>
    </w:rPr>
  </w:style>
  <w:style w:type="paragraph" w:customStyle="1" w:styleId="xl172">
    <w:name w:val="xl172"/>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ascii="Arial Narrow" w:hAnsi="Arial Narrow"/>
      <w:color w:val="FFC000"/>
      <w:sz w:val="18"/>
      <w:szCs w:val="18"/>
      <w:lang w:val="en-US"/>
    </w:rPr>
  </w:style>
  <w:style w:type="paragraph" w:customStyle="1" w:styleId="xl173">
    <w:name w:val="xl173"/>
    <w:basedOn w:val="Normal"/>
    <w:rsid w:val="000155BE"/>
    <w:pPr>
      <w:pBdr>
        <w:left w:val="single" w:sz="12" w:space="0" w:color="FFFFFF"/>
        <w:bottom w:val="single" w:sz="12" w:space="0" w:color="FFFFFF"/>
      </w:pBdr>
      <w:spacing w:before="100" w:beforeAutospacing="1" w:after="100" w:afterAutospacing="1" w:line="240" w:lineRule="auto"/>
      <w:jc w:val="center"/>
    </w:pPr>
    <w:rPr>
      <w:rFonts w:ascii="Arial Narrow" w:hAnsi="Arial Narrow"/>
      <w:color w:val="FFC000"/>
      <w:sz w:val="18"/>
      <w:szCs w:val="18"/>
      <w:lang w:val="en-US"/>
    </w:rPr>
  </w:style>
  <w:style w:type="paragraph" w:customStyle="1" w:styleId="xl174">
    <w:name w:val="xl174"/>
    <w:basedOn w:val="Normal"/>
    <w:rsid w:val="000155BE"/>
    <w:pPr>
      <w:pBdr>
        <w:top w:val="single" w:sz="12" w:space="0" w:color="FFFFFF"/>
        <w:left w:val="single" w:sz="12" w:space="0" w:color="FFFFFF"/>
        <w:bottom w:val="single" w:sz="12" w:space="0" w:color="FFFFFF"/>
      </w:pBdr>
      <w:spacing w:before="100" w:beforeAutospacing="1" w:after="100" w:afterAutospacing="1" w:line="240" w:lineRule="auto"/>
      <w:jc w:val="center"/>
    </w:pPr>
    <w:rPr>
      <w:rFonts w:ascii="Arial Narrow" w:hAnsi="Arial Narrow"/>
      <w:color w:val="FFC000"/>
      <w:sz w:val="18"/>
      <w:szCs w:val="18"/>
      <w:lang w:val="en-US"/>
    </w:rPr>
  </w:style>
  <w:style w:type="paragraph" w:customStyle="1" w:styleId="xl175">
    <w:name w:val="xl175"/>
    <w:basedOn w:val="Normal"/>
    <w:rsid w:val="000155BE"/>
    <w:pPr>
      <w:pBdr>
        <w:top w:val="single" w:sz="8" w:space="0" w:color="FFFFFF"/>
        <w:right w:val="single" w:sz="4" w:space="0" w:color="auto"/>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76">
    <w:name w:val="xl176"/>
    <w:basedOn w:val="Normal"/>
    <w:rsid w:val="000155BE"/>
    <w:pPr>
      <w:pBdr>
        <w:top w:val="single" w:sz="12" w:space="0" w:color="FFFFFF"/>
        <w:left w:val="single" w:sz="12" w:space="0" w:color="FFFFFF"/>
        <w:bottom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177">
    <w:name w:val="xl177"/>
    <w:basedOn w:val="Normal"/>
    <w:rsid w:val="000155BE"/>
    <w:pPr>
      <w:pBdr>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178">
    <w:name w:val="xl178"/>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79">
    <w:name w:val="xl179"/>
    <w:basedOn w:val="Normal"/>
    <w:rsid w:val="000155BE"/>
    <w:pPr>
      <w:pBdr>
        <w:top w:val="single" w:sz="12" w:space="0" w:color="FFFFFF"/>
        <w:left w:val="single" w:sz="12" w:space="0" w:color="FFFFFF"/>
      </w:pBdr>
      <w:spacing w:before="100" w:beforeAutospacing="1" w:after="100" w:afterAutospacing="1" w:line="240" w:lineRule="auto"/>
      <w:jc w:val="center"/>
      <w:textAlignment w:val="center"/>
    </w:pPr>
    <w:rPr>
      <w:rFonts w:ascii="Arial Narrow" w:hAnsi="Arial Narrow"/>
      <w:color w:val="76933C"/>
      <w:sz w:val="18"/>
      <w:szCs w:val="18"/>
      <w:lang w:val="en-US"/>
    </w:rPr>
  </w:style>
  <w:style w:type="paragraph" w:customStyle="1" w:styleId="xl180">
    <w:name w:val="xl180"/>
    <w:basedOn w:val="Normal"/>
    <w:rsid w:val="000155BE"/>
    <w:pPr>
      <w:pBdr>
        <w:top w:val="single" w:sz="12"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81">
    <w:name w:val="xl181"/>
    <w:basedOn w:val="Normal"/>
    <w:rsid w:val="000155BE"/>
    <w:pPr>
      <w:pBdr>
        <w:left w:val="single" w:sz="12" w:space="0" w:color="FFFFFF"/>
        <w:bottom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182">
    <w:name w:val="xl182"/>
    <w:basedOn w:val="Normal"/>
    <w:rsid w:val="000155BE"/>
    <w:pPr>
      <w:pBdr>
        <w:bottom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83">
    <w:name w:val="xl183"/>
    <w:basedOn w:val="Normal"/>
    <w:rsid w:val="000155BE"/>
    <w:pPr>
      <w:pBdr>
        <w:left w:val="single" w:sz="8" w:space="0" w:color="16365C"/>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184">
    <w:name w:val="xl184"/>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1F497D"/>
      <w:sz w:val="18"/>
      <w:szCs w:val="18"/>
      <w:lang w:val="en-US"/>
    </w:rPr>
  </w:style>
  <w:style w:type="paragraph" w:customStyle="1" w:styleId="xl185">
    <w:name w:val="xl185"/>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1F497D"/>
      <w:sz w:val="18"/>
      <w:szCs w:val="18"/>
      <w:lang w:val="en-US"/>
    </w:rPr>
  </w:style>
  <w:style w:type="paragraph" w:customStyle="1" w:styleId="xl186">
    <w:name w:val="xl186"/>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1F497D"/>
      <w:sz w:val="18"/>
      <w:szCs w:val="18"/>
      <w:lang w:val="en-US"/>
    </w:rPr>
  </w:style>
  <w:style w:type="paragraph" w:customStyle="1" w:styleId="xl187">
    <w:name w:val="xl187"/>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88">
    <w:name w:val="xl188"/>
    <w:basedOn w:val="Normal"/>
    <w:rsid w:val="000155BE"/>
    <w:pPr>
      <w:pBdr>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89">
    <w:name w:val="xl189"/>
    <w:basedOn w:val="Normal"/>
    <w:rsid w:val="000155BE"/>
    <w:pPr>
      <w:pBdr>
        <w:bottom w:val="single" w:sz="12"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90">
    <w:name w:val="xl190"/>
    <w:basedOn w:val="Normal"/>
    <w:rsid w:val="000155BE"/>
    <w:pPr>
      <w:pBdr>
        <w:left w:val="single" w:sz="4" w:space="0" w:color="auto"/>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91">
    <w:name w:val="xl191"/>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92">
    <w:name w:val="xl192"/>
    <w:basedOn w:val="Normal"/>
    <w:rsid w:val="000155BE"/>
    <w:pPr>
      <w:pBdr>
        <w:top w:val="single" w:sz="12" w:space="0" w:color="FFFFFF"/>
        <w:bottom w:val="single" w:sz="12" w:space="0" w:color="FFFFFF"/>
        <w:right w:val="single" w:sz="4" w:space="0" w:color="auto"/>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93">
    <w:name w:val="xl193"/>
    <w:basedOn w:val="Normal"/>
    <w:rsid w:val="000155BE"/>
    <w:pPr>
      <w:pBdr>
        <w:top w:val="single" w:sz="12" w:space="0" w:color="FFFFFF"/>
        <w:left w:val="single" w:sz="4" w:space="0" w:color="auto"/>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94">
    <w:name w:val="xl194"/>
    <w:basedOn w:val="Normal"/>
    <w:rsid w:val="000155BE"/>
    <w:pPr>
      <w:pBdr>
        <w:top w:val="single" w:sz="12" w:space="0" w:color="FFFFFF"/>
        <w:bottom w:val="single" w:sz="8" w:space="0" w:color="FFFFFF"/>
      </w:pBdr>
      <w:shd w:val="clear" w:color="000000" w:fill="FF0000"/>
      <w:spacing w:before="100" w:beforeAutospacing="1" w:after="100" w:afterAutospacing="1" w:line="240" w:lineRule="auto"/>
      <w:jc w:val="right"/>
    </w:pPr>
    <w:rPr>
      <w:rFonts w:ascii="Arial Narrow" w:hAnsi="Arial Narrow"/>
      <w:sz w:val="18"/>
      <w:szCs w:val="18"/>
      <w:lang w:val="en-US"/>
    </w:rPr>
  </w:style>
  <w:style w:type="paragraph" w:customStyle="1" w:styleId="xl195">
    <w:name w:val="xl195"/>
    <w:basedOn w:val="Normal"/>
    <w:rsid w:val="000155BE"/>
    <w:pPr>
      <w:pBdr>
        <w:top w:val="single" w:sz="8" w:space="0" w:color="FFFFFF"/>
      </w:pBdr>
      <w:shd w:val="clear" w:color="000000" w:fill="FF0000"/>
      <w:spacing w:before="100" w:beforeAutospacing="1" w:after="100" w:afterAutospacing="1" w:line="240" w:lineRule="auto"/>
      <w:jc w:val="right"/>
    </w:pPr>
    <w:rPr>
      <w:rFonts w:ascii="Arial Narrow" w:hAnsi="Arial Narrow"/>
      <w:sz w:val="18"/>
      <w:szCs w:val="18"/>
      <w:lang w:val="en-US"/>
    </w:rPr>
  </w:style>
  <w:style w:type="paragraph" w:customStyle="1" w:styleId="xl196">
    <w:name w:val="xl196"/>
    <w:basedOn w:val="Normal"/>
    <w:rsid w:val="000155BE"/>
    <w:pPr>
      <w:pBdr>
        <w:bottom w:val="single" w:sz="4" w:space="0" w:color="BFBFBF"/>
      </w:pBdr>
      <w:spacing w:before="100" w:beforeAutospacing="1" w:after="100" w:afterAutospacing="1" w:line="240" w:lineRule="auto"/>
      <w:jc w:val="left"/>
      <w:textAlignment w:val="center"/>
    </w:pPr>
    <w:rPr>
      <w:rFonts w:cs="Arial"/>
      <w:sz w:val="18"/>
      <w:szCs w:val="18"/>
      <w:lang w:val="en-US"/>
    </w:rPr>
  </w:style>
  <w:style w:type="paragraph" w:customStyle="1" w:styleId="xl197">
    <w:name w:val="xl197"/>
    <w:basedOn w:val="Normal"/>
    <w:rsid w:val="000155BE"/>
    <w:pPr>
      <w:pBdr>
        <w:bottom w:val="single" w:sz="4" w:space="0" w:color="BFBFBF"/>
      </w:pBdr>
      <w:spacing w:before="100" w:beforeAutospacing="1" w:after="100" w:afterAutospacing="1" w:line="240" w:lineRule="auto"/>
      <w:jc w:val="left"/>
      <w:textAlignment w:val="center"/>
    </w:pPr>
    <w:rPr>
      <w:rFonts w:cs="Arial"/>
      <w:sz w:val="18"/>
      <w:szCs w:val="18"/>
      <w:lang w:val="en-US"/>
    </w:rPr>
  </w:style>
  <w:style w:type="paragraph" w:customStyle="1" w:styleId="xl198">
    <w:name w:val="xl198"/>
    <w:basedOn w:val="Normal"/>
    <w:rsid w:val="000155BE"/>
    <w:pPr>
      <w:pBdr>
        <w:bottom w:val="single" w:sz="4" w:space="0" w:color="BFBFBF"/>
      </w:pBdr>
      <w:spacing w:before="100" w:beforeAutospacing="1" w:after="100" w:afterAutospacing="1" w:line="240" w:lineRule="auto"/>
      <w:jc w:val="left"/>
      <w:textAlignment w:val="center"/>
    </w:pPr>
    <w:rPr>
      <w:rFonts w:cs="Arial"/>
      <w:sz w:val="18"/>
      <w:szCs w:val="18"/>
      <w:lang w:val="en-US"/>
    </w:rPr>
  </w:style>
  <w:style w:type="paragraph" w:customStyle="1" w:styleId="xl199">
    <w:name w:val="xl199"/>
    <w:basedOn w:val="Normal"/>
    <w:rsid w:val="000155BE"/>
    <w:pPr>
      <w:pBdr>
        <w:left w:val="single" w:sz="12" w:space="0" w:color="FFFFFF"/>
        <w:bottom w:val="single" w:sz="12" w:space="0" w:color="FFFFFF"/>
      </w:pBdr>
      <w:spacing w:before="100" w:beforeAutospacing="1" w:after="100" w:afterAutospacing="1" w:line="240" w:lineRule="auto"/>
      <w:jc w:val="center"/>
      <w:textAlignment w:val="center"/>
    </w:pPr>
    <w:rPr>
      <w:rFonts w:ascii="Arial Narrow" w:hAnsi="Arial Narrow"/>
      <w:color w:val="76933C"/>
      <w:sz w:val="18"/>
      <w:szCs w:val="18"/>
      <w:lang w:val="en-US"/>
    </w:rPr>
  </w:style>
  <w:style w:type="paragraph" w:customStyle="1" w:styleId="xl200">
    <w:name w:val="xl200"/>
    <w:basedOn w:val="Normal"/>
    <w:rsid w:val="000155BE"/>
    <w:pPr>
      <w:pBdr>
        <w:top w:val="single" w:sz="8" w:space="0" w:color="FFFFFF"/>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201">
    <w:name w:val="xl201"/>
    <w:basedOn w:val="Normal"/>
    <w:rsid w:val="000155BE"/>
    <w:pPr>
      <w:pBdr>
        <w:top w:val="single" w:sz="8" w:space="0" w:color="FFFFFF"/>
        <w:bottom w:val="single" w:sz="12"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02">
    <w:name w:val="xl202"/>
    <w:basedOn w:val="Normal"/>
    <w:rsid w:val="000155BE"/>
    <w:pPr>
      <w:pBdr>
        <w:top w:val="single" w:sz="8" w:space="0" w:color="FFFFFF"/>
        <w:left w:val="single" w:sz="4" w:space="0" w:color="auto"/>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203">
    <w:name w:val="xl203"/>
    <w:basedOn w:val="Normal"/>
    <w:rsid w:val="000155BE"/>
    <w:pPr>
      <w:pBdr>
        <w:top w:val="single" w:sz="12"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204">
    <w:name w:val="xl204"/>
    <w:basedOn w:val="Normal"/>
    <w:rsid w:val="000155BE"/>
    <w:pPr>
      <w:pBdr>
        <w:left w:val="single" w:sz="12" w:space="0" w:color="FFFFFF"/>
        <w:bottom w:val="single" w:sz="12" w:space="0" w:color="FFFFFF"/>
      </w:pBdr>
      <w:spacing w:before="100" w:beforeAutospacing="1" w:after="100" w:afterAutospacing="1" w:line="240" w:lineRule="auto"/>
      <w:jc w:val="left"/>
    </w:pPr>
    <w:rPr>
      <w:rFonts w:ascii="Arial Narrow" w:hAnsi="Arial Narrow"/>
      <w:b/>
      <w:bCs/>
      <w:sz w:val="24"/>
      <w:szCs w:val="24"/>
      <w:lang w:val="en-US"/>
    </w:rPr>
  </w:style>
  <w:style w:type="paragraph" w:customStyle="1" w:styleId="xl205">
    <w:name w:val="xl205"/>
    <w:basedOn w:val="Normal"/>
    <w:rsid w:val="000155BE"/>
    <w:pPr>
      <w:pBdr>
        <w:right w:val="single" w:sz="4" w:space="0" w:color="auto"/>
      </w:pBdr>
      <w:spacing w:before="100" w:beforeAutospacing="1" w:after="100" w:afterAutospacing="1" w:line="240" w:lineRule="auto"/>
      <w:jc w:val="center"/>
    </w:pPr>
    <w:rPr>
      <w:rFonts w:ascii="Arial Narrow" w:hAnsi="Arial Narrow"/>
      <w:sz w:val="18"/>
      <w:szCs w:val="18"/>
      <w:lang w:val="en-US"/>
    </w:rPr>
  </w:style>
  <w:style w:type="paragraph" w:customStyle="1" w:styleId="xl206">
    <w:name w:val="xl206"/>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FF0000"/>
      <w:sz w:val="18"/>
      <w:szCs w:val="18"/>
      <w:lang w:val="en-US"/>
    </w:rPr>
  </w:style>
  <w:style w:type="paragraph" w:customStyle="1" w:styleId="xl207">
    <w:name w:val="xl207"/>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FF0000"/>
      <w:sz w:val="18"/>
      <w:szCs w:val="18"/>
      <w:lang w:val="en-US"/>
    </w:rPr>
  </w:style>
  <w:style w:type="paragraph" w:customStyle="1" w:styleId="xl208">
    <w:name w:val="xl208"/>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FF0000"/>
      <w:sz w:val="18"/>
      <w:szCs w:val="18"/>
      <w:lang w:val="en-US"/>
    </w:rPr>
  </w:style>
  <w:style w:type="paragraph" w:customStyle="1" w:styleId="xl209">
    <w:name w:val="xl209"/>
    <w:basedOn w:val="Normal"/>
    <w:rsid w:val="000155BE"/>
    <w:pPr>
      <w:pBdr>
        <w:left w:val="single" w:sz="12" w:space="0" w:color="FFFFFF"/>
        <w:bottom w:val="single" w:sz="12" w:space="0" w:color="FFFFFF"/>
      </w:pBdr>
      <w:shd w:val="clear" w:color="000000" w:fill="FFFF00"/>
      <w:spacing w:before="100" w:beforeAutospacing="1" w:after="100" w:afterAutospacing="1" w:line="240" w:lineRule="auto"/>
      <w:jc w:val="left"/>
    </w:pPr>
    <w:rPr>
      <w:rFonts w:ascii="Arial Narrow" w:hAnsi="Arial Narrow"/>
      <w:b/>
      <w:bCs/>
      <w:sz w:val="24"/>
      <w:szCs w:val="24"/>
      <w:lang w:val="en-US"/>
    </w:rPr>
  </w:style>
  <w:style w:type="paragraph" w:customStyle="1" w:styleId="xl210">
    <w:name w:val="xl210"/>
    <w:basedOn w:val="Normal"/>
    <w:rsid w:val="000155BE"/>
    <w:pPr>
      <w:pBdr>
        <w:top w:val="single" w:sz="12" w:space="0" w:color="FFFFFF"/>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211">
    <w:name w:val="xl211"/>
    <w:basedOn w:val="Normal"/>
    <w:rsid w:val="000155BE"/>
    <w:pPr>
      <w:pBdr>
        <w:top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212">
    <w:name w:val="xl212"/>
    <w:basedOn w:val="Normal"/>
    <w:rsid w:val="000155BE"/>
    <w:pPr>
      <w:pBdr>
        <w:top w:val="single" w:sz="12" w:space="0" w:color="FFFFFF"/>
        <w:left w:val="single" w:sz="12" w:space="0" w:color="FFFFFF"/>
        <w:bottom w:val="single" w:sz="12" w:space="0" w:color="FFFFFF"/>
      </w:pBdr>
      <w:shd w:val="clear" w:color="000000" w:fill="FFFF00"/>
      <w:spacing w:before="100" w:beforeAutospacing="1" w:after="100" w:afterAutospacing="1" w:line="240" w:lineRule="auto"/>
      <w:jc w:val="center"/>
    </w:pPr>
    <w:rPr>
      <w:rFonts w:ascii="Arial Narrow" w:hAnsi="Arial Narrow"/>
      <w:b/>
      <w:bCs/>
      <w:sz w:val="24"/>
      <w:szCs w:val="24"/>
      <w:lang w:val="en-US"/>
    </w:rPr>
  </w:style>
  <w:style w:type="paragraph" w:customStyle="1" w:styleId="xl213">
    <w:name w:val="xl213"/>
    <w:basedOn w:val="Normal"/>
    <w:rsid w:val="000155BE"/>
    <w:pPr>
      <w:pBdr>
        <w:top w:val="single" w:sz="12" w:space="0" w:color="FFFFFF"/>
        <w:left w:val="single" w:sz="12" w:space="0" w:color="FFFFFF"/>
        <w:bottom w:val="single" w:sz="12" w:space="0" w:color="FFFFFF"/>
      </w:pBdr>
      <w:spacing w:before="100" w:beforeAutospacing="1" w:after="100" w:afterAutospacing="1" w:line="240" w:lineRule="auto"/>
      <w:jc w:val="center"/>
    </w:pPr>
    <w:rPr>
      <w:rFonts w:ascii="Arial Narrow" w:hAnsi="Arial Narrow"/>
      <w:b/>
      <w:bCs/>
      <w:sz w:val="24"/>
      <w:szCs w:val="24"/>
      <w:lang w:val="en-US"/>
    </w:rPr>
  </w:style>
  <w:style w:type="paragraph" w:customStyle="1" w:styleId="xl214">
    <w:name w:val="xl214"/>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b/>
      <w:bCs/>
      <w:sz w:val="24"/>
      <w:szCs w:val="24"/>
      <w:lang w:val="en-US"/>
    </w:rPr>
  </w:style>
  <w:style w:type="paragraph" w:customStyle="1" w:styleId="xl215">
    <w:name w:val="xl215"/>
    <w:basedOn w:val="Normal"/>
    <w:rsid w:val="000155BE"/>
    <w:pPr>
      <w:pBdr>
        <w:left w:val="single" w:sz="8" w:space="0" w:color="16365C"/>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216">
    <w:name w:val="xl216"/>
    <w:basedOn w:val="Normal"/>
    <w:rsid w:val="000155BE"/>
    <w:pPr>
      <w:pBdr>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17">
    <w:name w:val="xl217"/>
    <w:basedOn w:val="Normal"/>
    <w:rsid w:val="000155BE"/>
    <w:pPr>
      <w:pBdr>
        <w:lef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18">
    <w:name w:val="xl218"/>
    <w:basedOn w:val="Normal"/>
    <w:rsid w:val="000155BE"/>
    <w:pPr>
      <w:pBdr>
        <w:top w:val="single" w:sz="8" w:space="0" w:color="FFFFFF"/>
        <w:left w:val="single" w:sz="4" w:space="0" w:color="auto"/>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219">
    <w:name w:val="xl219"/>
    <w:basedOn w:val="Normal"/>
    <w:rsid w:val="000155BE"/>
    <w:pPr>
      <w:pBdr>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220">
    <w:name w:val="xl220"/>
    <w:basedOn w:val="Normal"/>
    <w:rsid w:val="000155BE"/>
    <w:pPr>
      <w:pBdr>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221">
    <w:name w:val="xl221"/>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ascii="Arial Narrow" w:hAnsi="Arial Narrow"/>
      <w:b/>
      <w:bCs/>
      <w:sz w:val="20"/>
      <w:lang w:val="en-US"/>
    </w:rPr>
  </w:style>
  <w:style w:type="paragraph" w:customStyle="1" w:styleId="xl222">
    <w:name w:val="xl222"/>
    <w:basedOn w:val="Normal"/>
    <w:rsid w:val="000155BE"/>
    <w:pPr>
      <w:pBdr>
        <w:top w:val="single" w:sz="12" w:space="0" w:color="FFFFFF"/>
      </w:pBdr>
      <w:shd w:val="clear" w:color="000000" w:fill="D8E4BC"/>
      <w:spacing w:before="100" w:beforeAutospacing="1" w:after="100" w:afterAutospacing="1" w:line="240" w:lineRule="auto"/>
      <w:jc w:val="left"/>
      <w:textAlignment w:val="center"/>
    </w:pPr>
    <w:rPr>
      <w:rFonts w:ascii="Arial Narrow" w:hAnsi="Arial Narrow"/>
      <w:b/>
      <w:bCs/>
      <w:sz w:val="20"/>
      <w:lang w:val="en-US"/>
    </w:rPr>
  </w:style>
  <w:style w:type="paragraph" w:customStyle="1" w:styleId="xl223">
    <w:name w:val="xl223"/>
    <w:basedOn w:val="Normal"/>
    <w:rsid w:val="000155BE"/>
    <w:pPr>
      <w:pBdr>
        <w:top w:val="single" w:sz="8" w:space="0" w:color="FFFFFF"/>
        <w:left w:val="single" w:sz="8" w:space="0" w:color="FFFFFF"/>
        <w:bottom w:val="single" w:sz="8" w:space="0" w:color="FFFFFF"/>
        <w:right w:val="single" w:sz="8" w:space="0" w:color="FFFFFF"/>
      </w:pBdr>
      <w:shd w:val="clear" w:color="000000" w:fill="00B050"/>
      <w:spacing w:before="100" w:beforeAutospacing="1" w:after="100" w:afterAutospacing="1" w:line="240" w:lineRule="auto"/>
      <w:jc w:val="center"/>
      <w:textAlignment w:val="center"/>
    </w:pPr>
    <w:rPr>
      <w:rFonts w:cs="Arial"/>
      <w:b/>
      <w:bCs/>
      <w:sz w:val="24"/>
      <w:szCs w:val="24"/>
      <w:lang w:val="en-US"/>
    </w:rPr>
  </w:style>
  <w:style w:type="paragraph" w:customStyle="1" w:styleId="xl224">
    <w:name w:val="xl224"/>
    <w:basedOn w:val="Normal"/>
    <w:rsid w:val="000155BE"/>
    <w:pPr>
      <w:pBdr>
        <w:top w:val="single" w:sz="8" w:space="0" w:color="FFFFFF"/>
        <w:bottom w:val="single" w:sz="8" w:space="0" w:color="FFFFFF"/>
      </w:pBdr>
      <w:shd w:val="clear" w:color="000000" w:fill="00B050"/>
      <w:spacing w:before="100" w:beforeAutospacing="1" w:after="100" w:afterAutospacing="1" w:line="240" w:lineRule="auto"/>
      <w:jc w:val="right"/>
    </w:pPr>
    <w:rPr>
      <w:rFonts w:ascii="Arial Narrow" w:hAnsi="Arial Narrow"/>
      <w:color w:val="00B050"/>
      <w:sz w:val="18"/>
      <w:szCs w:val="18"/>
      <w:lang w:val="en-US"/>
    </w:rPr>
  </w:style>
  <w:style w:type="paragraph" w:customStyle="1" w:styleId="xl225">
    <w:name w:val="xl225"/>
    <w:basedOn w:val="Normal"/>
    <w:rsid w:val="000155BE"/>
    <w:pPr>
      <w:pBdr>
        <w:top w:val="single" w:sz="8" w:space="0" w:color="FFFFFF"/>
      </w:pBdr>
      <w:shd w:val="clear" w:color="000000" w:fill="00B050"/>
      <w:spacing w:before="100" w:beforeAutospacing="1" w:after="100" w:afterAutospacing="1" w:line="240" w:lineRule="auto"/>
      <w:jc w:val="right"/>
    </w:pPr>
    <w:rPr>
      <w:rFonts w:ascii="Arial Narrow" w:hAnsi="Arial Narrow"/>
      <w:color w:val="00B050"/>
      <w:sz w:val="18"/>
      <w:szCs w:val="18"/>
      <w:lang w:val="en-US"/>
    </w:rPr>
  </w:style>
  <w:style w:type="paragraph" w:customStyle="1" w:styleId="xl226">
    <w:name w:val="xl226"/>
    <w:basedOn w:val="Normal"/>
    <w:rsid w:val="000155BE"/>
    <w:pPr>
      <w:pBdr>
        <w:top w:val="single" w:sz="8" w:space="0" w:color="FFFFFF"/>
        <w:bottom w:val="single" w:sz="8" w:space="0" w:color="FFFFFF"/>
      </w:pBdr>
      <w:shd w:val="clear" w:color="000000" w:fill="00B050"/>
      <w:spacing w:before="100" w:beforeAutospacing="1" w:after="100" w:afterAutospacing="1" w:line="240" w:lineRule="auto"/>
      <w:jc w:val="right"/>
    </w:pPr>
    <w:rPr>
      <w:rFonts w:ascii="Arial Narrow" w:hAnsi="Arial Narrow"/>
      <w:sz w:val="18"/>
      <w:szCs w:val="18"/>
      <w:lang w:val="en-US"/>
    </w:rPr>
  </w:style>
  <w:style w:type="paragraph" w:customStyle="1" w:styleId="xl227">
    <w:name w:val="xl227"/>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228">
    <w:name w:val="xl228"/>
    <w:basedOn w:val="Normal"/>
    <w:rsid w:val="000155BE"/>
    <w:pP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229">
    <w:name w:val="xl229"/>
    <w:basedOn w:val="Normal"/>
    <w:rsid w:val="000155BE"/>
    <w:pPr>
      <w:spacing w:before="100" w:beforeAutospacing="1" w:after="100" w:afterAutospacing="1" w:line="240" w:lineRule="auto"/>
      <w:jc w:val="center"/>
    </w:pPr>
    <w:rPr>
      <w:rFonts w:cs="Arial"/>
      <w:color w:val="FFFFFF"/>
      <w:sz w:val="18"/>
      <w:szCs w:val="18"/>
      <w:lang w:val="en-US"/>
    </w:rPr>
  </w:style>
  <w:style w:type="paragraph" w:customStyle="1" w:styleId="xl230">
    <w:name w:val="xl230"/>
    <w:basedOn w:val="Normal"/>
    <w:rsid w:val="000155BE"/>
    <w:pPr>
      <w:spacing w:before="100" w:beforeAutospacing="1" w:after="100" w:afterAutospacing="1" w:line="240" w:lineRule="auto"/>
      <w:jc w:val="center"/>
    </w:pPr>
    <w:rPr>
      <w:rFonts w:cs="Arial"/>
      <w:sz w:val="18"/>
      <w:szCs w:val="18"/>
      <w:lang w:val="en-US"/>
    </w:rPr>
  </w:style>
  <w:style w:type="paragraph" w:customStyle="1" w:styleId="xl231">
    <w:name w:val="xl231"/>
    <w:basedOn w:val="Normal"/>
    <w:rsid w:val="000155BE"/>
    <w:pPr>
      <w:pBdr>
        <w:left w:val="single" w:sz="4" w:space="0" w:color="auto"/>
        <w:bottom w:val="single" w:sz="12" w:space="0" w:color="FFFFFF"/>
      </w:pBdr>
      <w:shd w:val="clear" w:color="000000" w:fill="948A54"/>
      <w:spacing w:before="100" w:beforeAutospacing="1" w:after="100" w:afterAutospacing="1" w:line="240" w:lineRule="auto"/>
      <w:jc w:val="right"/>
    </w:pPr>
    <w:rPr>
      <w:rFonts w:cs="Arial"/>
      <w:color w:val="FFFFFF"/>
      <w:sz w:val="18"/>
      <w:szCs w:val="18"/>
      <w:lang w:val="en-US"/>
    </w:rPr>
  </w:style>
  <w:style w:type="paragraph" w:customStyle="1" w:styleId="xl232">
    <w:name w:val="xl232"/>
    <w:basedOn w:val="Normal"/>
    <w:rsid w:val="000155BE"/>
    <w:pPr>
      <w:pBdr>
        <w:bottom w:val="single" w:sz="12" w:space="0" w:color="FFFFFF"/>
      </w:pBdr>
      <w:shd w:val="clear" w:color="000000" w:fill="948A54"/>
      <w:spacing w:before="100" w:beforeAutospacing="1" w:after="100" w:afterAutospacing="1" w:line="240" w:lineRule="auto"/>
      <w:jc w:val="right"/>
    </w:pPr>
    <w:rPr>
      <w:rFonts w:cs="Arial"/>
      <w:color w:val="FFFFFF"/>
      <w:sz w:val="18"/>
      <w:szCs w:val="18"/>
      <w:lang w:val="en-US"/>
    </w:rPr>
  </w:style>
  <w:style w:type="paragraph" w:customStyle="1" w:styleId="xl233">
    <w:name w:val="xl233"/>
    <w:basedOn w:val="Normal"/>
    <w:rsid w:val="000155BE"/>
    <w:pPr>
      <w:pBdr>
        <w:bottom w:val="single" w:sz="12" w:space="0" w:color="FFFFFF"/>
        <w:right w:val="single" w:sz="4" w:space="0" w:color="auto"/>
      </w:pBdr>
      <w:shd w:val="clear" w:color="000000" w:fill="948A54"/>
      <w:spacing w:before="100" w:beforeAutospacing="1" w:after="100" w:afterAutospacing="1" w:line="240" w:lineRule="auto"/>
      <w:jc w:val="right"/>
    </w:pPr>
    <w:rPr>
      <w:rFonts w:cs="Arial"/>
      <w:color w:val="FFFFFF"/>
      <w:sz w:val="18"/>
      <w:szCs w:val="18"/>
      <w:lang w:val="en-US"/>
    </w:rPr>
  </w:style>
  <w:style w:type="paragraph" w:customStyle="1" w:styleId="xl234">
    <w:name w:val="xl234"/>
    <w:basedOn w:val="Normal"/>
    <w:rsid w:val="000155BE"/>
    <w:pPr>
      <w:spacing w:before="100" w:beforeAutospacing="1" w:after="100" w:afterAutospacing="1" w:line="240" w:lineRule="auto"/>
      <w:jc w:val="left"/>
      <w:textAlignment w:val="center"/>
    </w:pPr>
    <w:rPr>
      <w:rFonts w:cs="Arial"/>
      <w:color w:val="FFFFFF"/>
      <w:sz w:val="18"/>
      <w:szCs w:val="18"/>
      <w:lang w:val="en-US"/>
    </w:rPr>
  </w:style>
  <w:style w:type="paragraph" w:customStyle="1" w:styleId="xl235">
    <w:name w:val="xl235"/>
    <w:basedOn w:val="Normal"/>
    <w:rsid w:val="000155BE"/>
    <w:pPr>
      <w:pBdr>
        <w:top w:val="single" w:sz="12" w:space="0" w:color="FFFFFF"/>
        <w:left w:val="single" w:sz="8" w:space="0" w:color="16365C"/>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6">
    <w:name w:val="xl236"/>
    <w:basedOn w:val="Normal"/>
    <w:rsid w:val="000155BE"/>
    <w:pPr>
      <w:pBdr>
        <w:top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7">
    <w:name w:val="xl237"/>
    <w:basedOn w:val="Normal"/>
    <w:rsid w:val="000155BE"/>
    <w:pPr>
      <w:pBdr>
        <w:top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8">
    <w:name w:val="xl238"/>
    <w:basedOn w:val="Normal"/>
    <w:rsid w:val="000155BE"/>
    <w:pPr>
      <w:pBdr>
        <w:top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9">
    <w:name w:val="xl239"/>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ascii="Arial Narrow" w:hAnsi="Arial Narrow"/>
      <w:b/>
      <w:bCs/>
      <w:sz w:val="18"/>
      <w:szCs w:val="18"/>
      <w:lang w:val="en-US"/>
    </w:rPr>
  </w:style>
  <w:style w:type="paragraph" w:customStyle="1" w:styleId="xl240">
    <w:name w:val="xl240"/>
    <w:basedOn w:val="Normal"/>
    <w:rsid w:val="000155BE"/>
    <w:pPr>
      <w:pBdr>
        <w:top w:val="single" w:sz="12" w:space="0" w:color="FFFFFF"/>
        <w:left w:val="single" w:sz="4" w:space="0" w:color="auto"/>
      </w:pBdr>
      <w:shd w:val="clear" w:color="000000" w:fill="DDD9C4"/>
      <w:spacing w:before="100" w:beforeAutospacing="1" w:after="100" w:afterAutospacing="1" w:line="240" w:lineRule="auto"/>
      <w:jc w:val="right"/>
    </w:pPr>
    <w:rPr>
      <w:rFonts w:cs="Arial"/>
      <w:sz w:val="18"/>
      <w:szCs w:val="18"/>
      <w:lang w:val="en-US"/>
    </w:rPr>
  </w:style>
  <w:style w:type="paragraph" w:customStyle="1" w:styleId="xl241">
    <w:name w:val="xl241"/>
    <w:basedOn w:val="Normal"/>
    <w:rsid w:val="000155BE"/>
    <w:pPr>
      <w:pBdr>
        <w:top w:val="single" w:sz="12" w:space="0" w:color="FFFFFF"/>
      </w:pBdr>
      <w:shd w:val="clear" w:color="000000" w:fill="DDD9C4"/>
      <w:spacing w:before="100" w:beforeAutospacing="1" w:after="100" w:afterAutospacing="1" w:line="240" w:lineRule="auto"/>
      <w:jc w:val="right"/>
    </w:pPr>
    <w:rPr>
      <w:rFonts w:cs="Arial"/>
      <w:sz w:val="18"/>
      <w:szCs w:val="18"/>
      <w:lang w:val="en-US"/>
    </w:rPr>
  </w:style>
  <w:style w:type="paragraph" w:customStyle="1" w:styleId="xl242">
    <w:name w:val="xl242"/>
    <w:basedOn w:val="Normal"/>
    <w:rsid w:val="000155BE"/>
    <w:pPr>
      <w:pBdr>
        <w:top w:val="single" w:sz="12" w:space="0" w:color="FFFFFF"/>
        <w:right w:val="single" w:sz="4" w:space="0" w:color="auto"/>
      </w:pBdr>
      <w:shd w:val="clear" w:color="000000" w:fill="DDD9C4"/>
      <w:spacing w:before="100" w:beforeAutospacing="1" w:after="100" w:afterAutospacing="1" w:line="240" w:lineRule="auto"/>
      <w:jc w:val="right"/>
    </w:pPr>
    <w:rPr>
      <w:rFonts w:cs="Arial"/>
      <w:sz w:val="18"/>
      <w:szCs w:val="18"/>
      <w:lang w:val="en-US"/>
    </w:rPr>
  </w:style>
  <w:style w:type="paragraph" w:customStyle="1" w:styleId="xl243">
    <w:name w:val="xl243"/>
    <w:basedOn w:val="Normal"/>
    <w:rsid w:val="000155BE"/>
    <w:pPr>
      <w:shd w:val="clear" w:color="000000" w:fill="DDD9C4"/>
      <w:spacing w:before="100" w:beforeAutospacing="1" w:after="100" w:afterAutospacing="1" w:line="240" w:lineRule="auto"/>
      <w:jc w:val="left"/>
      <w:textAlignment w:val="center"/>
    </w:pPr>
    <w:rPr>
      <w:rFonts w:cs="Arial"/>
      <w:sz w:val="18"/>
      <w:szCs w:val="18"/>
      <w:lang w:val="en-US"/>
    </w:rPr>
  </w:style>
  <w:style w:type="paragraph" w:customStyle="1" w:styleId="xl244">
    <w:name w:val="xl244"/>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45">
    <w:name w:val="xl245"/>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46">
    <w:name w:val="xl246"/>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47">
    <w:name w:val="xl247"/>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248">
    <w:name w:val="xl248"/>
    <w:basedOn w:val="Normal"/>
    <w:rsid w:val="000155BE"/>
    <w:pPr>
      <w:spacing w:before="100" w:beforeAutospacing="1" w:after="100" w:afterAutospacing="1" w:line="240" w:lineRule="auto"/>
      <w:jc w:val="center"/>
    </w:pPr>
    <w:rPr>
      <w:rFonts w:ascii="Arial Narrow" w:hAnsi="Arial Narrow"/>
      <w:sz w:val="18"/>
      <w:szCs w:val="18"/>
      <w:lang w:val="en-US"/>
    </w:rPr>
  </w:style>
  <w:style w:type="paragraph" w:customStyle="1" w:styleId="xl249">
    <w:name w:val="xl249"/>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50">
    <w:name w:val="xl250"/>
    <w:basedOn w:val="Normal"/>
    <w:rsid w:val="000155BE"/>
    <w:pPr>
      <w:spacing w:before="100" w:beforeAutospacing="1" w:after="100" w:afterAutospacing="1" w:line="240" w:lineRule="auto"/>
      <w:jc w:val="left"/>
      <w:textAlignment w:val="top"/>
    </w:pPr>
    <w:rPr>
      <w:rFonts w:cs="Arial"/>
      <w:i/>
      <w:iCs/>
      <w:sz w:val="18"/>
      <w:szCs w:val="18"/>
      <w:lang w:val="en-US"/>
    </w:rPr>
  </w:style>
  <w:style w:type="paragraph" w:customStyle="1" w:styleId="xl251">
    <w:name w:val="xl251"/>
    <w:basedOn w:val="Normal"/>
    <w:rsid w:val="000155BE"/>
    <w:pPr>
      <w:pBdr>
        <w:top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52">
    <w:name w:val="xl252"/>
    <w:basedOn w:val="Normal"/>
    <w:rsid w:val="000155BE"/>
    <w:pPr>
      <w:pBdr>
        <w:left w:val="single" w:sz="8" w:space="0" w:color="16365C"/>
      </w:pBdr>
      <w:spacing w:before="100" w:beforeAutospacing="1" w:after="100" w:afterAutospacing="1" w:line="240" w:lineRule="auto"/>
      <w:jc w:val="center"/>
      <w:textAlignment w:val="center"/>
    </w:pPr>
    <w:rPr>
      <w:rFonts w:cs="Arial"/>
      <w:sz w:val="18"/>
      <w:szCs w:val="18"/>
      <w:lang w:val="en-US"/>
    </w:rPr>
  </w:style>
  <w:style w:type="paragraph" w:customStyle="1" w:styleId="xl253">
    <w:name w:val="xl253"/>
    <w:basedOn w:val="Normal"/>
    <w:rsid w:val="000155BE"/>
    <w:pPr>
      <w:spacing w:before="100" w:beforeAutospacing="1" w:after="100" w:afterAutospacing="1" w:line="240" w:lineRule="auto"/>
      <w:jc w:val="left"/>
      <w:textAlignment w:val="top"/>
    </w:pPr>
    <w:rPr>
      <w:rFonts w:cs="Arial"/>
      <w:i/>
      <w:iCs/>
      <w:sz w:val="18"/>
      <w:szCs w:val="18"/>
      <w:lang w:val="en-US"/>
    </w:rPr>
  </w:style>
  <w:style w:type="paragraph" w:customStyle="1" w:styleId="xl254">
    <w:name w:val="xl254"/>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55">
    <w:name w:val="xl255"/>
    <w:basedOn w:val="Normal"/>
    <w:rsid w:val="000155BE"/>
    <w:pPr>
      <w:pBdr>
        <w:top w:val="single" w:sz="8" w:space="0" w:color="FFFFFF"/>
        <w:left w:val="single" w:sz="4" w:space="0" w:color="auto"/>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256">
    <w:name w:val="xl256"/>
    <w:basedOn w:val="Normal"/>
    <w:rsid w:val="000155BE"/>
    <w:pPr>
      <w:pBdr>
        <w:top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257">
    <w:name w:val="xl257"/>
    <w:basedOn w:val="Normal"/>
    <w:rsid w:val="000155BE"/>
    <w:pPr>
      <w:pBdr>
        <w:top w:val="single" w:sz="8" w:space="0" w:color="FFFFFF"/>
        <w:left w:val="single" w:sz="8" w:space="0" w:color="FFFFFF"/>
        <w:bottom w:val="single" w:sz="8" w:space="0" w:color="FFFFFF"/>
        <w:right w:val="single" w:sz="8" w:space="0" w:color="FFFFFF"/>
      </w:pBdr>
      <w:shd w:val="clear" w:color="000000" w:fill="EEECE1"/>
      <w:spacing w:before="100" w:beforeAutospacing="1" w:after="100" w:afterAutospacing="1" w:line="240" w:lineRule="auto"/>
      <w:jc w:val="left"/>
    </w:pPr>
    <w:rPr>
      <w:rFonts w:cs="Arial"/>
      <w:color w:val="FF0000"/>
      <w:sz w:val="18"/>
      <w:szCs w:val="18"/>
      <w:lang w:val="en-US"/>
    </w:rPr>
  </w:style>
  <w:style w:type="paragraph" w:customStyle="1" w:styleId="xl258">
    <w:name w:val="xl258"/>
    <w:basedOn w:val="Normal"/>
    <w:rsid w:val="000155BE"/>
    <w:pPr>
      <w:pBdr>
        <w:top w:val="single" w:sz="8" w:space="0" w:color="FFFFFF"/>
        <w:left w:val="single" w:sz="8" w:space="0" w:color="FFFFFF"/>
        <w:bottom w:val="single" w:sz="8" w:space="0" w:color="FFFFFF"/>
        <w:right w:val="single" w:sz="8" w:space="0" w:color="FFFFFF"/>
      </w:pBdr>
      <w:shd w:val="clear" w:color="000000" w:fill="EEECE1"/>
      <w:spacing w:before="100" w:beforeAutospacing="1" w:after="100" w:afterAutospacing="1" w:line="240" w:lineRule="auto"/>
      <w:jc w:val="left"/>
      <w:textAlignment w:val="top"/>
    </w:pPr>
    <w:rPr>
      <w:rFonts w:cs="Arial"/>
      <w:color w:val="FF0000"/>
      <w:sz w:val="18"/>
      <w:szCs w:val="18"/>
      <w:lang w:val="en-US"/>
    </w:rPr>
  </w:style>
  <w:style w:type="paragraph" w:customStyle="1" w:styleId="xl259">
    <w:name w:val="xl259"/>
    <w:basedOn w:val="Normal"/>
    <w:rsid w:val="000155BE"/>
    <w:pPr>
      <w:pBdr>
        <w:top w:val="single" w:sz="8" w:space="0" w:color="FFFFFF"/>
        <w:left w:val="single" w:sz="8" w:space="0" w:color="FFFFFF"/>
        <w:bottom w:val="single" w:sz="8" w:space="0" w:color="FFFFFF"/>
        <w:right w:val="single" w:sz="8" w:space="0" w:color="FFFFFF"/>
      </w:pBdr>
      <w:shd w:val="clear" w:color="000000" w:fill="FFFF00"/>
      <w:spacing w:before="100" w:beforeAutospacing="1" w:after="100" w:afterAutospacing="1" w:line="240" w:lineRule="auto"/>
      <w:jc w:val="center"/>
      <w:textAlignment w:val="center"/>
    </w:pPr>
    <w:rPr>
      <w:rFonts w:cs="Arial"/>
      <w:b/>
      <w:bCs/>
      <w:sz w:val="24"/>
      <w:szCs w:val="24"/>
      <w:lang w:val="en-US"/>
    </w:rPr>
  </w:style>
  <w:style w:type="paragraph" w:customStyle="1" w:styleId="xl260">
    <w:name w:val="xl260"/>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61">
    <w:name w:val="xl261"/>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62">
    <w:name w:val="xl262"/>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63">
    <w:name w:val="xl263"/>
    <w:basedOn w:val="Normal"/>
    <w:rsid w:val="000155BE"/>
    <w:pPr>
      <w:pBdr>
        <w:top w:val="single" w:sz="12" w:space="0" w:color="FFFFFF"/>
        <w:bottom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264">
    <w:name w:val="xl264"/>
    <w:basedOn w:val="Normal"/>
    <w:rsid w:val="000155BE"/>
    <w:pPr>
      <w:pBdr>
        <w:top w:val="single" w:sz="12" w:space="0" w:color="FFFFFF"/>
        <w:left w:val="single" w:sz="4" w:space="0" w:color="auto"/>
        <w:bottom w:val="single" w:sz="12" w:space="0" w:color="FFFFFF"/>
      </w:pBdr>
      <w:shd w:val="clear" w:color="000000" w:fill="DDD9C4"/>
      <w:spacing w:before="100" w:beforeAutospacing="1" w:after="100" w:afterAutospacing="1" w:line="240" w:lineRule="auto"/>
      <w:jc w:val="right"/>
    </w:pPr>
    <w:rPr>
      <w:rFonts w:ascii="Arial Narrow" w:hAnsi="Arial Narrow"/>
      <w:sz w:val="18"/>
      <w:szCs w:val="18"/>
      <w:lang w:val="en-US"/>
    </w:rPr>
  </w:style>
  <w:style w:type="paragraph" w:customStyle="1" w:styleId="xl265">
    <w:name w:val="xl265"/>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right"/>
    </w:pPr>
    <w:rPr>
      <w:rFonts w:ascii="Arial Narrow" w:hAnsi="Arial Narrow"/>
      <w:sz w:val="18"/>
      <w:szCs w:val="18"/>
      <w:lang w:val="en-US"/>
    </w:rPr>
  </w:style>
  <w:style w:type="paragraph" w:customStyle="1" w:styleId="xl266">
    <w:name w:val="xl266"/>
    <w:basedOn w:val="Normal"/>
    <w:rsid w:val="000155BE"/>
    <w:pPr>
      <w:pBdr>
        <w:top w:val="single" w:sz="12" w:space="0" w:color="FFFFFF"/>
        <w:bottom w:val="single" w:sz="12" w:space="0" w:color="FFFFFF"/>
        <w:right w:val="single" w:sz="4" w:space="0" w:color="auto"/>
      </w:pBdr>
      <w:shd w:val="clear" w:color="000000" w:fill="DDD9C4"/>
      <w:spacing w:before="100" w:beforeAutospacing="1" w:after="100" w:afterAutospacing="1" w:line="240" w:lineRule="auto"/>
      <w:jc w:val="right"/>
    </w:pPr>
    <w:rPr>
      <w:rFonts w:ascii="Arial Narrow" w:hAnsi="Arial Narrow"/>
      <w:sz w:val="18"/>
      <w:szCs w:val="18"/>
      <w:lang w:val="en-US"/>
    </w:rPr>
  </w:style>
  <w:style w:type="paragraph" w:customStyle="1" w:styleId="xl267">
    <w:name w:val="xl267"/>
    <w:basedOn w:val="Normal"/>
    <w:rsid w:val="000155BE"/>
    <w:pPr>
      <w:shd w:val="clear" w:color="000000" w:fill="DDD9C4"/>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68">
    <w:name w:val="xl268"/>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69">
    <w:name w:val="xl269"/>
    <w:basedOn w:val="Normal"/>
    <w:rsid w:val="000155BE"/>
    <w:pPr>
      <w:pBdr>
        <w:top w:val="single" w:sz="8" w:space="0" w:color="FFFFFF"/>
        <w:bottom w:val="single" w:sz="8" w:space="0" w:color="FFFFFF"/>
      </w:pBdr>
      <w:spacing w:before="100" w:beforeAutospacing="1" w:after="100" w:afterAutospacing="1" w:line="240" w:lineRule="auto"/>
      <w:jc w:val="right"/>
    </w:pPr>
    <w:rPr>
      <w:rFonts w:cs="Arial"/>
      <w:sz w:val="2"/>
      <w:szCs w:val="2"/>
      <w:lang w:val="en-US"/>
    </w:rPr>
  </w:style>
  <w:style w:type="paragraph" w:customStyle="1" w:styleId="xl270">
    <w:name w:val="xl270"/>
    <w:basedOn w:val="Normal"/>
    <w:rsid w:val="000155BE"/>
    <w:pPr>
      <w:shd w:val="clear" w:color="000000" w:fill="EEECE1"/>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1">
    <w:name w:val="xl271"/>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cs="Arial"/>
      <w:sz w:val="2"/>
      <w:szCs w:val="2"/>
      <w:lang w:val="en-US"/>
    </w:rPr>
  </w:style>
  <w:style w:type="paragraph" w:customStyle="1" w:styleId="xl272">
    <w:name w:val="xl272"/>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73">
    <w:name w:val="xl273"/>
    <w:basedOn w:val="Normal"/>
    <w:rsid w:val="000155BE"/>
    <w:pPr>
      <w:pBdr>
        <w:left w:val="single" w:sz="8" w:space="0" w:color="16365C"/>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4">
    <w:name w:val="xl274"/>
    <w:basedOn w:val="Normal"/>
    <w:rsid w:val="000155BE"/>
    <w:pPr>
      <w:pBdr>
        <w:bottom w:val="single" w:sz="4" w:space="0" w:color="BFBFB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5">
    <w:name w:val="xl275"/>
    <w:basedOn w:val="Normal"/>
    <w:rsid w:val="000155BE"/>
    <w:pPr>
      <w:pBdr>
        <w:bottom w:val="single" w:sz="4" w:space="0" w:color="BFBFB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6">
    <w:name w:val="xl276"/>
    <w:basedOn w:val="Normal"/>
    <w:rsid w:val="000155BE"/>
    <w:pPr>
      <w:pBdr>
        <w:top w:val="single" w:sz="12" w:space="0" w:color="FFFFFF"/>
        <w:bottom w:val="single" w:sz="12" w:space="0" w:color="FFFFFF"/>
      </w:pBdr>
      <w:spacing w:before="100" w:beforeAutospacing="1" w:after="100" w:afterAutospacing="1" w:line="240" w:lineRule="auto"/>
      <w:jc w:val="center"/>
    </w:pPr>
    <w:rPr>
      <w:rFonts w:ascii="Arial Narrow" w:hAnsi="Arial Narrow"/>
      <w:color w:val="FFFFFF"/>
      <w:sz w:val="12"/>
      <w:szCs w:val="12"/>
      <w:lang w:val="en-US"/>
    </w:rPr>
  </w:style>
  <w:style w:type="paragraph" w:customStyle="1" w:styleId="xl277">
    <w:name w:val="xl277"/>
    <w:basedOn w:val="Normal"/>
    <w:rsid w:val="000155BE"/>
    <w:pPr>
      <w:pBdr>
        <w:top w:val="single" w:sz="12" w:space="0" w:color="FFFFFF"/>
        <w:left w:val="single" w:sz="4" w:space="0" w:color="auto"/>
        <w:bottom w:val="single" w:sz="12" w:space="0" w:color="FFFFFF"/>
      </w:pBdr>
      <w:shd w:val="clear" w:color="000000" w:fill="C0504D"/>
      <w:spacing w:before="100" w:beforeAutospacing="1" w:after="100" w:afterAutospacing="1" w:line="240" w:lineRule="auto"/>
      <w:jc w:val="right"/>
    </w:pPr>
    <w:rPr>
      <w:rFonts w:cs="Arial"/>
      <w:color w:val="FFFFFF"/>
      <w:sz w:val="18"/>
      <w:szCs w:val="18"/>
      <w:lang w:val="en-US"/>
    </w:rPr>
  </w:style>
  <w:style w:type="paragraph" w:customStyle="1" w:styleId="xl278">
    <w:name w:val="xl278"/>
    <w:basedOn w:val="Normal"/>
    <w:rsid w:val="000155BE"/>
    <w:pPr>
      <w:pBdr>
        <w:top w:val="single" w:sz="12" w:space="0" w:color="FFFFFF"/>
        <w:bottom w:val="single" w:sz="12" w:space="0" w:color="FFFFFF"/>
      </w:pBdr>
      <w:shd w:val="clear" w:color="000000" w:fill="C0504D"/>
      <w:spacing w:before="100" w:beforeAutospacing="1" w:after="100" w:afterAutospacing="1" w:line="240" w:lineRule="auto"/>
      <w:jc w:val="right"/>
    </w:pPr>
    <w:rPr>
      <w:rFonts w:cs="Arial"/>
      <w:color w:val="FFFFFF"/>
      <w:sz w:val="18"/>
      <w:szCs w:val="18"/>
      <w:lang w:val="en-US"/>
    </w:rPr>
  </w:style>
  <w:style w:type="paragraph" w:customStyle="1" w:styleId="xl279">
    <w:name w:val="xl279"/>
    <w:basedOn w:val="Normal"/>
    <w:rsid w:val="000155BE"/>
    <w:pPr>
      <w:pBdr>
        <w:top w:val="single" w:sz="12" w:space="0" w:color="FFFFFF"/>
        <w:bottom w:val="single" w:sz="12" w:space="0" w:color="FFFFFF"/>
        <w:right w:val="single" w:sz="4" w:space="0" w:color="auto"/>
      </w:pBdr>
      <w:shd w:val="clear" w:color="000000" w:fill="C0504D"/>
      <w:spacing w:before="100" w:beforeAutospacing="1" w:after="100" w:afterAutospacing="1" w:line="240" w:lineRule="auto"/>
      <w:jc w:val="right"/>
    </w:pPr>
    <w:rPr>
      <w:rFonts w:cs="Arial"/>
      <w:color w:val="FFFFFF"/>
      <w:sz w:val="18"/>
      <w:szCs w:val="18"/>
      <w:lang w:val="en-US"/>
    </w:rPr>
  </w:style>
  <w:style w:type="paragraph" w:customStyle="1" w:styleId="xl280">
    <w:name w:val="xl280"/>
    <w:basedOn w:val="Normal"/>
    <w:rsid w:val="000155BE"/>
    <w:pPr>
      <w:shd w:val="clear" w:color="000000" w:fill="C0504D"/>
      <w:spacing w:before="100" w:beforeAutospacing="1" w:after="100" w:afterAutospacing="1" w:line="240" w:lineRule="auto"/>
      <w:jc w:val="left"/>
      <w:textAlignment w:val="center"/>
    </w:pPr>
    <w:rPr>
      <w:rFonts w:cs="Arial"/>
      <w:color w:val="FFFFFF"/>
      <w:sz w:val="18"/>
      <w:szCs w:val="18"/>
      <w:lang w:val="en-US"/>
    </w:rPr>
  </w:style>
  <w:style w:type="paragraph" w:customStyle="1" w:styleId="xl281">
    <w:name w:val="xl281"/>
    <w:basedOn w:val="Normal"/>
    <w:rsid w:val="000155BE"/>
    <w:pPr>
      <w:pBdr>
        <w:top w:val="single" w:sz="12" w:space="0" w:color="FFFFFF"/>
        <w:left w:val="single" w:sz="8" w:space="0" w:color="16365C"/>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2">
    <w:name w:val="xl282"/>
    <w:basedOn w:val="Normal"/>
    <w:rsid w:val="000155BE"/>
    <w:pPr>
      <w:pBdr>
        <w:top w:val="single" w:sz="12"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3">
    <w:name w:val="xl283"/>
    <w:basedOn w:val="Normal"/>
    <w:rsid w:val="000155BE"/>
    <w:pPr>
      <w:pBdr>
        <w:top w:val="single" w:sz="12"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4">
    <w:name w:val="xl284"/>
    <w:basedOn w:val="Normal"/>
    <w:rsid w:val="000155BE"/>
    <w:pPr>
      <w:pBdr>
        <w:top w:val="single" w:sz="12"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5">
    <w:name w:val="xl285"/>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ascii="Arial Narrow" w:hAnsi="Arial Narrow"/>
      <w:b/>
      <w:bCs/>
      <w:sz w:val="18"/>
      <w:szCs w:val="18"/>
      <w:lang w:val="en-US"/>
    </w:rPr>
  </w:style>
  <w:style w:type="paragraph" w:customStyle="1" w:styleId="xl286">
    <w:name w:val="xl286"/>
    <w:basedOn w:val="Normal"/>
    <w:rsid w:val="000155BE"/>
    <w:pPr>
      <w:pBdr>
        <w:top w:val="single" w:sz="12" w:space="0" w:color="FFFFFF"/>
      </w:pBdr>
      <w:spacing w:before="100" w:beforeAutospacing="1" w:after="100" w:afterAutospacing="1" w:line="240" w:lineRule="auto"/>
      <w:jc w:val="center"/>
      <w:textAlignment w:val="center"/>
    </w:pPr>
    <w:rPr>
      <w:rFonts w:cs="Arial"/>
      <w:b/>
      <w:bCs/>
      <w:sz w:val="18"/>
      <w:szCs w:val="18"/>
      <w:lang w:val="en-US"/>
    </w:rPr>
  </w:style>
  <w:style w:type="paragraph" w:customStyle="1" w:styleId="xl287">
    <w:name w:val="xl287"/>
    <w:basedOn w:val="Normal"/>
    <w:rsid w:val="000155BE"/>
    <w:pPr>
      <w:pBdr>
        <w:top w:val="single" w:sz="12" w:space="0" w:color="FFFFFF"/>
        <w:left w:val="single" w:sz="4" w:space="0" w:color="auto"/>
      </w:pBdr>
      <w:shd w:val="clear" w:color="000000" w:fill="E6B8B7"/>
      <w:spacing w:before="100" w:beforeAutospacing="1" w:after="100" w:afterAutospacing="1" w:line="240" w:lineRule="auto"/>
      <w:jc w:val="right"/>
    </w:pPr>
    <w:rPr>
      <w:rFonts w:cs="Arial"/>
      <w:sz w:val="18"/>
      <w:szCs w:val="18"/>
      <w:lang w:val="en-US"/>
    </w:rPr>
  </w:style>
  <w:style w:type="paragraph" w:customStyle="1" w:styleId="xl288">
    <w:name w:val="xl288"/>
    <w:basedOn w:val="Normal"/>
    <w:rsid w:val="000155BE"/>
    <w:pPr>
      <w:pBdr>
        <w:top w:val="single" w:sz="12" w:space="0" w:color="FFFFFF"/>
      </w:pBdr>
      <w:shd w:val="clear" w:color="000000" w:fill="E6B8B7"/>
      <w:spacing w:before="100" w:beforeAutospacing="1" w:after="100" w:afterAutospacing="1" w:line="240" w:lineRule="auto"/>
      <w:jc w:val="right"/>
    </w:pPr>
    <w:rPr>
      <w:rFonts w:cs="Arial"/>
      <w:sz w:val="18"/>
      <w:szCs w:val="18"/>
      <w:lang w:val="en-US"/>
    </w:rPr>
  </w:style>
  <w:style w:type="paragraph" w:customStyle="1" w:styleId="xl289">
    <w:name w:val="xl289"/>
    <w:basedOn w:val="Normal"/>
    <w:rsid w:val="000155BE"/>
    <w:pPr>
      <w:pBdr>
        <w:top w:val="single" w:sz="12" w:space="0" w:color="FFFFFF"/>
        <w:right w:val="single" w:sz="4" w:space="0" w:color="auto"/>
      </w:pBdr>
      <w:shd w:val="clear" w:color="000000" w:fill="E6B8B7"/>
      <w:spacing w:before="100" w:beforeAutospacing="1" w:after="100" w:afterAutospacing="1" w:line="240" w:lineRule="auto"/>
      <w:jc w:val="right"/>
    </w:pPr>
    <w:rPr>
      <w:rFonts w:cs="Arial"/>
      <w:sz w:val="18"/>
      <w:szCs w:val="18"/>
      <w:lang w:val="en-US"/>
    </w:rPr>
  </w:style>
  <w:style w:type="paragraph" w:customStyle="1" w:styleId="xl290">
    <w:name w:val="xl290"/>
    <w:basedOn w:val="Normal"/>
    <w:rsid w:val="000155BE"/>
    <w:pPr>
      <w:shd w:val="clear" w:color="000000" w:fill="E6B8B7"/>
      <w:spacing w:before="100" w:beforeAutospacing="1" w:after="100" w:afterAutospacing="1" w:line="240" w:lineRule="auto"/>
      <w:jc w:val="left"/>
      <w:textAlignment w:val="center"/>
    </w:pPr>
    <w:rPr>
      <w:rFonts w:cs="Arial"/>
      <w:sz w:val="18"/>
      <w:szCs w:val="18"/>
      <w:lang w:val="en-US"/>
    </w:rPr>
  </w:style>
  <w:style w:type="paragraph" w:customStyle="1" w:styleId="xl291">
    <w:name w:val="xl291"/>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2">
    <w:name w:val="xl292"/>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3">
    <w:name w:val="xl293"/>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4">
    <w:name w:val="xl294"/>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95">
    <w:name w:val="xl295"/>
    <w:basedOn w:val="Normal"/>
    <w:rsid w:val="000155BE"/>
    <w:pPr>
      <w:pBdr>
        <w:top w:val="single" w:sz="8" w:space="0" w:color="FFFFFF"/>
        <w:bottom w:val="single" w:sz="8" w:space="0" w:color="FFFFFF"/>
      </w:pBdr>
      <w:spacing w:before="100" w:beforeAutospacing="1" w:after="100" w:afterAutospacing="1" w:line="240" w:lineRule="auto"/>
      <w:jc w:val="right"/>
    </w:pPr>
    <w:rPr>
      <w:rFonts w:cs="Arial"/>
      <w:sz w:val="2"/>
      <w:szCs w:val="2"/>
      <w:lang w:val="en-US"/>
    </w:rPr>
  </w:style>
  <w:style w:type="paragraph" w:customStyle="1" w:styleId="xl296">
    <w:name w:val="xl296"/>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97">
    <w:name w:val="xl297"/>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cs="Arial"/>
      <w:sz w:val="2"/>
      <w:szCs w:val="2"/>
      <w:lang w:val="en-US"/>
    </w:rPr>
  </w:style>
  <w:style w:type="paragraph" w:customStyle="1" w:styleId="xl298">
    <w:name w:val="xl298"/>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9">
    <w:name w:val="xl299"/>
    <w:basedOn w:val="Normal"/>
    <w:rsid w:val="000155BE"/>
    <w:pPr>
      <w:pBdr>
        <w:top w:val="single" w:sz="8" w:space="0" w:color="FFFFFF"/>
        <w:left w:val="single" w:sz="4" w:space="0" w:color="auto"/>
        <w:bottom w:val="single" w:sz="8" w:space="0" w:color="FFFFFF"/>
      </w:pBdr>
      <w:spacing w:before="100" w:beforeAutospacing="1" w:after="100" w:afterAutospacing="1" w:line="240" w:lineRule="auto"/>
      <w:jc w:val="right"/>
    </w:pPr>
    <w:rPr>
      <w:rFonts w:cs="Arial"/>
      <w:sz w:val="18"/>
      <w:szCs w:val="18"/>
      <w:lang w:val="en-US"/>
    </w:rPr>
  </w:style>
  <w:style w:type="paragraph" w:customStyle="1" w:styleId="xl300">
    <w:name w:val="xl300"/>
    <w:basedOn w:val="Normal"/>
    <w:rsid w:val="000155BE"/>
    <w:pPr>
      <w:pBdr>
        <w:top w:val="single" w:sz="8" w:space="0" w:color="FFFFFF"/>
        <w:bottom w:val="single" w:sz="8" w:space="0" w:color="FFFFFF"/>
      </w:pBdr>
      <w:spacing w:before="100" w:beforeAutospacing="1" w:after="100" w:afterAutospacing="1" w:line="240" w:lineRule="auto"/>
      <w:jc w:val="right"/>
    </w:pPr>
    <w:rPr>
      <w:rFonts w:cs="Arial"/>
      <w:sz w:val="18"/>
      <w:szCs w:val="18"/>
      <w:lang w:val="en-US"/>
    </w:rPr>
  </w:style>
  <w:style w:type="paragraph" w:customStyle="1" w:styleId="xl301">
    <w:name w:val="xl301"/>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cs="Arial"/>
      <w:sz w:val="18"/>
      <w:szCs w:val="18"/>
      <w:lang w:val="en-US"/>
    </w:rPr>
  </w:style>
  <w:style w:type="paragraph" w:customStyle="1" w:styleId="xl302">
    <w:name w:val="xl302"/>
    <w:basedOn w:val="Normal"/>
    <w:rsid w:val="000155BE"/>
    <w:pPr>
      <w:pBdr>
        <w:top w:val="single" w:sz="8" w:space="0" w:color="FFFFFF"/>
        <w:left w:val="single" w:sz="8" w:space="0" w:color="16365C"/>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3">
    <w:name w:val="xl303"/>
    <w:basedOn w:val="Normal"/>
    <w:rsid w:val="000155BE"/>
    <w:pPr>
      <w:pBdr>
        <w:top w:val="single" w:sz="8" w:space="0" w:color="FFFFFF"/>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4">
    <w:name w:val="xl304"/>
    <w:basedOn w:val="Normal"/>
    <w:rsid w:val="000155BE"/>
    <w:pPr>
      <w:pBdr>
        <w:top w:val="single" w:sz="8" w:space="0" w:color="FFFFFF"/>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5">
    <w:name w:val="xl305"/>
    <w:basedOn w:val="Normal"/>
    <w:rsid w:val="000155BE"/>
    <w:pPr>
      <w:pBdr>
        <w:top w:val="single" w:sz="8" w:space="0" w:color="FFFFFF"/>
        <w:bottom w:val="single" w:sz="8" w:space="0" w:color="FFFFFF"/>
        <w:right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6">
    <w:name w:val="xl306"/>
    <w:basedOn w:val="Normal"/>
    <w:rsid w:val="000155BE"/>
    <w:pPr>
      <w:pBdr>
        <w:top w:val="single" w:sz="12" w:space="0" w:color="FFFFFF"/>
        <w:left w:val="single" w:sz="4" w:space="0" w:color="auto"/>
        <w:bottom w:val="single" w:sz="12" w:space="0" w:color="FFFFFF"/>
      </w:pBdr>
      <w:shd w:val="clear" w:color="000000" w:fill="E6B8B7"/>
      <w:spacing w:before="100" w:beforeAutospacing="1" w:after="100" w:afterAutospacing="1" w:line="240" w:lineRule="auto"/>
      <w:jc w:val="right"/>
    </w:pPr>
    <w:rPr>
      <w:rFonts w:cs="Arial"/>
      <w:sz w:val="18"/>
      <w:szCs w:val="18"/>
      <w:lang w:val="en-US"/>
    </w:rPr>
  </w:style>
  <w:style w:type="paragraph" w:customStyle="1" w:styleId="xl307">
    <w:name w:val="xl307"/>
    <w:basedOn w:val="Normal"/>
    <w:rsid w:val="000155BE"/>
    <w:pPr>
      <w:pBdr>
        <w:top w:val="single" w:sz="12" w:space="0" w:color="FFFFFF"/>
        <w:bottom w:val="single" w:sz="12" w:space="0" w:color="FFFFFF"/>
      </w:pBdr>
      <w:shd w:val="clear" w:color="000000" w:fill="E6B8B7"/>
      <w:spacing w:before="100" w:beforeAutospacing="1" w:after="100" w:afterAutospacing="1" w:line="240" w:lineRule="auto"/>
      <w:jc w:val="right"/>
    </w:pPr>
    <w:rPr>
      <w:rFonts w:cs="Arial"/>
      <w:sz w:val="18"/>
      <w:szCs w:val="18"/>
      <w:lang w:val="en-US"/>
    </w:rPr>
  </w:style>
  <w:style w:type="paragraph" w:customStyle="1" w:styleId="xl308">
    <w:name w:val="xl308"/>
    <w:basedOn w:val="Normal"/>
    <w:rsid w:val="000155BE"/>
    <w:pPr>
      <w:pBdr>
        <w:top w:val="single" w:sz="12" w:space="0" w:color="FFFFFF"/>
        <w:bottom w:val="single" w:sz="12" w:space="0" w:color="FFFFFF"/>
        <w:right w:val="single" w:sz="4" w:space="0" w:color="auto"/>
      </w:pBdr>
      <w:shd w:val="clear" w:color="000000" w:fill="E6B8B7"/>
      <w:spacing w:before="100" w:beforeAutospacing="1" w:after="100" w:afterAutospacing="1" w:line="240" w:lineRule="auto"/>
      <w:jc w:val="right"/>
    </w:pPr>
    <w:rPr>
      <w:rFonts w:cs="Arial"/>
      <w:sz w:val="18"/>
      <w:szCs w:val="18"/>
      <w:lang w:val="en-US"/>
    </w:rPr>
  </w:style>
  <w:style w:type="paragraph" w:customStyle="1" w:styleId="xl309">
    <w:name w:val="xl309"/>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color w:val="FF0000"/>
      <w:sz w:val="18"/>
      <w:szCs w:val="18"/>
      <w:lang w:val="en-US"/>
    </w:rPr>
  </w:style>
  <w:style w:type="paragraph" w:customStyle="1" w:styleId="xl310">
    <w:name w:val="xl310"/>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color w:val="FF0000"/>
      <w:sz w:val="18"/>
      <w:szCs w:val="18"/>
      <w:lang w:val="en-US"/>
    </w:rPr>
  </w:style>
  <w:style w:type="paragraph" w:customStyle="1" w:styleId="xl311">
    <w:name w:val="xl311"/>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color w:val="FF0000"/>
      <w:sz w:val="18"/>
      <w:szCs w:val="18"/>
      <w:lang w:val="en-US"/>
    </w:rPr>
  </w:style>
  <w:style w:type="paragraph" w:customStyle="1" w:styleId="xl312">
    <w:name w:val="xl312"/>
    <w:basedOn w:val="Normal"/>
    <w:rsid w:val="000155BE"/>
    <w:pPr>
      <w:pBdr>
        <w:top w:val="single" w:sz="8" w:space="0" w:color="FFFFFF"/>
        <w:bottom w:val="single" w:sz="8" w:space="0" w:color="FFFFFF"/>
      </w:pBdr>
      <w:shd w:val="clear" w:color="000000" w:fill="FF0000"/>
      <w:spacing w:before="100" w:beforeAutospacing="1" w:after="100" w:afterAutospacing="1" w:line="240" w:lineRule="auto"/>
      <w:jc w:val="right"/>
    </w:pPr>
    <w:rPr>
      <w:rFonts w:cs="Arial"/>
      <w:sz w:val="2"/>
      <w:szCs w:val="2"/>
      <w:lang w:val="en-US"/>
    </w:rPr>
  </w:style>
  <w:style w:type="paragraph" w:customStyle="1" w:styleId="xl313">
    <w:name w:val="xl313"/>
    <w:basedOn w:val="Normal"/>
    <w:rsid w:val="000155BE"/>
    <w:pPr>
      <w:pBdr>
        <w:top w:val="single" w:sz="8" w:space="0" w:color="FFFFFF"/>
        <w:left w:val="single" w:sz="8" w:space="0" w:color="16365C"/>
        <w:bottom w:val="single" w:sz="8" w:space="0" w:color="FFFFFF"/>
        <w:right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14">
    <w:name w:val="xl314"/>
    <w:basedOn w:val="Normal"/>
    <w:rsid w:val="000155BE"/>
    <w:pPr>
      <w:pBdr>
        <w:top w:val="single" w:sz="8" w:space="0" w:color="FFFFFF"/>
        <w:left w:val="single" w:sz="8" w:space="0" w:color="FFFFFF"/>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15">
    <w:name w:val="xl315"/>
    <w:basedOn w:val="Normal"/>
    <w:rsid w:val="000155BE"/>
    <w:pPr>
      <w:pBdr>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16">
    <w:name w:val="xl316"/>
    <w:basedOn w:val="Normal"/>
    <w:rsid w:val="000155BE"/>
    <w:pPr>
      <w:pBdr>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17">
    <w:name w:val="xl317"/>
    <w:basedOn w:val="Normal"/>
    <w:rsid w:val="000155BE"/>
    <w:pPr>
      <w:pBdr>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18">
    <w:name w:val="xl318"/>
    <w:basedOn w:val="Normal"/>
    <w:rsid w:val="000155BE"/>
    <w:pPr>
      <w:pBdr>
        <w:top w:val="single" w:sz="12" w:space="0" w:color="FFFFFF"/>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319">
    <w:name w:val="xl319"/>
    <w:basedOn w:val="Normal"/>
    <w:rsid w:val="000155BE"/>
    <w:pPr>
      <w:pBdr>
        <w:top w:val="single" w:sz="12" w:space="0" w:color="FFFFFF"/>
        <w:bottom w:val="single" w:sz="8" w:space="0" w:color="FFFFFF"/>
        <w:right w:val="single" w:sz="4" w:space="0" w:color="auto"/>
      </w:pBdr>
      <w:spacing w:before="100" w:beforeAutospacing="1" w:after="100" w:afterAutospacing="1" w:line="240" w:lineRule="auto"/>
      <w:jc w:val="right"/>
    </w:pPr>
    <w:rPr>
      <w:rFonts w:cs="Arial"/>
      <w:sz w:val="2"/>
      <w:szCs w:val="2"/>
      <w:lang w:val="en-US"/>
    </w:rPr>
  </w:style>
  <w:style w:type="paragraph" w:customStyle="1" w:styleId="xl320">
    <w:name w:val="xl320"/>
    <w:basedOn w:val="Normal"/>
    <w:rsid w:val="000155BE"/>
    <w:pP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21">
    <w:name w:val="xl321"/>
    <w:basedOn w:val="Normal"/>
    <w:rsid w:val="000155BE"/>
    <w:pPr>
      <w:spacing w:before="100" w:beforeAutospacing="1" w:after="100" w:afterAutospacing="1" w:line="240" w:lineRule="auto"/>
      <w:jc w:val="center"/>
      <w:textAlignment w:val="center"/>
    </w:pPr>
    <w:rPr>
      <w:rFonts w:cs="Arial"/>
      <w:b/>
      <w:bCs/>
      <w:sz w:val="18"/>
      <w:szCs w:val="18"/>
      <w:lang w:val="en-US"/>
    </w:rPr>
  </w:style>
  <w:style w:type="paragraph" w:customStyle="1" w:styleId="xl322">
    <w:name w:val="xl322"/>
    <w:basedOn w:val="Normal"/>
    <w:rsid w:val="000155BE"/>
    <w:pPr>
      <w:spacing w:before="100" w:beforeAutospacing="1" w:after="100" w:afterAutospacing="1" w:line="240" w:lineRule="auto"/>
      <w:jc w:val="left"/>
    </w:pPr>
    <w:rPr>
      <w:rFonts w:ascii="Arial Narrow" w:hAnsi="Arial Narrow"/>
      <w:sz w:val="18"/>
      <w:szCs w:val="18"/>
      <w:lang w:val="en-US"/>
    </w:rPr>
  </w:style>
  <w:style w:type="paragraph" w:customStyle="1" w:styleId="xl323">
    <w:name w:val="xl323"/>
    <w:basedOn w:val="Normal"/>
    <w:rsid w:val="000155BE"/>
    <w:pPr>
      <w:pBdr>
        <w:top w:val="single" w:sz="12" w:space="0" w:color="FFFFFF"/>
        <w:left w:val="single" w:sz="8" w:space="0" w:color="16365C"/>
        <w:bottom w:val="single" w:sz="12" w:space="0" w:color="FFFFFF"/>
      </w:pBdr>
      <w:shd w:val="clear" w:color="000000" w:fill="C0504D"/>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24">
    <w:name w:val="xl324"/>
    <w:basedOn w:val="Normal"/>
    <w:rsid w:val="000155BE"/>
    <w:pPr>
      <w:pBdr>
        <w:top w:val="single" w:sz="12" w:space="0" w:color="FFFFFF"/>
        <w:bottom w:val="single" w:sz="12" w:space="0" w:color="FFFFFF"/>
      </w:pBdr>
      <w:shd w:val="clear" w:color="000000" w:fill="C0504D"/>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25">
    <w:name w:val="xl325"/>
    <w:basedOn w:val="Normal"/>
    <w:rsid w:val="000155BE"/>
    <w:pPr>
      <w:pBdr>
        <w:top w:val="single" w:sz="12" w:space="0" w:color="FFFFFF"/>
        <w:bottom w:val="single" w:sz="12" w:space="0" w:color="FFFFFF"/>
        <w:right w:val="single" w:sz="4" w:space="0" w:color="auto"/>
      </w:pBdr>
      <w:shd w:val="clear" w:color="000000" w:fill="C0504D"/>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26">
    <w:name w:val="xl326"/>
    <w:basedOn w:val="Normal"/>
    <w:rsid w:val="000155BE"/>
    <w:pPr>
      <w:pBdr>
        <w:top w:val="single" w:sz="8" w:space="0" w:color="FFFFFF"/>
        <w:left w:val="single" w:sz="8" w:space="0" w:color="16365C"/>
        <w:right w:val="single" w:sz="8" w:space="0" w:color="FFFFFF"/>
      </w:pBdr>
      <w:shd w:val="clear" w:color="000000" w:fill="F2DCDB"/>
      <w:spacing w:before="100" w:beforeAutospacing="1" w:after="100" w:afterAutospacing="1" w:line="240" w:lineRule="auto"/>
      <w:jc w:val="center"/>
      <w:textAlignment w:val="center"/>
    </w:pPr>
    <w:rPr>
      <w:rFonts w:cs="Arial"/>
      <w:i/>
      <w:iCs/>
      <w:sz w:val="18"/>
      <w:szCs w:val="18"/>
      <w:lang w:val="en-US"/>
    </w:rPr>
  </w:style>
  <w:style w:type="paragraph" w:customStyle="1" w:styleId="xl327">
    <w:name w:val="xl327"/>
    <w:basedOn w:val="Normal"/>
    <w:rsid w:val="000155BE"/>
    <w:pPr>
      <w:pBdr>
        <w:left w:val="single" w:sz="8" w:space="0" w:color="16365C"/>
        <w:right w:val="single" w:sz="8" w:space="0" w:color="FFFFFF"/>
      </w:pBdr>
      <w:shd w:val="clear" w:color="000000" w:fill="F2DCDB"/>
      <w:spacing w:before="100" w:beforeAutospacing="1" w:after="100" w:afterAutospacing="1" w:line="240" w:lineRule="auto"/>
      <w:jc w:val="center"/>
      <w:textAlignment w:val="center"/>
    </w:pPr>
    <w:rPr>
      <w:rFonts w:cs="Arial"/>
      <w:i/>
      <w:iCs/>
      <w:sz w:val="18"/>
      <w:szCs w:val="18"/>
      <w:lang w:val="en-US"/>
    </w:rPr>
  </w:style>
  <w:style w:type="paragraph" w:customStyle="1" w:styleId="xl328">
    <w:name w:val="xl328"/>
    <w:basedOn w:val="Normal"/>
    <w:rsid w:val="000155BE"/>
    <w:pPr>
      <w:pBdr>
        <w:left w:val="single" w:sz="8" w:space="0" w:color="16365C"/>
        <w:bottom w:val="single" w:sz="8" w:space="0" w:color="FFFFFF"/>
        <w:right w:val="single" w:sz="8" w:space="0" w:color="FFFFFF"/>
      </w:pBdr>
      <w:shd w:val="clear" w:color="000000" w:fill="F2DCDB"/>
      <w:spacing w:before="100" w:beforeAutospacing="1" w:after="100" w:afterAutospacing="1" w:line="240" w:lineRule="auto"/>
      <w:jc w:val="center"/>
      <w:textAlignment w:val="center"/>
    </w:pPr>
    <w:rPr>
      <w:rFonts w:cs="Arial"/>
      <w:i/>
      <w:iCs/>
      <w:sz w:val="18"/>
      <w:szCs w:val="18"/>
      <w:lang w:val="en-US"/>
    </w:rPr>
  </w:style>
  <w:style w:type="paragraph" w:customStyle="1" w:styleId="xl329">
    <w:name w:val="xl329"/>
    <w:basedOn w:val="Normal"/>
    <w:rsid w:val="000155BE"/>
    <w:pPr>
      <w:pBdr>
        <w:top w:val="single" w:sz="8" w:space="0" w:color="FFFFFF"/>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8"/>
      <w:szCs w:val="18"/>
      <w:lang w:val="en-US"/>
    </w:rPr>
  </w:style>
  <w:style w:type="paragraph" w:customStyle="1" w:styleId="xl330">
    <w:name w:val="xl330"/>
    <w:basedOn w:val="Normal"/>
    <w:rsid w:val="000155BE"/>
    <w:pPr>
      <w:pBdr>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8"/>
      <w:szCs w:val="18"/>
      <w:lang w:val="en-US"/>
    </w:rPr>
  </w:style>
  <w:style w:type="paragraph" w:customStyle="1" w:styleId="xl331">
    <w:name w:val="xl331"/>
    <w:basedOn w:val="Normal"/>
    <w:rsid w:val="000155BE"/>
    <w:pPr>
      <w:pBdr>
        <w:left w:val="single" w:sz="8" w:space="0" w:color="16365C"/>
        <w:bottom w:val="single" w:sz="8" w:space="0" w:color="FFFFFF"/>
        <w:right w:val="single" w:sz="8" w:space="0" w:color="FFFFFF"/>
      </w:pBdr>
      <w:shd w:val="clear" w:color="000000" w:fill="EEECE1"/>
      <w:spacing w:before="100" w:beforeAutospacing="1" w:after="100" w:afterAutospacing="1" w:line="240" w:lineRule="auto"/>
      <w:jc w:val="center"/>
      <w:textAlignment w:val="center"/>
    </w:pPr>
    <w:rPr>
      <w:rFonts w:cs="Arial"/>
      <w:sz w:val="18"/>
      <w:szCs w:val="18"/>
      <w:lang w:val="en-US"/>
    </w:rPr>
  </w:style>
  <w:style w:type="paragraph" w:customStyle="1" w:styleId="xl332">
    <w:name w:val="xl332"/>
    <w:basedOn w:val="Normal"/>
    <w:rsid w:val="000155BE"/>
    <w:pPr>
      <w:pBdr>
        <w:top w:val="single" w:sz="8" w:space="0" w:color="FFFFFF"/>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6"/>
      <w:szCs w:val="16"/>
      <w:lang w:val="en-US"/>
    </w:rPr>
  </w:style>
  <w:style w:type="paragraph" w:customStyle="1" w:styleId="xl333">
    <w:name w:val="xl333"/>
    <w:basedOn w:val="Normal"/>
    <w:rsid w:val="000155BE"/>
    <w:pPr>
      <w:pBdr>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6"/>
      <w:szCs w:val="16"/>
      <w:lang w:val="en-US"/>
    </w:rPr>
  </w:style>
  <w:style w:type="paragraph" w:customStyle="1" w:styleId="xl334">
    <w:name w:val="xl334"/>
    <w:basedOn w:val="Normal"/>
    <w:rsid w:val="000155BE"/>
    <w:pPr>
      <w:pBdr>
        <w:left w:val="single" w:sz="8" w:space="0" w:color="16365C"/>
        <w:bottom w:val="single" w:sz="8" w:space="0" w:color="FFFFFF"/>
        <w:right w:val="single" w:sz="8" w:space="0" w:color="FFFFFF"/>
      </w:pBdr>
      <w:shd w:val="clear" w:color="000000" w:fill="EEECE1"/>
      <w:spacing w:before="100" w:beforeAutospacing="1" w:after="100" w:afterAutospacing="1" w:line="240" w:lineRule="auto"/>
      <w:jc w:val="center"/>
      <w:textAlignment w:val="center"/>
    </w:pPr>
    <w:rPr>
      <w:rFonts w:cs="Arial"/>
      <w:sz w:val="16"/>
      <w:szCs w:val="16"/>
      <w:lang w:val="en-US"/>
    </w:rPr>
  </w:style>
  <w:style w:type="paragraph" w:customStyle="1" w:styleId="xl335">
    <w:name w:val="xl335"/>
    <w:basedOn w:val="Normal"/>
    <w:rsid w:val="000155BE"/>
    <w:pPr>
      <w:pBdr>
        <w:top w:val="single" w:sz="8" w:space="0" w:color="FFFFFF"/>
        <w:left w:val="single" w:sz="8" w:space="0" w:color="FFFFFF"/>
        <w:bottom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336">
    <w:name w:val="xl336"/>
    <w:basedOn w:val="Normal"/>
    <w:rsid w:val="000155BE"/>
    <w:pPr>
      <w:pBdr>
        <w:top w:val="single" w:sz="8" w:space="0" w:color="FFFFFF"/>
        <w:bottom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337">
    <w:name w:val="xl337"/>
    <w:basedOn w:val="Normal"/>
    <w:rsid w:val="000155BE"/>
    <w:pPr>
      <w:pBdr>
        <w:top w:val="single" w:sz="8" w:space="0" w:color="FFFFFF"/>
        <w:left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338">
    <w:name w:val="xl338"/>
    <w:basedOn w:val="Normal"/>
    <w:rsid w:val="000155BE"/>
    <w:pPr>
      <w:pBdr>
        <w:top w:val="single" w:sz="8" w:space="0" w:color="FFFFFF"/>
      </w:pBdr>
      <w:spacing w:before="100" w:beforeAutospacing="1" w:after="100" w:afterAutospacing="1" w:line="240" w:lineRule="auto"/>
      <w:jc w:val="right"/>
      <w:textAlignment w:val="center"/>
    </w:pPr>
    <w:rPr>
      <w:rFonts w:cs="Arial"/>
      <w:i/>
      <w:iCs/>
      <w:color w:val="FF0000"/>
      <w:sz w:val="18"/>
      <w:szCs w:val="18"/>
      <w:lang w:val="en-US"/>
    </w:rPr>
  </w:style>
  <w:style w:type="paragraph" w:customStyle="1" w:styleId="xl339">
    <w:name w:val="xl339"/>
    <w:basedOn w:val="Normal"/>
    <w:rsid w:val="000155BE"/>
    <w:pPr>
      <w:pBdr>
        <w:top w:val="single" w:sz="12" w:space="0" w:color="FFFFFF"/>
        <w:left w:val="single" w:sz="8" w:space="0" w:color="16365C"/>
        <w:right w:val="single" w:sz="12" w:space="0" w:color="FFFFFF"/>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340">
    <w:name w:val="xl340"/>
    <w:basedOn w:val="Normal"/>
    <w:rsid w:val="000155BE"/>
    <w:pPr>
      <w:pBdr>
        <w:left w:val="single" w:sz="8" w:space="0" w:color="16365C"/>
        <w:right w:val="single" w:sz="12" w:space="0" w:color="FFFFFF"/>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341">
    <w:name w:val="xl341"/>
    <w:basedOn w:val="Normal"/>
    <w:rsid w:val="000155BE"/>
    <w:pPr>
      <w:pBdr>
        <w:left w:val="single" w:sz="8" w:space="0" w:color="16365C"/>
        <w:bottom w:val="single" w:sz="12" w:space="0" w:color="FFFFFF"/>
        <w:right w:val="single" w:sz="12" w:space="0" w:color="FFFFFF"/>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342">
    <w:name w:val="xl342"/>
    <w:basedOn w:val="Normal"/>
    <w:rsid w:val="000155BE"/>
    <w:pPr>
      <w:pBdr>
        <w:left w:val="single" w:sz="8" w:space="0" w:color="16365C"/>
        <w:bottom w:val="single" w:sz="12" w:space="0" w:color="FFFFFF"/>
      </w:pBdr>
      <w:shd w:val="clear" w:color="000000" w:fill="948A54"/>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3">
    <w:name w:val="xl343"/>
    <w:basedOn w:val="Normal"/>
    <w:rsid w:val="000155BE"/>
    <w:pPr>
      <w:pBdr>
        <w:bottom w:val="single" w:sz="12" w:space="0" w:color="FFFFFF"/>
      </w:pBdr>
      <w:shd w:val="clear" w:color="000000" w:fill="948A54"/>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4">
    <w:name w:val="xl344"/>
    <w:basedOn w:val="Normal"/>
    <w:rsid w:val="000155BE"/>
    <w:pPr>
      <w:pBdr>
        <w:bottom w:val="single" w:sz="12" w:space="0" w:color="FFFFFF"/>
        <w:right w:val="single" w:sz="4" w:space="0" w:color="auto"/>
      </w:pBdr>
      <w:shd w:val="clear" w:color="000000" w:fill="948A54"/>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5">
    <w:name w:val="xl345"/>
    <w:basedOn w:val="Normal"/>
    <w:rsid w:val="000155BE"/>
    <w:pPr>
      <w:pBdr>
        <w:top w:val="single" w:sz="8" w:space="0" w:color="16365C"/>
        <w:left w:val="single" w:sz="12" w:space="0" w:color="FFFFFF"/>
        <w:bottom w:val="single" w:sz="12" w:space="0" w:color="FFFFFF"/>
        <w:right w:val="single" w:sz="12" w:space="0" w:color="FFFFFF"/>
      </w:pBdr>
      <w:shd w:val="clear" w:color="000000" w:fill="DAEEF3"/>
      <w:spacing w:before="100" w:beforeAutospacing="1" w:after="100" w:afterAutospacing="1" w:line="240" w:lineRule="auto"/>
      <w:jc w:val="center"/>
      <w:textAlignment w:val="center"/>
    </w:pPr>
    <w:rPr>
      <w:rFonts w:ascii="Arial Narrow" w:hAnsi="Arial Narrow"/>
      <w:b/>
      <w:bCs/>
      <w:sz w:val="18"/>
      <w:szCs w:val="18"/>
      <w:lang w:val="en-US"/>
    </w:rPr>
  </w:style>
  <w:style w:type="paragraph" w:customStyle="1" w:styleId="xl346">
    <w:name w:val="xl346"/>
    <w:basedOn w:val="Normal"/>
    <w:rsid w:val="000155BE"/>
    <w:pPr>
      <w:pBdr>
        <w:top w:val="single" w:sz="8" w:space="0" w:color="16365C"/>
        <w:left w:val="single" w:sz="12" w:space="0" w:color="FFFFFF"/>
        <w:bottom w:val="single" w:sz="12" w:space="0" w:color="FFFFFF"/>
        <w:right w:val="single" w:sz="12" w:space="0" w:color="FFFFFF"/>
      </w:pBdr>
      <w:shd w:val="clear" w:color="000000" w:fill="B7DEE8"/>
      <w:spacing w:before="100" w:beforeAutospacing="1" w:after="100" w:afterAutospacing="1" w:line="240" w:lineRule="auto"/>
      <w:jc w:val="center"/>
      <w:textAlignment w:val="center"/>
    </w:pPr>
    <w:rPr>
      <w:rFonts w:ascii="Arial Narrow" w:hAnsi="Arial Narrow"/>
      <w:b/>
      <w:bCs/>
      <w:color w:val="FFFFFF"/>
      <w:sz w:val="18"/>
      <w:szCs w:val="18"/>
      <w:lang w:val="en-US"/>
    </w:rPr>
  </w:style>
  <w:style w:type="paragraph" w:customStyle="1" w:styleId="xl347">
    <w:name w:val="xl347"/>
    <w:basedOn w:val="Normal"/>
    <w:rsid w:val="000155BE"/>
    <w:pPr>
      <w:pBdr>
        <w:left w:val="single" w:sz="8" w:space="0" w:color="16365C"/>
        <w:bottom w:val="single" w:sz="12" w:space="0" w:color="FFFFFF"/>
      </w:pBdr>
      <w:shd w:val="clear" w:color="000000" w:fill="9BBB59"/>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8">
    <w:name w:val="xl348"/>
    <w:basedOn w:val="Normal"/>
    <w:rsid w:val="000155BE"/>
    <w:pPr>
      <w:pBdr>
        <w:bottom w:val="single" w:sz="12" w:space="0" w:color="FFFFFF"/>
      </w:pBdr>
      <w:shd w:val="clear" w:color="000000" w:fill="9BBB59"/>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9">
    <w:name w:val="xl349"/>
    <w:basedOn w:val="Normal"/>
    <w:rsid w:val="000155BE"/>
    <w:pPr>
      <w:pBdr>
        <w:bottom w:val="single" w:sz="12" w:space="0" w:color="FFFFFF"/>
        <w:right w:val="single" w:sz="4" w:space="0" w:color="auto"/>
      </w:pBdr>
      <w:shd w:val="clear" w:color="000000" w:fill="9BBB59"/>
      <w:spacing w:before="100" w:beforeAutospacing="1" w:after="100" w:afterAutospacing="1" w:line="240" w:lineRule="auto"/>
      <w:jc w:val="left"/>
      <w:textAlignment w:val="center"/>
    </w:pPr>
    <w:rPr>
      <w:rFonts w:cs="Arial"/>
      <w:b/>
      <w:bCs/>
      <w:color w:val="FFFFFF"/>
      <w:sz w:val="18"/>
      <w:szCs w:val="18"/>
      <w:lang w:val="en-US"/>
    </w:rPr>
  </w:style>
  <w:style w:type="character" w:customStyle="1" w:styleId="rvts11">
    <w:name w:val="rvts11"/>
    <w:basedOn w:val="DefaultParagraphFont"/>
    <w:rsid w:val="000D7402"/>
  </w:style>
  <w:style w:type="paragraph" w:styleId="BodyText">
    <w:name w:val="Body Text"/>
    <w:basedOn w:val="Normal"/>
    <w:link w:val="BodyTextChar"/>
    <w:rsid w:val="009E6067"/>
    <w:pPr>
      <w:spacing w:before="0" w:line="240" w:lineRule="auto"/>
    </w:pPr>
    <w:rPr>
      <w:rFonts w:ascii="Times New Roman" w:hAnsi="Times New Roman"/>
      <w:bCs/>
      <w:sz w:val="24"/>
      <w:szCs w:val="24"/>
    </w:rPr>
  </w:style>
  <w:style w:type="character" w:customStyle="1" w:styleId="BodyTextChar">
    <w:name w:val="Body Text Char"/>
    <w:link w:val="BodyText"/>
    <w:rsid w:val="009E6067"/>
    <w:rPr>
      <w:bCs/>
      <w:noProof w:val="0"/>
      <w:sz w:val="24"/>
      <w:szCs w:val="24"/>
      <w:lang w:val="en-GB"/>
    </w:rPr>
  </w:style>
  <w:style w:type="character" w:customStyle="1" w:styleId="TitleChar">
    <w:name w:val="Title Char"/>
    <w:link w:val="Title"/>
    <w:rsid w:val="003D1613"/>
    <w:rPr>
      <w:rFonts w:ascii="Arial" w:hAnsi="Arial"/>
      <w:bCs/>
      <w:i/>
      <w:iCs/>
      <w:color w:val="FFFFFF"/>
      <w:kern w:val="28"/>
      <w:sz w:val="40"/>
      <w:szCs w:val="40"/>
      <w:lang w:val="en-GB" w:eastAsia="en-US"/>
    </w:rPr>
  </w:style>
  <w:style w:type="paragraph" w:styleId="NoSpacing">
    <w:name w:val="No Spacing"/>
    <w:uiPriority w:val="1"/>
    <w:qFormat/>
    <w:rsid w:val="00960804"/>
    <w:pPr>
      <w:jc w:val="both"/>
    </w:pPr>
    <w:rPr>
      <w:rFonts w:ascii="Arial" w:hAnsi="Arial"/>
      <w:sz w:val="21"/>
      <w:lang w:val="en-GB" w:eastAsia="en-US"/>
    </w:rPr>
  </w:style>
  <w:style w:type="character" w:customStyle="1" w:styleId="Heading6Char">
    <w:name w:val="Heading 6 Char"/>
    <w:link w:val="Heading6"/>
    <w:rsid w:val="00762C9B"/>
    <w:rPr>
      <w:rFonts w:ascii="Arial" w:hAnsi="Arial"/>
      <w:b/>
      <w:sz w:val="21"/>
      <w:lang w:val="en-GB" w:eastAsia="en-US"/>
    </w:rPr>
  </w:style>
  <w:style w:type="character" w:customStyle="1" w:styleId="Heading7Char">
    <w:name w:val="Heading 7 Char"/>
    <w:link w:val="Heading7"/>
    <w:rsid w:val="00762C9B"/>
    <w:rPr>
      <w:rFonts w:ascii="Arial" w:hAnsi="Arial"/>
      <w:b/>
      <w:sz w:val="21"/>
      <w:lang w:val="en-GB" w:eastAsia="en-US"/>
    </w:rPr>
  </w:style>
  <w:style w:type="character" w:customStyle="1" w:styleId="Heading8Char">
    <w:name w:val="Heading 8 Char"/>
    <w:link w:val="Heading8"/>
    <w:rsid w:val="00762C9B"/>
    <w:rPr>
      <w:rFonts w:ascii="Arial" w:hAnsi="Arial"/>
      <w:i/>
      <w:sz w:val="21"/>
      <w:lang w:val="en-GB" w:eastAsia="en-US"/>
    </w:rPr>
  </w:style>
  <w:style w:type="character" w:customStyle="1" w:styleId="Heading9Char">
    <w:name w:val="Heading 9 Char"/>
    <w:link w:val="Heading9"/>
    <w:rsid w:val="00762C9B"/>
    <w:rPr>
      <w:rFonts w:ascii="Arial" w:hAnsi="Arial"/>
      <w:b/>
      <w:i/>
      <w:sz w:val="18"/>
      <w:lang w:val="en-GB" w:eastAsia="en-US"/>
    </w:rPr>
  </w:style>
  <w:style w:type="character" w:customStyle="1" w:styleId="BalloonTextChar">
    <w:name w:val="Balloon Text Char"/>
    <w:link w:val="BalloonText"/>
    <w:uiPriority w:val="99"/>
    <w:semiHidden/>
    <w:rsid w:val="00762C9B"/>
    <w:rPr>
      <w:rFonts w:ascii="Tahoma" w:hAnsi="Tahoma" w:cs="Tahoma"/>
      <w:sz w:val="16"/>
      <w:szCs w:val="16"/>
      <w:lang w:val="en-US" w:eastAsia="ru-RU"/>
    </w:rPr>
  </w:style>
  <w:style w:type="character" w:customStyle="1" w:styleId="FooterChar">
    <w:name w:val="Footer Char"/>
    <w:link w:val="Footer"/>
    <w:uiPriority w:val="99"/>
    <w:rsid w:val="001165F4"/>
    <w:rPr>
      <w:rFonts w:ascii="Arial" w:hAnsi="Arial"/>
      <w:bCs/>
      <w:noProof/>
      <w:sz w:val="16"/>
      <w:szCs w:val="16"/>
      <w:lang w:val="en-GB" w:eastAsia="en-US"/>
    </w:rPr>
  </w:style>
  <w:style w:type="character" w:customStyle="1" w:styleId="EndnoteTextChar">
    <w:name w:val="Endnote Text Char"/>
    <w:link w:val="EndnoteText"/>
    <w:semiHidden/>
    <w:rsid w:val="00566D4C"/>
    <w:rPr>
      <w:rFonts w:ascii="Arial" w:hAnsi="Arial"/>
      <w:sz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1409">
      <w:bodyDiv w:val="1"/>
      <w:marLeft w:val="0"/>
      <w:marRight w:val="0"/>
      <w:marTop w:val="0"/>
      <w:marBottom w:val="0"/>
      <w:divBdr>
        <w:top w:val="none" w:sz="0" w:space="0" w:color="auto"/>
        <w:left w:val="none" w:sz="0" w:space="0" w:color="auto"/>
        <w:bottom w:val="none" w:sz="0" w:space="0" w:color="auto"/>
        <w:right w:val="none" w:sz="0" w:space="0" w:color="auto"/>
      </w:divBdr>
    </w:div>
    <w:div w:id="51541929">
      <w:bodyDiv w:val="1"/>
      <w:marLeft w:val="0"/>
      <w:marRight w:val="0"/>
      <w:marTop w:val="0"/>
      <w:marBottom w:val="0"/>
      <w:divBdr>
        <w:top w:val="none" w:sz="0" w:space="0" w:color="auto"/>
        <w:left w:val="none" w:sz="0" w:space="0" w:color="auto"/>
        <w:bottom w:val="none" w:sz="0" w:space="0" w:color="auto"/>
        <w:right w:val="none" w:sz="0" w:space="0" w:color="auto"/>
      </w:divBdr>
    </w:div>
    <w:div w:id="87115784">
      <w:bodyDiv w:val="1"/>
      <w:marLeft w:val="0"/>
      <w:marRight w:val="0"/>
      <w:marTop w:val="0"/>
      <w:marBottom w:val="0"/>
      <w:divBdr>
        <w:top w:val="none" w:sz="0" w:space="0" w:color="auto"/>
        <w:left w:val="none" w:sz="0" w:space="0" w:color="auto"/>
        <w:bottom w:val="none" w:sz="0" w:space="0" w:color="auto"/>
        <w:right w:val="none" w:sz="0" w:space="0" w:color="auto"/>
      </w:divBdr>
    </w:div>
    <w:div w:id="328217141">
      <w:bodyDiv w:val="1"/>
      <w:marLeft w:val="0"/>
      <w:marRight w:val="0"/>
      <w:marTop w:val="0"/>
      <w:marBottom w:val="0"/>
      <w:divBdr>
        <w:top w:val="none" w:sz="0" w:space="0" w:color="auto"/>
        <w:left w:val="none" w:sz="0" w:space="0" w:color="auto"/>
        <w:bottom w:val="none" w:sz="0" w:space="0" w:color="auto"/>
        <w:right w:val="none" w:sz="0" w:space="0" w:color="auto"/>
      </w:divBdr>
    </w:div>
    <w:div w:id="393162631">
      <w:bodyDiv w:val="1"/>
      <w:marLeft w:val="0"/>
      <w:marRight w:val="0"/>
      <w:marTop w:val="0"/>
      <w:marBottom w:val="0"/>
      <w:divBdr>
        <w:top w:val="none" w:sz="0" w:space="0" w:color="auto"/>
        <w:left w:val="none" w:sz="0" w:space="0" w:color="auto"/>
        <w:bottom w:val="none" w:sz="0" w:space="0" w:color="auto"/>
        <w:right w:val="none" w:sz="0" w:space="0" w:color="auto"/>
      </w:divBdr>
    </w:div>
    <w:div w:id="437721264">
      <w:bodyDiv w:val="1"/>
      <w:marLeft w:val="0"/>
      <w:marRight w:val="0"/>
      <w:marTop w:val="0"/>
      <w:marBottom w:val="0"/>
      <w:divBdr>
        <w:top w:val="none" w:sz="0" w:space="0" w:color="auto"/>
        <w:left w:val="none" w:sz="0" w:space="0" w:color="auto"/>
        <w:bottom w:val="none" w:sz="0" w:space="0" w:color="auto"/>
        <w:right w:val="none" w:sz="0" w:space="0" w:color="auto"/>
      </w:divBdr>
    </w:div>
    <w:div w:id="466631364">
      <w:bodyDiv w:val="1"/>
      <w:marLeft w:val="0"/>
      <w:marRight w:val="0"/>
      <w:marTop w:val="0"/>
      <w:marBottom w:val="0"/>
      <w:divBdr>
        <w:top w:val="none" w:sz="0" w:space="0" w:color="auto"/>
        <w:left w:val="none" w:sz="0" w:space="0" w:color="auto"/>
        <w:bottom w:val="none" w:sz="0" w:space="0" w:color="auto"/>
        <w:right w:val="none" w:sz="0" w:space="0" w:color="auto"/>
      </w:divBdr>
    </w:div>
    <w:div w:id="468862222">
      <w:bodyDiv w:val="1"/>
      <w:marLeft w:val="0"/>
      <w:marRight w:val="0"/>
      <w:marTop w:val="0"/>
      <w:marBottom w:val="0"/>
      <w:divBdr>
        <w:top w:val="none" w:sz="0" w:space="0" w:color="auto"/>
        <w:left w:val="none" w:sz="0" w:space="0" w:color="auto"/>
        <w:bottom w:val="none" w:sz="0" w:space="0" w:color="auto"/>
        <w:right w:val="none" w:sz="0" w:space="0" w:color="auto"/>
      </w:divBdr>
    </w:div>
    <w:div w:id="476069279">
      <w:bodyDiv w:val="1"/>
      <w:marLeft w:val="0"/>
      <w:marRight w:val="0"/>
      <w:marTop w:val="0"/>
      <w:marBottom w:val="0"/>
      <w:divBdr>
        <w:top w:val="none" w:sz="0" w:space="0" w:color="auto"/>
        <w:left w:val="none" w:sz="0" w:space="0" w:color="auto"/>
        <w:bottom w:val="none" w:sz="0" w:space="0" w:color="auto"/>
        <w:right w:val="none" w:sz="0" w:space="0" w:color="auto"/>
      </w:divBdr>
    </w:div>
    <w:div w:id="513498049">
      <w:bodyDiv w:val="1"/>
      <w:marLeft w:val="0"/>
      <w:marRight w:val="0"/>
      <w:marTop w:val="0"/>
      <w:marBottom w:val="0"/>
      <w:divBdr>
        <w:top w:val="none" w:sz="0" w:space="0" w:color="auto"/>
        <w:left w:val="none" w:sz="0" w:space="0" w:color="auto"/>
        <w:bottom w:val="none" w:sz="0" w:space="0" w:color="auto"/>
        <w:right w:val="none" w:sz="0" w:space="0" w:color="auto"/>
      </w:divBdr>
    </w:div>
    <w:div w:id="600379700">
      <w:bodyDiv w:val="1"/>
      <w:marLeft w:val="0"/>
      <w:marRight w:val="0"/>
      <w:marTop w:val="0"/>
      <w:marBottom w:val="0"/>
      <w:divBdr>
        <w:top w:val="none" w:sz="0" w:space="0" w:color="auto"/>
        <w:left w:val="none" w:sz="0" w:space="0" w:color="auto"/>
        <w:bottom w:val="none" w:sz="0" w:space="0" w:color="auto"/>
        <w:right w:val="none" w:sz="0" w:space="0" w:color="auto"/>
      </w:divBdr>
    </w:div>
    <w:div w:id="604193418">
      <w:bodyDiv w:val="1"/>
      <w:marLeft w:val="0"/>
      <w:marRight w:val="0"/>
      <w:marTop w:val="0"/>
      <w:marBottom w:val="0"/>
      <w:divBdr>
        <w:top w:val="none" w:sz="0" w:space="0" w:color="auto"/>
        <w:left w:val="none" w:sz="0" w:space="0" w:color="auto"/>
        <w:bottom w:val="none" w:sz="0" w:space="0" w:color="auto"/>
        <w:right w:val="none" w:sz="0" w:space="0" w:color="auto"/>
      </w:divBdr>
    </w:div>
    <w:div w:id="673411945">
      <w:bodyDiv w:val="1"/>
      <w:marLeft w:val="0"/>
      <w:marRight w:val="0"/>
      <w:marTop w:val="0"/>
      <w:marBottom w:val="0"/>
      <w:divBdr>
        <w:top w:val="none" w:sz="0" w:space="0" w:color="auto"/>
        <w:left w:val="none" w:sz="0" w:space="0" w:color="auto"/>
        <w:bottom w:val="none" w:sz="0" w:space="0" w:color="auto"/>
        <w:right w:val="none" w:sz="0" w:space="0" w:color="auto"/>
      </w:divBdr>
    </w:div>
    <w:div w:id="728698475">
      <w:bodyDiv w:val="1"/>
      <w:marLeft w:val="0"/>
      <w:marRight w:val="0"/>
      <w:marTop w:val="0"/>
      <w:marBottom w:val="0"/>
      <w:divBdr>
        <w:top w:val="none" w:sz="0" w:space="0" w:color="auto"/>
        <w:left w:val="none" w:sz="0" w:space="0" w:color="auto"/>
        <w:bottom w:val="none" w:sz="0" w:space="0" w:color="auto"/>
        <w:right w:val="none" w:sz="0" w:space="0" w:color="auto"/>
      </w:divBdr>
      <w:divsChild>
        <w:div w:id="1707556636">
          <w:marLeft w:val="0"/>
          <w:marRight w:val="0"/>
          <w:marTop w:val="0"/>
          <w:marBottom w:val="0"/>
          <w:divBdr>
            <w:top w:val="none" w:sz="0" w:space="0" w:color="auto"/>
            <w:left w:val="none" w:sz="0" w:space="0" w:color="auto"/>
            <w:bottom w:val="none" w:sz="0" w:space="0" w:color="auto"/>
            <w:right w:val="none" w:sz="0" w:space="0" w:color="auto"/>
          </w:divBdr>
          <w:divsChild>
            <w:div w:id="326640405">
              <w:marLeft w:val="0"/>
              <w:marRight w:val="0"/>
              <w:marTop w:val="0"/>
              <w:marBottom w:val="0"/>
              <w:divBdr>
                <w:top w:val="none" w:sz="0" w:space="0" w:color="auto"/>
                <w:left w:val="none" w:sz="0" w:space="0" w:color="auto"/>
                <w:bottom w:val="none" w:sz="0" w:space="0" w:color="auto"/>
                <w:right w:val="none" w:sz="0" w:space="0" w:color="auto"/>
              </w:divBdr>
              <w:divsChild>
                <w:div w:id="491412160">
                  <w:marLeft w:val="0"/>
                  <w:marRight w:val="0"/>
                  <w:marTop w:val="0"/>
                  <w:marBottom w:val="0"/>
                  <w:divBdr>
                    <w:top w:val="none" w:sz="0" w:space="0" w:color="auto"/>
                    <w:left w:val="none" w:sz="0" w:space="0" w:color="auto"/>
                    <w:bottom w:val="none" w:sz="0" w:space="0" w:color="auto"/>
                    <w:right w:val="none" w:sz="0" w:space="0" w:color="auto"/>
                  </w:divBdr>
                  <w:divsChild>
                    <w:div w:id="2145925805">
                      <w:marLeft w:val="0"/>
                      <w:marRight w:val="0"/>
                      <w:marTop w:val="0"/>
                      <w:marBottom w:val="0"/>
                      <w:divBdr>
                        <w:top w:val="none" w:sz="0" w:space="0" w:color="auto"/>
                        <w:left w:val="none" w:sz="0" w:space="0" w:color="auto"/>
                        <w:bottom w:val="none" w:sz="0" w:space="0" w:color="auto"/>
                        <w:right w:val="none" w:sz="0" w:space="0" w:color="auto"/>
                      </w:divBdr>
                      <w:divsChild>
                        <w:div w:id="1088886575">
                          <w:marLeft w:val="0"/>
                          <w:marRight w:val="0"/>
                          <w:marTop w:val="0"/>
                          <w:marBottom w:val="0"/>
                          <w:divBdr>
                            <w:top w:val="none" w:sz="0" w:space="0" w:color="auto"/>
                            <w:left w:val="none" w:sz="0" w:space="0" w:color="auto"/>
                            <w:bottom w:val="none" w:sz="0" w:space="0" w:color="auto"/>
                            <w:right w:val="none" w:sz="0" w:space="0" w:color="auto"/>
                          </w:divBdr>
                          <w:divsChild>
                            <w:div w:id="1618565558">
                              <w:marLeft w:val="0"/>
                              <w:marRight w:val="0"/>
                              <w:marTop w:val="0"/>
                              <w:marBottom w:val="0"/>
                              <w:divBdr>
                                <w:top w:val="none" w:sz="0" w:space="0" w:color="auto"/>
                                <w:left w:val="none" w:sz="0" w:space="0" w:color="auto"/>
                                <w:bottom w:val="none" w:sz="0" w:space="0" w:color="auto"/>
                                <w:right w:val="none" w:sz="0" w:space="0" w:color="auto"/>
                              </w:divBdr>
                              <w:divsChild>
                                <w:div w:id="940844978">
                                  <w:marLeft w:val="0"/>
                                  <w:marRight w:val="0"/>
                                  <w:marTop w:val="0"/>
                                  <w:marBottom w:val="0"/>
                                  <w:divBdr>
                                    <w:top w:val="none" w:sz="0" w:space="0" w:color="auto"/>
                                    <w:left w:val="none" w:sz="0" w:space="0" w:color="auto"/>
                                    <w:bottom w:val="none" w:sz="0" w:space="0" w:color="auto"/>
                                    <w:right w:val="none" w:sz="0" w:space="0" w:color="auto"/>
                                  </w:divBdr>
                                  <w:divsChild>
                                    <w:div w:id="7405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2062">
                  <w:marLeft w:val="0"/>
                  <w:marRight w:val="0"/>
                  <w:marTop w:val="0"/>
                  <w:marBottom w:val="0"/>
                  <w:divBdr>
                    <w:top w:val="none" w:sz="0" w:space="0" w:color="auto"/>
                    <w:left w:val="none" w:sz="0" w:space="0" w:color="auto"/>
                    <w:bottom w:val="none" w:sz="0" w:space="0" w:color="auto"/>
                    <w:right w:val="none" w:sz="0" w:space="0" w:color="auto"/>
                  </w:divBdr>
                  <w:divsChild>
                    <w:div w:id="1386755695">
                      <w:marLeft w:val="0"/>
                      <w:marRight w:val="0"/>
                      <w:marTop w:val="0"/>
                      <w:marBottom w:val="0"/>
                      <w:divBdr>
                        <w:top w:val="none" w:sz="0" w:space="0" w:color="auto"/>
                        <w:left w:val="none" w:sz="0" w:space="0" w:color="auto"/>
                        <w:bottom w:val="none" w:sz="0" w:space="0" w:color="auto"/>
                        <w:right w:val="none" w:sz="0" w:space="0" w:color="auto"/>
                      </w:divBdr>
                      <w:divsChild>
                        <w:div w:id="495656129">
                          <w:marLeft w:val="0"/>
                          <w:marRight w:val="0"/>
                          <w:marTop w:val="0"/>
                          <w:marBottom w:val="0"/>
                          <w:divBdr>
                            <w:top w:val="none" w:sz="0" w:space="0" w:color="auto"/>
                            <w:left w:val="none" w:sz="0" w:space="0" w:color="auto"/>
                            <w:bottom w:val="none" w:sz="0" w:space="0" w:color="auto"/>
                            <w:right w:val="none" w:sz="0" w:space="0" w:color="auto"/>
                          </w:divBdr>
                        </w:div>
                        <w:div w:id="851451235">
                          <w:marLeft w:val="0"/>
                          <w:marRight w:val="0"/>
                          <w:marTop w:val="0"/>
                          <w:marBottom w:val="0"/>
                          <w:divBdr>
                            <w:top w:val="single" w:sz="2" w:space="0" w:color="999999"/>
                            <w:left w:val="single" w:sz="4" w:space="3" w:color="CCCCCC"/>
                            <w:bottom w:val="single" w:sz="4" w:space="4" w:color="999999"/>
                            <w:right w:val="single" w:sz="4" w:space="0" w:color="999999"/>
                          </w:divBdr>
                        </w:div>
                        <w:div w:id="1002198329">
                          <w:marLeft w:val="0"/>
                          <w:marRight w:val="0"/>
                          <w:marTop w:val="0"/>
                          <w:marBottom w:val="0"/>
                          <w:divBdr>
                            <w:top w:val="single" w:sz="4" w:space="12" w:color="999999"/>
                            <w:left w:val="single" w:sz="4" w:space="12" w:color="999999"/>
                            <w:bottom w:val="single" w:sz="4" w:space="12" w:color="999999"/>
                            <w:right w:val="single" w:sz="4" w:space="12" w:color="999999"/>
                          </w:divBdr>
                          <w:divsChild>
                            <w:div w:id="572202448">
                              <w:marLeft w:val="0"/>
                              <w:marRight w:val="0"/>
                              <w:marTop w:val="0"/>
                              <w:marBottom w:val="0"/>
                              <w:divBdr>
                                <w:top w:val="none" w:sz="0" w:space="0" w:color="auto"/>
                                <w:left w:val="none" w:sz="0" w:space="0" w:color="auto"/>
                                <w:bottom w:val="none" w:sz="0" w:space="0" w:color="auto"/>
                                <w:right w:val="none" w:sz="0" w:space="0" w:color="auto"/>
                              </w:divBdr>
                            </w:div>
                          </w:divsChild>
                        </w:div>
                        <w:div w:id="1724062574">
                          <w:marLeft w:val="92"/>
                          <w:marRight w:val="0"/>
                          <w:marTop w:val="23"/>
                          <w:marBottom w:val="0"/>
                          <w:divBdr>
                            <w:top w:val="none" w:sz="0" w:space="0" w:color="auto"/>
                            <w:left w:val="none" w:sz="0" w:space="0" w:color="auto"/>
                            <w:bottom w:val="none" w:sz="0" w:space="0" w:color="auto"/>
                            <w:right w:val="none" w:sz="0" w:space="0" w:color="auto"/>
                          </w:divBdr>
                          <w:divsChild>
                            <w:div w:id="315382478">
                              <w:marLeft w:val="0"/>
                              <w:marRight w:val="0"/>
                              <w:marTop w:val="0"/>
                              <w:marBottom w:val="0"/>
                              <w:divBdr>
                                <w:top w:val="none" w:sz="0" w:space="0" w:color="auto"/>
                                <w:left w:val="none" w:sz="0" w:space="0" w:color="auto"/>
                                <w:bottom w:val="none" w:sz="0" w:space="0" w:color="auto"/>
                                <w:right w:val="none" w:sz="0" w:space="0" w:color="auto"/>
                              </w:divBdr>
                            </w:div>
                            <w:div w:id="569972623">
                              <w:marLeft w:val="0"/>
                              <w:marRight w:val="0"/>
                              <w:marTop w:val="0"/>
                              <w:marBottom w:val="0"/>
                              <w:divBdr>
                                <w:top w:val="none" w:sz="0" w:space="0" w:color="auto"/>
                                <w:left w:val="none" w:sz="0" w:space="0" w:color="auto"/>
                                <w:bottom w:val="none" w:sz="0" w:space="0" w:color="auto"/>
                                <w:right w:val="none" w:sz="0" w:space="0" w:color="auto"/>
                              </w:divBdr>
                            </w:div>
                          </w:divsChild>
                        </w:div>
                        <w:div w:id="1908412980">
                          <w:marLeft w:val="0"/>
                          <w:marRight w:val="0"/>
                          <w:marTop w:val="0"/>
                          <w:marBottom w:val="0"/>
                          <w:divBdr>
                            <w:top w:val="single" w:sz="2" w:space="3" w:color="999999"/>
                            <w:left w:val="single" w:sz="4" w:space="2" w:color="CCCCCC"/>
                            <w:bottom w:val="single" w:sz="4" w:space="3" w:color="999999"/>
                            <w:right w:val="single" w:sz="4" w:space="2" w:color="999999"/>
                          </w:divBdr>
                        </w:div>
                        <w:div w:id="19141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560790">
      <w:bodyDiv w:val="1"/>
      <w:marLeft w:val="0"/>
      <w:marRight w:val="0"/>
      <w:marTop w:val="0"/>
      <w:marBottom w:val="0"/>
      <w:divBdr>
        <w:top w:val="none" w:sz="0" w:space="0" w:color="auto"/>
        <w:left w:val="none" w:sz="0" w:space="0" w:color="auto"/>
        <w:bottom w:val="none" w:sz="0" w:space="0" w:color="auto"/>
        <w:right w:val="none" w:sz="0" w:space="0" w:color="auto"/>
      </w:divBdr>
    </w:div>
    <w:div w:id="836964275">
      <w:bodyDiv w:val="1"/>
      <w:marLeft w:val="0"/>
      <w:marRight w:val="0"/>
      <w:marTop w:val="0"/>
      <w:marBottom w:val="0"/>
      <w:divBdr>
        <w:top w:val="none" w:sz="0" w:space="0" w:color="auto"/>
        <w:left w:val="none" w:sz="0" w:space="0" w:color="auto"/>
        <w:bottom w:val="none" w:sz="0" w:space="0" w:color="auto"/>
        <w:right w:val="none" w:sz="0" w:space="0" w:color="auto"/>
      </w:divBdr>
    </w:div>
    <w:div w:id="963928549">
      <w:bodyDiv w:val="1"/>
      <w:marLeft w:val="0"/>
      <w:marRight w:val="0"/>
      <w:marTop w:val="0"/>
      <w:marBottom w:val="0"/>
      <w:divBdr>
        <w:top w:val="none" w:sz="0" w:space="0" w:color="auto"/>
        <w:left w:val="none" w:sz="0" w:space="0" w:color="auto"/>
        <w:bottom w:val="none" w:sz="0" w:space="0" w:color="auto"/>
        <w:right w:val="none" w:sz="0" w:space="0" w:color="auto"/>
      </w:divBdr>
    </w:div>
    <w:div w:id="976109786">
      <w:bodyDiv w:val="1"/>
      <w:marLeft w:val="0"/>
      <w:marRight w:val="0"/>
      <w:marTop w:val="0"/>
      <w:marBottom w:val="0"/>
      <w:divBdr>
        <w:top w:val="none" w:sz="0" w:space="0" w:color="auto"/>
        <w:left w:val="none" w:sz="0" w:space="0" w:color="auto"/>
        <w:bottom w:val="none" w:sz="0" w:space="0" w:color="auto"/>
        <w:right w:val="none" w:sz="0" w:space="0" w:color="auto"/>
      </w:divBdr>
      <w:divsChild>
        <w:div w:id="1352410329">
          <w:marLeft w:val="0"/>
          <w:marRight w:val="0"/>
          <w:marTop w:val="0"/>
          <w:marBottom w:val="0"/>
          <w:divBdr>
            <w:top w:val="none" w:sz="0" w:space="0" w:color="auto"/>
            <w:left w:val="none" w:sz="0" w:space="0" w:color="auto"/>
            <w:bottom w:val="none" w:sz="0" w:space="0" w:color="auto"/>
            <w:right w:val="none" w:sz="0" w:space="0" w:color="auto"/>
          </w:divBdr>
          <w:divsChild>
            <w:div w:id="1167940259">
              <w:marLeft w:val="0"/>
              <w:marRight w:val="0"/>
              <w:marTop w:val="0"/>
              <w:marBottom w:val="0"/>
              <w:divBdr>
                <w:top w:val="none" w:sz="0" w:space="0" w:color="auto"/>
                <w:left w:val="none" w:sz="0" w:space="0" w:color="auto"/>
                <w:bottom w:val="none" w:sz="0" w:space="0" w:color="auto"/>
                <w:right w:val="none" w:sz="0" w:space="0" w:color="auto"/>
              </w:divBdr>
              <w:divsChild>
                <w:div w:id="1608930408">
                  <w:marLeft w:val="0"/>
                  <w:marRight w:val="0"/>
                  <w:marTop w:val="280"/>
                  <w:marBottom w:val="280"/>
                  <w:divBdr>
                    <w:top w:val="none" w:sz="0" w:space="0" w:color="auto"/>
                    <w:left w:val="none" w:sz="0" w:space="0" w:color="auto"/>
                    <w:bottom w:val="none" w:sz="0" w:space="0" w:color="auto"/>
                    <w:right w:val="none" w:sz="0" w:space="0" w:color="auto"/>
                  </w:divBdr>
                  <w:divsChild>
                    <w:div w:id="235433717">
                      <w:marLeft w:val="0"/>
                      <w:marRight w:val="419"/>
                      <w:marTop w:val="0"/>
                      <w:marBottom w:val="0"/>
                      <w:divBdr>
                        <w:top w:val="none" w:sz="0" w:space="0" w:color="auto"/>
                        <w:left w:val="none" w:sz="0" w:space="0" w:color="auto"/>
                        <w:bottom w:val="none" w:sz="0" w:space="0" w:color="auto"/>
                        <w:right w:val="none" w:sz="0" w:space="0" w:color="auto"/>
                      </w:divBdr>
                      <w:divsChild>
                        <w:div w:id="1451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098636">
      <w:bodyDiv w:val="1"/>
      <w:marLeft w:val="0"/>
      <w:marRight w:val="0"/>
      <w:marTop w:val="0"/>
      <w:marBottom w:val="0"/>
      <w:divBdr>
        <w:top w:val="none" w:sz="0" w:space="0" w:color="auto"/>
        <w:left w:val="none" w:sz="0" w:space="0" w:color="auto"/>
        <w:bottom w:val="none" w:sz="0" w:space="0" w:color="auto"/>
        <w:right w:val="none" w:sz="0" w:space="0" w:color="auto"/>
      </w:divBdr>
    </w:div>
    <w:div w:id="1037510560">
      <w:bodyDiv w:val="1"/>
      <w:marLeft w:val="0"/>
      <w:marRight w:val="0"/>
      <w:marTop w:val="0"/>
      <w:marBottom w:val="0"/>
      <w:divBdr>
        <w:top w:val="none" w:sz="0" w:space="0" w:color="auto"/>
        <w:left w:val="none" w:sz="0" w:space="0" w:color="auto"/>
        <w:bottom w:val="none" w:sz="0" w:space="0" w:color="auto"/>
        <w:right w:val="none" w:sz="0" w:space="0" w:color="auto"/>
      </w:divBdr>
    </w:div>
    <w:div w:id="1073157979">
      <w:bodyDiv w:val="1"/>
      <w:marLeft w:val="0"/>
      <w:marRight w:val="0"/>
      <w:marTop w:val="0"/>
      <w:marBottom w:val="0"/>
      <w:divBdr>
        <w:top w:val="none" w:sz="0" w:space="0" w:color="auto"/>
        <w:left w:val="none" w:sz="0" w:space="0" w:color="auto"/>
        <w:bottom w:val="none" w:sz="0" w:space="0" w:color="auto"/>
        <w:right w:val="none" w:sz="0" w:space="0" w:color="auto"/>
      </w:divBdr>
    </w:div>
    <w:div w:id="1076901560">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sChild>
        <w:div w:id="1999461487">
          <w:marLeft w:val="0"/>
          <w:marRight w:val="0"/>
          <w:marTop w:val="0"/>
          <w:marBottom w:val="0"/>
          <w:divBdr>
            <w:top w:val="none" w:sz="0" w:space="0" w:color="auto"/>
            <w:left w:val="none" w:sz="0" w:space="0" w:color="auto"/>
            <w:bottom w:val="none" w:sz="0" w:space="0" w:color="auto"/>
            <w:right w:val="none" w:sz="0" w:space="0" w:color="auto"/>
          </w:divBdr>
          <w:divsChild>
            <w:div w:id="771508295">
              <w:marLeft w:val="0"/>
              <w:marRight w:val="0"/>
              <w:marTop w:val="0"/>
              <w:marBottom w:val="0"/>
              <w:divBdr>
                <w:top w:val="none" w:sz="0" w:space="0" w:color="auto"/>
                <w:left w:val="none" w:sz="0" w:space="0" w:color="auto"/>
                <w:bottom w:val="none" w:sz="0" w:space="0" w:color="auto"/>
                <w:right w:val="none" w:sz="0" w:space="0" w:color="auto"/>
              </w:divBdr>
              <w:divsChild>
                <w:div w:id="122385961">
                  <w:marLeft w:val="0"/>
                  <w:marRight w:val="0"/>
                  <w:marTop w:val="0"/>
                  <w:marBottom w:val="0"/>
                  <w:divBdr>
                    <w:top w:val="none" w:sz="0" w:space="0" w:color="auto"/>
                    <w:left w:val="none" w:sz="0" w:space="0" w:color="auto"/>
                    <w:bottom w:val="none" w:sz="0" w:space="0" w:color="auto"/>
                    <w:right w:val="none" w:sz="0" w:space="0" w:color="auto"/>
                  </w:divBdr>
                  <w:divsChild>
                    <w:div w:id="209271839">
                      <w:marLeft w:val="0"/>
                      <w:marRight w:val="0"/>
                      <w:marTop w:val="0"/>
                      <w:marBottom w:val="0"/>
                      <w:divBdr>
                        <w:top w:val="none" w:sz="0" w:space="0" w:color="auto"/>
                        <w:left w:val="none" w:sz="0" w:space="0" w:color="auto"/>
                        <w:bottom w:val="none" w:sz="0" w:space="0" w:color="auto"/>
                        <w:right w:val="none" w:sz="0" w:space="0" w:color="auto"/>
                      </w:divBdr>
                      <w:divsChild>
                        <w:div w:id="1992831000">
                          <w:marLeft w:val="0"/>
                          <w:marRight w:val="0"/>
                          <w:marTop w:val="0"/>
                          <w:marBottom w:val="0"/>
                          <w:divBdr>
                            <w:top w:val="none" w:sz="0" w:space="0" w:color="auto"/>
                            <w:left w:val="none" w:sz="0" w:space="0" w:color="auto"/>
                            <w:bottom w:val="none" w:sz="0" w:space="0" w:color="auto"/>
                            <w:right w:val="none" w:sz="0" w:space="0" w:color="auto"/>
                          </w:divBdr>
                          <w:divsChild>
                            <w:div w:id="310646480">
                              <w:marLeft w:val="0"/>
                              <w:marRight w:val="0"/>
                              <w:marTop w:val="0"/>
                              <w:marBottom w:val="0"/>
                              <w:divBdr>
                                <w:top w:val="none" w:sz="0" w:space="0" w:color="auto"/>
                                <w:left w:val="none" w:sz="0" w:space="0" w:color="auto"/>
                                <w:bottom w:val="none" w:sz="0" w:space="0" w:color="auto"/>
                                <w:right w:val="none" w:sz="0" w:space="0" w:color="auto"/>
                              </w:divBdr>
                            </w:div>
                            <w:div w:id="1072505918">
                              <w:marLeft w:val="0"/>
                              <w:marRight w:val="0"/>
                              <w:marTop w:val="0"/>
                              <w:marBottom w:val="0"/>
                              <w:divBdr>
                                <w:top w:val="none" w:sz="0" w:space="0" w:color="auto"/>
                                <w:left w:val="none" w:sz="0" w:space="0" w:color="auto"/>
                                <w:bottom w:val="none" w:sz="0" w:space="0" w:color="auto"/>
                                <w:right w:val="none" w:sz="0" w:space="0" w:color="auto"/>
                              </w:divBdr>
                              <w:divsChild>
                                <w:div w:id="1704860102">
                                  <w:marLeft w:val="0"/>
                                  <w:marRight w:val="0"/>
                                  <w:marTop w:val="0"/>
                                  <w:marBottom w:val="0"/>
                                  <w:divBdr>
                                    <w:top w:val="none" w:sz="0" w:space="0" w:color="auto"/>
                                    <w:left w:val="none" w:sz="0" w:space="0" w:color="auto"/>
                                    <w:bottom w:val="none" w:sz="0" w:space="0" w:color="auto"/>
                                    <w:right w:val="none" w:sz="0" w:space="0" w:color="auto"/>
                                  </w:divBdr>
                                  <w:divsChild>
                                    <w:div w:id="9084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338367">
                  <w:marLeft w:val="0"/>
                  <w:marRight w:val="0"/>
                  <w:marTop w:val="0"/>
                  <w:marBottom w:val="0"/>
                  <w:divBdr>
                    <w:top w:val="none" w:sz="0" w:space="0" w:color="auto"/>
                    <w:left w:val="none" w:sz="0" w:space="0" w:color="auto"/>
                    <w:bottom w:val="none" w:sz="0" w:space="0" w:color="auto"/>
                    <w:right w:val="none" w:sz="0" w:space="0" w:color="auto"/>
                  </w:divBdr>
                  <w:divsChild>
                    <w:div w:id="621349693">
                      <w:marLeft w:val="0"/>
                      <w:marRight w:val="0"/>
                      <w:marTop w:val="0"/>
                      <w:marBottom w:val="0"/>
                      <w:divBdr>
                        <w:top w:val="none" w:sz="0" w:space="0" w:color="auto"/>
                        <w:left w:val="none" w:sz="0" w:space="0" w:color="auto"/>
                        <w:bottom w:val="none" w:sz="0" w:space="0" w:color="auto"/>
                        <w:right w:val="none" w:sz="0" w:space="0" w:color="auto"/>
                      </w:divBdr>
                      <w:divsChild>
                        <w:div w:id="68239857">
                          <w:marLeft w:val="0"/>
                          <w:marRight w:val="0"/>
                          <w:marTop w:val="0"/>
                          <w:marBottom w:val="0"/>
                          <w:divBdr>
                            <w:top w:val="single" w:sz="2" w:space="0" w:color="999999"/>
                            <w:left w:val="single" w:sz="6" w:space="5" w:color="CCCCCC"/>
                            <w:bottom w:val="single" w:sz="6" w:space="5" w:color="999999"/>
                            <w:right w:val="single" w:sz="6" w:space="0" w:color="999999"/>
                          </w:divBdr>
                        </w:div>
                        <w:div w:id="118499754">
                          <w:marLeft w:val="0"/>
                          <w:marRight w:val="0"/>
                          <w:marTop w:val="0"/>
                          <w:marBottom w:val="0"/>
                          <w:divBdr>
                            <w:top w:val="none" w:sz="0" w:space="0" w:color="auto"/>
                            <w:left w:val="none" w:sz="0" w:space="0" w:color="auto"/>
                            <w:bottom w:val="none" w:sz="0" w:space="0" w:color="auto"/>
                            <w:right w:val="none" w:sz="0" w:space="0" w:color="auto"/>
                          </w:divBdr>
                        </w:div>
                        <w:div w:id="190919958">
                          <w:marLeft w:val="120"/>
                          <w:marRight w:val="0"/>
                          <w:marTop w:val="30"/>
                          <w:marBottom w:val="0"/>
                          <w:divBdr>
                            <w:top w:val="none" w:sz="0" w:space="0" w:color="auto"/>
                            <w:left w:val="none" w:sz="0" w:space="0" w:color="auto"/>
                            <w:bottom w:val="none" w:sz="0" w:space="0" w:color="auto"/>
                            <w:right w:val="none" w:sz="0" w:space="0" w:color="auto"/>
                          </w:divBdr>
                          <w:divsChild>
                            <w:div w:id="822889831">
                              <w:marLeft w:val="0"/>
                              <w:marRight w:val="0"/>
                              <w:marTop w:val="0"/>
                              <w:marBottom w:val="0"/>
                              <w:divBdr>
                                <w:top w:val="none" w:sz="0" w:space="0" w:color="auto"/>
                                <w:left w:val="none" w:sz="0" w:space="0" w:color="auto"/>
                                <w:bottom w:val="none" w:sz="0" w:space="0" w:color="auto"/>
                                <w:right w:val="none" w:sz="0" w:space="0" w:color="auto"/>
                              </w:divBdr>
                            </w:div>
                            <w:div w:id="1688098510">
                              <w:marLeft w:val="0"/>
                              <w:marRight w:val="0"/>
                              <w:marTop w:val="0"/>
                              <w:marBottom w:val="0"/>
                              <w:divBdr>
                                <w:top w:val="none" w:sz="0" w:space="0" w:color="auto"/>
                                <w:left w:val="none" w:sz="0" w:space="0" w:color="auto"/>
                                <w:bottom w:val="none" w:sz="0" w:space="0" w:color="auto"/>
                                <w:right w:val="none" w:sz="0" w:space="0" w:color="auto"/>
                              </w:divBdr>
                            </w:div>
                          </w:divsChild>
                        </w:div>
                        <w:div w:id="1463376799">
                          <w:marLeft w:val="0"/>
                          <w:marRight w:val="0"/>
                          <w:marTop w:val="0"/>
                          <w:marBottom w:val="0"/>
                          <w:divBdr>
                            <w:top w:val="single" w:sz="2" w:space="4" w:color="999999"/>
                            <w:left w:val="single" w:sz="6" w:space="2" w:color="CCCCCC"/>
                            <w:bottom w:val="single" w:sz="6" w:space="4" w:color="999999"/>
                            <w:right w:val="single" w:sz="6" w:space="2" w:color="999999"/>
                          </w:divBdr>
                        </w:div>
                        <w:div w:id="1766611867">
                          <w:marLeft w:val="0"/>
                          <w:marRight w:val="0"/>
                          <w:marTop w:val="0"/>
                          <w:marBottom w:val="0"/>
                          <w:divBdr>
                            <w:top w:val="single" w:sz="6" w:space="12" w:color="999999"/>
                            <w:left w:val="single" w:sz="6" w:space="12" w:color="999999"/>
                            <w:bottom w:val="single" w:sz="6" w:space="12" w:color="999999"/>
                            <w:right w:val="single" w:sz="6" w:space="12" w:color="999999"/>
                          </w:divBdr>
                          <w:divsChild>
                            <w:div w:id="329869225">
                              <w:marLeft w:val="0"/>
                              <w:marRight w:val="0"/>
                              <w:marTop w:val="0"/>
                              <w:marBottom w:val="0"/>
                              <w:divBdr>
                                <w:top w:val="none" w:sz="0" w:space="0" w:color="auto"/>
                                <w:left w:val="none" w:sz="0" w:space="0" w:color="auto"/>
                                <w:bottom w:val="none" w:sz="0" w:space="0" w:color="auto"/>
                                <w:right w:val="none" w:sz="0" w:space="0" w:color="auto"/>
                              </w:divBdr>
                            </w:div>
                          </w:divsChild>
                        </w:div>
                        <w:div w:id="20372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6691">
      <w:bodyDiv w:val="1"/>
      <w:marLeft w:val="0"/>
      <w:marRight w:val="0"/>
      <w:marTop w:val="0"/>
      <w:marBottom w:val="0"/>
      <w:divBdr>
        <w:top w:val="none" w:sz="0" w:space="0" w:color="auto"/>
        <w:left w:val="none" w:sz="0" w:space="0" w:color="auto"/>
        <w:bottom w:val="none" w:sz="0" w:space="0" w:color="auto"/>
        <w:right w:val="none" w:sz="0" w:space="0" w:color="auto"/>
      </w:divBdr>
    </w:div>
    <w:div w:id="1145780878">
      <w:bodyDiv w:val="1"/>
      <w:marLeft w:val="0"/>
      <w:marRight w:val="0"/>
      <w:marTop w:val="0"/>
      <w:marBottom w:val="0"/>
      <w:divBdr>
        <w:top w:val="none" w:sz="0" w:space="0" w:color="auto"/>
        <w:left w:val="none" w:sz="0" w:space="0" w:color="auto"/>
        <w:bottom w:val="none" w:sz="0" w:space="0" w:color="auto"/>
        <w:right w:val="none" w:sz="0" w:space="0" w:color="auto"/>
      </w:divBdr>
    </w:div>
    <w:div w:id="1161582334">
      <w:bodyDiv w:val="1"/>
      <w:marLeft w:val="0"/>
      <w:marRight w:val="0"/>
      <w:marTop w:val="0"/>
      <w:marBottom w:val="0"/>
      <w:divBdr>
        <w:top w:val="none" w:sz="0" w:space="0" w:color="auto"/>
        <w:left w:val="none" w:sz="0" w:space="0" w:color="auto"/>
        <w:bottom w:val="none" w:sz="0" w:space="0" w:color="auto"/>
        <w:right w:val="none" w:sz="0" w:space="0" w:color="auto"/>
      </w:divBdr>
    </w:div>
    <w:div w:id="1214776704">
      <w:bodyDiv w:val="1"/>
      <w:marLeft w:val="0"/>
      <w:marRight w:val="0"/>
      <w:marTop w:val="0"/>
      <w:marBottom w:val="0"/>
      <w:divBdr>
        <w:top w:val="none" w:sz="0" w:space="0" w:color="auto"/>
        <w:left w:val="none" w:sz="0" w:space="0" w:color="auto"/>
        <w:bottom w:val="none" w:sz="0" w:space="0" w:color="auto"/>
        <w:right w:val="none" w:sz="0" w:space="0" w:color="auto"/>
      </w:divBdr>
    </w:div>
    <w:div w:id="1229800071">
      <w:bodyDiv w:val="1"/>
      <w:marLeft w:val="0"/>
      <w:marRight w:val="0"/>
      <w:marTop w:val="0"/>
      <w:marBottom w:val="0"/>
      <w:divBdr>
        <w:top w:val="none" w:sz="0" w:space="0" w:color="auto"/>
        <w:left w:val="none" w:sz="0" w:space="0" w:color="auto"/>
        <w:bottom w:val="none" w:sz="0" w:space="0" w:color="auto"/>
        <w:right w:val="none" w:sz="0" w:space="0" w:color="auto"/>
      </w:divBdr>
    </w:div>
    <w:div w:id="1298416007">
      <w:bodyDiv w:val="1"/>
      <w:marLeft w:val="0"/>
      <w:marRight w:val="0"/>
      <w:marTop w:val="0"/>
      <w:marBottom w:val="0"/>
      <w:divBdr>
        <w:top w:val="none" w:sz="0" w:space="0" w:color="auto"/>
        <w:left w:val="none" w:sz="0" w:space="0" w:color="auto"/>
        <w:bottom w:val="none" w:sz="0" w:space="0" w:color="auto"/>
        <w:right w:val="none" w:sz="0" w:space="0" w:color="auto"/>
      </w:divBdr>
    </w:div>
    <w:div w:id="1372148199">
      <w:bodyDiv w:val="1"/>
      <w:marLeft w:val="0"/>
      <w:marRight w:val="0"/>
      <w:marTop w:val="0"/>
      <w:marBottom w:val="0"/>
      <w:divBdr>
        <w:top w:val="none" w:sz="0" w:space="0" w:color="auto"/>
        <w:left w:val="none" w:sz="0" w:space="0" w:color="auto"/>
        <w:bottom w:val="none" w:sz="0" w:space="0" w:color="auto"/>
        <w:right w:val="none" w:sz="0" w:space="0" w:color="auto"/>
      </w:divBdr>
    </w:div>
    <w:div w:id="1404330940">
      <w:bodyDiv w:val="1"/>
      <w:marLeft w:val="0"/>
      <w:marRight w:val="0"/>
      <w:marTop w:val="0"/>
      <w:marBottom w:val="0"/>
      <w:divBdr>
        <w:top w:val="none" w:sz="0" w:space="0" w:color="auto"/>
        <w:left w:val="none" w:sz="0" w:space="0" w:color="auto"/>
        <w:bottom w:val="none" w:sz="0" w:space="0" w:color="auto"/>
        <w:right w:val="none" w:sz="0" w:space="0" w:color="auto"/>
      </w:divBdr>
    </w:div>
    <w:div w:id="1562861395">
      <w:bodyDiv w:val="1"/>
      <w:marLeft w:val="0"/>
      <w:marRight w:val="0"/>
      <w:marTop w:val="188"/>
      <w:marBottom w:val="188"/>
      <w:divBdr>
        <w:top w:val="none" w:sz="0" w:space="0" w:color="auto"/>
        <w:left w:val="none" w:sz="0" w:space="0" w:color="auto"/>
        <w:bottom w:val="none" w:sz="0" w:space="0" w:color="auto"/>
        <w:right w:val="none" w:sz="0" w:space="0" w:color="auto"/>
      </w:divBdr>
      <w:divsChild>
        <w:div w:id="1448694662">
          <w:marLeft w:val="0"/>
          <w:marRight w:val="0"/>
          <w:marTop w:val="0"/>
          <w:marBottom w:val="0"/>
          <w:divBdr>
            <w:top w:val="none" w:sz="0" w:space="0" w:color="auto"/>
            <w:left w:val="none" w:sz="0" w:space="0" w:color="auto"/>
            <w:bottom w:val="none" w:sz="0" w:space="0" w:color="auto"/>
            <w:right w:val="none" w:sz="0" w:space="0" w:color="auto"/>
          </w:divBdr>
          <w:divsChild>
            <w:div w:id="1143544786">
              <w:marLeft w:val="0"/>
              <w:marRight w:val="0"/>
              <w:marTop w:val="0"/>
              <w:marBottom w:val="0"/>
              <w:divBdr>
                <w:top w:val="single" w:sz="4" w:space="0" w:color="1B3F94"/>
                <w:left w:val="single" w:sz="4" w:space="0" w:color="1B3F94"/>
                <w:bottom w:val="single" w:sz="4" w:space="0" w:color="1B3F94"/>
                <w:right w:val="single" w:sz="4" w:space="0" w:color="1B3F94"/>
              </w:divBdr>
              <w:divsChild>
                <w:div w:id="535702199">
                  <w:marLeft w:val="0"/>
                  <w:marRight w:val="0"/>
                  <w:marTop w:val="0"/>
                  <w:marBottom w:val="0"/>
                  <w:divBdr>
                    <w:top w:val="none" w:sz="0" w:space="0" w:color="auto"/>
                    <w:left w:val="none" w:sz="0" w:space="0" w:color="auto"/>
                    <w:bottom w:val="none" w:sz="0" w:space="0" w:color="auto"/>
                    <w:right w:val="none" w:sz="0" w:space="0" w:color="auto"/>
                  </w:divBdr>
                  <w:divsChild>
                    <w:div w:id="8488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985551">
      <w:bodyDiv w:val="1"/>
      <w:marLeft w:val="0"/>
      <w:marRight w:val="0"/>
      <w:marTop w:val="0"/>
      <w:marBottom w:val="0"/>
      <w:divBdr>
        <w:top w:val="none" w:sz="0" w:space="0" w:color="auto"/>
        <w:left w:val="none" w:sz="0" w:space="0" w:color="auto"/>
        <w:bottom w:val="none" w:sz="0" w:space="0" w:color="auto"/>
        <w:right w:val="none" w:sz="0" w:space="0" w:color="auto"/>
      </w:divBdr>
    </w:div>
    <w:div w:id="1640763060">
      <w:bodyDiv w:val="1"/>
      <w:marLeft w:val="0"/>
      <w:marRight w:val="0"/>
      <w:marTop w:val="0"/>
      <w:marBottom w:val="0"/>
      <w:divBdr>
        <w:top w:val="none" w:sz="0" w:space="0" w:color="auto"/>
        <w:left w:val="none" w:sz="0" w:space="0" w:color="auto"/>
        <w:bottom w:val="none" w:sz="0" w:space="0" w:color="auto"/>
        <w:right w:val="none" w:sz="0" w:space="0" w:color="auto"/>
      </w:divBdr>
    </w:div>
    <w:div w:id="1659963379">
      <w:bodyDiv w:val="1"/>
      <w:marLeft w:val="0"/>
      <w:marRight w:val="0"/>
      <w:marTop w:val="0"/>
      <w:marBottom w:val="0"/>
      <w:divBdr>
        <w:top w:val="none" w:sz="0" w:space="0" w:color="auto"/>
        <w:left w:val="none" w:sz="0" w:space="0" w:color="auto"/>
        <w:bottom w:val="none" w:sz="0" w:space="0" w:color="auto"/>
        <w:right w:val="none" w:sz="0" w:space="0" w:color="auto"/>
      </w:divBdr>
    </w:div>
    <w:div w:id="1818719129">
      <w:bodyDiv w:val="1"/>
      <w:marLeft w:val="0"/>
      <w:marRight w:val="0"/>
      <w:marTop w:val="0"/>
      <w:marBottom w:val="0"/>
      <w:divBdr>
        <w:top w:val="none" w:sz="0" w:space="0" w:color="auto"/>
        <w:left w:val="none" w:sz="0" w:space="0" w:color="auto"/>
        <w:bottom w:val="none" w:sz="0" w:space="0" w:color="auto"/>
        <w:right w:val="none" w:sz="0" w:space="0" w:color="auto"/>
      </w:divBdr>
    </w:div>
    <w:div w:id="1830750823">
      <w:bodyDiv w:val="1"/>
      <w:marLeft w:val="0"/>
      <w:marRight w:val="0"/>
      <w:marTop w:val="0"/>
      <w:marBottom w:val="0"/>
      <w:divBdr>
        <w:top w:val="none" w:sz="0" w:space="0" w:color="auto"/>
        <w:left w:val="none" w:sz="0" w:space="0" w:color="auto"/>
        <w:bottom w:val="none" w:sz="0" w:space="0" w:color="auto"/>
        <w:right w:val="none" w:sz="0" w:space="0" w:color="auto"/>
      </w:divBdr>
    </w:div>
    <w:div w:id="1838425928">
      <w:bodyDiv w:val="1"/>
      <w:marLeft w:val="0"/>
      <w:marRight w:val="0"/>
      <w:marTop w:val="0"/>
      <w:marBottom w:val="0"/>
      <w:divBdr>
        <w:top w:val="none" w:sz="0" w:space="0" w:color="auto"/>
        <w:left w:val="none" w:sz="0" w:space="0" w:color="auto"/>
        <w:bottom w:val="none" w:sz="0" w:space="0" w:color="auto"/>
        <w:right w:val="none" w:sz="0" w:space="0" w:color="auto"/>
      </w:divBdr>
    </w:div>
    <w:div w:id="1845823587">
      <w:bodyDiv w:val="1"/>
      <w:marLeft w:val="0"/>
      <w:marRight w:val="0"/>
      <w:marTop w:val="0"/>
      <w:marBottom w:val="0"/>
      <w:divBdr>
        <w:top w:val="none" w:sz="0" w:space="0" w:color="auto"/>
        <w:left w:val="none" w:sz="0" w:space="0" w:color="auto"/>
        <w:bottom w:val="none" w:sz="0" w:space="0" w:color="auto"/>
        <w:right w:val="none" w:sz="0" w:space="0" w:color="auto"/>
      </w:divBdr>
    </w:div>
    <w:div w:id="1872837866">
      <w:bodyDiv w:val="1"/>
      <w:marLeft w:val="25"/>
      <w:marRight w:val="25"/>
      <w:marTop w:val="0"/>
      <w:marBottom w:val="0"/>
      <w:divBdr>
        <w:top w:val="none" w:sz="0" w:space="0" w:color="auto"/>
        <w:left w:val="none" w:sz="0" w:space="0" w:color="auto"/>
        <w:bottom w:val="none" w:sz="0" w:space="0" w:color="auto"/>
        <w:right w:val="none" w:sz="0" w:space="0" w:color="auto"/>
      </w:divBdr>
      <w:divsChild>
        <w:div w:id="1081609733">
          <w:marLeft w:val="0"/>
          <w:marRight w:val="0"/>
          <w:marTop w:val="0"/>
          <w:marBottom w:val="0"/>
          <w:divBdr>
            <w:top w:val="none" w:sz="0" w:space="0" w:color="auto"/>
            <w:left w:val="none" w:sz="0" w:space="0" w:color="auto"/>
            <w:bottom w:val="none" w:sz="0" w:space="0" w:color="auto"/>
            <w:right w:val="none" w:sz="0" w:space="0" w:color="auto"/>
          </w:divBdr>
          <w:divsChild>
            <w:div w:id="778647641">
              <w:marLeft w:val="0"/>
              <w:marRight w:val="0"/>
              <w:marTop w:val="0"/>
              <w:marBottom w:val="0"/>
              <w:divBdr>
                <w:top w:val="none" w:sz="0" w:space="0" w:color="auto"/>
                <w:left w:val="none" w:sz="0" w:space="0" w:color="auto"/>
                <w:bottom w:val="none" w:sz="0" w:space="0" w:color="auto"/>
                <w:right w:val="none" w:sz="0" w:space="0" w:color="auto"/>
              </w:divBdr>
              <w:divsChild>
                <w:div w:id="1516067737">
                  <w:marLeft w:val="150"/>
                  <w:marRight w:val="0"/>
                  <w:marTop w:val="0"/>
                  <w:marBottom w:val="0"/>
                  <w:divBdr>
                    <w:top w:val="none" w:sz="0" w:space="0" w:color="auto"/>
                    <w:left w:val="none" w:sz="0" w:space="0" w:color="auto"/>
                    <w:bottom w:val="none" w:sz="0" w:space="0" w:color="auto"/>
                    <w:right w:val="none" w:sz="0" w:space="0" w:color="auto"/>
                  </w:divBdr>
                  <w:divsChild>
                    <w:div w:id="110087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842259">
      <w:bodyDiv w:val="1"/>
      <w:marLeft w:val="0"/>
      <w:marRight w:val="0"/>
      <w:marTop w:val="0"/>
      <w:marBottom w:val="0"/>
      <w:divBdr>
        <w:top w:val="none" w:sz="0" w:space="0" w:color="auto"/>
        <w:left w:val="none" w:sz="0" w:space="0" w:color="auto"/>
        <w:bottom w:val="none" w:sz="0" w:space="0" w:color="auto"/>
        <w:right w:val="none" w:sz="0" w:space="0" w:color="auto"/>
      </w:divBdr>
    </w:div>
    <w:div w:id="1901089304">
      <w:bodyDiv w:val="1"/>
      <w:marLeft w:val="0"/>
      <w:marRight w:val="0"/>
      <w:marTop w:val="0"/>
      <w:marBottom w:val="0"/>
      <w:divBdr>
        <w:top w:val="none" w:sz="0" w:space="0" w:color="auto"/>
        <w:left w:val="none" w:sz="0" w:space="0" w:color="auto"/>
        <w:bottom w:val="none" w:sz="0" w:space="0" w:color="auto"/>
        <w:right w:val="none" w:sz="0" w:space="0" w:color="auto"/>
      </w:divBdr>
    </w:div>
    <w:div w:id="1958439846">
      <w:bodyDiv w:val="1"/>
      <w:marLeft w:val="0"/>
      <w:marRight w:val="0"/>
      <w:marTop w:val="0"/>
      <w:marBottom w:val="0"/>
      <w:divBdr>
        <w:top w:val="none" w:sz="0" w:space="0" w:color="auto"/>
        <w:left w:val="none" w:sz="0" w:space="0" w:color="auto"/>
        <w:bottom w:val="none" w:sz="0" w:space="0" w:color="auto"/>
        <w:right w:val="none" w:sz="0" w:space="0" w:color="auto"/>
      </w:divBdr>
    </w:div>
    <w:div w:id="2048219011">
      <w:bodyDiv w:val="1"/>
      <w:marLeft w:val="0"/>
      <w:marRight w:val="0"/>
      <w:marTop w:val="0"/>
      <w:marBottom w:val="0"/>
      <w:divBdr>
        <w:top w:val="none" w:sz="0" w:space="0" w:color="auto"/>
        <w:left w:val="none" w:sz="0" w:space="0" w:color="auto"/>
        <w:bottom w:val="none" w:sz="0" w:space="0" w:color="auto"/>
        <w:right w:val="none" w:sz="0" w:space="0" w:color="auto"/>
      </w:divBdr>
    </w:div>
    <w:div w:id="2053378354">
      <w:bodyDiv w:val="1"/>
      <w:marLeft w:val="0"/>
      <w:marRight w:val="0"/>
      <w:marTop w:val="0"/>
      <w:marBottom w:val="0"/>
      <w:divBdr>
        <w:top w:val="none" w:sz="0" w:space="0" w:color="auto"/>
        <w:left w:val="none" w:sz="0" w:space="0" w:color="auto"/>
        <w:bottom w:val="none" w:sz="0" w:space="0" w:color="auto"/>
        <w:right w:val="none" w:sz="0" w:space="0" w:color="auto"/>
      </w:divBdr>
    </w:div>
    <w:div w:id="2067677279">
      <w:bodyDiv w:val="1"/>
      <w:marLeft w:val="0"/>
      <w:marRight w:val="0"/>
      <w:marTop w:val="0"/>
      <w:marBottom w:val="0"/>
      <w:divBdr>
        <w:top w:val="none" w:sz="0" w:space="0" w:color="auto"/>
        <w:left w:val="none" w:sz="0" w:space="0" w:color="auto"/>
        <w:bottom w:val="none" w:sz="0" w:space="0" w:color="auto"/>
        <w:right w:val="none" w:sz="0" w:space="0" w:color="auto"/>
      </w:divBdr>
    </w:div>
    <w:div w:id="20895773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hyperlink" Target="http://r2e2.am/en/about-us/" TargetMode="External"/><Relationship Id="rId39" Type="http://schemas.openxmlformats.org/officeDocument/2006/relationships/hyperlink" Target="http://www.mobilityweek.eu/join-us/about/" TargetMode="External"/><Relationship Id="rId21" Type="http://schemas.openxmlformats.org/officeDocument/2006/relationships/image" Target="media/image8.jpeg"/><Relationship Id="rId34" Type="http://schemas.openxmlformats.org/officeDocument/2006/relationships/hyperlink" Target="http://www.fao.org/prods/gap/" TargetMode="External"/><Relationship Id="rId42" Type="http://schemas.openxmlformats.org/officeDocument/2006/relationships/hyperlink" Target="http://ec.europa.eu/environment/integration/research/newsalert/pdf/353na5.pdf" TargetMode="External"/><Relationship Id="rId47" Type="http://schemas.openxmlformats.org/officeDocument/2006/relationships/hyperlink" Target="http://www.meinbezirk.at/eisenstadt/leute/kiss-and-ride-bahnfahrer-kuessen-besser-d437212.html" TargetMode="External"/><Relationship Id="rId50" Type="http://schemas.openxmlformats.org/officeDocument/2006/relationships/hyperlink" Target="http://www.belta.by/ru/all_news/society/Memorandum-o-vyrabotke-mexanizmov-vzaimodejstvija-biznes-struktur-i-Minprirody-podpisan-v-Minske_i_580452.html" TargetMode="External"/><Relationship Id="rId55" Type="http://schemas.openxmlformats.org/officeDocument/2006/relationships/hyperlink" Target="http://www.nordic-ecolabel.org/" TargetMode="External"/><Relationship Id="rId63" Type="http://schemas.openxmlformats.org/officeDocument/2006/relationships/hyperlink" Target="http://www.sustainablecity.be/themas/sustainable-building" TargetMode="External"/><Relationship Id="rId68" Type="http://schemas.openxmlformats.org/officeDocument/2006/relationships/hyperlink" Target="http://www.sam.gov.lv/images/modules/items/PDF/item_618_NL_The_table_of_Eleven.pdf" TargetMode="External"/><Relationship Id="rId76" Type="http://schemas.openxmlformats.org/officeDocument/2006/relationships/hyperlink" Target="http://ec.europa.eu/environment/emas/about/enviro_en.htm" TargetMode="External"/><Relationship Id="rId7" Type="http://schemas.openxmlformats.org/officeDocument/2006/relationships/footnotes" Target="footnotes.xml"/><Relationship Id="rId71" Type="http://schemas.openxmlformats.org/officeDocument/2006/relationships/hyperlink" Target="http://www.ceip.at/overview-of-submissions-under-clrtap/2012-submissions/" TargetMode="Externa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ec.europa.eu/environment/gpp/pdf/handbook.pdf" TargetMode="External"/><Relationship Id="rId11" Type="http://schemas.openxmlformats.org/officeDocument/2006/relationships/footer" Target="footer1.xml"/><Relationship Id="rId24" Type="http://schemas.openxmlformats.org/officeDocument/2006/relationships/hyperlink" Target="http://ec.europa.eu/environment/life/themes/air/best.htm" TargetMode="External"/><Relationship Id="rId32" Type="http://schemas.openxmlformats.org/officeDocument/2006/relationships/hyperlink" Target="http://ec.europa.eu/agriculture/direct-support/direct-payments/index_en.htm" TargetMode="External"/><Relationship Id="rId37" Type="http://schemas.openxmlformats.org/officeDocument/2006/relationships/hyperlink" Target="http://ec.europa.eu/environment/gpp/eu_gpp_criteria_en.htm" TargetMode="External"/><Relationship Id="rId40" Type="http://schemas.openxmlformats.org/officeDocument/2006/relationships/hyperlink" Target="http://moe.gov.ge/index.php?lang_id=GEO&amp;sec_id=40&amp;info_id=2411" TargetMode="External"/><Relationship Id="rId45" Type="http://schemas.openxmlformats.org/officeDocument/2006/relationships/hyperlink" Target="http://interfax-era.ru/" TargetMode="External"/><Relationship Id="rId53" Type="http://schemas.openxmlformats.org/officeDocument/2006/relationships/hyperlink" Target="http://www.moseff.org/index.php?id=1&amp;L=1" TargetMode="External"/><Relationship Id="rId58" Type="http://schemas.openxmlformats.org/officeDocument/2006/relationships/hyperlink" Target="http://www.ekoportal.gov.pl/opencms/opencms/ekoportal/en/ForEntrepreneurs/PolishFunds/" TargetMode="External"/><Relationship Id="rId66" Type="http://schemas.openxmlformats.org/officeDocument/2006/relationships/hyperlink" Target="http://pravo.by/main.aspx?guid=3871&amp;p0=H11000204&amp;p2=%7bNRPA%7d" TargetMode="External"/><Relationship Id="rId74" Type="http://schemas.openxmlformats.org/officeDocument/2006/relationships/hyperlink" Target="http://www.unep.org/greeneconomy/AboutGEI/WhatisGEI/tabid/29784/Default.aspx"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climatefundsupdate.org/listing/special-climate-change-fund" TargetMode="Externa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hyperlink" Target="http://www.pravo.by/main.aspx?guid=3871&amp;p0=P30900510&amp;p2=%7bNRPA%7d" TargetMode="External"/><Relationship Id="rId44" Type="http://schemas.openxmlformats.org/officeDocument/2006/relationships/hyperlink" Target="http://siteresources.worldbank.org/EXTABOUTUS/Resources/IBRDResults.pdf" TargetMode="External"/><Relationship Id="rId52" Type="http://schemas.openxmlformats.org/officeDocument/2006/relationships/hyperlink" Target="http://www.sustainablecity.be/themas/mobility" TargetMode="External"/><Relationship Id="rId60" Type="http://schemas.openxmlformats.org/officeDocument/2006/relationships/hyperlink" Target="http://www.mnp.am/?p=169" TargetMode="External"/><Relationship Id="rId65" Type="http://schemas.openxmlformats.org/officeDocument/2006/relationships/hyperlink" Target="http://www.talkas.lv/?lng=en" TargetMode="External"/><Relationship Id="rId73" Type="http://schemas.openxmlformats.org/officeDocument/2006/relationships/hyperlink" Target="http://web.undp.org/gef/do_cc_mitigation.shtml" TargetMode="External"/><Relationship Id="rId78"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jpeg"/><Relationship Id="rId27" Type="http://schemas.openxmlformats.org/officeDocument/2006/relationships/hyperlink" Target="http://ec.europa.eu/energy/efficiency/studies/doc/2010_05_jrc_va_study.pdf" TargetMode="External"/><Relationship Id="rId30" Type="http://schemas.openxmlformats.org/officeDocument/2006/relationships/hyperlink" Target="http://eur-lex.europa.eu/LexUriServ/LexUriServ.do?uri=COM:2008:0400:FIN:EN:PDF" TargetMode="External"/><Relationship Id="rId35" Type="http://schemas.openxmlformats.org/officeDocument/2006/relationships/hyperlink" Target="http://www.minpriroda.gov.by/ru/news/p-alignjustifyitogi-6-respublikanskix-konkursov-ekologicheskoj-napravlennosti-podvedeny-v-ministerstve-prirodnyx-resursov-i-oxrany-okruzhajuschej-sredyp_i_1374.html" TargetMode="External"/><Relationship Id="rId43" Type="http://schemas.openxmlformats.org/officeDocument/2006/relationships/hyperlink" Target="http://www.mos.gov.pl/kategoria/4945_green_investment_scheme/?j=en" TargetMode="External"/><Relationship Id="rId48" Type="http://schemas.openxmlformats.org/officeDocument/2006/relationships/hyperlink" Target="http://www.uni-obuda.hu/journal/Lesakova_35.pdf" TargetMode="External"/><Relationship Id="rId56" Type="http://schemas.openxmlformats.org/officeDocument/2006/relationships/hyperlink" Target="http://www.kslaw.com/imageserver/KSPublic/library/publication/RussianEnvironmental.pdf" TargetMode="External"/><Relationship Id="rId64" Type="http://schemas.openxmlformats.org/officeDocument/2006/relationships/hyperlink" Target="http://minsk.gov.by/ru/org/8643/attach/263b953/kontrol_nalog_kodeks.shtml" TargetMode="External"/><Relationship Id="rId69" Type="http://schemas.openxmlformats.org/officeDocument/2006/relationships/hyperlink" Target="http://icecommittee.org/reports/Tracy_Kitts_Presentation_ICE_Nov_3_10.pdf" TargetMode="External"/><Relationship Id="rId77"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hyperlink" Target="http://www.unece.org/fileadmin/DAM/env/documents/2013/air/wgsr_51/5_Reduction_of_SO2_and_NOx_through_a_voluntary_agreement_with_the_Flemish_power_plant_sector.pdf" TargetMode="External"/><Relationship Id="rId72" Type="http://schemas.openxmlformats.org/officeDocument/2006/relationships/hyperlink" Target="http://web.undp.org/gef/do_cc_mitigation.shtml"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hyperlink" Target="http://www.eea.europa.eu/soer/countries/pl/soertopic_view?topic=air%20pollution" TargetMode="External"/><Relationship Id="rId33" Type="http://schemas.openxmlformats.org/officeDocument/2006/relationships/hyperlink" Target="http://ec.europa.eu/clima/policies/roadmap/docs/main_report_en.pdf" TargetMode="External"/><Relationship Id="rId38" Type="http://schemas.openxmlformats.org/officeDocument/2006/relationships/hyperlink" Target="http://www.lowemissionzones.eu/what-are-lezs?showall=&amp;start=4" TargetMode="External"/><Relationship Id="rId46" Type="http://schemas.openxmlformats.org/officeDocument/2006/relationships/hyperlink" Target="http://www.iso.org/iso/home/standards/management-standards/iso14000.htm" TargetMode="External"/><Relationship Id="rId59" Type="http://schemas.openxmlformats.org/officeDocument/2006/relationships/hyperlink" Target="http://www.mos.gov.pl/kategoria/4950_programmes_and_rank_lists/" TargetMode="External"/><Relationship Id="rId67" Type="http://schemas.openxmlformats.org/officeDocument/2006/relationships/hyperlink" Target="http://ec.europa.eu/environment/water/water-nitrates/" TargetMode="External"/><Relationship Id="rId20" Type="http://schemas.openxmlformats.org/officeDocument/2006/relationships/image" Target="media/image7.jpeg"/><Relationship Id="rId41" Type="http://schemas.openxmlformats.org/officeDocument/2006/relationships/hyperlink" Target="http://ec.europa.eu/environment/gpp/brochure_en.htm" TargetMode="External"/><Relationship Id="rId54" Type="http://schemas.openxmlformats.org/officeDocument/2006/relationships/hyperlink" Target="http://www.hg.org/article.asp?id=6264" TargetMode="External"/><Relationship Id="rId62" Type="http://schemas.openxmlformats.org/officeDocument/2006/relationships/hyperlink" Target="http://enrin.grida.no/htmls/azer/soe/ecology/html/environmental_policy.html" TargetMode="External"/><Relationship Id="rId70" Type="http://schemas.openxmlformats.org/officeDocument/2006/relationships/hyperlink" Target="http://ec.europa.eu/clima/publications/docs/factsheet_ets_2013_en.pdf" TargetMode="External"/><Relationship Id="rId75" Type="http://schemas.openxmlformats.org/officeDocument/2006/relationships/hyperlink" Target="http://www.lowemissionzones.eu/what-are-lez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impel.eu/about/" TargetMode="External"/><Relationship Id="rId28" Type="http://schemas.openxmlformats.org/officeDocument/2006/relationships/hyperlink" Target="https://www.swedbank.lv/en/jaundibinatiem_uznemumiem/biznesa_inkubatori/" TargetMode="External"/><Relationship Id="rId36" Type="http://schemas.openxmlformats.org/officeDocument/2006/relationships/hyperlink" Target="http://ec.europa.eu/environment/emas/index_en.htm" TargetMode="External"/><Relationship Id="rId49" Type="http://schemas.openxmlformats.org/officeDocument/2006/relationships/hyperlink" Target="http://www.letsdoitworld.org/" TargetMode="External"/><Relationship Id="rId57" Type="http://schemas.openxmlformats.org/officeDocument/2006/relationships/hyperlink" Target="http://en.wikipedia.org/wiki/Park_and_ride"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ceip.at/overview-of-submissions-under-clrtap/2012-submissions/" TargetMode="External"/><Relationship Id="rId18" Type="http://schemas.openxmlformats.org/officeDocument/2006/relationships/hyperlink" Target="http://www.mos.gov.pl/kategoria/4950_programmes_and_rank_lists/" TargetMode="External"/><Relationship Id="rId26" Type="http://schemas.openxmlformats.org/officeDocument/2006/relationships/hyperlink" Target="http://www.belta.by/ru/all_news/society/Memorandum-o-vyrabotke-mexanizmov-vzaimodejstvija-biznes-struktur-i-Minprirody-podpisan-v-Minske_i_580452.html" TargetMode="External"/><Relationship Id="rId39" Type="http://schemas.openxmlformats.org/officeDocument/2006/relationships/hyperlink" Target="http://ec.europa.eu/environment/gpp/eu_gpp_criteria_en.htm" TargetMode="External"/><Relationship Id="rId21" Type="http://schemas.openxmlformats.org/officeDocument/2006/relationships/hyperlink" Target="http://www.mnp.am/?p=169" TargetMode="External"/><Relationship Id="rId34" Type="http://schemas.openxmlformats.org/officeDocument/2006/relationships/hyperlink" Target="http://www.unep.org/greeneconomy/AboutGEI/WhatisGEI/tabid/29784/Default.aspx" TargetMode="External"/><Relationship Id="rId42" Type="http://schemas.openxmlformats.org/officeDocument/2006/relationships/hyperlink" Target="http://icecommittee.org/reports/Tracy_Kitts_Presentation_ICE_Nov_3_10.pdf" TargetMode="External"/><Relationship Id="rId47" Type="http://schemas.openxmlformats.org/officeDocument/2006/relationships/hyperlink" Target="http://ec.europa.eu/environment/water/water-nitrates/" TargetMode="External"/><Relationship Id="rId50" Type="http://schemas.openxmlformats.org/officeDocument/2006/relationships/hyperlink" Target="http://ec.europa.eu/environment/emas/index_en.htm" TargetMode="External"/><Relationship Id="rId55" Type="http://schemas.openxmlformats.org/officeDocument/2006/relationships/hyperlink" Target="http://www.lowemissionzones.eu/what-are-lezs" TargetMode="External"/><Relationship Id="rId7" Type="http://schemas.openxmlformats.org/officeDocument/2006/relationships/hyperlink" Target="http://www.mobilityweek.eu/join-us/about/" TargetMode="External"/><Relationship Id="rId12" Type="http://schemas.openxmlformats.org/officeDocument/2006/relationships/hyperlink" Target="http://impel.eu/about/" TargetMode="External"/><Relationship Id="rId17" Type="http://schemas.openxmlformats.org/officeDocument/2006/relationships/hyperlink" Target="http://www.eea.europa.eu/soer/countries/pl/soertopic_view?topic=air%20pollution" TargetMode="External"/><Relationship Id="rId25" Type="http://schemas.openxmlformats.org/officeDocument/2006/relationships/hyperlink" Target="http://minsk.gov.by/ru/org/8643/attach/263b953/kontrol_nalog_kodeks.shtml" TargetMode="External"/><Relationship Id="rId33" Type="http://schemas.openxmlformats.org/officeDocument/2006/relationships/hyperlink" Target="http://eur-lex.europa.eu/LexUriServ/LexUriServ.do?uri=COM:2008:0400:FIN:EN:PDF" TargetMode="External"/><Relationship Id="rId38" Type="http://schemas.openxmlformats.org/officeDocument/2006/relationships/hyperlink" Target="http://ec.europa.eu/clima/policies/roadmap/docs/main_report_en.pdf" TargetMode="External"/><Relationship Id="rId46" Type="http://schemas.openxmlformats.org/officeDocument/2006/relationships/hyperlink" Target="http://www.fao.org/prods/gap/" TargetMode="External"/><Relationship Id="rId59" Type="http://schemas.openxmlformats.org/officeDocument/2006/relationships/hyperlink" Target="http://ec.europa.eu/clima/policies/roadmap/docs/main_report_en.pdf" TargetMode="External"/><Relationship Id="rId2" Type="http://schemas.openxmlformats.org/officeDocument/2006/relationships/hyperlink" Target="http://web.undp.org/gef/do_cc_mitigation.shtml" TargetMode="External"/><Relationship Id="rId16" Type="http://schemas.openxmlformats.org/officeDocument/2006/relationships/hyperlink" Target="http://ec.europa.eu/agriculture/direct-support/direct-payments/index_en.htm" TargetMode="External"/><Relationship Id="rId20" Type="http://schemas.openxmlformats.org/officeDocument/2006/relationships/hyperlink" Target="http://www.mos.gov.pl/kategoria/4945_green_investment_scheme/?j=en" TargetMode="External"/><Relationship Id="rId29" Type="http://schemas.openxmlformats.org/officeDocument/2006/relationships/hyperlink" Target="http://moe.gov.ge/index.php?lang_id=GEO&amp;sec_id=40&amp;info_id=2411" TargetMode="External"/><Relationship Id="rId41" Type="http://schemas.openxmlformats.org/officeDocument/2006/relationships/hyperlink" Target="https://www.swedbank.lv/en/jaundibinatiem_uznemumiem/biznesa_inkubatori/" TargetMode="External"/><Relationship Id="rId54" Type="http://schemas.openxmlformats.org/officeDocument/2006/relationships/hyperlink" Target="http://www.letsdoitworld.org/" TargetMode="External"/><Relationship Id="rId1" Type="http://schemas.openxmlformats.org/officeDocument/2006/relationships/hyperlink" Target="http://www.sam.gov.lv/images/modules/items/PDF/item_618_NL_The_table_of_Eleven.pdf" TargetMode="External"/><Relationship Id="rId6" Type="http://schemas.openxmlformats.org/officeDocument/2006/relationships/hyperlink" Target="http://ec.europa.eu/environment/life/themes/air/best.htm" TargetMode="External"/><Relationship Id="rId11" Type="http://schemas.openxmlformats.org/officeDocument/2006/relationships/hyperlink" Target="http://ec.europa.eu/environment/gpp/brochure_en.htm" TargetMode="External"/><Relationship Id="rId24" Type="http://schemas.openxmlformats.org/officeDocument/2006/relationships/hyperlink" Target="http://www.pravo.by/main.aspx?guid=3871&amp;p0=P30900510&amp;p2=%7bNRPA%7d" TargetMode="External"/><Relationship Id="rId32" Type="http://schemas.openxmlformats.org/officeDocument/2006/relationships/hyperlink" Target="http://www.hg.org/article.asp?id=6264" TargetMode="External"/><Relationship Id="rId37" Type="http://schemas.openxmlformats.org/officeDocument/2006/relationships/hyperlink" Target="http://www.lowemissionzones.eu/what-are-lezs" TargetMode="External"/><Relationship Id="rId40" Type="http://schemas.openxmlformats.org/officeDocument/2006/relationships/hyperlink" Target="http://ec.europa.eu/environment/gpp/pdf/handbook.pdf" TargetMode="External"/><Relationship Id="rId45" Type="http://schemas.openxmlformats.org/officeDocument/2006/relationships/hyperlink" Target="http://ec.europa.eu/energy/efficiency/studies/doc/2010_05_jrc_va_study.pdf" TargetMode="External"/><Relationship Id="rId53" Type="http://schemas.openxmlformats.org/officeDocument/2006/relationships/hyperlink" Target="http://www.talkas.lv/?lng=en" TargetMode="External"/><Relationship Id="rId58" Type="http://schemas.openxmlformats.org/officeDocument/2006/relationships/hyperlink" Target="http://www.meinbezirk.at/eisenstadt/leute/kiss-and-ride-bahnfahrer-kuessen-besser-d437212.html" TargetMode="External"/><Relationship Id="rId5" Type="http://schemas.openxmlformats.org/officeDocument/2006/relationships/hyperlink" Target="http://ec.europa.eu/clima/publications/docs/factsheet_ets_2013_en.pdf" TargetMode="External"/><Relationship Id="rId15" Type="http://schemas.openxmlformats.org/officeDocument/2006/relationships/hyperlink" Target="http://www.sustainablecity.be/themas/mobility" TargetMode="External"/><Relationship Id="rId23" Type="http://schemas.openxmlformats.org/officeDocument/2006/relationships/hyperlink" Target="http://enrin.grida.no/htmls/azer/soe/ecology/html/environmental_policy.html" TargetMode="External"/><Relationship Id="rId28" Type="http://schemas.openxmlformats.org/officeDocument/2006/relationships/hyperlink" Target="http://www.minpriroda.gov.by/ru/news/p-alignjustifyitogi-6-respublikanskix-konkursov-ekologicheskoj-napravlennosti-podvedeny-v-ministerstve-prirodnyx-resursov-i-oxrany-okruzhajuschej-sredyp_i_1374.html" TargetMode="External"/><Relationship Id="rId36" Type="http://schemas.openxmlformats.org/officeDocument/2006/relationships/hyperlink" Target="http://ec.europa.eu/environment/emas/about/enviro_en.htm" TargetMode="External"/><Relationship Id="rId49" Type="http://schemas.openxmlformats.org/officeDocument/2006/relationships/hyperlink" Target="http://www.iso.org/iso/home/standards/management-standards/iso14000.htm" TargetMode="External"/><Relationship Id="rId57" Type="http://schemas.openxmlformats.org/officeDocument/2006/relationships/hyperlink" Target="http://en.wikipedia.org/wiki/Park_and_ride" TargetMode="External"/><Relationship Id="rId10" Type="http://schemas.openxmlformats.org/officeDocument/2006/relationships/hyperlink" Target="http://eur-lex.europa.eu/LexUriServ/LexUriServ.do?uri=COM:2008:0400:FIN:EN:PDF" TargetMode="External"/><Relationship Id="rId19" Type="http://schemas.openxmlformats.org/officeDocument/2006/relationships/hyperlink" Target="http://www.ekoportal.gov.pl/opencms/opencms/ekoportal/en/ForEntrepreneurs/PolishFunds/" TargetMode="External"/><Relationship Id="rId31" Type="http://schemas.openxmlformats.org/officeDocument/2006/relationships/hyperlink" Target="http://interfax-era.ru/" TargetMode="External"/><Relationship Id="rId44" Type="http://schemas.openxmlformats.org/officeDocument/2006/relationships/hyperlink" Target="http://www.unece.org/fileadmin/DAM/env/documents/2013/air/wgsr_51/5_Reduction_of_SO2_and_NOx_through_a_voluntary_agreement_with_the_Flemish_power_plant_sector.pdf" TargetMode="External"/><Relationship Id="rId52" Type="http://schemas.openxmlformats.org/officeDocument/2006/relationships/hyperlink" Target="http://ec.europa.eu/environment/integration/research/newsalert/pdf/353na5.pdf" TargetMode="External"/><Relationship Id="rId60" Type="http://schemas.openxmlformats.org/officeDocument/2006/relationships/hyperlink" Target="http://ec.europa.eu/clima/policies/roadmap/docs/main_report_en.pdf" TargetMode="External"/><Relationship Id="rId4" Type="http://schemas.openxmlformats.org/officeDocument/2006/relationships/hyperlink" Target="http://www.climatefundsupdate.org/listing/special-climate-change-fund" TargetMode="External"/><Relationship Id="rId9" Type="http://schemas.openxmlformats.org/officeDocument/2006/relationships/hyperlink" Target="http://www.nordic-ecolabel.org/" TargetMode="External"/><Relationship Id="rId14" Type="http://schemas.openxmlformats.org/officeDocument/2006/relationships/hyperlink" Target="http://www.sustainablecity.be/themas/sustainable-building" TargetMode="External"/><Relationship Id="rId22" Type="http://schemas.openxmlformats.org/officeDocument/2006/relationships/hyperlink" Target="http://r2e2.am/en/about-us/" TargetMode="External"/><Relationship Id="rId27" Type="http://schemas.openxmlformats.org/officeDocument/2006/relationships/hyperlink" Target="http://pravo.by/main.aspx?guid=3871&amp;p0=H11000204&amp;p2=%7bNRPA%7d" TargetMode="External"/><Relationship Id="rId30" Type="http://schemas.openxmlformats.org/officeDocument/2006/relationships/hyperlink" Target="http://www.moseff.org/index.php?id=1&amp;L=1" TargetMode="External"/><Relationship Id="rId35" Type="http://schemas.openxmlformats.org/officeDocument/2006/relationships/hyperlink" Target="http://ec.europa.eu/energy/efficiency/studies/doc/2010_05_jrc_va_study.pdf" TargetMode="External"/><Relationship Id="rId43" Type="http://schemas.openxmlformats.org/officeDocument/2006/relationships/hyperlink" Target="http://www.uni-obuda.hu/journal/Lesakova_35.pdf" TargetMode="External"/><Relationship Id="rId48" Type="http://schemas.openxmlformats.org/officeDocument/2006/relationships/hyperlink" Target="http://ec.europa.eu/environment/emas/about/enviro_en.htm" TargetMode="External"/><Relationship Id="rId56" Type="http://schemas.openxmlformats.org/officeDocument/2006/relationships/hyperlink" Target="http://www.lowemissionzones.eu/what-are-lezs?showall=&amp;start=4" TargetMode="External"/><Relationship Id="rId8" Type="http://schemas.openxmlformats.org/officeDocument/2006/relationships/hyperlink" Target="http://ec.europa.eu/environment/emas/index_en.htm" TargetMode="External"/><Relationship Id="rId51" Type="http://schemas.openxmlformats.org/officeDocument/2006/relationships/hyperlink" Target="http://ec.europa.eu/environment/emas/about/enviro_en.htm" TargetMode="External"/><Relationship Id="rId3" Type="http://schemas.openxmlformats.org/officeDocument/2006/relationships/hyperlink" Target="http://web.undp.org/gef/do_cc_adaptation.s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yl\wrd8\docs\WB\@WB-Rap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78BE7-3D8E-41D5-9988-F0DDA1569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@WB-Rapport.dot</Template>
  <TotalTime>2</TotalTime>
  <Pages>95</Pages>
  <Words>37822</Words>
  <Characters>215588</Characters>
  <Application>Microsoft Office Word</Application>
  <DocSecurity>0</DocSecurity>
  <Lines>1796</Lines>
  <Paragraphs>505</Paragraphs>
  <ScaleCrop>false</ScaleCrop>
  <HeadingPairs>
    <vt:vector size="2" baseType="variant">
      <vt:variant>
        <vt:lpstr>Title</vt:lpstr>
      </vt:variant>
      <vt:variant>
        <vt:i4>1</vt:i4>
      </vt:variant>
    </vt:vector>
  </HeadingPairs>
  <TitlesOfParts>
    <vt:vector size="1" baseType="lpstr">
      <vt:lpstr>Inception Report</vt:lpstr>
    </vt:vector>
  </TitlesOfParts>
  <Company>ELLE</Company>
  <LinksUpToDate>false</LinksUpToDate>
  <CharactersWithSpaces>252905</CharactersWithSpaces>
  <SharedDoc>false</SharedDoc>
  <HLinks>
    <vt:vector size="870" baseType="variant">
      <vt:variant>
        <vt:i4>2359308</vt:i4>
      </vt:variant>
      <vt:variant>
        <vt:i4>348</vt:i4>
      </vt:variant>
      <vt:variant>
        <vt:i4>0</vt:i4>
      </vt:variant>
      <vt:variant>
        <vt:i4>5</vt:i4>
      </vt:variant>
      <vt:variant>
        <vt:lpwstr>http://ec.europa.eu/environment/emas/about/enviro_en.htm</vt:lpwstr>
      </vt:variant>
      <vt:variant>
        <vt:lpwstr/>
      </vt:variant>
      <vt:variant>
        <vt:i4>655372</vt:i4>
      </vt:variant>
      <vt:variant>
        <vt:i4>345</vt:i4>
      </vt:variant>
      <vt:variant>
        <vt:i4>0</vt:i4>
      </vt:variant>
      <vt:variant>
        <vt:i4>5</vt:i4>
      </vt:variant>
      <vt:variant>
        <vt:lpwstr>http://www.lowemissionzones.eu/what-are-lezs</vt:lpwstr>
      </vt:variant>
      <vt:variant>
        <vt:lpwstr/>
      </vt:variant>
      <vt:variant>
        <vt:i4>1179740</vt:i4>
      </vt:variant>
      <vt:variant>
        <vt:i4>342</vt:i4>
      </vt:variant>
      <vt:variant>
        <vt:i4>0</vt:i4>
      </vt:variant>
      <vt:variant>
        <vt:i4>5</vt:i4>
      </vt:variant>
      <vt:variant>
        <vt:lpwstr>http://www.unep.org/greeneconomy/AboutGEI/WhatisGEI/tabid/29784/Default.aspx</vt:lpwstr>
      </vt:variant>
      <vt:variant>
        <vt:lpwstr/>
      </vt:variant>
      <vt:variant>
        <vt:i4>4718659</vt:i4>
      </vt:variant>
      <vt:variant>
        <vt:i4>339</vt:i4>
      </vt:variant>
      <vt:variant>
        <vt:i4>0</vt:i4>
      </vt:variant>
      <vt:variant>
        <vt:i4>5</vt:i4>
      </vt:variant>
      <vt:variant>
        <vt:lpwstr>http://web.undp.org/gef/do_cc_mitigation.shtml</vt:lpwstr>
      </vt:variant>
      <vt:variant>
        <vt:lpwstr/>
      </vt:variant>
      <vt:variant>
        <vt:i4>4718659</vt:i4>
      </vt:variant>
      <vt:variant>
        <vt:i4>336</vt:i4>
      </vt:variant>
      <vt:variant>
        <vt:i4>0</vt:i4>
      </vt:variant>
      <vt:variant>
        <vt:i4>5</vt:i4>
      </vt:variant>
      <vt:variant>
        <vt:lpwstr>http://web.undp.org/gef/do_cc_mitigation.shtml</vt:lpwstr>
      </vt:variant>
      <vt:variant>
        <vt:lpwstr/>
      </vt:variant>
      <vt:variant>
        <vt:i4>1507358</vt:i4>
      </vt:variant>
      <vt:variant>
        <vt:i4>333</vt:i4>
      </vt:variant>
      <vt:variant>
        <vt:i4>0</vt:i4>
      </vt:variant>
      <vt:variant>
        <vt:i4>5</vt:i4>
      </vt:variant>
      <vt:variant>
        <vt:lpwstr>http://www.ceip.at/overview-of-submissions-under-clrtap/2012-submissions/</vt:lpwstr>
      </vt:variant>
      <vt:variant>
        <vt:lpwstr/>
      </vt:variant>
      <vt:variant>
        <vt:i4>327712</vt:i4>
      </vt:variant>
      <vt:variant>
        <vt:i4>330</vt:i4>
      </vt:variant>
      <vt:variant>
        <vt:i4>0</vt:i4>
      </vt:variant>
      <vt:variant>
        <vt:i4>5</vt:i4>
      </vt:variant>
      <vt:variant>
        <vt:lpwstr>http://ec.europa.eu/clima/publications/docs/factsheet_ets_2013_en.pdf</vt:lpwstr>
      </vt:variant>
      <vt:variant>
        <vt:lpwstr/>
      </vt:variant>
      <vt:variant>
        <vt:i4>5177412</vt:i4>
      </vt:variant>
      <vt:variant>
        <vt:i4>327</vt:i4>
      </vt:variant>
      <vt:variant>
        <vt:i4>0</vt:i4>
      </vt:variant>
      <vt:variant>
        <vt:i4>5</vt:i4>
      </vt:variant>
      <vt:variant>
        <vt:lpwstr>http://icecommittee.org/reports/Tracy_Kitts_Presentation_ICE_Nov_3_10.pdf</vt:lpwstr>
      </vt:variant>
      <vt:variant>
        <vt:lpwstr/>
      </vt:variant>
      <vt:variant>
        <vt:i4>77</vt:i4>
      </vt:variant>
      <vt:variant>
        <vt:i4>324</vt:i4>
      </vt:variant>
      <vt:variant>
        <vt:i4>0</vt:i4>
      </vt:variant>
      <vt:variant>
        <vt:i4>5</vt:i4>
      </vt:variant>
      <vt:variant>
        <vt:lpwstr>http://www.sam.gov.lv/images/modules/items/PDF/item_618_NL_The_table_of_Eleven.pdf</vt:lpwstr>
      </vt:variant>
      <vt:variant>
        <vt:lpwstr/>
      </vt:variant>
      <vt:variant>
        <vt:i4>720982</vt:i4>
      </vt:variant>
      <vt:variant>
        <vt:i4>321</vt:i4>
      </vt:variant>
      <vt:variant>
        <vt:i4>0</vt:i4>
      </vt:variant>
      <vt:variant>
        <vt:i4>5</vt:i4>
      </vt:variant>
      <vt:variant>
        <vt:lpwstr>http://ec.europa.eu/environment/water/water-nitrates/</vt:lpwstr>
      </vt:variant>
      <vt:variant>
        <vt:lpwstr/>
      </vt:variant>
      <vt:variant>
        <vt:i4>8061041</vt:i4>
      </vt:variant>
      <vt:variant>
        <vt:i4>318</vt:i4>
      </vt:variant>
      <vt:variant>
        <vt:i4>0</vt:i4>
      </vt:variant>
      <vt:variant>
        <vt:i4>5</vt:i4>
      </vt:variant>
      <vt:variant>
        <vt:lpwstr>http://pravo.by/main.aspx?guid=3871&amp;p0=H11000204&amp;p2={NRPA}</vt:lpwstr>
      </vt:variant>
      <vt:variant>
        <vt:lpwstr/>
      </vt:variant>
      <vt:variant>
        <vt:i4>524292</vt:i4>
      </vt:variant>
      <vt:variant>
        <vt:i4>315</vt:i4>
      </vt:variant>
      <vt:variant>
        <vt:i4>0</vt:i4>
      </vt:variant>
      <vt:variant>
        <vt:i4>5</vt:i4>
      </vt:variant>
      <vt:variant>
        <vt:lpwstr>http://www.talkas.lv/?lng=en</vt:lpwstr>
      </vt:variant>
      <vt:variant>
        <vt:lpwstr/>
      </vt:variant>
      <vt:variant>
        <vt:i4>393235</vt:i4>
      </vt:variant>
      <vt:variant>
        <vt:i4>312</vt:i4>
      </vt:variant>
      <vt:variant>
        <vt:i4>0</vt:i4>
      </vt:variant>
      <vt:variant>
        <vt:i4>5</vt:i4>
      </vt:variant>
      <vt:variant>
        <vt:lpwstr>http://minsk.gov.by/ru/org/8643/attach/263b953/kontrol_nalog_kodeks.shtml</vt:lpwstr>
      </vt:variant>
      <vt:variant>
        <vt:lpwstr/>
      </vt:variant>
      <vt:variant>
        <vt:i4>65550</vt:i4>
      </vt:variant>
      <vt:variant>
        <vt:i4>309</vt:i4>
      </vt:variant>
      <vt:variant>
        <vt:i4>0</vt:i4>
      </vt:variant>
      <vt:variant>
        <vt:i4>5</vt:i4>
      </vt:variant>
      <vt:variant>
        <vt:lpwstr>http://www.sustainablecity.be/themas/sustainable-building</vt:lpwstr>
      </vt:variant>
      <vt:variant>
        <vt:lpwstr/>
      </vt:variant>
      <vt:variant>
        <vt:i4>4980834</vt:i4>
      </vt:variant>
      <vt:variant>
        <vt:i4>306</vt:i4>
      </vt:variant>
      <vt:variant>
        <vt:i4>0</vt:i4>
      </vt:variant>
      <vt:variant>
        <vt:i4>5</vt:i4>
      </vt:variant>
      <vt:variant>
        <vt:lpwstr>http://enrin.grida.no/htmls/azer/soe/ecology/html/environmental_policy.html</vt:lpwstr>
      </vt:variant>
      <vt:variant>
        <vt:lpwstr/>
      </vt:variant>
      <vt:variant>
        <vt:i4>1179667</vt:i4>
      </vt:variant>
      <vt:variant>
        <vt:i4>303</vt:i4>
      </vt:variant>
      <vt:variant>
        <vt:i4>0</vt:i4>
      </vt:variant>
      <vt:variant>
        <vt:i4>5</vt:i4>
      </vt:variant>
      <vt:variant>
        <vt:lpwstr>http://www.climatefundsupdate.org/listing/special-climate-change-fund</vt:lpwstr>
      </vt:variant>
      <vt:variant>
        <vt:lpwstr/>
      </vt:variant>
      <vt:variant>
        <vt:i4>73</vt:i4>
      </vt:variant>
      <vt:variant>
        <vt:i4>300</vt:i4>
      </vt:variant>
      <vt:variant>
        <vt:i4>0</vt:i4>
      </vt:variant>
      <vt:variant>
        <vt:i4>5</vt:i4>
      </vt:variant>
      <vt:variant>
        <vt:lpwstr>http://www.mnp.am/?p=169</vt:lpwstr>
      </vt:variant>
      <vt:variant>
        <vt:lpwstr/>
      </vt:variant>
      <vt:variant>
        <vt:i4>3276856</vt:i4>
      </vt:variant>
      <vt:variant>
        <vt:i4>297</vt:i4>
      </vt:variant>
      <vt:variant>
        <vt:i4>0</vt:i4>
      </vt:variant>
      <vt:variant>
        <vt:i4>5</vt:i4>
      </vt:variant>
      <vt:variant>
        <vt:lpwstr>http://www.mos.gov.pl/kategoria/4950_programmes_and_rank_lists/</vt:lpwstr>
      </vt:variant>
      <vt:variant>
        <vt:lpwstr/>
      </vt:variant>
      <vt:variant>
        <vt:i4>2359417</vt:i4>
      </vt:variant>
      <vt:variant>
        <vt:i4>294</vt:i4>
      </vt:variant>
      <vt:variant>
        <vt:i4>0</vt:i4>
      </vt:variant>
      <vt:variant>
        <vt:i4>5</vt:i4>
      </vt:variant>
      <vt:variant>
        <vt:lpwstr>http://www.ekoportal.gov.pl/opencms/opencms/ekoportal/en/ForEntrepreneurs/PolishFunds/</vt:lpwstr>
      </vt:variant>
      <vt:variant>
        <vt:lpwstr/>
      </vt:variant>
      <vt:variant>
        <vt:i4>8323116</vt:i4>
      </vt:variant>
      <vt:variant>
        <vt:i4>291</vt:i4>
      </vt:variant>
      <vt:variant>
        <vt:i4>0</vt:i4>
      </vt:variant>
      <vt:variant>
        <vt:i4>5</vt:i4>
      </vt:variant>
      <vt:variant>
        <vt:lpwstr>http://en.wikipedia.org/wiki/Park_and_ride</vt:lpwstr>
      </vt:variant>
      <vt:variant>
        <vt:lpwstr/>
      </vt:variant>
      <vt:variant>
        <vt:i4>7143465</vt:i4>
      </vt:variant>
      <vt:variant>
        <vt:i4>288</vt:i4>
      </vt:variant>
      <vt:variant>
        <vt:i4>0</vt:i4>
      </vt:variant>
      <vt:variant>
        <vt:i4>5</vt:i4>
      </vt:variant>
      <vt:variant>
        <vt:lpwstr>http://www.kslaw.com/imageserver/KSPublic/library/publication/RussianEnvironmental.pdf</vt:lpwstr>
      </vt:variant>
      <vt:variant>
        <vt:lpwstr/>
      </vt:variant>
      <vt:variant>
        <vt:i4>7995498</vt:i4>
      </vt:variant>
      <vt:variant>
        <vt:i4>285</vt:i4>
      </vt:variant>
      <vt:variant>
        <vt:i4>0</vt:i4>
      </vt:variant>
      <vt:variant>
        <vt:i4>5</vt:i4>
      </vt:variant>
      <vt:variant>
        <vt:lpwstr>http://www.nordic-ecolabel.org/</vt:lpwstr>
      </vt:variant>
      <vt:variant>
        <vt:lpwstr/>
      </vt:variant>
      <vt:variant>
        <vt:i4>4259931</vt:i4>
      </vt:variant>
      <vt:variant>
        <vt:i4>282</vt:i4>
      </vt:variant>
      <vt:variant>
        <vt:i4>0</vt:i4>
      </vt:variant>
      <vt:variant>
        <vt:i4>5</vt:i4>
      </vt:variant>
      <vt:variant>
        <vt:lpwstr>http://www.hg.org/article.asp?id=6264</vt:lpwstr>
      </vt:variant>
      <vt:variant>
        <vt:lpwstr/>
      </vt:variant>
      <vt:variant>
        <vt:i4>5898254</vt:i4>
      </vt:variant>
      <vt:variant>
        <vt:i4>279</vt:i4>
      </vt:variant>
      <vt:variant>
        <vt:i4>0</vt:i4>
      </vt:variant>
      <vt:variant>
        <vt:i4>5</vt:i4>
      </vt:variant>
      <vt:variant>
        <vt:lpwstr>http://www.moseff.org/index.php?id=1&amp;L=1</vt:lpwstr>
      </vt:variant>
      <vt:variant>
        <vt:lpwstr/>
      </vt:variant>
      <vt:variant>
        <vt:i4>2031705</vt:i4>
      </vt:variant>
      <vt:variant>
        <vt:i4>276</vt:i4>
      </vt:variant>
      <vt:variant>
        <vt:i4>0</vt:i4>
      </vt:variant>
      <vt:variant>
        <vt:i4>5</vt:i4>
      </vt:variant>
      <vt:variant>
        <vt:lpwstr>http://www.sustainablecity.be/themas/mobility</vt:lpwstr>
      </vt:variant>
      <vt:variant>
        <vt:lpwstr/>
      </vt:variant>
      <vt:variant>
        <vt:i4>4391005</vt:i4>
      </vt:variant>
      <vt:variant>
        <vt:i4>273</vt:i4>
      </vt:variant>
      <vt:variant>
        <vt:i4>0</vt:i4>
      </vt:variant>
      <vt:variant>
        <vt:i4>5</vt:i4>
      </vt:variant>
      <vt:variant>
        <vt:lpwstr>http://www.unece.org/fileadmin/DAM/env/documents/2013/air/wgsr_51/5_Reduction_of_SO2_and_NOx_through_a_voluntary_agreement_with_the_Flemish_power_plant_sector.pdf</vt:lpwstr>
      </vt:variant>
      <vt:variant>
        <vt:lpwstr/>
      </vt:variant>
      <vt:variant>
        <vt:i4>7929879</vt:i4>
      </vt:variant>
      <vt:variant>
        <vt:i4>270</vt:i4>
      </vt:variant>
      <vt:variant>
        <vt:i4>0</vt:i4>
      </vt:variant>
      <vt:variant>
        <vt:i4>5</vt:i4>
      </vt:variant>
      <vt:variant>
        <vt:lpwstr>http://www.belta.by/ru/all_news/society/Memorandum-o-vyrabotke-mexanizmov-vzaimodejstvija-biznes-struktur-i-Minprirody-podpisan-v-Minske_i_580452.html</vt:lpwstr>
      </vt:variant>
      <vt:variant>
        <vt:lpwstr/>
      </vt:variant>
      <vt:variant>
        <vt:i4>5701634</vt:i4>
      </vt:variant>
      <vt:variant>
        <vt:i4>267</vt:i4>
      </vt:variant>
      <vt:variant>
        <vt:i4>0</vt:i4>
      </vt:variant>
      <vt:variant>
        <vt:i4>5</vt:i4>
      </vt:variant>
      <vt:variant>
        <vt:lpwstr>http://www.letsdoitworld.org/</vt:lpwstr>
      </vt:variant>
      <vt:variant>
        <vt:lpwstr/>
      </vt:variant>
      <vt:variant>
        <vt:i4>2818123</vt:i4>
      </vt:variant>
      <vt:variant>
        <vt:i4>264</vt:i4>
      </vt:variant>
      <vt:variant>
        <vt:i4>0</vt:i4>
      </vt:variant>
      <vt:variant>
        <vt:i4>5</vt:i4>
      </vt:variant>
      <vt:variant>
        <vt:lpwstr>http://www.uni-obuda.hu/journal/Lesakova_35.pdf</vt:lpwstr>
      </vt:variant>
      <vt:variant>
        <vt:lpwstr/>
      </vt:variant>
      <vt:variant>
        <vt:i4>6422570</vt:i4>
      </vt:variant>
      <vt:variant>
        <vt:i4>261</vt:i4>
      </vt:variant>
      <vt:variant>
        <vt:i4>0</vt:i4>
      </vt:variant>
      <vt:variant>
        <vt:i4>5</vt:i4>
      </vt:variant>
      <vt:variant>
        <vt:lpwstr>http://www.meinbezirk.at/eisenstadt/leute/kiss-and-ride-bahnfahrer-kuessen-besser-d437212.html</vt:lpwstr>
      </vt:variant>
      <vt:variant>
        <vt:lpwstr/>
      </vt:variant>
      <vt:variant>
        <vt:i4>6422561</vt:i4>
      </vt:variant>
      <vt:variant>
        <vt:i4>258</vt:i4>
      </vt:variant>
      <vt:variant>
        <vt:i4>0</vt:i4>
      </vt:variant>
      <vt:variant>
        <vt:i4>5</vt:i4>
      </vt:variant>
      <vt:variant>
        <vt:lpwstr>http://www.iso.org/iso/home/standards/management-standards/iso14000.htm</vt:lpwstr>
      </vt:variant>
      <vt:variant>
        <vt:lpwstr/>
      </vt:variant>
      <vt:variant>
        <vt:i4>2162794</vt:i4>
      </vt:variant>
      <vt:variant>
        <vt:i4>255</vt:i4>
      </vt:variant>
      <vt:variant>
        <vt:i4>0</vt:i4>
      </vt:variant>
      <vt:variant>
        <vt:i4>5</vt:i4>
      </vt:variant>
      <vt:variant>
        <vt:lpwstr>http://interfax-era.ru/</vt:lpwstr>
      </vt:variant>
      <vt:variant>
        <vt:lpwstr/>
      </vt:variant>
      <vt:variant>
        <vt:i4>7143466</vt:i4>
      </vt:variant>
      <vt:variant>
        <vt:i4>252</vt:i4>
      </vt:variant>
      <vt:variant>
        <vt:i4>0</vt:i4>
      </vt:variant>
      <vt:variant>
        <vt:i4>5</vt:i4>
      </vt:variant>
      <vt:variant>
        <vt:lpwstr>http://siteresources.worldbank.org/EXTABOUTUS/Resources/IBRDResults.pdf</vt:lpwstr>
      </vt:variant>
      <vt:variant>
        <vt:lpwstr/>
      </vt:variant>
      <vt:variant>
        <vt:i4>589944</vt:i4>
      </vt:variant>
      <vt:variant>
        <vt:i4>249</vt:i4>
      </vt:variant>
      <vt:variant>
        <vt:i4>0</vt:i4>
      </vt:variant>
      <vt:variant>
        <vt:i4>5</vt:i4>
      </vt:variant>
      <vt:variant>
        <vt:lpwstr>http://www.mos.gov.pl/kategoria/4945_green_investment_scheme/?j=en</vt:lpwstr>
      </vt:variant>
      <vt:variant>
        <vt:lpwstr/>
      </vt:variant>
      <vt:variant>
        <vt:i4>1441802</vt:i4>
      </vt:variant>
      <vt:variant>
        <vt:i4>246</vt:i4>
      </vt:variant>
      <vt:variant>
        <vt:i4>0</vt:i4>
      </vt:variant>
      <vt:variant>
        <vt:i4>5</vt:i4>
      </vt:variant>
      <vt:variant>
        <vt:lpwstr>http://ec.europa.eu/environment/integration/research/newsalert/pdf/353na5.pdf</vt:lpwstr>
      </vt:variant>
      <vt:variant>
        <vt:lpwstr/>
      </vt:variant>
      <vt:variant>
        <vt:i4>7602193</vt:i4>
      </vt:variant>
      <vt:variant>
        <vt:i4>243</vt:i4>
      </vt:variant>
      <vt:variant>
        <vt:i4>0</vt:i4>
      </vt:variant>
      <vt:variant>
        <vt:i4>5</vt:i4>
      </vt:variant>
      <vt:variant>
        <vt:lpwstr>http://ec.europa.eu/environment/gpp/brochure_en.htm</vt:lpwstr>
      </vt:variant>
      <vt:variant>
        <vt:lpwstr/>
      </vt:variant>
      <vt:variant>
        <vt:i4>327787</vt:i4>
      </vt:variant>
      <vt:variant>
        <vt:i4>240</vt:i4>
      </vt:variant>
      <vt:variant>
        <vt:i4>0</vt:i4>
      </vt:variant>
      <vt:variant>
        <vt:i4>5</vt:i4>
      </vt:variant>
      <vt:variant>
        <vt:lpwstr>http://moe.gov.ge/index.php?lang_id=GEO&amp;sec_id=40&amp;info_id=2411</vt:lpwstr>
      </vt:variant>
      <vt:variant>
        <vt:lpwstr/>
      </vt:variant>
      <vt:variant>
        <vt:i4>5374030</vt:i4>
      </vt:variant>
      <vt:variant>
        <vt:i4>237</vt:i4>
      </vt:variant>
      <vt:variant>
        <vt:i4>0</vt:i4>
      </vt:variant>
      <vt:variant>
        <vt:i4>5</vt:i4>
      </vt:variant>
      <vt:variant>
        <vt:lpwstr>http://www.mobilityweek.eu/join-us/about/</vt:lpwstr>
      </vt:variant>
      <vt:variant>
        <vt:lpwstr/>
      </vt:variant>
      <vt:variant>
        <vt:i4>393243</vt:i4>
      </vt:variant>
      <vt:variant>
        <vt:i4>234</vt:i4>
      </vt:variant>
      <vt:variant>
        <vt:i4>0</vt:i4>
      </vt:variant>
      <vt:variant>
        <vt:i4>5</vt:i4>
      </vt:variant>
      <vt:variant>
        <vt:lpwstr>http://www.lowemissionzones.eu/what-are-lezs?showall=&amp;start=4</vt:lpwstr>
      </vt:variant>
      <vt:variant>
        <vt:lpwstr/>
      </vt:variant>
      <vt:variant>
        <vt:i4>1704032</vt:i4>
      </vt:variant>
      <vt:variant>
        <vt:i4>231</vt:i4>
      </vt:variant>
      <vt:variant>
        <vt:i4>0</vt:i4>
      </vt:variant>
      <vt:variant>
        <vt:i4>5</vt:i4>
      </vt:variant>
      <vt:variant>
        <vt:lpwstr>http://ec.europa.eu/environment/gpp/eu_gpp_criteria_en.htm</vt:lpwstr>
      </vt:variant>
      <vt:variant>
        <vt:lpwstr/>
      </vt:variant>
      <vt:variant>
        <vt:i4>4259889</vt:i4>
      </vt:variant>
      <vt:variant>
        <vt:i4>228</vt:i4>
      </vt:variant>
      <vt:variant>
        <vt:i4>0</vt:i4>
      </vt:variant>
      <vt:variant>
        <vt:i4>5</vt:i4>
      </vt:variant>
      <vt:variant>
        <vt:lpwstr>http://ec.europa.eu/environment/emas/index_en.htm</vt:lpwstr>
      </vt:variant>
      <vt:variant>
        <vt:lpwstr/>
      </vt:variant>
      <vt:variant>
        <vt:i4>5701710</vt:i4>
      </vt:variant>
      <vt:variant>
        <vt:i4>225</vt:i4>
      </vt:variant>
      <vt:variant>
        <vt:i4>0</vt:i4>
      </vt:variant>
      <vt:variant>
        <vt:i4>5</vt:i4>
      </vt:variant>
      <vt:variant>
        <vt:lpwstr>http://www.minpriroda.gov.by/ru/news/p-alignjustifyitogi-6-respublikanskix-konkursov-ekologicheskoj-napravlennosti-podvedeny-v-ministerstve-prirodnyx-resursov-i-oxrany-okruzhajuschej-sredyp_i_1374.html</vt:lpwstr>
      </vt:variant>
      <vt:variant>
        <vt:lpwstr/>
      </vt:variant>
      <vt:variant>
        <vt:i4>5308442</vt:i4>
      </vt:variant>
      <vt:variant>
        <vt:i4>222</vt:i4>
      </vt:variant>
      <vt:variant>
        <vt:i4>0</vt:i4>
      </vt:variant>
      <vt:variant>
        <vt:i4>5</vt:i4>
      </vt:variant>
      <vt:variant>
        <vt:lpwstr>http://www.fao.org/prods/gap/</vt:lpwstr>
      </vt:variant>
      <vt:variant>
        <vt:lpwstr/>
      </vt:variant>
      <vt:variant>
        <vt:i4>1900635</vt:i4>
      </vt:variant>
      <vt:variant>
        <vt:i4>219</vt:i4>
      </vt:variant>
      <vt:variant>
        <vt:i4>0</vt:i4>
      </vt:variant>
      <vt:variant>
        <vt:i4>5</vt:i4>
      </vt:variant>
      <vt:variant>
        <vt:lpwstr>http://ec.europa.eu/clima/policies/roadmap/docs/main_report_en.pdf</vt:lpwstr>
      </vt:variant>
      <vt:variant>
        <vt:lpwstr/>
      </vt:variant>
      <vt:variant>
        <vt:i4>6291527</vt:i4>
      </vt:variant>
      <vt:variant>
        <vt:i4>216</vt:i4>
      </vt:variant>
      <vt:variant>
        <vt:i4>0</vt:i4>
      </vt:variant>
      <vt:variant>
        <vt:i4>5</vt:i4>
      </vt:variant>
      <vt:variant>
        <vt:lpwstr>http://ec.europa.eu/agriculture/direct-support/direct-payments/index_en.htm</vt:lpwstr>
      </vt:variant>
      <vt:variant>
        <vt:lpwstr/>
      </vt:variant>
      <vt:variant>
        <vt:i4>6357026</vt:i4>
      </vt:variant>
      <vt:variant>
        <vt:i4>213</vt:i4>
      </vt:variant>
      <vt:variant>
        <vt:i4>0</vt:i4>
      </vt:variant>
      <vt:variant>
        <vt:i4>5</vt:i4>
      </vt:variant>
      <vt:variant>
        <vt:lpwstr>http://www.pravo.by/main.aspx?guid=3871&amp;p0=P30900510&amp;p2={NRPA}</vt:lpwstr>
      </vt:variant>
      <vt:variant>
        <vt:lpwstr/>
      </vt:variant>
      <vt:variant>
        <vt:i4>7209082</vt:i4>
      </vt:variant>
      <vt:variant>
        <vt:i4>210</vt:i4>
      </vt:variant>
      <vt:variant>
        <vt:i4>0</vt:i4>
      </vt:variant>
      <vt:variant>
        <vt:i4>5</vt:i4>
      </vt:variant>
      <vt:variant>
        <vt:lpwstr>http://eur-lex.europa.eu/LexUriServ/LexUriServ.do?uri=COM:2008:0400:FIN:EN:PDF</vt:lpwstr>
      </vt:variant>
      <vt:variant>
        <vt:lpwstr/>
      </vt:variant>
      <vt:variant>
        <vt:i4>1441800</vt:i4>
      </vt:variant>
      <vt:variant>
        <vt:i4>207</vt:i4>
      </vt:variant>
      <vt:variant>
        <vt:i4>0</vt:i4>
      </vt:variant>
      <vt:variant>
        <vt:i4>5</vt:i4>
      </vt:variant>
      <vt:variant>
        <vt:lpwstr>http://ec.europa.eu/environment/gpp/pdf/handbook.pdf</vt:lpwstr>
      </vt:variant>
      <vt:variant>
        <vt:lpwstr/>
      </vt:variant>
      <vt:variant>
        <vt:i4>8257572</vt:i4>
      </vt:variant>
      <vt:variant>
        <vt:i4>204</vt:i4>
      </vt:variant>
      <vt:variant>
        <vt:i4>0</vt:i4>
      </vt:variant>
      <vt:variant>
        <vt:i4>5</vt:i4>
      </vt:variant>
      <vt:variant>
        <vt:lpwstr>https://www.swedbank.lv/en/jaundibinatiem_uznemumiem/biznesa_inkubatori/</vt:lpwstr>
      </vt:variant>
      <vt:variant>
        <vt:lpwstr/>
      </vt:variant>
      <vt:variant>
        <vt:i4>2949223</vt:i4>
      </vt:variant>
      <vt:variant>
        <vt:i4>201</vt:i4>
      </vt:variant>
      <vt:variant>
        <vt:i4>0</vt:i4>
      </vt:variant>
      <vt:variant>
        <vt:i4>5</vt:i4>
      </vt:variant>
      <vt:variant>
        <vt:lpwstr>http://ec.europa.eu/energy/efficiency/studies/doc/2010_05_jrc_va_study.pdf</vt:lpwstr>
      </vt:variant>
      <vt:variant>
        <vt:lpwstr/>
      </vt:variant>
      <vt:variant>
        <vt:i4>8126502</vt:i4>
      </vt:variant>
      <vt:variant>
        <vt:i4>198</vt:i4>
      </vt:variant>
      <vt:variant>
        <vt:i4>0</vt:i4>
      </vt:variant>
      <vt:variant>
        <vt:i4>5</vt:i4>
      </vt:variant>
      <vt:variant>
        <vt:lpwstr>http://r2e2.am/en/about-us/</vt:lpwstr>
      </vt:variant>
      <vt:variant>
        <vt:lpwstr/>
      </vt:variant>
      <vt:variant>
        <vt:i4>8192012</vt:i4>
      </vt:variant>
      <vt:variant>
        <vt:i4>195</vt:i4>
      </vt:variant>
      <vt:variant>
        <vt:i4>0</vt:i4>
      </vt:variant>
      <vt:variant>
        <vt:i4>5</vt:i4>
      </vt:variant>
      <vt:variant>
        <vt:lpwstr>http://www.eea.europa.eu/soer/countries/pl/soertopic_view?topic=air%20pollution</vt:lpwstr>
      </vt:variant>
      <vt:variant>
        <vt:lpwstr/>
      </vt:variant>
      <vt:variant>
        <vt:i4>1048643</vt:i4>
      </vt:variant>
      <vt:variant>
        <vt:i4>192</vt:i4>
      </vt:variant>
      <vt:variant>
        <vt:i4>0</vt:i4>
      </vt:variant>
      <vt:variant>
        <vt:i4>5</vt:i4>
      </vt:variant>
      <vt:variant>
        <vt:lpwstr>http://ec.europa.eu/environment/life/themes/air/best.htm</vt:lpwstr>
      </vt:variant>
      <vt:variant>
        <vt:lpwstr/>
      </vt:variant>
      <vt:variant>
        <vt:i4>2883616</vt:i4>
      </vt:variant>
      <vt:variant>
        <vt:i4>189</vt:i4>
      </vt:variant>
      <vt:variant>
        <vt:i4>0</vt:i4>
      </vt:variant>
      <vt:variant>
        <vt:i4>5</vt:i4>
      </vt:variant>
      <vt:variant>
        <vt:lpwstr>http://impel.eu/about/</vt:lpwstr>
      </vt:variant>
      <vt:variant>
        <vt:lpwstr/>
      </vt:variant>
      <vt:variant>
        <vt:i4>1572916</vt:i4>
      </vt:variant>
      <vt:variant>
        <vt:i4>182</vt:i4>
      </vt:variant>
      <vt:variant>
        <vt:i4>0</vt:i4>
      </vt:variant>
      <vt:variant>
        <vt:i4>5</vt:i4>
      </vt:variant>
      <vt:variant>
        <vt:lpwstr/>
      </vt:variant>
      <vt:variant>
        <vt:lpwstr>_Toc384654653</vt:lpwstr>
      </vt:variant>
      <vt:variant>
        <vt:i4>1572916</vt:i4>
      </vt:variant>
      <vt:variant>
        <vt:i4>176</vt:i4>
      </vt:variant>
      <vt:variant>
        <vt:i4>0</vt:i4>
      </vt:variant>
      <vt:variant>
        <vt:i4>5</vt:i4>
      </vt:variant>
      <vt:variant>
        <vt:lpwstr/>
      </vt:variant>
      <vt:variant>
        <vt:lpwstr>_Toc384654652</vt:lpwstr>
      </vt:variant>
      <vt:variant>
        <vt:i4>1572916</vt:i4>
      </vt:variant>
      <vt:variant>
        <vt:i4>170</vt:i4>
      </vt:variant>
      <vt:variant>
        <vt:i4>0</vt:i4>
      </vt:variant>
      <vt:variant>
        <vt:i4>5</vt:i4>
      </vt:variant>
      <vt:variant>
        <vt:lpwstr/>
      </vt:variant>
      <vt:variant>
        <vt:lpwstr>_Toc384654651</vt:lpwstr>
      </vt:variant>
      <vt:variant>
        <vt:i4>1572916</vt:i4>
      </vt:variant>
      <vt:variant>
        <vt:i4>164</vt:i4>
      </vt:variant>
      <vt:variant>
        <vt:i4>0</vt:i4>
      </vt:variant>
      <vt:variant>
        <vt:i4>5</vt:i4>
      </vt:variant>
      <vt:variant>
        <vt:lpwstr/>
      </vt:variant>
      <vt:variant>
        <vt:lpwstr>_Toc384654650</vt:lpwstr>
      </vt:variant>
      <vt:variant>
        <vt:i4>1638452</vt:i4>
      </vt:variant>
      <vt:variant>
        <vt:i4>158</vt:i4>
      </vt:variant>
      <vt:variant>
        <vt:i4>0</vt:i4>
      </vt:variant>
      <vt:variant>
        <vt:i4>5</vt:i4>
      </vt:variant>
      <vt:variant>
        <vt:lpwstr/>
      </vt:variant>
      <vt:variant>
        <vt:lpwstr>_Toc384654649</vt:lpwstr>
      </vt:variant>
      <vt:variant>
        <vt:i4>1638452</vt:i4>
      </vt:variant>
      <vt:variant>
        <vt:i4>152</vt:i4>
      </vt:variant>
      <vt:variant>
        <vt:i4>0</vt:i4>
      </vt:variant>
      <vt:variant>
        <vt:i4>5</vt:i4>
      </vt:variant>
      <vt:variant>
        <vt:lpwstr/>
      </vt:variant>
      <vt:variant>
        <vt:lpwstr>_Toc384654648</vt:lpwstr>
      </vt:variant>
      <vt:variant>
        <vt:i4>1638452</vt:i4>
      </vt:variant>
      <vt:variant>
        <vt:i4>146</vt:i4>
      </vt:variant>
      <vt:variant>
        <vt:i4>0</vt:i4>
      </vt:variant>
      <vt:variant>
        <vt:i4>5</vt:i4>
      </vt:variant>
      <vt:variant>
        <vt:lpwstr/>
      </vt:variant>
      <vt:variant>
        <vt:lpwstr>_Toc384654647</vt:lpwstr>
      </vt:variant>
      <vt:variant>
        <vt:i4>1638452</vt:i4>
      </vt:variant>
      <vt:variant>
        <vt:i4>140</vt:i4>
      </vt:variant>
      <vt:variant>
        <vt:i4>0</vt:i4>
      </vt:variant>
      <vt:variant>
        <vt:i4>5</vt:i4>
      </vt:variant>
      <vt:variant>
        <vt:lpwstr/>
      </vt:variant>
      <vt:variant>
        <vt:lpwstr>_Toc384654646</vt:lpwstr>
      </vt:variant>
      <vt:variant>
        <vt:i4>1638452</vt:i4>
      </vt:variant>
      <vt:variant>
        <vt:i4>134</vt:i4>
      </vt:variant>
      <vt:variant>
        <vt:i4>0</vt:i4>
      </vt:variant>
      <vt:variant>
        <vt:i4>5</vt:i4>
      </vt:variant>
      <vt:variant>
        <vt:lpwstr/>
      </vt:variant>
      <vt:variant>
        <vt:lpwstr>_Toc384654645</vt:lpwstr>
      </vt:variant>
      <vt:variant>
        <vt:i4>1638452</vt:i4>
      </vt:variant>
      <vt:variant>
        <vt:i4>128</vt:i4>
      </vt:variant>
      <vt:variant>
        <vt:i4>0</vt:i4>
      </vt:variant>
      <vt:variant>
        <vt:i4>5</vt:i4>
      </vt:variant>
      <vt:variant>
        <vt:lpwstr/>
      </vt:variant>
      <vt:variant>
        <vt:lpwstr>_Toc384654644</vt:lpwstr>
      </vt:variant>
      <vt:variant>
        <vt:i4>1638452</vt:i4>
      </vt:variant>
      <vt:variant>
        <vt:i4>122</vt:i4>
      </vt:variant>
      <vt:variant>
        <vt:i4>0</vt:i4>
      </vt:variant>
      <vt:variant>
        <vt:i4>5</vt:i4>
      </vt:variant>
      <vt:variant>
        <vt:lpwstr/>
      </vt:variant>
      <vt:variant>
        <vt:lpwstr>_Toc384654643</vt:lpwstr>
      </vt:variant>
      <vt:variant>
        <vt:i4>1638452</vt:i4>
      </vt:variant>
      <vt:variant>
        <vt:i4>116</vt:i4>
      </vt:variant>
      <vt:variant>
        <vt:i4>0</vt:i4>
      </vt:variant>
      <vt:variant>
        <vt:i4>5</vt:i4>
      </vt:variant>
      <vt:variant>
        <vt:lpwstr/>
      </vt:variant>
      <vt:variant>
        <vt:lpwstr>_Toc384654642</vt:lpwstr>
      </vt:variant>
      <vt:variant>
        <vt:i4>1638452</vt:i4>
      </vt:variant>
      <vt:variant>
        <vt:i4>110</vt:i4>
      </vt:variant>
      <vt:variant>
        <vt:i4>0</vt:i4>
      </vt:variant>
      <vt:variant>
        <vt:i4>5</vt:i4>
      </vt:variant>
      <vt:variant>
        <vt:lpwstr/>
      </vt:variant>
      <vt:variant>
        <vt:lpwstr>_Toc384654641</vt:lpwstr>
      </vt:variant>
      <vt:variant>
        <vt:i4>1638452</vt:i4>
      </vt:variant>
      <vt:variant>
        <vt:i4>104</vt:i4>
      </vt:variant>
      <vt:variant>
        <vt:i4>0</vt:i4>
      </vt:variant>
      <vt:variant>
        <vt:i4>5</vt:i4>
      </vt:variant>
      <vt:variant>
        <vt:lpwstr/>
      </vt:variant>
      <vt:variant>
        <vt:lpwstr>_Toc384654640</vt:lpwstr>
      </vt:variant>
      <vt:variant>
        <vt:i4>1966132</vt:i4>
      </vt:variant>
      <vt:variant>
        <vt:i4>98</vt:i4>
      </vt:variant>
      <vt:variant>
        <vt:i4>0</vt:i4>
      </vt:variant>
      <vt:variant>
        <vt:i4>5</vt:i4>
      </vt:variant>
      <vt:variant>
        <vt:lpwstr/>
      </vt:variant>
      <vt:variant>
        <vt:lpwstr>_Toc384654639</vt:lpwstr>
      </vt:variant>
      <vt:variant>
        <vt:i4>1966132</vt:i4>
      </vt:variant>
      <vt:variant>
        <vt:i4>92</vt:i4>
      </vt:variant>
      <vt:variant>
        <vt:i4>0</vt:i4>
      </vt:variant>
      <vt:variant>
        <vt:i4>5</vt:i4>
      </vt:variant>
      <vt:variant>
        <vt:lpwstr/>
      </vt:variant>
      <vt:variant>
        <vt:lpwstr>_Toc384654638</vt:lpwstr>
      </vt:variant>
      <vt:variant>
        <vt:i4>1966132</vt:i4>
      </vt:variant>
      <vt:variant>
        <vt:i4>86</vt:i4>
      </vt:variant>
      <vt:variant>
        <vt:i4>0</vt:i4>
      </vt:variant>
      <vt:variant>
        <vt:i4>5</vt:i4>
      </vt:variant>
      <vt:variant>
        <vt:lpwstr/>
      </vt:variant>
      <vt:variant>
        <vt:lpwstr>_Toc384654637</vt:lpwstr>
      </vt:variant>
      <vt:variant>
        <vt:i4>1966132</vt:i4>
      </vt:variant>
      <vt:variant>
        <vt:i4>80</vt:i4>
      </vt:variant>
      <vt:variant>
        <vt:i4>0</vt:i4>
      </vt:variant>
      <vt:variant>
        <vt:i4>5</vt:i4>
      </vt:variant>
      <vt:variant>
        <vt:lpwstr/>
      </vt:variant>
      <vt:variant>
        <vt:lpwstr>_Toc384654636</vt:lpwstr>
      </vt:variant>
      <vt:variant>
        <vt:i4>1966132</vt:i4>
      </vt:variant>
      <vt:variant>
        <vt:i4>74</vt:i4>
      </vt:variant>
      <vt:variant>
        <vt:i4>0</vt:i4>
      </vt:variant>
      <vt:variant>
        <vt:i4>5</vt:i4>
      </vt:variant>
      <vt:variant>
        <vt:lpwstr/>
      </vt:variant>
      <vt:variant>
        <vt:lpwstr>_Toc384654635</vt:lpwstr>
      </vt:variant>
      <vt:variant>
        <vt:i4>1966132</vt:i4>
      </vt:variant>
      <vt:variant>
        <vt:i4>68</vt:i4>
      </vt:variant>
      <vt:variant>
        <vt:i4>0</vt:i4>
      </vt:variant>
      <vt:variant>
        <vt:i4>5</vt:i4>
      </vt:variant>
      <vt:variant>
        <vt:lpwstr/>
      </vt:variant>
      <vt:variant>
        <vt:lpwstr>_Toc384654634</vt:lpwstr>
      </vt:variant>
      <vt:variant>
        <vt:i4>1966132</vt:i4>
      </vt:variant>
      <vt:variant>
        <vt:i4>62</vt:i4>
      </vt:variant>
      <vt:variant>
        <vt:i4>0</vt:i4>
      </vt:variant>
      <vt:variant>
        <vt:i4>5</vt:i4>
      </vt:variant>
      <vt:variant>
        <vt:lpwstr/>
      </vt:variant>
      <vt:variant>
        <vt:lpwstr>_Toc384654633</vt:lpwstr>
      </vt:variant>
      <vt:variant>
        <vt:i4>1966132</vt:i4>
      </vt:variant>
      <vt:variant>
        <vt:i4>56</vt:i4>
      </vt:variant>
      <vt:variant>
        <vt:i4>0</vt:i4>
      </vt:variant>
      <vt:variant>
        <vt:i4>5</vt:i4>
      </vt:variant>
      <vt:variant>
        <vt:lpwstr/>
      </vt:variant>
      <vt:variant>
        <vt:lpwstr>_Toc384654632</vt:lpwstr>
      </vt:variant>
      <vt:variant>
        <vt:i4>1966132</vt:i4>
      </vt:variant>
      <vt:variant>
        <vt:i4>50</vt:i4>
      </vt:variant>
      <vt:variant>
        <vt:i4>0</vt:i4>
      </vt:variant>
      <vt:variant>
        <vt:i4>5</vt:i4>
      </vt:variant>
      <vt:variant>
        <vt:lpwstr/>
      </vt:variant>
      <vt:variant>
        <vt:lpwstr>_Toc384654631</vt:lpwstr>
      </vt:variant>
      <vt:variant>
        <vt:i4>1966132</vt:i4>
      </vt:variant>
      <vt:variant>
        <vt:i4>44</vt:i4>
      </vt:variant>
      <vt:variant>
        <vt:i4>0</vt:i4>
      </vt:variant>
      <vt:variant>
        <vt:i4>5</vt:i4>
      </vt:variant>
      <vt:variant>
        <vt:lpwstr/>
      </vt:variant>
      <vt:variant>
        <vt:lpwstr>_Toc384654630</vt:lpwstr>
      </vt:variant>
      <vt:variant>
        <vt:i4>2031668</vt:i4>
      </vt:variant>
      <vt:variant>
        <vt:i4>38</vt:i4>
      </vt:variant>
      <vt:variant>
        <vt:i4>0</vt:i4>
      </vt:variant>
      <vt:variant>
        <vt:i4>5</vt:i4>
      </vt:variant>
      <vt:variant>
        <vt:lpwstr/>
      </vt:variant>
      <vt:variant>
        <vt:lpwstr>_Toc384654629</vt:lpwstr>
      </vt:variant>
      <vt:variant>
        <vt:i4>2031668</vt:i4>
      </vt:variant>
      <vt:variant>
        <vt:i4>32</vt:i4>
      </vt:variant>
      <vt:variant>
        <vt:i4>0</vt:i4>
      </vt:variant>
      <vt:variant>
        <vt:i4>5</vt:i4>
      </vt:variant>
      <vt:variant>
        <vt:lpwstr/>
      </vt:variant>
      <vt:variant>
        <vt:lpwstr>_Toc384654628</vt:lpwstr>
      </vt:variant>
      <vt:variant>
        <vt:i4>2031668</vt:i4>
      </vt:variant>
      <vt:variant>
        <vt:i4>26</vt:i4>
      </vt:variant>
      <vt:variant>
        <vt:i4>0</vt:i4>
      </vt:variant>
      <vt:variant>
        <vt:i4>5</vt:i4>
      </vt:variant>
      <vt:variant>
        <vt:lpwstr/>
      </vt:variant>
      <vt:variant>
        <vt:lpwstr>_Toc384654627</vt:lpwstr>
      </vt:variant>
      <vt:variant>
        <vt:i4>2031668</vt:i4>
      </vt:variant>
      <vt:variant>
        <vt:i4>20</vt:i4>
      </vt:variant>
      <vt:variant>
        <vt:i4>0</vt:i4>
      </vt:variant>
      <vt:variant>
        <vt:i4>5</vt:i4>
      </vt:variant>
      <vt:variant>
        <vt:lpwstr/>
      </vt:variant>
      <vt:variant>
        <vt:lpwstr>_Toc384654626</vt:lpwstr>
      </vt:variant>
      <vt:variant>
        <vt:i4>2031668</vt:i4>
      </vt:variant>
      <vt:variant>
        <vt:i4>14</vt:i4>
      </vt:variant>
      <vt:variant>
        <vt:i4>0</vt:i4>
      </vt:variant>
      <vt:variant>
        <vt:i4>5</vt:i4>
      </vt:variant>
      <vt:variant>
        <vt:lpwstr/>
      </vt:variant>
      <vt:variant>
        <vt:lpwstr>_Toc384654625</vt:lpwstr>
      </vt:variant>
      <vt:variant>
        <vt:i4>2031668</vt:i4>
      </vt:variant>
      <vt:variant>
        <vt:i4>8</vt:i4>
      </vt:variant>
      <vt:variant>
        <vt:i4>0</vt:i4>
      </vt:variant>
      <vt:variant>
        <vt:i4>5</vt:i4>
      </vt:variant>
      <vt:variant>
        <vt:lpwstr/>
      </vt:variant>
      <vt:variant>
        <vt:lpwstr>_Toc384654624</vt:lpwstr>
      </vt:variant>
      <vt:variant>
        <vt:i4>2031668</vt:i4>
      </vt:variant>
      <vt:variant>
        <vt:i4>2</vt:i4>
      </vt:variant>
      <vt:variant>
        <vt:i4>0</vt:i4>
      </vt:variant>
      <vt:variant>
        <vt:i4>5</vt:i4>
      </vt:variant>
      <vt:variant>
        <vt:lpwstr/>
      </vt:variant>
      <vt:variant>
        <vt:lpwstr>_Toc384654623</vt:lpwstr>
      </vt:variant>
      <vt:variant>
        <vt:i4>1900635</vt:i4>
      </vt:variant>
      <vt:variant>
        <vt:i4>177</vt:i4>
      </vt:variant>
      <vt:variant>
        <vt:i4>0</vt:i4>
      </vt:variant>
      <vt:variant>
        <vt:i4>5</vt:i4>
      </vt:variant>
      <vt:variant>
        <vt:lpwstr>http://ec.europa.eu/clima/policies/roadmap/docs/main_report_en.pdf</vt:lpwstr>
      </vt:variant>
      <vt:variant>
        <vt:lpwstr/>
      </vt:variant>
      <vt:variant>
        <vt:i4>1900635</vt:i4>
      </vt:variant>
      <vt:variant>
        <vt:i4>174</vt:i4>
      </vt:variant>
      <vt:variant>
        <vt:i4>0</vt:i4>
      </vt:variant>
      <vt:variant>
        <vt:i4>5</vt:i4>
      </vt:variant>
      <vt:variant>
        <vt:lpwstr>http://ec.europa.eu/clima/policies/roadmap/docs/main_report_en.pdf</vt:lpwstr>
      </vt:variant>
      <vt:variant>
        <vt:lpwstr/>
      </vt:variant>
      <vt:variant>
        <vt:i4>6422570</vt:i4>
      </vt:variant>
      <vt:variant>
        <vt:i4>171</vt:i4>
      </vt:variant>
      <vt:variant>
        <vt:i4>0</vt:i4>
      </vt:variant>
      <vt:variant>
        <vt:i4>5</vt:i4>
      </vt:variant>
      <vt:variant>
        <vt:lpwstr>http://www.meinbezirk.at/eisenstadt/leute/kiss-and-ride-bahnfahrer-kuessen-besser-d437212.html</vt:lpwstr>
      </vt:variant>
      <vt:variant>
        <vt:lpwstr/>
      </vt:variant>
      <vt:variant>
        <vt:i4>8323116</vt:i4>
      </vt:variant>
      <vt:variant>
        <vt:i4>168</vt:i4>
      </vt:variant>
      <vt:variant>
        <vt:i4>0</vt:i4>
      </vt:variant>
      <vt:variant>
        <vt:i4>5</vt:i4>
      </vt:variant>
      <vt:variant>
        <vt:lpwstr>http://en.wikipedia.org/wiki/Park_and_ride</vt:lpwstr>
      </vt:variant>
      <vt:variant>
        <vt:lpwstr/>
      </vt:variant>
      <vt:variant>
        <vt:i4>393243</vt:i4>
      </vt:variant>
      <vt:variant>
        <vt:i4>165</vt:i4>
      </vt:variant>
      <vt:variant>
        <vt:i4>0</vt:i4>
      </vt:variant>
      <vt:variant>
        <vt:i4>5</vt:i4>
      </vt:variant>
      <vt:variant>
        <vt:lpwstr>http://www.lowemissionzones.eu/what-are-lezs?showall=&amp;start=4</vt:lpwstr>
      </vt:variant>
      <vt:variant>
        <vt:lpwstr/>
      </vt:variant>
      <vt:variant>
        <vt:i4>655372</vt:i4>
      </vt:variant>
      <vt:variant>
        <vt:i4>162</vt:i4>
      </vt:variant>
      <vt:variant>
        <vt:i4>0</vt:i4>
      </vt:variant>
      <vt:variant>
        <vt:i4>5</vt:i4>
      </vt:variant>
      <vt:variant>
        <vt:lpwstr>http://www.lowemissionzones.eu/what-are-lezs</vt:lpwstr>
      </vt:variant>
      <vt:variant>
        <vt:lpwstr/>
      </vt:variant>
      <vt:variant>
        <vt:i4>5701634</vt:i4>
      </vt:variant>
      <vt:variant>
        <vt:i4>159</vt:i4>
      </vt:variant>
      <vt:variant>
        <vt:i4>0</vt:i4>
      </vt:variant>
      <vt:variant>
        <vt:i4>5</vt:i4>
      </vt:variant>
      <vt:variant>
        <vt:lpwstr>http://www.letsdoitworld.org/</vt:lpwstr>
      </vt:variant>
      <vt:variant>
        <vt:lpwstr/>
      </vt:variant>
      <vt:variant>
        <vt:i4>524292</vt:i4>
      </vt:variant>
      <vt:variant>
        <vt:i4>156</vt:i4>
      </vt:variant>
      <vt:variant>
        <vt:i4>0</vt:i4>
      </vt:variant>
      <vt:variant>
        <vt:i4>5</vt:i4>
      </vt:variant>
      <vt:variant>
        <vt:lpwstr>http://www.talkas.lv/?lng=en</vt:lpwstr>
      </vt:variant>
      <vt:variant>
        <vt:lpwstr/>
      </vt:variant>
      <vt:variant>
        <vt:i4>1441802</vt:i4>
      </vt:variant>
      <vt:variant>
        <vt:i4>153</vt:i4>
      </vt:variant>
      <vt:variant>
        <vt:i4>0</vt:i4>
      </vt:variant>
      <vt:variant>
        <vt:i4>5</vt:i4>
      </vt:variant>
      <vt:variant>
        <vt:lpwstr>http://ec.europa.eu/environment/integration/research/newsalert/pdf/353na5.pdf</vt:lpwstr>
      </vt:variant>
      <vt:variant>
        <vt:lpwstr/>
      </vt:variant>
      <vt:variant>
        <vt:i4>2359308</vt:i4>
      </vt:variant>
      <vt:variant>
        <vt:i4>150</vt:i4>
      </vt:variant>
      <vt:variant>
        <vt:i4>0</vt:i4>
      </vt:variant>
      <vt:variant>
        <vt:i4>5</vt:i4>
      </vt:variant>
      <vt:variant>
        <vt:lpwstr>http://ec.europa.eu/environment/emas/about/enviro_en.htm</vt:lpwstr>
      </vt:variant>
      <vt:variant>
        <vt:lpwstr/>
      </vt:variant>
      <vt:variant>
        <vt:i4>4259889</vt:i4>
      </vt:variant>
      <vt:variant>
        <vt:i4>147</vt:i4>
      </vt:variant>
      <vt:variant>
        <vt:i4>0</vt:i4>
      </vt:variant>
      <vt:variant>
        <vt:i4>5</vt:i4>
      </vt:variant>
      <vt:variant>
        <vt:lpwstr>http://ec.europa.eu/environment/emas/index_en.htm</vt:lpwstr>
      </vt:variant>
      <vt:variant>
        <vt:lpwstr/>
      </vt:variant>
      <vt:variant>
        <vt:i4>6422561</vt:i4>
      </vt:variant>
      <vt:variant>
        <vt:i4>144</vt:i4>
      </vt:variant>
      <vt:variant>
        <vt:i4>0</vt:i4>
      </vt:variant>
      <vt:variant>
        <vt:i4>5</vt:i4>
      </vt:variant>
      <vt:variant>
        <vt:lpwstr>http://www.iso.org/iso/home/standards/management-standards/iso14000.htm</vt:lpwstr>
      </vt:variant>
      <vt:variant>
        <vt:lpwstr/>
      </vt:variant>
      <vt:variant>
        <vt:i4>2359308</vt:i4>
      </vt:variant>
      <vt:variant>
        <vt:i4>141</vt:i4>
      </vt:variant>
      <vt:variant>
        <vt:i4>0</vt:i4>
      </vt:variant>
      <vt:variant>
        <vt:i4>5</vt:i4>
      </vt:variant>
      <vt:variant>
        <vt:lpwstr>http://ec.europa.eu/environment/emas/about/enviro_en.htm</vt:lpwstr>
      </vt:variant>
      <vt:variant>
        <vt:lpwstr/>
      </vt:variant>
      <vt:variant>
        <vt:i4>720982</vt:i4>
      </vt:variant>
      <vt:variant>
        <vt:i4>138</vt:i4>
      </vt:variant>
      <vt:variant>
        <vt:i4>0</vt:i4>
      </vt:variant>
      <vt:variant>
        <vt:i4>5</vt:i4>
      </vt:variant>
      <vt:variant>
        <vt:lpwstr>http://ec.europa.eu/environment/water/water-nitrates/</vt:lpwstr>
      </vt:variant>
      <vt:variant>
        <vt:lpwstr/>
      </vt:variant>
      <vt:variant>
        <vt:i4>5308442</vt:i4>
      </vt:variant>
      <vt:variant>
        <vt:i4>135</vt:i4>
      </vt:variant>
      <vt:variant>
        <vt:i4>0</vt:i4>
      </vt:variant>
      <vt:variant>
        <vt:i4>5</vt:i4>
      </vt:variant>
      <vt:variant>
        <vt:lpwstr>http://www.fao.org/prods/gap/</vt:lpwstr>
      </vt:variant>
      <vt:variant>
        <vt:lpwstr/>
      </vt:variant>
      <vt:variant>
        <vt:i4>2949223</vt:i4>
      </vt:variant>
      <vt:variant>
        <vt:i4>132</vt:i4>
      </vt:variant>
      <vt:variant>
        <vt:i4>0</vt:i4>
      </vt:variant>
      <vt:variant>
        <vt:i4>5</vt:i4>
      </vt:variant>
      <vt:variant>
        <vt:lpwstr>http://ec.europa.eu/energy/efficiency/studies/doc/2010_05_jrc_va_study.pdf</vt:lpwstr>
      </vt:variant>
      <vt:variant>
        <vt:lpwstr/>
      </vt:variant>
      <vt:variant>
        <vt:i4>4391005</vt:i4>
      </vt:variant>
      <vt:variant>
        <vt:i4>129</vt:i4>
      </vt:variant>
      <vt:variant>
        <vt:i4>0</vt:i4>
      </vt:variant>
      <vt:variant>
        <vt:i4>5</vt:i4>
      </vt:variant>
      <vt:variant>
        <vt:lpwstr>http://www.unece.org/fileadmin/DAM/env/documents/2013/air/wgsr_51/5_Reduction_of_SO2_and_NOx_through_a_voluntary_agreement_with_the_Flemish_power_plant_sector.pdf</vt:lpwstr>
      </vt:variant>
      <vt:variant>
        <vt:lpwstr/>
      </vt:variant>
      <vt:variant>
        <vt:i4>2818123</vt:i4>
      </vt:variant>
      <vt:variant>
        <vt:i4>126</vt:i4>
      </vt:variant>
      <vt:variant>
        <vt:i4>0</vt:i4>
      </vt:variant>
      <vt:variant>
        <vt:i4>5</vt:i4>
      </vt:variant>
      <vt:variant>
        <vt:lpwstr>http://www.uni-obuda.hu/journal/Lesakova_35.pdf</vt:lpwstr>
      </vt:variant>
      <vt:variant>
        <vt:lpwstr/>
      </vt:variant>
      <vt:variant>
        <vt:i4>5177412</vt:i4>
      </vt:variant>
      <vt:variant>
        <vt:i4>123</vt:i4>
      </vt:variant>
      <vt:variant>
        <vt:i4>0</vt:i4>
      </vt:variant>
      <vt:variant>
        <vt:i4>5</vt:i4>
      </vt:variant>
      <vt:variant>
        <vt:lpwstr>http://icecommittee.org/reports/Tracy_Kitts_Presentation_ICE_Nov_3_10.pdf</vt:lpwstr>
      </vt:variant>
      <vt:variant>
        <vt:lpwstr/>
      </vt:variant>
      <vt:variant>
        <vt:i4>8257572</vt:i4>
      </vt:variant>
      <vt:variant>
        <vt:i4>120</vt:i4>
      </vt:variant>
      <vt:variant>
        <vt:i4>0</vt:i4>
      </vt:variant>
      <vt:variant>
        <vt:i4>5</vt:i4>
      </vt:variant>
      <vt:variant>
        <vt:lpwstr>https://www.swedbank.lv/en/jaundibinatiem_uznemumiem/biznesa_inkubatori/</vt:lpwstr>
      </vt:variant>
      <vt:variant>
        <vt:lpwstr/>
      </vt:variant>
      <vt:variant>
        <vt:i4>1441800</vt:i4>
      </vt:variant>
      <vt:variant>
        <vt:i4>117</vt:i4>
      </vt:variant>
      <vt:variant>
        <vt:i4>0</vt:i4>
      </vt:variant>
      <vt:variant>
        <vt:i4>5</vt:i4>
      </vt:variant>
      <vt:variant>
        <vt:lpwstr>http://ec.europa.eu/environment/gpp/pdf/handbook.pdf</vt:lpwstr>
      </vt:variant>
      <vt:variant>
        <vt:lpwstr/>
      </vt:variant>
      <vt:variant>
        <vt:i4>1704032</vt:i4>
      </vt:variant>
      <vt:variant>
        <vt:i4>114</vt:i4>
      </vt:variant>
      <vt:variant>
        <vt:i4>0</vt:i4>
      </vt:variant>
      <vt:variant>
        <vt:i4>5</vt:i4>
      </vt:variant>
      <vt:variant>
        <vt:lpwstr>http://ec.europa.eu/environment/gpp/eu_gpp_criteria_en.htm</vt:lpwstr>
      </vt:variant>
      <vt:variant>
        <vt:lpwstr/>
      </vt:variant>
      <vt:variant>
        <vt:i4>1900635</vt:i4>
      </vt:variant>
      <vt:variant>
        <vt:i4>111</vt:i4>
      </vt:variant>
      <vt:variant>
        <vt:i4>0</vt:i4>
      </vt:variant>
      <vt:variant>
        <vt:i4>5</vt:i4>
      </vt:variant>
      <vt:variant>
        <vt:lpwstr>http://ec.europa.eu/clima/policies/roadmap/docs/main_report_en.pdf</vt:lpwstr>
      </vt:variant>
      <vt:variant>
        <vt:lpwstr/>
      </vt:variant>
      <vt:variant>
        <vt:i4>655372</vt:i4>
      </vt:variant>
      <vt:variant>
        <vt:i4>108</vt:i4>
      </vt:variant>
      <vt:variant>
        <vt:i4>0</vt:i4>
      </vt:variant>
      <vt:variant>
        <vt:i4>5</vt:i4>
      </vt:variant>
      <vt:variant>
        <vt:lpwstr>http://www.lowemissionzones.eu/what-are-lezs</vt:lpwstr>
      </vt:variant>
      <vt:variant>
        <vt:lpwstr/>
      </vt:variant>
      <vt:variant>
        <vt:i4>2359308</vt:i4>
      </vt:variant>
      <vt:variant>
        <vt:i4>105</vt:i4>
      </vt:variant>
      <vt:variant>
        <vt:i4>0</vt:i4>
      </vt:variant>
      <vt:variant>
        <vt:i4>5</vt:i4>
      </vt:variant>
      <vt:variant>
        <vt:lpwstr>http://ec.europa.eu/environment/emas/about/enviro_en.htm</vt:lpwstr>
      </vt:variant>
      <vt:variant>
        <vt:lpwstr/>
      </vt:variant>
      <vt:variant>
        <vt:i4>2949223</vt:i4>
      </vt:variant>
      <vt:variant>
        <vt:i4>102</vt:i4>
      </vt:variant>
      <vt:variant>
        <vt:i4>0</vt:i4>
      </vt:variant>
      <vt:variant>
        <vt:i4>5</vt:i4>
      </vt:variant>
      <vt:variant>
        <vt:lpwstr>http://ec.europa.eu/energy/efficiency/studies/doc/2010_05_jrc_va_study.pdf</vt:lpwstr>
      </vt:variant>
      <vt:variant>
        <vt:lpwstr/>
      </vt:variant>
      <vt:variant>
        <vt:i4>1179740</vt:i4>
      </vt:variant>
      <vt:variant>
        <vt:i4>99</vt:i4>
      </vt:variant>
      <vt:variant>
        <vt:i4>0</vt:i4>
      </vt:variant>
      <vt:variant>
        <vt:i4>5</vt:i4>
      </vt:variant>
      <vt:variant>
        <vt:lpwstr>http://www.unep.org/greeneconomy/AboutGEI/WhatisGEI/tabid/29784/Default.aspx</vt:lpwstr>
      </vt:variant>
      <vt:variant>
        <vt:lpwstr/>
      </vt:variant>
      <vt:variant>
        <vt:i4>7209082</vt:i4>
      </vt:variant>
      <vt:variant>
        <vt:i4>96</vt:i4>
      </vt:variant>
      <vt:variant>
        <vt:i4>0</vt:i4>
      </vt:variant>
      <vt:variant>
        <vt:i4>5</vt:i4>
      </vt:variant>
      <vt:variant>
        <vt:lpwstr>http://eur-lex.europa.eu/LexUriServ/LexUriServ.do?uri=COM:2008:0400:FIN:EN:PDF</vt:lpwstr>
      </vt:variant>
      <vt:variant>
        <vt:lpwstr/>
      </vt:variant>
      <vt:variant>
        <vt:i4>4259931</vt:i4>
      </vt:variant>
      <vt:variant>
        <vt:i4>93</vt:i4>
      </vt:variant>
      <vt:variant>
        <vt:i4>0</vt:i4>
      </vt:variant>
      <vt:variant>
        <vt:i4>5</vt:i4>
      </vt:variant>
      <vt:variant>
        <vt:lpwstr>http://www.hg.org/article.asp?id=6264</vt:lpwstr>
      </vt:variant>
      <vt:variant>
        <vt:lpwstr/>
      </vt:variant>
      <vt:variant>
        <vt:i4>2162794</vt:i4>
      </vt:variant>
      <vt:variant>
        <vt:i4>90</vt:i4>
      </vt:variant>
      <vt:variant>
        <vt:i4>0</vt:i4>
      </vt:variant>
      <vt:variant>
        <vt:i4>5</vt:i4>
      </vt:variant>
      <vt:variant>
        <vt:lpwstr>http://interfax-era.ru/</vt:lpwstr>
      </vt:variant>
      <vt:variant>
        <vt:lpwstr/>
      </vt:variant>
      <vt:variant>
        <vt:i4>5898254</vt:i4>
      </vt:variant>
      <vt:variant>
        <vt:i4>87</vt:i4>
      </vt:variant>
      <vt:variant>
        <vt:i4>0</vt:i4>
      </vt:variant>
      <vt:variant>
        <vt:i4>5</vt:i4>
      </vt:variant>
      <vt:variant>
        <vt:lpwstr>http://www.moseff.org/index.php?id=1&amp;L=1</vt:lpwstr>
      </vt:variant>
      <vt:variant>
        <vt:lpwstr/>
      </vt:variant>
      <vt:variant>
        <vt:i4>327787</vt:i4>
      </vt:variant>
      <vt:variant>
        <vt:i4>84</vt:i4>
      </vt:variant>
      <vt:variant>
        <vt:i4>0</vt:i4>
      </vt:variant>
      <vt:variant>
        <vt:i4>5</vt:i4>
      </vt:variant>
      <vt:variant>
        <vt:lpwstr>http://moe.gov.ge/index.php?lang_id=GEO&amp;sec_id=40&amp;info_id=2411</vt:lpwstr>
      </vt:variant>
      <vt:variant>
        <vt:lpwstr/>
      </vt:variant>
      <vt:variant>
        <vt:i4>5701710</vt:i4>
      </vt:variant>
      <vt:variant>
        <vt:i4>81</vt:i4>
      </vt:variant>
      <vt:variant>
        <vt:i4>0</vt:i4>
      </vt:variant>
      <vt:variant>
        <vt:i4>5</vt:i4>
      </vt:variant>
      <vt:variant>
        <vt:lpwstr>http://www.minpriroda.gov.by/ru/news/p-alignjustifyitogi-6-respublikanskix-konkursov-ekologicheskoj-napravlennosti-podvedeny-v-ministerstve-prirodnyx-resursov-i-oxrany-okruzhajuschej-sredyp_i_1374.html</vt:lpwstr>
      </vt:variant>
      <vt:variant>
        <vt:lpwstr/>
      </vt:variant>
      <vt:variant>
        <vt:i4>7340154</vt:i4>
      </vt:variant>
      <vt:variant>
        <vt:i4>78</vt:i4>
      </vt:variant>
      <vt:variant>
        <vt:i4>0</vt:i4>
      </vt:variant>
      <vt:variant>
        <vt:i4>5</vt:i4>
      </vt:variant>
      <vt:variant>
        <vt:lpwstr>http://pravo.by/main.aspx?guid=3871&amp;p0=H11000204&amp;p2=%7bNRPA%7d</vt:lpwstr>
      </vt:variant>
      <vt:variant>
        <vt:lpwstr/>
      </vt:variant>
      <vt:variant>
        <vt:i4>7929879</vt:i4>
      </vt:variant>
      <vt:variant>
        <vt:i4>75</vt:i4>
      </vt:variant>
      <vt:variant>
        <vt:i4>0</vt:i4>
      </vt:variant>
      <vt:variant>
        <vt:i4>5</vt:i4>
      </vt:variant>
      <vt:variant>
        <vt:lpwstr>http://www.belta.by/ru/all_news/society/Memorandum-o-vyrabotke-mexanizmov-vzaimodejstvija-biznes-struktur-i-Minprirody-podpisan-v-Minske_i_580452.html</vt:lpwstr>
      </vt:variant>
      <vt:variant>
        <vt:lpwstr/>
      </vt:variant>
      <vt:variant>
        <vt:i4>393235</vt:i4>
      </vt:variant>
      <vt:variant>
        <vt:i4>72</vt:i4>
      </vt:variant>
      <vt:variant>
        <vt:i4>0</vt:i4>
      </vt:variant>
      <vt:variant>
        <vt:i4>5</vt:i4>
      </vt:variant>
      <vt:variant>
        <vt:lpwstr>http://minsk.gov.by/ru/org/8643/attach/263b953/kontrol_nalog_kodeks.shtml</vt:lpwstr>
      </vt:variant>
      <vt:variant>
        <vt:lpwstr/>
      </vt:variant>
      <vt:variant>
        <vt:i4>6946857</vt:i4>
      </vt:variant>
      <vt:variant>
        <vt:i4>69</vt:i4>
      </vt:variant>
      <vt:variant>
        <vt:i4>0</vt:i4>
      </vt:variant>
      <vt:variant>
        <vt:i4>5</vt:i4>
      </vt:variant>
      <vt:variant>
        <vt:lpwstr>http://www.pravo.by/main.aspx?guid=3871&amp;p0=P30900510&amp;p2=%7bNRPA%7d</vt:lpwstr>
      </vt:variant>
      <vt:variant>
        <vt:lpwstr/>
      </vt:variant>
      <vt:variant>
        <vt:i4>4980834</vt:i4>
      </vt:variant>
      <vt:variant>
        <vt:i4>66</vt:i4>
      </vt:variant>
      <vt:variant>
        <vt:i4>0</vt:i4>
      </vt:variant>
      <vt:variant>
        <vt:i4>5</vt:i4>
      </vt:variant>
      <vt:variant>
        <vt:lpwstr>http://enrin.grida.no/htmls/azer/soe/ecology/html/environmental_policy.html</vt:lpwstr>
      </vt:variant>
      <vt:variant>
        <vt:lpwstr/>
      </vt:variant>
      <vt:variant>
        <vt:i4>8126502</vt:i4>
      </vt:variant>
      <vt:variant>
        <vt:i4>63</vt:i4>
      </vt:variant>
      <vt:variant>
        <vt:i4>0</vt:i4>
      </vt:variant>
      <vt:variant>
        <vt:i4>5</vt:i4>
      </vt:variant>
      <vt:variant>
        <vt:lpwstr>http://r2e2.am/en/about-us/</vt:lpwstr>
      </vt:variant>
      <vt:variant>
        <vt:lpwstr/>
      </vt:variant>
      <vt:variant>
        <vt:i4>73</vt:i4>
      </vt:variant>
      <vt:variant>
        <vt:i4>60</vt:i4>
      </vt:variant>
      <vt:variant>
        <vt:i4>0</vt:i4>
      </vt:variant>
      <vt:variant>
        <vt:i4>5</vt:i4>
      </vt:variant>
      <vt:variant>
        <vt:lpwstr>http://www.mnp.am/?p=169</vt:lpwstr>
      </vt:variant>
      <vt:variant>
        <vt:lpwstr/>
      </vt:variant>
      <vt:variant>
        <vt:i4>589944</vt:i4>
      </vt:variant>
      <vt:variant>
        <vt:i4>57</vt:i4>
      </vt:variant>
      <vt:variant>
        <vt:i4>0</vt:i4>
      </vt:variant>
      <vt:variant>
        <vt:i4>5</vt:i4>
      </vt:variant>
      <vt:variant>
        <vt:lpwstr>http://www.mos.gov.pl/kategoria/4945_green_investment_scheme/?j=en</vt:lpwstr>
      </vt:variant>
      <vt:variant>
        <vt:lpwstr/>
      </vt:variant>
      <vt:variant>
        <vt:i4>2359417</vt:i4>
      </vt:variant>
      <vt:variant>
        <vt:i4>54</vt:i4>
      </vt:variant>
      <vt:variant>
        <vt:i4>0</vt:i4>
      </vt:variant>
      <vt:variant>
        <vt:i4>5</vt:i4>
      </vt:variant>
      <vt:variant>
        <vt:lpwstr>http://www.ekoportal.gov.pl/opencms/opencms/ekoportal/en/ForEntrepreneurs/PolishFunds/</vt:lpwstr>
      </vt:variant>
      <vt:variant>
        <vt:lpwstr/>
      </vt:variant>
      <vt:variant>
        <vt:i4>3276856</vt:i4>
      </vt:variant>
      <vt:variant>
        <vt:i4>51</vt:i4>
      </vt:variant>
      <vt:variant>
        <vt:i4>0</vt:i4>
      </vt:variant>
      <vt:variant>
        <vt:i4>5</vt:i4>
      </vt:variant>
      <vt:variant>
        <vt:lpwstr>http://www.mos.gov.pl/kategoria/4950_programmes_and_rank_lists/</vt:lpwstr>
      </vt:variant>
      <vt:variant>
        <vt:lpwstr/>
      </vt:variant>
      <vt:variant>
        <vt:i4>8192012</vt:i4>
      </vt:variant>
      <vt:variant>
        <vt:i4>48</vt:i4>
      </vt:variant>
      <vt:variant>
        <vt:i4>0</vt:i4>
      </vt:variant>
      <vt:variant>
        <vt:i4>5</vt:i4>
      </vt:variant>
      <vt:variant>
        <vt:lpwstr>http://www.eea.europa.eu/soer/countries/pl/soertopic_view?topic=air%20pollution</vt:lpwstr>
      </vt:variant>
      <vt:variant>
        <vt:lpwstr/>
      </vt:variant>
      <vt:variant>
        <vt:i4>6291527</vt:i4>
      </vt:variant>
      <vt:variant>
        <vt:i4>45</vt:i4>
      </vt:variant>
      <vt:variant>
        <vt:i4>0</vt:i4>
      </vt:variant>
      <vt:variant>
        <vt:i4>5</vt:i4>
      </vt:variant>
      <vt:variant>
        <vt:lpwstr>http://ec.europa.eu/agriculture/direct-support/direct-payments/index_en.htm</vt:lpwstr>
      </vt:variant>
      <vt:variant>
        <vt:lpwstr/>
      </vt:variant>
      <vt:variant>
        <vt:i4>2031705</vt:i4>
      </vt:variant>
      <vt:variant>
        <vt:i4>42</vt:i4>
      </vt:variant>
      <vt:variant>
        <vt:i4>0</vt:i4>
      </vt:variant>
      <vt:variant>
        <vt:i4>5</vt:i4>
      </vt:variant>
      <vt:variant>
        <vt:lpwstr>http://www.sustainablecity.be/themas/mobility</vt:lpwstr>
      </vt:variant>
      <vt:variant>
        <vt:lpwstr/>
      </vt:variant>
      <vt:variant>
        <vt:i4>65550</vt:i4>
      </vt:variant>
      <vt:variant>
        <vt:i4>39</vt:i4>
      </vt:variant>
      <vt:variant>
        <vt:i4>0</vt:i4>
      </vt:variant>
      <vt:variant>
        <vt:i4>5</vt:i4>
      </vt:variant>
      <vt:variant>
        <vt:lpwstr>http://www.sustainablecity.be/themas/sustainable-building</vt:lpwstr>
      </vt:variant>
      <vt:variant>
        <vt:lpwstr/>
      </vt:variant>
      <vt:variant>
        <vt:i4>1507358</vt:i4>
      </vt:variant>
      <vt:variant>
        <vt:i4>36</vt:i4>
      </vt:variant>
      <vt:variant>
        <vt:i4>0</vt:i4>
      </vt:variant>
      <vt:variant>
        <vt:i4>5</vt:i4>
      </vt:variant>
      <vt:variant>
        <vt:lpwstr>http://www.ceip.at/overview-of-submissions-under-clrtap/2012-submissions/</vt:lpwstr>
      </vt:variant>
      <vt:variant>
        <vt:lpwstr/>
      </vt:variant>
      <vt:variant>
        <vt:i4>2883616</vt:i4>
      </vt:variant>
      <vt:variant>
        <vt:i4>33</vt:i4>
      </vt:variant>
      <vt:variant>
        <vt:i4>0</vt:i4>
      </vt:variant>
      <vt:variant>
        <vt:i4>5</vt:i4>
      </vt:variant>
      <vt:variant>
        <vt:lpwstr>http://impel.eu/about/</vt:lpwstr>
      </vt:variant>
      <vt:variant>
        <vt:lpwstr/>
      </vt:variant>
      <vt:variant>
        <vt:i4>7602193</vt:i4>
      </vt:variant>
      <vt:variant>
        <vt:i4>30</vt:i4>
      </vt:variant>
      <vt:variant>
        <vt:i4>0</vt:i4>
      </vt:variant>
      <vt:variant>
        <vt:i4>5</vt:i4>
      </vt:variant>
      <vt:variant>
        <vt:lpwstr>http://ec.europa.eu/environment/gpp/brochure_en.htm</vt:lpwstr>
      </vt:variant>
      <vt:variant>
        <vt:lpwstr/>
      </vt:variant>
      <vt:variant>
        <vt:i4>7209082</vt:i4>
      </vt:variant>
      <vt:variant>
        <vt:i4>27</vt:i4>
      </vt:variant>
      <vt:variant>
        <vt:i4>0</vt:i4>
      </vt:variant>
      <vt:variant>
        <vt:i4>5</vt:i4>
      </vt:variant>
      <vt:variant>
        <vt:lpwstr>http://eur-lex.europa.eu/LexUriServ/LexUriServ.do?uri=COM:2008:0400:FIN:EN:PDF</vt:lpwstr>
      </vt:variant>
      <vt:variant>
        <vt:lpwstr/>
      </vt:variant>
      <vt:variant>
        <vt:i4>7995498</vt:i4>
      </vt:variant>
      <vt:variant>
        <vt:i4>24</vt:i4>
      </vt:variant>
      <vt:variant>
        <vt:i4>0</vt:i4>
      </vt:variant>
      <vt:variant>
        <vt:i4>5</vt:i4>
      </vt:variant>
      <vt:variant>
        <vt:lpwstr>http://www.nordic-ecolabel.org/</vt:lpwstr>
      </vt:variant>
      <vt:variant>
        <vt:lpwstr/>
      </vt:variant>
      <vt:variant>
        <vt:i4>4259889</vt:i4>
      </vt:variant>
      <vt:variant>
        <vt:i4>21</vt:i4>
      </vt:variant>
      <vt:variant>
        <vt:i4>0</vt:i4>
      </vt:variant>
      <vt:variant>
        <vt:i4>5</vt:i4>
      </vt:variant>
      <vt:variant>
        <vt:lpwstr>http://ec.europa.eu/environment/emas/index_en.htm</vt:lpwstr>
      </vt:variant>
      <vt:variant>
        <vt:lpwstr/>
      </vt:variant>
      <vt:variant>
        <vt:i4>5374030</vt:i4>
      </vt:variant>
      <vt:variant>
        <vt:i4>18</vt:i4>
      </vt:variant>
      <vt:variant>
        <vt:i4>0</vt:i4>
      </vt:variant>
      <vt:variant>
        <vt:i4>5</vt:i4>
      </vt:variant>
      <vt:variant>
        <vt:lpwstr>http://www.mobilityweek.eu/join-us/about/</vt:lpwstr>
      </vt:variant>
      <vt:variant>
        <vt:lpwstr/>
      </vt:variant>
      <vt:variant>
        <vt:i4>1048643</vt:i4>
      </vt:variant>
      <vt:variant>
        <vt:i4>15</vt:i4>
      </vt:variant>
      <vt:variant>
        <vt:i4>0</vt:i4>
      </vt:variant>
      <vt:variant>
        <vt:i4>5</vt:i4>
      </vt:variant>
      <vt:variant>
        <vt:lpwstr>http://ec.europa.eu/environment/life/themes/air/best.htm</vt:lpwstr>
      </vt:variant>
      <vt:variant>
        <vt:lpwstr/>
      </vt:variant>
      <vt:variant>
        <vt:i4>327712</vt:i4>
      </vt:variant>
      <vt:variant>
        <vt:i4>12</vt:i4>
      </vt:variant>
      <vt:variant>
        <vt:i4>0</vt:i4>
      </vt:variant>
      <vt:variant>
        <vt:i4>5</vt:i4>
      </vt:variant>
      <vt:variant>
        <vt:lpwstr>http://ec.europa.eu/clima/publications/docs/factsheet_ets_2013_en.pdf</vt:lpwstr>
      </vt:variant>
      <vt:variant>
        <vt:lpwstr/>
      </vt:variant>
      <vt:variant>
        <vt:i4>1179667</vt:i4>
      </vt:variant>
      <vt:variant>
        <vt:i4>9</vt:i4>
      </vt:variant>
      <vt:variant>
        <vt:i4>0</vt:i4>
      </vt:variant>
      <vt:variant>
        <vt:i4>5</vt:i4>
      </vt:variant>
      <vt:variant>
        <vt:lpwstr>http://www.climatefundsupdate.org/listing/special-climate-change-fund</vt:lpwstr>
      </vt:variant>
      <vt:variant>
        <vt:lpwstr/>
      </vt:variant>
      <vt:variant>
        <vt:i4>6029385</vt:i4>
      </vt:variant>
      <vt:variant>
        <vt:i4>6</vt:i4>
      </vt:variant>
      <vt:variant>
        <vt:i4>0</vt:i4>
      </vt:variant>
      <vt:variant>
        <vt:i4>5</vt:i4>
      </vt:variant>
      <vt:variant>
        <vt:lpwstr>http://web.undp.org/gef/do_cc_adaptation.shtml</vt:lpwstr>
      </vt:variant>
      <vt:variant>
        <vt:lpwstr/>
      </vt:variant>
      <vt:variant>
        <vt:i4>4718659</vt:i4>
      </vt:variant>
      <vt:variant>
        <vt:i4>3</vt:i4>
      </vt:variant>
      <vt:variant>
        <vt:i4>0</vt:i4>
      </vt:variant>
      <vt:variant>
        <vt:i4>5</vt:i4>
      </vt:variant>
      <vt:variant>
        <vt:lpwstr>http://web.undp.org/gef/do_cc_mitigation.shtml</vt:lpwstr>
      </vt:variant>
      <vt:variant>
        <vt:lpwstr/>
      </vt:variant>
      <vt:variant>
        <vt:i4>77</vt:i4>
      </vt:variant>
      <vt:variant>
        <vt:i4>0</vt:i4>
      </vt:variant>
      <vt:variant>
        <vt:i4>0</vt:i4>
      </vt:variant>
      <vt:variant>
        <vt:i4>5</vt:i4>
      </vt:variant>
      <vt:variant>
        <vt:lpwstr>http://www.sam.gov.lv/images/modules/items/PDF/item_618_NL_The_table_of_Eleven.pdf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Inception Report</dc:title>
  <dc:subject>Inception Report</dc:subject>
  <dc:creator>Weidenbach</dc:creator>
  <cp:lastModifiedBy>Aiga Kala</cp:lastModifiedBy>
  <cp:revision>3</cp:revision>
  <cp:lastPrinted>2013-02-23T09:50:00Z</cp:lastPrinted>
  <dcterms:created xsi:type="dcterms:W3CDTF">2014-05-09T08:02:00Z</dcterms:created>
  <dcterms:modified xsi:type="dcterms:W3CDTF">2014-05-09T08:06:00Z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4.1.1</vt:lpwstr>
  </property>
  <property fmtid="{D5CDD505-2E9C-101B-9397-08002B2CF9AE}" pid="3" name="logotaalletter">
    <vt:lpwstr>e</vt:lpwstr>
  </property>
  <property fmtid="{D5CDD505-2E9C-101B-9397-08002B2CF9AE}" pid="4" name="Kantoor">
    <vt:lpwstr>DV</vt:lpwstr>
  </property>
  <property fmtid="{D5CDD505-2E9C-101B-9397-08002B2CF9AE}" pid="5" name="Txtpredatum">
    <vt:lpwstr>15-04-2002</vt:lpwstr>
  </property>
  <property fmtid="{D5CDD505-2E9C-101B-9397-08002B2CF9AE}" pid="6" name="Afdruk">
    <vt:lpwstr>enkel</vt:lpwstr>
  </property>
  <property fmtid="{D5CDD505-2E9C-101B-9397-08002B2CF9AE}" pid="7" name="txtregistratie">
    <vt:lpwstr/>
  </property>
  <property fmtid="{D5CDD505-2E9C-101B-9397-08002B2CF9AE}" pid="8" name="registratie">
    <vt:lpwstr>registered</vt:lpwstr>
  </property>
  <property fmtid="{D5CDD505-2E9C-101B-9397-08002B2CF9AE}" pid="9" name="txtprojectcode">
    <vt:lpwstr/>
  </property>
  <property fmtid="{D5CDD505-2E9C-101B-9397-08002B2CF9AE}" pid="10" name="projectcode">
    <vt:lpwstr>projectcode</vt:lpwstr>
  </property>
  <property fmtid="{D5CDD505-2E9C-101B-9397-08002B2CF9AE}" pid="11" name="txtprojectleider">
    <vt:lpwstr/>
  </property>
  <property fmtid="{D5CDD505-2E9C-101B-9397-08002B2CF9AE}" pid="12" name="projectleider">
    <vt:lpwstr>project manager</vt:lpwstr>
  </property>
  <property fmtid="{D5CDD505-2E9C-101B-9397-08002B2CF9AE}" pid="13" name="txtprojectdirecteur">
    <vt:lpwstr/>
  </property>
  <property fmtid="{D5CDD505-2E9C-101B-9397-08002B2CF9AE}" pid="14" name="projectdirecteur">
    <vt:lpwstr>project director</vt:lpwstr>
  </property>
  <property fmtid="{D5CDD505-2E9C-101B-9397-08002B2CF9AE}" pid="15" name="status">
    <vt:lpwstr>status</vt:lpwstr>
  </property>
  <property fmtid="{D5CDD505-2E9C-101B-9397-08002B2CF9AE}" pid="16" name="txtdatum">
    <vt:lpwstr>April 15, 2002</vt:lpwstr>
  </property>
  <property fmtid="{D5CDD505-2E9C-101B-9397-08002B2CF9AE}" pid="17" name="datum">
    <vt:lpwstr>date</vt:lpwstr>
  </property>
  <property fmtid="{D5CDD505-2E9C-101B-9397-08002B2CF9AE}" pid="18" name="txtautorisatie">
    <vt:lpwstr>approved</vt:lpwstr>
  </property>
  <property fmtid="{D5CDD505-2E9C-101B-9397-08002B2CF9AE}" pid="19" name="autorisatie">
    <vt:lpwstr>authorisation</vt:lpwstr>
  </property>
  <property fmtid="{D5CDD505-2E9C-101B-9397-08002B2CF9AE}" pid="20" name="txtautorisatiedoor">
    <vt:lpwstr/>
  </property>
  <property fmtid="{D5CDD505-2E9C-101B-9397-08002B2CF9AE}" pid="21" name="autorisatiedoor">
    <vt:lpwstr>name</vt:lpwstr>
  </property>
  <property fmtid="{D5CDD505-2E9C-101B-9397-08002B2CF9AE}" pid="22" name="paraaf">
    <vt:lpwstr>initials</vt:lpwstr>
  </property>
  <property fmtid="{D5CDD505-2E9C-101B-9397-08002B2CF9AE}" pid="23" name="txtstatus">
    <vt:lpwstr>draft version</vt:lpwstr>
  </property>
  <property fmtid="{D5CDD505-2E9C-101B-9397-08002B2CF9AE}" pid="24" name="statusreg">
    <vt:lpwstr>concept</vt:lpwstr>
  </property>
  <property fmtid="{D5CDD505-2E9C-101B-9397-08002B2CF9AE}" pid="25" name="ISOongecontroleerd">
    <vt:lpwstr/>
  </property>
  <property fmtid="{D5CDD505-2E9C-101B-9397-08002B2CF9AE}" pid="26" name="txtversienummer">
    <vt:lpwstr> </vt:lpwstr>
  </property>
  <property fmtid="{D5CDD505-2E9C-101B-9397-08002B2CF9AE}" pid="27" name="partner">
    <vt:lpwstr/>
  </property>
  <property fmtid="{D5CDD505-2E9C-101B-9397-08002B2CF9AE}" pid="28" name="Taal">
    <vt:lpwstr>taal-en</vt:lpwstr>
  </property>
  <property fmtid="{D5CDD505-2E9C-101B-9397-08002B2CF9AE}" pid="29" name="dedato">
    <vt:lpwstr>dated</vt:lpwstr>
  </property>
</Properties>
</file>