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38B" w:rsidRDefault="003045C0" w:rsidP="007355E6">
      <w:pPr>
        <w:rPr>
          <w:szCs w:val="24"/>
        </w:rPr>
      </w:pPr>
      <w:r>
        <w:rPr>
          <w:szCs w:val="24"/>
        </w:rPr>
        <w:fldChar w:fldCharType="begin"/>
      </w:r>
      <w:r>
        <w:rPr>
          <w:szCs w:val="24"/>
        </w:rPr>
        <w:instrText xml:space="preserve"> HYPERLINK "</w:instrText>
      </w:r>
      <w:r w:rsidRPr="000919F1">
        <w:rPr>
          <w:szCs w:val="24"/>
        </w:rPr>
        <w:instrText>http://www.un.org/fr/events/africandescentdecade/programme.shtml</w:instrText>
      </w:r>
      <w:r>
        <w:rPr>
          <w:szCs w:val="24"/>
        </w:rPr>
        <w:instrText xml:space="preserve">" </w:instrText>
      </w:r>
      <w:r>
        <w:rPr>
          <w:szCs w:val="24"/>
        </w:rPr>
        <w:fldChar w:fldCharType="separate"/>
      </w:r>
      <w:r w:rsidRPr="0013780C">
        <w:rPr>
          <w:rStyle w:val="Lienhypertexte"/>
          <w:szCs w:val="24"/>
        </w:rPr>
        <w:t>http://www.un.org/fr/events/africandescentdecade/programme.shtml</w:t>
      </w:r>
      <w:r>
        <w:rPr>
          <w:szCs w:val="24"/>
        </w:rPr>
        <w:fldChar w:fldCharType="end"/>
      </w:r>
    </w:p>
    <w:p w:rsidR="003045C0" w:rsidRDefault="003045C0" w:rsidP="003045C0">
      <w:pPr>
        <w:shd w:val="clear" w:color="auto" w:fill="FFFFFF"/>
        <w:spacing w:line="240" w:lineRule="auto"/>
        <w:rPr>
          <w:rFonts w:ascii="Roboto" w:hAnsi="Roboto" w:cs="Arial"/>
          <w:sz w:val="19"/>
          <w:szCs w:val="19"/>
          <w:lang w:val="fr-FR"/>
        </w:rPr>
      </w:pPr>
    </w:p>
    <w:p w:rsidR="003045C0" w:rsidRDefault="003045C0" w:rsidP="003045C0">
      <w:pPr>
        <w:numPr>
          <w:ilvl w:val="0"/>
          <w:numId w:val="4"/>
        </w:numPr>
        <w:shd w:val="clear" w:color="auto" w:fill="F7B20E"/>
        <w:spacing w:before="100" w:beforeAutospacing="1" w:after="100" w:afterAutospacing="1" w:line="240" w:lineRule="auto"/>
        <w:ind w:left="120" w:right="240"/>
        <w:rPr>
          <w:rFonts w:ascii="Roboto" w:hAnsi="Roboto" w:cs="Arial"/>
          <w:sz w:val="17"/>
          <w:szCs w:val="17"/>
          <w:lang w:val="fr-FR"/>
        </w:rPr>
      </w:pPr>
      <w:hyperlink r:id="rId5" w:history="1">
        <w:r>
          <w:rPr>
            <w:rFonts w:ascii="Roboto" w:hAnsi="Roboto" w:cs="Arial"/>
            <w:color w:val="0000FF"/>
            <w:sz w:val="17"/>
            <w:szCs w:val="17"/>
            <w:lang w:val="fr-FR"/>
          </w:rPr>
          <w:t>Accueil</w:t>
        </w:r>
      </w:hyperlink>
    </w:p>
    <w:p w:rsidR="003045C0" w:rsidRDefault="003045C0" w:rsidP="003045C0">
      <w:pPr>
        <w:numPr>
          <w:ilvl w:val="0"/>
          <w:numId w:val="4"/>
        </w:numPr>
        <w:shd w:val="clear" w:color="auto" w:fill="F7B20E"/>
        <w:spacing w:before="100" w:beforeAutospacing="1" w:after="100" w:afterAutospacing="1" w:line="240" w:lineRule="auto"/>
        <w:ind w:left="120" w:right="240"/>
        <w:rPr>
          <w:rFonts w:ascii="Roboto" w:hAnsi="Roboto" w:cs="Arial"/>
          <w:sz w:val="17"/>
          <w:szCs w:val="17"/>
          <w:lang w:val="fr-FR"/>
        </w:rPr>
      </w:pPr>
      <w:hyperlink r:id="rId6" w:history="1">
        <w:r>
          <w:rPr>
            <w:rFonts w:ascii="Roboto" w:hAnsi="Roboto" w:cs="Arial"/>
            <w:color w:val="0000FF"/>
            <w:sz w:val="17"/>
            <w:szCs w:val="17"/>
            <w:lang w:val="fr-FR"/>
          </w:rPr>
          <w:t>Ascendance africaine</w:t>
        </w:r>
      </w:hyperlink>
    </w:p>
    <w:p w:rsidR="003045C0" w:rsidRDefault="003045C0" w:rsidP="003045C0">
      <w:pPr>
        <w:numPr>
          <w:ilvl w:val="0"/>
          <w:numId w:val="4"/>
        </w:numPr>
        <w:shd w:val="clear" w:color="auto" w:fill="F7B20E"/>
        <w:spacing w:before="100" w:beforeAutospacing="1" w:after="100" w:afterAutospacing="1" w:line="240" w:lineRule="auto"/>
        <w:ind w:left="120" w:right="240"/>
        <w:rPr>
          <w:rFonts w:ascii="Roboto" w:hAnsi="Roboto" w:cs="Arial"/>
          <w:sz w:val="17"/>
          <w:szCs w:val="17"/>
          <w:lang w:val="fr-FR"/>
        </w:rPr>
      </w:pPr>
      <w:hyperlink r:id="rId7" w:history="1">
        <w:r>
          <w:rPr>
            <w:rFonts w:ascii="Roboto" w:hAnsi="Roboto" w:cs="Arial"/>
            <w:color w:val="FFFFFF"/>
            <w:sz w:val="17"/>
            <w:szCs w:val="17"/>
            <w:shd w:val="clear" w:color="auto" w:fill="000000"/>
            <w:lang w:val="fr-FR"/>
          </w:rPr>
          <w:t>Programme</w:t>
        </w:r>
      </w:hyperlink>
    </w:p>
    <w:p w:rsidR="003045C0" w:rsidRDefault="003045C0" w:rsidP="003045C0">
      <w:pPr>
        <w:numPr>
          <w:ilvl w:val="0"/>
          <w:numId w:val="4"/>
        </w:numPr>
        <w:shd w:val="clear" w:color="auto" w:fill="F7B20E"/>
        <w:spacing w:before="100" w:beforeAutospacing="1" w:after="100" w:afterAutospacing="1" w:line="240" w:lineRule="auto"/>
        <w:ind w:left="120" w:right="240"/>
        <w:rPr>
          <w:rFonts w:ascii="Roboto" w:hAnsi="Roboto" w:cs="Arial"/>
          <w:sz w:val="17"/>
          <w:szCs w:val="17"/>
          <w:lang w:val="fr-FR"/>
        </w:rPr>
      </w:pPr>
      <w:hyperlink r:id="rId8" w:history="1">
        <w:r>
          <w:rPr>
            <w:rFonts w:ascii="Roboto" w:hAnsi="Roboto" w:cs="Arial"/>
            <w:color w:val="0000FF"/>
            <w:sz w:val="17"/>
            <w:szCs w:val="17"/>
            <w:lang w:val="fr-FR"/>
          </w:rPr>
          <w:t>Évènements</w:t>
        </w:r>
      </w:hyperlink>
    </w:p>
    <w:p w:rsidR="003045C0" w:rsidRDefault="003045C0" w:rsidP="003045C0">
      <w:pPr>
        <w:numPr>
          <w:ilvl w:val="0"/>
          <w:numId w:val="4"/>
        </w:numPr>
        <w:shd w:val="clear" w:color="auto" w:fill="F7B20E"/>
        <w:spacing w:before="100" w:beforeAutospacing="1" w:after="100" w:afterAutospacing="1" w:line="240" w:lineRule="auto"/>
        <w:ind w:left="120" w:right="240"/>
        <w:rPr>
          <w:rFonts w:ascii="Roboto" w:hAnsi="Roboto" w:cs="Arial"/>
          <w:sz w:val="17"/>
          <w:szCs w:val="17"/>
          <w:lang w:val="fr-FR"/>
        </w:rPr>
      </w:pPr>
      <w:hyperlink r:id="rId9" w:history="1">
        <w:r>
          <w:rPr>
            <w:rFonts w:ascii="Roboto" w:hAnsi="Roboto" w:cs="Arial"/>
            <w:color w:val="0000FF"/>
            <w:sz w:val="17"/>
            <w:szCs w:val="17"/>
            <w:lang w:val="fr-FR"/>
          </w:rPr>
          <w:t>Multimédia</w:t>
        </w:r>
      </w:hyperlink>
    </w:p>
    <w:p w:rsidR="003045C0" w:rsidRDefault="003045C0" w:rsidP="003045C0">
      <w:pPr>
        <w:numPr>
          <w:ilvl w:val="1"/>
          <w:numId w:val="5"/>
        </w:numPr>
        <w:shd w:val="clear" w:color="auto" w:fill="F7B20E"/>
        <w:spacing w:beforeAutospacing="1" w:after="0" w:afterAutospacing="1" w:line="240" w:lineRule="auto"/>
        <w:ind w:left="240" w:right="480"/>
        <w:rPr>
          <w:rFonts w:ascii="Roboto" w:hAnsi="Roboto" w:cs="Arial"/>
          <w:vanish/>
          <w:sz w:val="17"/>
          <w:szCs w:val="17"/>
          <w:lang w:val="fr-FR"/>
        </w:rPr>
      </w:pPr>
      <w:hyperlink r:id="rId10" w:history="1">
        <w:r>
          <w:rPr>
            <w:rFonts w:ascii="Roboto" w:hAnsi="Roboto" w:cs="Arial"/>
            <w:vanish/>
            <w:color w:val="0000FF"/>
            <w:sz w:val="17"/>
            <w:szCs w:val="17"/>
            <w:lang w:val="fr-FR"/>
          </w:rPr>
          <w:t>Vidéos </w:t>
        </w:r>
        <w:r>
          <w:rPr>
            <w:rStyle w:val="en1"/>
            <w:rFonts w:ascii="Roboto" w:hAnsi="Roboto" w:cs="Arial"/>
            <w:vanish/>
            <w:sz w:val="13"/>
            <w:szCs w:val="13"/>
            <w:lang w:val="fr-FR"/>
          </w:rPr>
          <w:t>EN</w:t>
        </w:r>
      </w:hyperlink>
    </w:p>
    <w:p w:rsidR="003045C0" w:rsidRDefault="003045C0" w:rsidP="003045C0">
      <w:pPr>
        <w:numPr>
          <w:ilvl w:val="1"/>
          <w:numId w:val="5"/>
        </w:numPr>
        <w:shd w:val="clear" w:color="auto" w:fill="F7B20E"/>
        <w:spacing w:before="100" w:beforeAutospacing="1" w:after="100" w:afterAutospacing="1" w:line="240" w:lineRule="auto"/>
        <w:ind w:left="240" w:right="480"/>
        <w:rPr>
          <w:rFonts w:ascii="Roboto" w:hAnsi="Roboto" w:cs="Arial"/>
          <w:vanish/>
          <w:sz w:val="17"/>
          <w:szCs w:val="17"/>
          <w:lang w:val="fr-FR"/>
        </w:rPr>
      </w:pPr>
      <w:hyperlink r:id="rId11" w:history="1">
        <w:r>
          <w:rPr>
            <w:rFonts w:ascii="Roboto" w:hAnsi="Roboto" w:cs="Arial"/>
            <w:vanish/>
            <w:color w:val="0000FF"/>
            <w:sz w:val="17"/>
            <w:szCs w:val="17"/>
            <w:lang w:val="fr-FR"/>
          </w:rPr>
          <w:t>Photos</w:t>
        </w:r>
      </w:hyperlink>
    </w:p>
    <w:p w:rsidR="003045C0" w:rsidRDefault="003045C0" w:rsidP="003045C0">
      <w:pPr>
        <w:numPr>
          <w:ilvl w:val="1"/>
          <w:numId w:val="5"/>
        </w:numPr>
        <w:shd w:val="clear" w:color="auto" w:fill="F7B20E"/>
        <w:spacing w:before="100" w:beforeAutospacing="1" w:after="100" w:afterAutospacing="1" w:line="240" w:lineRule="auto"/>
        <w:ind w:left="240" w:right="480"/>
        <w:rPr>
          <w:rFonts w:ascii="Roboto" w:hAnsi="Roboto" w:cs="Arial"/>
          <w:vanish/>
          <w:sz w:val="17"/>
          <w:szCs w:val="17"/>
          <w:lang w:val="fr-FR"/>
        </w:rPr>
      </w:pPr>
      <w:hyperlink r:id="rId12" w:history="1">
        <w:r>
          <w:rPr>
            <w:rFonts w:ascii="Roboto" w:hAnsi="Roboto" w:cs="Arial"/>
            <w:vanish/>
            <w:color w:val="0000FF"/>
            <w:sz w:val="17"/>
            <w:szCs w:val="17"/>
            <w:lang w:val="fr-FR"/>
          </w:rPr>
          <w:t>Logos</w:t>
        </w:r>
      </w:hyperlink>
    </w:p>
    <w:p w:rsidR="003045C0" w:rsidRDefault="003045C0" w:rsidP="003045C0">
      <w:pPr>
        <w:numPr>
          <w:ilvl w:val="0"/>
          <w:numId w:val="5"/>
        </w:numPr>
        <w:shd w:val="clear" w:color="auto" w:fill="F7B20E"/>
        <w:spacing w:before="100" w:beforeAutospacing="1" w:after="100" w:afterAutospacing="1" w:line="240" w:lineRule="auto"/>
        <w:ind w:left="120" w:right="240"/>
        <w:rPr>
          <w:rFonts w:ascii="Roboto" w:hAnsi="Roboto" w:cs="Arial"/>
          <w:sz w:val="17"/>
          <w:szCs w:val="17"/>
          <w:lang w:val="fr-FR"/>
        </w:rPr>
      </w:pPr>
      <w:hyperlink r:id="rId13" w:history="1">
        <w:r>
          <w:rPr>
            <w:rFonts w:ascii="Roboto" w:hAnsi="Roboto" w:cs="Arial"/>
            <w:color w:val="0000FF"/>
            <w:sz w:val="17"/>
            <w:szCs w:val="17"/>
            <w:lang w:val="fr-FR"/>
          </w:rPr>
          <w:t>Ressources</w:t>
        </w:r>
      </w:hyperlink>
    </w:p>
    <w:p w:rsidR="003045C0" w:rsidRDefault="003045C0" w:rsidP="003045C0">
      <w:pPr>
        <w:numPr>
          <w:ilvl w:val="1"/>
          <w:numId w:val="5"/>
        </w:numPr>
        <w:shd w:val="clear" w:color="auto" w:fill="F7B20E"/>
        <w:spacing w:before="100" w:beforeAutospacing="1" w:after="100" w:afterAutospacing="1" w:line="240" w:lineRule="auto"/>
        <w:ind w:left="240" w:right="480"/>
        <w:rPr>
          <w:rFonts w:ascii="Roboto" w:hAnsi="Roboto" w:cs="Arial"/>
          <w:vanish/>
          <w:sz w:val="17"/>
          <w:szCs w:val="17"/>
          <w:lang w:val="fr-FR"/>
        </w:rPr>
      </w:pPr>
      <w:hyperlink r:id="rId14" w:history="1">
        <w:r>
          <w:rPr>
            <w:rFonts w:ascii="Roboto" w:hAnsi="Roboto" w:cs="Arial"/>
            <w:vanish/>
            <w:color w:val="0000FF"/>
            <w:sz w:val="17"/>
            <w:szCs w:val="17"/>
            <w:lang w:val="fr-FR"/>
          </w:rPr>
          <w:t>Liens</w:t>
        </w:r>
      </w:hyperlink>
    </w:p>
    <w:p w:rsidR="003045C0" w:rsidRDefault="003045C0" w:rsidP="003045C0">
      <w:pPr>
        <w:numPr>
          <w:ilvl w:val="1"/>
          <w:numId w:val="5"/>
        </w:numPr>
        <w:shd w:val="clear" w:color="auto" w:fill="F7B20E"/>
        <w:spacing w:before="100" w:beforeAutospacing="1" w:after="100" w:afterAutospacing="1" w:line="240" w:lineRule="auto"/>
        <w:ind w:left="240" w:right="480"/>
        <w:rPr>
          <w:rFonts w:ascii="Roboto" w:hAnsi="Roboto" w:cs="Arial"/>
          <w:vanish/>
          <w:sz w:val="17"/>
          <w:szCs w:val="17"/>
          <w:lang w:val="fr-FR"/>
        </w:rPr>
      </w:pPr>
      <w:hyperlink r:id="rId15" w:history="1">
        <w:r>
          <w:rPr>
            <w:rFonts w:ascii="Roboto" w:hAnsi="Roboto" w:cs="Arial"/>
            <w:vanish/>
            <w:color w:val="0000FF"/>
            <w:sz w:val="17"/>
            <w:szCs w:val="17"/>
            <w:lang w:val="fr-FR"/>
          </w:rPr>
          <w:t>Documents</w:t>
        </w:r>
      </w:hyperlink>
    </w:p>
    <w:p w:rsidR="003045C0" w:rsidRDefault="003045C0" w:rsidP="003045C0">
      <w:pPr>
        <w:numPr>
          <w:ilvl w:val="1"/>
          <w:numId w:val="5"/>
        </w:numPr>
        <w:shd w:val="clear" w:color="auto" w:fill="F7B20E"/>
        <w:spacing w:before="100" w:beforeAutospacing="1" w:after="100" w:afterAutospacing="1" w:line="240" w:lineRule="auto"/>
        <w:ind w:left="240" w:right="480"/>
        <w:rPr>
          <w:rFonts w:ascii="Roboto" w:hAnsi="Roboto" w:cs="Arial"/>
          <w:vanish/>
          <w:sz w:val="17"/>
          <w:szCs w:val="17"/>
          <w:lang w:val="fr-FR"/>
        </w:rPr>
      </w:pPr>
      <w:hyperlink r:id="rId16" w:history="1">
        <w:r>
          <w:rPr>
            <w:rFonts w:ascii="Roboto" w:hAnsi="Roboto" w:cs="Arial"/>
            <w:vanish/>
            <w:color w:val="0000FF"/>
            <w:sz w:val="17"/>
            <w:szCs w:val="17"/>
            <w:lang w:val="fr-FR"/>
          </w:rPr>
          <w:t>Messages</w:t>
        </w:r>
      </w:hyperlink>
    </w:p>
    <w:p w:rsidR="003045C0" w:rsidRDefault="003045C0" w:rsidP="003045C0">
      <w:pPr>
        <w:numPr>
          <w:ilvl w:val="0"/>
          <w:numId w:val="5"/>
        </w:numPr>
        <w:shd w:val="clear" w:color="auto" w:fill="F7B20E"/>
        <w:spacing w:before="100" w:beforeAutospacing="1" w:after="100" w:afterAutospacing="1" w:line="240" w:lineRule="auto"/>
        <w:ind w:left="120" w:right="240"/>
        <w:rPr>
          <w:rFonts w:ascii="Roboto" w:hAnsi="Roboto" w:cs="Arial"/>
          <w:sz w:val="17"/>
          <w:szCs w:val="17"/>
          <w:lang w:val="fr-FR"/>
        </w:rPr>
      </w:pPr>
      <w:hyperlink r:id="rId17" w:history="1">
        <w:r>
          <w:rPr>
            <w:rFonts w:ascii="Roboto" w:hAnsi="Roboto" w:cs="Arial"/>
            <w:color w:val="0000FF"/>
            <w:sz w:val="17"/>
            <w:szCs w:val="17"/>
            <w:lang w:val="fr-FR"/>
          </w:rPr>
          <w:t>Traite transatlantique des esclaves</w:t>
        </w:r>
      </w:hyperlink>
    </w:p>
    <w:p w:rsidR="003045C0" w:rsidRDefault="003045C0" w:rsidP="003045C0">
      <w:pPr>
        <w:numPr>
          <w:ilvl w:val="0"/>
          <w:numId w:val="5"/>
        </w:numPr>
        <w:shd w:val="clear" w:color="auto" w:fill="F7B20E"/>
        <w:spacing w:before="100" w:beforeAutospacing="1" w:after="100" w:afterAutospacing="1" w:line="240" w:lineRule="auto"/>
        <w:ind w:left="120" w:right="240"/>
        <w:rPr>
          <w:rFonts w:ascii="Roboto" w:hAnsi="Roboto" w:cs="Arial"/>
          <w:sz w:val="17"/>
          <w:szCs w:val="17"/>
          <w:lang w:val="fr-FR"/>
        </w:rPr>
      </w:pPr>
      <w:hyperlink r:id="rId18" w:history="1">
        <w:r>
          <w:rPr>
            <w:rFonts w:ascii="Roboto" w:hAnsi="Roboto" w:cs="Arial"/>
            <w:color w:val="0000FF"/>
            <w:sz w:val="17"/>
            <w:szCs w:val="17"/>
            <w:lang w:val="fr-FR"/>
          </w:rPr>
          <w:t>Célébrations de l'ONU</w:t>
        </w:r>
      </w:hyperlink>
    </w:p>
    <w:p w:rsidR="003045C0" w:rsidRDefault="003045C0" w:rsidP="003045C0">
      <w:pPr>
        <w:numPr>
          <w:ilvl w:val="0"/>
          <w:numId w:val="5"/>
        </w:numPr>
        <w:shd w:val="clear" w:color="auto" w:fill="F7B20E"/>
        <w:spacing w:before="100" w:beforeAutospacing="1" w:after="100" w:afterAutospacing="1" w:line="240" w:lineRule="auto"/>
        <w:ind w:left="120" w:right="240"/>
        <w:rPr>
          <w:rFonts w:ascii="Roboto" w:hAnsi="Roboto" w:cs="Arial"/>
          <w:sz w:val="17"/>
          <w:szCs w:val="17"/>
          <w:lang w:val="fr-FR"/>
        </w:rPr>
      </w:pPr>
      <w:hyperlink r:id="rId19" w:history="1">
        <w:r>
          <w:rPr>
            <w:rFonts w:ascii="Roboto" w:hAnsi="Roboto" w:cs="Arial"/>
            <w:color w:val="0000FF"/>
            <w:sz w:val="17"/>
            <w:szCs w:val="17"/>
            <w:lang w:val="fr-FR"/>
          </w:rPr>
          <w:t>Contact</w:t>
        </w:r>
      </w:hyperlink>
    </w:p>
    <w:p w:rsidR="003045C0" w:rsidRDefault="003045C0" w:rsidP="003045C0">
      <w:pPr>
        <w:shd w:val="clear" w:color="auto" w:fill="FFFFFF"/>
        <w:spacing w:after="240" w:line="435" w:lineRule="atLeast"/>
        <w:outlineLvl w:val="1"/>
        <w:rPr>
          <w:rFonts w:ascii="Roboto" w:hAnsi="Roboto" w:cs="Arial"/>
          <w:b/>
          <w:bCs/>
          <w:color w:val="242526"/>
          <w:kern w:val="36"/>
          <w:sz w:val="36"/>
          <w:szCs w:val="36"/>
          <w:lang w:val="fr-FR"/>
        </w:rPr>
      </w:pPr>
      <w:r>
        <w:rPr>
          <w:rFonts w:ascii="Roboto" w:hAnsi="Roboto" w:cs="Arial"/>
          <w:b/>
          <w:bCs/>
          <w:color w:val="242526"/>
          <w:kern w:val="36"/>
          <w:sz w:val="36"/>
          <w:szCs w:val="36"/>
          <w:lang w:val="fr-FR"/>
        </w:rPr>
        <w:t>Programme d’activités relatives à la Décennie internationale des personnes d’ascendance africaine</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L'</w:t>
      </w:r>
      <w:proofErr w:type="spellStart"/>
      <w:r>
        <w:rPr>
          <w:rFonts w:ascii="Roboto" w:hAnsi="Roboto" w:cs="Arial"/>
          <w:color w:val="333333"/>
          <w:sz w:val="21"/>
          <w:szCs w:val="21"/>
          <w:lang w:val="fr-FR"/>
        </w:rPr>
        <w:t>Asemblée</w:t>
      </w:r>
      <w:proofErr w:type="spellEnd"/>
      <w:r>
        <w:rPr>
          <w:rFonts w:ascii="Roboto" w:hAnsi="Roboto" w:cs="Arial"/>
          <w:color w:val="333333"/>
          <w:sz w:val="21"/>
          <w:szCs w:val="21"/>
          <w:lang w:val="fr-FR"/>
        </w:rPr>
        <w:t xml:space="preserve"> générale de l'ONU a proclamé, dans sa </w:t>
      </w:r>
      <w:hyperlink r:id="rId20" w:history="1">
        <w:r>
          <w:rPr>
            <w:rFonts w:ascii="Roboto" w:hAnsi="Roboto" w:cs="Arial"/>
            <w:color w:val="003399"/>
            <w:sz w:val="21"/>
            <w:szCs w:val="21"/>
            <w:u w:val="single"/>
            <w:lang w:val="fr-FR"/>
          </w:rPr>
          <w:t>résolution [68/237]</w:t>
        </w:r>
      </w:hyperlink>
      <w:r>
        <w:rPr>
          <w:rFonts w:ascii="Roboto" w:hAnsi="Roboto" w:cs="Arial"/>
          <w:color w:val="333333"/>
          <w:sz w:val="21"/>
          <w:szCs w:val="21"/>
          <w:lang w:val="fr-FR"/>
        </w:rPr>
        <w:t>, 2015-2024 comme Décennie internationale des personnes d’ascendance africaine, citant la nécessité de renforcer les mesures et activités de coopération nationales, régionales et internationales pour garantir le plein exercice des droits économiques, sociaux, culturels, civils et politiques des personnes d’ascendance africaine ainsi que leur pleine et égale participation à la société sous tous ses aspects</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Comme l’a proclamé l’Assemblée générale, le thème de la Décennie internationale est le suivant : « Personnes d’ascendance africaine : considération, justice et développement »</w:t>
      </w:r>
    </w:p>
    <w:p w:rsidR="003045C0" w:rsidRDefault="003045C0" w:rsidP="003045C0">
      <w:pPr>
        <w:pStyle w:val="Titre2"/>
        <w:shd w:val="clear" w:color="auto" w:fill="FFFFFF"/>
        <w:spacing w:line="300" w:lineRule="atLeast"/>
        <w:rPr>
          <w:rFonts w:ascii="Roboto" w:hAnsi="Roboto" w:cs="Arial"/>
          <w:sz w:val="26"/>
          <w:szCs w:val="26"/>
          <w:lang w:val="fr-FR"/>
        </w:rPr>
      </w:pPr>
      <w:r>
        <w:rPr>
          <w:rFonts w:ascii="Roboto" w:hAnsi="Roboto" w:cs="Arial"/>
          <w:sz w:val="26"/>
          <w:szCs w:val="26"/>
          <w:lang w:val="fr-FR"/>
        </w:rPr>
        <w:t>Objectifs de la Décennie</w:t>
      </w:r>
    </w:p>
    <w:p w:rsidR="003045C0" w:rsidRDefault="003045C0" w:rsidP="003045C0">
      <w:pPr>
        <w:shd w:val="clear" w:color="auto" w:fill="FFFFFF"/>
        <w:spacing w:line="300" w:lineRule="atLeast"/>
        <w:rPr>
          <w:rFonts w:ascii="Roboto" w:hAnsi="Roboto" w:cs="Arial"/>
          <w:sz w:val="21"/>
          <w:szCs w:val="21"/>
          <w:lang w:val="fr-FR"/>
        </w:rPr>
      </w:pPr>
      <w:r>
        <w:rPr>
          <w:rFonts w:ascii="Roboto" w:hAnsi="Roboto" w:cs="Arial"/>
          <w:noProof/>
          <w:sz w:val="21"/>
          <w:szCs w:val="21"/>
          <w:lang w:eastAsia="fr-BE"/>
        </w:rPr>
        <w:drawing>
          <wp:inline distT="0" distB="0" distL="0" distR="0">
            <wp:extent cx="3810000" cy="2543175"/>
            <wp:effectExtent l="19050" t="0" r="0" b="0"/>
            <wp:docPr id="4" name="Image 4" descr="Enfants en Haï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fants en Haïti"/>
                    <pic:cNvPicPr>
                      <a:picLocks noChangeAspect="1" noChangeArrowheads="1"/>
                    </pic:cNvPicPr>
                  </pic:nvPicPr>
                  <pic:blipFill>
                    <a:blip r:embed="rId21"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p w:rsidR="003045C0" w:rsidRDefault="003045C0" w:rsidP="003045C0">
      <w:pPr>
        <w:shd w:val="clear" w:color="auto" w:fill="FFFFFF"/>
        <w:spacing w:line="300" w:lineRule="atLeast"/>
        <w:rPr>
          <w:rFonts w:ascii="Roboto" w:hAnsi="Roboto" w:cs="Arial"/>
          <w:sz w:val="18"/>
          <w:szCs w:val="18"/>
          <w:lang w:val="fr-FR"/>
        </w:rPr>
      </w:pPr>
      <w:r>
        <w:rPr>
          <w:rFonts w:ascii="Roboto" w:hAnsi="Roboto" w:cs="Arial"/>
          <w:sz w:val="18"/>
          <w:szCs w:val="18"/>
          <w:lang w:val="fr-FR"/>
        </w:rPr>
        <w:t xml:space="preserve">Une mère haïtienne et son enfant après le passage de l'ouragan </w:t>
      </w:r>
      <w:r>
        <w:rPr>
          <w:rFonts w:ascii="Roboto" w:hAnsi="Roboto" w:cs="Arial"/>
          <w:sz w:val="18"/>
          <w:szCs w:val="18"/>
          <w:lang w:val="fr-FR"/>
        </w:rPr>
        <w:br/>
        <w:t xml:space="preserve">Sandy à l'ouest du pays (Haïti, 2012). Photo ONU/Logan Abassi </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Les principaux objectifs de la Décennie internationale sont de:</w:t>
      </w:r>
    </w:p>
    <w:p w:rsidR="003045C0" w:rsidRDefault="003045C0" w:rsidP="003045C0">
      <w:pPr>
        <w:numPr>
          <w:ilvl w:val="0"/>
          <w:numId w:val="6"/>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r>
        <w:rPr>
          <w:rFonts w:ascii="Roboto" w:hAnsi="Roboto" w:cs="Arial"/>
          <w:color w:val="333333"/>
          <w:sz w:val="21"/>
          <w:szCs w:val="21"/>
          <w:lang w:val="fr-FR"/>
        </w:rPr>
        <w:lastRenderedPageBreak/>
        <w:t xml:space="preserve">Promouvoir le respect, la protection et la réalisation de tous les droits de l’homme et de toutes les libertés fondamentales des personnes d’ascendance africaine, comme le prévoit la </w:t>
      </w:r>
      <w:hyperlink r:id="rId22" w:history="1">
        <w:r>
          <w:rPr>
            <w:rFonts w:ascii="Roboto" w:hAnsi="Roboto" w:cs="Arial"/>
            <w:color w:val="003399"/>
            <w:sz w:val="21"/>
            <w:szCs w:val="21"/>
            <w:u w:val="single"/>
            <w:lang w:val="fr-FR"/>
          </w:rPr>
          <w:t>Déclaration universelle des droits de l'homme</w:t>
        </w:r>
      </w:hyperlink>
      <w:r>
        <w:rPr>
          <w:rFonts w:ascii="Roboto" w:hAnsi="Roboto" w:cs="Arial"/>
          <w:color w:val="333333"/>
          <w:sz w:val="21"/>
          <w:szCs w:val="21"/>
          <w:lang w:val="fr-FR"/>
        </w:rPr>
        <w:t>;</w:t>
      </w:r>
    </w:p>
    <w:p w:rsidR="003045C0" w:rsidRDefault="003045C0" w:rsidP="003045C0">
      <w:pPr>
        <w:numPr>
          <w:ilvl w:val="0"/>
          <w:numId w:val="6"/>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r>
        <w:rPr>
          <w:rFonts w:ascii="Roboto" w:hAnsi="Roboto" w:cs="Arial"/>
          <w:color w:val="333333"/>
          <w:sz w:val="21"/>
          <w:szCs w:val="21"/>
          <w:lang w:val="fr-FR"/>
        </w:rPr>
        <w:t xml:space="preserve">Promouvoir une meilleure connaissance et un plus grand respect de la diversité du patrimoine, de la culture et de la contribution au développement des sociétés des personnes d'ascendance africaine; </w:t>
      </w:r>
    </w:p>
    <w:p w:rsidR="003045C0" w:rsidRDefault="003045C0" w:rsidP="003045C0">
      <w:pPr>
        <w:numPr>
          <w:ilvl w:val="0"/>
          <w:numId w:val="6"/>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r>
        <w:rPr>
          <w:rFonts w:ascii="Roboto" w:hAnsi="Roboto" w:cs="Arial"/>
          <w:color w:val="333333"/>
          <w:sz w:val="21"/>
          <w:szCs w:val="21"/>
          <w:lang w:val="fr-FR"/>
        </w:rPr>
        <w:t xml:space="preserve">Adopter et de renforcer les cadres juridiques internationaux, régionaux et nationaux, conformément à la </w:t>
      </w:r>
      <w:hyperlink r:id="rId23" w:history="1">
        <w:r>
          <w:rPr>
            <w:rFonts w:ascii="Roboto" w:hAnsi="Roboto" w:cs="Arial"/>
            <w:color w:val="003399"/>
            <w:sz w:val="21"/>
            <w:szCs w:val="21"/>
            <w:u w:val="single"/>
            <w:lang w:val="fr-FR"/>
          </w:rPr>
          <w:t>Déclaration et au Programme d’action de Durban</w:t>
        </w:r>
      </w:hyperlink>
      <w:r>
        <w:rPr>
          <w:rFonts w:ascii="Roboto" w:hAnsi="Roboto" w:cs="Arial"/>
          <w:color w:val="333333"/>
          <w:sz w:val="21"/>
          <w:szCs w:val="21"/>
          <w:lang w:val="fr-FR"/>
        </w:rPr>
        <w:t xml:space="preserve"> et à la </w:t>
      </w:r>
      <w:hyperlink r:id="rId24" w:history="1">
        <w:r>
          <w:rPr>
            <w:rFonts w:ascii="Roboto" w:hAnsi="Roboto" w:cs="Arial"/>
            <w:color w:val="003399"/>
            <w:sz w:val="21"/>
            <w:szCs w:val="21"/>
            <w:u w:val="single"/>
            <w:lang w:val="fr-FR"/>
          </w:rPr>
          <w:t>Convention internationale sur l’élimination de toutes les formes de discrimination raciale</w:t>
        </w:r>
      </w:hyperlink>
      <w:r>
        <w:rPr>
          <w:rFonts w:ascii="Roboto" w:hAnsi="Roboto" w:cs="Arial"/>
          <w:color w:val="333333"/>
          <w:sz w:val="21"/>
          <w:szCs w:val="21"/>
          <w:lang w:val="fr-FR"/>
        </w:rPr>
        <w:t>, et de veiller à les mettre en œuvre intégralement et effectivement.</w:t>
      </w:r>
    </w:p>
    <w:p w:rsidR="003045C0" w:rsidRDefault="003045C0" w:rsidP="003045C0">
      <w:pPr>
        <w:pStyle w:val="Titre2"/>
        <w:shd w:val="clear" w:color="auto" w:fill="FFFFFF"/>
        <w:spacing w:line="300" w:lineRule="atLeast"/>
        <w:rPr>
          <w:rFonts w:ascii="Roboto" w:hAnsi="Roboto" w:cs="Arial"/>
          <w:sz w:val="26"/>
          <w:szCs w:val="26"/>
          <w:lang w:val="fr-FR"/>
        </w:rPr>
      </w:pPr>
      <w:r>
        <w:rPr>
          <w:rFonts w:ascii="Roboto" w:hAnsi="Roboto" w:cs="Arial"/>
          <w:sz w:val="26"/>
          <w:szCs w:val="26"/>
          <w:lang w:val="fr-FR"/>
        </w:rPr>
        <w:t> </w:t>
      </w:r>
    </w:p>
    <w:p w:rsidR="003045C0" w:rsidRDefault="003045C0" w:rsidP="003045C0">
      <w:pPr>
        <w:pStyle w:val="Titre2"/>
        <w:shd w:val="clear" w:color="auto" w:fill="FFFFFF"/>
        <w:spacing w:line="300" w:lineRule="atLeast"/>
        <w:rPr>
          <w:rFonts w:ascii="Roboto" w:hAnsi="Roboto" w:cs="Arial"/>
          <w:sz w:val="26"/>
          <w:szCs w:val="26"/>
          <w:lang w:val="fr-FR"/>
        </w:rPr>
      </w:pPr>
      <w:r>
        <w:rPr>
          <w:rFonts w:ascii="Roboto" w:hAnsi="Roboto" w:cs="Arial"/>
          <w:sz w:val="26"/>
          <w:szCs w:val="26"/>
          <w:lang w:val="fr-FR"/>
        </w:rPr>
        <w:t>Programme d'activités relatives à la décennie</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 xml:space="preserve">Le programme d’activités relatives à la Décennie internationale des personnes d’ascendance africaine, approuvé par l'Assemblée générale de l'ONU, doit être mis en </w:t>
      </w:r>
      <w:proofErr w:type="spellStart"/>
      <w:r>
        <w:rPr>
          <w:rFonts w:ascii="Roboto" w:hAnsi="Roboto" w:cs="Arial"/>
          <w:color w:val="333333"/>
          <w:sz w:val="21"/>
          <w:szCs w:val="21"/>
          <w:lang w:val="fr-FR"/>
        </w:rPr>
        <w:t>oeuvre</w:t>
      </w:r>
      <w:proofErr w:type="spellEnd"/>
      <w:r>
        <w:rPr>
          <w:rFonts w:ascii="Roboto" w:hAnsi="Roboto" w:cs="Arial"/>
          <w:color w:val="333333"/>
          <w:sz w:val="21"/>
          <w:szCs w:val="21"/>
          <w:lang w:val="fr-FR"/>
        </w:rPr>
        <w:t xml:space="preserve"> à différents niveaux.</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 xml:space="preserve">Au </w:t>
      </w:r>
      <w:r>
        <w:rPr>
          <w:rStyle w:val="lev"/>
          <w:rFonts w:ascii="Roboto" w:hAnsi="Roboto" w:cs="Arial"/>
          <w:color w:val="333333"/>
          <w:sz w:val="21"/>
          <w:szCs w:val="21"/>
          <w:lang w:val="fr-FR"/>
        </w:rPr>
        <w:t>niveau national</w:t>
      </w:r>
      <w:r>
        <w:rPr>
          <w:rFonts w:ascii="Roboto" w:hAnsi="Roboto" w:cs="Arial"/>
          <w:color w:val="333333"/>
          <w:sz w:val="21"/>
          <w:szCs w:val="21"/>
          <w:lang w:val="fr-FR"/>
        </w:rPr>
        <w:t>, les États Membres doivent prendre des mesures concrètes et pratiques au moyen de l’adoption et de l’application effective de cadres juridiques, de politiques et de programmes nationaux et internationaux pour lutter contre le racisme, la discrimination raciale, la xénophobie et l’intolérance qui y est associée, auxquels font face les personnes d’ascendance africaine, en tenant compte de la situation particulière des femmes, des filles et des jeunes hommes, grâce notamment aux activités décrites ci-après :</w:t>
      </w:r>
    </w:p>
    <w:p w:rsidR="003045C0" w:rsidRDefault="003045C0" w:rsidP="003045C0">
      <w:pPr>
        <w:shd w:val="clear" w:color="auto" w:fill="FFFFFF"/>
        <w:spacing w:after="0" w:line="300" w:lineRule="atLeast"/>
        <w:rPr>
          <w:rFonts w:ascii="Roboto" w:hAnsi="Roboto" w:cs="Arial"/>
          <w:sz w:val="21"/>
          <w:szCs w:val="21"/>
          <w:lang w:val="fr-FR"/>
        </w:rPr>
      </w:pPr>
      <w:r>
        <w:rPr>
          <w:rFonts w:ascii="Roboto" w:hAnsi="Roboto" w:cs="Arial"/>
          <w:noProof/>
          <w:sz w:val="21"/>
          <w:szCs w:val="21"/>
          <w:lang w:eastAsia="fr-BE"/>
        </w:rPr>
        <w:drawing>
          <wp:inline distT="0" distB="0" distL="0" distR="0">
            <wp:extent cx="3810000" cy="2533650"/>
            <wp:effectExtent l="19050" t="0" r="0" b="0"/>
            <wp:docPr id="5" name="Image 5" descr="trois générations de  Gangá Longob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is générations de  Gangá Longobá"/>
                    <pic:cNvPicPr>
                      <a:picLocks noChangeAspect="1" noChangeArrowheads="1"/>
                    </pic:cNvPicPr>
                  </pic:nvPicPr>
                  <pic:blipFill>
                    <a:blip r:embed="rId25"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3045C0" w:rsidRDefault="003045C0" w:rsidP="003045C0">
      <w:pPr>
        <w:shd w:val="clear" w:color="auto" w:fill="FFFFFF"/>
        <w:spacing w:line="300" w:lineRule="atLeast"/>
        <w:rPr>
          <w:rFonts w:ascii="Roboto" w:hAnsi="Roboto" w:cs="Arial"/>
          <w:sz w:val="18"/>
          <w:szCs w:val="18"/>
          <w:lang w:val="fr-FR"/>
        </w:rPr>
      </w:pPr>
      <w:r>
        <w:rPr>
          <w:rFonts w:ascii="Roboto" w:hAnsi="Roboto" w:cs="Arial"/>
          <w:sz w:val="18"/>
          <w:szCs w:val="18"/>
          <w:lang w:val="fr-FR"/>
        </w:rPr>
        <w:t xml:space="preserve">Trois générations de </w:t>
      </w:r>
      <w:proofErr w:type="spellStart"/>
      <w:r>
        <w:rPr>
          <w:rFonts w:ascii="Roboto" w:hAnsi="Roboto" w:cs="Arial"/>
          <w:sz w:val="18"/>
          <w:szCs w:val="18"/>
          <w:lang w:val="fr-FR"/>
        </w:rPr>
        <w:t>Gangá</w:t>
      </w:r>
      <w:proofErr w:type="spellEnd"/>
      <w:r>
        <w:rPr>
          <w:rFonts w:ascii="Roboto" w:hAnsi="Roboto" w:cs="Arial"/>
          <w:sz w:val="18"/>
          <w:szCs w:val="18"/>
          <w:lang w:val="fr-FR"/>
        </w:rPr>
        <w:t xml:space="preserve"> </w:t>
      </w:r>
      <w:proofErr w:type="spellStart"/>
      <w:r>
        <w:rPr>
          <w:rFonts w:ascii="Roboto" w:hAnsi="Roboto" w:cs="Arial"/>
          <w:sz w:val="18"/>
          <w:szCs w:val="18"/>
          <w:lang w:val="fr-FR"/>
        </w:rPr>
        <w:t>Longobá</w:t>
      </w:r>
      <w:proofErr w:type="spellEnd"/>
      <w:r>
        <w:rPr>
          <w:rFonts w:ascii="Roboto" w:hAnsi="Roboto" w:cs="Arial"/>
          <w:sz w:val="18"/>
          <w:szCs w:val="18"/>
          <w:lang w:val="fr-FR"/>
        </w:rPr>
        <w:t xml:space="preserve">. Les </w:t>
      </w:r>
      <w:proofErr w:type="spellStart"/>
      <w:r>
        <w:rPr>
          <w:rFonts w:ascii="Roboto" w:hAnsi="Roboto" w:cs="Arial"/>
          <w:sz w:val="18"/>
          <w:szCs w:val="18"/>
          <w:lang w:val="fr-FR"/>
        </w:rPr>
        <w:t>Gangá</w:t>
      </w:r>
      <w:proofErr w:type="spellEnd"/>
      <w:r>
        <w:rPr>
          <w:rFonts w:ascii="Roboto" w:hAnsi="Roboto" w:cs="Arial"/>
          <w:sz w:val="18"/>
          <w:szCs w:val="18"/>
          <w:lang w:val="fr-FR"/>
        </w:rPr>
        <w:t xml:space="preserve"> </w:t>
      </w:r>
      <w:proofErr w:type="spellStart"/>
      <w:r>
        <w:rPr>
          <w:rFonts w:ascii="Roboto" w:hAnsi="Roboto" w:cs="Arial"/>
          <w:sz w:val="18"/>
          <w:szCs w:val="18"/>
          <w:lang w:val="fr-FR"/>
        </w:rPr>
        <w:t>Longobá</w:t>
      </w:r>
      <w:proofErr w:type="spellEnd"/>
      <w:r>
        <w:rPr>
          <w:rFonts w:ascii="Roboto" w:hAnsi="Roboto" w:cs="Arial"/>
          <w:sz w:val="18"/>
          <w:szCs w:val="18"/>
          <w:lang w:val="fr-FR"/>
        </w:rPr>
        <w:t xml:space="preserve"> ont été réduits en esclavage et forcés à travailler dans des plantations de canne à sucre au XIXe siècle (Cuba). ©Sergio </w:t>
      </w:r>
      <w:proofErr w:type="spellStart"/>
      <w:r>
        <w:rPr>
          <w:rFonts w:ascii="Roboto" w:hAnsi="Roboto" w:cs="Arial"/>
          <w:sz w:val="18"/>
          <w:szCs w:val="18"/>
          <w:lang w:val="fr-FR"/>
        </w:rPr>
        <w:t>Leyva</w:t>
      </w:r>
      <w:proofErr w:type="spellEnd"/>
      <w:r>
        <w:rPr>
          <w:rFonts w:ascii="Roboto" w:hAnsi="Roboto" w:cs="Arial"/>
          <w:sz w:val="18"/>
          <w:szCs w:val="18"/>
          <w:lang w:val="fr-FR"/>
        </w:rPr>
        <w:t xml:space="preserve"> </w:t>
      </w:r>
      <w:proofErr w:type="spellStart"/>
      <w:r>
        <w:rPr>
          <w:rFonts w:ascii="Roboto" w:hAnsi="Roboto" w:cs="Arial"/>
          <w:sz w:val="18"/>
          <w:szCs w:val="18"/>
          <w:lang w:val="fr-FR"/>
        </w:rPr>
        <w:t>Seiglie</w:t>
      </w:r>
      <w:proofErr w:type="spellEnd"/>
      <w:r>
        <w:rPr>
          <w:rFonts w:ascii="Roboto" w:hAnsi="Roboto" w:cs="Arial"/>
          <w:sz w:val="18"/>
          <w:szCs w:val="18"/>
          <w:lang w:val="fr-FR"/>
        </w:rPr>
        <w:t xml:space="preserve">, </w:t>
      </w:r>
      <w:proofErr w:type="spellStart"/>
      <w:r>
        <w:rPr>
          <w:rFonts w:ascii="Roboto" w:hAnsi="Roboto" w:cs="Arial"/>
          <w:sz w:val="18"/>
          <w:szCs w:val="18"/>
          <w:lang w:val="fr-FR"/>
        </w:rPr>
        <w:t>They</w:t>
      </w:r>
      <w:proofErr w:type="spellEnd"/>
      <w:r>
        <w:rPr>
          <w:rFonts w:ascii="Roboto" w:hAnsi="Roboto" w:cs="Arial"/>
          <w:sz w:val="18"/>
          <w:szCs w:val="18"/>
          <w:lang w:val="fr-FR"/>
        </w:rPr>
        <w:t xml:space="preserve"> Are </w:t>
      </w:r>
      <w:proofErr w:type="spellStart"/>
      <w:r>
        <w:rPr>
          <w:rFonts w:ascii="Roboto" w:hAnsi="Roboto" w:cs="Arial"/>
          <w:sz w:val="18"/>
          <w:szCs w:val="18"/>
          <w:lang w:val="fr-FR"/>
        </w:rPr>
        <w:t>We</w:t>
      </w:r>
      <w:proofErr w:type="spellEnd"/>
      <w:r>
        <w:rPr>
          <w:rFonts w:ascii="Roboto" w:hAnsi="Roboto" w:cs="Arial"/>
          <w:sz w:val="18"/>
          <w:szCs w:val="18"/>
          <w:lang w:val="fr-FR"/>
        </w:rPr>
        <w:t xml:space="preserve"> Project</w:t>
      </w:r>
    </w:p>
    <w:p w:rsidR="003045C0" w:rsidRDefault="003045C0" w:rsidP="003045C0">
      <w:pPr>
        <w:numPr>
          <w:ilvl w:val="0"/>
          <w:numId w:val="7"/>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hyperlink r:id="rId26" w:history="1">
        <w:r>
          <w:rPr>
            <w:rFonts w:ascii="Roboto" w:hAnsi="Roboto" w:cs="Arial"/>
            <w:color w:val="003399"/>
            <w:sz w:val="21"/>
            <w:szCs w:val="21"/>
            <w:u w:val="single"/>
            <w:lang w:val="fr-FR"/>
          </w:rPr>
          <w:t>Considération</w:t>
        </w:r>
      </w:hyperlink>
    </w:p>
    <w:p w:rsidR="003045C0" w:rsidRDefault="003045C0" w:rsidP="003045C0">
      <w:pPr>
        <w:numPr>
          <w:ilvl w:val="0"/>
          <w:numId w:val="7"/>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hyperlink r:id="rId27" w:history="1">
        <w:r>
          <w:rPr>
            <w:rFonts w:ascii="Roboto" w:hAnsi="Roboto" w:cs="Arial"/>
            <w:color w:val="003399"/>
            <w:sz w:val="21"/>
            <w:szCs w:val="21"/>
            <w:u w:val="single"/>
            <w:lang w:val="fr-FR"/>
          </w:rPr>
          <w:t>Justice</w:t>
        </w:r>
      </w:hyperlink>
    </w:p>
    <w:p w:rsidR="003045C0" w:rsidRDefault="003045C0" w:rsidP="003045C0">
      <w:pPr>
        <w:numPr>
          <w:ilvl w:val="0"/>
          <w:numId w:val="7"/>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hyperlink r:id="rId28" w:history="1">
        <w:r>
          <w:rPr>
            <w:rFonts w:ascii="Roboto" w:hAnsi="Roboto" w:cs="Arial"/>
            <w:color w:val="003399"/>
            <w:sz w:val="21"/>
            <w:szCs w:val="21"/>
            <w:u w:val="single"/>
            <w:lang w:val="fr-FR"/>
          </w:rPr>
          <w:t>Développement</w:t>
        </w:r>
      </w:hyperlink>
    </w:p>
    <w:p w:rsidR="003045C0" w:rsidRDefault="003045C0" w:rsidP="003045C0">
      <w:pPr>
        <w:numPr>
          <w:ilvl w:val="0"/>
          <w:numId w:val="7"/>
        </w:numPr>
        <w:shd w:val="clear" w:color="auto" w:fill="FFFFFF"/>
        <w:spacing w:before="100" w:beforeAutospacing="1" w:after="100" w:afterAutospacing="1" w:line="300" w:lineRule="atLeast"/>
        <w:ind w:left="600" w:right="240"/>
        <w:rPr>
          <w:rFonts w:ascii="Roboto" w:hAnsi="Roboto" w:cs="Arial"/>
          <w:color w:val="333333"/>
          <w:sz w:val="21"/>
          <w:szCs w:val="21"/>
          <w:lang w:val="fr-FR"/>
        </w:rPr>
      </w:pPr>
      <w:hyperlink r:id="rId29" w:history="1">
        <w:r>
          <w:rPr>
            <w:rFonts w:ascii="Roboto" w:hAnsi="Roboto" w:cs="Arial"/>
            <w:color w:val="003399"/>
            <w:sz w:val="21"/>
            <w:szCs w:val="21"/>
            <w:u w:val="single"/>
            <w:lang w:val="fr-FR"/>
          </w:rPr>
          <w:t>Discrimination multiple ou aggravée</w:t>
        </w:r>
      </w:hyperlink>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lastRenderedPageBreak/>
        <w:t xml:space="preserve">Aux </w:t>
      </w:r>
      <w:r>
        <w:rPr>
          <w:rStyle w:val="lev"/>
          <w:rFonts w:ascii="Roboto" w:hAnsi="Roboto" w:cs="Arial"/>
          <w:color w:val="333333"/>
          <w:sz w:val="21"/>
          <w:szCs w:val="21"/>
          <w:lang w:val="fr-FR"/>
        </w:rPr>
        <w:t>niveaux régional et international</w:t>
      </w:r>
      <w:r>
        <w:rPr>
          <w:rFonts w:ascii="Roboto" w:hAnsi="Roboto" w:cs="Arial"/>
          <w:color w:val="333333"/>
          <w:sz w:val="21"/>
          <w:szCs w:val="21"/>
          <w:lang w:val="fr-FR"/>
        </w:rPr>
        <w:t xml:space="preserve">, la </w:t>
      </w:r>
      <w:hyperlink r:id="rId30" w:history="1">
        <w:r>
          <w:rPr>
            <w:rFonts w:ascii="Roboto" w:hAnsi="Roboto" w:cs="Arial"/>
            <w:color w:val="003399"/>
            <w:sz w:val="21"/>
            <w:szCs w:val="21"/>
            <w:u w:val="single"/>
            <w:lang w:val="fr-FR"/>
          </w:rPr>
          <w:t xml:space="preserve">communauté internationale et les organisations internationales et régionales </w:t>
        </w:r>
      </w:hyperlink>
      <w:r>
        <w:rPr>
          <w:rFonts w:ascii="Roboto" w:hAnsi="Roboto" w:cs="Arial"/>
          <w:color w:val="333333"/>
          <w:sz w:val="21"/>
          <w:szCs w:val="21"/>
          <w:lang w:val="fr-FR"/>
        </w:rPr>
        <w:t xml:space="preserve">sont appelées notamment à continuer de diffuser largement la Déclaration et le Programme d’action de Durban, sensibiliser l’opinion à la Convention internationale sur l’élimination de toutes les formes de discrimination </w:t>
      </w:r>
      <w:proofErr w:type="spellStart"/>
      <w:r>
        <w:rPr>
          <w:rFonts w:ascii="Roboto" w:hAnsi="Roboto" w:cs="Arial"/>
          <w:color w:val="333333"/>
          <w:sz w:val="21"/>
          <w:szCs w:val="21"/>
          <w:lang w:val="fr-FR"/>
        </w:rPr>
        <w:t>raciale,aider</w:t>
      </w:r>
      <w:proofErr w:type="spellEnd"/>
      <w:r>
        <w:rPr>
          <w:rFonts w:ascii="Roboto" w:hAnsi="Roboto" w:cs="Arial"/>
          <w:color w:val="333333"/>
          <w:sz w:val="21"/>
          <w:szCs w:val="21"/>
          <w:lang w:val="fr-FR"/>
        </w:rPr>
        <w:t xml:space="preserve"> les États à s’acquitter intégralement et effectivement des obligations qui sont les leurs au regard de la Déclaration et du Programme d’action de Durban, intégrer les droits de l’homme dans les programmes de développement, accorder une priorité particulière aux projets consacrés à la collecte de données statistiques et à appuyer les initiatives et les projets visant à honorer et conserver la mémoire historique des personnes d’ascendance africaine. </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Un certain nombre de mesures devront être prises par l'</w:t>
      </w:r>
      <w:hyperlink r:id="rId31" w:history="1">
        <w:r>
          <w:rPr>
            <w:rFonts w:ascii="Roboto" w:hAnsi="Roboto" w:cs="Arial"/>
            <w:color w:val="003399"/>
            <w:sz w:val="21"/>
            <w:szCs w:val="21"/>
            <w:u w:val="single"/>
            <w:lang w:val="fr-FR"/>
          </w:rPr>
          <w:t>Assemblée générale des Nations Unies</w:t>
        </w:r>
      </w:hyperlink>
      <w:r>
        <w:rPr>
          <w:rFonts w:ascii="Roboto" w:hAnsi="Roboto" w:cs="Arial"/>
          <w:color w:val="333333"/>
          <w:sz w:val="21"/>
          <w:szCs w:val="21"/>
          <w:lang w:val="fr-FR"/>
        </w:rPr>
        <w:t xml:space="preserve"> dont la désignation d'un </w:t>
      </w:r>
      <w:proofErr w:type="spellStart"/>
      <w:r>
        <w:rPr>
          <w:rFonts w:ascii="Roboto" w:hAnsi="Roboto" w:cs="Arial"/>
          <w:color w:val="333333"/>
          <w:sz w:val="21"/>
          <w:szCs w:val="21"/>
          <w:lang w:val="fr-FR"/>
        </w:rPr>
        <w:t>Haut-Commissaire</w:t>
      </w:r>
      <w:proofErr w:type="spellEnd"/>
      <w:r>
        <w:rPr>
          <w:rFonts w:ascii="Roboto" w:hAnsi="Roboto" w:cs="Arial"/>
          <w:color w:val="333333"/>
          <w:sz w:val="21"/>
          <w:szCs w:val="21"/>
          <w:lang w:val="fr-FR"/>
        </w:rPr>
        <w:t xml:space="preserve"> des Nations Unies aux droits de l’homme comme coordonnateur de la Décennie, la création d'un </w:t>
      </w:r>
      <w:proofErr w:type="spellStart"/>
      <w:r>
        <w:rPr>
          <w:rFonts w:ascii="Roboto" w:hAnsi="Roboto" w:cs="Arial"/>
          <w:color w:val="333333"/>
          <w:sz w:val="21"/>
          <w:szCs w:val="21"/>
          <w:lang w:val="fr-FR"/>
        </w:rPr>
        <w:t>organse</w:t>
      </w:r>
      <w:proofErr w:type="spellEnd"/>
      <w:r>
        <w:rPr>
          <w:rFonts w:ascii="Roboto" w:hAnsi="Roboto" w:cs="Arial"/>
          <w:color w:val="333333"/>
          <w:sz w:val="21"/>
          <w:szCs w:val="21"/>
          <w:lang w:val="fr-FR"/>
        </w:rPr>
        <w:t xml:space="preserve"> qui servira de mécanisme de consultation, la prévision d'une évaluation finale de la Décennie, et l'achèvement de la construction et de l'inauguration, avant l’examen à mi-parcours en 2020, d'un mémorial permanent au Siège de l’Organisation pour honorer la mémoire des victimes de l’esclavage et de la traite transatlantique des esclaves </w:t>
      </w:r>
    </w:p>
    <w:p w:rsidR="003045C0" w:rsidRDefault="003045C0" w:rsidP="003045C0">
      <w:pPr>
        <w:shd w:val="clear" w:color="auto" w:fill="FFFFFF"/>
        <w:spacing w:before="100" w:beforeAutospacing="1" w:after="100" w:afterAutospacing="1" w:line="300" w:lineRule="atLeast"/>
        <w:rPr>
          <w:rFonts w:ascii="Roboto" w:hAnsi="Roboto" w:cs="Arial"/>
          <w:color w:val="333333"/>
          <w:sz w:val="21"/>
          <w:szCs w:val="21"/>
          <w:lang w:val="fr-FR"/>
        </w:rPr>
      </w:pPr>
      <w:r>
        <w:rPr>
          <w:rFonts w:ascii="Roboto" w:hAnsi="Roboto" w:cs="Arial"/>
          <w:color w:val="333333"/>
          <w:sz w:val="21"/>
          <w:szCs w:val="21"/>
          <w:lang w:val="fr-FR"/>
        </w:rPr>
        <w:t xml:space="preserve">Document exhaustif </w:t>
      </w:r>
      <w:hyperlink r:id="rId32" w:history="1">
        <w:r>
          <w:rPr>
            <w:rFonts w:ascii="Roboto" w:hAnsi="Roboto" w:cs="Arial"/>
            <w:color w:val="003399"/>
            <w:sz w:val="21"/>
            <w:szCs w:val="21"/>
            <w:u w:val="single"/>
            <w:lang w:val="fr-FR"/>
          </w:rPr>
          <w:t>du programme d'activités</w:t>
        </w:r>
      </w:hyperlink>
      <w:r>
        <w:rPr>
          <w:rFonts w:ascii="Roboto" w:hAnsi="Roboto" w:cs="Arial"/>
          <w:color w:val="333333"/>
          <w:sz w:val="21"/>
          <w:szCs w:val="21"/>
          <w:lang w:val="fr-FR"/>
        </w:rPr>
        <w:t xml:space="preserve"> </w:t>
      </w:r>
      <w:r>
        <w:rPr>
          <w:rFonts w:ascii="Roboto" w:hAnsi="Roboto" w:cs="Arial"/>
          <w:noProof/>
          <w:color w:val="333333"/>
          <w:sz w:val="21"/>
          <w:szCs w:val="21"/>
          <w:lang w:eastAsia="fr-BE"/>
        </w:rPr>
        <w:drawing>
          <wp:inline distT="0" distB="0" distL="0" distR="0">
            <wp:extent cx="133350" cy="133350"/>
            <wp:effectExtent l="19050" t="0" r="0" b="0"/>
            <wp:docPr id="6" name="Image 6" descr="http://www.un.org/common/images/icons/ico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org/common/images/icons/ico_pdf.gif"/>
                    <pic:cNvPicPr>
                      <a:picLocks noChangeAspect="1" noChangeArrowheads="1"/>
                    </pic:cNvPicPr>
                  </pic:nvPicPr>
                  <pic:blipFill>
                    <a:blip r:embed="rId33"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sectPr w:rsidR="003045C0"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5AC7"/>
    <w:multiLevelType w:val="multilevel"/>
    <w:tmpl w:val="B1BA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E769F"/>
    <w:multiLevelType w:val="multilevel"/>
    <w:tmpl w:val="EA7C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2659F8"/>
    <w:multiLevelType w:val="multilevel"/>
    <w:tmpl w:val="A9941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5A79F1"/>
    <w:multiLevelType w:val="multilevel"/>
    <w:tmpl w:val="C8E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5B41320"/>
    <w:multiLevelType w:val="multilevel"/>
    <w:tmpl w:val="F00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C15A4"/>
    <w:multiLevelType w:val="multilevel"/>
    <w:tmpl w:val="E93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2"/>
    <w:lvlOverride w:ilvl="1">
      <w:lvl w:ilvl="1">
        <w:numFmt w:val="bullet"/>
        <w:lvlText w:val=""/>
        <w:lvlJc w:val="left"/>
        <w:pPr>
          <w:tabs>
            <w:tab w:val="num" w:pos="1440"/>
          </w:tabs>
          <w:ind w:left="1440" w:hanging="360"/>
        </w:pPr>
        <w:rPr>
          <w:rFonts w:ascii="Symbol" w:hAnsi="Symbol" w:hint="default"/>
          <w:sz w:val="20"/>
        </w:rPr>
      </w:lvl>
    </w:lvlOverride>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4747"/>
    <w:rsid w:val="000919F1"/>
    <w:rsid w:val="003045C0"/>
    <w:rsid w:val="003A438B"/>
    <w:rsid w:val="005567A2"/>
    <w:rsid w:val="00725FB6"/>
    <w:rsid w:val="007319F9"/>
    <w:rsid w:val="007355E6"/>
    <w:rsid w:val="00836C22"/>
    <w:rsid w:val="00A85D17"/>
    <w:rsid w:val="00B6717A"/>
    <w:rsid w:val="00BA2E11"/>
    <w:rsid w:val="00D150BF"/>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paragraph" w:styleId="Titre2">
    <w:name w:val="heading 2"/>
    <w:basedOn w:val="Normal"/>
    <w:link w:val="Titre2Car"/>
    <w:uiPriority w:val="9"/>
    <w:qFormat/>
    <w:rsid w:val="003045C0"/>
    <w:pPr>
      <w:spacing w:before="240" w:after="240" w:line="240" w:lineRule="auto"/>
      <w:outlineLvl w:val="1"/>
    </w:pPr>
    <w:rPr>
      <w:rFonts w:ascii="Times New Roman" w:eastAsia="Times New Roman" w:hAnsi="Times New Roman" w:cs="Times New Roman"/>
      <w:b/>
      <w:bCs/>
      <w:sz w:val="30"/>
      <w:szCs w:val="3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character" w:styleId="Lienhypertexte">
    <w:name w:val="Hyperlink"/>
    <w:basedOn w:val="Policepardfaut"/>
    <w:uiPriority w:val="99"/>
    <w:unhideWhenUsed/>
    <w:rsid w:val="003045C0"/>
    <w:rPr>
      <w:color w:val="0000FF" w:themeColor="hyperlink"/>
      <w:u w:val="single"/>
    </w:rPr>
  </w:style>
  <w:style w:type="character" w:customStyle="1" w:styleId="Titre2Car">
    <w:name w:val="Titre 2 Car"/>
    <w:basedOn w:val="Policepardfaut"/>
    <w:link w:val="Titre2"/>
    <w:uiPriority w:val="9"/>
    <w:rsid w:val="003045C0"/>
    <w:rPr>
      <w:rFonts w:ascii="Times New Roman" w:eastAsia="Times New Roman" w:hAnsi="Times New Roman" w:cs="Times New Roman"/>
      <w:b/>
      <w:bCs/>
      <w:sz w:val="30"/>
      <w:szCs w:val="30"/>
      <w:lang w:eastAsia="fr-BE"/>
    </w:rPr>
  </w:style>
  <w:style w:type="character" w:styleId="lev">
    <w:name w:val="Strong"/>
    <w:basedOn w:val="Policepardfaut"/>
    <w:uiPriority w:val="22"/>
    <w:qFormat/>
    <w:rsid w:val="003045C0"/>
    <w:rPr>
      <w:b/>
      <w:bCs/>
      <w:i w:val="0"/>
      <w:iCs w:val="0"/>
    </w:rPr>
  </w:style>
  <w:style w:type="character" w:customStyle="1" w:styleId="en1">
    <w:name w:val="en1"/>
    <w:basedOn w:val="Policepardfaut"/>
    <w:rsid w:val="003045C0"/>
    <w:rPr>
      <w:color w:val="FFFFFF"/>
      <w:sz w:val="18"/>
      <w:szCs w:val="18"/>
      <w:shd w:val="clear" w:color="auto" w:fill="666666"/>
    </w:rPr>
  </w:style>
  <w:style w:type="character" w:customStyle="1" w:styleId="at300bs5">
    <w:name w:val="at300bs5"/>
    <w:basedOn w:val="Policepardfaut"/>
    <w:rsid w:val="003045C0"/>
    <w:rPr>
      <w:vanish w:val="0"/>
      <w:webHidden w:val="0"/>
      <w:specVanish w:val="0"/>
    </w:rPr>
  </w:style>
  <w:style w:type="paragraph" w:styleId="Textedebulles">
    <w:name w:val="Balloon Text"/>
    <w:basedOn w:val="Normal"/>
    <w:link w:val="TextedebullesCar"/>
    <w:uiPriority w:val="99"/>
    <w:semiHidden/>
    <w:unhideWhenUsed/>
    <w:rsid w:val="00304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572078">
      <w:bodyDiv w:val="1"/>
      <w:marLeft w:val="0"/>
      <w:marRight w:val="0"/>
      <w:marTop w:val="0"/>
      <w:marBottom w:val="0"/>
      <w:divBdr>
        <w:top w:val="none" w:sz="0" w:space="0" w:color="auto"/>
        <w:left w:val="none" w:sz="0" w:space="0" w:color="auto"/>
        <w:bottom w:val="none" w:sz="0" w:space="0" w:color="auto"/>
        <w:right w:val="none" w:sz="0" w:space="0" w:color="auto"/>
      </w:divBdr>
      <w:divsChild>
        <w:div w:id="69155333">
          <w:marLeft w:val="0"/>
          <w:marRight w:val="0"/>
          <w:marTop w:val="0"/>
          <w:marBottom w:val="0"/>
          <w:divBdr>
            <w:top w:val="none" w:sz="0" w:space="0" w:color="auto"/>
            <w:left w:val="none" w:sz="0" w:space="0" w:color="auto"/>
            <w:bottom w:val="none" w:sz="0" w:space="0" w:color="auto"/>
            <w:right w:val="none" w:sz="0" w:space="0" w:color="auto"/>
          </w:divBdr>
        </w:div>
        <w:div w:id="727649747">
          <w:marLeft w:val="0"/>
          <w:marRight w:val="0"/>
          <w:marTop w:val="0"/>
          <w:marBottom w:val="0"/>
          <w:divBdr>
            <w:top w:val="none" w:sz="0" w:space="0" w:color="auto"/>
            <w:left w:val="none" w:sz="0" w:space="0" w:color="auto"/>
            <w:bottom w:val="none" w:sz="0" w:space="0" w:color="auto"/>
            <w:right w:val="none" w:sz="0" w:space="0" w:color="auto"/>
          </w:divBdr>
          <w:divsChild>
            <w:div w:id="431240343">
              <w:marLeft w:val="0"/>
              <w:marRight w:val="0"/>
              <w:marTop w:val="0"/>
              <w:marBottom w:val="0"/>
              <w:divBdr>
                <w:top w:val="none" w:sz="0" w:space="0" w:color="auto"/>
                <w:left w:val="none" w:sz="0" w:space="0" w:color="auto"/>
                <w:bottom w:val="none" w:sz="0" w:space="0" w:color="auto"/>
                <w:right w:val="none" w:sz="0" w:space="0" w:color="auto"/>
              </w:divBdr>
              <w:divsChild>
                <w:div w:id="1770420613">
                  <w:marLeft w:val="0"/>
                  <w:marRight w:val="0"/>
                  <w:marTop w:val="0"/>
                  <w:marBottom w:val="0"/>
                  <w:divBdr>
                    <w:top w:val="none" w:sz="0" w:space="0" w:color="auto"/>
                    <w:left w:val="none" w:sz="0" w:space="0" w:color="auto"/>
                    <w:bottom w:val="none" w:sz="0" w:space="0" w:color="auto"/>
                    <w:right w:val="none" w:sz="0" w:space="0" w:color="auto"/>
                  </w:divBdr>
                </w:div>
                <w:div w:id="42141864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63151878">
          <w:marLeft w:val="0"/>
          <w:marRight w:val="0"/>
          <w:marTop w:val="0"/>
          <w:marBottom w:val="0"/>
          <w:divBdr>
            <w:top w:val="none" w:sz="0" w:space="0" w:color="auto"/>
            <w:left w:val="none" w:sz="0" w:space="0" w:color="auto"/>
            <w:bottom w:val="none" w:sz="0" w:space="0" w:color="auto"/>
            <w:right w:val="none" w:sz="0" w:space="0" w:color="auto"/>
          </w:divBdr>
          <w:divsChild>
            <w:div w:id="1856772700">
              <w:marLeft w:val="0"/>
              <w:marRight w:val="0"/>
              <w:marTop w:val="0"/>
              <w:marBottom w:val="0"/>
              <w:divBdr>
                <w:top w:val="none" w:sz="0" w:space="0" w:color="auto"/>
                <w:left w:val="none" w:sz="0" w:space="0" w:color="auto"/>
                <w:bottom w:val="none" w:sz="0" w:space="0" w:color="auto"/>
                <w:right w:val="none" w:sz="0" w:space="0" w:color="auto"/>
              </w:divBdr>
            </w:div>
          </w:divsChild>
        </w:div>
        <w:div w:id="1242980724">
          <w:marLeft w:val="0"/>
          <w:marRight w:val="0"/>
          <w:marTop w:val="0"/>
          <w:marBottom w:val="0"/>
          <w:divBdr>
            <w:top w:val="none" w:sz="0" w:space="0" w:color="auto"/>
            <w:left w:val="none" w:sz="0" w:space="0" w:color="auto"/>
            <w:bottom w:val="none" w:sz="0" w:space="0" w:color="auto"/>
            <w:right w:val="none" w:sz="0" w:space="0" w:color="auto"/>
          </w:divBdr>
        </w:div>
        <w:div w:id="1935747283">
          <w:marLeft w:val="0"/>
          <w:marRight w:val="0"/>
          <w:marTop w:val="300"/>
          <w:marBottom w:val="750"/>
          <w:divBdr>
            <w:top w:val="none" w:sz="0" w:space="0" w:color="auto"/>
            <w:left w:val="none" w:sz="0" w:space="0" w:color="auto"/>
            <w:bottom w:val="none" w:sz="0" w:space="0" w:color="auto"/>
            <w:right w:val="none" w:sz="0" w:space="0" w:color="auto"/>
          </w:divBdr>
          <w:divsChild>
            <w:div w:id="1329945201">
              <w:marLeft w:val="0"/>
              <w:marRight w:val="525"/>
              <w:marTop w:val="0"/>
              <w:marBottom w:val="0"/>
              <w:divBdr>
                <w:top w:val="none" w:sz="0" w:space="0" w:color="auto"/>
                <w:left w:val="none" w:sz="0" w:space="0" w:color="auto"/>
                <w:bottom w:val="none" w:sz="0" w:space="0" w:color="auto"/>
                <w:right w:val="none" w:sz="0" w:space="0" w:color="auto"/>
              </w:divBdr>
              <w:divsChild>
                <w:div w:id="1404256025">
                  <w:marLeft w:val="0"/>
                  <w:marRight w:val="0"/>
                  <w:marTop w:val="0"/>
                  <w:marBottom w:val="0"/>
                  <w:divBdr>
                    <w:top w:val="none" w:sz="0" w:space="0" w:color="auto"/>
                    <w:left w:val="none" w:sz="0" w:space="0" w:color="auto"/>
                    <w:bottom w:val="none" w:sz="0" w:space="0" w:color="auto"/>
                    <w:right w:val="none" w:sz="0" w:space="0" w:color="auto"/>
                  </w:divBdr>
                </w:div>
              </w:divsChild>
            </w:div>
            <w:div w:id="21709055">
              <w:marLeft w:val="300"/>
              <w:marRight w:val="0"/>
              <w:marTop w:val="0"/>
              <w:marBottom w:val="0"/>
              <w:divBdr>
                <w:top w:val="none" w:sz="0" w:space="0" w:color="auto"/>
                <w:left w:val="none" w:sz="0" w:space="0" w:color="auto"/>
                <w:bottom w:val="none" w:sz="0" w:space="0" w:color="auto"/>
                <w:right w:val="none" w:sz="0" w:space="0" w:color="auto"/>
              </w:divBdr>
              <w:divsChild>
                <w:div w:id="12127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4436">
          <w:marLeft w:val="0"/>
          <w:marRight w:val="0"/>
          <w:marTop w:val="480"/>
          <w:marBottom w:val="0"/>
          <w:divBdr>
            <w:top w:val="single" w:sz="6" w:space="12" w:color="CCCCCC"/>
            <w:left w:val="none" w:sz="0" w:space="0" w:color="auto"/>
            <w:bottom w:val="none" w:sz="0" w:space="0" w:color="auto"/>
            <w:right w:val="none" w:sz="0" w:space="0" w:color="auto"/>
          </w:divBdr>
        </w:div>
        <w:div w:id="469860310">
          <w:marLeft w:val="0"/>
          <w:marRight w:val="0"/>
          <w:marTop w:val="0"/>
          <w:marBottom w:val="0"/>
          <w:divBdr>
            <w:top w:val="none" w:sz="0" w:space="0" w:color="auto"/>
            <w:left w:val="none" w:sz="0" w:space="0" w:color="auto"/>
            <w:bottom w:val="none" w:sz="0" w:space="0" w:color="auto"/>
            <w:right w:val="none" w:sz="0" w:space="0" w:color="auto"/>
          </w:divBdr>
          <w:divsChild>
            <w:div w:id="902377109">
              <w:marLeft w:val="0"/>
              <w:marRight w:val="0"/>
              <w:marTop w:val="0"/>
              <w:marBottom w:val="0"/>
              <w:divBdr>
                <w:top w:val="none" w:sz="0" w:space="0" w:color="auto"/>
                <w:left w:val="none" w:sz="0" w:space="0" w:color="auto"/>
                <w:bottom w:val="none" w:sz="0" w:space="0" w:color="auto"/>
                <w:right w:val="none" w:sz="0" w:space="0" w:color="auto"/>
              </w:divBdr>
            </w:div>
            <w:div w:id="62528818">
              <w:marLeft w:val="0"/>
              <w:marRight w:val="0"/>
              <w:marTop w:val="0"/>
              <w:marBottom w:val="0"/>
              <w:divBdr>
                <w:top w:val="none" w:sz="0" w:space="0" w:color="auto"/>
                <w:left w:val="none" w:sz="0" w:space="0" w:color="auto"/>
                <w:bottom w:val="none" w:sz="0" w:space="0" w:color="auto"/>
                <w:right w:val="none" w:sz="0" w:space="0" w:color="auto"/>
              </w:divBdr>
              <w:divsChild>
                <w:div w:id="790245112">
                  <w:marLeft w:val="0"/>
                  <w:marRight w:val="0"/>
                  <w:marTop w:val="0"/>
                  <w:marBottom w:val="0"/>
                  <w:divBdr>
                    <w:top w:val="none" w:sz="0" w:space="0" w:color="auto"/>
                    <w:left w:val="none" w:sz="0" w:space="0" w:color="auto"/>
                    <w:bottom w:val="none" w:sz="0" w:space="0" w:color="auto"/>
                    <w:right w:val="none" w:sz="0" w:space="0" w:color="auto"/>
                  </w:divBdr>
                </w:div>
              </w:divsChild>
            </w:div>
            <w:div w:id="384452280">
              <w:marLeft w:val="0"/>
              <w:marRight w:val="0"/>
              <w:marTop w:val="0"/>
              <w:marBottom w:val="0"/>
              <w:divBdr>
                <w:top w:val="none" w:sz="0" w:space="0" w:color="auto"/>
                <w:left w:val="none" w:sz="0" w:space="0" w:color="auto"/>
                <w:bottom w:val="none" w:sz="0" w:space="0" w:color="auto"/>
                <w:right w:val="none" w:sz="0" w:space="0" w:color="auto"/>
              </w:divBdr>
            </w:div>
          </w:divsChild>
        </w:div>
        <w:div w:id="1644232796">
          <w:marLeft w:val="0"/>
          <w:marRight w:val="0"/>
          <w:marTop w:val="0"/>
          <w:marBottom w:val="0"/>
          <w:divBdr>
            <w:top w:val="none" w:sz="0" w:space="0" w:color="auto"/>
            <w:left w:val="none" w:sz="0" w:space="0" w:color="auto"/>
            <w:bottom w:val="none" w:sz="0" w:space="0" w:color="auto"/>
            <w:right w:val="none" w:sz="0" w:space="0" w:color="auto"/>
          </w:divBdr>
          <w:divsChild>
            <w:div w:id="17126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fr/events/africandescentdecade/activities.shtml" TargetMode="External"/><Relationship Id="rId13" Type="http://schemas.openxmlformats.org/officeDocument/2006/relationships/hyperlink" Target="http://www.un.org/fr/events/africandescentdecade/programme.shtml" TargetMode="External"/><Relationship Id="rId18" Type="http://schemas.openxmlformats.org/officeDocument/2006/relationships/hyperlink" Target="http://www.un.org/fr/events/observances/" TargetMode="External"/><Relationship Id="rId26" Type="http://schemas.openxmlformats.org/officeDocument/2006/relationships/hyperlink" Target="http://www.un.org/fr/events/africandescentdecade/recognition.shtml" TargetMode="External"/><Relationship Id="rId3" Type="http://schemas.openxmlformats.org/officeDocument/2006/relationships/settings" Target="settings.xml"/><Relationship Id="rId21" Type="http://schemas.openxmlformats.org/officeDocument/2006/relationships/image" Target="media/image1.jpeg"/><Relationship Id="rId34" Type="http://schemas.openxmlformats.org/officeDocument/2006/relationships/fontTable" Target="fontTable.xml"/><Relationship Id="rId7" Type="http://schemas.openxmlformats.org/officeDocument/2006/relationships/hyperlink" Target="http://www.un.org/fr/events/africandescentdecade/programme.shtml" TargetMode="External"/><Relationship Id="rId12" Type="http://schemas.openxmlformats.org/officeDocument/2006/relationships/hyperlink" Target="http://www.un.org/fr/events/africandescentdecade/logos.shtml" TargetMode="External"/><Relationship Id="rId17" Type="http://schemas.openxmlformats.org/officeDocument/2006/relationships/hyperlink" Target="http://www.un.org/fr/events/africandescentdecade/slavetrade.shtml" TargetMode="External"/><Relationship Id="rId25" Type="http://schemas.openxmlformats.org/officeDocument/2006/relationships/image" Target="media/image2.jpeg"/><Relationship Id="rId33"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www.un.org/fr/events/africandescentdecade/messages.shtml" TargetMode="External"/><Relationship Id="rId20" Type="http://schemas.openxmlformats.org/officeDocument/2006/relationships/hyperlink" Target="http://www.un.org/en/ga/search/view_doc.asp?symbol=A/RES/68/237" TargetMode="External"/><Relationship Id="rId29" Type="http://schemas.openxmlformats.org/officeDocument/2006/relationships/hyperlink" Target="http://www.un.org/fr/events/africandescentdecade/discrimination.shtml" TargetMode="External"/><Relationship Id="rId1" Type="http://schemas.openxmlformats.org/officeDocument/2006/relationships/numbering" Target="numbering.xml"/><Relationship Id="rId6" Type="http://schemas.openxmlformats.org/officeDocument/2006/relationships/hyperlink" Target="http://www.un.org/fr/events/africandescentdecade/background.shtml" TargetMode="External"/><Relationship Id="rId11" Type="http://schemas.openxmlformats.org/officeDocument/2006/relationships/hyperlink" Target="http://www.un.org/fr/events/africandescentdecade/photos.shtml" TargetMode="External"/><Relationship Id="rId24" Type="http://schemas.openxmlformats.org/officeDocument/2006/relationships/hyperlink" Target="http://www.ohchr.org/FR/ProfessionalInterest/Pages/CERD.aspx" TargetMode="External"/><Relationship Id="rId32" Type="http://schemas.openxmlformats.org/officeDocument/2006/relationships/hyperlink" Target="http://www.un.org/fr/ga/search/view_doc.asp?symbol=A/RES/69/16" TargetMode="External"/><Relationship Id="rId5" Type="http://schemas.openxmlformats.org/officeDocument/2006/relationships/hyperlink" Target="http://www.un.org/fr/events/africandescentdecade/index.shtml" TargetMode="External"/><Relationship Id="rId15" Type="http://schemas.openxmlformats.org/officeDocument/2006/relationships/hyperlink" Target="http://www.un.org/fr/events/africandescentdecade/documents.shtml" TargetMode="External"/><Relationship Id="rId23" Type="http://schemas.openxmlformats.org/officeDocument/2006/relationships/hyperlink" Target="http://www.un.org/fr/durbanreview2009/" TargetMode="External"/><Relationship Id="rId28" Type="http://schemas.openxmlformats.org/officeDocument/2006/relationships/hyperlink" Target="http://www.un.org/fr/events/africandescentdecade/development.shtml" TargetMode="External"/><Relationship Id="rId10" Type="http://schemas.openxmlformats.org/officeDocument/2006/relationships/hyperlink" Target="http://www.un.org/en/events/africandescentdecade/videos.shtml" TargetMode="External"/><Relationship Id="rId19" Type="http://schemas.openxmlformats.org/officeDocument/2006/relationships/hyperlink" Target="http://www.un.org/fr/events/africandescentdecade/contact.asp" TargetMode="External"/><Relationship Id="rId31" Type="http://schemas.openxmlformats.org/officeDocument/2006/relationships/hyperlink" Target="http://www.un.org/fr/events/africandescentdecade/generalassembly.shtml" TargetMode="External"/><Relationship Id="rId4" Type="http://schemas.openxmlformats.org/officeDocument/2006/relationships/webSettings" Target="webSettings.xml"/><Relationship Id="rId9" Type="http://schemas.openxmlformats.org/officeDocument/2006/relationships/hyperlink" Target="http://www.un.org/fr/events/africandescentdecade/programme.shtml" TargetMode="External"/><Relationship Id="rId14" Type="http://schemas.openxmlformats.org/officeDocument/2006/relationships/hyperlink" Target="http://www.un.org/fr/events/africandescentdecade/links.shtml" TargetMode="External"/><Relationship Id="rId22" Type="http://schemas.openxmlformats.org/officeDocument/2006/relationships/hyperlink" Target="http://www.un.org/fr/documents/udhr/" TargetMode="External"/><Relationship Id="rId27" Type="http://schemas.openxmlformats.org/officeDocument/2006/relationships/hyperlink" Target="http://www.un.org/fr/events/africandescentdecade/justice.shtml" TargetMode="External"/><Relationship Id="rId30" Type="http://schemas.openxmlformats.org/officeDocument/2006/relationships/hyperlink" Target="http://www.un.org/fr/events/africandescentdecade/international.shtml"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5541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2015-02-03T08:23:00Z</dcterms:created>
  <dcterms:modified xsi:type="dcterms:W3CDTF">2015-02-03T08:23:00Z</dcterms:modified>
</cp:coreProperties>
</file>