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g" ContentType="image/jpeg"/>
  <Default Extension="emf" ContentType="image/x-emf"/>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13E07E" w14:textId="77777777" w:rsidR="008C51D1" w:rsidRDefault="008C51D1" w:rsidP="008C51D1">
      <w:pPr>
        <w:widowControl w:val="0"/>
        <w:autoSpaceDE w:val="0"/>
        <w:autoSpaceDN w:val="0"/>
        <w:adjustRightInd w:val="0"/>
        <w:sectPr w:rsidR="008C51D1" w:rsidSect="00215854">
          <w:headerReference w:type="default" r:id="rId9"/>
          <w:footerReference w:type="default" r:id="rId10"/>
          <w:pgSz w:w="11909" w:h="16834" w:code="9"/>
          <w:pgMar w:top="851" w:right="994" w:bottom="1135" w:left="1134" w:header="720" w:footer="720" w:gutter="0"/>
          <w:cols w:space="720"/>
          <w:titlePg/>
          <w:docGrid w:linePitch="360"/>
        </w:sectPr>
      </w:pPr>
      <w:r>
        <w:rPr>
          <w:noProof/>
          <w:lang w:val="en-US"/>
        </w:rPr>
        <w:drawing>
          <wp:anchor distT="0" distB="0" distL="114300" distR="114300" simplePos="0" relativeHeight="251673600" behindDoc="0" locked="0" layoutInCell="1" allowOverlap="1" wp14:anchorId="4D97FDB7" wp14:editId="5AED3B4F">
            <wp:simplePos x="0" y="0"/>
            <wp:positionH relativeFrom="margin">
              <wp:posOffset>1938020</wp:posOffset>
            </wp:positionH>
            <wp:positionV relativeFrom="paragraph">
              <wp:posOffset>-643890</wp:posOffset>
            </wp:positionV>
            <wp:extent cx="2307590" cy="1908810"/>
            <wp:effectExtent l="0" t="0" r="0" b="0"/>
            <wp:wrapTopAndBottom/>
            <wp:docPr id="2" name="Picture 1" descr="C:\DOCUME~1\lenain\LOCALS~1\Temp\7zE2F.tmp\LOGO-CE for Devco EN 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1\lenain\LOCALS~1\Temp\7zE2F.tmp\LOGO-CE for Devco EN Positive.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6502"/>
                    <a:stretch/>
                  </pic:blipFill>
                  <pic:spPr bwMode="auto">
                    <a:xfrm>
                      <a:off x="0" y="0"/>
                      <a:ext cx="2307590" cy="1908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7696" behindDoc="1" locked="0" layoutInCell="1" allowOverlap="1" wp14:anchorId="5A0919C4" wp14:editId="2A2E6CC4">
            <wp:simplePos x="0" y="0"/>
            <wp:positionH relativeFrom="column">
              <wp:posOffset>-794385</wp:posOffset>
            </wp:positionH>
            <wp:positionV relativeFrom="paragraph">
              <wp:posOffset>540385</wp:posOffset>
            </wp:positionV>
            <wp:extent cx="8280400" cy="4975860"/>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8-2013,GBS WORKSHOP 127.jpg"/>
                    <pic:cNvPicPr/>
                  </pic:nvPicPr>
                  <pic:blipFill rotWithShape="1">
                    <a:blip r:embed="rId12">
                      <a:extLst>
                        <a:ext uri="{28A0092B-C50C-407E-A947-70E740481C1C}">
                          <a14:useLocalDpi xmlns:a14="http://schemas.microsoft.com/office/drawing/2010/main" val="0"/>
                        </a:ext>
                      </a:extLst>
                    </a:blip>
                    <a:srcRect t="14352"/>
                    <a:stretch/>
                  </pic:blipFill>
                  <pic:spPr bwMode="auto">
                    <a:xfrm>
                      <a:off x="0" y="0"/>
                      <a:ext cx="8280400" cy="4975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74624" behindDoc="0" locked="0" layoutInCell="1" allowOverlap="1" wp14:anchorId="520F58A5" wp14:editId="31C889AF">
                <wp:simplePos x="0" y="0"/>
                <wp:positionH relativeFrom="column">
                  <wp:posOffset>2012477</wp:posOffset>
                </wp:positionH>
                <wp:positionV relativeFrom="paragraph">
                  <wp:posOffset>5796620</wp:posOffset>
                </wp:positionV>
                <wp:extent cx="4813300" cy="3858644"/>
                <wp:effectExtent l="0" t="0" r="0" b="8890"/>
                <wp:wrapNone/>
                <wp:docPr id="1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0" cy="3858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A357F" w14:textId="77777777" w:rsidR="00A751F4" w:rsidRPr="00475940" w:rsidRDefault="00A751F4" w:rsidP="008C51D1">
                            <w:pPr>
                              <w:spacing w:line="276" w:lineRule="auto"/>
                              <w:jc w:val="center"/>
                              <w:rPr>
                                <w:rFonts w:ascii="Verdana" w:hAnsi="Verdana"/>
                                <w:b/>
                                <w:color w:val="FFFFFF"/>
                                <w:sz w:val="36"/>
                                <w:szCs w:val="28"/>
                                <w:lang w:val="en-GB"/>
                              </w:rPr>
                            </w:pPr>
                            <w:r w:rsidRPr="00475940">
                              <w:rPr>
                                <w:rFonts w:ascii="Verdana" w:hAnsi="Verdana"/>
                                <w:b/>
                                <w:color w:val="FFFFFF"/>
                                <w:sz w:val="36"/>
                                <w:szCs w:val="28"/>
                                <w:lang w:val="en-GB"/>
                              </w:rPr>
                              <w:t>Synthesis of Budget Support Evaluations:</w:t>
                            </w:r>
                          </w:p>
                          <w:p w14:paraId="2C832F0A" w14:textId="77777777" w:rsidR="00A751F4" w:rsidRPr="00475940" w:rsidRDefault="00A751F4" w:rsidP="008C51D1">
                            <w:pPr>
                              <w:spacing w:line="276" w:lineRule="auto"/>
                              <w:jc w:val="center"/>
                              <w:rPr>
                                <w:rFonts w:ascii="Verdana" w:hAnsi="Verdana"/>
                                <w:b/>
                                <w:color w:val="FFFFFF"/>
                                <w:sz w:val="36"/>
                                <w:szCs w:val="28"/>
                                <w:lang w:val="en-GB"/>
                              </w:rPr>
                            </w:pPr>
                            <w:r w:rsidRPr="00475940">
                              <w:rPr>
                                <w:rFonts w:ascii="Verdana" w:hAnsi="Verdana"/>
                                <w:b/>
                                <w:color w:val="FFFFFF"/>
                                <w:sz w:val="36"/>
                                <w:szCs w:val="28"/>
                                <w:lang w:val="en-GB"/>
                              </w:rPr>
                              <w:t xml:space="preserve"> </w:t>
                            </w:r>
                          </w:p>
                          <w:p w14:paraId="3FB06DAC" w14:textId="77777777" w:rsidR="00A751F4" w:rsidRDefault="00A751F4" w:rsidP="008C51D1">
                            <w:pPr>
                              <w:spacing w:line="276" w:lineRule="auto"/>
                              <w:jc w:val="center"/>
                              <w:rPr>
                                <w:rFonts w:ascii="Verdana" w:hAnsi="Verdana"/>
                                <w:b/>
                                <w:color w:val="FFFFFF"/>
                                <w:sz w:val="36"/>
                                <w:szCs w:val="28"/>
                                <w:lang w:val="en-GB"/>
                              </w:rPr>
                            </w:pPr>
                            <w:r w:rsidRPr="00475940">
                              <w:rPr>
                                <w:rFonts w:ascii="Verdana" w:hAnsi="Verdana"/>
                                <w:b/>
                                <w:color w:val="FFFFFF"/>
                                <w:sz w:val="36"/>
                                <w:szCs w:val="28"/>
                                <w:lang w:val="en-GB"/>
                              </w:rPr>
                              <w:t xml:space="preserve">Analysis of the Findings, Conclusions and Recommendations </w:t>
                            </w:r>
                          </w:p>
                          <w:p w14:paraId="6E6C2D8F" w14:textId="77777777" w:rsidR="00A751F4" w:rsidRDefault="00A751F4" w:rsidP="008C51D1">
                            <w:pPr>
                              <w:spacing w:line="276" w:lineRule="auto"/>
                              <w:jc w:val="center"/>
                              <w:rPr>
                                <w:rFonts w:ascii="Verdana" w:hAnsi="Verdana"/>
                                <w:b/>
                                <w:color w:val="FFFFFF"/>
                                <w:sz w:val="36"/>
                                <w:szCs w:val="28"/>
                                <w:lang w:val="en-GB"/>
                              </w:rPr>
                            </w:pPr>
                            <w:proofErr w:type="gramStart"/>
                            <w:r w:rsidRPr="00475940">
                              <w:rPr>
                                <w:rFonts w:ascii="Verdana" w:hAnsi="Verdana"/>
                                <w:b/>
                                <w:color w:val="FFFFFF"/>
                                <w:sz w:val="36"/>
                                <w:szCs w:val="28"/>
                                <w:lang w:val="en-GB"/>
                              </w:rPr>
                              <w:t>of</w:t>
                            </w:r>
                            <w:proofErr w:type="gramEnd"/>
                            <w:r w:rsidRPr="00475940">
                              <w:rPr>
                                <w:rFonts w:ascii="Verdana" w:hAnsi="Verdana"/>
                                <w:b/>
                                <w:color w:val="FFFFFF"/>
                                <w:sz w:val="36"/>
                                <w:szCs w:val="28"/>
                                <w:lang w:val="en-GB"/>
                              </w:rPr>
                              <w:t xml:space="preserve"> </w:t>
                            </w:r>
                            <w:r>
                              <w:rPr>
                                <w:rFonts w:ascii="Verdana" w:hAnsi="Verdana"/>
                                <w:b/>
                                <w:color w:val="FFFFFF"/>
                                <w:sz w:val="36"/>
                                <w:szCs w:val="28"/>
                                <w:lang w:val="en-GB"/>
                              </w:rPr>
                              <w:t>seven</w:t>
                            </w:r>
                            <w:r w:rsidRPr="00475940">
                              <w:rPr>
                                <w:rFonts w:ascii="Verdana" w:hAnsi="Verdana"/>
                                <w:b/>
                                <w:color w:val="FFFFFF"/>
                                <w:sz w:val="36"/>
                                <w:szCs w:val="28"/>
                                <w:lang w:val="en-GB"/>
                              </w:rPr>
                              <w:t xml:space="preserve"> Country Evaluations </w:t>
                            </w:r>
                          </w:p>
                          <w:p w14:paraId="471CAB21" w14:textId="77777777" w:rsidR="00A751F4" w:rsidRDefault="00A751F4" w:rsidP="008C51D1">
                            <w:pPr>
                              <w:spacing w:line="276" w:lineRule="auto"/>
                              <w:jc w:val="center"/>
                              <w:rPr>
                                <w:rFonts w:ascii="Verdana" w:hAnsi="Verdana"/>
                                <w:b/>
                                <w:color w:val="FFFFFF"/>
                                <w:sz w:val="36"/>
                                <w:szCs w:val="28"/>
                                <w:lang w:val="en-GB"/>
                              </w:rPr>
                            </w:pPr>
                            <w:proofErr w:type="gramStart"/>
                            <w:r w:rsidRPr="00475940">
                              <w:rPr>
                                <w:rFonts w:ascii="Verdana" w:hAnsi="Verdana"/>
                                <w:b/>
                                <w:color w:val="FFFFFF"/>
                                <w:sz w:val="36"/>
                                <w:szCs w:val="28"/>
                                <w:lang w:val="en-GB"/>
                              </w:rPr>
                              <w:t>of</w:t>
                            </w:r>
                            <w:proofErr w:type="gramEnd"/>
                            <w:r w:rsidRPr="00475940">
                              <w:rPr>
                                <w:rFonts w:ascii="Verdana" w:hAnsi="Verdana"/>
                                <w:b/>
                                <w:color w:val="FFFFFF"/>
                                <w:sz w:val="36"/>
                                <w:szCs w:val="28"/>
                                <w:lang w:val="en-GB"/>
                              </w:rPr>
                              <w:t xml:space="preserve"> Budget Support</w:t>
                            </w:r>
                          </w:p>
                          <w:p w14:paraId="31DDE549" w14:textId="77777777" w:rsidR="00A751F4" w:rsidRPr="00475940" w:rsidRDefault="00A751F4" w:rsidP="008C51D1">
                            <w:pPr>
                              <w:spacing w:line="276" w:lineRule="auto"/>
                              <w:jc w:val="center"/>
                              <w:rPr>
                                <w:rFonts w:ascii="Verdana" w:hAnsi="Verdana"/>
                                <w:b/>
                                <w:color w:val="FFFFFF"/>
                                <w:sz w:val="36"/>
                                <w:szCs w:val="28"/>
                                <w:lang w:val="en-GB"/>
                              </w:rPr>
                            </w:pPr>
                          </w:p>
                          <w:p w14:paraId="28B1E242" w14:textId="77777777" w:rsidR="00A751F4" w:rsidRDefault="00A751F4" w:rsidP="008C51D1">
                            <w:pPr>
                              <w:spacing w:line="276" w:lineRule="auto"/>
                              <w:jc w:val="center"/>
                              <w:rPr>
                                <w:rFonts w:ascii="Verdana" w:hAnsi="Verdana"/>
                                <w:b/>
                                <w:color w:val="FFFFFF"/>
                                <w:szCs w:val="28"/>
                                <w:lang w:val="en-GB"/>
                              </w:rPr>
                            </w:pPr>
                            <w:r w:rsidRPr="00475940">
                              <w:rPr>
                                <w:rFonts w:ascii="Verdana" w:hAnsi="Verdana"/>
                                <w:b/>
                                <w:color w:val="FFFFFF"/>
                                <w:szCs w:val="28"/>
                                <w:lang w:val="en-GB"/>
                              </w:rPr>
                              <w:t>___________</w:t>
                            </w:r>
                          </w:p>
                          <w:p w14:paraId="4B41D56B" w14:textId="77777777" w:rsidR="00A751F4" w:rsidRPr="00475940" w:rsidRDefault="00A751F4" w:rsidP="008C51D1">
                            <w:pPr>
                              <w:spacing w:line="276" w:lineRule="auto"/>
                              <w:jc w:val="center"/>
                              <w:rPr>
                                <w:rFonts w:ascii="Verdana" w:hAnsi="Verdana"/>
                                <w:b/>
                                <w:color w:val="FFFFFF"/>
                                <w:szCs w:val="28"/>
                                <w:lang w:val="en-GB"/>
                              </w:rPr>
                            </w:pPr>
                          </w:p>
                          <w:p w14:paraId="37A542BD" w14:textId="77777777" w:rsidR="00A751F4" w:rsidRDefault="00A751F4" w:rsidP="008C51D1">
                            <w:pPr>
                              <w:spacing w:line="276" w:lineRule="auto"/>
                              <w:jc w:val="center"/>
                              <w:rPr>
                                <w:rFonts w:ascii="Verdana" w:hAnsi="Verdana"/>
                                <w:i/>
                                <w:color w:val="FFFFFF"/>
                                <w:sz w:val="22"/>
                                <w:szCs w:val="28"/>
                                <w:lang w:val="en-GB"/>
                              </w:rPr>
                            </w:pPr>
                          </w:p>
                          <w:p w14:paraId="59FE1078" w14:textId="77777777" w:rsidR="00A751F4" w:rsidRPr="00475940" w:rsidRDefault="00A751F4" w:rsidP="008C51D1">
                            <w:pPr>
                              <w:spacing w:line="276" w:lineRule="auto"/>
                              <w:jc w:val="center"/>
                              <w:rPr>
                                <w:rFonts w:ascii="Verdana" w:hAnsi="Verdana"/>
                                <w:i/>
                                <w:color w:val="FFFFFF"/>
                                <w:sz w:val="22"/>
                                <w:szCs w:val="28"/>
                                <w:lang w:val="en-GB"/>
                              </w:rPr>
                            </w:pPr>
                            <w:r w:rsidRPr="00475940">
                              <w:rPr>
                                <w:rFonts w:ascii="Verdana" w:hAnsi="Verdana"/>
                                <w:i/>
                                <w:color w:val="FFFFFF"/>
                                <w:sz w:val="22"/>
                                <w:szCs w:val="28"/>
                                <w:lang w:val="en-GB"/>
                              </w:rPr>
                              <w:t xml:space="preserve">Study carried out on behalf of </w:t>
                            </w:r>
                          </w:p>
                          <w:p w14:paraId="02CAB433" w14:textId="77777777" w:rsidR="00A751F4" w:rsidRPr="00475940" w:rsidRDefault="00A751F4" w:rsidP="008C51D1">
                            <w:pPr>
                              <w:spacing w:line="276" w:lineRule="auto"/>
                              <w:jc w:val="center"/>
                              <w:rPr>
                                <w:rFonts w:ascii="Verdana" w:hAnsi="Verdana"/>
                                <w:i/>
                                <w:color w:val="FFFFFF"/>
                                <w:sz w:val="22"/>
                                <w:szCs w:val="28"/>
                                <w:lang w:val="en-GB"/>
                              </w:rPr>
                            </w:pPr>
                            <w:proofErr w:type="gramStart"/>
                            <w:r w:rsidRPr="00475940">
                              <w:rPr>
                                <w:rFonts w:ascii="Verdana" w:hAnsi="Verdana"/>
                                <w:i/>
                                <w:color w:val="FFFFFF"/>
                                <w:sz w:val="22"/>
                                <w:szCs w:val="28"/>
                                <w:lang w:val="en-GB"/>
                              </w:rPr>
                              <w:t>the</w:t>
                            </w:r>
                            <w:proofErr w:type="gramEnd"/>
                            <w:r w:rsidRPr="00475940">
                              <w:rPr>
                                <w:rFonts w:ascii="Verdana" w:hAnsi="Verdana"/>
                                <w:i/>
                                <w:color w:val="FFFFFF"/>
                                <w:sz w:val="22"/>
                                <w:szCs w:val="28"/>
                                <w:lang w:val="en-GB"/>
                              </w:rPr>
                              <w:t xml:space="preserve"> European Commission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58.45pt;margin-top:456.45pt;width:379pt;height:303.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" filled="f" stroked="f">
                <v:textbox>
                  <w:txbxContent>
                    <w:p w14:paraId="741A357F" w14:textId="77777777" w:rsidR="00A751F4" w:rsidRPr="00475940" w:rsidRDefault="00A751F4" w:rsidP="008C51D1">
                      <w:pPr>
                        <w:spacing w:line="276" w:lineRule="auto"/>
                        <w:jc w:val="center"/>
                        <w:rPr>
                          <w:rFonts w:ascii="Verdana" w:hAnsi="Verdana"/>
                          <w:b/>
                          <w:color w:val="FFFFFF"/>
                          <w:sz w:val="36"/>
                          <w:szCs w:val="28"/>
                          <w:lang w:val="en-GB"/>
                        </w:rPr>
                      </w:pPr>
                      <w:r w:rsidRPr="00475940">
                        <w:rPr>
                          <w:rFonts w:ascii="Verdana" w:hAnsi="Verdana"/>
                          <w:b/>
                          <w:color w:val="FFFFFF"/>
                          <w:sz w:val="36"/>
                          <w:szCs w:val="28"/>
                          <w:lang w:val="en-GB"/>
                        </w:rPr>
                        <w:t>Synthesis of Budget Support Evaluations:</w:t>
                      </w:r>
                    </w:p>
                    <w:p w14:paraId="2C832F0A" w14:textId="77777777" w:rsidR="00A751F4" w:rsidRPr="00475940" w:rsidRDefault="00A751F4" w:rsidP="008C51D1">
                      <w:pPr>
                        <w:spacing w:line="276" w:lineRule="auto"/>
                        <w:jc w:val="center"/>
                        <w:rPr>
                          <w:rFonts w:ascii="Verdana" w:hAnsi="Verdana"/>
                          <w:b/>
                          <w:color w:val="FFFFFF"/>
                          <w:sz w:val="36"/>
                          <w:szCs w:val="28"/>
                          <w:lang w:val="en-GB"/>
                        </w:rPr>
                      </w:pPr>
                      <w:r w:rsidRPr="00475940">
                        <w:rPr>
                          <w:rFonts w:ascii="Verdana" w:hAnsi="Verdana"/>
                          <w:b/>
                          <w:color w:val="FFFFFF"/>
                          <w:sz w:val="36"/>
                          <w:szCs w:val="28"/>
                          <w:lang w:val="en-GB"/>
                        </w:rPr>
                        <w:t xml:space="preserve"> </w:t>
                      </w:r>
                    </w:p>
                    <w:p w14:paraId="3FB06DAC" w14:textId="77777777" w:rsidR="00A751F4" w:rsidRDefault="00A751F4" w:rsidP="008C51D1">
                      <w:pPr>
                        <w:spacing w:line="276" w:lineRule="auto"/>
                        <w:jc w:val="center"/>
                        <w:rPr>
                          <w:rFonts w:ascii="Verdana" w:hAnsi="Verdana"/>
                          <w:b/>
                          <w:color w:val="FFFFFF"/>
                          <w:sz w:val="36"/>
                          <w:szCs w:val="28"/>
                          <w:lang w:val="en-GB"/>
                        </w:rPr>
                      </w:pPr>
                      <w:r w:rsidRPr="00475940">
                        <w:rPr>
                          <w:rFonts w:ascii="Verdana" w:hAnsi="Verdana"/>
                          <w:b/>
                          <w:color w:val="FFFFFF"/>
                          <w:sz w:val="36"/>
                          <w:szCs w:val="28"/>
                          <w:lang w:val="en-GB"/>
                        </w:rPr>
                        <w:t xml:space="preserve">Analysis of the Findings, Conclusions and Recommendations </w:t>
                      </w:r>
                    </w:p>
                    <w:p w14:paraId="6E6C2D8F" w14:textId="77777777" w:rsidR="00A751F4" w:rsidRDefault="00A751F4" w:rsidP="008C51D1">
                      <w:pPr>
                        <w:spacing w:line="276" w:lineRule="auto"/>
                        <w:jc w:val="center"/>
                        <w:rPr>
                          <w:rFonts w:ascii="Verdana" w:hAnsi="Verdana"/>
                          <w:b/>
                          <w:color w:val="FFFFFF"/>
                          <w:sz w:val="36"/>
                          <w:szCs w:val="28"/>
                          <w:lang w:val="en-GB"/>
                        </w:rPr>
                      </w:pPr>
                      <w:proofErr w:type="gramStart"/>
                      <w:r w:rsidRPr="00475940">
                        <w:rPr>
                          <w:rFonts w:ascii="Verdana" w:hAnsi="Verdana"/>
                          <w:b/>
                          <w:color w:val="FFFFFF"/>
                          <w:sz w:val="36"/>
                          <w:szCs w:val="28"/>
                          <w:lang w:val="en-GB"/>
                        </w:rPr>
                        <w:t>of</w:t>
                      </w:r>
                      <w:proofErr w:type="gramEnd"/>
                      <w:r w:rsidRPr="00475940">
                        <w:rPr>
                          <w:rFonts w:ascii="Verdana" w:hAnsi="Verdana"/>
                          <w:b/>
                          <w:color w:val="FFFFFF"/>
                          <w:sz w:val="36"/>
                          <w:szCs w:val="28"/>
                          <w:lang w:val="en-GB"/>
                        </w:rPr>
                        <w:t xml:space="preserve"> </w:t>
                      </w:r>
                      <w:r>
                        <w:rPr>
                          <w:rFonts w:ascii="Verdana" w:hAnsi="Verdana"/>
                          <w:b/>
                          <w:color w:val="FFFFFF"/>
                          <w:sz w:val="36"/>
                          <w:szCs w:val="28"/>
                          <w:lang w:val="en-GB"/>
                        </w:rPr>
                        <w:t>seven</w:t>
                      </w:r>
                      <w:r w:rsidRPr="00475940">
                        <w:rPr>
                          <w:rFonts w:ascii="Verdana" w:hAnsi="Verdana"/>
                          <w:b/>
                          <w:color w:val="FFFFFF"/>
                          <w:sz w:val="36"/>
                          <w:szCs w:val="28"/>
                          <w:lang w:val="en-GB"/>
                        </w:rPr>
                        <w:t xml:space="preserve"> Country Evaluations </w:t>
                      </w:r>
                    </w:p>
                    <w:p w14:paraId="471CAB21" w14:textId="77777777" w:rsidR="00A751F4" w:rsidRDefault="00A751F4" w:rsidP="008C51D1">
                      <w:pPr>
                        <w:spacing w:line="276" w:lineRule="auto"/>
                        <w:jc w:val="center"/>
                        <w:rPr>
                          <w:rFonts w:ascii="Verdana" w:hAnsi="Verdana"/>
                          <w:b/>
                          <w:color w:val="FFFFFF"/>
                          <w:sz w:val="36"/>
                          <w:szCs w:val="28"/>
                          <w:lang w:val="en-GB"/>
                        </w:rPr>
                      </w:pPr>
                      <w:proofErr w:type="gramStart"/>
                      <w:r w:rsidRPr="00475940">
                        <w:rPr>
                          <w:rFonts w:ascii="Verdana" w:hAnsi="Verdana"/>
                          <w:b/>
                          <w:color w:val="FFFFFF"/>
                          <w:sz w:val="36"/>
                          <w:szCs w:val="28"/>
                          <w:lang w:val="en-GB"/>
                        </w:rPr>
                        <w:t>of</w:t>
                      </w:r>
                      <w:proofErr w:type="gramEnd"/>
                      <w:r w:rsidRPr="00475940">
                        <w:rPr>
                          <w:rFonts w:ascii="Verdana" w:hAnsi="Verdana"/>
                          <w:b/>
                          <w:color w:val="FFFFFF"/>
                          <w:sz w:val="36"/>
                          <w:szCs w:val="28"/>
                          <w:lang w:val="en-GB"/>
                        </w:rPr>
                        <w:t xml:space="preserve"> Budget Support</w:t>
                      </w:r>
                    </w:p>
                    <w:p w14:paraId="31DDE549" w14:textId="77777777" w:rsidR="00A751F4" w:rsidRPr="00475940" w:rsidRDefault="00A751F4" w:rsidP="008C51D1">
                      <w:pPr>
                        <w:spacing w:line="276" w:lineRule="auto"/>
                        <w:jc w:val="center"/>
                        <w:rPr>
                          <w:rFonts w:ascii="Verdana" w:hAnsi="Verdana"/>
                          <w:b/>
                          <w:color w:val="FFFFFF"/>
                          <w:sz w:val="36"/>
                          <w:szCs w:val="28"/>
                          <w:lang w:val="en-GB"/>
                        </w:rPr>
                      </w:pPr>
                    </w:p>
                    <w:p w14:paraId="28B1E242" w14:textId="77777777" w:rsidR="00A751F4" w:rsidRDefault="00A751F4" w:rsidP="008C51D1">
                      <w:pPr>
                        <w:spacing w:line="276" w:lineRule="auto"/>
                        <w:jc w:val="center"/>
                        <w:rPr>
                          <w:rFonts w:ascii="Verdana" w:hAnsi="Verdana"/>
                          <w:b/>
                          <w:color w:val="FFFFFF"/>
                          <w:szCs w:val="28"/>
                          <w:lang w:val="en-GB"/>
                        </w:rPr>
                      </w:pPr>
                      <w:r w:rsidRPr="00475940">
                        <w:rPr>
                          <w:rFonts w:ascii="Verdana" w:hAnsi="Verdana"/>
                          <w:b/>
                          <w:color w:val="FFFFFF"/>
                          <w:szCs w:val="28"/>
                          <w:lang w:val="en-GB"/>
                        </w:rPr>
                        <w:t>___________</w:t>
                      </w:r>
                    </w:p>
                    <w:p w14:paraId="4B41D56B" w14:textId="77777777" w:rsidR="00A751F4" w:rsidRPr="00475940" w:rsidRDefault="00A751F4" w:rsidP="008C51D1">
                      <w:pPr>
                        <w:spacing w:line="276" w:lineRule="auto"/>
                        <w:jc w:val="center"/>
                        <w:rPr>
                          <w:rFonts w:ascii="Verdana" w:hAnsi="Verdana"/>
                          <w:b/>
                          <w:color w:val="FFFFFF"/>
                          <w:szCs w:val="28"/>
                          <w:lang w:val="en-GB"/>
                        </w:rPr>
                      </w:pPr>
                    </w:p>
                    <w:p w14:paraId="37A542BD" w14:textId="77777777" w:rsidR="00A751F4" w:rsidRDefault="00A751F4" w:rsidP="008C51D1">
                      <w:pPr>
                        <w:spacing w:line="276" w:lineRule="auto"/>
                        <w:jc w:val="center"/>
                        <w:rPr>
                          <w:rFonts w:ascii="Verdana" w:hAnsi="Verdana"/>
                          <w:i/>
                          <w:color w:val="FFFFFF"/>
                          <w:sz w:val="22"/>
                          <w:szCs w:val="28"/>
                          <w:lang w:val="en-GB"/>
                        </w:rPr>
                      </w:pPr>
                    </w:p>
                    <w:p w14:paraId="59FE1078" w14:textId="77777777" w:rsidR="00A751F4" w:rsidRPr="00475940" w:rsidRDefault="00A751F4" w:rsidP="008C51D1">
                      <w:pPr>
                        <w:spacing w:line="276" w:lineRule="auto"/>
                        <w:jc w:val="center"/>
                        <w:rPr>
                          <w:rFonts w:ascii="Verdana" w:hAnsi="Verdana"/>
                          <w:i/>
                          <w:color w:val="FFFFFF"/>
                          <w:sz w:val="22"/>
                          <w:szCs w:val="28"/>
                          <w:lang w:val="en-GB"/>
                        </w:rPr>
                      </w:pPr>
                      <w:r w:rsidRPr="00475940">
                        <w:rPr>
                          <w:rFonts w:ascii="Verdana" w:hAnsi="Verdana"/>
                          <w:i/>
                          <w:color w:val="FFFFFF"/>
                          <w:sz w:val="22"/>
                          <w:szCs w:val="28"/>
                          <w:lang w:val="en-GB"/>
                        </w:rPr>
                        <w:t xml:space="preserve">Study carried out on behalf of </w:t>
                      </w:r>
                    </w:p>
                    <w:p w14:paraId="02CAB433" w14:textId="77777777" w:rsidR="00A751F4" w:rsidRPr="00475940" w:rsidRDefault="00A751F4" w:rsidP="008C51D1">
                      <w:pPr>
                        <w:spacing w:line="276" w:lineRule="auto"/>
                        <w:jc w:val="center"/>
                        <w:rPr>
                          <w:rFonts w:ascii="Verdana" w:hAnsi="Verdana"/>
                          <w:i/>
                          <w:color w:val="FFFFFF"/>
                          <w:sz w:val="22"/>
                          <w:szCs w:val="28"/>
                          <w:lang w:val="en-GB"/>
                        </w:rPr>
                      </w:pPr>
                      <w:proofErr w:type="gramStart"/>
                      <w:r w:rsidRPr="00475940">
                        <w:rPr>
                          <w:rFonts w:ascii="Verdana" w:hAnsi="Verdana"/>
                          <w:i/>
                          <w:color w:val="FFFFFF"/>
                          <w:sz w:val="22"/>
                          <w:szCs w:val="28"/>
                          <w:lang w:val="en-GB"/>
                        </w:rPr>
                        <w:t>the</w:t>
                      </w:r>
                      <w:proofErr w:type="gramEnd"/>
                      <w:r w:rsidRPr="00475940">
                        <w:rPr>
                          <w:rFonts w:ascii="Verdana" w:hAnsi="Verdana"/>
                          <w:i/>
                          <w:color w:val="FFFFFF"/>
                          <w:sz w:val="22"/>
                          <w:szCs w:val="28"/>
                          <w:lang w:val="en-GB"/>
                        </w:rPr>
                        <w:t xml:space="preserve"> European Commission</w:t>
                      </w:r>
                    </w:p>
                  </w:txbxContent>
                </v:textbox>
              </v:rect>
            </w:pict>
          </mc:Fallback>
        </mc:AlternateContent>
      </w:r>
      <w:r>
        <w:rPr>
          <w:noProof/>
          <w:lang w:val="en-US"/>
        </w:rPr>
        <mc:AlternateContent>
          <mc:Choice Requires="wps">
            <w:drawing>
              <wp:anchor distT="0" distB="0" distL="114300" distR="114300" simplePos="0" relativeHeight="251672576" behindDoc="1" locked="0" layoutInCell="1" allowOverlap="1" wp14:anchorId="7556CCF2" wp14:editId="1E015FF8">
                <wp:simplePos x="0" y="0"/>
                <wp:positionH relativeFrom="column">
                  <wp:posOffset>-1028434</wp:posOffset>
                </wp:positionH>
                <wp:positionV relativeFrom="paragraph">
                  <wp:posOffset>5445744</wp:posOffset>
                </wp:positionV>
                <wp:extent cx="7949565" cy="4702013"/>
                <wp:effectExtent l="0" t="0" r="0" b="381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9565" cy="4702013"/>
                        </a:xfrm>
                        <a:prstGeom prst="rect">
                          <a:avLst/>
                        </a:prstGeom>
                        <a:solidFill>
                          <a:srgbClr val="5163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81pt;margin-top:428.8pt;width:625.95pt;height:370.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" fillcolor="#51638e" stroked="f"/>
            </w:pict>
          </mc:Fallback>
        </mc:AlternateContent>
      </w:r>
      <w:r>
        <w:rPr>
          <w:noProof/>
          <w:lang w:val="en-US"/>
        </w:rPr>
        <w:drawing>
          <wp:anchor distT="0" distB="0" distL="114300" distR="114300" simplePos="0" relativeHeight="251675648" behindDoc="1" locked="0" layoutInCell="1" allowOverlap="1" wp14:anchorId="35CB70E8" wp14:editId="58B73684">
            <wp:simplePos x="0" y="0"/>
            <wp:positionH relativeFrom="margin">
              <wp:posOffset>-698500</wp:posOffset>
            </wp:positionH>
            <wp:positionV relativeFrom="margin">
              <wp:posOffset>5692140</wp:posOffset>
            </wp:positionV>
            <wp:extent cx="3533140" cy="4469130"/>
            <wp:effectExtent l="0" t="0" r="0" b="7620"/>
            <wp:wrapNone/>
            <wp:docPr id="6"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33140" cy="44691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76672" behindDoc="0" locked="0" layoutInCell="1" allowOverlap="1" wp14:anchorId="07B355AD" wp14:editId="05EA7AA9">
                <wp:simplePos x="0" y="0"/>
                <wp:positionH relativeFrom="column">
                  <wp:posOffset>2494641</wp:posOffset>
                </wp:positionH>
                <wp:positionV relativeFrom="paragraph">
                  <wp:posOffset>9570720</wp:posOffset>
                </wp:positionV>
                <wp:extent cx="829310" cy="579120"/>
                <wp:effectExtent l="0" t="0" r="8890" b="0"/>
                <wp:wrapNone/>
                <wp:docPr id="1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9310" cy="579120"/>
                        </a:xfrm>
                        <a:prstGeom prst="rect">
                          <a:avLst/>
                        </a:prstGeom>
                        <a:solidFill>
                          <a:srgbClr val="E95D0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6FAB85" w14:textId="77777777" w:rsidR="00A751F4" w:rsidRPr="00CD4BBA" w:rsidRDefault="00A751F4" w:rsidP="008C51D1">
                            <w:pPr>
                              <w:jc w:val="center"/>
                              <w:rPr>
                                <w:color w:val="FFFFFF"/>
                                <w:sz w:val="18"/>
                                <w:lang w:val="fr-BE"/>
                              </w:rPr>
                            </w:pPr>
                            <w:r w:rsidRPr="00CD4BBA">
                              <w:rPr>
                                <w:color w:val="FFFFFF"/>
                                <w:sz w:val="18"/>
                                <w:lang w:val="fr-BE"/>
                              </w:rPr>
                              <w:t>Development and Cooperation EuropeAid</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7" style="position:absolute;margin-left:196.45pt;margin-top:753.6pt;width:65.3pt;height:45.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" fillcolor="#e95d0f" stroked="f">
                <v:textbox inset=".5mm,.3mm,.5mm,.3mm">
                  <w:txbxContent>
                    <w:p w14:paraId="356FAB85" w14:textId="77777777" w:rsidR="00A751F4" w:rsidRPr="00CD4BBA" w:rsidRDefault="00A751F4" w:rsidP="008C51D1">
                      <w:pPr>
                        <w:jc w:val="center"/>
                        <w:rPr>
                          <w:color w:val="FFFFFF"/>
                          <w:sz w:val="18"/>
                          <w:lang w:val="fr-BE"/>
                        </w:rPr>
                      </w:pPr>
                      <w:r w:rsidRPr="00CD4BBA">
                        <w:rPr>
                          <w:color w:val="FFFFFF"/>
                          <w:sz w:val="18"/>
                          <w:lang w:val="fr-BE"/>
                        </w:rPr>
                        <w:t>Development and Cooperation EuropeAid</w:t>
                      </w:r>
                    </w:p>
                  </w:txbxContent>
                </v:textbox>
              </v:rect>
            </w:pict>
          </mc:Fallback>
        </mc:AlternateContent>
      </w:r>
      <w:r>
        <w:br w:type="page"/>
      </w:r>
    </w:p>
    <w:p w14:paraId="018E49AE" w14:textId="52DF4506" w:rsidR="00071454" w:rsidRDefault="006F53B1" w:rsidP="00071454">
      <w:pPr>
        <w:widowControl w:val="0"/>
        <w:autoSpaceDE w:val="0"/>
        <w:autoSpaceDN w:val="0"/>
        <w:adjustRightInd w:val="0"/>
        <w:rPr>
          <w:rFonts w:ascii="Times" w:hAnsi="Times" w:cs="Times"/>
          <w:lang w:val="en-US" w:eastAsia="en-GB"/>
        </w:rPr>
      </w:pPr>
      <w:r>
        <w:lastRenderedPageBreak/>
        <w:br w:type="page"/>
      </w:r>
    </w:p>
    <w:p w14:paraId="4AAD3A14" w14:textId="77777777" w:rsidR="006F53B1" w:rsidRDefault="006F53B1" w:rsidP="006F53B1">
      <w:pPr>
        <w:rPr>
          <w:noProof/>
        </w:rPr>
      </w:pPr>
    </w:p>
    <w:tbl>
      <w:tblPr>
        <w:tblW w:w="9900" w:type="dxa"/>
        <w:jc w:val="center"/>
        <w:tblInd w:w="817" w:type="dxa"/>
        <w:tblBorders>
          <w:bottom w:val="single" w:sz="4" w:space="0" w:color="33339A"/>
        </w:tblBorders>
        <w:tblLook w:val="01E0" w:firstRow="1" w:lastRow="1" w:firstColumn="1" w:lastColumn="1" w:noHBand="0" w:noVBand="0"/>
      </w:tblPr>
      <w:tblGrid>
        <w:gridCol w:w="3287"/>
        <w:gridCol w:w="3339"/>
        <w:gridCol w:w="3274"/>
      </w:tblGrid>
      <w:tr w:rsidR="00444617" w:rsidRPr="00592231" w14:paraId="2E377F7C" w14:textId="77777777" w:rsidTr="00C12964">
        <w:trPr>
          <w:jc w:val="center"/>
        </w:trPr>
        <w:tc>
          <w:tcPr>
            <w:tcW w:w="3287" w:type="dxa"/>
          </w:tcPr>
          <w:p w14:paraId="7299EF00" w14:textId="77777777" w:rsidR="00444617" w:rsidRPr="00592231" w:rsidRDefault="00444617" w:rsidP="006F53B1">
            <w:pPr>
              <w:suppressAutoHyphens/>
              <w:jc w:val="center"/>
              <w:rPr>
                <w:rFonts w:cs="Arial"/>
              </w:rPr>
            </w:pPr>
            <w:r w:rsidRPr="00372CF5">
              <w:rPr>
                <w:noProof/>
                <w:sz w:val="22"/>
                <w:szCs w:val="22"/>
                <w:lang w:val="en-US"/>
              </w:rPr>
              <w:drawing>
                <wp:inline distT="0" distB="0" distL="0" distR="0" wp14:anchorId="32997B68" wp14:editId="45201ED8">
                  <wp:extent cx="1270423" cy="1041041"/>
                  <wp:effectExtent l="0" t="0" r="0" b="635"/>
                  <wp:docPr id="1" name="Picture 1" descr="Fiscus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scus_Logo_RGB"/>
                          <pic:cNvPicPr>
                            <a:picLocks noChangeAspect="1" noChangeArrowheads="1"/>
                          </pic:cNvPicPr>
                        </pic:nvPicPr>
                        <pic:blipFill>
                          <a:blip r:embed="rId14" cstate="print"/>
                          <a:srcRect/>
                          <a:stretch>
                            <a:fillRect/>
                          </a:stretch>
                        </pic:blipFill>
                        <pic:spPr bwMode="auto">
                          <a:xfrm>
                            <a:off x="0" y="0"/>
                            <a:ext cx="1270423" cy="1041041"/>
                          </a:xfrm>
                          <a:prstGeom prst="rect">
                            <a:avLst/>
                          </a:prstGeom>
                          <a:noFill/>
                          <a:ln w="9525">
                            <a:noFill/>
                            <a:miter lim="800000"/>
                            <a:headEnd/>
                            <a:tailEnd/>
                          </a:ln>
                        </pic:spPr>
                      </pic:pic>
                    </a:graphicData>
                  </a:graphic>
                </wp:inline>
              </w:drawing>
            </w:r>
          </w:p>
        </w:tc>
        <w:tc>
          <w:tcPr>
            <w:tcW w:w="3339" w:type="dxa"/>
          </w:tcPr>
          <w:p w14:paraId="1672C139" w14:textId="77777777" w:rsidR="00444617" w:rsidRDefault="00444617" w:rsidP="00444617">
            <w:pPr>
              <w:pStyle w:val="BoldLeft"/>
              <w:spacing w:after="240"/>
              <w:jc w:val="both"/>
              <w:rPr>
                <w:rFonts w:ascii="Gill Sans MT" w:hAnsi="Gill Sans MT" w:cs="Arial"/>
                <w:b w:val="0"/>
                <w:bCs/>
                <w:caps w:val="0"/>
                <w:color w:val="990099"/>
                <w:sz w:val="15"/>
                <w:szCs w:val="15"/>
                <w:lang w:val="en-GB"/>
              </w:rPr>
            </w:pPr>
            <w:r w:rsidRPr="00372CF5">
              <w:rPr>
                <w:rFonts w:ascii="Gill Sans MT" w:hAnsi="Gill Sans MT" w:cs="Arial"/>
                <w:b w:val="0"/>
                <w:bCs/>
                <w:caps w:val="0"/>
                <w:color w:val="990099"/>
                <w:sz w:val="15"/>
                <w:szCs w:val="15"/>
                <w:lang w:val="en-GB"/>
              </w:rPr>
              <w:t>Fiscus Public Finance Consultants, Ltd.</w:t>
            </w:r>
          </w:p>
          <w:p w14:paraId="4B6B62AD" w14:textId="77777777" w:rsidR="00444617" w:rsidRPr="00372CF5" w:rsidRDefault="00444617" w:rsidP="00444617">
            <w:pPr>
              <w:pStyle w:val="BoldLeft"/>
              <w:spacing w:after="240"/>
              <w:jc w:val="both"/>
              <w:rPr>
                <w:rFonts w:ascii="Gill Sans MT" w:hAnsi="Gill Sans MT" w:cs="Arial"/>
                <w:b w:val="0"/>
                <w:bCs/>
                <w:caps w:val="0"/>
                <w:color w:val="990099"/>
                <w:sz w:val="15"/>
                <w:szCs w:val="15"/>
                <w:lang w:val="en-GB"/>
              </w:rPr>
            </w:pPr>
            <w:r w:rsidRPr="00372CF5">
              <w:rPr>
                <w:rFonts w:ascii="Gill Sans MT" w:hAnsi="Gill Sans MT" w:cs="Arial"/>
                <w:b w:val="0"/>
                <w:bCs/>
                <w:caps w:val="0"/>
                <w:color w:val="990099"/>
                <w:sz w:val="15"/>
                <w:szCs w:val="15"/>
                <w:lang w:val="en-GB"/>
              </w:rPr>
              <w:t>Registered office:</w:t>
            </w:r>
          </w:p>
          <w:p w14:paraId="71B55ED0" w14:textId="77777777" w:rsidR="00444617" w:rsidRDefault="00444617" w:rsidP="00C12964">
            <w:pPr>
              <w:pStyle w:val="BoldLeft"/>
              <w:spacing w:before="0" w:after="0"/>
              <w:jc w:val="both"/>
              <w:rPr>
                <w:rFonts w:ascii="Gill Sans MT" w:hAnsi="Gill Sans MT" w:cs="Arial"/>
                <w:b w:val="0"/>
                <w:bCs/>
                <w:caps w:val="0"/>
                <w:color w:val="990099"/>
                <w:sz w:val="15"/>
                <w:szCs w:val="15"/>
                <w:lang w:val="en-GB"/>
              </w:rPr>
            </w:pPr>
            <w:r w:rsidRPr="00372CF5">
              <w:rPr>
                <w:rFonts w:ascii="Gill Sans MT" w:hAnsi="Gill Sans MT" w:cs="Arial"/>
                <w:b w:val="0"/>
                <w:bCs/>
                <w:caps w:val="0"/>
                <w:color w:val="990099"/>
                <w:sz w:val="15"/>
                <w:szCs w:val="15"/>
                <w:lang w:val="en-GB"/>
              </w:rPr>
              <w:t xml:space="preserve">Unit 3, Wheatley Business Centre, </w:t>
            </w:r>
          </w:p>
          <w:p w14:paraId="560334D7" w14:textId="77777777" w:rsidR="00444617" w:rsidRPr="00372CF5" w:rsidRDefault="00444617" w:rsidP="00C12964">
            <w:pPr>
              <w:pStyle w:val="BoldLeft"/>
              <w:spacing w:before="0" w:after="0"/>
              <w:jc w:val="both"/>
              <w:rPr>
                <w:rFonts w:ascii="Gill Sans MT" w:hAnsi="Gill Sans MT" w:cs="Arial"/>
                <w:b w:val="0"/>
                <w:bCs/>
                <w:caps w:val="0"/>
                <w:color w:val="990099"/>
                <w:sz w:val="15"/>
                <w:szCs w:val="15"/>
                <w:lang w:val="en-GB"/>
              </w:rPr>
            </w:pPr>
            <w:r w:rsidRPr="00372CF5">
              <w:rPr>
                <w:rFonts w:ascii="Gill Sans MT" w:hAnsi="Gill Sans MT" w:cs="Arial"/>
                <w:b w:val="0"/>
                <w:bCs/>
                <w:caps w:val="0"/>
                <w:color w:val="990099"/>
                <w:sz w:val="15"/>
                <w:szCs w:val="15"/>
                <w:lang w:val="en-GB"/>
              </w:rPr>
              <w:t>Old London Road,</w:t>
            </w:r>
          </w:p>
          <w:p w14:paraId="540F0FDE" w14:textId="77777777" w:rsidR="00444617" w:rsidRPr="00372CF5" w:rsidRDefault="00444617" w:rsidP="00C12964">
            <w:pPr>
              <w:pStyle w:val="BoldLeft"/>
              <w:spacing w:before="0" w:after="0"/>
              <w:jc w:val="both"/>
              <w:rPr>
                <w:rFonts w:ascii="Gill Sans MT" w:hAnsi="Gill Sans MT" w:cs="Arial"/>
                <w:b w:val="0"/>
                <w:bCs/>
                <w:caps w:val="0"/>
                <w:color w:val="990099"/>
                <w:sz w:val="15"/>
                <w:szCs w:val="15"/>
                <w:lang w:val="en-GB"/>
              </w:rPr>
            </w:pPr>
            <w:r w:rsidRPr="00372CF5">
              <w:rPr>
                <w:rFonts w:ascii="Gill Sans MT" w:hAnsi="Gill Sans MT" w:cs="Arial"/>
                <w:b w:val="0"/>
                <w:bCs/>
                <w:caps w:val="0"/>
                <w:color w:val="990099"/>
                <w:sz w:val="15"/>
                <w:szCs w:val="15"/>
                <w:lang w:val="en-GB"/>
              </w:rPr>
              <w:t>Oxford, OX33 1XW.</w:t>
            </w:r>
          </w:p>
          <w:p w14:paraId="60E0A9D6" w14:textId="77777777" w:rsidR="00444617" w:rsidRPr="00444617" w:rsidRDefault="00444617" w:rsidP="00444617">
            <w:pPr>
              <w:pStyle w:val="BodyText"/>
              <w:numPr>
                <w:ilvl w:val="0"/>
                <w:numId w:val="0"/>
              </w:numPr>
              <w:spacing w:before="0" w:after="0" w:line="240" w:lineRule="auto"/>
              <w:rPr>
                <w:rFonts w:ascii="Gill Sans MT" w:hAnsi="Gill Sans MT" w:cs="Arial"/>
                <w:color w:val="990099"/>
                <w:sz w:val="15"/>
                <w:szCs w:val="15"/>
                <w:lang w:val="en-GB"/>
              </w:rPr>
            </w:pPr>
            <w:r w:rsidRPr="00372CF5">
              <w:rPr>
                <w:rFonts w:ascii="Gill Sans MT" w:hAnsi="Gill Sans MT" w:cs="Arial"/>
                <w:color w:val="990099"/>
                <w:sz w:val="15"/>
                <w:szCs w:val="15"/>
                <w:lang w:val="en-GB"/>
              </w:rPr>
              <w:t>United Kingdom</w:t>
            </w:r>
          </w:p>
        </w:tc>
        <w:tc>
          <w:tcPr>
            <w:tcW w:w="3274" w:type="dxa"/>
            <w:vAlign w:val="center"/>
          </w:tcPr>
          <w:p w14:paraId="25E0700E" w14:textId="77777777" w:rsidR="00444617" w:rsidRPr="00592231" w:rsidRDefault="00444617" w:rsidP="006F53B1">
            <w:pPr>
              <w:suppressAutoHyphens/>
              <w:jc w:val="center"/>
              <w:rPr>
                <w:rFonts w:cs="Arial"/>
              </w:rPr>
            </w:pPr>
            <w:r>
              <w:rPr>
                <w:rFonts w:cs="Arial"/>
                <w:noProof/>
                <w:lang w:val="en-US"/>
              </w:rPr>
              <w:drawing>
                <wp:inline distT="0" distB="0" distL="0" distR="0" wp14:anchorId="7C4C2B0B" wp14:editId="111C3864">
                  <wp:extent cx="1795145" cy="541655"/>
                  <wp:effectExtent l="0" t="0" r="8255" b="0"/>
                  <wp:docPr id="5" name="Picture 1" desc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95145" cy="541655"/>
                          </a:xfrm>
                          <a:prstGeom prst="rect">
                            <a:avLst/>
                          </a:prstGeom>
                          <a:noFill/>
                          <a:ln>
                            <a:noFill/>
                          </a:ln>
                        </pic:spPr>
                      </pic:pic>
                    </a:graphicData>
                  </a:graphic>
                </wp:inline>
              </w:drawing>
            </w:r>
          </w:p>
        </w:tc>
      </w:tr>
      <w:tr w:rsidR="00444617" w:rsidRPr="00592231" w14:paraId="0B3FBFA8" w14:textId="77777777" w:rsidTr="006F53B1">
        <w:trPr>
          <w:jc w:val="center"/>
        </w:trPr>
        <w:tc>
          <w:tcPr>
            <w:tcW w:w="3287" w:type="dxa"/>
            <w:vAlign w:val="center"/>
          </w:tcPr>
          <w:p w14:paraId="22228CF1" w14:textId="77777777" w:rsidR="00444617" w:rsidRPr="00592231" w:rsidRDefault="00444617" w:rsidP="006F53B1">
            <w:pPr>
              <w:suppressAutoHyphens/>
              <w:jc w:val="center"/>
              <w:rPr>
                <w:rFonts w:cs="Arial"/>
              </w:rPr>
            </w:pPr>
          </w:p>
        </w:tc>
        <w:tc>
          <w:tcPr>
            <w:tcW w:w="3339" w:type="dxa"/>
            <w:vAlign w:val="center"/>
          </w:tcPr>
          <w:p w14:paraId="2285CBAD" w14:textId="77777777" w:rsidR="00444617" w:rsidRPr="00592231" w:rsidRDefault="00444617" w:rsidP="006F53B1">
            <w:pPr>
              <w:suppressAutoHyphens/>
              <w:jc w:val="center"/>
              <w:rPr>
                <w:rFonts w:cs="Arial"/>
              </w:rPr>
            </w:pPr>
          </w:p>
        </w:tc>
        <w:tc>
          <w:tcPr>
            <w:tcW w:w="3274" w:type="dxa"/>
            <w:vAlign w:val="center"/>
          </w:tcPr>
          <w:p w14:paraId="01E36253" w14:textId="77777777" w:rsidR="00444617" w:rsidRPr="00592231" w:rsidRDefault="00444617" w:rsidP="006F53B1">
            <w:pPr>
              <w:suppressAutoHyphens/>
              <w:jc w:val="center"/>
              <w:rPr>
                <w:rFonts w:cs="Arial"/>
              </w:rPr>
            </w:pPr>
          </w:p>
        </w:tc>
      </w:tr>
    </w:tbl>
    <w:p w14:paraId="27A837AC" w14:textId="77777777" w:rsidR="006F53B1" w:rsidRPr="00882C79" w:rsidRDefault="006F53B1" w:rsidP="006F53B1">
      <w:pPr>
        <w:rPr>
          <w:noProof/>
          <w:color w:val="1F497D"/>
          <w:sz w:val="20"/>
        </w:rPr>
      </w:pPr>
    </w:p>
    <w:p w14:paraId="7B6C8F52" w14:textId="77777777" w:rsidR="006F53B1" w:rsidRDefault="006F53B1" w:rsidP="006F53B1">
      <w:pPr>
        <w:spacing w:line="360" w:lineRule="auto"/>
        <w:jc w:val="center"/>
        <w:rPr>
          <w:rFonts w:ascii="Garamond" w:hAnsi="Garamond"/>
          <w:b/>
          <w:color w:val="1F497D"/>
          <w:sz w:val="32"/>
          <w:szCs w:val="36"/>
          <w:lang w:eastAsia="en-GB"/>
        </w:rPr>
      </w:pPr>
    </w:p>
    <w:p w14:paraId="0EC3498C" w14:textId="77777777" w:rsidR="006F53B1" w:rsidRPr="00882C79" w:rsidRDefault="006F53B1" w:rsidP="006F53B1">
      <w:pPr>
        <w:spacing w:line="360" w:lineRule="auto"/>
        <w:jc w:val="center"/>
        <w:rPr>
          <w:rFonts w:ascii="Garamond" w:hAnsi="Garamond"/>
          <w:b/>
          <w:color w:val="1F497D"/>
          <w:sz w:val="32"/>
          <w:szCs w:val="36"/>
          <w:lang w:eastAsia="en-GB"/>
        </w:rPr>
      </w:pPr>
    </w:p>
    <w:tbl>
      <w:tblPr>
        <w:tblW w:w="9841" w:type="dxa"/>
        <w:tblInd w:w="10" w:type="dxa"/>
        <w:tblBorders>
          <w:top w:val="single" w:sz="18" w:space="0" w:color="1F497D"/>
          <w:left w:val="single" w:sz="18" w:space="0" w:color="1F497D"/>
          <w:bottom w:val="single" w:sz="18" w:space="0" w:color="1F497D"/>
          <w:right w:val="single" w:sz="18" w:space="0" w:color="1F497D"/>
          <w:insideH w:val="single" w:sz="18" w:space="0" w:color="1F497D"/>
          <w:insideV w:val="single" w:sz="18" w:space="0" w:color="1F497D"/>
        </w:tblBorders>
        <w:tblLook w:val="0000" w:firstRow="0" w:lastRow="0" w:firstColumn="0" w:lastColumn="0" w:noHBand="0" w:noVBand="0"/>
      </w:tblPr>
      <w:tblGrid>
        <w:gridCol w:w="9841"/>
      </w:tblGrid>
      <w:tr w:rsidR="006F53B1" w:rsidRPr="008C51D1" w14:paraId="4B157B48" w14:textId="77777777" w:rsidTr="006F53B1">
        <w:trPr>
          <w:trHeight w:val="2157"/>
        </w:trPr>
        <w:tc>
          <w:tcPr>
            <w:tcW w:w="9841" w:type="dxa"/>
            <w:vAlign w:val="center"/>
          </w:tcPr>
          <w:p w14:paraId="74E92865" w14:textId="77777777" w:rsidR="006F53B1" w:rsidRPr="00882C79" w:rsidRDefault="006F53B1" w:rsidP="006F53B1">
            <w:pPr>
              <w:spacing w:line="360" w:lineRule="auto"/>
              <w:jc w:val="center"/>
              <w:rPr>
                <w:rFonts w:ascii="Garamond" w:hAnsi="Garamond"/>
                <w:b/>
                <w:color w:val="1F497D"/>
                <w:sz w:val="32"/>
                <w:szCs w:val="36"/>
                <w:lang w:eastAsia="en-GB"/>
              </w:rPr>
            </w:pPr>
          </w:p>
          <w:p w14:paraId="2FBF8ECC" w14:textId="77777777" w:rsidR="006F53B1" w:rsidRPr="006F53B1" w:rsidRDefault="006F53B1" w:rsidP="006F53B1">
            <w:pPr>
              <w:spacing w:line="360" w:lineRule="auto"/>
              <w:jc w:val="center"/>
              <w:rPr>
                <w:rFonts w:ascii="Garamond" w:hAnsi="Garamond"/>
                <w:b/>
                <w:color w:val="1F497D"/>
                <w:sz w:val="32"/>
                <w:szCs w:val="36"/>
                <w:lang w:val="en-GB" w:eastAsia="en-GB"/>
              </w:rPr>
            </w:pPr>
            <w:r w:rsidRPr="006F53B1">
              <w:rPr>
                <w:rFonts w:ascii="Garamond" w:hAnsi="Garamond"/>
                <w:b/>
                <w:color w:val="1F497D"/>
                <w:sz w:val="32"/>
                <w:szCs w:val="36"/>
                <w:lang w:val="en-GB" w:eastAsia="en-GB"/>
              </w:rPr>
              <w:t>This study was commissioned by</w:t>
            </w:r>
          </w:p>
          <w:p w14:paraId="62D5F55C" w14:textId="77777777" w:rsidR="006F53B1" w:rsidRPr="006F53B1" w:rsidRDefault="006F53B1" w:rsidP="006F53B1">
            <w:pPr>
              <w:spacing w:line="360" w:lineRule="auto"/>
              <w:jc w:val="center"/>
              <w:rPr>
                <w:rFonts w:ascii="Garamond" w:hAnsi="Garamond"/>
                <w:b/>
                <w:color w:val="1F497D"/>
                <w:sz w:val="32"/>
                <w:szCs w:val="36"/>
                <w:lang w:val="en-GB" w:eastAsia="en-GB"/>
              </w:rPr>
            </w:pPr>
            <w:r w:rsidRPr="006F53B1">
              <w:rPr>
                <w:rFonts w:ascii="Garamond" w:hAnsi="Garamond"/>
                <w:b/>
                <w:color w:val="1F497D"/>
                <w:sz w:val="32"/>
                <w:szCs w:val="36"/>
                <w:lang w:val="en-GB" w:eastAsia="en-GB"/>
              </w:rPr>
              <w:t>the Evaluation Unit under the Programme “Methodological Support and Training for Project and Programme Management” managed by the Quality and Results Unit,</w:t>
            </w:r>
          </w:p>
          <w:p w14:paraId="4532AEAD" w14:textId="77777777" w:rsidR="006F53B1" w:rsidRPr="006F53B1" w:rsidRDefault="006F53B1" w:rsidP="006F53B1">
            <w:pPr>
              <w:spacing w:line="360" w:lineRule="auto"/>
              <w:jc w:val="center"/>
              <w:rPr>
                <w:rFonts w:ascii="Garamond" w:hAnsi="Garamond"/>
                <w:b/>
                <w:color w:val="1F497D"/>
                <w:sz w:val="32"/>
                <w:szCs w:val="36"/>
                <w:lang w:val="en-GB" w:eastAsia="en-GB"/>
              </w:rPr>
            </w:pPr>
            <w:r w:rsidRPr="006F53B1">
              <w:rPr>
                <w:rFonts w:ascii="Garamond" w:hAnsi="Garamond"/>
                <w:b/>
                <w:color w:val="1F497D"/>
                <w:sz w:val="32"/>
                <w:szCs w:val="36"/>
                <w:lang w:val="en-GB" w:eastAsia="en-GB"/>
              </w:rPr>
              <w:t xml:space="preserve">Directorate General for Development and Cooperation – </w:t>
            </w:r>
            <w:proofErr w:type="spellStart"/>
            <w:r w:rsidRPr="006F53B1">
              <w:rPr>
                <w:rFonts w:ascii="Garamond" w:hAnsi="Garamond"/>
                <w:b/>
                <w:color w:val="1F497D"/>
                <w:sz w:val="32"/>
                <w:szCs w:val="36"/>
                <w:lang w:val="en-GB" w:eastAsia="en-GB"/>
              </w:rPr>
              <w:t>EuropeAid</w:t>
            </w:r>
            <w:proofErr w:type="spellEnd"/>
            <w:r w:rsidRPr="006F53B1">
              <w:rPr>
                <w:rFonts w:ascii="Garamond" w:hAnsi="Garamond"/>
                <w:b/>
                <w:color w:val="1F497D"/>
                <w:sz w:val="32"/>
                <w:szCs w:val="36"/>
                <w:lang w:val="en-GB" w:eastAsia="en-GB"/>
              </w:rPr>
              <w:t xml:space="preserve"> (European Commission)</w:t>
            </w:r>
          </w:p>
          <w:p w14:paraId="4463FE09" w14:textId="77777777" w:rsidR="006F53B1" w:rsidRPr="008C51D1" w:rsidRDefault="006F53B1" w:rsidP="006F53B1">
            <w:pPr>
              <w:spacing w:line="360" w:lineRule="auto"/>
              <w:jc w:val="center"/>
              <w:rPr>
                <w:rFonts w:ascii="Garamond" w:hAnsi="Garamond"/>
                <w:b/>
                <w:color w:val="1F497D"/>
                <w:sz w:val="32"/>
                <w:szCs w:val="36"/>
                <w:lang w:val="en-GB" w:eastAsia="en-GB"/>
              </w:rPr>
            </w:pPr>
          </w:p>
        </w:tc>
      </w:tr>
    </w:tbl>
    <w:p w14:paraId="12275519" w14:textId="77777777" w:rsidR="006F53B1" w:rsidRPr="008C51D1" w:rsidRDefault="006F53B1" w:rsidP="006F53B1">
      <w:pPr>
        <w:tabs>
          <w:tab w:val="left" w:pos="6120"/>
        </w:tabs>
        <w:ind w:right="-54"/>
        <w:jc w:val="center"/>
        <w:rPr>
          <w:i/>
          <w:color w:val="1F497D"/>
          <w:lang w:val="en-GB" w:eastAsia="en-GB"/>
        </w:rPr>
      </w:pPr>
    </w:p>
    <w:p w14:paraId="09F84EB1" w14:textId="77777777" w:rsidR="006F53B1" w:rsidRPr="008C51D1" w:rsidRDefault="006F53B1" w:rsidP="006F53B1">
      <w:pPr>
        <w:tabs>
          <w:tab w:val="left" w:pos="6120"/>
        </w:tabs>
        <w:ind w:right="-54"/>
        <w:jc w:val="center"/>
        <w:rPr>
          <w:i/>
          <w:color w:val="1F497D"/>
          <w:lang w:val="en-GB" w:eastAsia="en-GB"/>
        </w:rPr>
      </w:pPr>
    </w:p>
    <w:p w14:paraId="15EF8F08" w14:textId="77777777" w:rsidR="006F53B1" w:rsidRPr="008C51D1" w:rsidRDefault="006F53B1" w:rsidP="006F53B1">
      <w:pPr>
        <w:tabs>
          <w:tab w:val="left" w:pos="6120"/>
        </w:tabs>
        <w:ind w:right="-54"/>
        <w:jc w:val="center"/>
        <w:rPr>
          <w:i/>
          <w:color w:val="1F497D"/>
          <w:lang w:val="en-GB" w:eastAsia="en-GB"/>
        </w:rPr>
      </w:pPr>
    </w:p>
    <w:p w14:paraId="224ED843" w14:textId="77777777" w:rsidR="006F53B1" w:rsidRPr="008C51D1" w:rsidRDefault="006F53B1" w:rsidP="006F53B1">
      <w:pPr>
        <w:tabs>
          <w:tab w:val="left" w:pos="6120"/>
        </w:tabs>
        <w:ind w:right="-54"/>
        <w:jc w:val="center"/>
        <w:rPr>
          <w:i/>
          <w:color w:val="1F497D"/>
          <w:lang w:val="en-GB" w:eastAsia="en-GB"/>
        </w:rPr>
      </w:pPr>
    </w:p>
    <w:p w14:paraId="45CB3837" w14:textId="77777777" w:rsidR="006F53B1" w:rsidRPr="008C51D1" w:rsidRDefault="006F53B1" w:rsidP="006F53B1">
      <w:pPr>
        <w:tabs>
          <w:tab w:val="left" w:pos="6120"/>
        </w:tabs>
        <w:ind w:right="-54"/>
        <w:jc w:val="center"/>
        <w:rPr>
          <w:i/>
          <w:color w:val="1F497D"/>
          <w:lang w:val="en-GB" w:eastAsia="en-GB"/>
        </w:rPr>
      </w:pPr>
    </w:p>
    <w:p w14:paraId="20386076" w14:textId="65DA86F8" w:rsidR="006F53B1" w:rsidRPr="006F53B1" w:rsidRDefault="006F53B1" w:rsidP="006F53B1">
      <w:pPr>
        <w:pBdr>
          <w:top w:val="single" w:sz="4" w:space="1" w:color="333399"/>
          <w:left w:val="single" w:sz="4" w:space="4" w:color="333399"/>
          <w:bottom w:val="single" w:sz="4" w:space="1" w:color="333399"/>
          <w:right w:val="single" w:sz="4" w:space="30" w:color="333399"/>
        </w:pBdr>
        <w:ind w:right="-54"/>
        <w:jc w:val="center"/>
        <w:rPr>
          <w:b/>
          <w:i/>
          <w:color w:val="1F497D"/>
          <w:lang w:val="en-GB" w:eastAsia="en-GB"/>
        </w:rPr>
      </w:pPr>
      <w:r w:rsidRPr="006F53B1">
        <w:rPr>
          <w:b/>
          <w:i/>
          <w:color w:val="1F497D"/>
          <w:lang w:val="en-GB" w:eastAsia="en-GB"/>
        </w:rPr>
        <w:t>The opinions expressed in thi</w:t>
      </w:r>
      <w:r w:rsidR="00852E49">
        <w:rPr>
          <w:b/>
          <w:i/>
          <w:color w:val="1F497D"/>
          <w:lang w:val="en-GB" w:eastAsia="en-GB"/>
        </w:rPr>
        <w:t>s document represent the author</w:t>
      </w:r>
      <w:r w:rsidRPr="006F53B1">
        <w:rPr>
          <w:b/>
          <w:i/>
          <w:color w:val="1F497D"/>
          <w:lang w:val="en-GB" w:eastAsia="en-GB"/>
        </w:rPr>
        <w:t>’</w:t>
      </w:r>
      <w:r w:rsidR="00852E49">
        <w:rPr>
          <w:b/>
          <w:i/>
          <w:color w:val="1F497D"/>
          <w:lang w:val="en-GB" w:eastAsia="en-GB"/>
        </w:rPr>
        <w:t>s</w:t>
      </w:r>
      <w:r w:rsidRPr="006F53B1">
        <w:rPr>
          <w:b/>
          <w:i/>
          <w:color w:val="1F497D"/>
          <w:lang w:val="en-GB" w:eastAsia="en-GB"/>
        </w:rPr>
        <w:t xml:space="preserve"> poin</w:t>
      </w:r>
      <w:r w:rsidR="00852E49">
        <w:rPr>
          <w:b/>
          <w:i/>
          <w:color w:val="1F497D"/>
          <w:lang w:val="en-GB" w:eastAsia="en-GB"/>
        </w:rPr>
        <w:t>t</w:t>
      </w:r>
      <w:r w:rsidRPr="006F53B1">
        <w:rPr>
          <w:b/>
          <w:i/>
          <w:color w:val="1F497D"/>
          <w:lang w:val="en-GB" w:eastAsia="en-GB"/>
        </w:rPr>
        <w:t xml:space="preserve"> of view</w:t>
      </w:r>
      <w:r w:rsidR="003C5AD7">
        <w:rPr>
          <w:b/>
          <w:i/>
          <w:color w:val="1F497D"/>
          <w:lang w:val="en-GB" w:eastAsia="en-GB"/>
        </w:rPr>
        <w:t>,</w:t>
      </w:r>
      <w:r w:rsidRPr="006F53B1">
        <w:rPr>
          <w:b/>
          <w:i/>
          <w:color w:val="1F497D"/>
          <w:lang w:val="en-GB" w:eastAsia="en-GB"/>
        </w:rPr>
        <w:t xml:space="preserve"> </w:t>
      </w:r>
    </w:p>
    <w:p w14:paraId="2DD95779" w14:textId="77777777" w:rsidR="006F53B1" w:rsidRPr="006F53B1" w:rsidRDefault="00852E49" w:rsidP="006F53B1">
      <w:pPr>
        <w:pBdr>
          <w:top w:val="single" w:sz="4" w:space="1" w:color="333399"/>
          <w:left w:val="single" w:sz="4" w:space="4" w:color="333399"/>
          <w:bottom w:val="single" w:sz="4" w:space="1" w:color="333399"/>
          <w:right w:val="single" w:sz="4" w:space="30" w:color="333399"/>
        </w:pBdr>
        <w:ind w:right="-54"/>
        <w:jc w:val="center"/>
        <w:rPr>
          <w:b/>
          <w:i/>
          <w:color w:val="1F497D"/>
          <w:lang w:val="en-GB" w:eastAsia="en-GB"/>
        </w:rPr>
      </w:pPr>
      <w:proofErr w:type="gramStart"/>
      <w:r>
        <w:rPr>
          <w:b/>
          <w:i/>
          <w:color w:val="1F497D"/>
          <w:lang w:val="en-GB" w:eastAsia="en-GB"/>
        </w:rPr>
        <w:t>which</w:t>
      </w:r>
      <w:proofErr w:type="gramEnd"/>
      <w:r>
        <w:rPr>
          <w:b/>
          <w:i/>
          <w:color w:val="1F497D"/>
          <w:lang w:val="en-GB" w:eastAsia="en-GB"/>
        </w:rPr>
        <w:t xml:space="preserve"> is</w:t>
      </w:r>
      <w:r w:rsidR="006F53B1" w:rsidRPr="006F53B1">
        <w:rPr>
          <w:b/>
          <w:i/>
          <w:color w:val="1F497D"/>
          <w:lang w:val="en-GB" w:eastAsia="en-GB"/>
        </w:rPr>
        <w:t xml:space="preserve"> not necessarily shared by the European Commission </w:t>
      </w:r>
    </w:p>
    <w:p w14:paraId="05FD972D" w14:textId="77777777" w:rsidR="009B4353" w:rsidRDefault="006F53B1" w:rsidP="006F53B1">
      <w:pPr>
        <w:pBdr>
          <w:top w:val="single" w:sz="4" w:space="1" w:color="333399"/>
          <w:left w:val="single" w:sz="4" w:space="4" w:color="333399"/>
          <w:bottom w:val="single" w:sz="4" w:space="1" w:color="333399"/>
          <w:right w:val="single" w:sz="4" w:space="30" w:color="333399"/>
        </w:pBdr>
        <w:ind w:right="-54"/>
        <w:jc w:val="center"/>
        <w:rPr>
          <w:b/>
          <w:i/>
          <w:color w:val="1F497D"/>
          <w:lang w:val="en-GB" w:eastAsia="en-GB"/>
        </w:rPr>
      </w:pPr>
      <w:proofErr w:type="gramStart"/>
      <w:r w:rsidRPr="006F53B1">
        <w:rPr>
          <w:b/>
          <w:i/>
          <w:color w:val="1F497D"/>
          <w:lang w:val="en-GB" w:eastAsia="en-GB"/>
        </w:rPr>
        <w:t>or</w:t>
      </w:r>
      <w:proofErr w:type="gramEnd"/>
      <w:r w:rsidRPr="006F53B1">
        <w:rPr>
          <w:b/>
          <w:i/>
          <w:color w:val="1F497D"/>
          <w:lang w:val="en-GB" w:eastAsia="en-GB"/>
        </w:rPr>
        <w:t xml:space="preserve"> by the authorities of the concerned countries.</w:t>
      </w:r>
    </w:p>
    <w:p w14:paraId="6C9D4122" w14:textId="77777777" w:rsidR="009B4353" w:rsidRDefault="009B4353" w:rsidP="006F53B1">
      <w:pPr>
        <w:pBdr>
          <w:top w:val="single" w:sz="4" w:space="1" w:color="333399"/>
          <w:left w:val="single" w:sz="4" w:space="4" w:color="333399"/>
          <w:bottom w:val="single" w:sz="4" w:space="1" w:color="333399"/>
          <w:right w:val="single" w:sz="4" w:space="30" w:color="333399"/>
        </w:pBdr>
        <w:ind w:right="-54"/>
        <w:jc w:val="center"/>
        <w:rPr>
          <w:b/>
          <w:i/>
          <w:color w:val="1F497D"/>
          <w:lang w:val="en-GB" w:eastAsia="en-GB"/>
        </w:rPr>
      </w:pPr>
    </w:p>
    <w:p w14:paraId="7C921EBF" w14:textId="77777777" w:rsidR="00D43582" w:rsidRPr="00372CF5" w:rsidRDefault="00D43582">
      <w:pPr>
        <w:rPr>
          <w:lang w:val="en-GB"/>
        </w:rPr>
      </w:pPr>
    </w:p>
    <w:tbl>
      <w:tblPr>
        <w:tblW w:w="8572" w:type="dxa"/>
        <w:tblLook w:val="01E0" w:firstRow="1" w:lastRow="1" w:firstColumn="1" w:lastColumn="1" w:noHBand="0" w:noVBand="0"/>
      </w:tblPr>
      <w:tblGrid>
        <w:gridCol w:w="2406"/>
        <w:gridCol w:w="2533"/>
        <w:gridCol w:w="3633"/>
      </w:tblGrid>
      <w:tr w:rsidR="00FA217C" w:rsidRPr="008C51D1" w14:paraId="0C636347" w14:textId="77777777" w:rsidTr="00D43582">
        <w:tc>
          <w:tcPr>
            <w:tcW w:w="2406" w:type="dxa"/>
          </w:tcPr>
          <w:p w14:paraId="0CB273D6" w14:textId="77777777" w:rsidR="00FA217C" w:rsidRPr="00372CF5" w:rsidRDefault="00FA217C" w:rsidP="00484792">
            <w:pPr>
              <w:spacing w:before="120" w:after="120"/>
              <w:jc w:val="center"/>
              <w:rPr>
                <w:sz w:val="22"/>
                <w:szCs w:val="22"/>
                <w:lang w:val="en-GB"/>
              </w:rPr>
            </w:pPr>
          </w:p>
        </w:tc>
        <w:tc>
          <w:tcPr>
            <w:tcW w:w="2533" w:type="dxa"/>
          </w:tcPr>
          <w:p w14:paraId="35128254" w14:textId="77777777" w:rsidR="00FA217C" w:rsidRPr="00372CF5" w:rsidRDefault="00FA217C" w:rsidP="00484792">
            <w:pPr>
              <w:pStyle w:val="BodyText"/>
              <w:numPr>
                <w:ilvl w:val="0"/>
                <w:numId w:val="0"/>
              </w:numPr>
              <w:spacing w:before="0" w:after="0" w:line="240" w:lineRule="auto"/>
              <w:rPr>
                <w:rFonts w:ascii="Gill Sans MT" w:hAnsi="Gill Sans MT" w:cs="Arial"/>
                <w:color w:val="990099"/>
                <w:sz w:val="15"/>
                <w:szCs w:val="15"/>
                <w:lang w:val="en-GB"/>
              </w:rPr>
            </w:pPr>
          </w:p>
        </w:tc>
        <w:tc>
          <w:tcPr>
            <w:tcW w:w="3633" w:type="dxa"/>
          </w:tcPr>
          <w:p w14:paraId="221EA317" w14:textId="77777777" w:rsidR="00FA217C" w:rsidRPr="00372CF5" w:rsidRDefault="00FA217C" w:rsidP="00484792">
            <w:pPr>
              <w:spacing w:before="120" w:after="120"/>
              <w:jc w:val="center"/>
              <w:rPr>
                <w:sz w:val="22"/>
                <w:szCs w:val="22"/>
                <w:lang w:val="en-GB"/>
              </w:rPr>
            </w:pPr>
          </w:p>
        </w:tc>
      </w:tr>
      <w:tr w:rsidR="00A961AB" w:rsidRPr="008C51D1" w14:paraId="6EF52553" w14:textId="77777777" w:rsidTr="00D43582">
        <w:trPr>
          <w:trHeight w:val="501"/>
        </w:trPr>
        <w:tc>
          <w:tcPr>
            <w:tcW w:w="2406" w:type="dxa"/>
          </w:tcPr>
          <w:p w14:paraId="5BE45DED" w14:textId="77777777" w:rsidR="00A961AB" w:rsidRPr="00372CF5" w:rsidRDefault="00A961AB" w:rsidP="00560C6E">
            <w:pPr>
              <w:rPr>
                <w:sz w:val="22"/>
                <w:szCs w:val="22"/>
                <w:lang w:val="en-GB"/>
              </w:rPr>
            </w:pPr>
          </w:p>
        </w:tc>
        <w:tc>
          <w:tcPr>
            <w:tcW w:w="2533" w:type="dxa"/>
          </w:tcPr>
          <w:p w14:paraId="62F443B5" w14:textId="77777777" w:rsidR="00A961AB" w:rsidRPr="00372CF5" w:rsidRDefault="00A961AB" w:rsidP="00484792">
            <w:pPr>
              <w:jc w:val="both"/>
              <w:rPr>
                <w:rFonts w:ascii="Gill Sans MT" w:hAnsi="Gill Sans MT" w:cs="Arial"/>
                <w:color w:val="A50021"/>
                <w:sz w:val="15"/>
                <w:szCs w:val="15"/>
                <w:lang w:val="en-GB"/>
              </w:rPr>
            </w:pPr>
          </w:p>
        </w:tc>
        <w:tc>
          <w:tcPr>
            <w:tcW w:w="3633" w:type="dxa"/>
          </w:tcPr>
          <w:p w14:paraId="4FD66533" w14:textId="77777777" w:rsidR="00A961AB" w:rsidRPr="00372CF5" w:rsidRDefault="00A961AB" w:rsidP="00484792">
            <w:pPr>
              <w:jc w:val="center"/>
              <w:rPr>
                <w:sz w:val="22"/>
                <w:szCs w:val="22"/>
                <w:lang w:val="en-GB"/>
              </w:rPr>
            </w:pPr>
          </w:p>
        </w:tc>
      </w:tr>
    </w:tbl>
    <w:p w14:paraId="4DA5CC26" w14:textId="77777777" w:rsidR="00DF5D2A" w:rsidRPr="00372CF5" w:rsidRDefault="00DF5D2A" w:rsidP="00DF5D2A">
      <w:pPr>
        <w:spacing w:line="360" w:lineRule="auto"/>
        <w:jc w:val="both"/>
        <w:outlineLvl w:val="0"/>
        <w:rPr>
          <w:rFonts w:ascii="Gill Sans MT" w:hAnsi="Gill Sans MT"/>
          <w:sz w:val="22"/>
          <w:szCs w:val="22"/>
          <w:lang w:val="en-GB"/>
        </w:rPr>
      </w:pPr>
    </w:p>
    <w:p w14:paraId="6C95B654" w14:textId="77777777" w:rsidR="00C247C4" w:rsidRPr="00372CF5" w:rsidRDefault="00C247C4" w:rsidP="00655469">
      <w:pPr>
        <w:pStyle w:val="Footer"/>
        <w:rPr>
          <w:sz w:val="18"/>
          <w:szCs w:val="18"/>
          <w:lang w:val="en-GB"/>
        </w:rPr>
        <w:sectPr w:rsidR="00C247C4" w:rsidRPr="00372CF5" w:rsidSect="00215854">
          <w:headerReference w:type="default" r:id="rId16"/>
          <w:footerReference w:type="default" r:id="rId17"/>
          <w:pgSz w:w="11909" w:h="16834" w:code="9"/>
          <w:pgMar w:top="851" w:right="994" w:bottom="1135" w:left="1134" w:header="720" w:footer="720" w:gutter="0"/>
          <w:cols w:space="720"/>
          <w:titlePg/>
          <w:docGrid w:linePitch="360"/>
        </w:sectPr>
      </w:pPr>
    </w:p>
    <w:p w14:paraId="46809D44" w14:textId="77777777" w:rsidR="0066786B" w:rsidRDefault="0066786B" w:rsidP="0066786B">
      <w:pPr>
        <w:spacing w:line="360" w:lineRule="auto"/>
        <w:jc w:val="both"/>
        <w:outlineLvl w:val="0"/>
        <w:rPr>
          <w:rFonts w:ascii="Gill Sans MT" w:hAnsi="Gill Sans MT" w:cs="Arial"/>
          <w:b/>
          <w:bCs/>
          <w:color w:val="990099"/>
          <w:sz w:val="28"/>
          <w:szCs w:val="28"/>
          <w:lang w:val="en-GB"/>
        </w:rPr>
      </w:pPr>
      <w:bookmarkStart w:id="0" w:name="_Toc304148565"/>
      <w:r>
        <w:rPr>
          <w:rFonts w:ascii="Gill Sans MT" w:hAnsi="Gill Sans MT" w:cs="Arial"/>
          <w:b/>
          <w:bCs/>
          <w:color w:val="990099"/>
          <w:sz w:val="28"/>
          <w:szCs w:val="28"/>
          <w:lang w:val="en-GB"/>
        </w:rPr>
        <w:lastRenderedPageBreak/>
        <w:t>Acknowledgements</w:t>
      </w:r>
    </w:p>
    <w:p w14:paraId="4F1E1125" w14:textId="77777777" w:rsidR="00C12964" w:rsidRDefault="00C12964" w:rsidP="00C12964">
      <w:pPr>
        <w:pStyle w:val="BodyText"/>
        <w:numPr>
          <w:ilvl w:val="0"/>
          <w:numId w:val="0"/>
        </w:numPr>
        <w:spacing w:line="360" w:lineRule="auto"/>
        <w:rPr>
          <w:rFonts w:ascii="Gill Sans MT" w:hAnsi="Gill Sans MT"/>
          <w:sz w:val="20"/>
          <w:lang w:val="en-GB"/>
        </w:rPr>
      </w:pPr>
      <w:r w:rsidRPr="00372CF5">
        <w:rPr>
          <w:rFonts w:ascii="Gill Sans MT" w:hAnsi="Gill Sans MT"/>
          <w:sz w:val="20"/>
          <w:lang w:val="en-GB"/>
        </w:rPr>
        <w:t xml:space="preserve">This </w:t>
      </w:r>
      <w:r>
        <w:rPr>
          <w:rFonts w:ascii="Gill Sans MT" w:hAnsi="Gill Sans MT"/>
          <w:sz w:val="20"/>
          <w:lang w:val="en-GB"/>
        </w:rPr>
        <w:t xml:space="preserve">Report </w:t>
      </w:r>
      <w:r w:rsidRPr="00372CF5">
        <w:rPr>
          <w:rFonts w:ascii="Gill Sans MT" w:hAnsi="Gill Sans MT"/>
          <w:sz w:val="20"/>
          <w:lang w:val="en-GB"/>
        </w:rPr>
        <w:t xml:space="preserve">has been prepared </w:t>
      </w:r>
      <w:r w:rsidR="00B45D9D">
        <w:rPr>
          <w:rFonts w:ascii="Gill Sans MT" w:hAnsi="Gill Sans MT"/>
          <w:sz w:val="20"/>
          <w:lang w:val="en-GB"/>
        </w:rPr>
        <w:t xml:space="preserve">by </w:t>
      </w:r>
      <w:r>
        <w:rPr>
          <w:rFonts w:ascii="Gill Sans MT" w:hAnsi="Gill Sans MT"/>
          <w:sz w:val="20"/>
          <w:lang w:val="en-GB"/>
        </w:rPr>
        <w:t xml:space="preserve">Andrew Lawson of </w:t>
      </w:r>
      <w:r w:rsidRPr="00372CF5">
        <w:rPr>
          <w:rFonts w:ascii="Gill Sans MT" w:hAnsi="Gill Sans MT"/>
          <w:sz w:val="20"/>
          <w:lang w:val="en-GB"/>
        </w:rPr>
        <w:t xml:space="preserve">Fiscus Limited, UK </w:t>
      </w:r>
      <w:r>
        <w:rPr>
          <w:rFonts w:ascii="Gill Sans MT" w:hAnsi="Gill Sans MT"/>
          <w:sz w:val="20"/>
          <w:lang w:val="en-GB"/>
        </w:rPr>
        <w:t xml:space="preserve">for the Evaluation Unit of Europe Aid. It has benefitted from research inputs by Gonzalo Contreras and Gonzalo Alvarez de Toledo of FISCUS and Virginie </w:t>
      </w:r>
      <w:proofErr w:type="spellStart"/>
      <w:r>
        <w:rPr>
          <w:rFonts w:ascii="Gill Sans MT" w:hAnsi="Gill Sans MT"/>
          <w:sz w:val="20"/>
          <w:lang w:val="en-GB"/>
        </w:rPr>
        <w:t>Morillon</w:t>
      </w:r>
      <w:proofErr w:type="spellEnd"/>
      <w:r>
        <w:rPr>
          <w:rFonts w:ascii="Gill Sans MT" w:hAnsi="Gill Sans MT"/>
          <w:sz w:val="20"/>
          <w:lang w:val="en-GB"/>
        </w:rPr>
        <w:t xml:space="preserve"> of ADE. </w:t>
      </w:r>
    </w:p>
    <w:p w14:paraId="4F84914E" w14:textId="77777777" w:rsidR="00A352D1" w:rsidRDefault="00C12964" w:rsidP="00C12964">
      <w:pPr>
        <w:pStyle w:val="BodyText"/>
        <w:numPr>
          <w:ilvl w:val="0"/>
          <w:numId w:val="0"/>
        </w:numPr>
        <w:spacing w:line="360" w:lineRule="auto"/>
        <w:rPr>
          <w:rFonts w:ascii="Gill Sans MT" w:hAnsi="Gill Sans MT"/>
          <w:sz w:val="20"/>
          <w:lang w:val="en-GB"/>
        </w:rPr>
      </w:pPr>
      <w:r>
        <w:rPr>
          <w:rFonts w:ascii="Gill Sans MT" w:hAnsi="Gill Sans MT"/>
          <w:sz w:val="20"/>
          <w:lang w:val="en-GB"/>
        </w:rPr>
        <w:t>It has also benefitted from the extensive comments provided on earlier drafts by Jürgen Lovasz and Catherine Pravin of the Evaluation Unit of Europe Aid</w:t>
      </w:r>
      <w:r w:rsidR="00C058A9">
        <w:rPr>
          <w:rFonts w:ascii="Gill Sans MT" w:hAnsi="Gill Sans MT"/>
          <w:sz w:val="20"/>
          <w:lang w:val="en-GB"/>
        </w:rPr>
        <w:t xml:space="preserve">, </w:t>
      </w:r>
      <w:r w:rsidR="00A352D1">
        <w:rPr>
          <w:rFonts w:ascii="Gill Sans MT" w:hAnsi="Gill Sans MT"/>
          <w:sz w:val="20"/>
          <w:lang w:val="en-GB"/>
        </w:rPr>
        <w:t xml:space="preserve">Karolyn </w:t>
      </w:r>
      <w:proofErr w:type="spellStart"/>
      <w:r w:rsidR="00A352D1">
        <w:rPr>
          <w:rFonts w:ascii="Gill Sans MT" w:hAnsi="Gill Sans MT"/>
          <w:sz w:val="20"/>
          <w:lang w:val="en-GB"/>
        </w:rPr>
        <w:t>Thunissen</w:t>
      </w:r>
      <w:proofErr w:type="spellEnd"/>
      <w:r w:rsidR="00A352D1">
        <w:rPr>
          <w:rFonts w:ascii="Gill Sans MT" w:hAnsi="Gill Sans MT"/>
          <w:sz w:val="20"/>
          <w:lang w:val="en-GB"/>
        </w:rPr>
        <w:t xml:space="preserve"> and Enzo Caputo, the team leaders of the Morocco, Tunisia and South Africa evaluations</w:t>
      </w:r>
      <w:r w:rsidR="00CA5CDA">
        <w:rPr>
          <w:rFonts w:ascii="Gill Sans MT" w:hAnsi="Gill Sans MT"/>
          <w:sz w:val="20"/>
          <w:lang w:val="en-GB"/>
        </w:rPr>
        <w:t xml:space="preserve">, as well as </w:t>
      </w:r>
      <w:proofErr w:type="spellStart"/>
      <w:r w:rsidR="00CA5CDA">
        <w:rPr>
          <w:rFonts w:ascii="Gill Sans MT" w:hAnsi="Gill Sans MT"/>
          <w:sz w:val="20"/>
          <w:lang w:val="en-GB"/>
        </w:rPr>
        <w:t>Antonie</w:t>
      </w:r>
      <w:proofErr w:type="spellEnd"/>
      <w:r w:rsidR="00CA5CDA">
        <w:rPr>
          <w:rFonts w:ascii="Gill Sans MT" w:hAnsi="Gill Sans MT"/>
          <w:sz w:val="20"/>
          <w:lang w:val="en-GB"/>
        </w:rPr>
        <w:t xml:space="preserve"> de Kemp of IOB, Netherlands, Corinne de </w:t>
      </w:r>
      <w:proofErr w:type="spellStart"/>
      <w:r w:rsidR="00CA5CDA">
        <w:rPr>
          <w:rFonts w:ascii="Gill Sans MT" w:hAnsi="Gill Sans MT"/>
          <w:sz w:val="20"/>
          <w:lang w:val="en-GB"/>
        </w:rPr>
        <w:t>Peretti</w:t>
      </w:r>
      <w:proofErr w:type="spellEnd"/>
      <w:r w:rsidR="00CA5CDA">
        <w:rPr>
          <w:rFonts w:ascii="Gill Sans MT" w:hAnsi="Gill Sans MT"/>
          <w:sz w:val="20"/>
          <w:lang w:val="en-GB"/>
        </w:rPr>
        <w:t xml:space="preserve"> of AFD, </w:t>
      </w:r>
      <w:r w:rsidR="00C058A9">
        <w:rPr>
          <w:rFonts w:ascii="Gill Sans MT" w:hAnsi="Gill Sans MT"/>
          <w:sz w:val="20"/>
          <w:lang w:val="en-GB"/>
        </w:rPr>
        <w:t xml:space="preserve">Hilary </w:t>
      </w:r>
      <w:proofErr w:type="spellStart"/>
      <w:r w:rsidR="00C058A9">
        <w:rPr>
          <w:rFonts w:ascii="Gill Sans MT" w:hAnsi="Gill Sans MT"/>
          <w:sz w:val="20"/>
          <w:lang w:val="en-GB"/>
        </w:rPr>
        <w:t>Jeune</w:t>
      </w:r>
      <w:proofErr w:type="spellEnd"/>
      <w:r w:rsidR="00C058A9">
        <w:rPr>
          <w:rFonts w:ascii="Gill Sans MT" w:hAnsi="Gill Sans MT"/>
          <w:sz w:val="20"/>
          <w:lang w:val="en-GB"/>
        </w:rPr>
        <w:t xml:space="preserve"> of Oxfam, Jean </w:t>
      </w:r>
      <w:proofErr w:type="spellStart"/>
      <w:r w:rsidR="00C058A9">
        <w:rPr>
          <w:rFonts w:ascii="Gill Sans MT" w:hAnsi="Gill Sans MT"/>
          <w:sz w:val="20"/>
          <w:lang w:val="en-GB"/>
        </w:rPr>
        <w:t>Bossuyt</w:t>
      </w:r>
      <w:proofErr w:type="spellEnd"/>
      <w:r w:rsidR="00C058A9">
        <w:rPr>
          <w:rFonts w:ascii="Gill Sans MT" w:hAnsi="Gill Sans MT"/>
          <w:sz w:val="20"/>
          <w:lang w:val="en-GB"/>
        </w:rPr>
        <w:t xml:space="preserve"> of ECDPM</w:t>
      </w:r>
      <w:r w:rsidR="009B4353">
        <w:rPr>
          <w:rFonts w:ascii="Gill Sans MT" w:hAnsi="Gill Sans MT"/>
          <w:sz w:val="20"/>
          <w:lang w:val="en-GB"/>
        </w:rPr>
        <w:t>, Johannes Schmitt of the German Insti</w:t>
      </w:r>
      <w:r w:rsidR="00BE5976">
        <w:rPr>
          <w:rFonts w:ascii="Gill Sans MT" w:hAnsi="Gill Sans MT"/>
          <w:sz w:val="20"/>
          <w:lang w:val="en-GB"/>
        </w:rPr>
        <w:t>tute for Development Evaluation</w:t>
      </w:r>
      <w:r w:rsidR="00C058A9">
        <w:rPr>
          <w:rFonts w:ascii="Gill Sans MT" w:hAnsi="Gill Sans MT"/>
          <w:sz w:val="20"/>
          <w:lang w:val="en-GB"/>
        </w:rPr>
        <w:t xml:space="preserve"> and the Delegation of the European Union in Maputo</w:t>
      </w:r>
      <w:r w:rsidR="00A352D1">
        <w:rPr>
          <w:rFonts w:ascii="Gill Sans MT" w:hAnsi="Gill Sans MT"/>
          <w:sz w:val="20"/>
          <w:lang w:val="en-GB"/>
        </w:rPr>
        <w:t>.</w:t>
      </w:r>
      <w:r w:rsidR="00C058A9">
        <w:rPr>
          <w:rFonts w:ascii="Gill Sans MT" w:hAnsi="Gill Sans MT"/>
          <w:sz w:val="20"/>
          <w:lang w:val="en-GB"/>
        </w:rPr>
        <w:t xml:space="preserve"> Additional comments and ideas were also provided at the presentation of the draft report in Brussels in September 2014, as well as at the presentations made in Dublin at the European Evaluation Society Biennial Conference, and in Helsinki. </w:t>
      </w:r>
      <w:r w:rsidR="00A352D1">
        <w:rPr>
          <w:rFonts w:ascii="Gill Sans MT" w:hAnsi="Gill Sans MT"/>
          <w:sz w:val="20"/>
          <w:lang w:val="en-GB"/>
        </w:rPr>
        <w:t xml:space="preserve"> We are extremely grateful for these</w:t>
      </w:r>
      <w:r w:rsidR="00852E49">
        <w:rPr>
          <w:rFonts w:ascii="Gill Sans MT" w:hAnsi="Gill Sans MT"/>
          <w:sz w:val="20"/>
          <w:lang w:val="en-GB"/>
        </w:rPr>
        <w:t xml:space="preserve"> comments, which have </w:t>
      </w:r>
      <w:r w:rsidR="00A352D1">
        <w:rPr>
          <w:rFonts w:ascii="Gill Sans MT" w:hAnsi="Gill Sans MT"/>
          <w:sz w:val="20"/>
          <w:lang w:val="en-GB"/>
        </w:rPr>
        <w:t>improved the quali</w:t>
      </w:r>
      <w:r w:rsidR="00852E49">
        <w:rPr>
          <w:rFonts w:ascii="Gill Sans MT" w:hAnsi="Gill Sans MT"/>
          <w:sz w:val="20"/>
          <w:lang w:val="en-GB"/>
        </w:rPr>
        <w:t>ty of the analysis and its</w:t>
      </w:r>
      <w:r w:rsidR="00A352D1">
        <w:rPr>
          <w:rFonts w:ascii="Gill Sans MT" w:hAnsi="Gill Sans MT"/>
          <w:sz w:val="20"/>
          <w:lang w:val="en-GB"/>
        </w:rPr>
        <w:t xml:space="preserve"> presentation. As always, any remaining mistakes or inconsistencies are the responsibility of the author alone and should not be attributed in any way to the European Commissi</w:t>
      </w:r>
      <w:r w:rsidR="00C058A9">
        <w:rPr>
          <w:rFonts w:ascii="Gill Sans MT" w:hAnsi="Gill Sans MT"/>
          <w:sz w:val="20"/>
          <w:lang w:val="en-GB"/>
        </w:rPr>
        <w:t xml:space="preserve">on, </w:t>
      </w:r>
      <w:r w:rsidR="00A352D1">
        <w:rPr>
          <w:rFonts w:ascii="Gill Sans MT" w:hAnsi="Gill Sans MT"/>
          <w:sz w:val="20"/>
          <w:lang w:val="en-GB"/>
        </w:rPr>
        <w:t>the authorit</w:t>
      </w:r>
      <w:r w:rsidR="00C058A9">
        <w:rPr>
          <w:rFonts w:ascii="Gill Sans MT" w:hAnsi="Gill Sans MT"/>
          <w:sz w:val="20"/>
          <w:lang w:val="en-GB"/>
        </w:rPr>
        <w:t>ies of the concerned countries or to other stakeholders.</w:t>
      </w:r>
    </w:p>
    <w:p w14:paraId="2BC74783" w14:textId="7FABE2B4" w:rsidR="0066786B" w:rsidRPr="00B45D9D" w:rsidRDefault="00C058A9" w:rsidP="00B45D9D">
      <w:pPr>
        <w:pStyle w:val="BodyText"/>
        <w:numPr>
          <w:ilvl w:val="0"/>
          <w:numId w:val="0"/>
        </w:numPr>
        <w:spacing w:line="360" w:lineRule="auto"/>
        <w:rPr>
          <w:rFonts w:ascii="Gill Sans MT" w:hAnsi="Gill Sans MT"/>
          <w:sz w:val="20"/>
          <w:lang w:val="en-GB"/>
        </w:rPr>
      </w:pPr>
      <w:r>
        <w:rPr>
          <w:rFonts w:ascii="Gill Sans MT" w:hAnsi="Gill Sans MT"/>
          <w:sz w:val="20"/>
          <w:lang w:val="en-GB"/>
        </w:rPr>
        <w:t xml:space="preserve"> The report is now in its final form</w:t>
      </w:r>
      <w:r w:rsidR="00A352D1">
        <w:rPr>
          <w:rFonts w:ascii="Gill Sans MT" w:hAnsi="Gill Sans MT"/>
          <w:sz w:val="20"/>
          <w:lang w:val="en-GB"/>
        </w:rPr>
        <w:t xml:space="preserve"> </w:t>
      </w:r>
      <w:r>
        <w:rPr>
          <w:rFonts w:ascii="Gill Sans MT" w:hAnsi="Gill Sans MT"/>
          <w:sz w:val="20"/>
          <w:lang w:val="en-GB"/>
        </w:rPr>
        <w:t xml:space="preserve">but it is planned that its recommendations should be developed and taken forward. Any </w:t>
      </w:r>
      <w:r w:rsidR="00A352D1">
        <w:rPr>
          <w:rFonts w:ascii="Gill Sans MT" w:hAnsi="Gill Sans MT"/>
          <w:sz w:val="20"/>
          <w:lang w:val="en-GB"/>
        </w:rPr>
        <w:t xml:space="preserve">comments </w:t>
      </w:r>
      <w:r>
        <w:rPr>
          <w:rFonts w:ascii="Gill Sans MT" w:hAnsi="Gill Sans MT"/>
          <w:sz w:val="20"/>
          <w:lang w:val="en-GB"/>
        </w:rPr>
        <w:t xml:space="preserve">or suggestions on the implementation of the recommendations of this Synthesis Report </w:t>
      </w:r>
      <w:r w:rsidR="00A352D1">
        <w:rPr>
          <w:rFonts w:ascii="Gill Sans MT" w:hAnsi="Gill Sans MT"/>
          <w:sz w:val="20"/>
          <w:lang w:val="en-GB"/>
        </w:rPr>
        <w:t xml:space="preserve">would </w:t>
      </w:r>
      <w:r>
        <w:rPr>
          <w:rFonts w:ascii="Gill Sans MT" w:hAnsi="Gill Sans MT"/>
          <w:sz w:val="20"/>
          <w:lang w:val="en-GB"/>
        </w:rPr>
        <w:t xml:space="preserve">therefore </w:t>
      </w:r>
      <w:r w:rsidR="00A352D1">
        <w:rPr>
          <w:rFonts w:ascii="Gill Sans MT" w:hAnsi="Gill Sans MT"/>
          <w:sz w:val="20"/>
          <w:lang w:val="en-GB"/>
        </w:rPr>
        <w:t>be gratefully</w:t>
      </w:r>
      <w:r w:rsidR="003B28D2">
        <w:rPr>
          <w:rFonts w:ascii="Gill Sans MT" w:hAnsi="Gill Sans MT"/>
          <w:sz w:val="20"/>
          <w:lang w:val="en-GB"/>
        </w:rPr>
        <w:t xml:space="preserve"> received and should be sent </w:t>
      </w:r>
      <w:r w:rsidR="00A352D1">
        <w:rPr>
          <w:rFonts w:ascii="Gill Sans MT" w:hAnsi="Gill Sans MT"/>
          <w:sz w:val="20"/>
          <w:lang w:val="en-GB"/>
        </w:rPr>
        <w:t xml:space="preserve">to Europe Aid at </w:t>
      </w:r>
      <w:hyperlink r:id="rId18" w:history="1">
        <w:r w:rsidR="00281C7F" w:rsidRPr="00281C7F">
          <w:rPr>
            <w:rFonts w:ascii="Calibri" w:hAnsi="Calibri" w:cs="Calibri"/>
            <w:color w:val="0000FF"/>
            <w:sz w:val="20"/>
            <w:u w:val="single" w:color="0000FF"/>
            <w:lang w:val="en-US" w:eastAsia="en-GB"/>
          </w:rPr>
          <w:t>EUROPEAID-08@ec.europa.eu</w:t>
        </w:r>
      </w:hyperlink>
      <w:r w:rsidR="00281C7F">
        <w:rPr>
          <w:rFonts w:ascii="Calibri" w:hAnsi="Calibri"/>
          <w:sz w:val="20"/>
          <w:lang w:val="en-US" w:eastAsia="en-GB"/>
        </w:rPr>
        <w:t>.</w:t>
      </w:r>
    </w:p>
    <w:p w14:paraId="170F2ED4" w14:textId="77777777" w:rsidR="0066786B" w:rsidRDefault="0066786B" w:rsidP="00B75D82">
      <w:pPr>
        <w:spacing w:line="360" w:lineRule="auto"/>
        <w:jc w:val="both"/>
        <w:outlineLvl w:val="0"/>
        <w:rPr>
          <w:rFonts w:ascii="Gill Sans MT" w:hAnsi="Gill Sans MT" w:cs="Arial"/>
          <w:b/>
          <w:bCs/>
          <w:color w:val="990099"/>
          <w:sz w:val="28"/>
          <w:szCs w:val="28"/>
          <w:lang w:val="en-GB"/>
        </w:rPr>
      </w:pPr>
    </w:p>
    <w:p w14:paraId="3C84445F" w14:textId="77777777" w:rsidR="0066786B" w:rsidRDefault="0066786B" w:rsidP="00B75D82">
      <w:pPr>
        <w:spacing w:line="360" w:lineRule="auto"/>
        <w:jc w:val="both"/>
        <w:outlineLvl w:val="0"/>
        <w:rPr>
          <w:rFonts w:ascii="Gill Sans MT" w:hAnsi="Gill Sans MT" w:cs="Arial"/>
          <w:b/>
          <w:bCs/>
          <w:color w:val="990099"/>
          <w:sz w:val="28"/>
          <w:szCs w:val="28"/>
          <w:lang w:val="en-GB"/>
        </w:rPr>
        <w:sectPr w:rsidR="0066786B" w:rsidSect="00713B82">
          <w:pgSz w:w="11909" w:h="16834" w:code="9"/>
          <w:pgMar w:top="1440" w:right="1800" w:bottom="1440" w:left="1800" w:header="720" w:footer="720" w:gutter="0"/>
          <w:cols w:space="720"/>
          <w:docGrid w:linePitch="360"/>
        </w:sectPr>
      </w:pPr>
    </w:p>
    <w:p w14:paraId="393FC3AF" w14:textId="77777777" w:rsidR="00B75D82" w:rsidRDefault="00B75D82" w:rsidP="00B75D82">
      <w:pPr>
        <w:spacing w:line="360" w:lineRule="auto"/>
        <w:jc w:val="both"/>
        <w:outlineLvl w:val="0"/>
        <w:rPr>
          <w:rFonts w:ascii="Gill Sans MT" w:hAnsi="Gill Sans MT" w:cs="Arial"/>
          <w:b/>
          <w:bCs/>
          <w:color w:val="990099"/>
          <w:sz w:val="28"/>
          <w:szCs w:val="28"/>
          <w:lang w:val="en-GB"/>
        </w:rPr>
      </w:pPr>
      <w:r w:rsidRPr="00372CF5">
        <w:rPr>
          <w:rFonts w:ascii="Gill Sans MT" w:hAnsi="Gill Sans MT" w:cs="Arial"/>
          <w:b/>
          <w:bCs/>
          <w:color w:val="990099"/>
          <w:sz w:val="28"/>
          <w:szCs w:val="28"/>
          <w:lang w:val="en-GB"/>
        </w:rPr>
        <w:lastRenderedPageBreak/>
        <w:t>Acronyms and Abbreviations</w:t>
      </w:r>
      <w:bookmarkEnd w:id="0"/>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9"/>
        <w:gridCol w:w="7558"/>
      </w:tblGrid>
      <w:tr w:rsidR="001D4A3A" w:rsidRPr="00225E5A" w14:paraId="25289D50" w14:textId="77777777" w:rsidTr="001D4A3A">
        <w:trPr>
          <w:trHeight w:hRule="exact" w:val="454"/>
        </w:trPr>
        <w:tc>
          <w:tcPr>
            <w:tcW w:w="1509" w:type="dxa"/>
            <w:vAlign w:val="center"/>
          </w:tcPr>
          <w:p w14:paraId="5E42DBE0"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AA</w:t>
            </w:r>
          </w:p>
        </w:tc>
        <w:tc>
          <w:tcPr>
            <w:tcW w:w="7558" w:type="dxa"/>
            <w:vAlign w:val="center"/>
          </w:tcPr>
          <w:p w14:paraId="45FA0F45"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 xml:space="preserve">Association Agreement </w:t>
            </w:r>
          </w:p>
        </w:tc>
      </w:tr>
      <w:tr w:rsidR="001D4A3A" w:rsidRPr="00225E5A" w14:paraId="26021D4A" w14:textId="77777777" w:rsidTr="001D4A3A">
        <w:trPr>
          <w:trHeight w:hRule="exact" w:val="454"/>
        </w:trPr>
        <w:tc>
          <w:tcPr>
            <w:tcW w:w="1509" w:type="dxa"/>
            <w:vAlign w:val="center"/>
          </w:tcPr>
          <w:p w14:paraId="2227D856" w14:textId="77777777" w:rsidR="001D4A3A" w:rsidRPr="00A4650C" w:rsidRDefault="001D4A3A" w:rsidP="001D4A3A">
            <w:pPr>
              <w:rPr>
                <w:rFonts w:ascii="Gill Sans MT" w:hAnsi="Gill Sans MT"/>
                <w:sz w:val="18"/>
                <w:szCs w:val="18"/>
                <w:lang w:val="en-GB"/>
              </w:rPr>
            </w:pPr>
            <w:bookmarkStart w:id="1" w:name="_Toc230431030"/>
            <w:bookmarkStart w:id="2" w:name="_Toc230538167"/>
            <w:r w:rsidRPr="00A4650C">
              <w:rPr>
                <w:rFonts w:ascii="Gill Sans MT" w:hAnsi="Gill Sans MT"/>
                <w:sz w:val="18"/>
                <w:szCs w:val="18"/>
                <w:lang w:val="en-GB"/>
              </w:rPr>
              <w:t>AFDB</w:t>
            </w:r>
            <w:bookmarkEnd w:id="1"/>
            <w:bookmarkEnd w:id="2"/>
          </w:p>
        </w:tc>
        <w:tc>
          <w:tcPr>
            <w:tcW w:w="7558" w:type="dxa"/>
            <w:vAlign w:val="center"/>
          </w:tcPr>
          <w:p w14:paraId="6DA31FA6" w14:textId="77777777" w:rsidR="001D4A3A" w:rsidRPr="00A4650C" w:rsidRDefault="001D4A3A" w:rsidP="001D4A3A">
            <w:pPr>
              <w:tabs>
                <w:tab w:val="left" w:pos="1701"/>
              </w:tabs>
              <w:spacing w:before="20" w:after="20"/>
              <w:rPr>
                <w:rFonts w:ascii="Gill Sans MT" w:hAnsi="Gill Sans MT"/>
                <w:color w:val="31849B"/>
                <w:sz w:val="18"/>
                <w:szCs w:val="18"/>
                <w:lang w:val="en-GB"/>
              </w:rPr>
            </w:pPr>
            <w:r w:rsidRPr="00A4650C">
              <w:rPr>
                <w:rFonts w:ascii="Gill Sans MT" w:hAnsi="Gill Sans MT" w:cs="Arial"/>
                <w:sz w:val="18"/>
                <w:szCs w:val="18"/>
                <w:lang w:val="en-GB"/>
              </w:rPr>
              <w:t>African Development Bank</w:t>
            </w:r>
          </w:p>
        </w:tc>
      </w:tr>
      <w:tr w:rsidR="00F80615" w:rsidRPr="008C51D1" w14:paraId="0A5D7C50" w14:textId="77777777" w:rsidTr="001D4A3A">
        <w:trPr>
          <w:trHeight w:hRule="exact" w:val="454"/>
        </w:trPr>
        <w:tc>
          <w:tcPr>
            <w:tcW w:w="1509" w:type="dxa"/>
            <w:vAlign w:val="center"/>
          </w:tcPr>
          <w:p w14:paraId="3A2A6EA2" w14:textId="77777777" w:rsidR="00F80615" w:rsidRPr="00A4650C" w:rsidRDefault="00F80615" w:rsidP="001D4A3A">
            <w:pPr>
              <w:rPr>
                <w:rFonts w:ascii="Gill Sans MT" w:hAnsi="Gill Sans MT"/>
                <w:sz w:val="18"/>
                <w:szCs w:val="18"/>
                <w:lang w:val="en-GB"/>
              </w:rPr>
            </w:pPr>
            <w:r>
              <w:rPr>
                <w:rFonts w:ascii="Gill Sans MT" w:hAnsi="Gill Sans MT"/>
                <w:sz w:val="18"/>
                <w:szCs w:val="18"/>
                <w:lang w:val="en-GB"/>
              </w:rPr>
              <w:t>ANC</w:t>
            </w:r>
          </w:p>
        </w:tc>
        <w:tc>
          <w:tcPr>
            <w:tcW w:w="7558" w:type="dxa"/>
            <w:vAlign w:val="center"/>
          </w:tcPr>
          <w:p w14:paraId="08E31306" w14:textId="77777777" w:rsidR="00F80615" w:rsidRPr="00A4650C" w:rsidRDefault="00F80615" w:rsidP="001D4A3A">
            <w:pPr>
              <w:tabs>
                <w:tab w:val="left" w:pos="1701"/>
              </w:tabs>
              <w:spacing w:before="20" w:after="20"/>
              <w:rPr>
                <w:rFonts w:ascii="Gill Sans MT" w:hAnsi="Gill Sans MT" w:cs="Arial"/>
                <w:sz w:val="18"/>
                <w:szCs w:val="18"/>
                <w:lang w:val="en-GB"/>
              </w:rPr>
            </w:pPr>
            <w:r>
              <w:rPr>
                <w:rFonts w:ascii="Gill Sans MT" w:hAnsi="Gill Sans MT" w:cs="Arial"/>
                <w:sz w:val="18"/>
                <w:szCs w:val="18"/>
                <w:lang w:val="en-GB"/>
              </w:rPr>
              <w:t>African National Congress (South Africa)</w:t>
            </w:r>
          </w:p>
        </w:tc>
      </w:tr>
      <w:tr w:rsidR="001D4A3A" w:rsidRPr="008C51D1" w14:paraId="41B1D31F" w14:textId="77777777" w:rsidTr="001D4A3A">
        <w:trPr>
          <w:trHeight w:hRule="exact" w:val="454"/>
        </w:trPr>
        <w:tc>
          <w:tcPr>
            <w:tcW w:w="1509" w:type="dxa"/>
            <w:vAlign w:val="center"/>
          </w:tcPr>
          <w:p w14:paraId="3F76C634"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BoT</w:t>
            </w:r>
          </w:p>
        </w:tc>
        <w:tc>
          <w:tcPr>
            <w:tcW w:w="7558" w:type="dxa"/>
            <w:vAlign w:val="center"/>
          </w:tcPr>
          <w:p w14:paraId="4A9E9B1F"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Bank of Tanzania (Central Bank)</w:t>
            </w:r>
          </w:p>
        </w:tc>
      </w:tr>
      <w:tr w:rsidR="001D4A3A" w:rsidRPr="00225E5A" w14:paraId="7C118FB1" w14:textId="77777777" w:rsidTr="001D4A3A">
        <w:trPr>
          <w:trHeight w:hRule="exact" w:val="454"/>
        </w:trPr>
        <w:tc>
          <w:tcPr>
            <w:tcW w:w="1509" w:type="dxa"/>
            <w:vAlign w:val="center"/>
          </w:tcPr>
          <w:p w14:paraId="5DFD2473"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BS</w:t>
            </w:r>
          </w:p>
        </w:tc>
        <w:tc>
          <w:tcPr>
            <w:tcW w:w="7558" w:type="dxa"/>
            <w:vAlign w:val="center"/>
          </w:tcPr>
          <w:p w14:paraId="536C47F6"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Budget Support</w:t>
            </w:r>
          </w:p>
        </w:tc>
      </w:tr>
      <w:tr w:rsidR="001D4A3A" w:rsidRPr="008C51D1" w14:paraId="54C7312B" w14:textId="77777777" w:rsidTr="001D4A3A">
        <w:trPr>
          <w:trHeight w:hRule="exact" w:val="454"/>
        </w:trPr>
        <w:tc>
          <w:tcPr>
            <w:tcW w:w="1509" w:type="dxa"/>
            <w:vAlign w:val="center"/>
          </w:tcPr>
          <w:p w14:paraId="48C265A6"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CCM</w:t>
            </w:r>
          </w:p>
        </w:tc>
        <w:tc>
          <w:tcPr>
            <w:tcW w:w="7558" w:type="dxa"/>
            <w:vAlign w:val="center"/>
          </w:tcPr>
          <w:p w14:paraId="64C25DF4" w14:textId="77777777" w:rsidR="001D4A3A" w:rsidRPr="00A4650C" w:rsidRDefault="001D4A3A" w:rsidP="001D4A3A">
            <w:pPr>
              <w:tabs>
                <w:tab w:val="left" w:pos="1701"/>
              </w:tabs>
              <w:spacing w:before="20" w:after="20"/>
              <w:rPr>
                <w:rFonts w:ascii="Gill Sans MT" w:hAnsi="Gill Sans MT" w:cs="Arial"/>
                <w:i/>
                <w:sz w:val="18"/>
                <w:szCs w:val="18"/>
                <w:lang w:val="en-GB"/>
              </w:rPr>
            </w:pPr>
            <w:r w:rsidRPr="00A4650C">
              <w:rPr>
                <w:rFonts w:ascii="Gill Sans MT" w:hAnsi="Gill Sans MT" w:cs="Arial"/>
                <w:i/>
                <w:sz w:val="18"/>
                <w:szCs w:val="18"/>
                <w:lang w:val="en-GB"/>
              </w:rPr>
              <w:t xml:space="preserve">Chama Cha </w:t>
            </w:r>
            <w:proofErr w:type="spellStart"/>
            <w:r w:rsidRPr="00A4650C">
              <w:rPr>
                <w:rFonts w:ascii="Gill Sans MT" w:hAnsi="Gill Sans MT" w:cs="Arial"/>
                <w:i/>
                <w:sz w:val="18"/>
                <w:szCs w:val="18"/>
                <w:lang w:val="en-GB"/>
              </w:rPr>
              <w:t>Mapinduzi</w:t>
            </w:r>
            <w:proofErr w:type="spellEnd"/>
          </w:p>
          <w:p w14:paraId="0F9B52E1"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Party of the Revolution (Tanzania)</w:t>
            </w:r>
          </w:p>
        </w:tc>
      </w:tr>
      <w:tr w:rsidR="001D4A3A" w:rsidRPr="00225E5A" w14:paraId="5DE052CC" w14:textId="77777777" w:rsidTr="001D4A3A">
        <w:trPr>
          <w:trHeight w:hRule="exact" w:val="454"/>
        </w:trPr>
        <w:tc>
          <w:tcPr>
            <w:tcW w:w="1509" w:type="dxa"/>
            <w:vAlign w:val="center"/>
          </w:tcPr>
          <w:p w14:paraId="78B617A2"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CD</w:t>
            </w:r>
          </w:p>
        </w:tc>
        <w:tc>
          <w:tcPr>
            <w:tcW w:w="7558" w:type="dxa"/>
            <w:vAlign w:val="center"/>
          </w:tcPr>
          <w:p w14:paraId="7CB599F5"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Capacity Development</w:t>
            </w:r>
          </w:p>
        </w:tc>
      </w:tr>
      <w:tr w:rsidR="001D4A3A" w:rsidRPr="008C51D1" w14:paraId="43491C5F" w14:textId="77777777" w:rsidTr="001D4A3A">
        <w:trPr>
          <w:trHeight w:hRule="exact" w:val="454"/>
        </w:trPr>
        <w:tc>
          <w:tcPr>
            <w:tcW w:w="1509" w:type="dxa"/>
            <w:vAlign w:val="center"/>
          </w:tcPr>
          <w:p w14:paraId="01D553A0"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CRS</w:t>
            </w:r>
          </w:p>
        </w:tc>
        <w:tc>
          <w:tcPr>
            <w:tcW w:w="7558" w:type="dxa"/>
            <w:vAlign w:val="center"/>
          </w:tcPr>
          <w:p w14:paraId="6FF5C9BC"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Creditor Reporting System (OECD-DAC)</w:t>
            </w:r>
          </w:p>
        </w:tc>
      </w:tr>
      <w:tr w:rsidR="001D4A3A" w:rsidRPr="00225E5A" w14:paraId="3E27D65B" w14:textId="77777777" w:rsidTr="001D4A3A">
        <w:trPr>
          <w:trHeight w:hRule="exact" w:val="454"/>
        </w:trPr>
        <w:tc>
          <w:tcPr>
            <w:tcW w:w="1509" w:type="dxa"/>
            <w:vAlign w:val="center"/>
          </w:tcPr>
          <w:p w14:paraId="66D248A5"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CSO</w:t>
            </w:r>
          </w:p>
        </w:tc>
        <w:tc>
          <w:tcPr>
            <w:tcW w:w="7558" w:type="dxa"/>
            <w:vAlign w:val="center"/>
          </w:tcPr>
          <w:p w14:paraId="2C39BD81"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Civil Society Organisation</w:t>
            </w:r>
          </w:p>
        </w:tc>
      </w:tr>
      <w:tr w:rsidR="00F80615" w:rsidRPr="00225E5A" w14:paraId="2B776E78" w14:textId="77777777" w:rsidTr="001D4A3A">
        <w:trPr>
          <w:trHeight w:hRule="exact" w:val="454"/>
        </w:trPr>
        <w:tc>
          <w:tcPr>
            <w:tcW w:w="1509" w:type="dxa"/>
            <w:vAlign w:val="center"/>
          </w:tcPr>
          <w:p w14:paraId="19572865" w14:textId="77777777" w:rsidR="00F80615" w:rsidRPr="00A4650C" w:rsidRDefault="00F80615" w:rsidP="001D4A3A">
            <w:pPr>
              <w:rPr>
                <w:rFonts w:ascii="Gill Sans MT" w:hAnsi="Gill Sans MT"/>
                <w:sz w:val="18"/>
                <w:szCs w:val="18"/>
                <w:lang w:val="en-GB"/>
              </w:rPr>
            </w:pPr>
            <w:r>
              <w:rPr>
                <w:rFonts w:ascii="Gill Sans MT" w:hAnsi="Gill Sans MT"/>
                <w:sz w:val="18"/>
                <w:szCs w:val="18"/>
                <w:lang w:val="en-GB"/>
              </w:rPr>
              <w:t>CSR</w:t>
            </w:r>
          </w:p>
        </w:tc>
        <w:tc>
          <w:tcPr>
            <w:tcW w:w="7558" w:type="dxa"/>
            <w:vAlign w:val="center"/>
          </w:tcPr>
          <w:p w14:paraId="3FB55B2C" w14:textId="77777777" w:rsidR="00F80615" w:rsidRPr="00A4650C" w:rsidRDefault="00F80615" w:rsidP="001D4A3A">
            <w:pPr>
              <w:tabs>
                <w:tab w:val="left" w:pos="1701"/>
              </w:tabs>
              <w:spacing w:before="20" w:after="20"/>
              <w:rPr>
                <w:rFonts w:ascii="Gill Sans MT" w:hAnsi="Gill Sans MT" w:cs="Arial"/>
                <w:sz w:val="18"/>
                <w:szCs w:val="18"/>
                <w:lang w:val="en-GB"/>
              </w:rPr>
            </w:pPr>
            <w:r>
              <w:rPr>
                <w:rFonts w:ascii="Gill Sans MT" w:hAnsi="Gill Sans MT" w:cs="Arial"/>
                <w:sz w:val="18"/>
                <w:szCs w:val="18"/>
                <w:lang w:val="en-GB"/>
              </w:rPr>
              <w:t xml:space="preserve">Corporate Social Responsibility </w:t>
            </w:r>
          </w:p>
        </w:tc>
      </w:tr>
      <w:tr w:rsidR="001D4A3A" w:rsidRPr="00225E5A" w14:paraId="7607D60A" w14:textId="77777777" w:rsidTr="001D4A3A">
        <w:trPr>
          <w:trHeight w:hRule="exact" w:val="454"/>
        </w:trPr>
        <w:tc>
          <w:tcPr>
            <w:tcW w:w="1509" w:type="dxa"/>
            <w:vAlign w:val="center"/>
          </w:tcPr>
          <w:p w14:paraId="1FD5B003"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Danida</w:t>
            </w:r>
          </w:p>
        </w:tc>
        <w:tc>
          <w:tcPr>
            <w:tcW w:w="7558" w:type="dxa"/>
            <w:vAlign w:val="center"/>
          </w:tcPr>
          <w:p w14:paraId="63CE2254"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Danish International Development Agency</w:t>
            </w:r>
          </w:p>
        </w:tc>
      </w:tr>
      <w:tr w:rsidR="001D4A3A" w:rsidRPr="008C51D1" w14:paraId="49F2E6C0" w14:textId="77777777" w:rsidTr="001D4A3A">
        <w:trPr>
          <w:trHeight w:hRule="exact" w:val="454"/>
        </w:trPr>
        <w:tc>
          <w:tcPr>
            <w:tcW w:w="1509" w:type="dxa"/>
            <w:vAlign w:val="center"/>
          </w:tcPr>
          <w:p w14:paraId="25AB428F"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DFID</w:t>
            </w:r>
          </w:p>
        </w:tc>
        <w:tc>
          <w:tcPr>
            <w:tcW w:w="7558" w:type="dxa"/>
            <w:vAlign w:val="center"/>
          </w:tcPr>
          <w:p w14:paraId="3625246B"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 xml:space="preserve">Department for International Development (United Kingdom) </w:t>
            </w:r>
          </w:p>
        </w:tc>
      </w:tr>
      <w:tr w:rsidR="001D4A3A" w:rsidRPr="008C51D1" w14:paraId="3A2D81F7" w14:textId="77777777" w:rsidTr="001D4A3A">
        <w:trPr>
          <w:trHeight w:hRule="exact" w:val="454"/>
        </w:trPr>
        <w:tc>
          <w:tcPr>
            <w:tcW w:w="1509" w:type="dxa"/>
            <w:vAlign w:val="center"/>
          </w:tcPr>
          <w:p w14:paraId="068B3157" w14:textId="77777777" w:rsidR="001D4A3A" w:rsidRPr="00A4650C" w:rsidRDefault="001D4A3A" w:rsidP="001D4A3A">
            <w:pPr>
              <w:rPr>
                <w:rFonts w:ascii="Gill Sans MT" w:hAnsi="Gill Sans MT"/>
                <w:sz w:val="18"/>
                <w:szCs w:val="18"/>
                <w:lang w:val="en-GB"/>
              </w:rPr>
            </w:pPr>
            <w:bookmarkStart w:id="3" w:name="_Toc230431037"/>
            <w:bookmarkStart w:id="4" w:name="_Toc230538174"/>
            <w:r w:rsidRPr="00A4650C">
              <w:rPr>
                <w:rFonts w:ascii="Gill Sans MT" w:hAnsi="Gill Sans MT"/>
                <w:sz w:val="18"/>
                <w:szCs w:val="18"/>
                <w:lang w:val="en-GB"/>
              </w:rPr>
              <w:t>DAC</w:t>
            </w:r>
            <w:bookmarkEnd w:id="3"/>
            <w:bookmarkEnd w:id="4"/>
          </w:p>
        </w:tc>
        <w:tc>
          <w:tcPr>
            <w:tcW w:w="7558" w:type="dxa"/>
            <w:vAlign w:val="center"/>
          </w:tcPr>
          <w:p w14:paraId="24F08510"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 xml:space="preserve">Development Assistance Committee (of OECD) </w:t>
            </w:r>
          </w:p>
        </w:tc>
      </w:tr>
      <w:tr w:rsidR="001D4A3A" w:rsidRPr="00225E5A" w14:paraId="194B1F32" w14:textId="77777777" w:rsidTr="001D4A3A">
        <w:trPr>
          <w:trHeight w:hRule="exact" w:val="454"/>
        </w:trPr>
        <w:tc>
          <w:tcPr>
            <w:tcW w:w="1509" w:type="dxa"/>
            <w:vAlign w:val="center"/>
          </w:tcPr>
          <w:p w14:paraId="7EDFC1AF" w14:textId="77777777" w:rsidR="001D4A3A" w:rsidRPr="00A4650C" w:rsidRDefault="001D4A3A" w:rsidP="001D4A3A">
            <w:pPr>
              <w:rPr>
                <w:rFonts w:ascii="Gill Sans MT" w:hAnsi="Gill Sans MT"/>
                <w:sz w:val="18"/>
                <w:szCs w:val="18"/>
                <w:lang w:val="en-GB"/>
              </w:rPr>
            </w:pPr>
            <w:bookmarkStart w:id="5" w:name="_Toc230431043"/>
            <w:bookmarkStart w:id="6" w:name="_Toc230538180"/>
            <w:r w:rsidRPr="00A4650C">
              <w:rPr>
                <w:rFonts w:ascii="Gill Sans MT" w:hAnsi="Gill Sans MT"/>
                <w:sz w:val="18"/>
                <w:szCs w:val="18"/>
                <w:lang w:val="en-GB"/>
              </w:rPr>
              <w:t>DP</w:t>
            </w:r>
            <w:bookmarkEnd w:id="5"/>
            <w:bookmarkEnd w:id="6"/>
          </w:p>
        </w:tc>
        <w:tc>
          <w:tcPr>
            <w:tcW w:w="7558" w:type="dxa"/>
            <w:vAlign w:val="center"/>
          </w:tcPr>
          <w:p w14:paraId="6916586C"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Development Partner</w:t>
            </w:r>
          </w:p>
        </w:tc>
      </w:tr>
      <w:tr w:rsidR="001D4A3A" w:rsidRPr="008C51D1" w14:paraId="61FA0A8E" w14:textId="77777777" w:rsidTr="001D4A3A">
        <w:trPr>
          <w:trHeight w:hRule="exact" w:val="454"/>
        </w:trPr>
        <w:tc>
          <w:tcPr>
            <w:tcW w:w="1509" w:type="dxa"/>
            <w:vAlign w:val="center"/>
          </w:tcPr>
          <w:p w14:paraId="71F89395"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EPA</w:t>
            </w:r>
          </w:p>
        </w:tc>
        <w:tc>
          <w:tcPr>
            <w:tcW w:w="7558" w:type="dxa"/>
            <w:vAlign w:val="center"/>
          </w:tcPr>
          <w:p w14:paraId="6842B3D6"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External Payments Account (of the Bank of Tanzania)</w:t>
            </w:r>
          </w:p>
        </w:tc>
      </w:tr>
      <w:tr w:rsidR="001D4A3A" w:rsidRPr="00225E5A" w14:paraId="11C6A166" w14:textId="77777777" w:rsidTr="001D4A3A">
        <w:trPr>
          <w:trHeight w:hRule="exact" w:val="454"/>
        </w:trPr>
        <w:tc>
          <w:tcPr>
            <w:tcW w:w="1509" w:type="dxa"/>
            <w:vAlign w:val="center"/>
          </w:tcPr>
          <w:p w14:paraId="5073E66A"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EU</w:t>
            </w:r>
          </w:p>
        </w:tc>
        <w:tc>
          <w:tcPr>
            <w:tcW w:w="7558" w:type="dxa"/>
            <w:vAlign w:val="center"/>
          </w:tcPr>
          <w:p w14:paraId="095B61E1"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 xml:space="preserve">European Union </w:t>
            </w:r>
          </w:p>
        </w:tc>
      </w:tr>
      <w:tr w:rsidR="001D4A3A" w:rsidRPr="00225E5A" w14:paraId="6FADFA38" w14:textId="77777777" w:rsidTr="001D4A3A">
        <w:trPr>
          <w:trHeight w:hRule="exact" w:val="454"/>
        </w:trPr>
        <w:tc>
          <w:tcPr>
            <w:tcW w:w="1509" w:type="dxa"/>
            <w:vAlign w:val="center"/>
          </w:tcPr>
          <w:p w14:paraId="0C2A836D" w14:textId="77777777" w:rsidR="001D4A3A" w:rsidRPr="00A4650C" w:rsidRDefault="001D4A3A" w:rsidP="001D4A3A">
            <w:pPr>
              <w:rPr>
                <w:rFonts w:ascii="Gill Sans MT" w:hAnsi="Gill Sans MT"/>
                <w:sz w:val="18"/>
                <w:szCs w:val="18"/>
                <w:lang w:val="en-GB"/>
              </w:rPr>
            </w:pPr>
            <w:bookmarkStart w:id="7" w:name="_Toc230431045"/>
            <w:bookmarkStart w:id="8" w:name="_Toc230538182"/>
            <w:r w:rsidRPr="00A4650C">
              <w:rPr>
                <w:rFonts w:ascii="Gill Sans MT" w:hAnsi="Gill Sans MT"/>
                <w:sz w:val="18"/>
                <w:szCs w:val="18"/>
                <w:lang w:val="en-GB"/>
              </w:rPr>
              <w:t>EQ</w:t>
            </w:r>
            <w:bookmarkEnd w:id="7"/>
            <w:bookmarkEnd w:id="8"/>
          </w:p>
        </w:tc>
        <w:tc>
          <w:tcPr>
            <w:tcW w:w="7558" w:type="dxa"/>
            <w:vAlign w:val="center"/>
          </w:tcPr>
          <w:p w14:paraId="56009702"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Evaluation Question</w:t>
            </w:r>
          </w:p>
        </w:tc>
      </w:tr>
      <w:tr w:rsidR="001D4A3A" w:rsidRPr="00225E5A" w14:paraId="4918D790" w14:textId="77777777" w:rsidTr="001D4A3A">
        <w:trPr>
          <w:trHeight w:hRule="exact" w:val="454"/>
        </w:trPr>
        <w:tc>
          <w:tcPr>
            <w:tcW w:w="1509" w:type="dxa"/>
            <w:vAlign w:val="center"/>
          </w:tcPr>
          <w:p w14:paraId="00653607" w14:textId="77777777" w:rsidR="001D4A3A" w:rsidRPr="00A4650C" w:rsidRDefault="001D4A3A" w:rsidP="001D4A3A">
            <w:pPr>
              <w:rPr>
                <w:rFonts w:ascii="Gill Sans MT" w:hAnsi="Gill Sans MT"/>
                <w:sz w:val="18"/>
                <w:szCs w:val="18"/>
                <w:lang w:val="en-GB"/>
              </w:rPr>
            </w:pPr>
            <w:bookmarkStart w:id="9" w:name="_Toc230431046"/>
            <w:bookmarkStart w:id="10" w:name="_Toc230538183"/>
            <w:r w:rsidRPr="00A4650C">
              <w:rPr>
                <w:rFonts w:ascii="Gill Sans MT" w:hAnsi="Gill Sans MT"/>
                <w:sz w:val="18"/>
                <w:szCs w:val="18"/>
                <w:lang w:val="en-GB"/>
              </w:rPr>
              <w:t>FDI</w:t>
            </w:r>
            <w:bookmarkEnd w:id="9"/>
            <w:bookmarkEnd w:id="10"/>
          </w:p>
        </w:tc>
        <w:tc>
          <w:tcPr>
            <w:tcW w:w="7558" w:type="dxa"/>
            <w:vAlign w:val="center"/>
          </w:tcPr>
          <w:p w14:paraId="45D64B70"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Foreign Direct Investment</w:t>
            </w:r>
          </w:p>
        </w:tc>
      </w:tr>
      <w:tr w:rsidR="001D4A3A" w:rsidRPr="00225E5A" w14:paraId="746E01C4" w14:textId="77777777" w:rsidTr="001D4A3A">
        <w:trPr>
          <w:trHeight w:hRule="exact" w:val="454"/>
        </w:trPr>
        <w:tc>
          <w:tcPr>
            <w:tcW w:w="1509" w:type="dxa"/>
            <w:vAlign w:val="center"/>
          </w:tcPr>
          <w:p w14:paraId="5912894D" w14:textId="77777777" w:rsidR="001D4A3A" w:rsidRPr="00A4650C" w:rsidRDefault="001D4A3A" w:rsidP="001D4A3A">
            <w:pPr>
              <w:rPr>
                <w:rFonts w:ascii="Gill Sans MT" w:hAnsi="Gill Sans MT"/>
                <w:sz w:val="18"/>
                <w:szCs w:val="18"/>
                <w:lang w:val="en-GB"/>
              </w:rPr>
            </w:pPr>
            <w:bookmarkStart w:id="11" w:name="_Toc230431047"/>
            <w:bookmarkStart w:id="12" w:name="_Toc230538184"/>
            <w:r w:rsidRPr="00A4650C">
              <w:rPr>
                <w:rFonts w:ascii="Gill Sans MT" w:hAnsi="Gill Sans MT"/>
                <w:sz w:val="18"/>
                <w:szCs w:val="18"/>
                <w:lang w:val="en-GB"/>
              </w:rPr>
              <w:t>FRELIMO</w:t>
            </w:r>
            <w:bookmarkEnd w:id="11"/>
            <w:bookmarkEnd w:id="12"/>
          </w:p>
        </w:tc>
        <w:tc>
          <w:tcPr>
            <w:tcW w:w="7558" w:type="dxa"/>
            <w:vAlign w:val="center"/>
          </w:tcPr>
          <w:p w14:paraId="372A2E95" w14:textId="77777777" w:rsidR="001D4A3A" w:rsidRPr="00A4650C" w:rsidRDefault="001D4A3A" w:rsidP="001D4A3A">
            <w:pPr>
              <w:tabs>
                <w:tab w:val="left" w:pos="1701"/>
              </w:tabs>
              <w:spacing w:before="20" w:after="20"/>
              <w:rPr>
                <w:rFonts w:ascii="Gill Sans MT" w:hAnsi="Gill Sans MT" w:cs="Arial"/>
                <w:sz w:val="18"/>
                <w:szCs w:val="18"/>
                <w:lang w:val="en-GB"/>
              </w:rPr>
            </w:pPr>
            <w:proofErr w:type="spellStart"/>
            <w:r w:rsidRPr="00A4650C">
              <w:rPr>
                <w:rFonts w:ascii="Gill Sans MT" w:hAnsi="Gill Sans MT" w:cs="Arial"/>
                <w:sz w:val="18"/>
                <w:szCs w:val="18"/>
                <w:lang w:val="en-GB"/>
              </w:rPr>
              <w:t>Frente</w:t>
            </w:r>
            <w:proofErr w:type="spellEnd"/>
            <w:r w:rsidRPr="00A4650C">
              <w:rPr>
                <w:rFonts w:ascii="Gill Sans MT" w:hAnsi="Gill Sans MT" w:cs="Arial"/>
                <w:sz w:val="18"/>
                <w:szCs w:val="18"/>
                <w:lang w:val="en-GB"/>
              </w:rPr>
              <w:t xml:space="preserve"> de </w:t>
            </w:r>
            <w:proofErr w:type="spellStart"/>
            <w:r w:rsidRPr="00A4650C">
              <w:rPr>
                <w:rFonts w:ascii="Gill Sans MT" w:hAnsi="Gill Sans MT" w:cs="Arial"/>
                <w:sz w:val="18"/>
                <w:szCs w:val="18"/>
                <w:lang w:val="en-GB"/>
              </w:rPr>
              <w:t>Libertação</w:t>
            </w:r>
            <w:proofErr w:type="spellEnd"/>
            <w:r w:rsidRPr="00A4650C">
              <w:rPr>
                <w:rFonts w:ascii="Gill Sans MT" w:hAnsi="Gill Sans MT" w:cs="Arial"/>
                <w:sz w:val="18"/>
                <w:szCs w:val="18"/>
                <w:lang w:val="en-GB"/>
              </w:rPr>
              <w:t xml:space="preserve"> de </w:t>
            </w:r>
            <w:proofErr w:type="spellStart"/>
            <w:r w:rsidRPr="00A4650C">
              <w:rPr>
                <w:rFonts w:ascii="Gill Sans MT" w:hAnsi="Gill Sans MT" w:cs="Arial"/>
                <w:sz w:val="18"/>
                <w:szCs w:val="18"/>
                <w:lang w:val="en-GB"/>
              </w:rPr>
              <w:t>Moçambique</w:t>
            </w:r>
            <w:proofErr w:type="spellEnd"/>
            <w:r w:rsidRPr="00A4650C">
              <w:rPr>
                <w:rFonts w:ascii="Gill Sans MT" w:hAnsi="Gill Sans MT" w:cs="Arial"/>
                <w:sz w:val="18"/>
                <w:szCs w:val="18"/>
                <w:lang w:val="en-GB"/>
              </w:rPr>
              <w:t xml:space="preserve"> </w:t>
            </w:r>
          </w:p>
          <w:p w14:paraId="6849DB46" w14:textId="77777777" w:rsidR="001D4A3A" w:rsidRPr="00A4650C" w:rsidRDefault="001D4A3A" w:rsidP="001D4A3A">
            <w:pPr>
              <w:tabs>
                <w:tab w:val="left" w:pos="1701"/>
              </w:tabs>
              <w:spacing w:before="20" w:after="20"/>
              <w:rPr>
                <w:rFonts w:ascii="Gill Sans MT" w:hAnsi="Gill Sans MT" w:cs="Arial"/>
                <w:i/>
                <w:sz w:val="18"/>
                <w:szCs w:val="18"/>
                <w:lang w:val="en-GB"/>
              </w:rPr>
            </w:pPr>
            <w:r w:rsidRPr="00A4650C">
              <w:rPr>
                <w:rFonts w:ascii="Gill Sans MT" w:hAnsi="Gill Sans MT" w:cs="Arial"/>
                <w:i/>
                <w:sz w:val="18"/>
                <w:szCs w:val="18"/>
                <w:lang w:val="en-GB"/>
              </w:rPr>
              <w:t xml:space="preserve">Mozambique Liberation Front </w:t>
            </w:r>
          </w:p>
        </w:tc>
      </w:tr>
      <w:tr w:rsidR="001D4A3A" w:rsidRPr="00225E5A" w14:paraId="39817D3C" w14:textId="77777777" w:rsidTr="001D4A3A">
        <w:trPr>
          <w:trHeight w:hRule="exact" w:val="454"/>
        </w:trPr>
        <w:tc>
          <w:tcPr>
            <w:tcW w:w="1509" w:type="dxa"/>
            <w:vAlign w:val="center"/>
          </w:tcPr>
          <w:p w14:paraId="3B46A747" w14:textId="77777777" w:rsidR="001D4A3A" w:rsidRPr="00A4650C" w:rsidRDefault="001D4A3A" w:rsidP="001D4A3A">
            <w:pPr>
              <w:rPr>
                <w:rFonts w:ascii="Gill Sans MT" w:hAnsi="Gill Sans MT"/>
                <w:sz w:val="18"/>
                <w:szCs w:val="18"/>
                <w:lang w:val="en-GB"/>
              </w:rPr>
            </w:pPr>
            <w:bookmarkStart w:id="13" w:name="_Toc230431049"/>
            <w:bookmarkStart w:id="14" w:name="_Toc230538186"/>
            <w:r w:rsidRPr="00A4650C">
              <w:rPr>
                <w:rFonts w:ascii="Gill Sans MT" w:hAnsi="Gill Sans MT"/>
                <w:sz w:val="18"/>
                <w:szCs w:val="18"/>
                <w:lang w:val="en-GB"/>
              </w:rPr>
              <w:t>GBS</w:t>
            </w:r>
            <w:bookmarkEnd w:id="13"/>
            <w:bookmarkEnd w:id="14"/>
          </w:p>
        </w:tc>
        <w:tc>
          <w:tcPr>
            <w:tcW w:w="7558" w:type="dxa"/>
            <w:vAlign w:val="center"/>
          </w:tcPr>
          <w:p w14:paraId="208C1800"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 xml:space="preserve">General Budget Support </w:t>
            </w:r>
          </w:p>
        </w:tc>
      </w:tr>
      <w:tr w:rsidR="001D4A3A" w:rsidRPr="008C51D1" w14:paraId="646285C0" w14:textId="77777777" w:rsidTr="001D4A3A">
        <w:trPr>
          <w:trHeight w:hRule="exact" w:val="454"/>
        </w:trPr>
        <w:tc>
          <w:tcPr>
            <w:tcW w:w="1509" w:type="dxa"/>
            <w:vAlign w:val="center"/>
          </w:tcPr>
          <w:p w14:paraId="37AE3A58"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GCCC</w:t>
            </w:r>
          </w:p>
        </w:tc>
        <w:tc>
          <w:tcPr>
            <w:tcW w:w="7558" w:type="dxa"/>
            <w:vAlign w:val="center"/>
          </w:tcPr>
          <w:p w14:paraId="320109C0" w14:textId="77777777" w:rsidR="001D4A3A" w:rsidRPr="008C51D1" w:rsidRDefault="001D4A3A" w:rsidP="001D4A3A">
            <w:pPr>
              <w:tabs>
                <w:tab w:val="left" w:pos="1701"/>
              </w:tabs>
              <w:spacing w:before="20" w:after="20"/>
              <w:rPr>
                <w:rFonts w:ascii="Gill Sans MT" w:hAnsi="Gill Sans MT" w:cs="Arial"/>
                <w:i/>
                <w:sz w:val="18"/>
                <w:szCs w:val="18"/>
              </w:rPr>
            </w:pPr>
            <w:r w:rsidRPr="008C51D1">
              <w:rPr>
                <w:rFonts w:ascii="Gill Sans MT" w:hAnsi="Gill Sans MT" w:cs="Arial"/>
                <w:i/>
                <w:sz w:val="18"/>
                <w:szCs w:val="18"/>
              </w:rPr>
              <w:t>Gabinete Central de Combate a Corrupção</w:t>
            </w:r>
          </w:p>
          <w:p w14:paraId="6CDFE509"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Central Office for Combating of Corruption (Mozambique)</w:t>
            </w:r>
          </w:p>
        </w:tc>
      </w:tr>
      <w:tr w:rsidR="001D4A3A" w:rsidRPr="00225E5A" w14:paraId="463BBB30" w14:textId="77777777" w:rsidTr="001D4A3A">
        <w:trPr>
          <w:trHeight w:hRule="exact" w:val="454"/>
        </w:trPr>
        <w:tc>
          <w:tcPr>
            <w:tcW w:w="1509" w:type="dxa"/>
            <w:vAlign w:val="center"/>
          </w:tcPr>
          <w:p w14:paraId="32B1FDC7" w14:textId="77777777" w:rsidR="001D4A3A" w:rsidRPr="00A4650C" w:rsidRDefault="001D4A3A" w:rsidP="001D4A3A">
            <w:pPr>
              <w:rPr>
                <w:rFonts w:ascii="Gill Sans MT" w:hAnsi="Gill Sans MT"/>
                <w:sz w:val="18"/>
                <w:szCs w:val="18"/>
                <w:lang w:val="en-GB"/>
              </w:rPr>
            </w:pPr>
            <w:bookmarkStart w:id="15" w:name="_Toc230431050"/>
            <w:bookmarkStart w:id="16" w:name="_Toc230538187"/>
            <w:r w:rsidRPr="00A4650C">
              <w:rPr>
                <w:rFonts w:ascii="Gill Sans MT" w:hAnsi="Gill Sans MT"/>
                <w:sz w:val="18"/>
                <w:szCs w:val="18"/>
                <w:lang w:val="en-GB"/>
              </w:rPr>
              <w:t>GDP</w:t>
            </w:r>
            <w:bookmarkEnd w:id="15"/>
            <w:bookmarkEnd w:id="16"/>
          </w:p>
        </w:tc>
        <w:tc>
          <w:tcPr>
            <w:tcW w:w="7558" w:type="dxa"/>
            <w:vAlign w:val="center"/>
          </w:tcPr>
          <w:p w14:paraId="71618BC3"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Gross Domestic Product</w:t>
            </w:r>
          </w:p>
        </w:tc>
      </w:tr>
      <w:tr w:rsidR="001D4A3A" w:rsidRPr="00225E5A" w14:paraId="0AFCFE3A" w14:textId="77777777" w:rsidTr="001D4A3A">
        <w:trPr>
          <w:trHeight w:hRule="exact" w:val="454"/>
        </w:trPr>
        <w:tc>
          <w:tcPr>
            <w:tcW w:w="1509" w:type="dxa"/>
            <w:vAlign w:val="center"/>
          </w:tcPr>
          <w:p w14:paraId="7C890A4F"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GNI</w:t>
            </w:r>
          </w:p>
        </w:tc>
        <w:tc>
          <w:tcPr>
            <w:tcW w:w="7558" w:type="dxa"/>
            <w:vAlign w:val="center"/>
          </w:tcPr>
          <w:p w14:paraId="305D6BCA"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Gross National Income</w:t>
            </w:r>
          </w:p>
        </w:tc>
      </w:tr>
      <w:tr w:rsidR="001D4A3A" w:rsidRPr="00225E5A" w14:paraId="68B5BAB6" w14:textId="77777777" w:rsidTr="001D4A3A">
        <w:trPr>
          <w:trHeight w:hRule="exact" w:val="454"/>
        </w:trPr>
        <w:tc>
          <w:tcPr>
            <w:tcW w:w="1509" w:type="dxa"/>
            <w:vAlign w:val="center"/>
          </w:tcPr>
          <w:p w14:paraId="26B1A261"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GoSA</w:t>
            </w:r>
          </w:p>
        </w:tc>
        <w:tc>
          <w:tcPr>
            <w:tcW w:w="7558" w:type="dxa"/>
            <w:vAlign w:val="center"/>
          </w:tcPr>
          <w:p w14:paraId="07AF3CA2"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Government of South Africa</w:t>
            </w:r>
          </w:p>
        </w:tc>
      </w:tr>
      <w:tr w:rsidR="001D4A3A" w:rsidRPr="00225E5A" w14:paraId="4CB32BD0" w14:textId="77777777" w:rsidTr="001D4A3A">
        <w:trPr>
          <w:trHeight w:hRule="exact" w:val="454"/>
        </w:trPr>
        <w:tc>
          <w:tcPr>
            <w:tcW w:w="1509" w:type="dxa"/>
            <w:vAlign w:val="center"/>
          </w:tcPr>
          <w:p w14:paraId="1EC8CA3C"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HDI</w:t>
            </w:r>
          </w:p>
        </w:tc>
        <w:tc>
          <w:tcPr>
            <w:tcW w:w="7558" w:type="dxa"/>
            <w:vAlign w:val="center"/>
          </w:tcPr>
          <w:p w14:paraId="18032BC7"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Human Development Index</w:t>
            </w:r>
          </w:p>
        </w:tc>
      </w:tr>
      <w:tr w:rsidR="001D4A3A" w:rsidRPr="008C51D1" w14:paraId="0ACB4E83" w14:textId="77777777" w:rsidTr="001D4A3A">
        <w:trPr>
          <w:trHeight w:hRule="exact" w:val="454"/>
        </w:trPr>
        <w:tc>
          <w:tcPr>
            <w:tcW w:w="1509" w:type="dxa"/>
            <w:vAlign w:val="center"/>
          </w:tcPr>
          <w:p w14:paraId="10A49F16"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 xml:space="preserve">ICAI </w:t>
            </w:r>
          </w:p>
        </w:tc>
        <w:tc>
          <w:tcPr>
            <w:tcW w:w="7558" w:type="dxa"/>
            <w:vAlign w:val="center"/>
          </w:tcPr>
          <w:p w14:paraId="1677BE46"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 xml:space="preserve">Independent Commission for Aid Impact (United Kingdom) </w:t>
            </w:r>
          </w:p>
        </w:tc>
      </w:tr>
      <w:tr w:rsidR="001D4A3A" w:rsidRPr="008C51D1" w14:paraId="7F293E00" w14:textId="77777777" w:rsidTr="001D4A3A">
        <w:trPr>
          <w:trHeight w:hRule="exact" w:val="454"/>
        </w:trPr>
        <w:tc>
          <w:tcPr>
            <w:tcW w:w="1509" w:type="dxa"/>
            <w:vAlign w:val="center"/>
          </w:tcPr>
          <w:p w14:paraId="348FAB37"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IDD</w:t>
            </w:r>
          </w:p>
        </w:tc>
        <w:tc>
          <w:tcPr>
            <w:tcW w:w="7558" w:type="dxa"/>
            <w:vAlign w:val="center"/>
          </w:tcPr>
          <w:p w14:paraId="06A83C98"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 xml:space="preserve">International Development Department, University of Birmingham  </w:t>
            </w:r>
          </w:p>
        </w:tc>
      </w:tr>
      <w:tr w:rsidR="001D4A3A" w:rsidRPr="008C51D1" w14:paraId="2F5E1560" w14:textId="77777777" w:rsidTr="001D4A3A">
        <w:trPr>
          <w:trHeight w:hRule="exact" w:val="454"/>
        </w:trPr>
        <w:tc>
          <w:tcPr>
            <w:tcW w:w="1509" w:type="dxa"/>
            <w:vAlign w:val="center"/>
          </w:tcPr>
          <w:p w14:paraId="6C3C7B56"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 xml:space="preserve">IEG </w:t>
            </w:r>
          </w:p>
        </w:tc>
        <w:tc>
          <w:tcPr>
            <w:tcW w:w="7558" w:type="dxa"/>
            <w:vAlign w:val="center"/>
          </w:tcPr>
          <w:p w14:paraId="67547D76"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 xml:space="preserve">Independent Evaluation Group of the World Bank </w:t>
            </w:r>
          </w:p>
        </w:tc>
      </w:tr>
      <w:tr w:rsidR="001D4A3A" w:rsidRPr="00225E5A" w14:paraId="7DEC7CA6" w14:textId="77777777" w:rsidTr="001D4A3A">
        <w:trPr>
          <w:trHeight w:hRule="exact" w:val="454"/>
        </w:trPr>
        <w:tc>
          <w:tcPr>
            <w:tcW w:w="1509" w:type="dxa"/>
            <w:vAlign w:val="center"/>
          </w:tcPr>
          <w:p w14:paraId="4766C0DE"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IFMIS</w:t>
            </w:r>
          </w:p>
        </w:tc>
        <w:tc>
          <w:tcPr>
            <w:tcW w:w="7558" w:type="dxa"/>
            <w:vAlign w:val="center"/>
          </w:tcPr>
          <w:p w14:paraId="4C01D8F1"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Integrated Financial Management Information System</w:t>
            </w:r>
          </w:p>
        </w:tc>
      </w:tr>
      <w:tr w:rsidR="001D4A3A" w:rsidRPr="00225E5A" w14:paraId="4A03DC63" w14:textId="77777777" w:rsidTr="001D4A3A">
        <w:trPr>
          <w:trHeight w:hRule="exact" w:val="454"/>
        </w:trPr>
        <w:tc>
          <w:tcPr>
            <w:tcW w:w="1509" w:type="dxa"/>
            <w:vAlign w:val="center"/>
          </w:tcPr>
          <w:p w14:paraId="7476EA1B" w14:textId="77777777" w:rsidR="001D4A3A" w:rsidRPr="00A4650C" w:rsidRDefault="001D4A3A" w:rsidP="001D4A3A">
            <w:pPr>
              <w:rPr>
                <w:rFonts w:ascii="Gill Sans MT" w:hAnsi="Gill Sans MT"/>
                <w:sz w:val="18"/>
                <w:szCs w:val="18"/>
                <w:lang w:val="en-GB"/>
              </w:rPr>
            </w:pPr>
            <w:bookmarkStart w:id="17" w:name="_Toc230431053"/>
            <w:bookmarkStart w:id="18" w:name="_Toc230538190"/>
            <w:r w:rsidRPr="00A4650C">
              <w:rPr>
                <w:rFonts w:ascii="Gill Sans MT" w:hAnsi="Gill Sans MT"/>
                <w:sz w:val="18"/>
                <w:szCs w:val="18"/>
                <w:lang w:val="en-GB"/>
              </w:rPr>
              <w:lastRenderedPageBreak/>
              <w:t>IMF</w:t>
            </w:r>
            <w:bookmarkEnd w:id="17"/>
            <w:bookmarkEnd w:id="18"/>
          </w:p>
        </w:tc>
        <w:tc>
          <w:tcPr>
            <w:tcW w:w="7558" w:type="dxa"/>
            <w:vAlign w:val="center"/>
          </w:tcPr>
          <w:p w14:paraId="11000D1D"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 xml:space="preserve">International Monetary Fund </w:t>
            </w:r>
          </w:p>
        </w:tc>
      </w:tr>
      <w:tr w:rsidR="001D4A3A" w:rsidRPr="008C51D1" w14:paraId="44A52BEC" w14:textId="77777777" w:rsidTr="001D4A3A">
        <w:trPr>
          <w:trHeight w:hRule="exact" w:val="454"/>
        </w:trPr>
        <w:tc>
          <w:tcPr>
            <w:tcW w:w="1509" w:type="dxa"/>
            <w:vAlign w:val="center"/>
          </w:tcPr>
          <w:p w14:paraId="112AAD6A"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IOB</w:t>
            </w:r>
          </w:p>
        </w:tc>
        <w:tc>
          <w:tcPr>
            <w:tcW w:w="7558" w:type="dxa"/>
            <w:vAlign w:val="center"/>
          </w:tcPr>
          <w:p w14:paraId="2D4B811E"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Policy &amp; Operations Evaluation Department, Ministry of Foreign Affairs, the Netherlands</w:t>
            </w:r>
          </w:p>
        </w:tc>
      </w:tr>
      <w:tr w:rsidR="001D4A3A" w:rsidRPr="00225E5A" w14:paraId="361CE5BB" w14:textId="77777777" w:rsidTr="001D4A3A">
        <w:trPr>
          <w:trHeight w:hRule="exact" w:val="454"/>
        </w:trPr>
        <w:tc>
          <w:tcPr>
            <w:tcW w:w="1509" w:type="dxa"/>
            <w:vAlign w:val="center"/>
          </w:tcPr>
          <w:p w14:paraId="0F92D647"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 xml:space="preserve">LIC </w:t>
            </w:r>
          </w:p>
        </w:tc>
        <w:tc>
          <w:tcPr>
            <w:tcW w:w="7558" w:type="dxa"/>
            <w:vAlign w:val="center"/>
          </w:tcPr>
          <w:p w14:paraId="0F331798"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Low</w:t>
            </w:r>
            <w:r w:rsidR="00E10240">
              <w:rPr>
                <w:rFonts w:ascii="Gill Sans MT" w:hAnsi="Gill Sans MT" w:cs="Arial"/>
                <w:sz w:val="18"/>
                <w:szCs w:val="18"/>
                <w:lang w:val="en-GB"/>
              </w:rPr>
              <w:t>er</w:t>
            </w:r>
            <w:r w:rsidRPr="00A4650C">
              <w:rPr>
                <w:rFonts w:ascii="Gill Sans MT" w:hAnsi="Gill Sans MT" w:cs="Arial"/>
                <w:sz w:val="18"/>
                <w:szCs w:val="18"/>
                <w:lang w:val="en-GB"/>
              </w:rPr>
              <w:t xml:space="preserve"> Income Country</w:t>
            </w:r>
          </w:p>
        </w:tc>
      </w:tr>
      <w:tr w:rsidR="001D4A3A" w:rsidRPr="00225E5A" w14:paraId="27318378" w14:textId="77777777" w:rsidTr="001D4A3A">
        <w:trPr>
          <w:trHeight w:hRule="exact" w:val="454"/>
        </w:trPr>
        <w:tc>
          <w:tcPr>
            <w:tcW w:w="1509" w:type="dxa"/>
            <w:vAlign w:val="center"/>
          </w:tcPr>
          <w:p w14:paraId="0DA603AA"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 xml:space="preserve">MDG </w:t>
            </w:r>
          </w:p>
        </w:tc>
        <w:tc>
          <w:tcPr>
            <w:tcW w:w="7558" w:type="dxa"/>
            <w:vAlign w:val="center"/>
          </w:tcPr>
          <w:p w14:paraId="34E7443C"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Millennium Development Goal</w:t>
            </w:r>
          </w:p>
        </w:tc>
      </w:tr>
      <w:tr w:rsidR="001D4A3A" w:rsidRPr="00225E5A" w14:paraId="231727AF" w14:textId="77777777" w:rsidTr="001D4A3A">
        <w:trPr>
          <w:trHeight w:hRule="exact" w:val="454"/>
        </w:trPr>
        <w:tc>
          <w:tcPr>
            <w:tcW w:w="1509" w:type="dxa"/>
            <w:vAlign w:val="center"/>
          </w:tcPr>
          <w:p w14:paraId="318D6BFC"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MIC</w:t>
            </w:r>
          </w:p>
        </w:tc>
        <w:tc>
          <w:tcPr>
            <w:tcW w:w="7558" w:type="dxa"/>
            <w:vAlign w:val="center"/>
          </w:tcPr>
          <w:p w14:paraId="197470C6"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 xml:space="preserve">Middle Income Country </w:t>
            </w:r>
          </w:p>
        </w:tc>
      </w:tr>
      <w:tr w:rsidR="001D4A3A" w:rsidRPr="00225E5A" w14:paraId="51EB4E29" w14:textId="77777777" w:rsidTr="001D4A3A">
        <w:trPr>
          <w:trHeight w:hRule="exact" w:val="454"/>
        </w:trPr>
        <w:tc>
          <w:tcPr>
            <w:tcW w:w="1509" w:type="dxa"/>
            <w:vAlign w:val="center"/>
          </w:tcPr>
          <w:p w14:paraId="4A5A308D"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MDM</w:t>
            </w:r>
          </w:p>
        </w:tc>
        <w:tc>
          <w:tcPr>
            <w:tcW w:w="7558" w:type="dxa"/>
            <w:vAlign w:val="center"/>
          </w:tcPr>
          <w:p w14:paraId="0105721C" w14:textId="77777777" w:rsidR="001D4A3A" w:rsidRPr="008C51D1" w:rsidRDefault="001D4A3A" w:rsidP="001D4A3A">
            <w:pPr>
              <w:tabs>
                <w:tab w:val="left" w:pos="1701"/>
              </w:tabs>
              <w:spacing w:before="20" w:after="20"/>
              <w:rPr>
                <w:rFonts w:ascii="Gill Sans MT" w:hAnsi="Gill Sans MT" w:cs="Arial"/>
                <w:sz w:val="18"/>
                <w:szCs w:val="18"/>
              </w:rPr>
            </w:pPr>
            <w:proofErr w:type="spellStart"/>
            <w:r w:rsidRPr="008C51D1">
              <w:rPr>
                <w:rFonts w:ascii="Gill Sans MT" w:hAnsi="Gill Sans MT" w:cs="Arial"/>
                <w:sz w:val="18"/>
                <w:szCs w:val="18"/>
              </w:rPr>
              <w:t>Democratic</w:t>
            </w:r>
            <w:proofErr w:type="spellEnd"/>
            <w:r w:rsidRPr="008C51D1">
              <w:rPr>
                <w:rFonts w:ascii="Gill Sans MT" w:hAnsi="Gill Sans MT" w:cs="Arial"/>
                <w:sz w:val="18"/>
                <w:szCs w:val="18"/>
              </w:rPr>
              <w:t xml:space="preserve"> </w:t>
            </w:r>
            <w:proofErr w:type="spellStart"/>
            <w:r w:rsidRPr="008C51D1">
              <w:rPr>
                <w:rFonts w:ascii="Gill Sans MT" w:hAnsi="Gill Sans MT" w:cs="Arial"/>
                <w:sz w:val="18"/>
                <w:szCs w:val="18"/>
              </w:rPr>
              <w:t>Movement</w:t>
            </w:r>
            <w:proofErr w:type="spellEnd"/>
            <w:r w:rsidR="00F80615" w:rsidRPr="008C51D1">
              <w:rPr>
                <w:rFonts w:ascii="Gill Sans MT" w:hAnsi="Gill Sans MT" w:cs="Arial"/>
                <w:sz w:val="18"/>
                <w:szCs w:val="18"/>
              </w:rPr>
              <w:t xml:space="preserve"> </w:t>
            </w:r>
            <w:proofErr w:type="spellStart"/>
            <w:r w:rsidR="00F80615" w:rsidRPr="008C51D1">
              <w:rPr>
                <w:rFonts w:ascii="Gill Sans MT" w:hAnsi="Gill Sans MT" w:cs="Arial"/>
                <w:sz w:val="18"/>
                <w:szCs w:val="18"/>
              </w:rPr>
              <w:t>of</w:t>
            </w:r>
            <w:proofErr w:type="spellEnd"/>
            <w:r w:rsidR="00F80615" w:rsidRPr="008C51D1">
              <w:rPr>
                <w:rFonts w:ascii="Gill Sans MT" w:hAnsi="Gill Sans MT" w:cs="Arial"/>
                <w:sz w:val="18"/>
                <w:szCs w:val="18"/>
              </w:rPr>
              <w:t xml:space="preserve"> Mozambique </w:t>
            </w:r>
          </w:p>
          <w:p w14:paraId="48F74A54" w14:textId="77777777" w:rsidR="001D4A3A" w:rsidRPr="008C51D1" w:rsidRDefault="001D4A3A" w:rsidP="001D4A3A">
            <w:pPr>
              <w:tabs>
                <w:tab w:val="left" w:pos="1701"/>
              </w:tabs>
              <w:spacing w:before="20" w:after="20"/>
              <w:rPr>
                <w:rFonts w:ascii="Gill Sans MT" w:hAnsi="Gill Sans MT" w:cs="Arial"/>
                <w:i/>
                <w:sz w:val="18"/>
                <w:szCs w:val="18"/>
              </w:rPr>
            </w:pPr>
            <w:r w:rsidRPr="008C51D1">
              <w:rPr>
                <w:rFonts w:ascii="Gill Sans MT" w:hAnsi="Gill Sans MT" w:cs="Arial"/>
                <w:i/>
                <w:sz w:val="18"/>
                <w:szCs w:val="18"/>
              </w:rPr>
              <w:t>Movimento Democrático de Moçambique</w:t>
            </w:r>
          </w:p>
        </w:tc>
      </w:tr>
      <w:tr w:rsidR="001D4A3A" w:rsidRPr="00225E5A" w14:paraId="1C81AD4C" w14:textId="77777777" w:rsidTr="001D4A3A">
        <w:trPr>
          <w:trHeight w:hRule="exact" w:val="454"/>
        </w:trPr>
        <w:tc>
          <w:tcPr>
            <w:tcW w:w="1509" w:type="dxa"/>
            <w:vAlign w:val="center"/>
          </w:tcPr>
          <w:p w14:paraId="4B225170" w14:textId="77777777" w:rsidR="001D4A3A" w:rsidRPr="00A4650C" w:rsidRDefault="001D4A3A" w:rsidP="001D4A3A">
            <w:pPr>
              <w:rPr>
                <w:rFonts w:ascii="Gill Sans MT" w:hAnsi="Gill Sans MT"/>
                <w:sz w:val="18"/>
                <w:szCs w:val="18"/>
                <w:lang w:val="en-GB"/>
              </w:rPr>
            </w:pPr>
            <w:bookmarkStart w:id="19" w:name="_Toc230431059"/>
            <w:bookmarkStart w:id="20" w:name="_Toc230538196"/>
            <w:r w:rsidRPr="00A4650C">
              <w:rPr>
                <w:rFonts w:ascii="Gill Sans MT" w:hAnsi="Gill Sans MT"/>
                <w:sz w:val="18"/>
                <w:szCs w:val="18"/>
                <w:lang w:val="en-GB"/>
              </w:rPr>
              <w:t>MoF</w:t>
            </w:r>
            <w:bookmarkEnd w:id="19"/>
            <w:bookmarkEnd w:id="20"/>
          </w:p>
        </w:tc>
        <w:tc>
          <w:tcPr>
            <w:tcW w:w="7558" w:type="dxa"/>
            <w:vAlign w:val="center"/>
          </w:tcPr>
          <w:p w14:paraId="7E9B07A8"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Ministry of Finance</w:t>
            </w:r>
          </w:p>
        </w:tc>
      </w:tr>
      <w:tr w:rsidR="001D4A3A" w:rsidRPr="00225E5A" w14:paraId="72D9610E" w14:textId="77777777" w:rsidTr="001D4A3A">
        <w:trPr>
          <w:trHeight w:hRule="exact" w:val="454"/>
        </w:trPr>
        <w:tc>
          <w:tcPr>
            <w:tcW w:w="1509" w:type="dxa"/>
            <w:vAlign w:val="center"/>
          </w:tcPr>
          <w:p w14:paraId="35E1FA6D" w14:textId="77777777" w:rsidR="001D4A3A" w:rsidRPr="00A4650C" w:rsidRDefault="001D4A3A" w:rsidP="001D4A3A">
            <w:pPr>
              <w:rPr>
                <w:rFonts w:ascii="Gill Sans MT" w:hAnsi="Gill Sans MT"/>
                <w:sz w:val="18"/>
                <w:szCs w:val="18"/>
                <w:lang w:val="en-GB"/>
              </w:rPr>
            </w:pPr>
            <w:bookmarkStart w:id="21" w:name="_Toc230431060"/>
            <w:bookmarkStart w:id="22" w:name="_Toc230538197"/>
            <w:r w:rsidRPr="00A4650C">
              <w:rPr>
                <w:rFonts w:ascii="Gill Sans MT" w:hAnsi="Gill Sans MT"/>
                <w:sz w:val="18"/>
                <w:szCs w:val="18"/>
                <w:lang w:val="en-GB"/>
              </w:rPr>
              <w:t>MoU</w:t>
            </w:r>
            <w:bookmarkEnd w:id="21"/>
            <w:bookmarkEnd w:id="22"/>
          </w:p>
        </w:tc>
        <w:tc>
          <w:tcPr>
            <w:tcW w:w="7558" w:type="dxa"/>
            <w:vAlign w:val="center"/>
          </w:tcPr>
          <w:p w14:paraId="3950FBD1"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 xml:space="preserve">Memorandum of Understanding </w:t>
            </w:r>
          </w:p>
        </w:tc>
      </w:tr>
      <w:tr w:rsidR="001D4A3A" w:rsidRPr="00225E5A" w14:paraId="77F13233" w14:textId="77777777" w:rsidTr="001D4A3A">
        <w:trPr>
          <w:trHeight w:hRule="exact" w:val="454"/>
        </w:trPr>
        <w:tc>
          <w:tcPr>
            <w:tcW w:w="1509" w:type="dxa"/>
            <w:vAlign w:val="center"/>
          </w:tcPr>
          <w:p w14:paraId="186D5804"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MTEF</w:t>
            </w:r>
          </w:p>
        </w:tc>
        <w:tc>
          <w:tcPr>
            <w:tcW w:w="7558" w:type="dxa"/>
            <w:vAlign w:val="center"/>
          </w:tcPr>
          <w:p w14:paraId="35D643BB"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Medium Term Expenditure Framework</w:t>
            </w:r>
          </w:p>
        </w:tc>
      </w:tr>
      <w:tr w:rsidR="001D4A3A" w:rsidRPr="008C51D1" w14:paraId="44B3C10B" w14:textId="77777777" w:rsidTr="001D4A3A">
        <w:trPr>
          <w:trHeight w:hRule="exact" w:val="454"/>
        </w:trPr>
        <w:tc>
          <w:tcPr>
            <w:tcW w:w="1509" w:type="dxa"/>
            <w:vAlign w:val="center"/>
          </w:tcPr>
          <w:p w14:paraId="7B1FC37D" w14:textId="77777777" w:rsidR="001D4A3A" w:rsidRPr="00A4650C" w:rsidRDefault="001D4A3A" w:rsidP="001D4A3A">
            <w:pPr>
              <w:rPr>
                <w:rFonts w:ascii="Gill Sans MT" w:hAnsi="Gill Sans MT"/>
                <w:sz w:val="18"/>
                <w:szCs w:val="18"/>
                <w:lang w:val="en-GB"/>
              </w:rPr>
            </w:pPr>
            <w:proofErr w:type="spellStart"/>
            <w:r w:rsidRPr="00A4650C">
              <w:rPr>
                <w:rFonts w:ascii="Gill Sans MT" w:hAnsi="Gill Sans MT"/>
                <w:sz w:val="18"/>
                <w:szCs w:val="18"/>
                <w:lang w:val="en-GB"/>
              </w:rPr>
              <w:t>Norad</w:t>
            </w:r>
            <w:proofErr w:type="spellEnd"/>
          </w:p>
        </w:tc>
        <w:tc>
          <w:tcPr>
            <w:tcW w:w="7558" w:type="dxa"/>
            <w:vAlign w:val="center"/>
          </w:tcPr>
          <w:p w14:paraId="0C9B8115"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Norwegian Agency for Development Cooperation</w:t>
            </w:r>
          </w:p>
        </w:tc>
      </w:tr>
      <w:tr w:rsidR="001D4A3A" w:rsidRPr="008C51D1" w14:paraId="51BB9FBB" w14:textId="77777777" w:rsidTr="001D4A3A">
        <w:trPr>
          <w:trHeight w:hRule="exact" w:val="454"/>
        </w:trPr>
        <w:tc>
          <w:tcPr>
            <w:tcW w:w="1509" w:type="dxa"/>
            <w:vAlign w:val="center"/>
          </w:tcPr>
          <w:p w14:paraId="3F01A899"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OAG</w:t>
            </w:r>
          </w:p>
        </w:tc>
        <w:tc>
          <w:tcPr>
            <w:tcW w:w="7558" w:type="dxa"/>
            <w:vAlign w:val="center"/>
          </w:tcPr>
          <w:p w14:paraId="3DADDB1C"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Office of the Auditor General (Zambia)</w:t>
            </w:r>
          </w:p>
        </w:tc>
      </w:tr>
      <w:tr w:rsidR="001D4A3A" w:rsidRPr="008C51D1" w14:paraId="3732576F" w14:textId="77777777" w:rsidTr="001D4A3A">
        <w:trPr>
          <w:trHeight w:hRule="exact" w:val="454"/>
        </w:trPr>
        <w:tc>
          <w:tcPr>
            <w:tcW w:w="1509" w:type="dxa"/>
            <w:vAlign w:val="center"/>
          </w:tcPr>
          <w:p w14:paraId="25EBAB9E" w14:textId="77777777" w:rsidR="001D4A3A" w:rsidRPr="00A4650C" w:rsidRDefault="001D4A3A" w:rsidP="001D4A3A">
            <w:pPr>
              <w:rPr>
                <w:rFonts w:ascii="Gill Sans MT" w:hAnsi="Gill Sans MT"/>
                <w:sz w:val="18"/>
                <w:szCs w:val="18"/>
                <w:lang w:val="en-GB"/>
              </w:rPr>
            </w:pPr>
            <w:bookmarkStart w:id="23" w:name="_Toc230431064"/>
            <w:bookmarkStart w:id="24" w:name="_Toc230538201"/>
            <w:r w:rsidRPr="00A4650C">
              <w:rPr>
                <w:rFonts w:ascii="Gill Sans MT" w:hAnsi="Gill Sans MT"/>
                <w:sz w:val="18"/>
                <w:szCs w:val="18"/>
                <w:lang w:val="en-GB"/>
              </w:rPr>
              <w:t>OECD</w:t>
            </w:r>
            <w:bookmarkEnd w:id="23"/>
            <w:bookmarkEnd w:id="24"/>
          </w:p>
        </w:tc>
        <w:tc>
          <w:tcPr>
            <w:tcW w:w="7558" w:type="dxa"/>
            <w:vAlign w:val="center"/>
          </w:tcPr>
          <w:p w14:paraId="5D238857"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Organisation for Economic Co-operation and Development</w:t>
            </w:r>
          </w:p>
        </w:tc>
      </w:tr>
      <w:tr w:rsidR="001D4A3A" w:rsidRPr="00225E5A" w14:paraId="4BC1E545" w14:textId="77777777" w:rsidTr="001D4A3A">
        <w:trPr>
          <w:trHeight w:hRule="exact" w:val="454"/>
        </w:trPr>
        <w:tc>
          <w:tcPr>
            <w:tcW w:w="1509" w:type="dxa"/>
            <w:vAlign w:val="center"/>
          </w:tcPr>
          <w:p w14:paraId="21511165"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 xml:space="preserve">ODA </w:t>
            </w:r>
          </w:p>
        </w:tc>
        <w:tc>
          <w:tcPr>
            <w:tcW w:w="7558" w:type="dxa"/>
            <w:vAlign w:val="center"/>
          </w:tcPr>
          <w:p w14:paraId="3E1521E3" w14:textId="77777777" w:rsidR="001D4A3A" w:rsidRPr="00A4650C" w:rsidRDefault="00F80615" w:rsidP="001D4A3A">
            <w:pPr>
              <w:tabs>
                <w:tab w:val="left" w:pos="1701"/>
              </w:tabs>
              <w:spacing w:before="20" w:after="20"/>
              <w:rPr>
                <w:rFonts w:ascii="Gill Sans MT" w:hAnsi="Gill Sans MT" w:cs="Arial"/>
                <w:sz w:val="18"/>
                <w:szCs w:val="18"/>
                <w:lang w:val="en-GB"/>
              </w:rPr>
            </w:pPr>
            <w:r>
              <w:rPr>
                <w:rFonts w:ascii="Gill Sans MT" w:hAnsi="Gill Sans MT" w:cs="Arial"/>
                <w:sz w:val="18"/>
                <w:szCs w:val="18"/>
                <w:lang w:val="en-GB"/>
              </w:rPr>
              <w:t>Official Development Assistance</w:t>
            </w:r>
          </w:p>
        </w:tc>
      </w:tr>
      <w:tr w:rsidR="001D4A3A" w:rsidRPr="00225E5A" w14:paraId="643B1F17" w14:textId="77777777" w:rsidTr="001D4A3A">
        <w:trPr>
          <w:trHeight w:hRule="exact" w:val="454"/>
        </w:trPr>
        <w:tc>
          <w:tcPr>
            <w:tcW w:w="1509" w:type="dxa"/>
            <w:vAlign w:val="center"/>
          </w:tcPr>
          <w:p w14:paraId="68855FCE" w14:textId="77777777" w:rsidR="001D4A3A" w:rsidRPr="00A4650C" w:rsidRDefault="001D4A3A" w:rsidP="001D4A3A">
            <w:pPr>
              <w:rPr>
                <w:rFonts w:ascii="Gill Sans MT" w:hAnsi="Gill Sans MT"/>
                <w:sz w:val="18"/>
                <w:szCs w:val="18"/>
                <w:lang w:val="en-GB"/>
              </w:rPr>
            </w:pPr>
            <w:bookmarkStart w:id="25" w:name="_Toc230431066"/>
            <w:bookmarkStart w:id="26" w:name="_Toc230538203"/>
            <w:r w:rsidRPr="00A4650C">
              <w:rPr>
                <w:rFonts w:ascii="Gill Sans MT" w:hAnsi="Gill Sans MT"/>
                <w:sz w:val="18"/>
                <w:szCs w:val="18"/>
                <w:lang w:val="en-GB"/>
              </w:rPr>
              <w:t>PAF</w:t>
            </w:r>
            <w:bookmarkEnd w:id="25"/>
            <w:bookmarkEnd w:id="26"/>
          </w:p>
        </w:tc>
        <w:tc>
          <w:tcPr>
            <w:tcW w:w="7558" w:type="dxa"/>
            <w:vAlign w:val="center"/>
          </w:tcPr>
          <w:p w14:paraId="5FB95693"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Performance Assessment Framework</w:t>
            </w:r>
          </w:p>
        </w:tc>
      </w:tr>
      <w:tr w:rsidR="001D4A3A" w:rsidRPr="008C51D1" w14:paraId="1D3EA768" w14:textId="77777777" w:rsidTr="001D4A3A">
        <w:trPr>
          <w:trHeight w:hRule="exact" w:val="454"/>
        </w:trPr>
        <w:tc>
          <w:tcPr>
            <w:tcW w:w="1509" w:type="dxa"/>
            <w:vAlign w:val="center"/>
          </w:tcPr>
          <w:p w14:paraId="4B249F74" w14:textId="77777777" w:rsidR="001D4A3A" w:rsidRPr="00A4650C" w:rsidRDefault="001D4A3A" w:rsidP="001D4A3A">
            <w:pPr>
              <w:rPr>
                <w:rFonts w:ascii="Gill Sans MT" w:hAnsi="Gill Sans MT"/>
                <w:sz w:val="18"/>
                <w:szCs w:val="18"/>
                <w:lang w:val="en-GB"/>
              </w:rPr>
            </w:pPr>
            <w:bookmarkStart w:id="27" w:name="_Toc230431070"/>
            <w:bookmarkStart w:id="28" w:name="_Toc230538207"/>
            <w:r w:rsidRPr="00A4650C">
              <w:rPr>
                <w:rFonts w:ascii="Gill Sans MT" w:hAnsi="Gill Sans MT"/>
                <w:sz w:val="18"/>
                <w:szCs w:val="18"/>
                <w:lang w:val="en-GB"/>
              </w:rPr>
              <w:t>PEFA</w:t>
            </w:r>
            <w:bookmarkEnd w:id="27"/>
            <w:bookmarkEnd w:id="28"/>
          </w:p>
        </w:tc>
        <w:tc>
          <w:tcPr>
            <w:tcW w:w="7558" w:type="dxa"/>
            <w:vAlign w:val="center"/>
          </w:tcPr>
          <w:p w14:paraId="570606C5"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 xml:space="preserve">Public Expenditure and Financial Accountability </w:t>
            </w:r>
          </w:p>
        </w:tc>
      </w:tr>
      <w:tr w:rsidR="001D4A3A" w:rsidRPr="00225E5A" w14:paraId="2C07F4FE" w14:textId="77777777" w:rsidTr="001D4A3A">
        <w:trPr>
          <w:trHeight w:hRule="exact" w:val="454"/>
        </w:trPr>
        <w:tc>
          <w:tcPr>
            <w:tcW w:w="1509" w:type="dxa"/>
            <w:vAlign w:val="center"/>
          </w:tcPr>
          <w:p w14:paraId="07A91395" w14:textId="77777777" w:rsidR="001D4A3A" w:rsidRPr="00A4650C" w:rsidRDefault="001D4A3A" w:rsidP="001D4A3A">
            <w:pPr>
              <w:rPr>
                <w:rFonts w:ascii="Gill Sans MT" w:hAnsi="Gill Sans MT"/>
                <w:sz w:val="18"/>
                <w:szCs w:val="18"/>
                <w:lang w:val="en-GB"/>
              </w:rPr>
            </w:pPr>
            <w:bookmarkStart w:id="29" w:name="_Toc230431073"/>
            <w:bookmarkStart w:id="30" w:name="_Toc230538210"/>
            <w:r w:rsidRPr="00A4650C">
              <w:rPr>
                <w:rFonts w:ascii="Gill Sans MT" w:hAnsi="Gill Sans MT"/>
                <w:sz w:val="18"/>
                <w:szCs w:val="18"/>
                <w:lang w:val="en-GB"/>
              </w:rPr>
              <w:t>PFM</w:t>
            </w:r>
            <w:bookmarkEnd w:id="29"/>
            <w:bookmarkEnd w:id="30"/>
          </w:p>
        </w:tc>
        <w:tc>
          <w:tcPr>
            <w:tcW w:w="7558" w:type="dxa"/>
            <w:vAlign w:val="center"/>
          </w:tcPr>
          <w:p w14:paraId="7C60E396"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 xml:space="preserve">Public Finance Management </w:t>
            </w:r>
          </w:p>
        </w:tc>
      </w:tr>
      <w:tr w:rsidR="001D4A3A" w:rsidRPr="008C51D1" w14:paraId="744236E3" w14:textId="77777777" w:rsidTr="001D4A3A">
        <w:trPr>
          <w:trHeight w:hRule="exact" w:val="454"/>
        </w:trPr>
        <w:tc>
          <w:tcPr>
            <w:tcW w:w="1509" w:type="dxa"/>
            <w:vAlign w:val="center"/>
          </w:tcPr>
          <w:p w14:paraId="484E85B8" w14:textId="77777777" w:rsidR="001D4A3A" w:rsidRPr="00A4650C" w:rsidRDefault="001D4A3A" w:rsidP="001D4A3A">
            <w:pPr>
              <w:rPr>
                <w:rFonts w:ascii="Gill Sans MT" w:hAnsi="Gill Sans MT"/>
                <w:sz w:val="18"/>
                <w:szCs w:val="18"/>
                <w:lang w:val="en-GB"/>
              </w:rPr>
            </w:pPr>
            <w:bookmarkStart w:id="31" w:name="_Toc230431075"/>
            <w:bookmarkStart w:id="32" w:name="_Toc230538212"/>
            <w:r w:rsidRPr="00A4650C">
              <w:rPr>
                <w:rFonts w:ascii="Gill Sans MT" w:hAnsi="Gill Sans MT"/>
                <w:sz w:val="18"/>
                <w:szCs w:val="18"/>
                <w:lang w:val="en-GB"/>
              </w:rPr>
              <w:t>PRSC</w:t>
            </w:r>
            <w:bookmarkEnd w:id="31"/>
            <w:bookmarkEnd w:id="32"/>
          </w:p>
        </w:tc>
        <w:tc>
          <w:tcPr>
            <w:tcW w:w="7558" w:type="dxa"/>
            <w:vAlign w:val="center"/>
          </w:tcPr>
          <w:p w14:paraId="076CCEB2"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 xml:space="preserve">Poverty Reduction Support Credit (World Bank) </w:t>
            </w:r>
          </w:p>
        </w:tc>
      </w:tr>
      <w:tr w:rsidR="001D4A3A" w:rsidRPr="00225E5A" w14:paraId="466B8C55" w14:textId="77777777" w:rsidTr="001D4A3A">
        <w:trPr>
          <w:trHeight w:hRule="exact" w:val="454"/>
        </w:trPr>
        <w:tc>
          <w:tcPr>
            <w:tcW w:w="1509" w:type="dxa"/>
            <w:vAlign w:val="center"/>
          </w:tcPr>
          <w:p w14:paraId="2B409375"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PRSP</w:t>
            </w:r>
          </w:p>
        </w:tc>
        <w:tc>
          <w:tcPr>
            <w:tcW w:w="7558" w:type="dxa"/>
            <w:vAlign w:val="center"/>
          </w:tcPr>
          <w:p w14:paraId="6765C60B" w14:textId="77777777" w:rsidR="001D4A3A" w:rsidRPr="00A4650C" w:rsidRDefault="00F80615" w:rsidP="001D4A3A">
            <w:pPr>
              <w:tabs>
                <w:tab w:val="left" w:pos="1701"/>
              </w:tabs>
              <w:spacing w:before="20" w:after="20"/>
              <w:rPr>
                <w:rFonts w:ascii="Gill Sans MT" w:hAnsi="Gill Sans MT" w:cs="Arial"/>
                <w:sz w:val="18"/>
                <w:szCs w:val="18"/>
                <w:lang w:val="en-GB"/>
              </w:rPr>
            </w:pPr>
            <w:r>
              <w:rPr>
                <w:rFonts w:ascii="Gill Sans MT" w:hAnsi="Gill Sans MT" w:cs="Arial"/>
                <w:sz w:val="18"/>
                <w:szCs w:val="18"/>
                <w:lang w:val="en-GB"/>
              </w:rPr>
              <w:t>Poverty R</w:t>
            </w:r>
            <w:r w:rsidR="001D4A3A" w:rsidRPr="00A4650C">
              <w:rPr>
                <w:rFonts w:ascii="Gill Sans MT" w:hAnsi="Gill Sans MT" w:cs="Arial"/>
                <w:sz w:val="18"/>
                <w:szCs w:val="18"/>
                <w:lang w:val="en-GB"/>
              </w:rPr>
              <w:t>eduction Strategy Paper</w:t>
            </w:r>
          </w:p>
        </w:tc>
      </w:tr>
      <w:tr w:rsidR="00E10240" w:rsidRPr="008C51D1" w14:paraId="71CB134E" w14:textId="77777777" w:rsidTr="001D4A3A">
        <w:trPr>
          <w:trHeight w:hRule="exact" w:val="454"/>
        </w:trPr>
        <w:tc>
          <w:tcPr>
            <w:tcW w:w="1509" w:type="dxa"/>
            <w:vAlign w:val="center"/>
          </w:tcPr>
          <w:p w14:paraId="26F367C8" w14:textId="77777777" w:rsidR="00E10240" w:rsidRPr="00A4650C" w:rsidRDefault="00E10240" w:rsidP="001D4A3A">
            <w:pPr>
              <w:rPr>
                <w:rFonts w:ascii="Gill Sans MT" w:hAnsi="Gill Sans MT"/>
                <w:sz w:val="18"/>
                <w:szCs w:val="18"/>
                <w:lang w:val="en-GB"/>
              </w:rPr>
            </w:pPr>
            <w:r>
              <w:rPr>
                <w:rFonts w:ascii="Gill Sans MT" w:hAnsi="Gill Sans MT"/>
                <w:sz w:val="18"/>
                <w:szCs w:val="18"/>
                <w:lang w:val="en-GB"/>
              </w:rPr>
              <w:t>RDP</w:t>
            </w:r>
          </w:p>
        </w:tc>
        <w:tc>
          <w:tcPr>
            <w:tcW w:w="7558" w:type="dxa"/>
            <w:vAlign w:val="center"/>
          </w:tcPr>
          <w:p w14:paraId="62E12165" w14:textId="77777777" w:rsidR="00E10240" w:rsidRPr="00A4650C" w:rsidRDefault="00E10240" w:rsidP="001D4A3A">
            <w:pPr>
              <w:tabs>
                <w:tab w:val="left" w:pos="1701"/>
              </w:tabs>
              <w:spacing w:before="20" w:after="20"/>
              <w:rPr>
                <w:rFonts w:ascii="Gill Sans MT" w:hAnsi="Gill Sans MT" w:cs="Arial"/>
                <w:sz w:val="18"/>
                <w:szCs w:val="18"/>
                <w:lang w:val="en-GB"/>
              </w:rPr>
            </w:pPr>
            <w:r>
              <w:rPr>
                <w:rFonts w:ascii="Gill Sans MT" w:hAnsi="Gill Sans MT" w:cs="Arial"/>
                <w:sz w:val="18"/>
                <w:szCs w:val="18"/>
                <w:lang w:val="en-GB"/>
              </w:rPr>
              <w:t>Recovery &amp; Development Programme (South Africa)</w:t>
            </w:r>
          </w:p>
        </w:tc>
      </w:tr>
      <w:tr w:rsidR="001D4A3A" w:rsidRPr="00225E5A" w14:paraId="1BBFE0C0" w14:textId="77777777" w:rsidTr="001D4A3A">
        <w:trPr>
          <w:trHeight w:hRule="exact" w:val="454"/>
        </w:trPr>
        <w:tc>
          <w:tcPr>
            <w:tcW w:w="1509" w:type="dxa"/>
            <w:vAlign w:val="center"/>
          </w:tcPr>
          <w:p w14:paraId="16B07B98"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SAG</w:t>
            </w:r>
          </w:p>
        </w:tc>
        <w:tc>
          <w:tcPr>
            <w:tcW w:w="7558" w:type="dxa"/>
            <w:vAlign w:val="center"/>
          </w:tcPr>
          <w:p w14:paraId="0B822B32"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Sector Advisory Group (Zambia)</w:t>
            </w:r>
          </w:p>
        </w:tc>
      </w:tr>
      <w:tr w:rsidR="001D4A3A" w:rsidRPr="00225E5A" w14:paraId="282FCA66" w14:textId="77777777" w:rsidTr="001D4A3A">
        <w:trPr>
          <w:trHeight w:hRule="exact" w:val="454"/>
        </w:trPr>
        <w:tc>
          <w:tcPr>
            <w:tcW w:w="1509" w:type="dxa"/>
            <w:vAlign w:val="center"/>
          </w:tcPr>
          <w:p w14:paraId="2B1DF972" w14:textId="77777777" w:rsidR="001D4A3A" w:rsidRPr="00A4650C" w:rsidRDefault="001D4A3A" w:rsidP="001D4A3A">
            <w:pPr>
              <w:rPr>
                <w:rFonts w:ascii="Gill Sans MT" w:hAnsi="Gill Sans MT"/>
                <w:sz w:val="18"/>
                <w:szCs w:val="18"/>
                <w:lang w:val="en-GB"/>
              </w:rPr>
            </w:pPr>
            <w:bookmarkStart w:id="33" w:name="_Toc230431077"/>
            <w:bookmarkStart w:id="34" w:name="_Toc230538214"/>
            <w:r w:rsidRPr="00A4650C">
              <w:rPr>
                <w:rFonts w:ascii="Gill Sans MT" w:hAnsi="Gill Sans MT"/>
                <w:sz w:val="18"/>
                <w:szCs w:val="18"/>
                <w:lang w:val="en-GB"/>
              </w:rPr>
              <w:t>SAI</w:t>
            </w:r>
            <w:bookmarkEnd w:id="33"/>
            <w:bookmarkEnd w:id="34"/>
          </w:p>
        </w:tc>
        <w:tc>
          <w:tcPr>
            <w:tcW w:w="7558" w:type="dxa"/>
            <w:vAlign w:val="center"/>
          </w:tcPr>
          <w:p w14:paraId="37F76022"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Supreme Audit Institution</w:t>
            </w:r>
          </w:p>
        </w:tc>
      </w:tr>
      <w:tr w:rsidR="001D4A3A" w:rsidRPr="00225E5A" w14:paraId="2EB50979" w14:textId="77777777" w:rsidTr="001D4A3A">
        <w:trPr>
          <w:trHeight w:hRule="exact" w:val="454"/>
        </w:trPr>
        <w:tc>
          <w:tcPr>
            <w:tcW w:w="1509" w:type="dxa"/>
            <w:vAlign w:val="center"/>
          </w:tcPr>
          <w:p w14:paraId="4C7480EC" w14:textId="77777777" w:rsidR="001D4A3A" w:rsidRPr="00A4650C" w:rsidRDefault="001D4A3A" w:rsidP="001D4A3A">
            <w:pPr>
              <w:rPr>
                <w:rFonts w:ascii="Gill Sans MT" w:hAnsi="Gill Sans MT"/>
                <w:sz w:val="18"/>
                <w:szCs w:val="18"/>
                <w:lang w:val="en-GB"/>
              </w:rPr>
            </w:pPr>
            <w:bookmarkStart w:id="35" w:name="_Toc230431078"/>
            <w:bookmarkStart w:id="36" w:name="_Toc230538215"/>
            <w:r w:rsidRPr="00A4650C">
              <w:rPr>
                <w:rFonts w:ascii="Gill Sans MT" w:hAnsi="Gill Sans MT"/>
                <w:sz w:val="18"/>
                <w:szCs w:val="18"/>
                <w:lang w:val="en-GB"/>
              </w:rPr>
              <w:t>SBS</w:t>
            </w:r>
            <w:bookmarkEnd w:id="35"/>
            <w:bookmarkEnd w:id="36"/>
          </w:p>
        </w:tc>
        <w:tc>
          <w:tcPr>
            <w:tcW w:w="7558" w:type="dxa"/>
            <w:vAlign w:val="center"/>
          </w:tcPr>
          <w:p w14:paraId="2C82BDB8"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Sector Budget Support</w:t>
            </w:r>
          </w:p>
        </w:tc>
      </w:tr>
      <w:tr w:rsidR="001D4A3A" w:rsidRPr="008C51D1" w14:paraId="324D4F1E" w14:textId="77777777" w:rsidTr="001D4A3A">
        <w:trPr>
          <w:trHeight w:hRule="exact" w:val="454"/>
        </w:trPr>
        <w:tc>
          <w:tcPr>
            <w:tcW w:w="1509" w:type="dxa"/>
            <w:vAlign w:val="center"/>
          </w:tcPr>
          <w:p w14:paraId="72392153"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Sida</w:t>
            </w:r>
          </w:p>
        </w:tc>
        <w:tc>
          <w:tcPr>
            <w:tcW w:w="7558" w:type="dxa"/>
            <w:vAlign w:val="center"/>
          </w:tcPr>
          <w:p w14:paraId="14C05A1A"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Swedish International Development Cooperation Agency</w:t>
            </w:r>
          </w:p>
        </w:tc>
      </w:tr>
      <w:tr w:rsidR="001D4A3A" w:rsidRPr="00225E5A" w14:paraId="3D6D9D91" w14:textId="77777777" w:rsidTr="001D4A3A">
        <w:trPr>
          <w:trHeight w:hRule="exact" w:val="454"/>
        </w:trPr>
        <w:tc>
          <w:tcPr>
            <w:tcW w:w="1509" w:type="dxa"/>
            <w:vAlign w:val="center"/>
          </w:tcPr>
          <w:p w14:paraId="5AE10A2A" w14:textId="77777777" w:rsidR="001D4A3A" w:rsidRPr="00A4650C" w:rsidRDefault="001D4A3A" w:rsidP="001D4A3A">
            <w:pPr>
              <w:rPr>
                <w:rFonts w:ascii="Gill Sans MT" w:hAnsi="Gill Sans MT"/>
                <w:sz w:val="18"/>
                <w:szCs w:val="18"/>
                <w:lang w:val="en-GB"/>
              </w:rPr>
            </w:pPr>
            <w:bookmarkStart w:id="37" w:name="_Toc230431080"/>
            <w:bookmarkStart w:id="38" w:name="_Toc230538217"/>
            <w:r w:rsidRPr="00A4650C">
              <w:rPr>
                <w:rFonts w:ascii="Gill Sans MT" w:hAnsi="Gill Sans MT"/>
                <w:sz w:val="18"/>
                <w:szCs w:val="18"/>
                <w:lang w:val="en-GB"/>
              </w:rPr>
              <w:t>SSA</w:t>
            </w:r>
            <w:bookmarkEnd w:id="37"/>
            <w:bookmarkEnd w:id="38"/>
          </w:p>
        </w:tc>
        <w:tc>
          <w:tcPr>
            <w:tcW w:w="7558" w:type="dxa"/>
            <w:vAlign w:val="center"/>
          </w:tcPr>
          <w:p w14:paraId="064FC60D"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Sub-Saharan Africa</w:t>
            </w:r>
          </w:p>
        </w:tc>
      </w:tr>
      <w:tr w:rsidR="001D4A3A" w:rsidRPr="00225E5A" w14:paraId="4B6521F1" w14:textId="77777777" w:rsidTr="001D4A3A">
        <w:trPr>
          <w:trHeight w:hRule="exact" w:val="454"/>
        </w:trPr>
        <w:tc>
          <w:tcPr>
            <w:tcW w:w="1509" w:type="dxa"/>
            <w:vAlign w:val="center"/>
          </w:tcPr>
          <w:p w14:paraId="31428A09"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TA</w:t>
            </w:r>
          </w:p>
        </w:tc>
        <w:tc>
          <w:tcPr>
            <w:tcW w:w="7558" w:type="dxa"/>
            <w:vAlign w:val="center"/>
          </w:tcPr>
          <w:p w14:paraId="60B6443F"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Technical Assistance</w:t>
            </w:r>
          </w:p>
        </w:tc>
      </w:tr>
      <w:tr w:rsidR="001D4A3A" w:rsidRPr="008C51D1" w14:paraId="6F90C488" w14:textId="77777777" w:rsidTr="001D4A3A">
        <w:trPr>
          <w:trHeight w:hRule="exact" w:val="454"/>
        </w:trPr>
        <w:tc>
          <w:tcPr>
            <w:tcW w:w="1509" w:type="dxa"/>
            <w:vAlign w:val="center"/>
          </w:tcPr>
          <w:p w14:paraId="01D3FA77"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TDCA</w:t>
            </w:r>
          </w:p>
        </w:tc>
        <w:tc>
          <w:tcPr>
            <w:tcW w:w="7558" w:type="dxa"/>
            <w:vAlign w:val="center"/>
          </w:tcPr>
          <w:p w14:paraId="3C3C4786"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Trade &amp; Development Cooperation Agreement</w:t>
            </w:r>
            <w:r w:rsidR="00F80615">
              <w:rPr>
                <w:rFonts w:ascii="Gill Sans MT" w:hAnsi="Gill Sans MT" w:cs="Arial"/>
                <w:sz w:val="18"/>
                <w:szCs w:val="18"/>
                <w:lang w:val="en-GB"/>
              </w:rPr>
              <w:t xml:space="preserve"> (South Africa)</w:t>
            </w:r>
            <w:r w:rsidRPr="00A4650C">
              <w:rPr>
                <w:rFonts w:ascii="Gill Sans MT" w:hAnsi="Gill Sans MT" w:cs="Arial"/>
                <w:sz w:val="18"/>
                <w:szCs w:val="18"/>
                <w:lang w:val="en-GB"/>
              </w:rPr>
              <w:t xml:space="preserve"> </w:t>
            </w:r>
          </w:p>
        </w:tc>
      </w:tr>
      <w:tr w:rsidR="001D4A3A" w:rsidRPr="00225E5A" w14:paraId="5CD2CD70" w14:textId="77777777" w:rsidTr="001D4A3A">
        <w:trPr>
          <w:trHeight w:hRule="exact" w:val="454"/>
        </w:trPr>
        <w:tc>
          <w:tcPr>
            <w:tcW w:w="1509" w:type="dxa"/>
            <w:vAlign w:val="center"/>
          </w:tcPr>
          <w:p w14:paraId="1FD098FC" w14:textId="77777777" w:rsidR="001D4A3A" w:rsidRPr="00A4650C" w:rsidRDefault="001D4A3A" w:rsidP="001D4A3A">
            <w:pPr>
              <w:rPr>
                <w:rFonts w:ascii="Gill Sans MT" w:hAnsi="Gill Sans MT"/>
                <w:sz w:val="18"/>
                <w:szCs w:val="18"/>
                <w:lang w:val="en-GB"/>
              </w:rPr>
            </w:pPr>
            <w:bookmarkStart w:id="39" w:name="_Toc230431083"/>
            <w:bookmarkStart w:id="40" w:name="_Toc230538220"/>
            <w:r w:rsidRPr="00A4650C">
              <w:rPr>
                <w:rFonts w:ascii="Gill Sans MT" w:hAnsi="Gill Sans MT"/>
                <w:sz w:val="18"/>
                <w:szCs w:val="18"/>
                <w:lang w:val="en-GB"/>
              </w:rPr>
              <w:t>WB</w:t>
            </w:r>
            <w:bookmarkEnd w:id="39"/>
            <w:bookmarkEnd w:id="40"/>
          </w:p>
        </w:tc>
        <w:tc>
          <w:tcPr>
            <w:tcW w:w="7558" w:type="dxa"/>
            <w:vAlign w:val="center"/>
          </w:tcPr>
          <w:p w14:paraId="2089AD87"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World Bank</w:t>
            </w:r>
          </w:p>
        </w:tc>
      </w:tr>
      <w:tr w:rsidR="001D4A3A" w:rsidRPr="00225E5A" w14:paraId="0556C938" w14:textId="77777777" w:rsidTr="001D4A3A">
        <w:trPr>
          <w:trHeight w:hRule="exact" w:val="454"/>
        </w:trPr>
        <w:tc>
          <w:tcPr>
            <w:tcW w:w="1509" w:type="dxa"/>
            <w:vAlign w:val="center"/>
          </w:tcPr>
          <w:p w14:paraId="1E2020C6"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WDI</w:t>
            </w:r>
          </w:p>
        </w:tc>
        <w:tc>
          <w:tcPr>
            <w:tcW w:w="7558" w:type="dxa"/>
            <w:vAlign w:val="center"/>
          </w:tcPr>
          <w:p w14:paraId="519612A9"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World Development Indicators</w:t>
            </w:r>
          </w:p>
        </w:tc>
      </w:tr>
      <w:tr w:rsidR="001D4A3A" w:rsidRPr="00225E5A" w14:paraId="1E04E083" w14:textId="77777777" w:rsidTr="001D4A3A">
        <w:trPr>
          <w:trHeight w:hRule="exact" w:val="454"/>
        </w:trPr>
        <w:tc>
          <w:tcPr>
            <w:tcW w:w="1509" w:type="dxa"/>
            <w:vAlign w:val="center"/>
          </w:tcPr>
          <w:p w14:paraId="6D722B6E" w14:textId="77777777" w:rsidR="001D4A3A" w:rsidRPr="00A4650C" w:rsidRDefault="001D4A3A" w:rsidP="001D4A3A">
            <w:pPr>
              <w:rPr>
                <w:rFonts w:ascii="Gill Sans MT" w:hAnsi="Gill Sans MT"/>
                <w:sz w:val="18"/>
                <w:szCs w:val="18"/>
                <w:lang w:val="en-GB"/>
              </w:rPr>
            </w:pPr>
            <w:r w:rsidRPr="00A4650C">
              <w:rPr>
                <w:rFonts w:ascii="Gill Sans MT" w:hAnsi="Gill Sans MT"/>
                <w:sz w:val="18"/>
                <w:szCs w:val="18"/>
                <w:lang w:val="en-GB"/>
              </w:rPr>
              <w:t>WGI</w:t>
            </w:r>
          </w:p>
        </w:tc>
        <w:tc>
          <w:tcPr>
            <w:tcW w:w="7558" w:type="dxa"/>
            <w:vAlign w:val="center"/>
          </w:tcPr>
          <w:p w14:paraId="4FF8FCBE" w14:textId="77777777" w:rsidR="001D4A3A" w:rsidRPr="00A4650C" w:rsidRDefault="001D4A3A" w:rsidP="001D4A3A">
            <w:pPr>
              <w:tabs>
                <w:tab w:val="left" w:pos="1701"/>
              </w:tabs>
              <w:spacing w:before="20" w:after="20"/>
              <w:rPr>
                <w:rFonts w:ascii="Gill Sans MT" w:hAnsi="Gill Sans MT" w:cs="Arial"/>
                <w:sz w:val="18"/>
                <w:szCs w:val="18"/>
                <w:lang w:val="en-GB"/>
              </w:rPr>
            </w:pPr>
            <w:r w:rsidRPr="00A4650C">
              <w:rPr>
                <w:rFonts w:ascii="Gill Sans MT" w:hAnsi="Gill Sans MT" w:cs="Arial"/>
                <w:sz w:val="18"/>
                <w:szCs w:val="18"/>
                <w:lang w:val="en-GB"/>
              </w:rPr>
              <w:t>Worldwide Governance Indicators</w:t>
            </w:r>
          </w:p>
        </w:tc>
      </w:tr>
    </w:tbl>
    <w:p w14:paraId="3C25D31D" w14:textId="77777777" w:rsidR="00A54B14" w:rsidRPr="00372CF5" w:rsidRDefault="00A54B14" w:rsidP="001D4A3A">
      <w:pPr>
        <w:rPr>
          <w:sz w:val="18"/>
          <w:szCs w:val="18"/>
          <w:lang w:val="en-GB"/>
        </w:rPr>
      </w:pPr>
    </w:p>
    <w:p w14:paraId="1220CAFE" w14:textId="77777777" w:rsidR="00B75D82" w:rsidRPr="00372CF5" w:rsidRDefault="00B75D82" w:rsidP="003E5C79">
      <w:pPr>
        <w:ind w:left="5040" w:hanging="5040"/>
        <w:rPr>
          <w:sz w:val="18"/>
          <w:szCs w:val="18"/>
          <w:lang w:val="en-GB"/>
        </w:rPr>
        <w:sectPr w:rsidR="00B75D82" w:rsidRPr="00372CF5" w:rsidSect="00713B82">
          <w:pgSz w:w="11909" w:h="16834" w:code="9"/>
          <w:pgMar w:top="1440" w:right="1800" w:bottom="1440" w:left="1800" w:header="720" w:footer="720" w:gutter="0"/>
          <w:cols w:space="720"/>
          <w:docGrid w:linePitch="360"/>
        </w:sectPr>
      </w:pPr>
    </w:p>
    <w:p w14:paraId="0F182261" w14:textId="77777777" w:rsidR="00042E69" w:rsidRDefault="000F36CF" w:rsidP="00CC5E88">
      <w:pPr>
        <w:jc w:val="center"/>
        <w:outlineLvl w:val="0"/>
        <w:rPr>
          <w:rFonts w:ascii="Gill Sans MT" w:hAnsi="Gill Sans MT" w:cs="Arial"/>
          <w:b/>
          <w:bCs/>
          <w:color w:val="990099"/>
          <w:sz w:val="25"/>
          <w:szCs w:val="25"/>
          <w:lang w:val="en-GB"/>
        </w:rPr>
      </w:pPr>
      <w:r w:rsidRPr="00372CF5">
        <w:rPr>
          <w:rFonts w:ascii="Gill Sans MT" w:hAnsi="Gill Sans MT" w:cs="Arial"/>
          <w:b/>
          <w:bCs/>
          <w:color w:val="990099"/>
          <w:sz w:val="25"/>
          <w:szCs w:val="25"/>
          <w:lang w:val="en-GB"/>
        </w:rPr>
        <w:lastRenderedPageBreak/>
        <w:t>T</w:t>
      </w:r>
      <w:r w:rsidR="00810FFD" w:rsidRPr="00372CF5">
        <w:rPr>
          <w:rFonts w:ascii="Gill Sans MT" w:hAnsi="Gill Sans MT" w:cs="Arial"/>
          <w:b/>
          <w:bCs/>
          <w:color w:val="990099"/>
          <w:sz w:val="25"/>
          <w:szCs w:val="25"/>
          <w:lang w:val="en-GB"/>
        </w:rPr>
        <w:t>able</w:t>
      </w:r>
      <w:r w:rsidRPr="00372CF5">
        <w:rPr>
          <w:rFonts w:ascii="Gill Sans MT" w:hAnsi="Gill Sans MT" w:cs="Arial"/>
          <w:b/>
          <w:bCs/>
          <w:color w:val="990099"/>
          <w:sz w:val="25"/>
          <w:szCs w:val="25"/>
          <w:lang w:val="en-GB"/>
        </w:rPr>
        <w:t xml:space="preserve"> </w:t>
      </w:r>
      <w:r w:rsidR="00810FFD" w:rsidRPr="00372CF5">
        <w:rPr>
          <w:rFonts w:ascii="Gill Sans MT" w:hAnsi="Gill Sans MT" w:cs="Arial"/>
          <w:b/>
          <w:bCs/>
          <w:color w:val="990099"/>
          <w:sz w:val="25"/>
          <w:szCs w:val="25"/>
          <w:lang w:val="en-GB"/>
        </w:rPr>
        <w:t>of</w:t>
      </w:r>
      <w:r w:rsidRPr="00372CF5">
        <w:rPr>
          <w:rFonts w:ascii="Gill Sans MT" w:hAnsi="Gill Sans MT" w:cs="Arial"/>
          <w:b/>
          <w:bCs/>
          <w:color w:val="990099"/>
          <w:sz w:val="25"/>
          <w:szCs w:val="25"/>
          <w:lang w:val="en-GB"/>
        </w:rPr>
        <w:t xml:space="preserve"> C</w:t>
      </w:r>
      <w:r w:rsidR="00810FFD" w:rsidRPr="00372CF5">
        <w:rPr>
          <w:rFonts w:ascii="Gill Sans MT" w:hAnsi="Gill Sans MT" w:cs="Arial"/>
          <w:b/>
          <w:bCs/>
          <w:color w:val="990099"/>
          <w:sz w:val="25"/>
          <w:szCs w:val="25"/>
          <w:lang w:val="en-GB"/>
        </w:rPr>
        <w:t>ontents</w:t>
      </w:r>
    </w:p>
    <w:p w14:paraId="2BEBAE3E" w14:textId="77777777" w:rsidR="004C0FEA" w:rsidRPr="00372CF5" w:rsidRDefault="004C0FEA" w:rsidP="00CC5E88">
      <w:pPr>
        <w:jc w:val="center"/>
        <w:outlineLvl w:val="0"/>
        <w:rPr>
          <w:rFonts w:ascii="Gill Sans MT" w:hAnsi="Gill Sans MT" w:cs="Arial"/>
          <w:b/>
          <w:bCs/>
          <w:color w:val="990099"/>
          <w:sz w:val="25"/>
          <w:szCs w:val="25"/>
          <w:lang w:val="en-GB"/>
        </w:rPr>
      </w:pPr>
    </w:p>
    <w:p w14:paraId="007A516D" w14:textId="77777777" w:rsidR="00291B88" w:rsidRDefault="00291B88">
      <w:pPr>
        <w:pStyle w:val="TOC1"/>
        <w:tabs>
          <w:tab w:val="right" w:leader="dot" w:pos="8299"/>
        </w:tabs>
        <w:rPr>
          <w:rFonts w:asciiTheme="minorHAnsi" w:eastAsiaTheme="minorEastAsia" w:hAnsiTheme="minorHAnsi" w:cstheme="minorBidi"/>
          <w:b w:val="0"/>
          <w:caps w:val="0"/>
          <w:noProof/>
          <w:sz w:val="24"/>
          <w:szCs w:val="24"/>
          <w:lang w:val="en-US" w:eastAsia="ja-JP"/>
        </w:rPr>
      </w:pPr>
      <w:r>
        <w:rPr>
          <w:rFonts w:ascii="Gill Sans MT" w:hAnsi="Gill Sans MT" w:cs="Arial"/>
          <w:b w:val="0"/>
          <w:bCs/>
          <w:lang w:val="en-GB"/>
        </w:rPr>
        <w:fldChar w:fldCharType="begin"/>
      </w:r>
      <w:r>
        <w:rPr>
          <w:rFonts w:ascii="Gill Sans MT" w:hAnsi="Gill Sans MT" w:cs="Arial"/>
          <w:b w:val="0"/>
          <w:bCs/>
          <w:lang w:val="en-GB"/>
        </w:rPr>
        <w:instrText xml:space="preserve"> TOC \o "1-2" </w:instrText>
      </w:r>
      <w:r>
        <w:rPr>
          <w:rFonts w:ascii="Gill Sans MT" w:hAnsi="Gill Sans MT" w:cs="Arial"/>
          <w:b w:val="0"/>
          <w:bCs/>
          <w:lang w:val="en-GB"/>
        </w:rPr>
        <w:fldChar w:fldCharType="separate"/>
      </w:r>
      <w:r>
        <w:rPr>
          <w:noProof/>
        </w:rPr>
        <w:t>Executive Summary</w:t>
      </w:r>
      <w:r>
        <w:rPr>
          <w:noProof/>
        </w:rPr>
        <w:tab/>
      </w:r>
      <w:r>
        <w:rPr>
          <w:noProof/>
        </w:rPr>
        <w:fldChar w:fldCharType="begin"/>
      </w:r>
      <w:r>
        <w:rPr>
          <w:noProof/>
        </w:rPr>
        <w:instrText xml:space="preserve"> PAGEREF _Toc279848232 \h </w:instrText>
      </w:r>
      <w:r>
        <w:rPr>
          <w:noProof/>
        </w:rPr>
      </w:r>
      <w:r>
        <w:rPr>
          <w:noProof/>
        </w:rPr>
        <w:fldChar w:fldCharType="separate"/>
      </w:r>
      <w:r>
        <w:rPr>
          <w:noProof/>
        </w:rPr>
        <w:t>9</w:t>
      </w:r>
      <w:r>
        <w:rPr>
          <w:noProof/>
        </w:rPr>
        <w:fldChar w:fldCharType="end"/>
      </w:r>
    </w:p>
    <w:p w14:paraId="6F926A02" w14:textId="77777777" w:rsidR="00291B88" w:rsidRDefault="00291B88">
      <w:pPr>
        <w:pStyle w:val="TOC2"/>
        <w:tabs>
          <w:tab w:val="right" w:leader="dot" w:pos="8299"/>
        </w:tabs>
        <w:rPr>
          <w:rFonts w:asciiTheme="minorHAnsi" w:eastAsiaTheme="minorEastAsia" w:hAnsiTheme="minorHAnsi" w:cstheme="minorBidi"/>
          <w:smallCaps w:val="0"/>
          <w:noProof/>
          <w:sz w:val="24"/>
          <w:szCs w:val="24"/>
          <w:lang w:val="en-US" w:eastAsia="ja-JP"/>
        </w:rPr>
      </w:pPr>
      <w:r w:rsidRPr="00994A8A">
        <w:rPr>
          <w:noProof/>
        </w:rPr>
        <w:t>Summary of Key Findings</w:t>
      </w:r>
      <w:r>
        <w:rPr>
          <w:noProof/>
        </w:rPr>
        <w:tab/>
      </w:r>
      <w:r>
        <w:rPr>
          <w:noProof/>
        </w:rPr>
        <w:fldChar w:fldCharType="begin"/>
      </w:r>
      <w:r>
        <w:rPr>
          <w:noProof/>
        </w:rPr>
        <w:instrText xml:space="preserve"> PAGEREF _Toc279848233 \h </w:instrText>
      </w:r>
      <w:r>
        <w:rPr>
          <w:noProof/>
        </w:rPr>
      </w:r>
      <w:r>
        <w:rPr>
          <w:noProof/>
        </w:rPr>
        <w:fldChar w:fldCharType="separate"/>
      </w:r>
      <w:r>
        <w:rPr>
          <w:noProof/>
        </w:rPr>
        <w:t>9</w:t>
      </w:r>
      <w:r>
        <w:rPr>
          <w:noProof/>
        </w:rPr>
        <w:fldChar w:fldCharType="end"/>
      </w:r>
    </w:p>
    <w:p w14:paraId="5EF9BD65" w14:textId="77777777" w:rsidR="00291B88" w:rsidRDefault="00291B88">
      <w:pPr>
        <w:pStyle w:val="TOC2"/>
        <w:tabs>
          <w:tab w:val="right" w:leader="dot" w:pos="8299"/>
        </w:tabs>
        <w:rPr>
          <w:rFonts w:asciiTheme="minorHAnsi" w:eastAsiaTheme="minorEastAsia" w:hAnsiTheme="minorHAnsi" w:cstheme="minorBidi"/>
          <w:smallCaps w:val="0"/>
          <w:noProof/>
          <w:sz w:val="24"/>
          <w:szCs w:val="24"/>
          <w:lang w:val="en-US" w:eastAsia="ja-JP"/>
        </w:rPr>
      </w:pPr>
      <w:r w:rsidRPr="00994A8A">
        <w:rPr>
          <w:noProof/>
        </w:rPr>
        <w:t>Lessons learned</w:t>
      </w:r>
      <w:r>
        <w:rPr>
          <w:noProof/>
        </w:rPr>
        <w:tab/>
      </w:r>
      <w:r>
        <w:rPr>
          <w:noProof/>
        </w:rPr>
        <w:fldChar w:fldCharType="begin"/>
      </w:r>
      <w:r>
        <w:rPr>
          <w:noProof/>
        </w:rPr>
        <w:instrText xml:space="preserve"> PAGEREF _Toc279848234 \h </w:instrText>
      </w:r>
      <w:r>
        <w:rPr>
          <w:noProof/>
        </w:rPr>
      </w:r>
      <w:r>
        <w:rPr>
          <w:noProof/>
        </w:rPr>
        <w:fldChar w:fldCharType="separate"/>
      </w:r>
      <w:r>
        <w:rPr>
          <w:noProof/>
        </w:rPr>
        <w:t>11</w:t>
      </w:r>
      <w:r>
        <w:rPr>
          <w:noProof/>
        </w:rPr>
        <w:fldChar w:fldCharType="end"/>
      </w:r>
    </w:p>
    <w:p w14:paraId="2DE3BC03" w14:textId="77777777" w:rsidR="00291B88" w:rsidRDefault="00291B88">
      <w:pPr>
        <w:pStyle w:val="TOC2"/>
        <w:tabs>
          <w:tab w:val="right" w:leader="dot" w:pos="8299"/>
        </w:tabs>
        <w:rPr>
          <w:rFonts w:asciiTheme="minorHAnsi" w:eastAsiaTheme="minorEastAsia" w:hAnsiTheme="minorHAnsi" w:cstheme="minorBidi"/>
          <w:smallCaps w:val="0"/>
          <w:noProof/>
          <w:sz w:val="24"/>
          <w:szCs w:val="24"/>
          <w:lang w:val="en-US" w:eastAsia="ja-JP"/>
        </w:rPr>
      </w:pPr>
      <w:r w:rsidRPr="00994A8A">
        <w:rPr>
          <w:noProof/>
        </w:rPr>
        <w:t>Recommendations</w:t>
      </w:r>
      <w:r>
        <w:rPr>
          <w:noProof/>
        </w:rPr>
        <w:tab/>
      </w:r>
      <w:r>
        <w:rPr>
          <w:noProof/>
        </w:rPr>
        <w:fldChar w:fldCharType="begin"/>
      </w:r>
      <w:r>
        <w:rPr>
          <w:noProof/>
        </w:rPr>
        <w:instrText xml:space="preserve"> PAGEREF _Toc279848235 \h </w:instrText>
      </w:r>
      <w:r>
        <w:rPr>
          <w:noProof/>
        </w:rPr>
      </w:r>
      <w:r>
        <w:rPr>
          <w:noProof/>
        </w:rPr>
        <w:fldChar w:fldCharType="separate"/>
      </w:r>
      <w:r>
        <w:rPr>
          <w:noProof/>
        </w:rPr>
        <w:t>12</w:t>
      </w:r>
      <w:r>
        <w:rPr>
          <w:noProof/>
        </w:rPr>
        <w:fldChar w:fldCharType="end"/>
      </w:r>
    </w:p>
    <w:p w14:paraId="14B07D49" w14:textId="77777777" w:rsidR="00291B88" w:rsidRDefault="00291B88">
      <w:pPr>
        <w:pStyle w:val="TOC1"/>
        <w:tabs>
          <w:tab w:val="right" w:leader="dot" w:pos="8299"/>
        </w:tabs>
        <w:rPr>
          <w:rFonts w:asciiTheme="minorHAnsi" w:eastAsiaTheme="minorEastAsia" w:hAnsiTheme="minorHAnsi" w:cstheme="minorBidi"/>
          <w:b w:val="0"/>
          <w:caps w:val="0"/>
          <w:noProof/>
          <w:sz w:val="24"/>
          <w:szCs w:val="24"/>
          <w:lang w:val="en-US" w:eastAsia="ja-JP"/>
        </w:rPr>
      </w:pPr>
      <w:r>
        <w:rPr>
          <w:noProof/>
        </w:rPr>
        <w:t>1. Introduction: Background, Objectives &amp; Methodology</w:t>
      </w:r>
      <w:r>
        <w:rPr>
          <w:noProof/>
        </w:rPr>
        <w:tab/>
      </w:r>
      <w:r>
        <w:rPr>
          <w:noProof/>
        </w:rPr>
        <w:fldChar w:fldCharType="begin"/>
      </w:r>
      <w:r>
        <w:rPr>
          <w:noProof/>
        </w:rPr>
        <w:instrText xml:space="preserve"> PAGEREF _Toc279848236 \h </w:instrText>
      </w:r>
      <w:r>
        <w:rPr>
          <w:noProof/>
        </w:rPr>
      </w:r>
      <w:r>
        <w:rPr>
          <w:noProof/>
        </w:rPr>
        <w:fldChar w:fldCharType="separate"/>
      </w:r>
      <w:r>
        <w:rPr>
          <w:noProof/>
        </w:rPr>
        <w:t>14</w:t>
      </w:r>
      <w:r>
        <w:rPr>
          <w:noProof/>
        </w:rPr>
        <w:fldChar w:fldCharType="end"/>
      </w:r>
    </w:p>
    <w:p w14:paraId="51C303DA" w14:textId="77777777" w:rsidR="00291B88" w:rsidRDefault="00291B88">
      <w:pPr>
        <w:pStyle w:val="TOC2"/>
        <w:tabs>
          <w:tab w:val="left" w:pos="769"/>
          <w:tab w:val="right" w:leader="dot" w:pos="8299"/>
        </w:tabs>
        <w:rPr>
          <w:rFonts w:asciiTheme="minorHAnsi" w:eastAsiaTheme="minorEastAsia" w:hAnsiTheme="minorHAnsi" w:cstheme="minorBidi"/>
          <w:smallCaps w:val="0"/>
          <w:noProof/>
          <w:sz w:val="24"/>
          <w:szCs w:val="24"/>
          <w:lang w:val="en-US" w:eastAsia="ja-JP"/>
        </w:rPr>
      </w:pPr>
      <w:r w:rsidRPr="00994A8A">
        <w:rPr>
          <w:noProof/>
        </w:rPr>
        <w:t>1.1</w:t>
      </w:r>
      <w:r>
        <w:rPr>
          <w:rFonts w:asciiTheme="minorHAnsi" w:eastAsiaTheme="minorEastAsia" w:hAnsiTheme="minorHAnsi" w:cstheme="minorBidi"/>
          <w:smallCaps w:val="0"/>
          <w:noProof/>
          <w:sz w:val="24"/>
          <w:szCs w:val="24"/>
          <w:lang w:val="en-US" w:eastAsia="ja-JP"/>
        </w:rPr>
        <w:tab/>
      </w:r>
      <w:r w:rsidRPr="00994A8A">
        <w:rPr>
          <w:noProof/>
        </w:rPr>
        <w:t>Objectives and Scope of the Synthesis</w:t>
      </w:r>
      <w:r>
        <w:rPr>
          <w:noProof/>
        </w:rPr>
        <w:tab/>
      </w:r>
      <w:r>
        <w:rPr>
          <w:noProof/>
        </w:rPr>
        <w:fldChar w:fldCharType="begin"/>
      </w:r>
      <w:r>
        <w:rPr>
          <w:noProof/>
        </w:rPr>
        <w:instrText xml:space="preserve"> PAGEREF _Toc279848237 \h </w:instrText>
      </w:r>
      <w:r>
        <w:rPr>
          <w:noProof/>
        </w:rPr>
      </w:r>
      <w:r>
        <w:rPr>
          <w:noProof/>
        </w:rPr>
        <w:fldChar w:fldCharType="separate"/>
      </w:r>
      <w:r>
        <w:rPr>
          <w:noProof/>
        </w:rPr>
        <w:t>14</w:t>
      </w:r>
      <w:r>
        <w:rPr>
          <w:noProof/>
        </w:rPr>
        <w:fldChar w:fldCharType="end"/>
      </w:r>
    </w:p>
    <w:p w14:paraId="4177B416" w14:textId="77777777" w:rsidR="00291B88" w:rsidRDefault="00291B88">
      <w:pPr>
        <w:pStyle w:val="TOC2"/>
        <w:tabs>
          <w:tab w:val="left" w:pos="769"/>
          <w:tab w:val="right" w:leader="dot" w:pos="8299"/>
        </w:tabs>
        <w:rPr>
          <w:rFonts w:asciiTheme="minorHAnsi" w:eastAsiaTheme="minorEastAsia" w:hAnsiTheme="minorHAnsi" w:cstheme="minorBidi"/>
          <w:smallCaps w:val="0"/>
          <w:noProof/>
          <w:sz w:val="24"/>
          <w:szCs w:val="24"/>
          <w:lang w:val="en-US" w:eastAsia="ja-JP"/>
        </w:rPr>
      </w:pPr>
      <w:r w:rsidRPr="00994A8A">
        <w:rPr>
          <w:noProof/>
        </w:rPr>
        <w:t>1.2</w:t>
      </w:r>
      <w:r>
        <w:rPr>
          <w:rFonts w:asciiTheme="minorHAnsi" w:eastAsiaTheme="minorEastAsia" w:hAnsiTheme="minorHAnsi" w:cstheme="minorBidi"/>
          <w:smallCaps w:val="0"/>
          <w:noProof/>
          <w:sz w:val="24"/>
          <w:szCs w:val="24"/>
          <w:lang w:val="en-US" w:eastAsia="ja-JP"/>
        </w:rPr>
        <w:tab/>
      </w:r>
      <w:r w:rsidRPr="00994A8A">
        <w:rPr>
          <w:noProof/>
        </w:rPr>
        <w:t>The definition of Budget Support, its modus operandi and the logic of the 3 Step Approach</w:t>
      </w:r>
      <w:r>
        <w:rPr>
          <w:noProof/>
        </w:rPr>
        <w:tab/>
      </w:r>
      <w:r>
        <w:rPr>
          <w:noProof/>
        </w:rPr>
        <w:fldChar w:fldCharType="begin"/>
      </w:r>
      <w:r>
        <w:rPr>
          <w:noProof/>
        </w:rPr>
        <w:instrText xml:space="preserve"> PAGEREF _Toc279848238 \h </w:instrText>
      </w:r>
      <w:r>
        <w:rPr>
          <w:noProof/>
        </w:rPr>
      </w:r>
      <w:r>
        <w:rPr>
          <w:noProof/>
        </w:rPr>
        <w:fldChar w:fldCharType="separate"/>
      </w:r>
      <w:r>
        <w:rPr>
          <w:noProof/>
        </w:rPr>
        <w:t>16</w:t>
      </w:r>
      <w:r>
        <w:rPr>
          <w:noProof/>
        </w:rPr>
        <w:fldChar w:fldCharType="end"/>
      </w:r>
    </w:p>
    <w:p w14:paraId="28448D6E" w14:textId="77777777" w:rsidR="00291B88" w:rsidRDefault="00291B88">
      <w:pPr>
        <w:pStyle w:val="TOC2"/>
        <w:tabs>
          <w:tab w:val="left" w:pos="769"/>
          <w:tab w:val="right" w:leader="dot" w:pos="8299"/>
        </w:tabs>
        <w:rPr>
          <w:rFonts w:asciiTheme="minorHAnsi" w:eastAsiaTheme="minorEastAsia" w:hAnsiTheme="minorHAnsi" w:cstheme="minorBidi"/>
          <w:smallCaps w:val="0"/>
          <w:noProof/>
          <w:sz w:val="24"/>
          <w:szCs w:val="24"/>
          <w:lang w:val="en-US" w:eastAsia="ja-JP"/>
        </w:rPr>
      </w:pPr>
      <w:r w:rsidRPr="00994A8A">
        <w:rPr>
          <w:noProof/>
        </w:rPr>
        <w:t>1.3</w:t>
      </w:r>
      <w:r>
        <w:rPr>
          <w:rFonts w:asciiTheme="minorHAnsi" w:eastAsiaTheme="minorEastAsia" w:hAnsiTheme="minorHAnsi" w:cstheme="minorBidi"/>
          <w:smallCaps w:val="0"/>
          <w:noProof/>
          <w:sz w:val="24"/>
          <w:szCs w:val="24"/>
          <w:lang w:val="en-US" w:eastAsia="ja-JP"/>
        </w:rPr>
        <w:tab/>
      </w:r>
      <w:r w:rsidRPr="00994A8A">
        <w:rPr>
          <w:noProof/>
        </w:rPr>
        <w:t>Approach to the synthesis task and its potential limitations</w:t>
      </w:r>
      <w:r>
        <w:rPr>
          <w:noProof/>
        </w:rPr>
        <w:tab/>
      </w:r>
      <w:r>
        <w:rPr>
          <w:noProof/>
        </w:rPr>
        <w:fldChar w:fldCharType="begin"/>
      </w:r>
      <w:r>
        <w:rPr>
          <w:noProof/>
        </w:rPr>
        <w:instrText xml:space="preserve"> PAGEREF _Toc279848239 \h </w:instrText>
      </w:r>
      <w:r>
        <w:rPr>
          <w:noProof/>
        </w:rPr>
      </w:r>
      <w:r>
        <w:rPr>
          <w:noProof/>
        </w:rPr>
        <w:fldChar w:fldCharType="separate"/>
      </w:r>
      <w:r>
        <w:rPr>
          <w:noProof/>
        </w:rPr>
        <w:t>20</w:t>
      </w:r>
      <w:r>
        <w:rPr>
          <w:noProof/>
        </w:rPr>
        <w:fldChar w:fldCharType="end"/>
      </w:r>
    </w:p>
    <w:p w14:paraId="68F27BD7" w14:textId="77777777" w:rsidR="00291B88" w:rsidRDefault="00291B88">
      <w:pPr>
        <w:pStyle w:val="TOC2"/>
        <w:tabs>
          <w:tab w:val="left" w:pos="769"/>
          <w:tab w:val="right" w:leader="dot" w:pos="8299"/>
        </w:tabs>
        <w:rPr>
          <w:rFonts w:asciiTheme="minorHAnsi" w:eastAsiaTheme="minorEastAsia" w:hAnsiTheme="minorHAnsi" w:cstheme="minorBidi"/>
          <w:smallCaps w:val="0"/>
          <w:noProof/>
          <w:sz w:val="24"/>
          <w:szCs w:val="24"/>
          <w:lang w:val="en-US" w:eastAsia="ja-JP"/>
        </w:rPr>
      </w:pPr>
      <w:r w:rsidRPr="00994A8A">
        <w:rPr>
          <w:noProof/>
        </w:rPr>
        <w:t>1.4</w:t>
      </w:r>
      <w:r>
        <w:rPr>
          <w:rFonts w:asciiTheme="minorHAnsi" w:eastAsiaTheme="minorEastAsia" w:hAnsiTheme="minorHAnsi" w:cstheme="minorBidi"/>
          <w:smallCaps w:val="0"/>
          <w:noProof/>
          <w:sz w:val="24"/>
          <w:szCs w:val="24"/>
          <w:lang w:val="en-US" w:eastAsia="ja-JP"/>
        </w:rPr>
        <w:tab/>
      </w:r>
      <w:r w:rsidRPr="00994A8A">
        <w:rPr>
          <w:noProof/>
        </w:rPr>
        <w:t>Structure of the Report</w:t>
      </w:r>
      <w:r>
        <w:rPr>
          <w:noProof/>
        </w:rPr>
        <w:tab/>
      </w:r>
      <w:r>
        <w:rPr>
          <w:noProof/>
        </w:rPr>
        <w:fldChar w:fldCharType="begin"/>
      </w:r>
      <w:r>
        <w:rPr>
          <w:noProof/>
        </w:rPr>
        <w:instrText xml:space="preserve"> PAGEREF _Toc279848240 \h </w:instrText>
      </w:r>
      <w:r>
        <w:rPr>
          <w:noProof/>
        </w:rPr>
      </w:r>
      <w:r>
        <w:rPr>
          <w:noProof/>
        </w:rPr>
        <w:fldChar w:fldCharType="separate"/>
      </w:r>
      <w:r>
        <w:rPr>
          <w:noProof/>
        </w:rPr>
        <w:t>22</w:t>
      </w:r>
      <w:r>
        <w:rPr>
          <w:noProof/>
        </w:rPr>
        <w:fldChar w:fldCharType="end"/>
      </w:r>
    </w:p>
    <w:p w14:paraId="3985E0DD" w14:textId="77777777" w:rsidR="00291B88" w:rsidRDefault="00291B88">
      <w:pPr>
        <w:pStyle w:val="TOC1"/>
        <w:tabs>
          <w:tab w:val="right" w:leader="dot" w:pos="8299"/>
        </w:tabs>
        <w:rPr>
          <w:rFonts w:asciiTheme="minorHAnsi" w:eastAsiaTheme="minorEastAsia" w:hAnsiTheme="minorHAnsi" w:cstheme="minorBidi"/>
          <w:b w:val="0"/>
          <w:caps w:val="0"/>
          <w:noProof/>
          <w:sz w:val="24"/>
          <w:szCs w:val="24"/>
          <w:lang w:val="en-US" w:eastAsia="ja-JP"/>
        </w:rPr>
      </w:pPr>
      <w:r>
        <w:rPr>
          <w:noProof/>
        </w:rPr>
        <w:t>2. Budget Support to Low Income Countries</w:t>
      </w:r>
      <w:r>
        <w:rPr>
          <w:noProof/>
        </w:rPr>
        <w:tab/>
      </w:r>
      <w:r>
        <w:rPr>
          <w:noProof/>
        </w:rPr>
        <w:fldChar w:fldCharType="begin"/>
      </w:r>
      <w:r>
        <w:rPr>
          <w:noProof/>
        </w:rPr>
        <w:instrText xml:space="preserve"> PAGEREF _Toc279848241 \h </w:instrText>
      </w:r>
      <w:r>
        <w:rPr>
          <w:noProof/>
        </w:rPr>
      </w:r>
      <w:r>
        <w:rPr>
          <w:noProof/>
        </w:rPr>
        <w:fldChar w:fldCharType="separate"/>
      </w:r>
      <w:r>
        <w:rPr>
          <w:noProof/>
        </w:rPr>
        <w:t>23</w:t>
      </w:r>
      <w:r>
        <w:rPr>
          <w:noProof/>
        </w:rPr>
        <w:fldChar w:fldCharType="end"/>
      </w:r>
    </w:p>
    <w:p w14:paraId="60105E7E" w14:textId="77777777" w:rsidR="00291B88" w:rsidRDefault="00291B88">
      <w:pPr>
        <w:pStyle w:val="TOC2"/>
        <w:tabs>
          <w:tab w:val="right" w:leader="dot" w:pos="8299"/>
        </w:tabs>
        <w:rPr>
          <w:rFonts w:asciiTheme="minorHAnsi" w:eastAsiaTheme="minorEastAsia" w:hAnsiTheme="minorHAnsi" w:cstheme="minorBidi"/>
          <w:smallCaps w:val="0"/>
          <w:noProof/>
          <w:sz w:val="24"/>
          <w:szCs w:val="24"/>
          <w:lang w:val="en-US" w:eastAsia="ja-JP"/>
        </w:rPr>
      </w:pPr>
      <w:r w:rsidRPr="00994A8A">
        <w:rPr>
          <w:noProof/>
        </w:rPr>
        <w:t>2.1 The context for Budget Support</w:t>
      </w:r>
      <w:r>
        <w:rPr>
          <w:noProof/>
        </w:rPr>
        <w:tab/>
      </w:r>
      <w:r>
        <w:rPr>
          <w:noProof/>
        </w:rPr>
        <w:fldChar w:fldCharType="begin"/>
      </w:r>
      <w:r>
        <w:rPr>
          <w:noProof/>
        </w:rPr>
        <w:instrText xml:space="preserve"> PAGEREF _Toc279848242 \h </w:instrText>
      </w:r>
      <w:r>
        <w:rPr>
          <w:noProof/>
        </w:rPr>
      </w:r>
      <w:r>
        <w:rPr>
          <w:noProof/>
        </w:rPr>
        <w:fldChar w:fldCharType="separate"/>
      </w:r>
      <w:r>
        <w:rPr>
          <w:noProof/>
        </w:rPr>
        <w:t>23</w:t>
      </w:r>
      <w:r>
        <w:rPr>
          <w:noProof/>
        </w:rPr>
        <w:fldChar w:fldCharType="end"/>
      </w:r>
    </w:p>
    <w:p w14:paraId="6F05EA4D" w14:textId="77777777" w:rsidR="00291B88" w:rsidRDefault="00291B88">
      <w:pPr>
        <w:pStyle w:val="TOC2"/>
        <w:tabs>
          <w:tab w:val="right" w:leader="dot" w:pos="8299"/>
        </w:tabs>
        <w:rPr>
          <w:rFonts w:asciiTheme="minorHAnsi" w:eastAsiaTheme="minorEastAsia" w:hAnsiTheme="minorHAnsi" w:cstheme="minorBidi"/>
          <w:smallCaps w:val="0"/>
          <w:noProof/>
          <w:sz w:val="24"/>
          <w:szCs w:val="24"/>
          <w:lang w:val="en-US" w:eastAsia="ja-JP"/>
        </w:rPr>
      </w:pPr>
      <w:r w:rsidRPr="00994A8A">
        <w:rPr>
          <w:noProof/>
        </w:rPr>
        <w:t>2.2 The mechanisms for implementation of Budget Support</w:t>
      </w:r>
      <w:r>
        <w:rPr>
          <w:noProof/>
        </w:rPr>
        <w:tab/>
      </w:r>
      <w:r>
        <w:rPr>
          <w:noProof/>
        </w:rPr>
        <w:fldChar w:fldCharType="begin"/>
      </w:r>
      <w:r>
        <w:rPr>
          <w:noProof/>
        </w:rPr>
        <w:instrText xml:space="preserve"> PAGEREF _Toc279848243 \h </w:instrText>
      </w:r>
      <w:r>
        <w:rPr>
          <w:noProof/>
        </w:rPr>
      </w:r>
      <w:r>
        <w:rPr>
          <w:noProof/>
        </w:rPr>
        <w:fldChar w:fldCharType="separate"/>
      </w:r>
      <w:r>
        <w:rPr>
          <w:noProof/>
        </w:rPr>
        <w:t>30</w:t>
      </w:r>
      <w:r>
        <w:rPr>
          <w:noProof/>
        </w:rPr>
        <w:fldChar w:fldCharType="end"/>
      </w:r>
    </w:p>
    <w:p w14:paraId="50FA86B4" w14:textId="77777777" w:rsidR="00291B88" w:rsidRDefault="00291B88">
      <w:pPr>
        <w:pStyle w:val="TOC2"/>
        <w:tabs>
          <w:tab w:val="right" w:leader="dot" w:pos="8299"/>
        </w:tabs>
        <w:rPr>
          <w:rFonts w:asciiTheme="minorHAnsi" w:eastAsiaTheme="minorEastAsia" w:hAnsiTheme="minorHAnsi" w:cstheme="minorBidi"/>
          <w:smallCaps w:val="0"/>
          <w:noProof/>
          <w:sz w:val="24"/>
          <w:szCs w:val="24"/>
          <w:lang w:val="en-US" w:eastAsia="ja-JP"/>
        </w:rPr>
      </w:pPr>
      <w:r w:rsidRPr="00994A8A">
        <w:rPr>
          <w:noProof/>
        </w:rPr>
        <w:t>2.3 Outcomes achieved: Induced Outputs, Outcomes &amp; Impacts</w:t>
      </w:r>
      <w:r>
        <w:rPr>
          <w:noProof/>
        </w:rPr>
        <w:tab/>
      </w:r>
      <w:r>
        <w:rPr>
          <w:noProof/>
        </w:rPr>
        <w:fldChar w:fldCharType="begin"/>
      </w:r>
      <w:r>
        <w:rPr>
          <w:noProof/>
        </w:rPr>
        <w:instrText xml:space="preserve"> PAGEREF _Toc279848244 \h </w:instrText>
      </w:r>
      <w:r>
        <w:rPr>
          <w:noProof/>
        </w:rPr>
      </w:r>
      <w:r>
        <w:rPr>
          <w:noProof/>
        </w:rPr>
        <w:fldChar w:fldCharType="separate"/>
      </w:r>
      <w:r>
        <w:rPr>
          <w:noProof/>
        </w:rPr>
        <w:t>38</w:t>
      </w:r>
      <w:r>
        <w:rPr>
          <w:noProof/>
        </w:rPr>
        <w:fldChar w:fldCharType="end"/>
      </w:r>
    </w:p>
    <w:p w14:paraId="360E959C" w14:textId="77777777" w:rsidR="00291B88" w:rsidRDefault="00291B88">
      <w:pPr>
        <w:pStyle w:val="TOC2"/>
        <w:tabs>
          <w:tab w:val="right" w:leader="dot" w:pos="8299"/>
        </w:tabs>
        <w:rPr>
          <w:rFonts w:asciiTheme="minorHAnsi" w:eastAsiaTheme="minorEastAsia" w:hAnsiTheme="minorHAnsi" w:cstheme="minorBidi"/>
          <w:smallCaps w:val="0"/>
          <w:noProof/>
          <w:sz w:val="24"/>
          <w:szCs w:val="24"/>
          <w:lang w:val="en-US" w:eastAsia="ja-JP"/>
        </w:rPr>
      </w:pPr>
      <w:r w:rsidRPr="00994A8A">
        <w:rPr>
          <w:noProof/>
        </w:rPr>
        <w:t>2.4 Conclusions on the experience of budget support in LICs</w:t>
      </w:r>
      <w:r>
        <w:rPr>
          <w:noProof/>
        </w:rPr>
        <w:tab/>
      </w:r>
      <w:r>
        <w:rPr>
          <w:noProof/>
        </w:rPr>
        <w:fldChar w:fldCharType="begin"/>
      </w:r>
      <w:r>
        <w:rPr>
          <w:noProof/>
        </w:rPr>
        <w:instrText xml:space="preserve"> PAGEREF _Toc279848245 \h </w:instrText>
      </w:r>
      <w:r>
        <w:rPr>
          <w:noProof/>
        </w:rPr>
      </w:r>
      <w:r>
        <w:rPr>
          <w:noProof/>
        </w:rPr>
        <w:fldChar w:fldCharType="separate"/>
      </w:r>
      <w:r>
        <w:rPr>
          <w:noProof/>
        </w:rPr>
        <w:t>48</w:t>
      </w:r>
      <w:r>
        <w:rPr>
          <w:noProof/>
        </w:rPr>
        <w:fldChar w:fldCharType="end"/>
      </w:r>
    </w:p>
    <w:p w14:paraId="688E62ED" w14:textId="77777777" w:rsidR="00291B88" w:rsidRDefault="00291B88">
      <w:pPr>
        <w:pStyle w:val="TOC1"/>
        <w:tabs>
          <w:tab w:val="right" w:leader="dot" w:pos="8299"/>
        </w:tabs>
        <w:rPr>
          <w:rFonts w:asciiTheme="minorHAnsi" w:eastAsiaTheme="minorEastAsia" w:hAnsiTheme="minorHAnsi" w:cstheme="minorBidi"/>
          <w:b w:val="0"/>
          <w:caps w:val="0"/>
          <w:noProof/>
          <w:sz w:val="24"/>
          <w:szCs w:val="24"/>
          <w:lang w:val="en-US" w:eastAsia="ja-JP"/>
        </w:rPr>
      </w:pPr>
      <w:r>
        <w:rPr>
          <w:noProof/>
        </w:rPr>
        <w:t>3.  Budget Support to Middle Income Countries</w:t>
      </w:r>
      <w:r>
        <w:rPr>
          <w:noProof/>
        </w:rPr>
        <w:tab/>
      </w:r>
      <w:r>
        <w:rPr>
          <w:noProof/>
        </w:rPr>
        <w:fldChar w:fldCharType="begin"/>
      </w:r>
      <w:r>
        <w:rPr>
          <w:noProof/>
        </w:rPr>
        <w:instrText xml:space="preserve"> PAGEREF _Toc279848246 \h </w:instrText>
      </w:r>
      <w:r>
        <w:rPr>
          <w:noProof/>
        </w:rPr>
      </w:r>
      <w:r>
        <w:rPr>
          <w:noProof/>
        </w:rPr>
        <w:fldChar w:fldCharType="separate"/>
      </w:r>
      <w:r>
        <w:rPr>
          <w:noProof/>
        </w:rPr>
        <w:t>54</w:t>
      </w:r>
      <w:r>
        <w:rPr>
          <w:noProof/>
        </w:rPr>
        <w:fldChar w:fldCharType="end"/>
      </w:r>
    </w:p>
    <w:p w14:paraId="39761576" w14:textId="77777777" w:rsidR="00291B88" w:rsidRDefault="00291B88">
      <w:pPr>
        <w:pStyle w:val="TOC2"/>
        <w:tabs>
          <w:tab w:val="left" w:pos="769"/>
          <w:tab w:val="right" w:leader="dot" w:pos="8299"/>
        </w:tabs>
        <w:rPr>
          <w:rFonts w:asciiTheme="minorHAnsi" w:eastAsiaTheme="minorEastAsia" w:hAnsiTheme="minorHAnsi" w:cstheme="minorBidi"/>
          <w:smallCaps w:val="0"/>
          <w:noProof/>
          <w:sz w:val="24"/>
          <w:szCs w:val="24"/>
          <w:lang w:val="en-US" w:eastAsia="ja-JP"/>
        </w:rPr>
      </w:pPr>
      <w:r w:rsidRPr="00994A8A">
        <w:rPr>
          <w:noProof/>
        </w:rPr>
        <w:t>3.1</w:t>
      </w:r>
      <w:r>
        <w:rPr>
          <w:rFonts w:asciiTheme="minorHAnsi" w:eastAsiaTheme="minorEastAsia" w:hAnsiTheme="minorHAnsi" w:cstheme="minorBidi"/>
          <w:smallCaps w:val="0"/>
          <w:noProof/>
          <w:sz w:val="24"/>
          <w:szCs w:val="24"/>
          <w:lang w:val="en-US" w:eastAsia="ja-JP"/>
        </w:rPr>
        <w:tab/>
      </w:r>
      <w:r w:rsidRPr="00994A8A">
        <w:rPr>
          <w:noProof/>
        </w:rPr>
        <w:t>The context for Budget Support in the MICs</w:t>
      </w:r>
      <w:r>
        <w:rPr>
          <w:noProof/>
        </w:rPr>
        <w:tab/>
      </w:r>
      <w:r>
        <w:rPr>
          <w:noProof/>
        </w:rPr>
        <w:fldChar w:fldCharType="begin"/>
      </w:r>
      <w:r>
        <w:rPr>
          <w:noProof/>
        </w:rPr>
        <w:instrText xml:space="preserve"> PAGEREF _Toc279848247 \h </w:instrText>
      </w:r>
      <w:r>
        <w:rPr>
          <w:noProof/>
        </w:rPr>
      </w:r>
      <w:r>
        <w:rPr>
          <w:noProof/>
        </w:rPr>
        <w:fldChar w:fldCharType="separate"/>
      </w:r>
      <w:r>
        <w:rPr>
          <w:noProof/>
        </w:rPr>
        <w:t>54</w:t>
      </w:r>
      <w:r>
        <w:rPr>
          <w:noProof/>
        </w:rPr>
        <w:fldChar w:fldCharType="end"/>
      </w:r>
    </w:p>
    <w:p w14:paraId="022210E9" w14:textId="77777777" w:rsidR="00291B88" w:rsidRDefault="00291B88">
      <w:pPr>
        <w:pStyle w:val="TOC2"/>
        <w:tabs>
          <w:tab w:val="left" w:pos="769"/>
          <w:tab w:val="right" w:leader="dot" w:pos="8299"/>
        </w:tabs>
        <w:rPr>
          <w:rFonts w:asciiTheme="minorHAnsi" w:eastAsiaTheme="minorEastAsia" w:hAnsiTheme="minorHAnsi" w:cstheme="minorBidi"/>
          <w:smallCaps w:val="0"/>
          <w:noProof/>
          <w:sz w:val="24"/>
          <w:szCs w:val="24"/>
          <w:lang w:val="en-US" w:eastAsia="ja-JP"/>
        </w:rPr>
      </w:pPr>
      <w:r w:rsidRPr="00994A8A">
        <w:rPr>
          <w:noProof/>
        </w:rPr>
        <w:t>3.2</w:t>
      </w:r>
      <w:r>
        <w:rPr>
          <w:rFonts w:asciiTheme="minorHAnsi" w:eastAsiaTheme="minorEastAsia" w:hAnsiTheme="minorHAnsi" w:cstheme="minorBidi"/>
          <w:smallCaps w:val="0"/>
          <w:noProof/>
          <w:sz w:val="24"/>
          <w:szCs w:val="24"/>
          <w:lang w:val="en-US" w:eastAsia="ja-JP"/>
        </w:rPr>
        <w:tab/>
      </w:r>
      <w:r w:rsidRPr="00994A8A">
        <w:rPr>
          <w:noProof/>
        </w:rPr>
        <w:t>The mechanisms for implementation of budget support</w:t>
      </w:r>
      <w:r>
        <w:rPr>
          <w:noProof/>
        </w:rPr>
        <w:tab/>
      </w:r>
      <w:r>
        <w:rPr>
          <w:noProof/>
        </w:rPr>
        <w:fldChar w:fldCharType="begin"/>
      </w:r>
      <w:r>
        <w:rPr>
          <w:noProof/>
        </w:rPr>
        <w:instrText xml:space="preserve"> PAGEREF _Toc279848248 \h </w:instrText>
      </w:r>
      <w:r>
        <w:rPr>
          <w:noProof/>
        </w:rPr>
      </w:r>
      <w:r>
        <w:rPr>
          <w:noProof/>
        </w:rPr>
        <w:fldChar w:fldCharType="separate"/>
      </w:r>
      <w:r>
        <w:rPr>
          <w:noProof/>
        </w:rPr>
        <w:t>58</w:t>
      </w:r>
      <w:r>
        <w:rPr>
          <w:noProof/>
        </w:rPr>
        <w:fldChar w:fldCharType="end"/>
      </w:r>
    </w:p>
    <w:p w14:paraId="6FEF613B" w14:textId="77777777" w:rsidR="00291B88" w:rsidRDefault="00291B88">
      <w:pPr>
        <w:pStyle w:val="TOC2"/>
        <w:tabs>
          <w:tab w:val="left" w:pos="769"/>
          <w:tab w:val="right" w:leader="dot" w:pos="8299"/>
        </w:tabs>
        <w:rPr>
          <w:rFonts w:asciiTheme="minorHAnsi" w:eastAsiaTheme="minorEastAsia" w:hAnsiTheme="minorHAnsi" w:cstheme="minorBidi"/>
          <w:smallCaps w:val="0"/>
          <w:noProof/>
          <w:sz w:val="24"/>
          <w:szCs w:val="24"/>
          <w:lang w:val="en-US" w:eastAsia="ja-JP"/>
        </w:rPr>
      </w:pPr>
      <w:r w:rsidRPr="00994A8A">
        <w:rPr>
          <w:noProof/>
        </w:rPr>
        <w:t>3.3</w:t>
      </w:r>
      <w:r>
        <w:rPr>
          <w:rFonts w:asciiTheme="minorHAnsi" w:eastAsiaTheme="minorEastAsia" w:hAnsiTheme="minorHAnsi" w:cstheme="minorBidi"/>
          <w:smallCaps w:val="0"/>
          <w:noProof/>
          <w:sz w:val="24"/>
          <w:szCs w:val="24"/>
          <w:lang w:val="en-US" w:eastAsia="ja-JP"/>
        </w:rPr>
        <w:tab/>
      </w:r>
      <w:r w:rsidRPr="00994A8A">
        <w:rPr>
          <w:noProof/>
        </w:rPr>
        <w:t>Outcomes achieved: Induced Outputs, Outcomes and Impacts</w:t>
      </w:r>
      <w:r>
        <w:rPr>
          <w:noProof/>
        </w:rPr>
        <w:tab/>
      </w:r>
      <w:r>
        <w:rPr>
          <w:noProof/>
        </w:rPr>
        <w:fldChar w:fldCharType="begin"/>
      </w:r>
      <w:r>
        <w:rPr>
          <w:noProof/>
        </w:rPr>
        <w:instrText xml:space="preserve"> PAGEREF _Toc279848249 \h </w:instrText>
      </w:r>
      <w:r>
        <w:rPr>
          <w:noProof/>
        </w:rPr>
      </w:r>
      <w:r>
        <w:rPr>
          <w:noProof/>
        </w:rPr>
        <w:fldChar w:fldCharType="separate"/>
      </w:r>
      <w:r>
        <w:rPr>
          <w:noProof/>
        </w:rPr>
        <w:t>64</w:t>
      </w:r>
      <w:r>
        <w:rPr>
          <w:noProof/>
        </w:rPr>
        <w:fldChar w:fldCharType="end"/>
      </w:r>
    </w:p>
    <w:p w14:paraId="4D72032E" w14:textId="77777777" w:rsidR="00291B88" w:rsidRDefault="00291B88">
      <w:pPr>
        <w:pStyle w:val="TOC2"/>
        <w:tabs>
          <w:tab w:val="left" w:pos="769"/>
          <w:tab w:val="right" w:leader="dot" w:pos="8299"/>
        </w:tabs>
        <w:rPr>
          <w:rFonts w:asciiTheme="minorHAnsi" w:eastAsiaTheme="minorEastAsia" w:hAnsiTheme="minorHAnsi" w:cstheme="minorBidi"/>
          <w:smallCaps w:val="0"/>
          <w:noProof/>
          <w:sz w:val="24"/>
          <w:szCs w:val="24"/>
          <w:lang w:val="en-US" w:eastAsia="ja-JP"/>
        </w:rPr>
      </w:pPr>
      <w:r w:rsidRPr="00994A8A">
        <w:rPr>
          <w:noProof/>
        </w:rPr>
        <w:t>3.4</w:t>
      </w:r>
      <w:r>
        <w:rPr>
          <w:rFonts w:asciiTheme="minorHAnsi" w:eastAsiaTheme="minorEastAsia" w:hAnsiTheme="minorHAnsi" w:cstheme="minorBidi"/>
          <w:smallCaps w:val="0"/>
          <w:noProof/>
          <w:sz w:val="24"/>
          <w:szCs w:val="24"/>
          <w:lang w:val="en-US" w:eastAsia="ja-JP"/>
        </w:rPr>
        <w:tab/>
      </w:r>
      <w:r w:rsidRPr="00994A8A">
        <w:rPr>
          <w:noProof/>
        </w:rPr>
        <w:t>Overall Conclusions on Budget Support in MICs</w:t>
      </w:r>
      <w:r>
        <w:rPr>
          <w:noProof/>
        </w:rPr>
        <w:tab/>
      </w:r>
      <w:r>
        <w:rPr>
          <w:noProof/>
        </w:rPr>
        <w:fldChar w:fldCharType="begin"/>
      </w:r>
      <w:r>
        <w:rPr>
          <w:noProof/>
        </w:rPr>
        <w:instrText xml:space="preserve"> PAGEREF _Toc279848250 \h </w:instrText>
      </w:r>
      <w:r>
        <w:rPr>
          <w:noProof/>
        </w:rPr>
      </w:r>
      <w:r>
        <w:rPr>
          <w:noProof/>
        </w:rPr>
        <w:fldChar w:fldCharType="separate"/>
      </w:r>
      <w:r>
        <w:rPr>
          <w:noProof/>
        </w:rPr>
        <w:t>69</w:t>
      </w:r>
      <w:r>
        <w:rPr>
          <w:noProof/>
        </w:rPr>
        <w:fldChar w:fldCharType="end"/>
      </w:r>
    </w:p>
    <w:p w14:paraId="29F0D819" w14:textId="77777777" w:rsidR="00291B88" w:rsidRDefault="00291B88">
      <w:pPr>
        <w:pStyle w:val="TOC1"/>
        <w:tabs>
          <w:tab w:val="right" w:leader="dot" w:pos="8299"/>
        </w:tabs>
        <w:rPr>
          <w:rFonts w:asciiTheme="minorHAnsi" w:eastAsiaTheme="minorEastAsia" w:hAnsiTheme="minorHAnsi" w:cstheme="minorBidi"/>
          <w:b w:val="0"/>
          <w:caps w:val="0"/>
          <w:noProof/>
          <w:sz w:val="24"/>
          <w:szCs w:val="24"/>
          <w:lang w:val="en-US" w:eastAsia="ja-JP"/>
        </w:rPr>
      </w:pPr>
      <w:r>
        <w:rPr>
          <w:noProof/>
        </w:rPr>
        <w:t>4. Lessons Learned and Final Recommendations</w:t>
      </w:r>
      <w:r>
        <w:rPr>
          <w:noProof/>
        </w:rPr>
        <w:tab/>
      </w:r>
      <w:r>
        <w:rPr>
          <w:noProof/>
        </w:rPr>
        <w:fldChar w:fldCharType="begin"/>
      </w:r>
      <w:r>
        <w:rPr>
          <w:noProof/>
        </w:rPr>
        <w:instrText xml:space="preserve"> PAGEREF _Toc279848251 \h </w:instrText>
      </w:r>
      <w:r>
        <w:rPr>
          <w:noProof/>
        </w:rPr>
      </w:r>
      <w:r>
        <w:rPr>
          <w:noProof/>
        </w:rPr>
        <w:fldChar w:fldCharType="separate"/>
      </w:r>
      <w:r>
        <w:rPr>
          <w:noProof/>
        </w:rPr>
        <w:t>75</w:t>
      </w:r>
      <w:r>
        <w:rPr>
          <w:noProof/>
        </w:rPr>
        <w:fldChar w:fldCharType="end"/>
      </w:r>
    </w:p>
    <w:p w14:paraId="179F0F80" w14:textId="77777777" w:rsidR="00291B88" w:rsidRDefault="00291B88">
      <w:pPr>
        <w:pStyle w:val="TOC2"/>
        <w:tabs>
          <w:tab w:val="left" w:pos="769"/>
          <w:tab w:val="right" w:leader="dot" w:pos="8299"/>
        </w:tabs>
        <w:rPr>
          <w:rFonts w:asciiTheme="minorHAnsi" w:eastAsiaTheme="minorEastAsia" w:hAnsiTheme="minorHAnsi" w:cstheme="minorBidi"/>
          <w:smallCaps w:val="0"/>
          <w:noProof/>
          <w:sz w:val="24"/>
          <w:szCs w:val="24"/>
          <w:lang w:val="en-US" w:eastAsia="ja-JP"/>
        </w:rPr>
      </w:pPr>
      <w:r w:rsidRPr="00994A8A">
        <w:rPr>
          <w:noProof/>
        </w:rPr>
        <w:t>4.1</w:t>
      </w:r>
      <w:r>
        <w:rPr>
          <w:rFonts w:asciiTheme="minorHAnsi" w:eastAsiaTheme="minorEastAsia" w:hAnsiTheme="minorHAnsi" w:cstheme="minorBidi"/>
          <w:smallCaps w:val="0"/>
          <w:noProof/>
          <w:sz w:val="24"/>
          <w:szCs w:val="24"/>
          <w:lang w:val="en-US" w:eastAsia="ja-JP"/>
        </w:rPr>
        <w:tab/>
      </w:r>
      <w:r w:rsidRPr="00994A8A">
        <w:rPr>
          <w:noProof/>
        </w:rPr>
        <w:t>Achievements to date and challenges for the future</w:t>
      </w:r>
      <w:r>
        <w:rPr>
          <w:noProof/>
        </w:rPr>
        <w:tab/>
      </w:r>
      <w:r>
        <w:rPr>
          <w:noProof/>
        </w:rPr>
        <w:fldChar w:fldCharType="begin"/>
      </w:r>
      <w:r>
        <w:rPr>
          <w:noProof/>
        </w:rPr>
        <w:instrText xml:space="preserve"> PAGEREF _Toc279848252 \h </w:instrText>
      </w:r>
      <w:r>
        <w:rPr>
          <w:noProof/>
        </w:rPr>
      </w:r>
      <w:r>
        <w:rPr>
          <w:noProof/>
        </w:rPr>
        <w:fldChar w:fldCharType="separate"/>
      </w:r>
      <w:r>
        <w:rPr>
          <w:noProof/>
        </w:rPr>
        <w:t>75</w:t>
      </w:r>
      <w:r>
        <w:rPr>
          <w:noProof/>
        </w:rPr>
        <w:fldChar w:fldCharType="end"/>
      </w:r>
    </w:p>
    <w:p w14:paraId="4C2261DD" w14:textId="77777777" w:rsidR="00291B88" w:rsidRDefault="00291B88">
      <w:pPr>
        <w:pStyle w:val="TOC2"/>
        <w:tabs>
          <w:tab w:val="left" w:pos="769"/>
          <w:tab w:val="right" w:leader="dot" w:pos="8299"/>
        </w:tabs>
        <w:rPr>
          <w:rFonts w:asciiTheme="minorHAnsi" w:eastAsiaTheme="minorEastAsia" w:hAnsiTheme="minorHAnsi" w:cstheme="minorBidi"/>
          <w:smallCaps w:val="0"/>
          <w:noProof/>
          <w:sz w:val="24"/>
          <w:szCs w:val="24"/>
          <w:lang w:val="en-US" w:eastAsia="ja-JP"/>
        </w:rPr>
      </w:pPr>
      <w:r w:rsidRPr="00994A8A">
        <w:rPr>
          <w:noProof/>
        </w:rPr>
        <w:t>4.2</w:t>
      </w:r>
      <w:r>
        <w:rPr>
          <w:rFonts w:asciiTheme="minorHAnsi" w:eastAsiaTheme="minorEastAsia" w:hAnsiTheme="minorHAnsi" w:cstheme="minorBidi"/>
          <w:smallCaps w:val="0"/>
          <w:noProof/>
          <w:sz w:val="24"/>
          <w:szCs w:val="24"/>
          <w:lang w:val="en-US" w:eastAsia="ja-JP"/>
        </w:rPr>
        <w:tab/>
      </w:r>
      <w:r w:rsidRPr="00994A8A">
        <w:rPr>
          <w:noProof/>
        </w:rPr>
        <w:t>Lessons learned on the requirements for effective Budget Support</w:t>
      </w:r>
      <w:r>
        <w:rPr>
          <w:noProof/>
        </w:rPr>
        <w:tab/>
      </w:r>
      <w:r>
        <w:rPr>
          <w:noProof/>
        </w:rPr>
        <w:fldChar w:fldCharType="begin"/>
      </w:r>
      <w:r>
        <w:rPr>
          <w:noProof/>
        </w:rPr>
        <w:instrText xml:space="preserve"> PAGEREF _Toc279848253 \h </w:instrText>
      </w:r>
      <w:r>
        <w:rPr>
          <w:noProof/>
        </w:rPr>
      </w:r>
      <w:r>
        <w:rPr>
          <w:noProof/>
        </w:rPr>
        <w:fldChar w:fldCharType="separate"/>
      </w:r>
      <w:r>
        <w:rPr>
          <w:noProof/>
        </w:rPr>
        <w:t>77</w:t>
      </w:r>
      <w:r>
        <w:rPr>
          <w:noProof/>
        </w:rPr>
        <w:fldChar w:fldCharType="end"/>
      </w:r>
    </w:p>
    <w:p w14:paraId="5E11363F" w14:textId="77777777" w:rsidR="00291B88" w:rsidRDefault="00291B88">
      <w:pPr>
        <w:pStyle w:val="TOC2"/>
        <w:tabs>
          <w:tab w:val="left" w:pos="769"/>
          <w:tab w:val="right" w:leader="dot" w:pos="8299"/>
        </w:tabs>
        <w:rPr>
          <w:rFonts w:asciiTheme="minorHAnsi" w:eastAsiaTheme="minorEastAsia" w:hAnsiTheme="minorHAnsi" w:cstheme="minorBidi"/>
          <w:smallCaps w:val="0"/>
          <w:noProof/>
          <w:sz w:val="24"/>
          <w:szCs w:val="24"/>
          <w:lang w:val="en-US" w:eastAsia="ja-JP"/>
        </w:rPr>
      </w:pPr>
      <w:r w:rsidRPr="00994A8A">
        <w:rPr>
          <w:noProof/>
        </w:rPr>
        <w:t>4.3</w:t>
      </w:r>
      <w:r>
        <w:rPr>
          <w:rFonts w:asciiTheme="minorHAnsi" w:eastAsiaTheme="minorEastAsia" w:hAnsiTheme="minorHAnsi" w:cstheme="minorBidi"/>
          <w:smallCaps w:val="0"/>
          <w:noProof/>
          <w:sz w:val="24"/>
          <w:szCs w:val="24"/>
          <w:lang w:val="en-US" w:eastAsia="ja-JP"/>
        </w:rPr>
        <w:tab/>
      </w:r>
      <w:r w:rsidRPr="00994A8A">
        <w:rPr>
          <w:noProof/>
        </w:rPr>
        <w:t>The choice of General or Sector Budget Support</w:t>
      </w:r>
      <w:r>
        <w:rPr>
          <w:noProof/>
        </w:rPr>
        <w:tab/>
      </w:r>
      <w:r>
        <w:rPr>
          <w:noProof/>
        </w:rPr>
        <w:fldChar w:fldCharType="begin"/>
      </w:r>
      <w:r>
        <w:rPr>
          <w:noProof/>
        </w:rPr>
        <w:instrText xml:space="preserve"> PAGEREF _Toc279848254 \h </w:instrText>
      </w:r>
      <w:r>
        <w:rPr>
          <w:noProof/>
        </w:rPr>
      </w:r>
      <w:r>
        <w:rPr>
          <w:noProof/>
        </w:rPr>
        <w:fldChar w:fldCharType="separate"/>
      </w:r>
      <w:r>
        <w:rPr>
          <w:noProof/>
        </w:rPr>
        <w:t>80</w:t>
      </w:r>
      <w:r>
        <w:rPr>
          <w:noProof/>
        </w:rPr>
        <w:fldChar w:fldCharType="end"/>
      </w:r>
    </w:p>
    <w:p w14:paraId="555AFC5B" w14:textId="77777777" w:rsidR="00291B88" w:rsidRDefault="00291B88">
      <w:pPr>
        <w:pStyle w:val="TOC2"/>
        <w:tabs>
          <w:tab w:val="left" w:pos="769"/>
          <w:tab w:val="right" w:leader="dot" w:pos="8299"/>
        </w:tabs>
        <w:rPr>
          <w:rFonts w:asciiTheme="minorHAnsi" w:eastAsiaTheme="minorEastAsia" w:hAnsiTheme="minorHAnsi" w:cstheme="minorBidi"/>
          <w:smallCaps w:val="0"/>
          <w:noProof/>
          <w:sz w:val="24"/>
          <w:szCs w:val="24"/>
          <w:lang w:val="en-US" w:eastAsia="ja-JP"/>
        </w:rPr>
      </w:pPr>
      <w:r w:rsidRPr="00994A8A">
        <w:rPr>
          <w:noProof/>
        </w:rPr>
        <w:t>4.4</w:t>
      </w:r>
      <w:r>
        <w:rPr>
          <w:rFonts w:asciiTheme="minorHAnsi" w:eastAsiaTheme="minorEastAsia" w:hAnsiTheme="minorHAnsi" w:cstheme="minorBidi"/>
          <w:smallCaps w:val="0"/>
          <w:noProof/>
          <w:sz w:val="24"/>
          <w:szCs w:val="24"/>
          <w:lang w:val="en-US" w:eastAsia="ja-JP"/>
        </w:rPr>
        <w:tab/>
      </w:r>
      <w:r w:rsidRPr="00994A8A">
        <w:rPr>
          <w:noProof/>
        </w:rPr>
        <w:t>Recommendations for the Way Forward</w:t>
      </w:r>
      <w:r>
        <w:rPr>
          <w:noProof/>
        </w:rPr>
        <w:tab/>
      </w:r>
      <w:r>
        <w:rPr>
          <w:noProof/>
        </w:rPr>
        <w:fldChar w:fldCharType="begin"/>
      </w:r>
      <w:r>
        <w:rPr>
          <w:noProof/>
        </w:rPr>
        <w:instrText xml:space="preserve"> PAGEREF _Toc279848255 \h </w:instrText>
      </w:r>
      <w:r>
        <w:rPr>
          <w:noProof/>
        </w:rPr>
      </w:r>
      <w:r>
        <w:rPr>
          <w:noProof/>
        </w:rPr>
        <w:fldChar w:fldCharType="separate"/>
      </w:r>
      <w:r>
        <w:rPr>
          <w:noProof/>
        </w:rPr>
        <w:t>82</w:t>
      </w:r>
      <w:r>
        <w:rPr>
          <w:noProof/>
        </w:rPr>
        <w:fldChar w:fldCharType="end"/>
      </w:r>
    </w:p>
    <w:p w14:paraId="1E90175C" w14:textId="77777777" w:rsidR="00291B88" w:rsidRDefault="00291B88">
      <w:pPr>
        <w:pStyle w:val="TOC1"/>
        <w:tabs>
          <w:tab w:val="right" w:leader="dot" w:pos="8299"/>
        </w:tabs>
        <w:rPr>
          <w:rFonts w:asciiTheme="minorHAnsi" w:eastAsiaTheme="minorEastAsia" w:hAnsiTheme="minorHAnsi" w:cstheme="minorBidi"/>
          <w:b w:val="0"/>
          <w:caps w:val="0"/>
          <w:noProof/>
          <w:sz w:val="24"/>
          <w:szCs w:val="24"/>
          <w:lang w:val="en-US" w:eastAsia="ja-JP"/>
        </w:rPr>
      </w:pPr>
      <w:r>
        <w:rPr>
          <w:noProof/>
        </w:rPr>
        <w:t>Bibliography</w:t>
      </w:r>
      <w:r>
        <w:rPr>
          <w:noProof/>
        </w:rPr>
        <w:tab/>
      </w:r>
      <w:r>
        <w:rPr>
          <w:noProof/>
        </w:rPr>
        <w:fldChar w:fldCharType="begin"/>
      </w:r>
      <w:r>
        <w:rPr>
          <w:noProof/>
        </w:rPr>
        <w:instrText xml:space="preserve"> PAGEREF _Toc279848256 \h </w:instrText>
      </w:r>
      <w:r>
        <w:rPr>
          <w:noProof/>
        </w:rPr>
      </w:r>
      <w:r>
        <w:rPr>
          <w:noProof/>
        </w:rPr>
        <w:fldChar w:fldCharType="separate"/>
      </w:r>
      <w:r>
        <w:rPr>
          <w:noProof/>
        </w:rPr>
        <w:t>90</w:t>
      </w:r>
      <w:r>
        <w:rPr>
          <w:noProof/>
        </w:rPr>
        <w:fldChar w:fldCharType="end"/>
      </w:r>
    </w:p>
    <w:p w14:paraId="18DCF845" w14:textId="77777777" w:rsidR="00291B88" w:rsidRDefault="00291B88">
      <w:pPr>
        <w:pStyle w:val="TOC1"/>
        <w:tabs>
          <w:tab w:val="left" w:pos="1132"/>
          <w:tab w:val="right" w:leader="dot" w:pos="8299"/>
        </w:tabs>
        <w:rPr>
          <w:rFonts w:asciiTheme="minorHAnsi" w:eastAsiaTheme="minorEastAsia" w:hAnsiTheme="minorHAnsi" w:cstheme="minorBidi"/>
          <w:b w:val="0"/>
          <w:caps w:val="0"/>
          <w:noProof/>
          <w:sz w:val="24"/>
          <w:szCs w:val="24"/>
          <w:lang w:val="en-US" w:eastAsia="ja-JP"/>
        </w:rPr>
      </w:pPr>
      <w:r>
        <w:rPr>
          <w:noProof/>
        </w:rPr>
        <w:t>Annex I:</w:t>
      </w:r>
      <w:r>
        <w:rPr>
          <w:rFonts w:asciiTheme="minorHAnsi" w:eastAsiaTheme="minorEastAsia" w:hAnsiTheme="minorHAnsi" w:cstheme="minorBidi"/>
          <w:b w:val="0"/>
          <w:caps w:val="0"/>
          <w:noProof/>
          <w:sz w:val="24"/>
          <w:szCs w:val="24"/>
          <w:lang w:val="en-US" w:eastAsia="ja-JP"/>
        </w:rPr>
        <w:tab/>
      </w:r>
      <w:r>
        <w:rPr>
          <w:noProof/>
        </w:rPr>
        <w:t xml:space="preserve"> Listing of Country Evaluations of Budget Support undertaken to date</w:t>
      </w:r>
      <w:r>
        <w:rPr>
          <w:noProof/>
        </w:rPr>
        <w:tab/>
      </w:r>
      <w:r>
        <w:rPr>
          <w:noProof/>
        </w:rPr>
        <w:fldChar w:fldCharType="begin"/>
      </w:r>
      <w:r>
        <w:rPr>
          <w:noProof/>
        </w:rPr>
        <w:instrText xml:space="preserve"> PAGEREF _Toc279848257 \h </w:instrText>
      </w:r>
      <w:r>
        <w:rPr>
          <w:noProof/>
        </w:rPr>
      </w:r>
      <w:r>
        <w:rPr>
          <w:noProof/>
        </w:rPr>
        <w:fldChar w:fldCharType="separate"/>
      </w:r>
      <w:r>
        <w:rPr>
          <w:noProof/>
        </w:rPr>
        <w:t>92</w:t>
      </w:r>
      <w:r>
        <w:rPr>
          <w:noProof/>
        </w:rPr>
        <w:fldChar w:fldCharType="end"/>
      </w:r>
    </w:p>
    <w:p w14:paraId="702D2C5B" w14:textId="77777777" w:rsidR="00291B88" w:rsidRDefault="00291B88">
      <w:pPr>
        <w:pStyle w:val="TOC1"/>
        <w:tabs>
          <w:tab w:val="left" w:pos="1209"/>
          <w:tab w:val="right" w:leader="dot" w:pos="8299"/>
        </w:tabs>
        <w:rPr>
          <w:rFonts w:asciiTheme="minorHAnsi" w:eastAsiaTheme="minorEastAsia" w:hAnsiTheme="minorHAnsi" w:cstheme="minorBidi"/>
          <w:b w:val="0"/>
          <w:caps w:val="0"/>
          <w:noProof/>
          <w:sz w:val="24"/>
          <w:szCs w:val="24"/>
          <w:lang w:val="en-US" w:eastAsia="ja-JP"/>
        </w:rPr>
      </w:pPr>
      <w:r>
        <w:rPr>
          <w:noProof/>
        </w:rPr>
        <w:t>Annex II:</w:t>
      </w:r>
      <w:r>
        <w:rPr>
          <w:rFonts w:asciiTheme="minorHAnsi" w:eastAsiaTheme="minorEastAsia" w:hAnsiTheme="minorHAnsi" w:cstheme="minorBidi"/>
          <w:b w:val="0"/>
          <w:caps w:val="0"/>
          <w:noProof/>
          <w:sz w:val="24"/>
          <w:szCs w:val="24"/>
          <w:lang w:val="en-US" w:eastAsia="ja-JP"/>
        </w:rPr>
        <w:tab/>
      </w:r>
      <w:r>
        <w:rPr>
          <w:noProof/>
        </w:rPr>
        <w:t>Overview of the “3-Step” Approach</w:t>
      </w:r>
      <w:r>
        <w:rPr>
          <w:noProof/>
        </w:rPr>
        <w:tab/>
      </w:r>
      <w:r>
        <w:rPr>
          <w:noProof/>
        </w:rPr>
        <w:fldChar w:fldCharType="begin"/>
      </w:r>
      <w:r>
        <w:rPr>
          <w:noProof/>
        </w:rPr>
        <w:instrText xml:space="preserve"> PAGEREF _Toc279848258 \h </w:instrText>
      </w:r>
      <w:r>
        <w:rPr>
          <w:noProof/>
        </w:rPr>
      </w:r>
      <w:r>
        <w:rPr>
          <w:noProof/>
        </w:rPr>
        <w:fldChar w:fldCharType="separate"/>
      </w:r>
      <w:r>
        <w:rPr>
          <w:noProof/>
        </w:rPr>
        <w:t>93</w:t>
      </w:r>
      <w:r>
        <w:rPr>
          <w:noProof/>
        </w:rPr>
        <w:fldChar w:fldCharType="end"/>
      </w:r>
    </w:p>
    <w:p w14:paraId="100B8F3B" w14:textId="77777777" w:rsidR="00291B88" w:rsidRDefault="00291B88">
      <w:pPr>
        <w:pStyle w:val="TOC1"/>
        <w:tabs>
          <w:tab w:val="left" w:pos="1286"/>
          <w:tab w:val="right" w:leader="dot" w:pos="8299"/>
        </w:tabs>
        <w:rPr>
          <w:rFonts w:asciiTheme="minorHAnsi" w:eastAsiaTheme="minorEastAsia" w:hAnsiTheme="minorHAnsi" w:cstheme="minorBidi"/>
          <w:b w:val="0"/>
          <w:caps w:val="0"/>
          <w:noProof/>
          <w:sz w:val="24"/>
          <w:szCs w:val="24"/>
          <w:lang w:val="en-US" w:eastAsia="ja-JP"/>
        </w:rPr>
      </w:pPr>
      <w:r>
        <w:rPr>
          <w:noProof/>
        </w:rPr>
        <w:t>Annex III:</w:t>
      </w:r>
      <w:r>
        <w:rPr>
          <w:rFonts w:asciiTheme="minorHAnsi" w:eastAsiaTheme="minorEastAsia" w:hAnsiTheme="minorHAnsi" w:cstheme="minorBidi"/>
          <w:b w:val="0"/>
          <w:caps w:val="0"/>
          <w:noProof/>
          <w:sz w:val="24"/>
          <w:szCs w:val="24"/>
          <w:lang w:val="en-US" w:eastAsia="ja-JP"/>
        </w:rPr>
        <w:tab/>
      </w:r>
      <w:r>
        <w:rPr>
          <w:noProof/>
        </w:rPr>
        <w:t>Suspensions of budget support due to suspected breaches of underlying principles</w:t>
      </w:r>
      <w:r>
        <w:rPr>
          <w:noProof/>
        </w:rPr>
        <w:tab/>
      </w:r>
      <w:r>
        <w:rPr>
          <w:noProof/>
        </w:rPr>
        <w:fldChar w:fldCharType="begin"/>
      </w:r>
      <w:r>
        <w:rPr>
          <w:noProof/>
        </w:rPr>
        <w:instrText xml:space="preserve"> PAGEREF _Toc279848259 \h </w:instrText>
      </w:r>
      <w:r>
        <w:rPr>
          <w:noProof/>
        </w:rPr>
      </w:r>
      <w:r>
        <w:rPr>
          <w:noProof/>
        </w:rPr>
        <w:fldChar w:fldCharType="separate"/>
      </w:r>
      <w:r>
        <w:rPr>
          <w:noProof/>
        </w:rPr>
        <w:t>96</w:t>
      </w:r>
      <w:r>
        <w:rPr>
          <w:noProof/>
        </w:rPr>
        <w:fldChar w:fldCharType="end"/>
      </w:r>
    </w:p>
    <w:p w14:paraId="26827AC4" w14:textId="77777777" w:rsidR="00291B88" w:rsidRDefault="00291B88">
      <w:pPr>
        <w:pStyle w:val="TOC1"/>
        <w:tabs>
          <w:tab w:val="left" w:pos="1272"/>
          <w:tab w:val="right" w:leader="dot" w:pos="8299"/>
        </w:tabs>
        <w:rPr>
          <w:rFonts w:asciiTheme="minorHAnsi" w:eastAsiaTheme="minorEastAsia" w:hAnsiTheme="minorHAnsi" w:cstheme="minorBidi"/>
          <w:b w:val="0"/>
          <w:caps w:val="0"/>
          <w:noProof/>
          <w:sz w:val="24"/>
          <w:szCs w:val="24"/>
          <w:lang w:val="en-US" w:eastAsia="ja-JP"/>
        </w:rPr>
      </w:pPr>
      <w:r>
        <w:rPr>
          <w:noProof/>
        </w:rPr>
        <w:t>Annex IV:</w:t>
      </w:r>
      <w:r>
        <w:rPr>
          <w:rFonts w:asciiTheme="minorHAnsi" w:eastAsiaTheme="minorEastAsia" w:hAnsiTheme="minorHAnsi" w:cstheme="minorBidi"/>
          <w:b w:val="0"/>
          <w:caps w:val="0"/>
          <w:noProof/>
          <w:sz w:val="24"/>
          <w:szCs w:val="24"/>
          <w:lang w:val="en-US" w:eastAsia="ja-JP"/>
        </w:rPr>
        <w:tab/>
      </w:r>
      <w:r>
        <w:rPr>
          <w:noProof/>
        </w:rPr>
        <w:t>Effects of Variable/ Performance Tranches: the case of Mozambique</w:t>
      </w:r>
      <w:r>
        <w:rPr>
          <w:noProof/>
        </w:rPr>
        <w:tab/>
      </w:r>
      <w:r>
        <w:rPr>
          <w:noProof/>
        </w:rPr>
        <w:fldChar w:fldCharType="begin"/>
      </w:r>
      <w:r>
        <w:rPr>
          <w:noProof/>
        </w:rPr>
        <w:instrText xml:space="preserve"> PAGEREF _Toc279848260 \h </w:instrText>
      </w:r>
      <w:r>
        <w:rPr>
          <w:noProof/>
        </w:rPr>
      </w:r>
      <w:r>
        <w:rPr>
          <w:noProof/>
        </w:rPr>
        <w:fldChar w:fldCharType="separate"/>
      </w:r>
      <w:r>
        <w:rPr>
          <w:noProof/>
        </w:rPr>
        <w:t>98</w:t>
      </w:r>
      <w:r>
        <w:rPr>
          <w:noProof/>
        </w:rPr>
        <w:fldChar w:fldCharType="end"/>
      </w:r>
    </w:p>
    <w:p w14:paraId="76AC6ABF" w14:textId="77777777" w:rsidR="00291B88" w:rsidRDefault="00291B88">
      <w:pPr>
        <w:pStyle w:val="TOC1"/>
        <w:tabs>
          <w:tab w:val="left" w:pos="1195"/>
          <w:tab w:val="right" w:leader="dot" w:pos="8299"/>
        </w:tabs>
        <w:rPr>
          <w:rFonts w:asciiTheme="minorHAnsi" w:eastAsiaTheme="minorEastAsia" w:hAnsiTheme="minorHAnsi" w:cstheme="minorBidi"/>
          <w:b w:val="0"/>
          <w:caps w:val="0"/>
          <w:noProof/>
          <w:sz w:val="24"/>
          <w:szCs w:val="24"/>
          <w:lang w:val="en-US" w:eastAsia="ja-JP"/>
        </w:rPr>
      </w:pPr>
      <w:r>
        <w:rPr>
          <w:noProof/>
        </w:rPr>
        <w:t>Annex V:</w:t>
      </w:r>
      <w:r>
        <w:rPr>
          <w:rFonts w:asciiTheme="minorHAnsi" w:eastAsiaTheme="minorEastAsia" w:hAnsiTheme="minorHAnsi" w:cstheme="minorBidi"/>
          <w:b w:val="0"/>
          <w:caps w:val="0"/>
          <w:noProof/>
          <w:sz w:val="24"/>
          <w:szCs w:val="24"/>
          <w:lang w:val="en-US" w:eastAsia="ja-JP"/>
        </w:rPr>
        <w:tab/>
      </w:r>
      <w:r>
        <w:rPr>
          <w:noProof/>
        </w:rPr>
        <w:t>Comparing Budget Support with other modalities: evidence from Mozambique</w:t>
      </w:r>
      <w:r>
        <w:rPr>
          <w:noProof/>
        </w:rPr>
        <w:tab/>
      </w:r>
      <w:r>
        <w:rPr>
          <w:noProof/>
        </w:rPr>
        <w:fldChar w:fldCharType="begin"/>
      </w:r>
      <w:r>
        <w:rPr>
          <w:noProof/>
        </w:rPr>
        <w:instrText xml:space="preserve"> PAGEREF _Toc279848261 \h </w:instrText>
      </w:r>
      <w:r>
        <w:rPr>
          <w:noProof/>
        </w:rPr>
      </w:r>
      <w:r>
        <w:rPr>
          <w:noProof/>
        </w:rPr>
        <w:fldChar w:fldCharType="separate"/>
      </w:r>
      <w:r>
        <w:rPr>
          <w:noProof/>
        </w:rPr>
        <w:t>103</w:t>
      </w:r>
      <w:r>
        <w:rPr>
          <w:noProof/>
        </w:rPr>
        <w:fldChar w:fldCharType="end"/>
      </w:r>
    </w:p>
    <w:p w14:paraId="67CCD27B" w14:textId="2869684F" w:rsidR="00283F55" w:rsidRDefault="00291B88" w:rsidP="001A29E2">
      <w:pPr>
        <w:jc w:val="center"/>
        <w:outlineLvl w:val="0"/>
        <w:rPr>
          <w:rFonts w:ascii="Gill Sans MT" w:hAnsi="Gill Sans MT" w:cs="Arial"/>
          <w:b/>
          <w:bCs/>
          <w:sz w:val="22"/>
          <w:szCs w:val="22"/>
          <w:lang w:val="en-GB"/>
        </w:rPr>
      </w:pPr>
      <w:r>
        <w:rPr>
          <w:rFonts w:ascii="Gill Sans MT" w:hAnsi="Gill Sans MT" w:cs="Arial"/>
          <w:b/>
          <w:bCs/>
          <w:sz w:val="22"/>
          <w:szCs w:val="22"/>
          <w:lang w:val="en-GB"/>
        </w:rPr>
        <w:fldChar w:fldCharType="end"/>
      </w:r>
    </w:p>
    <w:p w14:paraId="37B3A5DB" w14:textId="77777777" w:rsidR="004C0FEA" w:rsidRDefault="004C0FEA">
      <w:pPr>
        <w:rPr>
          <w:rFonts w:ascii="Gill Sans MT" w:hAnsi="Gill Sans MT" w:cs="Arial"/>
          <w:b/>
          <w:bCs/>
          <w:sz w:val="22"/>
          <w:szCs w:val="22"/>
          <w:lang w:val="en-GB"/>
        </w:rPr>
      </w:pPr>
      <w:r>
        <w:rPr>
          <w:rFonts w:ascii="Gill Sans MT" w:hAnsi="Gill Sans MT" w:cs="Arial"/>
          <w:b/>
          <w:bCs/>
          <w:sz w:val="22"/>
          <w:szCs w:val="22"/>
          <w:lang w:val="en-GB"/>
        </w:rPr>
        <w:br w:type="page"/>
      </w:r>
    </w:p>
    <w:p w14:paraId="01EE8EFD" w14:textId="77777777" w:rsidR="004C0FEA" w:rsidRPr="00372CF5" w:rsidRDefault="004C0FEA" w:rsidP="001A29E2">
      <w:pPr>
        <w:jc w:val="center"/>
        <w:outlineLvl w:val="0"/>
        <w:rPr>
          <w:rFonts w:ascii="Gill Sans MT" w:hAnsi="Gill Sans MT" w:cs="Arial"/>
          <w:b/>
          <w:bCs/>
          <w:sz w:val="22"/>
          <w:szCs w:val="22"/>
          <w:lang w:val="en-GB"/>
        </w:rPr>
      </w:pPr>
    </w:p>
    <w:p w14:paraId="37F03DE0" w14:textId="77777777" w:rsidR="00283F55" w:rsidRPr="00372CF5" w:rsidRDefault="00283F55" w:rsidP="00283F55">
      <w:pPr>
        <w:jc w:val="center"/>
        <w:outlineLvl w:val="0"/>
        <w:rPr>
          <w:rFonts w:ascii="Gill Sans MT" w:hAnsi="Gill Sans MT" w:cs="Arial"/>
          <w:b/>
          <w:bCs/>
          <w:color w:val="990099"/>
          <w:sz w:val="25"/>
          <w:szCs w:val="25"/>
          <w:lang w:val="en-GB"/>
        </w:rPr>
      </w:pPr>
      <w:r w:rsidRPr="00372CF5">
        <w:rPr>
          <w:rFonts w:ascii="Gill Sans MT" w:hAnsi="Gill Sans MT" w:cs="Arial"/>
          <w:b/>
          <w:bCs/>
          <w:color w:val="990099"/>
          <w:sz w:val="25"/>
          <w:szCs w:val="25"/>
          <w:lang w:val="en-GB"/>
        </w:rPr>
        <w:t>Table of Figures and Tables</w:t>
      </w:r>
    </w:p>
    <w:p w14:paraId="16829C89" w14:textId="77777777" w:rsidR="00283F55" w:rsidRPr="00372CF5" w:rsidRDefault="00283F55" w:rsidP="00283F55">
      <w:pPr>
        <w:jc w:val="center"/>
        <w:outlineLvl w:val="0"/>
        <w:rPr>
          <w:rFonts w:ascii="Gill Sans MT" w:hAnsi="Gill Sans MT" w:cs="Arial"/>
          <w:b/>
          <w:bCs/>
          <w:color w:val="990099"/>
          <w:sz w:val="25"/>
          <w:szCs w:val="25"/>
          <w:lang w:val="en-GB"/>
        </w:rPr>
      </w:pPr>
    </w:p>
    <w:p w14:paraId="60D19646" w14:textId="77777777" w:rsidR="00291B88" w:rsidRDefault="00291B88">
      <w:pPr>
        <w:pStyle w:val="TableofFigures"/>
        <w:tabs>
          <w:tab w:val="right" w:leader="dot" w:pos="8299"/>
        </w:tabs>
        <w:rPr>
          <w:rFonts w:asciiTheme="minorHAnsi" w:eastAsiaTheme="minorEastAsia" w:hAnsiTheme="minorHAnsi" w:cstheme="minorBidi"/>
          <w:noProof/>
          <w:lang w:val="en-US" w:eastAsia="ja-JP"/>
        </w:rPr>
      </w:pPr>
      <w:r>
        <w:rPr>
          <w:rFonts w:asciiTheme="majorHAnsi" w:hAnsiTheme="majorHAnsi" w:cs="Arial"/>
          <w:bCs/>
          <w:sz w:val="22"/>
          <w:szCs w:val="22"/>
          <w:lang w:val="en-GB"/>
        </w:rPr>
        <w:fldChar w:fldCharType="begin"/>
      </w:r>
      <w:r>
        <w:rPr>
          <w:rFonts w:asciiTheme="majorHAnsi" w:hAnsiTheme="majorHAnsi" w:cs="Arial"/>
          <w:bCs/>
          <w:sz w:val="22"/>
          <w:szCs w:val="22"/>
          <w:lang w:val="en-GB"/>
        </w:rPr>
        <w:instrText xml:space="preserve"> TOC \c "Table" </w:instrText>
      </w:r>
      <w:r>
        <w:rPr>
          <w:rFonts w:asciiTheme="majorHAnsi" w:hAnsiTheme="majorHAnsi" w:cs="Arial"/>
          <w:bCs/>
          <w:sz w:val="22"/>
          <w:szCs w:val="22"/>
          <w:lang w:val="en-GB"/>
        </w:rPr>
        <w:fldChar w:fldCharType="separate"/>
      </w:r>
      <w:r w:rsidRPr="001364B7">
        <w:rPr>
          <w:noProof/>
          <w:lang w:val="en-GB"/>
        </w:rPr>
        <w:t>Table 1: Countries evaluated - Value &amp; Significance of GBS/ SBS Disbursements</w:t>
      </w:r>
      <w:r>
        <w:rPr>
          <w:noProof/>
        </w:rPr>
        <w:tab/>
      </w:r>
      <w:r>
        <w:rPr>
          <w:noProof/>
        </w:rPr>
        <w:fldChar w:fldCharType="begin"/>
      </w:r>
      <w:r>
        <w:rPr>
          <w:noProof/>
        </w:rPr>
        <w:instrText xml:space="preserve"> PAGEREF _Toc279848281 \h </w:instrText>
      </w:r>
      <w:r>
        <w:rPr>
          <w:noProof/>
        </w:rPr>
      </w:r>
      <w:r>
        <w:rPr>
          <w:noProof/>
        </w:rPr>
        <w:fldChar w:fldCharType="separate"/>
      </w:r>
      <w:r>
        <w:rPr>
          <w:noProof/>
        </w:rPr>
        <w:t>15</w:t>
      </w:r>
      <w:r>
        <w:rPr>
          <w:noProof/>
        </w:rPr>
        <w:fldChar w:fldCharType="end"/>
      </w:r>
    </w:p>
    <w:p w14:paraId="637EEF28" w14:textId="77777777" w:rsidR="00291B88" w:rsidRDefault="00291B88">
      <w:pPr>
        <w:pStyle w:val="TableofFigures"/>
        <w:tabs>
          <w:tab w:val="right" w:leader="dot" w:pos="8299"/>
        </w:tabs>
        <w:rPr>
          <w:rFonts w:asciiTheme="minorHAnsi" w:eastAsiaTheme="minorEastAsia" w:hAnsiTheme="minorHAnsi" w:cstheme="minorBidi"/>
          <w:noProof/>
          <w:lang w:val="en-US" w:eastAsia="ja-JP"/>
        </w:rPr>
      </w:pPr>
      <w:r w:rsidRPr="001364B7">
        <w:rPr>
          <w:noProof/>
          <w:lang w:val="en-GB"/>
        </w:rPr>
        <w:t>Table 2: Economic and Social Indicators for the Low Income Countries, 2004</w:t>
      </w:r>
      <w:r>
        <w:rPr>
          <w:noProof/>
        </w:rPr>
        <w:tab/>
      </w:r>
      <w:r>
        <w:rPr>
          <w:noProof/>
        </w:rPr>
        <w:fldChar w:fldCharType="begin"/>
      </w:r>
      <w:r>
        <w:rPr>
          <w:noProof/>
        </w:rPr>
        <w:instrText xml:space="preserve"> PAGEREF _Toc279848282 \h </w:instrText>
      </w:r>
      <w:r>
        <w:rPr>
          <w:noProof/>
        </w:rPr>
      </w:r>
      <w:r>
        <w:rPr>
          <w:noProof/>
        </w:rPr>
        <w:fldChar w:fldCharType="separate"/>
      </w:r>
      <w:r>
        <w:rPr>
          <w:noProof/>
        </w:rPr>
        <w:t>24</w:t>
      </w:r>
      <w:r>
        <w:rPr>
          <w:noProof/>
        </w:rPr>
        <w:fldChar w:fldCharType="end"/>
      </w:r>
    </w:p>
    <w:p w14:paraId="17A9AD19" w14:textId="77777777" w:rsidR="00291B88" w:rsidRDefault="00291B88">
      <w:pPr>
        <w:pStyle w:val="TableofFigures"/>
        <w:tabs>
          <w:tab w:val="right" w:leader="dot" w:pos="8299"/>
        </w:tabs>
        <w:rPr>
          <w:rFonts w:asciiTheme="minorHAnsi" w:eastAsiaTheme="minorEastAsia" w:hAnsiTheme="minorHAnsi" w:cstheme="minorBidi"/>
          <w:noProof/>
          <w:lang w:val="en-US" w:eastAsia="ja-JP"/>
        </w:rPr>
      </w:pPr>
      <w:r w:rsidRPr="001364B7">
        <w:rPr>
          <w:noProof/>
          <w:lang w:val="en-GB"/>
        </w:rPr>
        <w:t>Table 3: Simplified categorisation of the Socio-economic Status of the LIC countries, 2004</w:t>
      </w:r>
      <w:r>
        <w:rPr>
          <w:noProof/>
        </w:rPr>
        <w:tab/>
      </w:r>
      <w:r>
        <w:rPr>
          <w:noProof/>
        </w:rPr>
        <w:fldChar w:fldCharType="begin"/>
      </w:r>
      <w:r>
        <w:rPr>
          <w:noProof/>
        </w:rPr>
        <w:instrText xml:space="preserve"> PAGEREF _Toc279848283 \h </w:instrText>
      </w:r>
      <w:r>
        <w:rPr>
          <w:noProof/>
        </w:rPr>
      </w:r>
      <w:r>
        <w:rPr>
          <w:noProof/>
        </w:rPr>
        <w:fldChar w:fldCharType="separate"/>
      </w:r>
      <w:r>
        <w:rPr>
          <w:noProof/>
        </w:rPr>
        <w:t>24</w:t>
      </w:r>
      <w:r>
        <w:rPr>
          <w:noProof/>
        </w:rPr>
        <w:fldChar w:fldCharType="end"/>
      </w:r>
    </w:p>
    <w:p w14:paraId="63624A35" w14:textId="77777777" w:rsidR="00291B88" w:rsidRDefault="00291B88">
      <w:pPr>
        <w:pStyle w:val="TableofFigures"/>
        <w:tabs>
          <w:tab w:val="right" w:leader="dot" w:pos="8299"/>
        </w:tabs>
        <w:rPr>
          <w:rFonts w:asciiTheme="minorHAnsi" w:eastAsiaTheme="minorEastAsia" w:hAnsiTheme="minorHAnsi" w:cstheme="minorBidi"/>
          <w:noProof/>
          <w:lang w:val="en-US" w:eastAsia="ja-JP"/>
        </w:rPr>
      </w:pPr>
      <w:r w:rsidRPr="001364B7">
        <w:rPr>
          <w:noProof/>
          <w:lang w:val="en-GB"/>
        </w:rPr>
        <w:t>Table 4: Governance status of the LIC countries, WGI percentile rankings 2004, reflecting significant differences</w:t>
      </w:r>
      <w:r>
        <w:rPr>
          <w:noProof/>
        </w:rPr>
        <w:tab/>
      </w:r>
      <w:r>
        <w:rPr>
          <w:noProof/>
        </w:rPr>
        <w:fldChar w:fldCharType="begin"/>
      </w:r>
      <w:r>
        <w:rPr>
          <w:noProof/>
        </w:rPr>
        <w:instrText xml:space="preserve"> PAGEREF _Toc279848284 \h </w:instrText>
      </w:r>
      <w:r>
        <w:rPr>
          <w:noProof/>
        </w:rPr>
      </w:r>
      <w:r>
        <w:rPr>
          <w:noProof/>
        </w:rPr>
        <w:fldChar w:fldCharType="separate"/>
      </w:r>
      <w:r>
        <w:rPr>
          <w:noProof/>
        </w:rPr>
        <w:t>25</w:t>
      </w:r>
      <w:r>
        <w:rPr>
          <w:noProof/>
        </w:rPr>
        <w:fldChar w:fldCharType="end"/>
      </w:r>
    </w:p>
    <w:p w14:paraId="4CC5C0F3" w14:textId="77777777" w:rsidR="00291B88" w:rsidRDefault="00291B88">
      <w:pPr>
        <w:pStyle w:val="TableofFigures"/>
        <w:tabs>
          <w:tab w:val="right" w:leader="dot" w:pos="8299"/>
        </w:tabs>
        <w:rPr>
          <w:rFonts w:asciiTheme="minorHAnsi" w:eastAsiaTheme="minorEastAsia" w:hAnsiTheme="minorHAnsi" w:cstheme="minorBidi"/>
          <w:noProof/>
          <w:lang w:val="en-US" w:eastAsia="ja-JP"/>
        </w:rPr>
      </w:pPr>
      <w:r w:rsidRPr="001364B7">
        <w:rPr>
          <w:noProof/>
          <w:lang w:val="en-GB"/>
        </w:rPr>
        <w:t>Table 5: The Nature of Aid Relations in the 4 recipient LICs – key variables</w:t>
      </w:r>
      <w:r>
        <w:rPr>
          <w:noProof/>
        </w:rPr>
        <w:tab/>
      </w:r>
      <w:r>
        <w:rPr>
          <w:noProof/>
        </w:rPr>
        <w:fldChar w:fldCharType="begin"/>
      </w:r>
      <w:r>
        <w:rPr>
          <w:noProof/>
        </w:rPr>
        <w:instrText xml:space="preserve"> PAGEREF _Toc279848285 \h </w:instrText>
      </w:r>
      <w:r>
        <w:rPr>
          <w:noProof/>
        </w:rPr>
      </w:r>
      <w:r>
        <w:rPr>
          <w:noProof/>
        </w:rPr>
        <w:fldChar w:fldCharType="separate"/>
      </w:r>
      <w:r>
        <w:rPr>
          <w:noProof/>
        </w:rPr>
        <w:t>28</w:t>
      </w:r>
      <w:r>
        <w:rPr>
          <w:noProof/>
        </w:rPr>
        <w:fldChar w:fldCharType="end"/>
      </w:r>
    </w:p>
    <w:p w14:paraId="5988011E" w14:textId="77777777" w:rsidR="00291B88" w:rsidRDefault="00291B88">
      <w:pPr>
        <w:pStyle w:val="TableofFigures"/>
        <w:tabs>
          <w:tab w:val="right" w:leader="dot" w:pos="8299"/>
        </w:tabs>
        <w:rPr>
          <w:rFonts w:asciiTheme="minorHAnsi" w:eastAsiaTheme="minorEastAsia" w:hAnsiTheme="minorHAnsi" w:cstheme="minorBidi"/>
          <w:noProof/>
          <w:lang w:val="en-US" w:eastAsia="ja-JP"/>
        </w:rPr>
      </w:pPr>
      <w:r w:rsidRPr="001364B7">
        <w:rPr>
          <w:noProof/>
          <w:lang w:val="en-GB"/>
        </w:rPr>
        <w:t>Table 6 -The Mechanisms of budget support: (i) Inputs provided</w:t>
      </w:r>
      <w:r>
        <w:rPr>
          <w:noProof/>
        </w:rPr>
        <w:tab/>
      </w:r>
      <w:r>
        <w:rPr>
          <w:noProof/>
        </w:rPr>
        <w:fldChar w:fldCharType="begin"/>
      </w:r>
      <w:r>
        <w:rPr>
          <w:noProof/>
        </w:rPr>
        <w:instrText xml:space="preserve"> PAGEREF _Toc279848286 \h </w:instrText>
      </w:r>
      <w:r>
        <w:rPr>
          <w:noProof/>
        </w:rPr>
      </w:r>
      <w:r>
        <w:rPr>
          <w:noProof/>
        </w:rPr>
        <w:fldChar w:fldCharType="separate"/>
      </w:r>
      <w:r>
        <w:rPr>
          <w:noProof/>
        </w:rPr>
        <w:t>30</w:t>
      </w:r>
      <w:r>
        <w:rPr>
          <w:noProof/>
        </w:rPr>
        <w:fldChar w:fldCharType="end"/>
      </w:r>
    </w:p>
    <w:p w14:paraId="519FC9BE" w14:textId="77777777" w:rsidR="00291B88" w:rsidRDefault="00291B88">
      <w:pPr>
        <w:pStyle w:val="TableofFigures"/>
        <w:tabs>
          <w:tab w:val="right" w:leader="dot" w:pos="8299"/>
        </w:tabs>
        <w:rPr>
          <w:rFonts w:asciiTheme="minorHAnsi" w:eastAsiaTheme="minorEastAsia" w:hAnsiTheme="minorHAnsi" w:cstheme="minorBidi"/>
          <w:noProof/>
          <w:lang w:val="en-US" w:eastAsia="ja-JP"/>
        </w:rPr>
      </w:pPr>
      <w:r w:rsidRPr="001364B7">
        <w:rPr>
          <w:noProof/>
          <w:lang w:val="en-GB"/>
        </w:rPr>
        <w:t>Table 7: Budget support contributions to improved expenditure composition in LICs</w:t>
      </w:r>
      <w:r>
        <w:rPr>
          <w:noProof/>
        </w:rPr>
        <w:tab/>
      </w:r>
      <w:r>
        <w:rPr>
          <w:noProof/>
        </w:rPr>
        <w:fldChar w:fldCharType="begin"/>
      </w:r>
      <w:r>
        <w:rPr>
          <w:noProof/>
        </w:rPr>
        <w:instrText xml:space="preserve"> PAGEREF _Toc279848287 \h </w:instrText>
      </w:r>
      <w:r>
        <w:rPr>
          <w:noProof/>
        </w:rPr>
      </w:r>
      <w:r>
        <w:rPr>
          <w:noProof/>
        </w:rPr>
        <w:fldChar w:fldCharType="separate"/>
      </w:r>
      <w:r>
        <w:rPr>
          <w:noProof/>
        </w:rPr>
        <w:t>39</w:t>
      </w:r>
      <w:r>
        <w:rPr>
          <w:noProof/>
        </w:rPr>
        <w:fldChar w:fldCharType="end"/>
      </w:r>
    </w:p>
    <w:p w14:paraId="7A0B62CC" w14:textId="77777777" w:rsidR="00291B88" w:rsidRDefault="00291B88">
      <w:pPr>
        <w:pStyle w:val="TableofFigures"/>
        <w:tabs>
          <w:tab w:val="right" w:leader="dot" w:pos="8299"/>
        </w:tabs>
        <w:rPr>
          <w:rFonts w:asciiTheme="minorHAnsi" w:eastAsiaTheme="minorEastAsia" w:hAnsiTheme="minorHAnsi" w:cstheme="minorBidi"/>
          <w:noProof/>
          <w:lang w:val="en-US" w:eastAsia="ja-JP"/>
        </w:rPr>
      </w:pPr>
      <w:r w:rsidRPr="001364B7">
        <w:rPr>
          <w:noProof/>
          <w:lang w:val="en-GB"/>
        </w:rPr>
        <w:t>Table 8: Governance status of the LIC countries, WGI percentile rankings 2010 (showing change in rankings from 2004)</w:t>
      </w:r>
      <w:r>
        <w:rPr>
          <w:noProof/>
        </w:rPr>
        <w:tab/>
      </w:r>
      <w:r>
        <w:rPr>
          <w:noProof/>
        </w:rPr>
        <w:fldChar w:fldCharType="begin"/>
      </w:r>
      <w:r>
        <w:rPr>
          <w:noProof/>
        </w:rPr>
        <w:instrText xml:space="preserve"> PAGEREF _Toc279848288 \h </w:instrText>
      </w:r>
      <w:r>
        <w:rPr>
          <w:noProof/>
        </w:rPr>
      </w:r>
      <w:r>
        <w:rPr>
          <w:noProof/>
        </w:rPr>
        <w:fldChar w:fldCharType="separate"/>
      </w:r>
      <w:r>
        <w:rPr>
          <w:noProof/>
        </w:rPr>
        <w:t>43</w:t>
      </w:r>
      <w:r>
        <w:rPr>
          <w:noProof/>
        </w:rPr>
        <w:fldChar w:fldCharType="end"/>
      </w:r>
    </w:p>
    <w:p w14:paraId="21DA3814" w14:textId="77777777" w:rsidR="00291B88" w:rsidRDefault="00291B88">
      <w:pPr>
        <w:pStyle w:val="TableofFigures"/>
        <w:tabs>
          <w:tab w:val="right" w:leader="dot" w:pos="8299"/>
        </w:tabs>
        <w:rPr>
          <w:rFonts w:asciiTheme="minorHAnsi" w:eastAsiaTheme="minorEastAsia" w:hAnsiTheme="minorHAnsi" w:cstheme="minorBidi"/>
          <w:noProof/>
          <w:lang w:val="en-US" w:eastAsia="ja-JP"/>
        </w:rPr>
      </w:pPr>
      <w:r w:rsidRPr="001364B7">
        <w:rPr>
          <w:noProof/>
          <w:lang w:val="en-GB"/>
        </w:rPr>
        <w:t>Table 9: Average Annual Growth rates in Real GDP, 2000 - 2004 and 2005 – 2010</w:t>
      </w:r>
      <w:r>
        <w:rPr>
          <w:noProof/>
        </w:rPr>
        <w:tab/>
      </w:r>
      <w:r>
        <w:rPr>
          <w:noProof/>
        </w:rPr>
        <w:fldChar w:fldCharType="begin"/>
      </w:r>
      <w:r>
        <w:rPr>
          <w:noProof/>
        </w:rPr>
        <w:instrText xml:space="preserve"> PAGEREF _Toc279848289 \h </w:instrText>
      </w:r>
      <w:r>
        <w:rPr>
          <w:noProof/>
        </w:rPr>
      </w:r>
      <w:r>
        <w:rPr>
          <w:noProof/>
        </w:rPr>
        <w:fldChar w:fldCharType="separate"/>
      </w:r>
      <w:r>
        <w:rPr>
          <w:noProof/>
        </w:rPr>
        <w:t>46</w:t>
      </w:r>
      <w:r>
        <w:rPr>
          <w:noProof/>
        </w:rPr>
        <w:fldChar w:fldCharType="end"/>
      </w:r>
    </w:p>
    <w:p w14:paraId="4BA6166E" w14:textId="77777777" w:rsidR="00291B88" w:rsidRDefault="00291B88">
      <w:pPr>
        <w:pStyle w:val="TableofFigures"/>
        <w:tabs>
          <w:tab w:val="right" w:leader="dot" w:pos="8299"/>
        </w:tabs>
        <w:rPr>
          <w:rFonts w:asciiTheme="minorHAnsi" w:eastAsiaTheme="minorEastAsia" w:hAnsiTheme="minorHAnsi" w:cstheme="minorBidi"/>
          <w:noProof/>
          <w:lang w:val="en-US" w:eastAsia="ja-JP"/>
        </w:rPr>
      </w:pPr>
      <w:r w:rsidRPr="001364B7">
        <w:rPr>
          <w:noProof/>
          <w:lang w:val="en-GB"/>
        </w:rPr>
        <w:t>Table 10: Improvements in the Human Development Index, 2004 – 2010</w:t>
      </w:r>
      <w:r>
        <w:rPr>
          <w:noProof/>
        </w:rPr>
        <w:tab/>
      </w:r>
      <w:r>
        <w:rPr>
          <w:noProof/>
        </w:rPr>
        <w:fldChar w:fldCharType="begin"/>
      </w:r>
      <w:r>
        <w:rPr>
          <w:noProof/>
        </w:rPr>
        <w:instrText xml:space="preserve"> PAGEREF _Toc279848290 \h </w:instrText>
      </w:r>
      <w:r>
        <w:rPr>
          <w:noProof/>
        </w:rPr>
      </w:r>
      <w:r>
        <w:rPr>
          <w:noProof/>
        </w:rPr>
        <w:fldChar w:fldCharType="separate"/>
      </w:r>
      <w:r>
        <w:rPr>
          <w:noProof/>
        </w:rPr>
        <w:t>48</w:t>
      </w:r>
      <w:r>
        <w:rPr>
          <w:noProof/>
        </w:rPr>
        <w:fldChar w:fldCharType="end"/>
      </w:r>
    </w:p>
    <w:p w14:paraId="3DB75885" w14:textId="77777777" w:rsidR="00291B88" w:rsidRDefault="00291B88">
      <w:pPr>
        <w:pStyle w:val="TableofFigures"/>
        <w:tabs>
          <w:tab w:val="right" w:leader="dot" w:pos="8299"/>
        </w:tabs>
        <w:rPr>
          <w:rFonts w:asciiTheme="minorHAnsi" w:eastAsiaTheme="minorEastAsia" w:hAnsiTheme="minorHAnsi" w:cstheme="minorBidi"/>
          <w:noProof/>
          <w:lang w:val="en-US" w:eastAsia="ja-JP"/>
        </w:rPr>
      </w:pPr>
      <w:r w:rsidRPr="001364B7">
        <w:rPr>
          <w:noProof/>
          <w:lang w:val="en-GB"/>
        </w:rPr>
        <w:t>Table 11: Economic and Social Indicators for the Middle Income Countries, 2000</w:t>
      </w:r>
      <w:r>
        <w:rPr>
          <w:noProof/>
        </w:rPr>
        <w:tab/>
      </w:r>
      <w:r>
        <w:rPr>
          <w:noProof/>
        </w:rPr>
        <w:fldChar w:fldCharType="begin"/>
      </w:r>
      <w:r>
        <w:rPr>
          <w:noProof/>
        </w:rPr>
        <w:instrText xml:space="preserve"> PAGEREF _Toc279848291 \h </w:instrText>
      </w:r>
      <w:r>
        <w:rPr>
          <w:noProof/>
        </w:rPr>
      </w:r>
      <w:r>
        <w:rPr>
          <w:noProof/>
        </w:rPr>
        <w:fldChar w:fldCharType="separate"/>
      </w:r>
      <w:r>
        <w:rPr>
          <w:noProof/>
        </w:rPr>
        <w:t>54</w:t>
      </w:r>
      <w:r>
        <w:rPr>
          <w:noProof/>
        </w:rPr>
        <w:fldChar w:fldCharType="end"/>
      </w:r>
    </w:p>
    <w:p w14:paraId="3DCBC8FF" w14:textId="77777777" w:rsidR="00291B88" w:rsidRDefault="00291B88">
      <w:pPr>
        <w:pStyle w:val="TableofFigures"/>
        <w:tabs>
          <w:tab w:val="right" w:leader="dot" w:pos="8299"/>
        </w:tabs>
        <w:rPr>
          <w:rFonts w:asciiTheme="minorHAnsi" w:eastAsiaTheme="minorEastAsia" w:hAnsiTheme="minorHAnsi" w:cstheme="minorBidi"/>
          <w:noProof/>
          <w:lang w:val="en-US" w:eastAsia="ja-JP"/>
        </w:rPr>
      </w:pPr>
      <w:r w:rsidRPr="001364B7">
        <w:rPr>
          <w:noProof/>
          <w:lang w:val="en-GB"/>
        </w:rPr>
        <w:t>Table 12: Governance status of the MIC countries, reflecting significant differences</w:t>
      </w:r>
      <w:r>
        <w:rPr>
          <w:noProof/>
        </w:rPr>
        <w:tab/>
      </w:r>
      <w:r>
        <w:rPr>
          <w:noProof/>
        </w:rPr>
        <w:fldChar w:fldCharType="begin"/>
      </w:r>
      <w:r>
        <w:rPr>
          <w:noProof/>
        </w:rPr>
        <w:instrText xml:space="preserve"> PAGEREF _Toc279848292 \h </w:instrText>
      </w:r>
      <w:r>
        <w:rPr>
          <w:noProof/>
        </w:rPr>
      </w:r>
      <w:r>
        <w:rPr>
          <w:noProof/>
        </w:rPr>
        <w:fldChar w:fldCharType="separate"/>
      </w:r>
      <w:r>
        <w:rPr>
          <w:noProof/>
        </w:rPr>
        <w:t>55</w:t>
      </w:r>
      <w:r>
        <w:rPr>
          <w:noProof/>
        </w:rPr>
        <w:fldChar w:fldCharType="end"/>
      </w:r>
    </w:p>
    <w:p w14:paraId="4DEAC0F1" w14:textId="77777777" w:rsidR="00291B88" w:rsidRDefault="00291B88">
      <w:pPr>
        <w:pStyle w:val="TableofFigures"/>
        <w:tabs>
          <w:tab w:val="right" w:leader="dot" w:pos="8299"/>
        </w:tabs>
        <w:rPr>
          <w:rFonts w:asciiTheme="minorHAnsi" w:eastAsiaTheme="minorEastAsia" w:hAnsiTheme="minorHAnsi" w:cstheme="minorBidi"/>
          <w:noProof/>
          <w:lang w:val="en-US" w:eastAsia="ja-JP"/>
        </w:rPr>
      </w:pPr>
      <w:r w:rsidRPr="001364B7">
        <w:rPr>
          <w:noProof/>
          <w:lang w:val="en-GB"/>
        </w:rPr>
        <w:t>Table 13: The Nature of Aid Relations in the 3 recipient MICs – key variables</w:t>
      </w:r>
      <w:r>
        <w:rPr>
          <w:noProof/>
        </w:rPr>
        <w:tab/>
      </w:r>
      <w:r>
        <w:rPr>
          <w:noProof/>
        </w:rPr>
        <w:fldChar w:fldCharType="begin"/>
      </w:r>
      <w:r>
        <w:rPr>
          <w:noProof/>
        </w:rPr>
        <w:instrText xml:space="preserve"> PAGEREF _Toc279848293 \h </w:instrText>
      </w:r>
      <w:r>
        <w:rPr>
          <w:noProof/>
        </w:rPr>
      </w:r>
      <w:r>
        <w:rPr>
          <w:noProof/>
        </w:rPr>
        <w:fldChar w:fldCharType="separate"/>
      </w:r>
      <w:r>
        <w:rPr>
          <w:noProof/>
        </w:rPr>
        <w:t>58</w:t>
      </w:r>
      <w:r>
        <w:rPr>
          <w:noProof/>
        </w:rPr>
        <w:fldChar w:fldCharType="end"/>
      </w:r>
    </w:p>
    <w:p w14:paraId="41F8C361" w14:textId="77777777" w:rsidR="00291B88" w:rsidRDefault="00291B88">
      <w:pPr>
        <w:pStyle w:val="TableofFigures"/>
        <w:tabs>
          <w:tab w:val="right" w:leader="dot" w:pos="8299"/>
        </w:tabs>
        <w:rPr>
          <w:rFonts w:asciiTheme="minorHAnsi" w:eastAsiaTheme="minorEastAsia" w:hAnsiTheme="minorHAnsi" w:cstheme="minorBidi"/>
          <w:noProof/>
          <w:lang w:val="en-US" w:eastAsia="ja-JP"/>
        </w:rPr>
      </w:pPr>
      <w:r w:rsidRPr="001364B7">
        <w:rPr>
          <w:noProof/>
          <w:lang w:val="en-GB"/>
        </w:rPr>
        <w:t>Table 14 -The Mechanisms of budget support in MICs: (i) Inputs</w:t>
      </w:r>
      <w:r>
        <w:rPr>
          <w:noProof/>
        </w:rPr>
        <w:tab/>
      </w:r>
      <w:r>
        <w:rPr>
          <w:noProof/>
        </w:rPr>
        <w:fldChar w:fldCharType="begin"/>
      </w:r>
      <w:r>
        <w:rPr>
          <w:noProof/>
        </w:rPr>
        <w:instrText xml:space="preserve"> PAGEREF _Toc279848294 \h </w:instrText>
      </w:r>
      <w:r>
        <w:rPr>
          <w:noProof/>
        </w:rPr>
      </w:r>
      <w:r>
        <w:rPr>
          <w:noProof/>
        </w:rPr>
        <w:fldChar w:fldCharType="separate"/>
      </w:r>
      <w:r>
        <w:rPr>
          <w:noProof/>
        </w:rPr>
        <w:t>59</w:t>
      </w:r>
      <w:r>
        <w:rPr>
          <w:noProof/>
        </w:rPr>
        <w:fldChar w:fldCharType="end"/>
      </w:r>
    </w:p>
    <w:p w14:paraId="7F6C344E" w14:textId="77777777" w:rsidR="00291B88" w:rsidRDefault="00291B88">
      <w:pPr>
        <w:pStyle w:val="TableofFigures"/>
        <w:tabs>
          <w:tab w:val="right" w:leader="dot" w:pos="8299"/>
        </w:tabs>
        <w:rPr>
          <w:rFonts w:asciiTheme="minorHAnsi" w:eastAsiaTheme="minorEastAsia" w:hAnsiTheme="minorHAnsi" w:cstheme="minorBidi"/>
          <w:noProof/>
          <w:lang w:val="en-US" w:eastAsia="ja-JP"/>
        </w:rPr>
      </w:pPr>
      <w:r w:rsidRPr="001364B7">
        <w:rPr>
          <w:noProof/>
          <w:lang w:val="en-GB"/>
        </w:rPr>
        <w:t>Table 15: Budget Support Evaluations at country level utilising the OECD-DAC Methodology</w:t>
      </w:r>
      <w:r>
        <w:rPr>
          <w:noProof/>
        </w:rPr>
        <w:tab/>
      </w:r>
      <w:r>
        <w:rPr>
          <w:noProof/>
        </w:rPr>
        <w:fldChar w:fldCharType="begin"/>
      </w:r>
      <w:r>
        <w:rPr>
          <w:noProof/>
        </w:rPr>
        <w:instrText xml:space="preserve"> PAGEREF _Toc279848295 \h </w:instrText>
      </w:r>
      <w:r>
        <w:rPr>
          <w:noProof/>
        </w:rPr>
      </w:r>
      <w:r>
        <w:rPr>
          <w:noProof/>
        </w:rPr>
        <w:fldChar w:fldCharType="separate"/>
      </w:r>
      <w:r>
        <w:rPr>
          <w:noProof/>
        </w:rPr>
        <w:t>92</w:t>
      </w:r>
      <w:r>
        <w:rPr>
          <w:noProof/>
        </w:rPr>
        <w:fldChar w:fldCharType="end"/>
      </w:r>
    </w:p>
    <w:p w14:paraId="751F8CE5" w14:textId="77777777" w:rsidR="00291B88" w:rsidRDefault="00291B88">
      <w:pPr>
        <w:pStyle w:val="TableofFigures"/>
        <w:tabs>
          <w:tab w:val="right" w:leader="dot" w:pos="8299"/>
        </w:tabs>
        <w:rPr>
          <w:rFonts w:asciiTheme="minorHAnsi" w:eastAsiaTheme="minorEastAsia" w:hAnsiTheme="minorHAnsi" w:cstheme="minorBidi"/>
          <w:noProof/>
          <w:lang w:val="en-US" w:eastAsia="ja-JP"/>
        </w:rPr>
      </w:pPr>
      <w:r w:rsidRPr="001364B7">
        <w:rPr>
          <w:noProof/>
          <w:lang w:val="en-GB"/>
        </w:rPr>
        <w:t>Table 16: Variable tranche disbursements, 2012 - 2014</w:t>
      </w:r>
      <w:r>
        <w:rPr>
          <w:noProof/>
        </w:rPr>
        <w:tab/>
      </w:r>
      <w:r>
        <w:rPr>
          <w:noProof/>
        </w:rPr>
        <w:fldChar w:fldCharType="begin"/>
      </w:r>
      <w:r>
        <w:rPr>
          <w:noProof/>
        </w:rPr>
        <w:instrText xml:space="preserve"> PAGEREF _Toc279848296 \h </w:instrText>
      </w:r>
      <w:r>
        <w:rPr>
          <w:noProof/>
        </w:rPr>
      </w:r>
      <w:r>
        <w:rPr>
          <w:noProof/>
        </w:rPr>
        <w:fldChar w:fldCharType="separate"/>
      </w:r>
      <w:r>
        <w:rPr>
          <w:noProof/>
        </w:rPr>
        <w:t>98</w:t>
      </w:r>
      <w:r>
        <w:rPr>
          <w:noProof/>
        </w:rPr>
        <w:fldChar w:fldCharType="end"/>
      </w:r>
    </w:p>
    <w:p w14:paraId="5A0C031D" w14:textId="24392A8F" w:rsidR="004C0FEA" w:rsidRDefault="00291B88" w:rsidP="001A29E2">
      <w:pPr>
        <w:pStyle w:val="TableofFigures"/>
        <w:tabs>
          <w:tab w:val="right" w:leader="dot" w:pos="8299"/>
        </w:tabs>
        <w:rPr>
          <w:rFonts w:asciiTheme="majorHAnsi" w:hAnsiTheme="majorHAnsi" w:cs="Arial"/>
          <w:bCs/>
          <w:sz w:val="22"/>
          <w:szCs w:val="22"/>
          <w:lang w:val="en-GB"/>
        </w:rPr>
      </w:pPr>
      <w:r>
        <w:rPr>
          <w:rFonts w:asciiTheme="majorHAnsi" w:hAnsiTheme="majorHAnsi" w:cs="Arial"/>
          <w:bCs/>
          <w:sz w:val="22"/>
          <w:szCs w:val="22"/>
          <w:lang w:val="en-GB"/>
        </w:rPr>
        <w:fldChar w:fldCharType="end"/>
      </w:r>
    </w:p>
    <w:p w14:paraId="19E05D4F" w14:textId="77777777" w:rsidR="004C0FEA" w:rsidRPr="008C51D1" w:rsidRDefault="004C0FEA" w:rsidP="004C0FEA">
      <w:pPr>
        <w:rPr>
          <w:lang w:val="en-GB"/>
        </w:rPr>
      </w:pPr>
    </w:p>
    <w:p w14:paraId="76FF4C5D" w14:textId="77777777" w:rsidR="00291B88" w:rsidRDefault="00291B88">
      <w:pPr>
        <w:pStyle w:val="TableofFigures"/>
        <w:tabs>
          <w:tab w:val="right" w:leader="dot" w:pos="8299"/>
        </w:tabs>
        <w:rPr>
          <w:rFonts w:asciiTheme="minorHAnsi" w:eastAsiaTheme="minorEastAsia" w:hAnsiTheme="minorHAnsi" w:cstheme="minorBidi"/>
          <w:noProof/>
          <w:lang w:val="en-US" w:eastAsia="ja-JP"/>
        </w:rPr>
      </w:pPr>
      <w:r>
        <w:rPr>
          <w:rFonts w:asciiTheme="majorHAnsi" w:hAnsiTheme="majorHAnsi" w:cs="Arial"/>
          <w:bCs/>
          <w:sz w:val="22"/>
          <w:szCs w:val="22"/>
          <w:lang w:val="en-GB"/>
        </w:rPr>
        <w:fldChar w:fldCharType="begin"/>
      </w:r>
      <w:r>
        <w:rPr>
          <w:rFonts w:asciiTheme="majorHAnsi" w:hAnsiTheme="majorHAnsi" w:cs="Arial"/>
          <w:bCs/>
          <w:sz w:val="22"/>
          <w:szCs w:val="22"/>
          <w:lang w:val="en-GB"/>
        </w:rPr>
        <w:instrText xml:space="preserve"> TOC \c "Figure" </w:instrText>
      </w:r>
      <w:r>
        <w:rPr>
          <w:rFonts w:asciiTheme="majorHAnsi" w:hAnsiTheme="majorHAnsi" w:cs="Arial"/>
          <w:bCs/>
          <w:sz w:val="22"/>
          <w:szCs w:val="22"/>
          <w:lang w:val="en-GB"/>
        </w:rPr>
        <w:fldChar w:fldCharType="separate"/>
      </w:r>
      <w:r w:rsidRPr="004A7688">
        <w:rPr>
          <w:noProof/>
          <w:lang w:val="en-GB"/>
        </w:rPr>
        <w:t>Figure 1: The 5 levels and the 3 Steps of the Evaluation methodology</w:t>
      </w:r>
      <w:r>
        <w:rPr>
          <w:noProof/>
        </w:rPr>
        <w:tab/>
      </w:r>
      <w:r>
        <w:rPr>
          <w:noProof/>
        </w:rPr>
        <w:fldChar w:fldCharType="begin"/>
      </w:r>
      <w:r>
        <w:rPr>
          <w:noProof/>
        </w:rPr>
        <w:instrText xml:space="preserve"> PAGEREF _Toc279848304 \h </w:instrText>
      </w:r>
      <w:r>
        <w:rPr>
          <w:noProof/>
        </w:rPr>
      </w:r>
      <w:r>
        <w:rPr>
          <w:noProof/>
        </w:rPr>
        <w:fldChar w:fldCharType="separate"/>
      </w:r>
      <w:r>
        <w:rPr>
          <w:noProof/>
        </w:rPr>
        <w:t>94</w:t>
      </w:r>
      <w:r>
        <w:rPr>
          <w:noProof/>
        </w:rPr>
        <w:fldChar w:fldCharType="end"/>
      </w:r>
    </w:p>
    <w:p w14:paraId="3B2192BB" w14:textId="77777777" w:rsidR="00291B88" w:rsidRDefault="00291B88">
      <w:pPr>
        <w:pStyle w:val="TableofFigures"/>
        <w:tabs>
          <w:tab w:val="right" w:leader="dot" w:pos="8299"/>
        </w:tabs>
        <w:rPr>
          <w:rFonts w:asciiTheme="minorHAnsi" w:eastAsiaTheme="minorEastAsia" w:hAnsiTheme="minorHAnsi" w:cstheme="minorBidi"/>
          <w:noProof/>
          <w:lang w:val="en-US" w:eastAsia="ja-JP"/>
        </w:rPr>
      </w:pPr>
      <w:r w:rsidRPr="004A7688">
        <w:rPr>
          <w:noProof/>
          <w:lang w:val="en-GB"/>
        </w:rPr>
        <w:t>Figure 2: The Budget Support Intervention Logic in Mozambique and the Evaluation Questions applied</w:t>
      </w:r>
      <w:r>
        <w:rPr>
          <w:noProof/>
        </w:rPr>
        <w:tab/>
      </w:r>
      <w:r>
        <w:rPr>
          <w:noProof/>
        </w:rPr>
        <w:fldChar w:fldCharType="begin"/>
      </w:r>
      <w:r>
        <w:rPr>
          <w:noProof/>
        </w:rPr>
        <w:instrText xml:space="preserve"> PAGEREF _Toc279848305 \h </w:instrText>
      </w:r>
      <w:r>
        <w:rPr>
          <w:noProof/>
        </w:rPr>
      </w:r>
      <w:r>
        <w:rPr>
          <w:noProof/>
        </w:rPr>
        <w:fldChar w:fldCharType="separate"/>
      </w:r>
      <w:r>
        <w:rPr>
          <w:noProof/>
        </w:rPr>
        <w:t>95</w:t>
      </w:r>
      <w:r>
        <w:rPr>
          <w:noProof/>
        </w:rPr>
        <w:fldChar w:fldCharType="end"/>
      </w:r>
    </w:p>
    <w:p w14:paraId="1206EF05" w14:textId="77777777" w:rsidR="00291B88" w:rsidRDefault="00291B88">
      <w:pPr>
        <w:pStyle w:val="TableofFigures"/>
        <w:tabs>
          <w:tab w:val="right" w:leader="dot" w:pos="8299"/>
        </w:tabs>
        <w:rPr>
          <w:rFonts w:asciiTheme="minorHAnsi" w:eastAsiaTheme="minorEastAsia" w:hAnsiTheme="minorHAnsi" w:cstheme="minorBidi"/>
          <w:noProof/>
          <w:lang w:val="en-US" w:eastAsia="ja-JP"/>
        </w:rPr>
      </w:pPr>
      <w:r w:rsidRPr="004A7688">
        <w:rPr>
          <w:noProof/>
          <w:lang w:val="en-GB"/>
        </w:rPr>
        <w:t>Figure 3: Mozambique:Assessment of Performance to determine EU MDG tranche for 2012-2014</w:t>
      </w:r>
      <w:r>
        <w:rPr>
          <w:noProof/>
        </w:rPr>
        <w:tab/>
      </w:r>
      <w:r>
        <w:rPr>
          <w:noProof/>
        </w:rPr>
        <w:fldChar w:fldCharType="begin"/>
      </w:r>
      <w:r>
        <w:rPr>
          <w:noProof/>
        </w:rPr>
        <w:instrText xml:space="preserve"> PAGEREF _Toc279848306 \h </w:instrText>
      </w:r>
      <w:r>
        <w:rPr>
          <w:noProof/>
        </w:rPr>
      </w:r>
      <w:r>
        <w:rPr>
          <w:noProof/>
        </w:rPr>
        <w:fldChar w:fldCharType="separate"/>
      </w:r>
      <w:r>
        <w:rPr>
          <w:noProof/>
        </w:rPr>
        <w:t>101</w:t>
      </w:r>
      <w:r>
        <w:rPr>
          <w:noProof/>
        </w:rPr>
        <w:fldChar w:fldCharType="end"/>
      </w:r>
    </w:p>
    <w:p w14:paraId="3D159E60" w14:textId="79C7BE64" w:rsidR="004C0FEA" w:rsidRDefault="00291B88" w:rsidP="001A29E2">
      <w:pPr>
        <w:pStyle w:val="TableofFigures"/>
        <w:tabs>
          <w:tab w:val="right" w:leader="dot" w:pos="8299"/>
        </w:tabs>
        <w:rPr>
          <w:rFonts w:asciiTheme="majorHAnsi" w:hAnsiTheme="majorHAnsi" w:cs="Arial"/>
          <w:bCs/>
          <w:sz w:val="22"/>
          <w:szCs w:val="22"/>
          <w:lang w:val="en-GB"/>
        </w:rPr>
      </w:pPr>
      <w:r>
        <w:rPr>
          <w:rFonts w:asciiTheme="majorHAnsi" w:hAnsiTheme="majorHAnsi" w:cs="Arial"/>
          <w:bCs/>
          <w:sz w:val="22"/>
          <w:szCs w:val="22"/>
          <w:lang w:val="en-GB"/>
        </w:rPr>
        <w:fldChar w:fldCharType="end"/>
      </w:r>
    </w:p>
    <w:p w14:paraId="0169A7D0" w14:textId="77777777" w:rsidR="004C0FEA" w:rsidRDefault="004C0FEA" w:rsidP="001A29E2">
      <w:pPr>
        <w:pStyle w:val="TableofFigures"/>
        <w:tabs>
          <w:tab w:val="right" w:leader="dot" w:pos="8299"/>
        </w:tabs>
        <w:rPr>
          <w:rFonts w:asciiTheme="majorHAnsi" w:hAnsiTheme="majorHAnsi" w:cs="Arial"/>
          <w:bCs/>
          <w:sz w:val="22"/>
          <w:szCs w:val="22"/>
          <w:lang w:val="en-GB"/>
        </w:rPr>
      </w:pPr>
    </w:p>
    <w:p w14:paraId="6C959BDD" w14:textId="77777777" w:rsidR="00291B88" w:rsidRDefault="00291B88">
      <w:pPr>
        <w:pStyle w:val="TableofFigures"/>
        <w:tabs>
          <w:tab w:val="right" w:leader="dot" w:pos="8299"/>
        </w:tabs>
        <w:rPr>
          <w:rFonts w:asciiTheme="minorHAnsi" w:eastAsiaTheme="minorEastAsia" w:hAnsiTheme="minorHAnsi" w:cstheme="minorBidi"/>
          <w:noProof/>
          <w:lang w:val="en-US" w:eastAsia="ja-JP"/>
        </w:rPr>
      </w:pPr>
      <w:r>
        <w:fldChar w:fldCharType="begin"/>
      </w:r>
      <w:r>
        <w:instrText xml:space="preserve"> TOC \c "Box " </w:instrText>
      </w:r>
      <w:r>
        <w:fldChar w:fldCharType="separate"/>
      </w:r>
      <w:r w:rsidRPr="000360B8">
        <w:rPr>
          <w:noProof/>
          <w:lang w:val="en-GB"/>
        </w:rPr>
        <w:t>Box  1: Stakeholder’s feedback on the Incentive effects of Variable Tranches</w:t>
      </w:r>
      <w:r>
        <w:rPr>
          <w:noProof/>
        </w:rPr>
        <w:tab/>
      </w:r>
      <w:r>
        <w:rPr>
          <w:noProof/>
        </w:rPr>
        <w:fldChar w:fldCharType="begin"/>
      </w:r>
      <w:r>
        <w:rPr>
          <w:noProof/>
        </w:rPr>
        <w:instrText xml:space="preserve"> PAGEREF _Toc279848339 \h </w:instrText>
      </w:r>
      <w:r>
        <w:rPr>
          <w:noProof/>
        </w:rPr>
      </w:r>
      <w:r>
        <w:rPr>
          <w:noProof/>
        </w:rPr>
        <w:fldChar w:fldCharType="separate"/>
      </w:r>
      <w:r>
        <w:rPr>
          <w:noProof/>
        </w:rPr>
        <w:t>100</w:t>
      </w:r>
      <w:r>
        <w:rPr>
          <w:noProof/>
        </w:rPr>
        <w:fldChar w:fldCharType="end"/>
      </w:r>
    </w:p>
    <w:p w14:paraId="42895031" w14:textId="77777777" w:rsidR="00291B88" w:rsidRDefault="00291B88">
      <w:pPr>
        <w:pStyle w:val="TableofFigures"/>
        <w:tabs>
          <w:tab w:val="right" w:leader="dot" w:pos="8299"/>
        </w:tabs>
        <w:rPr>
          <w:rFonts w:asciiTheme="minorHAnsi" w:eastAsiaTheme="minorEastAsia" w:hAnsiTheme="minorHAnsi" w:cstheme="minorBidi"/>
          <w:noProof/>
          <w:lang w:val="en-US" w:eastAsia="ja-JP"/>
        </w:rPr>
      </w:pPr>
      <w:r w:rsidRPr="000360B8">
        <w:rPr>
          <w:noProof/>
          <w:lang w:val="en-GB"/>
        </w:rPr>
        <w:t xml:space="preserve">Box  2: Why PROSAUDE </w:t>
      </w:r>
      <w:r w:rsidRPr="000360B8">
        <w:rPr>
          <w:rFonts w:cstheme="minorBidi"/>
          <w:noProof/>
          <w:lang w:val="en-GB"/>
        </w:rPr>
        <w:t>is not SBS and how GBS/</w:t>
      </w:r>
      <w:r w:rsidRPr="000360B8">
        <w:rPr>
          <w:noProof/>
          <w:lang w:val="en-GB"/>
        </w:rPr>
        <w:t xml:space="preserve"> </w:t>
      </w:r>
      <w:r w:rsidRPr="000360B8">
        <w:rPr>
          <w:rFonts w:cstheme="minorBidi"/>
          <w:noProof/>
          <w:lang w:val="en-GB"/>
        </w:rPr>
        <w:t>SBS could be different</w:t>
      </w:r>
      <w:r>
        <w:rPr>
          <w:noProof/>
        </w:rPr>
        <w:tab/>
      </w:r>
      <w:r>
        <w:rPr>
          <w:noProof/>
        </w:rPr>
        <w:fldChar w:fldCharType="begin"/>
      </w:r>
      <w:r>
        <w:rPr>
          <w:noProof/>
        </w:rPr>
        <w:instrText xml:space="preserve"> PAGEREF _Toc279848340 \h </w:instrText>
      </w:r>
      <w:r>
        <w:rPr>
          <w:noProof/>
        </w:rPr>
      </w:r>
      <w:r>
        <w:rPr>
          <w:noProof/>
        </w:rPr>
        <w:fldChar w:fldCharType="separate"/>
      </w:r>
      <w:r>
        <w:rPr>
          <w:noProof/>
        </w:rPr>
        <w:t>104</w:t>
      </w:r>
      <w:r>
        <w:rPr>
          <w:noProof/>
        </w:rPr>
        <w:fldChar w:fldCharType="end"/>
      </w:r>
    </w:p>
    <w:p w14:paraId="7576BA6C" w14:textId="566BF9FA" w:rsidR="007D5B35" w:rsidRPr="008C51D1" w:rsidRDefault="00291B88" w:rsidP="007D5B35">
      <w:pPr>
        <w:rPr>
          <w:lang w:val="en-GB"/>
        </w:rPr>
      </w:pPr>
      <w:r>
        <w:fldChar w:fldCharType="end"/>
      </w:r>
    </w:p>
    <w:p w14:paraId="66DAC867" w14:textId="77777777" w:rsidR="002D5207" w:rsidRPr="001A29E2" w:rsidRDefault="00873F2F" w:rsidP="001A29E2">
      <w:pPr>
        <w:pStyle w:val="TableofFigures"/>
        <w:tabs>
          <w:tab w:val="right" w:leader="dot" w:pos="8299"/>
        </w:tabs>
        <w:rPr>
          <w:rFonts w:asciiTheme="majorHAnsi" w:hAnsiTheme="majorHAnsi" w:cs="Arial"/>
          <w:bCs/>
          <w:sz w:val="22"/>
          <w:szCs w:val="22"/>
          <w:lang w:val="en-GB"/>
        </w:rPr>
      </w:pPr>
      <w:r w:rsidRPr="00372CF5">
        <w:rPr>
          <w:rFonts w:ascii="Gill Sans MT" w:hAnsi="Gill Sans MT" w:cs="Arial"/>
          <w:b/>
          <w:bCs/>
          <w:sz w:val="22"/>
          <w:szCs w:val="22"/>
          <w:lang w:val="en-GB"/>
        </w:rPr>
        <w:br w:type="page"/>
      </w:r>
    </w:p>
    <w:p w14:paraId="72470B54" w14:textId="77777777" w:rsidR="00175372" w:rsidRPr="00372CF5" w:rsidRDefault="0066786B" w:rsidP="0018160C">
      <w:pPr>
        <w:pStyle w:val="Heading1"/>
      </w:pPr>
      <w:bookmarkStart w:id="41" w:name="_Toc279848232"/>
      <w:bookmarkStart w:id="42" w:name="_Toc168840561"/>
      <w:bookmarkStart w:id="43" w:name="_Toc168840604"/>
      <w:r>
        <w:lastRenderedPageBreak/>
        <w:t xml:space="preserve">Executive </w:t>
      </w:r>
      <w:r w:rsidR="009C4988" w:rsidRPr="00372CF5">
        <w:t>Summary</w:t>
      </w:r>
      <w:bookmarkEnd w:id="41"/>
      <w:r w:rsidR="009C4988" w:rsidRPr="00372CF5">
        <w:t xml:space="preserve"> </w:t>
      </w:r>
      <w:bookmarkEnd w:id="42"/>
      <w:bookmarkEnd w:id="43"/>
    </w:p>
    <w:p w14:paraId="2A8A95A5" w14:textId="77777777" w:rsidR="00F83AE4" w:rsidRDefault="00F83AE4" w:rsidP="00F83AE4">
      <w:pPr>
        <w:pStyle w:val="BodyText"/>
        <w:numPr>
          <w:ilvl w:val="0"/>
          <w:numId w:val="2"/>
        </w:numPr>
        <w:spacing w:line="360" w:lineRule="auto"/>
        <w:ind w:hanging="357"/>
        <w:rPr>
          <w:rFonts w:ascii="Gill Sans MT" w:hAnsi="Gill Sans MT"/>
          <w:sz w:val="20"/>
          <w:lang w:val="en-GB"/>
        </w:rPr>
      </w:pPr>
      <w:r w:rsidRPr="00372CF5">
        <w:rPr>
          <w:rFonts w:ascii="Gill Sans MT" w:hAnsi="Gill Sans MT"/>
          <w:sz w:val="20"/>
          <w:lang w:val="en-GB"/>
        </w:rPr>
        <w:t xml:space="preserve">This </w:t>
      </w:r>
      <w:r>
        <w:rPr>
          <w:rFonts w:ascii="Gill Sans MT" w:hAnsi="Gill Sans MT"/>
          <w:sz w:val="20"/>
          <w:lang w:val="en-GB"/>
        </w:rPr>
        <w:t xml:space="preserve">Report </w:t>
      </w:r>
      <w:r w:rsidRPr="00372CF5">
        <w:rPr>
          <w:rFonts w:ascii="Gill Sans MT" w:hAnsi="Gill Sans MT"/>
          <w:sz w:val="20"/>
          <w:lang w:val="en-GB"/>
        </w:rPr>
        <w:t>has</w:t>
      </w:r>
      <w:r w:rsidR="00F078DC">
        <w:rPr>
          <w:rFonts w:ascii="Gill Sans MT" w:hAnsi="Gill Sans MT"/>
          <w:sz w:val="20"/>
          <w:lang w:val="en-GB"/>
        </w:rPr>
        <w:t xml:space="preserve"> been prepared by Fiscus</w:t>
      </w:r>
      <w:r w:rsidRPr="00372CF5">
        <w:rPr>
          <w:rFonts w:ascii="Gill Sans MT" w:hAnsi="Gill Sans MT"/>
          <w:sz w:val="20"/>
          <w:lang w:val="en-GB"/>
        </w:rPr>
        <w:t xml:space="preserve">, UK </w:t>
      </w:r>
      <w:r>
        <w:rPr>
          <w:rFonts w:ascii="Gill Sans MT" w:hAnsi="Gill Sans MT"/>
          <w:sz w:val="20"/>
          <w:lang w:val="en-GB"/>
        </w:rPr>
        <w:t xml:space="preserve">for the Evaluation Unit of Europe Aid. It presents a synthesis of </w:t>
      </w:r>
      <w:r w:rsidRPr="00F536CC">
        <w:rPr>
          <w:rFonts w:ascii="Gill Sans MT" w:hAnsi="Gill Sans MT"/>
          <w:sz w:val="20"/>
          <w:lang w:val="en-GB"/>
        </w:rPr>
        <w:t xml:space="preserve">the seven evaluations of General and Sector </w:t>
      </w:r>
      <w:r>
        <w:rPr>
          <w:rFonts w:ascii="Gill Sans MT" w:hAnsi="Gill Sans MT"/>
          <w:sz w:val="20"/>
          <w:lang w:val="en-GB"/>
        </w:rPr>
        <w:t xml:space="preserve">Budget Support, </w:t>
      </w:r>
      <w:r w:rsidRPr="00F536CC">
        <w:rPr>
          <w:rFonts w:ascii="Gill Sans MT" w:hAnsi="Gill Sans MT"/>
          <w:sz w:val="20"/>
          <w:lang w:val="en-GB"/>
        </w:rPr>
        <w:t>undertaken in Tunisia, Mali, Zambia, Tanzania, South Africa, Mozambique and Morocco over 2010 - 2014. These represent the full set</w:t>
      </w:r>
      <w:r>
        <w:rPr>
          <w:rFonts w:ascii="Gill Sans MT" w:hAnsi="Gill Sans MT"/>
          <w:sz w:val="20"/>
          <w:lang w:val="en-GB"/>
        </w:rPr>
        <w:t xml:space="preserve"> of evaluations </w:t>
      </w:r>
      <w:r w:rsidRPr="00F536CC">
        <w:rPr>
          <w:rFonts w:ascii="Gill Sans MT" w:hAnsi="Gill Sans MT"/>
          <w:sz w:val="20"/>
          <w:lang w:val="en-GB"/>
        </w:rPr>
        <w:t>completed to date, following the revised methodological approach for evaluation of budget support, adopted by the OECD-DAC Network on development evaluation in 2012.</w:t>
      </w:r>
      <w:r>
        <w:rPr>
          <w:rFonts w:ascii="Gill Sans MT" w:hAnsi="Gill Sans MT"/>
          <w:sz w:val="20"/>
          <w:lang w:val="en-GB"/>
        </w:rPr>
        <w:t xml:space="preserve"> The study builds on preliminary findings reported in 2011 in OECD-DAC’s Evaluation Insights, based on the Tunisia, Mali and Zambia cases.</w:t>
      </w:r>
    </w:p>
    <w:p w14:paraId="219BA5CC" w14:textId="77777777" w:rsidR="00F83AE4" w:rsidRPr="004A0106" w:rsidRDefault="00F83AE4" w:rsidP="00F83AE4">
      <w:pPr>
        <w:pStyle w:val="BodyText"/>
        <w:numPr>
          <w:ilvl w:val="0"/>
          <w:numId w:val="2"/>
        </w:numPr>
        <w:spacing w:line="360" w:lineRule="auto"/>
        <w:ind w:left="499" w:hanging="357"/>
        <w:rPr>
          <w:rFonts w:ascii="Gill Sans MT" w:hAnsi="Gill Sans MT"/>
          <w:sz w:val="20"/>
          <w:lang w:val="en-GB"/>
        </w:rPr>
      </w:pPr>
      <w:r w:rsidRPr="00D45BDF">
        <w:rPr>
          <w:rFonts w:ascii="Gill Sans MT" w:hAnsi="Gill Sans MT"/>
          <w:b/>
          <w:sz w:val="20"/>
          <w:lang w:val="en-GB"/>
        </w:rPr>
        <w:t>The principal goal</w:t>
      </w:r>
      <w:r>
        <w:rPr>
          <w:rFonts w:ascii="Gill Sans MT" w:hAnsi="Gill Sans MT"/>
          <w:b/>
          <w:sz w:val="20"/>
          <w:lang w:val="en-GB"/>
        </w:rPr>
        <w:t xml:space="preserve"> has been to draw up a </w:t>
      </w:r>
      <w:r w:rsidRPr="00D45BDF">
        <w:rPr>
          <w:rFonts w:ascii="Gill Sans MT" w:hAnsi="Gill Sans MT"/>
          <w:b/>
          <w:sz w:val="20"/>
          <w:lang w:val="en-GB"/>
        </w:rPr>
        <w:t>summary of the lessons</w:t>
      </w:r>
      <w:r>
        <w:rPr>
          <w:rFonts w:ascii="Gill Sans MT" w:hAnsi="Gill Sans MT"/>
          <w:b/>
          <w:sz w:val="20"/>
          <w:lang w:val="en-GB"/>
        </w:rPr>
        <w:t xml:space="preserve"> </w:t>
      </w:r>
      <w:r w:rsidRPr="00D45BDF">
        <w:rPr>
          <w:rFonts w:ascii="Gill Sans MT" w:hAnsi="Gill Sans MT"/>
          <w:b/>
          <w:sz w:val="20"/>
          <w:lang w:val="en-GB"/>
        </w:rPr>
        <w:t xml:space="preserve">from recent </w:t>
      </w:r>
      <w:r>
        <w:rPr>
          <w:rFonts w:ascii="Gill Sans MT" w:hAnsi="Gill Sans MT"/>
          <w:b/>
          <w:sz w:val="20"/>
          <w:lang w:val="en-GB"/>
        </w:rPr>
        <w:t xml:space="preserve">experience with budget support </w:t>
      </w:r>
      <w:r w:rsidRPr="00D45BDF">
        <w:rPr>
          <w:rFonts w:ascii="Gill Sans MT" w:hAnsi="Gill Sans MT"/>
          <w:b/>
          <w:sz w:val="20"/>
          <w:lang w:val="en-GB"/>
        </w:rPr>
        <w:t>and to develop a corresponding set of recommendations.</w:t>
      </w:r>
      <w:r w:rsidRPr="004A0106">
        <w:rPr>
          <w:rFonts w:ascii="Gill Sans MT" w:hAnsi="Gill Sans MT"/>
          <w:sz w:val="20"/>
          <w:lang w:val="en-GB"/>
        </w:rPr>
        <w:t xml:space="preserve"> </w:t>
      </w:r>
      <w:r w:rsidRPr="00F536CC">
        <w:rPr>
          <w:rFonts w:ascii="Gill Sans MT" w:hAnsi="Gill Sans MT"/>
          <w:sz w:val="20"/>
          <w:lang w:val="en-GB"/>
        </w:rPr>
        <w:t xml:space="preserve">A central question addressed is how far Budget </w:t>
      </w:r>
      <w:r>
        <w:rPr>
          <w:rFonts w:ascii="Gill Sans MT" w:hAnsi="Gill Sans MT"/>
          <w:sz w:val="20"/>
          <w:lang w:val="en-GB"/>
        </w:rPr>
        <w:t xml:space="preserve">Support has contributed </w:t>
      </w:r>
      <w:r w:rsidRPr="00F536CC">
        <w:rPr>
          <w:rFonts w:ascii="Gill Sans MT" w:hAnsi="Gill Sans MT"/>
          <w:sz w:val="20"/>
          <w:lang w:val="en-GB"/>
        </w:rPr>
        <w:t>towards the achievement of targeted development results and how far it has had positive or negative unintended effects.</w:t>
      </w:r>
      <w:r w:rsidRPr="00D45BDF">
        <w:rPr>
          <w:rFonts w:ascii="Gill Sans MT" w:hAnsi="Gill Sans MT"/>
          <w:sz w:val="20"/>
          <w:lang w:val="en-GB"/>
        </w:rPr>
        <w:t xml:space="preserve"> </w:t>
      </w:r>
      <w:r>
        <w:rPr>
          <w:rFonts w:ascii="Gill Sans MT" w:hAnsi="Gill Sans MT"/>
          <w:sz w:val="20"/>
          <w:lang w:val="en-GB"/>
        </w:rPr>
        <w:t xml:space="preserve"> General and Sectoral Budget Support operations have been compared and an analysis has been made of t</w:t>
      </w:r>
      <w:r w:rsidRPr="00D45BDF">
        <w:rPr>
          <w:rFonts w:ascii="Gill Sans MT" w:hAnsi="Gill Sans MT"/>
          <w:sz w:val="20"/>
          <w:lang w:val="en-GB"/>
        </w:rPr>
        <w:t>he relative contributions and roles of the different components of Budget Support.</w:t>
      </w:r>
    </w:p>
    <w:p w14:paraId="6B344831" w14:textId="77777777" w:rsidR="00F83AE4" w:rsidRPr="00F536CC" w:rsidRDefault="00F83AE4" w:rsidP="00F83AE4">
      <w:pPr>
        <w:pStyle w:val="BodyText"/>
        <w:numPr>
          <w:ilvl w:val="0"/>
          <w:numId w:val="2"/>
        </w:numPr>
        <w:spacing w:line="360" w:lineRule="auto"/>
        <w:ind w:left="499" w:hanging="357"/>
        <w:rPr>
          <w:rFonts w:ascii="Gill Sans MT" w:hAnsi="Gill Sans MT"/>
          <w:sz w:val="20"/>
          <w:lang w:val="en-GB"/>
        </w:rPr>
      </w:pPr>
      <w:r>
        <w:rPr>
          <w:rFonts w:ascii="Gill Sans MT" w:hAnsi="Gill Sans MT"/>
          <w:b/>
          <w:sz w:val="20"/>
          <w:lang w:val="en-GB"/>
        </w:rPr>
        <w:t xml:space="preserve">An additional objective has been to identify the strengths and weaknesses of the “3 step approach” to the evaluation of Budget Support, </w:t>
      </w:r>
      <w:r w:rsidRPr="0007291B">
        <w:rPr>
          <w:rFonts w:ascii="Gill Sans MT" w:hAnsi="Gill Sans MT"/>
          <w:sz w:val="20"/>
          <w:lang w:val="en-GB"/>
        </w:rPr>
        <w:t>which has been adopted by the OECD-D</w:t>
      </w:r>
      <w:r>
        <w:rPr>
          <w:rFonts w:ascii="Gill Sans MT" w:hAnsi="Gill Sans MT"/>
          <w:sz w:val="20"/>
          <w:lang w:val="en-GB"/>
        </w:rPr>
        <w:t xml:space="preserve">AC </w:t>
      </w:r>
      <w:r w:rsidR="00B12F05">
        <w:rPr>
          <w:rFonts w:ascii="Gill Sans MT" w:hAnsi="Gill Sans MT"/>
          <w:sz w:val="20"/>
          <w:lang w:val="en-GB"/>
        </w:rPr>
        <w:t xml:space="preserve">Network on Development Evaluation </w:t>
      </w:r>
      <w:r>
        <w:rPr>
          <w:rFonts w:ascii="Gill Sans MT" w:hAnsi="Gill Sans MT"/>
          <w:sz w:val="20"/>
          <w:lang w:val="en-GB"/>
        </w:rPr>
        <w:t xml:space="preserve">and applied in each of these </w:t>
      </w:r>
      <w:r w:rsidRPr="0007291B">
        <w:rPr>
          <w:rFonts w:ascii="Gill Sans MT" w:hAnsi="Gill Sans MT"/>
          <w:sz w:val="20"/>
          <w:lang w:val="en-GB"/>
        </w:rPr>
        <w:t>cases</w:t>
      </w:r>
      <w:r>
        <w:rPr>
          <w:rFonts w:ascii="Gill Sans MT" w:hAnsi="Gill Sans MT"/>
          <w:b/>
          <w:sz w:val="20"/>
          <w:lang w:val="en-GB"/>
        </w:rPr>
        <w:t xml:space="preserve">. </w:t>
      </w:r>
      <w:r w:rsidRPr="0007291B">
        <w:rPr>
          <w:rFonts w:ascii="Gill Sans MT" w:hAnsi="Gill Sans MT"/>
          <w:sz w:val="20"/>
          <w:lang w:val="en-GB"/>
        </w:rPr>
        <w:t xml:space="preserve">The specific </w:t>
      </w:r>
      <w:r>
        <w:rPr>
          <w:rFonts w:ascii="Gill Sans MT" w:hAnsi="Gill Sans MT"/>
          <w:sz w:val="20"/>
          <w:lang w:val="en-GB"/>
        </w:rPr>
        <w:t>tools</w:t>
      </w:r>
      <w:r w:rsidRPr="0007291B">
        <w:rPr>
          <w:rFonts w:ascii="Gill Sans MT" w:hAnsi="Gill Sans MT"/>
          <w:sz w:val="20"/>
          <w:lang w:val="en-GB"/>
        </w:rPr>
        <w:t xml:space="preserve"> and evaluation techniques used by each evaluation team have been compared and assessed so as to develop recommendations on possible improvements to evaluation practice. </w:t>
      </w:r>
      <w:r>
        <w:rPr>
          <w:rFonts w:ascii="Gill Sans MT" w:hAnsi="Gill Sans MT"/>
          <w:sz w:val="20"/>
          <w:lang w:val="en-GB"/>
        </w:rPr>
        <w:t xml:space="preserve"> The results of this </w:t>
      </w:r>
      <w:r w:rsidRPr="004A0106">
        <w:rPr>
          <w:rFonts w:ascii="Gill Sans MT" w:hAnsi="Gill Sans MT"/>
          <w:sz w:val="20"/>
          <w:lang w:val="en-GB"/>
        </w:rPr>
        <w:t>assessment are presented in a separate volume. (</w:t>
      </w:r>
      <w:r>
        <w:rPr>
          <w:rFonts w:ascii="Gill Sans MT" w:hAnsi="Gill Sans MT"/>
          <w:sz w:val="20"/>
          <w:lang w:val="en-GB"/>
        </w:rPr>
        <w:t>Volume II</w:t>
      </w:r>
      <w:r w:rsidRPr="004A0106">
        <w:rPr>
          <w:rFonts w:ascii="Gill Sans MT" w:hAnsi="Gill Sans MT"/>
          <w:sz w:val="20"/>
          <w:lang w:val="en-GB"/>
        </w:rPr>
        <w:t>.)</w:t>
      </w:r>
    </w:p>
    <w:p w14:paraId="4FC26BC6" w14:textId="77777777" w:rsidR="00F83AE4" w:rsidRPr="00372CF5" w:rsidRDefault="00F83AE4" w:rsidP="00F83AE4">
      <w:pPr>
        <w:pStyle w:val="Heading2"/>
        <w:rPr>
          <w:bCs w:val="0"/>
        </w:rPr>
      </w:pPr>
      <w:bookmarkStart w:id="44" w:name="_Toc271007352"/>
      <w:bookmarkStart w:id="45" w:name="_Toc279848233"/>
      <w:r w:rsidRPr="00372CF5">
        <w:rPr>
          <w:bCs w:val="0"/>
        </w:rPr>
        <w:t>Summary of Key Findings</w:t>
      </w:r>
      <w:bookmarkEnd w:id="44"/>
      <w:bookmarkEnd w:id="45"/>
    </w:p>
    <w:p w14:paraId="70AD5B06" w14:textId="77777777" w:rsidR="00F83AE4" w:rsidRDefault="00F83AE4" w:rsidP="00F83AE4">
      <w:pPr>
        <w:pStyle w:val="BodyText"/>
        <w:numPr>
          <w:ilvl w:val="0"/>
          <w:numId w:val="2"/>
        </w:numPr>
        <w:spacing w:line="360" w:lineRule="auto"/>
        <w:ind w:left="499" w:hanging="357"/>
        <w:rPr>
          <w:rFonts w:ascii="Gill Sans MT" w:hAnsi="Gill Sans MT"/>
          <w:sz w:val="20"/>
          <w:lang w:val="en-GB"/>
        </w:rPr>
      </w:pPr>
      <w:r w:rsidRPr="00C46F9D">
        <w:rPr>
          <w:rFonts w:ascii="Gill Sans MT" w:hAnsi="Gill Sans MT"/>
          <w:b/>
          <w:sz w:val="20"/>
          <w:lang w:val="en-GB"/>
        </w:rPr>
        <w:t>The experience of these seven countries demonstrates that budget support can achieve significant results within a diverse and often challenging set of contexts</w:t>
      </w:r>
      <w:r>
        <w:rPr>
          <w:rFonts w:ascii="Gill Sans MT" w:hAnsi="Gill Sans MT"/>
          <w:sz w:val="20"/>
          <w:lang w:val="en-GB"/>
        </w:rPr>
        <w:t>. In particular, it has contributed in important ways to upgrading the capability of these governments to manage their public finances, to deliver services and to regulate economic activity, for the benefit of their citizens.</w:t>
      </w:r>
    </w:p>
    <w:p w14:paraId="4589FC0D" w14:textId="77777777" w:rsidR="00F83AE4" w:rsidRDefault="00F83AE4" w:rsidP="00F83AE4">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In the Low Income Countries, the increased flow of funds resulting from budge</w:t>
      </w:r>
      <w:r w:rsidR="001B049C">
        <w:rPr>
          <w:rFonts w:ascii="Gill Sans MT" w:hAnsi="Gill Sans MT"/>
          <w:sz w:val="20"/>
          <w:lang w:val="en-GB"/>
        </w:rPr>
        <w:t>t support has been the princip</w:t>
      </w:r>
      <w:r>
        <w:rPr>
          <w:rFonts w:ascii="Gill Sans MT" w:hAnsi="Gill Sans MT"/>
          <w:sz w:val="20"/>
          <w:lang w:val="en-GB"/>
        </w:rPr>
        <w:t xml:space="preserve">al contribution, supporting a considerable improvement in the coverage and utilisation of services – particularly in education and health. There have also been improvements in macroeconomic performance, a significant strengthening of PFM systems and some gains in transparency and oversight, as well as in the legal and institutional framework for fighting corruption.  </w:t>
      </w:r>
    </w:p>
    <w:p w14:paraId="599756C3" w14:textId="77777777" w:rsidR="00F83AE4" w:rsidRDefault="00F83AE4" w:rsidP="00F83AE4">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In the Middle Income Countries, support to reforms through policy dialogue and technical assistance/ capacity development have</w:t>
      </w:r>
      <w:r w:rsidR="00D47491">
        <w:rPr>
          <w:rFonts w:ascii="Gill Sans MT" w:hAnsi="Gill Sans MT"/>
          <w:sz w:val="20"/>
          <w:lang w:val="en-GB"/>
        </w:rPr>
        <w:t xml:space="preserve"> been the primary contributions, although in South Africa the provision of funds enabled the government to finance programmes that it would not </w:t>
      </w:r>
      <w:r w:rsidR="00D47491">
        <w:rPr>
          <w:rFonts w:ascii="Gill Sans MT" w:hAnsi="Gill Sans MT"/>
          <w:sz w:val="20"/>
          <w:lang w:val="en-GB"/>
        </w:rPr>
        <w:lastRenderedPageBreak/>
        <w:t xml:space="preserve">otherwise have been able to finance at that time. The funds </w:t>
      </w:r>
      <w:r>
        <w:rPr>
          <w:rFonts w:ascii="Gill Sans MT" w:hAnsi="Gill Sans MT"/>
          <w:sz w:val="20"/>
          <w:lang w:val="en-GB"/>
        </w:rPr>
        <w:t xml:space="preserve">supported a government driven process of policy and service delivery innovation, aimed at democratising public services and improving their impact on poverty, inequality and public governance. Where appropriate, the resulting innovations were scaled up and mainstreamed into national policy on water &amp; sanitation, primary health care, access to justice, access to technology and employment promotion. In Morocco and Tunisia, GBS and SBS have provided support to tax reforms and to regulatory and institutional changes aimed at modernising these economies and promoting their insertion in the World economy. The coverage of health services and of secondary and tertiary education has also been improved, as too have adult literacy services in Morocco. </w:t>
      </w:r>
    </w:p>
    <w:p w14:paraId="1DE86117" w14:textId="77777777" w:rsidR="00F83AE4" w:rsidRDefault="00F83AE4" w:rsidP="00F83AE4">
      <w:pPr>
        <w:pStyle w:val="BodyText"/>
        <w:numPr>
          <w:ilvl w:val="0"/>
          <w:numId w:val="2"/>
        </w:numPr>
        <w:spacing w:line="360" w:lineRule="auto"/>
        <w:ind w:left="499" w:hanging="357"/>
        <w:rPr>
          <w:rFonts w:ascii="Gill Sans MT" w:hAnsi="Gill Sans MT"/>
          <w:sz w:val="20"/>
          <w:lang w:val="en-GB"/>
        </w:rPr>
      </w:pPr>
      <w:r w:rsidRPr="00E626AB">
        <w:rPr>
          <w:rFonts w:ascii="Gill Sans MT" w:hAnsi="Gill Sans MT"/>
          <w:b/>
          <w:sz w:val="20"/>
          <w:lang w:val="en-GB"/>
        </w:rPr>
        <w:t>Tangible outcomes have been achieved in all cases and there are also indications of positive impacts on economic growth and on non-income poverty.</w:t>
      </w:r>
      <w:r>
        <w:rPr>
          <w:rFonts w:ascii="Gill Sans MT" w:hAnsi="Gill Sans MT"/>
          <w:sz w:val="20"/>
          <w:lang w:val="en-GB"/>
        </w:rPr>
        <w:t xml:space="preserve"> During the evaluation period, there were significant reductions in income poverty in Mali, Morocco, South Africa and Tunisia, although it is difficult to attribute this directly to budget support. </w:t>
      </w:r>
    </w:p>
    <w:p w14:paraId="76E1788F" w14:textId="77777777" w:rsidR="00F83AE4" w:rsidRPr="004C5AE6" w:rsidRDefault="00F83AE4" w:rsidP="00F83AE4">
      <w:pPr>
        <w:pStyle w:val="BodyText"/>
        <w:numPr>
          <w:ilvl w:val="0"/>
          <w:numId w:val="2"/>
        </w:numPr>
        <w:spacing w:line="360" w:lineRule="auto"/>
        <w:ind w:left="499" w:hanging="357"/>
        <w:rPr>
          <w:rFonts w:ascii="Gill Sans MT" w:hAnsi="Gill Sans MT"/>
          <w:sz w:val="20"/>
          <w:lang w:val="en-GB"/>
        </w:rPr>
      </w:pPr>
      <w:r w:rsidRPr="00101608">
        <w:rPr>
          <w:rFonts w:ascii="Gill Sans MT" w:hAnsi="Gill Sans MT"/>
          <w:b/>
          <w:sz w:val="20"/>
          <w:szCs w:val="12"/>
        </w:rPr>
        <w:t>The delivery mechanisms for budget support were fully consistent with the commitments in the Paris Declaration, the Accra Agenda for Action and the Busan Declaration</w:t>
      </w:r>
      <w:r>
        <w:rPr>
          <w:rFonts w:ascii="Gill Sans MT" w:hAnsi="Gill Sans MT"/>
          <w:sz w:val="20"/>
          <w:szCs w:val="12"/>
        </w:rPr>
        <w:t xml:space="preserve">. In particular, budget support processes proved themselves to be more closely aligned to government policies and processes than any other aid modality.  </w:t>
      </w:r>
    </w:p>
    <w:p w14:paraId="42DAF18C" w14:textId="77777777" w:rsidR="00F83AE4" w:rsidRPr="00351C9A" w:rsidRDefault="00F83AE4" w:rsidP="00F83AE4">
      <w:pPr>
        <w:pStyle w:val="BodyText"/>
        <w:numPr>
          <w:ilvl w:val="0"/>
          <w:numId w:val="2"/>
        </w:numPr>
        <w:spacing w:line="360" w:lineRule="auto"/>
        <w:ind w:left="499" w:hanging="357"/>
        <w:rPr>
          <w:rFonts w:ascii="Gill Sans MT" w:hAnsi="Gill Sans MT"/>
          <w:sz w:val="20"/>
          <w:lang w:val="en-GB"/>
        </w:rPr>
      </w:pPr>
      <w:r w:rsidRPr="007071C5">
        <w:rPr>
          <w:rFonts w:ascii="Gill Sans MT" w:hAnsi="Gill Sans MT"/>
          <w:b/>
          <w:sz w:val="20"/>
          <w:szCs w:val="12"/>
        </w:rPr>
        <w:t>None of the negative effects commonly assumed to be associated with budget support were found to be present</w:t>
      </w:r>
      <w:r>
        <w:rPr>
          <w:rFonts w:ascii="Gill Sans MT" w:hAnsi="Gill Sans MT"/>
          <w:sz w:val="20"/>
          <w:szCs w:val="12"/>
        </w:rPr>
        <w:t>:</w:t>
      </w:r>
    </w:p>
    <w:p w14:paraId="64715B67" w14:textId="77777777" w:rsidR="00F83AE4" w:rsidRPr="000B5A5B" w:rsidRDefault="00F83AE4" w:rsidP="001D4A3A">
      <w:pPr>
        <w:pStyle w:val="BodyText"/>
        <w:numPr>
          <w:ilvl w:val="2"/>
          <w:numId w:val="2"/>
        </w:numPr>
        <w:spacing w:line="360" w:lineRule="auto"/>
        <w:rPr>
          <w:rFonts w:ascii="Gill Sans MT" w:hAnsi="Gill Sans MT"/>
          <w:sz w:val="20"/>
          <w:lang w:val="en-GB"/>
        </w:rPr>
      </w:pPr>
      <w:r>
        <w:rPr>
          <w:rFonts w:ascii="Gill Sans MT" w:hAnsi="Gill Sans MT"/>
          <w:sz w:val="20"/>
          <w:szCs w:val="12"/>
        </w:rPr>
        <w:t xml:space="preserve">Domestic revenue generation remained bouyant throughout the evaluation, and there were no signs of disincentive effects resulting from budget support flows. </w:t>
      </w:r>
    </w:p>
    <w:p w14:paraId="6BCC6C8F" w14:textId="77777777" w:rsidR="00F83AE4" w:rsidRPr="000B5A5B" w:rsidRDefault="00F83AE4" w:rsidP="001D4A3A">
      <w:pPr>
        <w:pStyle w:val="BodyText"/>
        <w:numPr>
          <w:ilvl w:val="2"/>
          <w:numId w:val="2"/>
        </w:numPr>
        <w:spacing w:line="360" w:lineRule="auto"/>
        <w:rPr>
          <w:rFonts w:ascii="Gill Sans MT" w:hAnsi="Gill Sans MT"/>
          <w:sz w:val="20"/>
          <w:lang w:val="en-GB"/>
        </w:rPr>
      </w:pPr>
      <w:r>
        <w:rPr>
          <w:rFonts w:ascii="Gill Sans MT" w:hAnsi="Gill Sans MT"/>
          <w:sz w:val="20"/>
          <w:szCs w:val="12"/>
        </w:rPr>
        <w:t xml:space="preserve">In the 4 LIC countries, where budget support represented a high percentage of public expenditure, these additional resources were used predominantly to raise spending within the priority sectors, most especially in education, health and roads. </w:t>
      </w:r>
    </w:p>
    <w:p w14:paraId="1C6DAA9B" w14:textId="77777777" w:rsidR="00F83AE4" w:rsidRPr="000B5A5B" w:rsidRDefault="001D4A3A" w:rsidP="001D4A3A">
      <w:pPr>
        <w:pStyle w:val="BodyText"/>
        <w:numPr>
          <w:ilvl w:val="2"/>
          <w:numId w:val="2"/>
        </w:numPr>
        <w:spacing w:line="360" w:lineRule="auto"/>
        <w:rPr>
          <w:rFonts w:ascii="Gill Sans MT" w:hAnsi="Gill Sans MT"/>
          <w:sz w:val="20"/>
          <w:lang w:val="en-GB"/>
        </w:rPr>
      </w:pPr>
      <w:r>
        <w:rPr>
          <w:rFonts w:ascii="Gill Sans MT" w:hAnsi="Gill Sans MT"/>
          <w:sz w:val="20"/>
          <w:szCs w:val="12"/>
        </w:rPr>
        <w:t>T</w:t>
      </w:r>
      <w:r w:rsidR="00F83AE4">
        <w:rPr>
          <w:rFonts w:ascii="Gill Sans MT" w:hAnsi="Gill Sans MT"/>
          <w:sz w:val="20"/>
          <w:szCs w:val="12"/>
        </w:rPr>
        <w:t xml:space="preserve">ransparency and accountability systems improved during the evaluation period, especially within the LICs, where there was also a marginal improvement in the control of corruption, as reported in the Worldwide Governance Indicators. </w:t>
      </w:r>
    </w:p>
    <w:p w14:paraId="3636AB24" w14:textId="77777777" w:rsidR="00F83AE4" w:rsidRPr="00D87D22" w:rsidRDefault="00F83AE4" w:rsidP="00F83AE4">
      <w:pPr>
        <w:pStyle w:val="BodyText"/>
        <w:numPr>
          <w:ilvl w:val="0"/>
          <w:numId w:val="2"/>
        </w:numPr>
        <w:spacing w:line="360" w:lineRule="auto"/>
        <w:ind w:left="499" w:hanging="357"/>
        <w:rPr>
          <w:rFonts w:ascii="Gill Sans MT" w:hAnsi="Gill Sans MT"/>
          <w:sz w:val="20"/>
          <w:lang w:val="en-GB"/>
        </w:rPr>
      </w:pPr>
      <w:r w:rsidRPr="00101608">
        <w:rPr>
          <w:rFonts w:ascii="Gill Sans MT" w:hAnsi="Gill Sans MT"/>
          <w:b/>
          <w:sz w:val="20"/>
          <w:szCs w:val="12"/>
        </w:rPr>
        <w:t>Annual disbursements were largely consistent with the amounts projected in the budgets and treasury plans of the recipient governments</w:t>
      </w:r>
      <w:r>
        <w:rPr>
          <w:rFonts w:ascii="Gill Sans MT" w:hAnsi="Gill Sans MT"/>
          <w:sz w:val="20"/>
          <w:szCs w:val="12"/>
        </w:rPr>
        <w:t xml:space="preserve"> and, thus, proved to be significantly more predictable than other aid modalities, with annual disbursements of 90-100% of projections, as compared with 60-80% for projects and common basket funds. The timing of disbursements within year proved more problematic. </w:t>
      </w:r>
    </w:p>
    <w:p w14:paraId="6A504BB5" w14:textId="77777777" w:rsidR="00F83AE4" w:rsidRPr="00C256BD" w:rsidRDefault="00F83AE4" w:rsidP="00F83AE4">
      <w:pPr>
        <w:pStyle w:val="BodyText"/>
        <w:numPr>
          <w:ilvl w:val="0"/>
          <w:numId w:val="2"/>
        </w:numPr>
        <w:spacing w:line="360" w:lineRule="auto"/>
        <w:ind w:left="499" w:hanging="357"/>
        <w:rPr>
          <w:rFonts w:ascii="Gill Sans MT" w:hAnsi="Gill Sans MT"/>
          <w:sz w:val="20"/>
          <w:lang w:val="en-GB"/>
        </w:rPr>
      </w:pPr>
      <w:r w:rsidRPr="00101608">
        <w:rPr>
          <w:rFonts w:ascii="Gill Sans MT" w:hAnsi="Gill Sans MT"/>
          <w:b/>
          <w:sz w:val="20"/>
          <w:szCs w:val="12"/>
        </w:rPr>
        <w:t>Transaction costs were found to be lower – per unit of aid disbursed - than for projects and common basket funds</w:t>
      </w:r>
      <w:r>
        <w:rPr>
          <w:rFonts w:ascii="Gill Sans MT" w:hAnsi="Gill Sans MT"/>
          <w:sz w:val="20"/>
          <w:szCs w:val="12"/>
        </w:rPr>
        <w:t xml:space="preserve">. The nature of transaction costs also changed, with a greater attention to policy rather than administrative issues. On the other hand, transaction costs were perceived to be higher than they should have been. This was, in part, due to </w:t>
      </w:r>
      <w:r>
        <w:rPr>
          <w:rFonts w:ascii="Gill Sans MT" w:hAnsi="Gill Sans MT"/>
          <w:sz w:val="20"/>
          <w:szCs w:val="12"/>
        </w:rPr>
        <w:lastRenderedPageBreak/>
        <w:t xml:space="preserve">continued shortcomings in the quality of harmonisation, and in part due to excessively complex assessment and disbursement conditions.  </w:t>
      </w:r>
    </w:p>
    <w:p w14:paraId="25755179" w14:textId="77777777" w:rsidR="00F83AE4" w:rsidRPr="00C256BD" w:rsidRDefault="00F83AE4" w:rsidP="00F83AE4">
      <w:pPr>
        <w:pStyle w:val="BodyText"/>
        <w:numPr>
          <w:ilvl w:val="0"/>
          <w:numId w:val="2"/>
        </w:numPr>
        <w:spacing w:line="360" w:lineRule="auto"/>
        <w:ind w:left="499" w:hanging="357"/>
        <w:rPr>
          <w:rFonts w:ascii="Gill Sans MT" w:hAnsi="Gill Sans MT"/>
          <w:sz w:val="20"/>
          <w:lang w:val="en-GB"/>
        </w:rPr>
      </w:pPr>
      <w:r w:rsidRPr="00295D69">
        <w:rPr>
          <w:rFonts w:ascii="Gill Sans MT" w:hAnsi="Gill Sans MT"/>
          <w:b/>
          <w:sz w:val="20"/>
          <w:szCs w:val="12"/>
        </w:rPr>
        <w:t>The main achievements as regards policy dialogue related to the establishment of institutional frameworks</w:t>
      </w:r>
      <w:r>
        <w:rPr>
          <w:rFonts w:ascii="Gill Sans MT" w:hAnsi="Gill Sans MT"/>
          <w:b/>
          <w:sz w:val="20"/>
          <w:szCs w:val="12"/>
        </w:rPr>
        <w:t xml:space="preserve"> and processes </w:t>
      </w:r>
      <w:r w:rsidRPr="00295D69">
        <w:rPr>
          <w:rFonts w:ascii="Gill Sans MT" w:hAnsi="Gill Sans MT"/>
          <w:b/>
          <w:sz w:val="20"/>
          <w:szCs w:val="12"/>
        </w:rPr>
        <w:t>but the substance of dialogue was often less than satisfactory</w:t>
      </w:r>
      <w:r>
        <w:rPr>
          <w:rFonts w:ascii="Gill Sans MT" w:hAnsi="Gill Sans MT"/>
          <w:sz w:val="20"/>
          <w:szCs w:val="12"/>
        </w:rPr>
        <w:t>. It worked reasonably well as a mechanism for establishing milestones and progress targets for agreed reforms and for lending external discipline to the monitoring process. Sometimes, the policy dialogue was useful in bringing in outside ideas, perspectives and experiences. Yet, as a whole, the perception was that policy dialogue had not been as effective as it should have been in aiding strategic forward-thinking and problem solving.</w:t>
      </w:r>
    </w:p>
    <w:p w14:paraId="20C345F5" w14:textId="77777777" w:rsidR="00F83AE4" w:rsidRPr="00081E0C" w:rsidRDefault="00F83AE4" w:rsidP="00F83AE4">
      <w:pPr>
        <w:pStyle w:val="BodyText"/>
        <w:numPr>
          <w:ilvl w:val="0"/>
          <w:numId w:val="2"/>
        </w:numPr>
        <w:spacing w:line="360" w:lineRule="auto"/>
        <w:ind w:left="499" w:hanging="357"/>
        <w:rPr>
          <w:rFonts w:ascii="Gill Sans MT" w:hAnsi="Gill Sans MT"/>
          <w:sz w:val="20"/>
          <w:lang w:val="en-GB"/>
        </w:rPr>
      </w:pPr>
      <w:r>
        <w:rPr>
          <w:rFonts w:ascii="Gill Sans MT" w:hAnsi="Gill Sans MT"/>
          <w:sz w:val="20"/>
          <w:szCs w:val="12"/>
        </w:rPr>
        <w:t xml:space="preserve">Technical assistance and capacity development was provided both as an integral part of budget support operations and as a parallel accompanying measure in each of the seven countries. However, the </w:t>
      </w:r>
      <w:r w:rsidRPr="00A438F6">
        <w:rPr>
          <w:rFonts w:ascii="Gill Sans MT" w:hAnsi="Gill Sans MT"/>
          <w:sz w:val="20"/>
          <w:szCs w:val="12"/>
        </w:rPr>
        <w:t>pe</w:t>
      </w:r>
      <w:r>
        <w:rPr>
          <w:rFonts w:ascii="Gill Sans MT" w:hAnsi="Gill Sans MT"/>
          <w:sz w:val="20"/>
          <w:szCs w:val="12"/>
        </w:rPr>
        <w:t xml:space="preserve">rception </w:t>
      </w:r>
      <w:r w:rsidRPr="00A438F6">
        <w:rPr>
          <w:rFonts w:ascii="Gill Sans MT" w:hAnsi="Gill Sans MT"/>
          <w:sz w:val="20"/>
          <w:szCs w:val="12"/>
        </w:rPr>
        <w:t>was that</w:t>
      </w:r>
      <w:r w:rsidRPr="00C830A0">
        <w:rPr>
          <w:rFonts w:ascii="Gill Sans MT" w:hAnsi="Gill Sans MT"/>
          <w:b/>
          <w:sz w:val="20"/>
          <w:szCs w:val="12"/>
        </w:rPr>
        <w:t xml:space="preserve"> </w:t>
      </w:r>
      <w:r w:rsidRPr="00676665">
        <w:rPr>
          <w:rFonts w:ascii="Gill Sans MT" w:hAnsi="Gill Sans MT"/>
          <w:sz w:val="20"/>
          <w:szCs w:val="12"/>
        </w:rPr>
        <w:t>the potential of the technical assistance/ capacity building component was not</w:t>
      </w:r>
      <w:r w:rsidR="001B049C">
        <w:rPr>
          <w:rFonts w:ascii="Gill Sans MT" w:hAnsi="Gill Sans MT"/>
          <w:sz w:val="20"/>
          <w:szCs w:val="12"/>
        </w:rPr>
        <w:t xml:space="preserve"> </w:t>
      </w:r>
      <w:r w:rsidR="004753D9">
        <w:rPr>
          <w:rFonts w:ascii="Gill Sans MT" w:hAnsi="Gill Sans MT"/>
          <w:sz w:val="20"/>
          <w:szCs w:val="12"/>
        </w:rPr>
        <w:t>fully exploited</w:t>
      </w:r>
      <w:r w:rsidRPr="00676665">
        <w:rPr>
          <w:rFonts w:ascii="Gill Sans MT" w:hAnsi="Gill Sans MT"/>
          <w:sz w:val="20"/>
          <w:szCs w:val="12"/>
        </w:rPr>
        <w:t>, especially because its use was not strategically planned and</w:t>
      </w:r>
      <w:r>
        <w:rPr>
          <w:rFonts w:ascii="Gill Sans MT" w:hAnsi="Gill Sans MT"/>
          <w:sz w:val="20"/>
          <w:szCs w:val="12"/>
        </w:rPr>
        <w:t xml:space="preserve"> </w:t>
      </w:r>
      <w:r w:rsidRPr="00676665">
        <w:rPr>
          <w:rFonts w:ascii="Gill Sans MT" w:hAnsi="Gill Sans MT"/>
          <w:sz w:val="20"/>
          <w:szCs w:val="12"/>
        </w:rPr>
        <w:t xml:space="preserve">there was a lack of flexible arrangements for responding to identified needs in an agile manner. </w:t>
      </w:r>
    </w:p>
    <w:p w14:paraId="7E5F87EA" w14:textId="77777777" w:rsidR="00F83AE4" w:rsidRPr="00891428" w:rsidRDefault="00F83AE4" w:rsidP="00F83AE4">
      <w:pPr>
        <w:pStyle w:val="Heading2"/>
        <w:rPr>
          <w:bCs w:val="0"/>
        </w:rPr>
      </w:pPr>
      <w:bookmarkStart w:id="46" w:name="_Toc279848234"/>
      <w:r w:rsidRPr="00891428">
        <w:rPr>
          <w:bCs w:val="0"/>
        </w:rPr>
        <w:t>Lessons learned</w:t>
      </w:r>
      <w:bookmarkEnd w:id="46"/>
    </w:p>
    <w:p w14:paraId="31EE19E3" w14:textId="77777777" w:rsidR="00F83AE4" w:rsidRPr="00CA1C1A" w:rsidRDefault="00F83AE4" w:rsidP="00F83AE4">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Three key lessons emerged from the analysis of the different combinations of Contexts-Mechanisms-Outcomes (C-M-O), thrown up by these seven cases, as well as a preliminary conclusion on the choice of General or Sector Budget Support: </w:t>
      </w:r>
    </w:p>
    <w:p w14:paraId="1663F94D" w14:textId="470D46D9" w:rsidR="00F83AE4" w:rsidRDefault="00F83AE4" w:rsidP="008F339F">
      <w:pPr>
        <w:pStyle w:val="BodyText"/>
        <w:numPr>
          <w:ilvl w:val="0"/>
          <w:numId w:val="40"/>
        </w:numPr>
        <w:spacing w:line="360" w:lineRule="auto"/>
        <w:rPr>
          <w:rFonts w:ascii="Gill Sans MT" w:hAnsi="Gill Sans MT"/>
          <w:sz w:val="20"/>
          <w:lang w:val="en-GB"/>
        </w:rPr>
      </w:pPr>
      <w:r>
        <w:rPr>
          <w:rFonts w:ascii="Gill Sans MT" w:hAnsi="Gill Sans MT"/>
          <w:b/>
          <w:sz w:val="20"/>
          <w:szCs w:val="12"/>
        </w:rPr>
        <w:t xml:space="preserve">Trust and confidence in donor-government relations are essential for an open and honest policy dialogue. </w:t>
      </w:r>
      <w:r w:rsidRPr="008D1D71">
        <w:rPr>
          <w:rFonts w:ascii="Gill Sans MT" w:hAnsi="Gill Sans MT"/>
          <w:sz w:val="20"/>
          <w:szCs w:val="12"/>
        </w:rPr>
        <w:t>Governments and donors will always have</w:t>
      </w:r>
      <w:r>
        <w:rPr>
          <w:rFonts w:ascii="Gill Sans MT" w:hAnsi="Gill Sans MT"/>
          <w:sz w:val="20"/>
          <w:szCs w:val="12"/>
        </w:rPr>
        <w:t xml:space="preserve"> differences in their priorities but in a partnership where the main issues of agreement and disagreement can be put on the table, dialogue can proceed constructively. This can only occur where there is a firm base of trust and confidence. Underlying tensions in donor-government r</w:t>
      </w:r>
      <w:r w:rsidR="0038117E">
        <w:rPr>
          <w:rFonts w:ascii="Gill Sans MT" w:hAnsi="Gill Sans MT"/>
          <w:sz w:val="20"/>
          <w:szCs w:val="12"/>
        </w:rPr>
        <w:t xml:space="preserve">elations undermine the </w:t>
      </w:r>
      <w:r>
        <w:rPr>
          <w:rFonts w:ascii="Gill Sans MT" w:hAnsi="Gill Sans MT"/>
          <w:sz w:val="20"/>
          <w:szCs w:val="12"/>
        </w:rPr>
        <w:t xml:space="preserve">honest debate and free information exchange essential for a strategic problem-solving dialogue. </w:t>
      </w:r>
      <w:r w:rsidR="00771DB1">
        <w:rPr>
          <w:rFonts w:ascii="Gill Sans MT" w:hAnsi="Gill Sans MT"/>
          <w:sz w:val="20"/>
          <w:szCs w:val="12"/>
        </w:rPr>
        <w:t xml:space="preserve"> For these reasons, Budget Support worked best</w:t>
      </w:r>
      <w:r w:rsidR="001673A0">
        <w:rPr>
          <w:rFonts w:ascii="Gill Sans MT" w:hAnsi="Gill Sans MT"/>
          <w:sz w:val="20"/>
          <w:szCs w:val="12"/>
        </w:rPr>
        <w:t xml:space="preserve"> where </w:t>
      </w:r>
      <w:r w:rsidR="00771DB1">
        <w:rPr>
          <w:rFonts w:ascii="Gill Sans MT" w:hAnsi="Gill Sans MT"/>
          <w:sz w:val="20"/>
          <w:szCs w:val="12"/>
        </w:rPr>
        <w:t>the policy dialogue was concentrated on the mutual areas of interest of the beneficiary governments and their Development Partners.</w:t>
      </w:r>
    </w:p>
    <w:p w14:paraId="145FBEAA" w14:textId="77777777" w:rsidR="00F83AE4" w:rsidRDefault="00F83AE4" w:rsidP="008F339F">
      <w:pPr>
        <w:pStyle w:val="BodyText"/>
        <w:numPr>
          <w:ilvl w:val="0"/>
          <w:numId w:val="40"/>
        </w:numPr>
        <w:spacing w:line="360" w:lineRule="auto"/>
        <w:rPr>
          <w:rFonts w:ascii="Gill Sans MT" w:hAnsi="Gill Sans MT"/>
          <w:sz w:val="20"/>
          <w:lang w:val="en-GB"/>
        </w:rPr>
      </w:pPr>
      <w:r>
        <w:rPr>
          <w:rFonts w:ascii="Gill Sans MT" w:hAnsi="Gill Sans MT"/>
          <w:b/>
          <w:sz w:val="20"/>
          <w:szCs w:val="12"/>
        </w:rPr>
        <w:t>Effective p</w:t>
      </w:r>
      <w:r w:rsidRPr="00CA1C1A">
        <w:rPr>
          <w:rFonts w:ascii="Gill Sans MT" w:hAnsi="Gill Sans MT"/>
          <w:b/>
          <w:sz w:val="20"/>
          <w:szCs w:val="12"/>
        </w:rPr>
        <w:t>olicy dialogue requires explicit measures to develop the space for strategic problem-solving discussion.</w:t>
      </w:r>
      <w:r w:rsidRPr="00CA1C1A">
        <w:rPr>
          <w:rFonts w:ascii="Gill Sans MT" w:hAnsi="Gill Sans MT"/>
          <w:sz w:val="20"/>
          <w:szCs w:val="12"/>
        </w:rPr>
        <w:t xml:space="preserve"> In Morocco, the limited attention to final outcomes and impacts meant that the space for genuinely strategic discussions was limited. </w:t>
      </w:r>
      <w:r w:rsidRPr="00CA1C1A">
        <w:rPr>
          <w:rFonts w:ascii="Gill Sans MT" w:hAnsi="Gill Sans MT"/>
          <w:sz w:val="20"/>
          <w:lang w:val="en-GB"/>
        </w:rPr>
        <w:t>In Mozambique, Tanzania and Zambia, disagreements over underlying principles changed the character of policy dialogue so that the space for strategic problem-solving dialogue was largely lost. As a consequence, policy issues, which should have been on the table, were not adequately discussed.</w:t>
      </w:r>
    </w:p>
    <w:p w14:paraId="3822425F" w14:textId="4A88AA59" w:rsidR="00F83AE4" w:rsidRPr="00F84322" w:rsidRDefault="00F83AE4" w:rsidP="008F339F">
      <w:pPr>
        <w:pStyle w:val="BodyText"/>
        <w:numPr>
          <w:ilvl w:val="0"/>
          <w:numId w:val="40"/>
        </w:numPr>
        <w:spacing w:line="360" w:lineRule="auto"/>
        <w:rPr>
          <w:rFonts w:ascii="Gill Sans MT" w:hAnsi="Gill Sans MT"/>
          <w:sz w:val="20"/>
          <w:lang w:val="en-GB"/>
        </w:rPr>
      </w:pPr>
      <w:r>
        <w:rPr>
          <w:rFonts w:ascii="Gill Sans MT" w:hAnsi="Gill Sans MT"/>
          <w:b/>
          <w:sz w:val="20"/>
          <w:szCs w:val="12"/>
        </w:rPr>
        <w:t>B</w:t>
      </w:r>
      <w:r w:rsidRPr="00CA1C1A">
        <w:rPr>
          <w:rFonts w:ascii="Gill Sans MT" w:hAnsi="Gill Sans MT"/>
          <w:b/>
          <w:sz w:val="20"/>
          <w:szCs w:val="12"/>
        </w:rPr>
        <w:t xml:space="preserve">udget support funding is not </w:t>
      </w:r>
      <w:r>
        <w:rPr>
          <w:rFonts w:ascii="Gill Sans MT" w:hAnsi="Gill Sans MT"/>
          <w:b/>
          <w:sz w:val="20"/>
          <w:szCs w:val="12"/>
        </w:rPr>
        <w:t>correlated with policy leverage.</w:t>
      </w:r>
      <w:r w:rsidRPr="00CA1C1A">
        <w:rPr>
          <w:rFonts w:ascii="Gill Sans MT" w:hAnsi="Gill Sans MT"/>
          <w:b/>
          <w:sz w:val="20"/>
          <w:szCs w:val="12"/>
        </w:rPr>
        <w:t xml:space="preserve"> </w:t>
      </w:r>
      <w:r>
        <w:rPr>
          <w:rFonts w:ascii="Gill Sans MT" w:hAnsi="Gill Sans MT"/>
          <w:sz w:val="20"/>
          <w:szCs w:val="12"/>
        </w:rPr>
        <w:t>D</w:t>
      </w:r>
      <w:r w:rsidRPr="00CA1C1A">
        <w:rPr>
          <w:rFonts w:ascii="Gill Sans MT" w:hAnsi="Gill Sans MT"/>
          <w:sz w:val="20"/>
          <w:szCs w:val="12"/>
        </w:rPr>
        <w:t>espite the significant funds provided in the LICs, there were reforms which the partner governments did not</w:t>
      </w:r>
      <w:r>
        <w:rPr>
          <w:rFonts w:ascii="Gill Sans MT" w:hAnsi="Gill Sans MT"/>
          <w:sz w:val="20"/>
          <w:szCs w:val="12"/>
        </w:rPr>
        <w:t xml:space="preserve"> undertake despite losing </w:t>
      </w:r>
      <w:r w:rsidRPr="00CA1C1A">
        <w:rPr>
          <w:rFonts w:ascii="Gill Sans MT" w:hAnsi="Gill Sans MT"/>
          <w:sz w:val="20"/>
          <w:szCs w:val="12"/>
        </w:rPr>
        <w:t xml:space="preserve">funding. In the MICs, by contrast, </w:t>
      </w:r>
      <w:r w:rsidR="004E2239">
        <w:rPr>
          <w:rFonts w:ascii="Gill Sans MT" w:hAnsi="Gill Sans MT"/>
          <w:sz w:val="20"/>
          <w:szCs w:val="12"/>
        </w:rPr>
        <w:lastRenderedPageBreak/>
        <w:t xml:space="preserve">donors did not raise fundamental policy issues but were </w:t>
      </w:r>
      <w:r w:rsidRPr="00CA1C1A">
        <w:rPr>
          <w:rFonts w:ascii="Gill Sans MT" w:hAnsi="Gill Sans MT"/>
          <w:sz w:val="20"/>
          <w:szCs w:val="12"/>
        </w:rPr>
        <w:t xml:space="preserve">able to influence </w:t>
      </w:r>
      <w:r w:rsidR="004E2239">
        <w:rPr>
          <w:rFonts w:ascii="Gill Sans MT" w:hAnsi="Gill Sans MT"/>
          <w:sz w:val="20"/>
          <w:szCs w:val="12"/>
        </w:rPr>
        <w:t xml:space="preserve">aspects of </w:t>
      </w:r>
      <w:r w:rsidRPr="00CA1C1A">
        <w:rPr>
          <w:rFonts w:ascii="Gill Sans MT" w:hAnsi="Gill Sans MT"/>
          <w:sz w:val="20"/>
          <w:szCs w:val="12"/>
        </w:rPr>
        <w:t xml:space="preserve">the design of reforms through policy dialogue and </w:t>
      </w:r>
      <w:r w:rsidR="004E2239">
        <w:rPr>
          <w:rFonts w:ascii="Gill Sans MT" w:hAnsi="Gill Sans MT"/>
          <w:sz w:val="20"/>
          <w:szCs w:val="12"/>
        </w:rPr>
        <w:t>technical assistance, even though</w:t>
      </w:r>
      <w:r w:rsidRPr="00CA1C1A">
        <w:rPr>
          <w:rFonts w:ascii="Gill Sans MT" w:hAnsi="Gill Sans MT"/>
          <w:sz w:val="20"/>
          <w:szCs w:val="12"/>
        </w:rPr>
        <w:t xml:space="preserve"> levels of budget support funding comprised less than 2% of public spending. Budget support influenced policy, where interests converged; where they did not converge, domestic political interests drove the agenda and, </w:t>
      </w:r>
      <w:r>
        <w:rPr>
          <w:rFonts w:ascii="Gill Sans MT" w:hAnsi="Gill Sans MT"/>
          <w:sz w:val="20"/>
          <w:szCs w:val="12"/>
        </w:rPr>
        <w:t xml:space="preserve">those </w:t>
      </w:r>
      <w:r w:rsidRPr="00CA1C1A">
        <w:rPr>
          <w:rFonts w:ascii="Gill Sans MT" w:hAnsi="Gill Sans MT"/>
          <w:sz w:val="20"/>
          <w:szCs w:val="12"/>
        </w:rPr>
        <w:t xml:space="preserve">interests proved impervious to external influence. </w:t>
      </w:r>
      <w:r w:rsidRPr="00CB17EE">
        <w:rPr>
          <w:rFonts w:ascii="Gill Sans MT" w:hAnsi="Gill Sans MT"/>
          <w:sz w:val="20"/>
          <w:szCs w:val="12"/>
        </w:rPr>
        <w:t>In this respect</w:t>
      </w:r>
      <w:r>
        <w:rPr>
          <w:rFonts w:ascii="Gill Sans MT" w:hAnsi="Gill Sans MT"/>
          <w:sz w:val="20"/>
          <w:szCs w:val="12"/>
        </w:rPr>
        <w:t xml:space="preserve">, the synthesis confirms </w:t>
      </w:r>
      <w:r w:rsidRPr="00CB17EE">
        <w:rPr>
          <w:rFonts w:ascii="Gill Sans MT" w:hAnsi="Gill Sans MT"/>
          <w:sz w:val="20"/>
          <w:szCs w:val="12"/>
        </w:rPr>
        <w:t>preliminary findings from Mali, T</w:t>
      </w:r>
      <w:r>
        <w:rPr>
          <w:rFonts w:ascii="Gill Sans MT" w:hAnsi="Gill Sans MT"/>
          <w:sz w:val="20"/>
          <w:szCs w:val="12"/>
        </w:rPr>
        <w:t xml:space="preserve">unisia and Zambia </w:t>
      </w:r>
      <w:r w:rsidRPr="00CB17EE">
        <w:rPr>
          <w:rFonts w:ascii="Gill Sans MT" w:hAnsi="Gill Sans MT"/>
          <w:sz w:val="20"/>
          <w:szCs w:val="12"/>
        </w:rPr>
        <w:t>published in the O</w:t>
      </w:r>
      <w:r w:rsidR="004E2239">
        <w:rPr>
          <w:rFonts w:ascii="Gill Sans MT" w:hAnsi="Gill Sans MT"/>
          <w:sz w:val="20"/>
          <w:szCs w:val="12"/>
        </w:rPr>
        <w:t>ECD-DAC’s “Evalua</w:t>
      </w:r>
      <w:r w:rsidR="00A70184">
        <w:rPr>
          <w:rFonts w:ascii="Gill Sans MT" w:hAnsi="Gill Sans MT"/>
          <w:sz w:val="20"/>
          <w:szCs w:val="12"/>
        </w:rPr>
        <w:t>tion Insights”</w:t>
      </w:r>
      <w:r w:rsidR="004E2239">
        <w:rPr>
          <w:rFonts w:ascii="Gill Sans MT" w:hAnsi="Gill Sans MT"/>
          <w:sz w:val="20"/>
          <w:szCs w:val="12"/>
        </w:rPr>
        <w:t>.</w:t>
      </w:r>
    </w:p>
    <w:p w14:paraId="1558FC59" w14:textId="1E8096A2" w:rsidR="00F83AE4" w:rsidRPr="00E71D03" w:rsidRDefault="00F83AE4" w:rsidP="00E71D03">
      <w:pPr>
        <w:pStyle w:val="BodyText"/>
        <w:numPr>
          <w:ilvl w:val="0"/>
          <w:numId w:val="2"/>
        </w:numPr>
        <w:spacing w:line="360" w:lineRule="auto"/>
        <w:ind w:left="499" w:hanging="357"/>
        <w:rPr>
          <w:rFonts w:ascii="Gill Sans MT" w:hAnsi="Gill Sans MT"/>
          <w:b/>
          <w:sz w:val="20"/>
          <w:lang w:val="en-GB"/>
        </w:rPr>
      </w:pPr>
      <w:r w:rsidRPr="0038117E">
        <w:rPr>
          <w:rFonts w:ascii="Gill Sans MT" w:hAnsi="Gill Sans MT"/>
          <w:sz w:val="20"/>
          <w:lang w:val="en-GB"/>
        </w:rPr>
        <w:t xml:space="preserve">Regarding the choice of General or Sector Budget Support, the main conclusion is that national development strategies </w:t>
      </w:r>
      <w:r w:rsidR="00E71D03" w:rsidRPr="0038117E">
        <w:rPr>
          <w:rFonts w:ascii="Gill Sans MT" w:hAnsi="Gill Sans MT"/>
          <w:sz w:val="20"/>
          <w:lang w:val="en-GB"/>
        </w:rPr>
        <w:t xml:space="preserve">appear to be more successful where there exists </w:t>
      </w:r>
      <w:r w:rsidRPr="0038117E">
        <w:rPr>
          <w:rFonts w:ascii="Gill Sans MT" w:hAnsi="Gill Sans MT"/>
          <w:sz w:val="20"/>
          <w:lang w:val="en-GB"/>
        </w:rPr>
        <w:t xml:space="preserve">a combination of effective policy development at the sector level with attention to </w:t>
      </w:r>
      <w:r w:rsidR="00E71D03" w:rsidRPr="0038117E">
        <w:rPr>
          <w:rFonts w:ascii="Gill Sans MT" w:hAnsi="Gill Sans MT"/>
          <w:sz w:val="20"/>
          <w:lang w:val="en-GB"/>
        </w:rPr>
        <w:t xml:space="preserve">strategic </w:t>
      </w:r>
      <w:r w:rsidR="00B12F05" w:rsidRPr="0038117E">
        <w:rPr>
          <w:rFonts w:ascii="Gill Sans MT" w:hAnsi="Gill Sans MT"/>
          <w:sz w:val="20"/>
          <w:lang w:val="en-GB"/>
        </w:rPr>
        <w:t>crosscutting</w:t>
      </w:r>
      <w:r w:rsidR="00E71D03" w:rsidRPr="0038117E">
        <w:rPr>
          <w:rFonts w:ascii="Gill Sans MT" w:hAnsi="Gill Sans MT"/>
          <w:sz w:val="20"/>
          <w:lang w:val="en-GB"/>
        </w:rPr>
        <w:t xml:space="preserve"> issues </w:t>
      </w:r>
      <w:r w:rsidRPr="0038117E">
        <w:rPr>
          <w:rFonts w:ascii="Gill Sans MT" w:hAnsi="Gill Sans MT"/>
          <w:sz w:val="20"/>
          <w:lang w:val="en-GB"/>
        </w:rPr>
        <w:t>at the central level.</w:t>
      </w:r>
      <w:r w:rsidRPr="00E71D03">
        <w:rPr>
          <w:rFonts w:ascii="Gill Sans MT" w:hAnsi="Gill Sans MT"/>
          <w:b/>
          <w:sz w:val="20"/>
          <w:lang w:val="en-GB"/>
        </w:rPr>
        <w:t xml:space="preserve"> </w:t>
      </w:r>
      <w:r w:rsidRPr="00E71D03">
        <w:rPr>
          <w:rFonts w:ascii="Gill Sans MT" w:hAnsi="Gill Sans MT"/>
          <w:sz w:val="20"/>
          <w:lang w:val="en-GB"/>
        </w:rPr>
        <w:t>The ability to combine these processes effectively will depend primarily on contextual factors.  GBS can support inter-sectoral working in a way in which SBS cannot but SBS may be better suited to supporting detailed policy development within a single sec</w:t>
      </w:r>
      <w:r w:rsidR="0038117E">
        <w:rPr>
          <w:rFonts w:ascii="Gill Sans MT" w:hAnsi="Gill Sans MT"/>
          <w:sz w:val="20"/>
          <w:lang w:val="en-GB"/>
        </w:rPr>
        <w:t xml:space="preserve">tor. In most </w:t>
      </w:r>
      <w:r w:rsidRPr="00E71D03">
        <w:rPr>
          <w:rFonts w:ascii="Gill Sans MT" w:hAnsi="Gill Sans MT"/>
          <w:sz w:val="20"/>
          <w:lang w:val="en-GB"/>
        </w:rPr>
        <w:t>cases, a combination of GB</w:t>
      </w:r>
      <w:r w:rsidR="0038117E">
        <w:rPr>
          <w:rFonts w:ascii="Gill Sans MT" w:hAnsi="Gill Sans MT"/>
          <w:sz w:val="20"/>
          <w:lang w:val="en-GB"/>
        </w:rPr>
        <w:t>S and SBS would probably be more</w:t>
      </w:r>
      <w:r w:rsidRPr="00E71D03">
        <w:rPr>
          <w:rFonts w:ascii="Gill Sans MT" w:hAnsi="Gill Sans MT"/>
          <w:sz w:val="20"/>
          <w:lang w:val="en-GB"/>
        </w:rPr>
        <w:t xml:space="preserve"> effective but such deci</w:t>
      </w:r>
      <w:r w:rsidR="0038117E">
        <w:rPr>
          <w:rFonts w:ascii="Gill Sans MT" w:hAnsi="Gill Sans MT"/>
          <w:sz w:val="20"/>
          <w:lang w:val="en-GB"/>
        </w:rPr>
        <w:t xml:space="preserve">sions must be guided by </w:t>
      </w:r>
      <w:r w:rsidRPr="00E71D03">
        <w:rPr>
          <w:rFonts w:ascii="Gill Sans MT" w:hAnsi="Gill Sans MT"/>
          <w:sz w:val="20"/>
          <w:lang w:val="en-GB"/>
        </w:rPr>
        <w:t xml:space="preserve">analysis of the context and </w:t>
      </w:r>
      <w:r w:rsidR="0038117E">
        <w:rPr>
          <w:rFonts w:ascii="Gill Sans MT" w:hAnsi="Gill Sans MT"/>
          <w:sz w:val="20"/>
          <w:lang w:val="en-GB"/>
        </w:rPr>
        <w:t xml:space="preserve">by </w:t>
      </w:r>
      <w:r w:rsidRPr="00E71D03">
        <w:rPr>
          <w:rFonts w:ascii="Gill Sans MT" w:hAnsi="Gill Sans MT"/>
          <w:sz w:val="20"/>
          <w:lang w:val="en-GB"/>
        </w:rPr>
        <w:t>the wishes of the partner government.</w:t>
      </w:r>
    </w:p>
    <w:p w14:paraId="11D5A0E6" w14:textId="77777777" w:rsidR="00F83AE4" w:rsidRPr="00372CF5" w:rsidRDefault="00F83AE4" w:rsidP="00F83AE4">
      <w:pPr>
        <w:pStyle w:val="Heading2"/>
        <w:rPr>
          <w:bCs w:val="0"/>
        </w:rPr>
      </w:pPr>
      <w:bookmarkStart w:id="47" w:name="_Toc271007353"/>
      <w:bookmarkStart w:id="48" w:name="_Toc279848235"/>
      <w:r>
        <w:rPr>
          <w:bCs w:val="0"/>
        </w:rPr>
        <w:t>Recommendations</w:t>
      </w:r>
      <w:bookmarkEnd w:id="47"/>
      <w:bookmarkEnd w:id="48"/>
    </w:p>
    <w:p w14:paraId="4B8A64BB" w14:textId="33D66D18" w:rsidR="00F83AE4" w:rsidRDefault="00F83AE4" w:rsidP="00F83AE4">
      <w:pPr>
        <w:pStyle w:val="BodyText"/>
        <w:numPr>
          <w:ilvl w:val="0"/>
          <w:numId w:val="2"/>
        </w:numPr>
        <w:spacing w:line="360" w:lineRule="auto"/>
        <w:ind w:left="499" w:hanging="357"/>
        <w:rPr>
          <w:rFonts w:ascii="Gill Sans MT" w:hAnsi="Gill Sans MT"/>
          <w:sz w:val="20"/>
          <w:lang w:val="en-GB"/>
        </w:rPr>
      </w:pPr>
      <w:r w:rsidRPr="009C7B8F">
        <w:rPr>
          <w:rFonts w:ascii="Gill Sans MT" w:hAnsi="Gill Sans MT"/>
          <w:b/>
          <w:sz w:val="20"/>
          <w:lang w:val="en-GB"/>
        </w:rPr>
        <w:t>The evidence of these seven evalu</w:t>
      </w:r>
      <w:r w:rsidR="00914AB9">
        <w:rPr>
          <w:rFonts w:ascii="Gill Sans MT" w:hAnsi="Gill Sans MT"/>
          <w:b/>
          <w:sz w:val="20"/>
          <w:lang w:val="en-GB"/>
        </w:rPr>
        <w:t xml:space="preserve">ations, as well as </w:t>
      </w:r>
      <w:r w:rsidRPr="009C7B8F">
        <w:rPr>
          <w:rFonts w:ascii="Gill Sans MT" w:hAnsi="Gill Sans MT"/>
          <w:b/>
          <w:sz w:val="20"/>
          <w:lang w:val="en-GB"/>
        </w:rPr>
        <w:t>from other recent research and evaluation work, all points in the same direction</w:t>
      </w:r>
      <w:r w:rsidR="002B2BBB">
        <w:rPr>
          <w:rFonts w:ascii="Gill Sans MT" w:hAnsi="Gill Sans MT"/>
          <w:sz w:val="20"/>
          <w:lang w:val="en-GB"/>
        </w:rPr>
        <w:t xml:space="preserve">. It shows that budget support </w:t>
      </w:r>
      <w:r>
        <w:rPr>
          <w:rFonts w:ascii="Gill Sans MT" w:hAnsi="Gill Sans MT"/>
          <w:sz w:val="20"/>
          <w:lang w:val="en-GB"/>
        </w:rPr>
        <w:t>work</w:t>
      </w:r>
      <w:r w:rsidR="002B2BBB">
        <w:rPr>
          <w:rFonts w:ascii="Gill Sans MT" w:hAnsi="Gill Sans MT"/>
          <w:sz w:val="20"/>
          <w:lang w:val="en-GB"/>
        </w:rPr>
        <w:t>s</w:t>
      </w:r>
      <w:r>
        <w:rPr>
          <w:rFonts w:ascii="Gill Sans MT" w:hAnsi="Gill Sans MT"/>
          <w:sz w:val="20"/>
          <w:lang w:val="en-GB"/>
        </w:rPr>
        <w:t xml:space="preserve"> as an aid instrument to support partner governments who either a) need to scale up the delivery of services or upgrade their quality and lack the domestic revenue sources to do it; </w:t>
      </w:r>
      <w:r w:rsidR="002B2BBB">
        <w:rPr>
          <w:rFonts w:ascii="Gill Sans MT" w:hAnsi="Gill Sans MT"/>
          <w:sz w:val="20"/>
          <w:lang w:val="en-GB"/>
        </w:rPr>
        <w:t xml:space="preserve">and/ </w:t>
      </w:r>
      <w:r>
        <w:rPr>
          <w:rFonts w:ascii="Gill Sans MT" w:hAnsi="Gill Sans MT"/>
          <w:sz w:val="20"/>
          <w:lang w:val="en-GB"/>
        </w:rPr>
        <w:t xml:space="preserve">or b) wish to undertake policy reforms or innovations with short-term risks and costs where a framework of international partnership can assist implementation. </w:t>
      </w:r>
      <w:r w:rsidR="00606DE9">
        <w:rPr>
          <w:rFonts w:ascii="Gill Sans MT" w:hAnsi="Gill Sans MT"/>
          <w:sz w:val="20"/>
          <w:lang w:val="en-GB"/>
        </w:rPr>
        <w:t>Despite this evidence, a</w:t>
      </w:r>
      <w:r w:rsidR="001673A0">
        <w:rPr>
          <w:rFonts w:ascii="Gill Sans MT" w:hAnsi="Gill Sans MT"/>
          <w:sz w:val="20"/>
          <w:lang w:val="en-GB"/>
        </w:rPr>
        <w:t xml:space="preserve">mongst many </w:t>
      </w:r>
      <w:r w:rsidR="00606DE9">
        <w:rPr>
          <w:rFonts w:ascii="Gill Sans MT" w:hAnsi="Gill Sans MT"/>
          <w:sz w:val="20"/>
          <w:lang w:val="en-GB"/>
        </w:rPr>
        <w:t>Development Agencies, the appetite for budget support has visibly</w:t>
      </w:r>
      <w:r w:rsidR="00914AB9">
        <w:rPr>
          <w:rFonts w:ascii="Gill Sans MT" w:hAnsi="Gill Sans MT"/>
          <w:sz w:val="20"/>
          <w:lang w:val="en-GB"/>
        </w:rPr>
        <w:t xml:space="preserve"> diminished </w:t>
      </w:r>
      <w:r w:rsidR="001673A0">
        <w:rPr>
          <w:rFonts w:ascii="Gill Sans MT" w:hAnsi="Gill Sans MT"/>
          <w:sz w:val="20"/>
          <w:lang w:val="en-GB"/>
        </w:rPr>
        <w:t xml:space="preserve">to the extent that several </w:t>
      </w:r>
      <w:r w:rsidR="00606DE9">
        <w:rPr>
          <w:rFonts w:ascii="Gill Sans MT" w:hAnsi="Gill Sans MT"/>
          <w:sz w:val="20"/>
          <w:lang w:val="en-GB"/>
        </w:rPr>
        <w:t>of its previous proponents have either s</w:t>
      </w:r>
      <w:r w:rsidR="00914AB9">
        <w:rPr>
          <w:rFonts w:ascii="Gill Sans MT" w:hAnsi="Gill Sans MT"/>
          <w:sz w:val="20"/>
          <w:lang w:val="en-GB"/>
        </w:rPr>
        <w:t xml:space="preserve">topped its provision </w:t>
      </w:r>
      <w:r w:rsidR="00606DE9">
        <w:rPr>
          <w:rFonts w:ascii="Gill Sans MT" w:hAnsi="Gill Sans MT"/>
          <w:sz w:val="20"/>
          <w:lang w:val="en-GB"/>
        </w:rPr>
        <w:t>or significantly reduced the proportions of their portfolios disbursed in this way. While there may be legitimate int</w:t>
      </w:r>
      <w:r w:rsidR="00914AB9">
        <w:rPr>
          <w:rFonts w:ascii="Gill Sans MT" w:hAnsi="Gill Sans MT"/>
          <w:sz w:val="20"/>
          <w:lang w:val="en-GB"/>
        </w:rPr>
        <w:t xml:space="preserve">ernal reasons for such changes, </w:t>
      </w:r>
      <w:r w:rsidR="00606DE9">
        <w:rPr>
          <w:rFonts w:ascii="Gill Sans MT" w:hAnsi="Gill Sans MT"/>
          <w:sz w:val="20"/>
          <w:lang w:val="en-GB"/>
        </w:rPr>
        <w:t xml:space="preserve">there does not </w:t>
      </w:r>
      <w:r w:rsidR="00914AB9">
        <w:rPr>
          <w:rFonts w:ascii="Gill Sans MT" w:hAnsi="Gill Sans MT"/>
          <w:sz w:val="20"/>
          <w:lang w:val="en-GB"/>
        </w:rPr>
        <w:t xml:space="preserve">appear to be </w:t>
      </w:r>
      <w:r w:rsidR="00606DE9">
        <w:rPr>
          <w:rFonts w:ascii="Gill Sans MT" w:hAnsi="Gill Sans MT"/>
          <w:sz w:val="20"/>
          <w:lang w:val="en-GB"/>
        </w:rPr>
        <w:t xml:space="preserve">evidence related to the functioning and achievements of budget support to justify such a substantive </w:t>
      </w:r>
      <w:r w:rsidR="00914AB9">
        <w:rPr>
          <w:rFonts w:ascii="Gill Sans MT" w:hAnsi="Gill Sans MT"/>
          <w:sz w:val="20"/>
          <w:lang w:val="en-GB"/>
        </w:rPr>
        <w:t>policy change</w:t>
      </w:r>
      <w:r w:rsidR="00606DE9">
        <w:rPr>
          <w:rFonts w:ascii="Gill Sans MT" w:hAnsi="Gill Sans MT"/>
          <w:sz w:val="20"/>
          <w:lang w:val="en-GB"/>
        </w:rPr>
        <w:t>.</w:t>
      </w:r>
    </w:p>
    <w:p w14:paraId="17473739" w14:textId="77777777" w:rsidR="00F83AE4" w:rsidRDefault="00F83AE4" w:rsidP="00F83AE4">
      <w:pPr>
        <w:pStyle w:val="BodyText"/>
        <w:numPr>
          <w:ilvl w:val="0"/>
          <w:numId w:val="2"/>
        </w:numPr>
        <w:spacing w:line="360" w:lineRule="auto"/>
        <w:ind w:left="499" w:hanging="357"/>
        <w:rPr>
          <w:rFonts w:ascii="Gill Sans MT" w:hAnsi="Gill Sans MT"/>
          <w:sz w:val="20"/>
          <w:lang w:val="en-GB"/>
        </w:rPr>
      </w:pPr>
      <w:r w:rsidRPr="0038117E">
        <w:rPr>
          <w:rFonts w:ascii="Gill Sans MT" w:hAnsi="Gill Sans MT"/>
          <w:sz w:val="20"/>
          <w:lang w:val="en-GB"/>
        </w:rPr>
        <w:t>If anything, evidence suggests that a more consistent adherence to the principles of budget support would have achieved greater benefits.</w:t>
      </w:r>
      <w:r>
        <w:rPr>
          <w:rFonts w:ascii="Gill Sans MT" w:hAnsi="Gill Sans MT"/>
          <w:sz w:val="20"/>
          <w:lang w:val="en-GB"/>
        </w:rPr>
        <w:t xml:space="preserve"> Many of the shortcomings in budget support mechanisms derive from a failure to embrace a high level, partnership-based approach and to adhere to the implementation requirements of such an approach.  </w:t>
      </w:r>
    </w:p>
    <w:p w14:paraId="221E3EA8" w14:textId="77777777" w:rsidR="00F83AE4" w:rsidRPr="00016BD8" w:rsidRDefault="00F83AE4" w:rsidP="00F83AE4">
      <w:pPr>
        <w:pStyle w:val="BodyText"/>
        <w:numPr>
          <w:ilvl w:val="0"/>
          <w:numId w:val="2"/>
        </w:numPr>
        <w:spacing w:line="360" w:lineRule="auto"/>
        <w:ind w:left="499" w:hanging="357"/>
        <w:rPr>
          <w:rFonts w:ascii="Gill Sans MT" w:hAnsi="Gill Sans MT"/>
          <w:sz w:val="20"/>
          <w:lang w:val="en-GB"/>
        </w:rPr>
      </w:pPr>
      <w:r w:rsidRPr="008873ED">
        <w:rPr>
          <w:rFonts w:ascii="Gill Sans MT" w:hAnsi="Gill Sans MT"/>
          <w:b/>
          <w:sz w:val="20"/>
          <w:lang w:val="en-GB"/>
        </w:rPr>
        <w:t xml:space="preserve">The challenge </w:t>
      </w:r>
      <w:r>
        <w:rPr>
          <w:rFonts w:ascii="Gill Sans MT" w:hAnsi="Gill Sans MT"/>
          <w:b/>
          <w:sz w:val="20"/>
          <w:lang w:val="en-GB"/>
        </w:rPr>
        <w:t xml:space="preserve">for the future is </w:t>
      </w:r>
      <w:r w:rsidRPr="008873ED">
        <w:rPr>
          <w:rFonts w:ascii="Gill Sans MT" w:hAnsi="Gill Sans MT"/>
          <w:b/>
          <w:sz w:val="20"/>
          <w:lang w:val="en-GB"/>
        </w:rPr>
        <w:t>to re-assert the value of budget support, while strengthening design and implementation mechanisms so as to maximise its benefits</w:t>
      </w:r>
      <w:r w:rsidRPr="008873ED">
        <w:rPr>
          <w:rFonts w:ascii="Gill Sans MT" w:hAnsi="Gill Sans MT"/>
          <w:sz w:val="20"/>
          <w:lang w:val="en-GB"/>
        </w:rPr>
        <w:t xml:space="preserve">.  </w:t>
      </w:r>
      <w:r>
        <w:rPr>
          <w:rFonts w:ascii="Gill Sans MT" w:hAnsi="Gill Sans MT"/>
          <w:sz w:val="20"/>
          <w:lang w:val="en-GB"/>
        </w:rPr>
        <w:t xml:space="preserve">The starting point for such a process must be a deeper discussion and debate of the results presented in this synthesis report and in other related research. </w:t>
      </w:r>
      <w:r w:rsidRPr="00016BD8">
        <w:rPr>
          <w:rFonts w:ascii="Gill Sans MT" w:hAnsi="Gill Sans MT"/>
          <w:sz w:val="20"/>
          <w:lang w:val="en-GB"/>
        </w:rPr>
        <w:t xml:space="preserve">Out of such a process, a collaborative framework should </w:t>
      </w:r>
      <w:r>
        <w:rPr>
          <w:rFonts w:ascii="Gill Sans MT" w:hAnsi="Gill Sans MT"/>
          <w:sz w:val="20"/>
          <w:lang w:val="en-GB"/>
        </w:rPr>
        <w:t>emerge to take forward recommendations</w:t>
      </w:r>
      <w:r w:rsidRPr="00016BD8">
        <w:rPr>
          <w:rFonts w:ascii="Gill Sans MT" w:hAnsi="Gill Sans MT"/>
          <w:sz w:val="20"/>
          <w:lang w:val="en-GB"/>
        </w:rPr>
        <w:t>.</w:t>
      </w:r>
    </w:p>
    <w:p w14:paraId="7D56684D" w14:textId="3E5E38B6" w:rsidR="00F83AE4" w:rsidRPr="001C320E" w:rsidRDefault="00F83AE4" w:rsidP="00F83AE4">
      <w:pPr>
        <w:pStyle w:val="BodyText"/>
        <w:numPr>
          <w:ilvl w:val="0"/>
          <w:numId w:val="2"/>
        </w:numPr>
        <w:spacing w:line="360" w:lineRule="auto"/>
        <w:ind w:left="499" w:hanging="357"/>
        <w:rPr>
          <w:rFonts w:ascii="Gill Sans MT" w:hAnsi="Gill Sans MT"/>
          <w:sz w:val="20"/>
          <w:lang w:val="en-GB"/>
        </w:rPr>
      </w:pPr>
      <w:r w:rsidRPr="001C320E">
        <w:rPr>
          <w:rFonts w:ascii="Gill Sans MT" w:hAnsi="Gill Sans MT"/>
          <w:sz w:val="20"/>
          <w:lang w:val="en-GB"/>
        </w:rPr>
        <w:t>A serie</w:t>
      </w:r>
      <w:r w:rsidR="00914AB9">
        <w:rPr>
          <w:rFonts w:ascii="Gill Sans MT" w:hAnsi="Gill Sans MT"/>
          <w:sz w:val="20"/>
          <w:lang w:val="en-GB"/>
        </w:rPr>
        <w:t xml:space="preserve">s of measures are recommended </w:t>
      </w:r>
      <w:r w:rsidR="0063161C">
        <w:rPr>
          <w:rFonts w:ascii="Gill Sans MT" w:hAnsi="Gill Sans MT"/>
          <w:sz w:val="20"/>
          <w:lang w:val="en-GB"/>
        </w:rPr>
        <w:t>based around eight</w:t>
      </w:r>
      <w:r w:rsidRPr="001C320E">
        <w:rPr>
          <w:rFonts w:ascii="Gill Sans MT" w:hAnsi="Gill Sans MT"/>
          <w:sz w:val="20"/>
          <w:lang w:val="en-GB"/>
        </w:rPr>
        <w:t xml:space="preserve"> lines of action:</w:t>
      </w:r>
    </w:p>
    <w:p w14:paraId="76EC57CB" w14:textId="77777777" w:rsidR="00F83AE4" w:rsidRDefault="00F83AE4" w:rsidP="008F339F">
      <w:pPr>
        <w:pStyle w:val="BodyText"/>
        <w:numPr>
          <w:ilvl w:val="0"/>
          <w:numId w:val="38"/>
        </w:numPr>
        <w:spacing w:line="360" w:lineRule="auto"/>
        <w:rPr>
          <w:rFonts w:ascii="Gill Sans MT" w:hAnsi="Gill Sans MT"/>
          <w:sz w:val="20"/>
          <w:lang w:val="en-GB"/>
        </w:rPr>
      </w:pPr>
      <w:r w:rsidRPr="00CE389B">
        <w:rPr>
          <w:rFonts w:ascii="Gill Sans MT" w:hAnsi="Gill Sans MT"/>
          <w:b/>
          <w:sz w:val="20"/>
          <w:lang w:val="en-GB"/>
        </w:rPr>
        <w:lastRenderedPageBreak/>
        <w:t>Create a</w:t>
      </w:r>
      <w:r>
        <w:rPr>
          <w:rFonts w:ascii="Gill Sans MT" w:hAnsi="Gill Sans MT"/>
          <w:b/>
          <w:sz w:val="20"/>
          <w:lang w:val="en-GB"/>
        </w:rPr>
        <w:t xml:space="preserve"> consensus on the need for learning </w:t>
      </w:r>
      <w:r w:rsidRPr="006E6CBD">
        <w:rPr>
          <w:rFonts w:ascii="Gill Sans MT" w:hAnsi="Gill Sans MT"/>
          <w:b/>
          <w:sz w:val="20"/>
          <w:lang w:val="en-GB"/>
        </w:rPr>
        <w:t>and policy adaptation</w:t>
      </w:r>
      <w:r>
        <w:rPr>
          <w:rFonts w:ascii="Gill Sans MT" w:hAnsi="Gill Sans MT"/>
          <w:sz w:val="20"/>
          <w:lang w:val="en-GB"/>
        </w:rPr>
        <w:t xml:space="preserve"> by disseminating the results of evaluations on budget support, increasing awareness of its benefits and limitations, and highlighting the actions needed to maximise its potential. </w:t>
      </w:r>
    </w:p>
    <w:p w14:paraId="63F0F078" w14:textId="77777777" w:rsidR="00F83AE4" w:rsidRPr="006E6CBD" w:rsidRDefault="00F83AE4" w:rsidP="008F339F">
      <w:pPr>
        <w:pStyle w:val="BodyText"/>
        <w:numPr>
          <w:ilvl w:val="0"/>
          <w:numId w:val="38"/>
        </w:numPr>
        <w:spacing w:line="360" w:lineRule="auto"/>
        <w:rPr>
          <w:rFonts w:ascii="Gill Sans MT" w:hAnsi="Gill Sans MT"/>
          <w:sz w:val="20"/>
          <w:lang w:val="en-GB"/>
        </w:rPr>
      </w:pPr>
      <w:r w:rsidRPr="006E6CBD">
        <w:rPr>
          <w:rFonts w:ascii="Gill Sans MT" w:hAnsi="Gill Sans MT"/>
          <w:b/>
          <w:sz w:val="20"/>
          <w:lang w:val="en-GB"/>
        </w:rPr>
        <w:t xml:space="preserve">Improve the </w:t>
      </w:r>
      <w:r>
        <w:rPr>
          <w:rFonts w:ascii="Gill Sans MT" w:hAnsi="Gill Sans MT"/>
          <w:b/>
          <w:sz w:val="20"/>
          <w:lang w:val="en-GB"/>
        </w:rPr>
        <w:t xml:space="preserve">management </w:t>
      </w:r>
      <w:r w:rsidRPr="006E6CBD">
        <w:rPr>
          <w:rFonts w:ascii="Gill Sans MT" w:hAnsi="Gill Sans MT"/>
          <w:b/>
          <w:sz w:val="20"/>
          <w:lang w:val="en-GB"/>
        </w:rPr>
        <w:t>proc</w:t>
      </w:r>
      <w:r>
        <w:rPr>
          <w:rFonts w:ascii="Gill Sans MT" w:hAnsi="Gill Sans MT"/>
          <w:b/>
          <w:sz w:val="20"/>
          <w:lang w:val="en-GB"/>
        </w:rPr>
        <w:t>esses for budget support and the related processes for identifying and mitigating risks</w:t>
      </w:r>
      <w:r w:rsidRPr="006E6CBD">
        <w:rPr>
          <w:rFonts w:ascii="Gill Sans MT" w:hAnsi="Gill Sans MT"/>
          <w:b/>
          <w:sz w:val="20"/>
          <w:lang w:val="en-GB"/>
        </w:rPr>
        <w:t>,</w:t>
      </w:r>
      <w:r>
        <w:rPr>
          <w:rFonts w:ascii="Gill Sans MT" w:hAnsi="Gill Sans MT"/>
          <w:sz w:val="20"/>
          <w:lang w:val="en-GB"/>
        </w:rPr>
        <w:t xml:space="preserve"> based upon a more structured analysis of the context and a more objective assessment of the appropriateness of different modalities, including the choice between General and Sector Budget Support.</w:t>
      </w:r>
    </w:p>
    <w:p w14:paraId="2D4610D3" w14:textId="77777777" w:rsidR="00F83AE4" w:rsidRPr="006E6CBD" w:rsidRDefault="00A37478" w:rsidP="008F339F">
      <w:pPr>
        <w:pStyle w:val="BodyText"/>
        <w:numPr>
          <w:ilvl w:val="0"/>
          <w:numId w:val="38"/>
        </w:numPr>
        <w:spacing w:line="360" w:lineRule="auto"/>
        <w:rPr>
          <w:rFonts w:ascii="Gill Sans MT" w:hAnsi="Gill Sans MT"/>
          <w:sz w:val="20"/>
          <w:lang w:val="en-GB"/>
        </w:rPr>
      </w:pPr>
      <w:r>
        <w:rPr>
          <w:rFonts w:ascii="Gill Sans MT" w:hAnsi="Gill Sans MT"/>
          <w:b/>
          <w:sz w:val="20"/>
          <w:lang w:val="en-GB"/>
        </w:rPr>
        <w:t xml:space="preserve">Focus on the </w:t>
      </w:r>
      <w:r w:rsidR="00F83AE4" w:rsidRPr="006A4A35">
        <w:rPr>
          <w:rFonts w:ascii="Gill Sans MT" w:hAnsi="Gill Sans MT"/>
          <w:b/>
          <w:sz w:val="20"/>
          <w:lang w:val="en-GB"/>
        </w:rPr>
        <w:t>reduction of income poverty and inequality as th</w:t>
      </w:r>
      <w:r w:rsidR="00F83AE4">
        <w:rPr>
          <w:rFonts w:ascii="Gill Sans MT" w:hAnsi="Gill Sans MT"/>
          <w:b/>
          <w:sz w:val="20"/>
          <w:lang w:val="en-GB"/>
        </w:rPr>
        <w:t xml:space="preserve">e primary goal of </w:t>
      </w:r>
      <w:r w:rsidR="00F83AE4" w:rsidRPr="006A4A35">
        <w:rPr>
          <w:rFonts w:ascii="Gill Sans MT" w:hAnsi="Gill Sans MT"/>
          <w:b/>
          <w:sz w:val="20"/>
          <w:lang w:val="en-GB"/>
        </w:rPr>
        <w:t>budget support</w:t>
      </w:r>
      <w:r w:rsidR="00F83AE4">
        <w:rPr>
          <w:rFonts w:ascii="Gill Sans MT" w:hAnsi="Gill Sans MT"/>
          <w:sz w:val="20"/>
          <w:lang w:val="en-GB"/>
        </w:rPr>
        <w:t xml:space="preserve">, strengthening the design and management processes for budget support so as to contribute more to this goal. </w:t>
      </w:r>
    </w:p>
    <w:p w14:paraId="74003156" w14:textId="77777777" w:rsidR="00F83AE4" w:rsidRDefault="00F83AE4" w:rsidP="008F339F">
      <w:pPr>
        <w:pStyle w:val="BodyText"/>
        <w:numPr>
          <w:ilvl w:val="0"/>
          <w:numId w:val="38"/>
        </w:numPr>
        <w:spacing w:line="360" w:lineRule="auto"/>
        <w:rPr>
          <w:rFonts w:ascii="Gill Sans MT" w:hAnsi="Gill Sans MT"/>
          <w:sz w:val="20"/>
          <w:lang w:val="en-GB"/>
        </w:rPr>
      </w:pPr>
      <w:r>
        <w:rPr>
          <w:rFonts w:ascii="Gill Sans MT" w:hAnsi="Gill Sans MT"/>
          <w:b/>
          <w:sz w:val="20"/>
          <w:lang w:val="en-GB"/>
        </w:rPr>
        <w:t xml:space="preserve">Reinforce the partnership basis of budget support </w:t>
      </w:r>
      <w:r w:rsidRPr="00D9031B">
        <w:rPr>
          <w:rFonts w:ascii="Gill Sans MT" w:hAnsi="Gill Sans MT"/>
          <w:b/>
          <w:sz w:val="20"/>
          <w:lang w:val="en-GB"/>
        </w:rPr>
        <w:t>by taking steps to strengthen trust and confidence</w:t>
      </w:r>
      <w:r>
        <w:rPr>
          <w:rFonts w:ascii="Gill Sans MT" w:hAnsi="Gill Sans MT"/>
          <w:sz w:val="20"/>
          <w:lang w:val="en-GB"/>
        </w:rPr>
        <w:t xml:space="preserve"> in donor-government relations. </w:t>
      </w:r>
    </w:p>
    <w:p w14:paraId="4671A368" w14:textId="59ABD7C5" w:rsidR="00F83AE4" w:rsidRDefault="00F83AE4" w:rsidP="008F339F">
      <w:pPr>
        <w:pStyle w:val="BodyText"/>
        <w:numPr>
          <w:ilvl w:val="0"/>
          <w:numId w:val="38"/>
        </w:numPr>
        <w:spacing w:line="360" w:lineRule="auto"/>
        <w:rPr>
          <w:rFonts w:ascii="Gill Sans MT" w:hAnsi="Gill Sans MT"/>
          <w:sz w:val="20"/>
          <w:lang w:val="en-GB"/>
        </w:rPr>
      </w:pPr>
      <w:r w:rsidRPr="007C5E19">
        <w:rPr>
          <w:rFonts w:ascii="Gill Sans MT" w:hAnsi="Gill Sans MT"/>
          <w:b/>
          <w:sz w:val="20"/>
          <w:lang w:val="en-GB"/>
        </w:rPr>
        <w:t xml:space="preserve">Nurture </w:t>
      </w:r>
      <w:r>
        <w:rPr>
          <w:rFonts w:ascii="Gill Sans MT" w:hAnsi="Gill Sans MT"/>
          <w:b/>
          <w:sz w:val="20"/>
          <w:lang w:val="en-GB"/>
        </w:rPr>
        <w:t xml:space="preserve">strategic </w:t>
      </w:r>
      <w:r w:rsidRPr="007C5E19">
        <w:rPr>
          <w:rFonts w:ascii="Gill Sans MT" w:hAnsi="Gill Sans MT"/>
          <w:b/>
          <w:sz w:val="20"/>
          <w:lang w:val="en-GB"/>
        </w:rPr>
        <w:t>problem-solving dialogue</w:t>
      </w:r>
      <w:r>
        <w:rPr>
          <w:rFonts w:ascii="Gill Sans MT" w:hAnsi="Gill Sans MT"/>
          <w:b/>
          <w:sz w:val="20"/>
          <w:lang w:val="en-GB"/>
        </w:rPr>
        <w:t xml:space="preserve"> </w:t>
      </w:r>
      <w:r w:rsidRPr="007C5E19">
        <w:rPr>
          <w:rFonts w:ascii="Gill Sans MT" w:hAnsi="Gill Sans MT"/>
          <w:sz w:val="20"/>
          <w:lang w:val="en-GB"/>
        </w:rPr>
        <w:t xml:space="preserve">by developing a </w:t>
      </w:r>
      <w:r>
        <w:rPr>
          <w:rFonts w:ascii="Gill Sans MT" w:hAnsi="Gill Sans MT"/>
          <w:sz w:val="20"/>
          <w:lang w:val="en-GB"/>
        </w:rPr>
        <w:t>comprehensive</w:t>
      </w:r>
      <w:r w:rsidRPr="007C5E19">
        <w:rPr>
          <w:rFonts w:ascii="Gill Sans MT" w:hAnsi="Gill Sans MT"/>
          <w:sz w:val="20"/>
          <w:lang w:val="en-GB"/>
        </w:rPr>
        <w:t xml:space="preserve"> approach to policy dialogue</w:t>
      </w:r>
      <w:r w:rsidR="0038117E">
        <w:rPr>
          <w:rFonts w:ascii="Gill Sans MT" w:hAnsi="Gill Sans MT"/>
          <w:sz w:val="20"/>
          <w:lang w:val="en-GB"/>
        </w:rPr>
        <w:t>,</w:t>
      </w:r>
      <w:r w:rsidRPr="007C5E19">
        <w:rPr>
          <w:rFonts w:ascii="Gill Sans MT" w:hAnsi="Gill Sans MT"/>
          <w:sz w:val="20"/>
          <w:lang w:val="en-GB"/>
        </w:rPr>
        <w:t xml:space="preserve"> and a related set of processes and capabilities.</w:t>
      </w:r>
      <w:r w:rsidR="00A37478">
        <w:rPr>
          <w:rFonts w:ascii="Gill Sans MT" w:hAnsi="Gill Sans MT"/>
          <w:sz w:val="20"/>
          <w:lang w:val="en-GB"/>
        </w:rPr>
        <w:t xml:space="preserve"> Such a dialogue should be framed within a medium to </w:t>
      </w:r>
      <w:proofErr w:type="gramStart"/>
      <w:r w:rsidR="00A37478">
        <w:rPr>
          <w:rFonts w:ascii="Gill Sans MT" w:hAnsi="Gill Sans MT"/>
          <w:sz w:val="20"/>
          <w:lang w:val="en-GB"/>
        </w:rPr>
        <w:t>long term</w:t>
      </w:r>
      <w:proofErr w:type="gramEnd"/>
      <w:r w:rsidR="00A37478">
        <w:rPr>
          <w:rFonts w:ascii="Gill Sans MT" w:hAnsi="Gill Sans MT"/>
          <w:sz w:val="20"/>
          <w:lang w:val="en-GB"/>
        </w:rPr>
        <w:t xml:space="preserve"> perspective, should resp</w:t>
      </w:r>
      <w:r w:rsidR="0038117E">
        <w:rPr>
          <w:rFonts w:ascii="Gill Sans MT" w:hAnsi="Gill Sans MT"/>
          <w:sz w:val="20"/>
          <w:lang w:val="en-GB"/>
        </w:rPr>
        <w:t xml:space="preserve">ect country ownership </w:t>
      </w:r>
      <w:r w:rsidR="00A37478">
        <w:rPr>
          <w:rFonts w:ascii="Gill Sans MT" w:hAnsi="Gill Sans MT"/>
          <w:sz w:val="20"/>
          <w:lang w:val="en-GB"/>
        </w:rPr>
        <w:t>and should give due attention to implementation capacities.</w:t>
      </w:r>
    </w:p>
    <w:p w14:paraId="1096ADAB" w14:textId="77777777" w:rsidR="0063161C" w:rsidRDefault="00620D99" w:rsidP="008F339F">
      <w:pPr>
        <w:pStyle w:val="BodyText"/>
        <w:numPr>
          <w:ilvl w:val="0"/>
          <w:numId w:val="38"/>
        </w:numPr>
        <w:spacing w:line="360" w:lineRule="auto"/>
        <w:rPr>
          <w:rFonts w:ascii="Gill Sans MT" w:hAnsi="Gill Sans MT"/>
          <w:sz w:val="20"/>
          <w:lang w:val="en-GB"/>
        </w:rPr>
      </w:pPr>
      <w:r>
        <w:rPr>
          <w:rFonts w:ascii="Gill Sans MT" w:hAnsi="Gill Sans MT"/>
          <w:b/>
          <w:sz w:val="20"/>
          <w:lang w:val="en-GB"/>
        </w:rPr>
        <w:t xml:space="preserve">Use </w:t>
      </w:r>
      <w:r w:rsidRPr="00C56114">
        <w:rPr>
          <w:rFonts w:ascii="Gill Sans MT" w:hAnsi="Gill Sans MT"/>
          <w:b/>
          <w:sz w:val="20"/>
          <w:lang w:val="en-GB"/>
        </w:rPr>
        <w:t>Budget S</w:t>
      </w:r>
      <w:r>
        <w:rPr>
          <w:rFonts w:ascii="Gill Sans MT" w:hAnsi="Gill Sans MT"/>
          <w:b/>
          <w:sz w:val="20"/>
          <w:lang w:val="en-GB"/>
        </w:rPr>
        <w:t xml:space="preserve">upport to </w:t>
      </w:r>
      <w:r w:rsidRPr="00C56114">
        <w:rPr>
          <w:rFonts w:ascii="Gill Sans MT" w:hAnsi="Gill Sans MT"/>
          <w:b/>
          <w:sz w:val="20"/>
          <w:lang w:val="en-GB"/>
        </w:rPr>
        <w:t>promote greater social accountability in relation to public budgets and public policy decisions</w:t>
      </w:r>
      <w:r>
        <w:rPr>
          <w:rFonts w:ascii="Gill Sans MT" w:hAnsi="Gill Sans MT"/>
          <w:sz w:val="20"/>
          <w:lang w:val="en-GB"/>
        </w:rPr>
        <w:t xml:space="preserve">. As a minimum, it is vital to </w:t>
      </w:r>
      <w:r w:rsidRPr="00620D99">
        <w:rPr>
          <w:rFonts w:ascii="Gill Sans MT" w:hAnsi="Gill Sans MT"/>
          <w:sz w:val="20"/>
          <w:lang w:val="en-GB"/>
        </w:rPr>
        <w:t>e</w:t>
      </w:r>
      <w:r w:rsidR="0063161C" w:rsidRPr="00620D99">
        <w:rPr>
          <w:rFonts w:ascii="Gill Sans MT" w:hAnsi="Gill Sans MT"/>
          <w:sz w:val="20"/>
          <w:lang w:val="en-GB"/>
        </w:rPr>
        <w:t>nsure that civil society and the media are given systematic access to the policy documents, progress reports and conclusions, emerging from the policy dialogue process</w:t>
      </w:r>
      <w:r w:rsidR="0063161C">
        <w:rPr>
          <w:rFonts w:ascii="Gill Sans MT" w:hAnsi="Gill Sans MT"/>
          <w:b/>
          <w:sz w:val="20"/>
          <w:lang w:val="en-GB"/>
        </w:rPr>
        <w:t xml:space="preserve">, </w:t>
      </w:r>
      <w:r w:rsidR="0063161C">
        <w:rPr>
          <w:rFonts w:ascii="Gill Sans MT" w:hAnsi="Gill Sans MT"/>
          <w:sz w:val="20"/>
          <w:lang w:val="en-GB"/>
        </w:rPr>
        <w:t>so as to be able</w:t>
      </w:r>
      <w:r w:rsidR="0063161C">
        <w:rPr>
          <w:rFonts w:ascii="Gill Sans MT" w:hAnsi="Gill Sans MT"/>
          <w:b/>
          <w:sz w:val="20"/>
          <w:lang w:val="en-GB"/>
        </w:rPr>
        <w:t xml:space="preserve"> </w:t>
      </w:r>
      <w:r w:rsidR="0063161C" w:rsidRPr="0063161C">
        <w:rPr>
          <w:rFonts w:ascii="Gill Sans MT" w:hAnsi="Gill Sans MT"/>
          <w:sz w:val="20"/>
          <w:lang w:val="en-GB"/>
        </w:rPr>
        <w:t>to participate in this dialogue and assist in monitoring the implementation of agreed reforms and policy actions.</w:t>
      </w:r>
    </w:p>
    <w:p w14:paraId="7F912746" w14:textId="77777777" w:rsidR="00F83AE4" w:rsidRPr="00D119D6" w:rsidRDefault="00F83AE4" w:rsidP="008F339F">
      <w:pPr>
        <w:pStyle w:val="BodyText"/>
        <w:numPr>
          <w:ilvl w:val="0"/>
          <w:numId w:val="38"/>
        </w:numPr>
        <w:spacing w:line="360" w:lineRule="auto"/>
        <w:rPr>
          <w:rFonts w:ascii="Gill Sans MT" w:hAnsi="Gill Sans MT"/>
          <w:sz w:val="20"/>
          <w:lang w:val="en-GB"/>
        </w:rPr>
      </w:pPr>
      <w:r>
        <w:rPr>
          <w:rFonts w:ascii="Gill Sans MT" w:hAnsi="Gill Sans MT"/>
          <w:b/>
          <w:sz w:val="20"/>
          <w:lang w:val="en-GB"/>
        </w:rPr>
        <w:t xml:space="preserve">Increase the value-added of the technical assistance/capacity development inputs of budget support </w:t>
      </w:r>
      <w:r>
        <w:rPr>
          <w:rFonts w:ascii="Gill Sans MT" w:hAnsi="Gill Sans MT"/>
          <w:sz w:val="20"/>
          <w:lang w:val="en-GB"/>
        </w:rPr>
        <w:t xml:space="preserve">by identifying capacity development (CD) needs more carefully, planning the </w:t>
      </w:r>
      <w:r w:rsidRPr="00A07B40">
        <w:rPr>
          <w:rFonts w:ascii="Gill Sans MT" w:hAnsi="Gill Sans MT"/>
          <w:sz w:val="20"/>
          <w:lang w:val="en-GB"/>
        </w:rPr>
        <w:t>use of T</w:t>
      </w:r>
      <w:r>
        <w:rPr>
          <w:rFonts w:ascii="Gill Sans MT" w:hAnsi="Gill Sans MT"/>
          <w:sz w:val="20"/>
          <w:lang w:val="en-GB"/>
        </w:rPr>
        <w:t>A/ CD</w:t>
      </w:r>
      <w:r w:rsidRPr="00A07B40">
        <w:rPr>
          <w:rFonts w:ascii="Gill Sans MT" w:hAnsi="Gill Sans MT"/>
          <w:sz w:val="20"/>
          <w:lang w:val="en-GB"/>
        </w:rPr>
        <w:t xml:space="preserve"> inputs</w:t>
      </w:r>
      <w:r>
        <w:rPr>
          <w:rFonts w:ascii="Gill Sans MT" w:hAnsi="Gill Sans MT"/>
          <w:sz w:val="20"/>
          <w:lang w:val="en-GB"/>
        </w:rPr>
        <w:t xml:space="preserve"> more strategically and developing more </w:t>
      </w:r>
      <w:r w:rsidRPr="00A07B40">
        <w:rPr>
          <w:rFonts w:ascii="Gill Sans MT" w:hAnsi="Gill Sans MT"/>
          <w:sz w:val="20"/>
          <w:szCs w:val="12"/>
        </w:rPr>
        <w:t>flexible arrangements for responding to identified needs in an agile manner</w:t>
      </w:r>
      <w:r>
        <w:rPr>
          <w:rFonts w:ascii="Gill Sans MT" w:hAnsi="Gill Sans MT"/>
          <w:sz w:val="20"/>
          <w:szCs w:val="12"/>
        </w:rPr>
        <w:t>.</w:t>
      </w:r>
    </w:p>
    <w:p w14:paraId="122B26A8" w14:textId="344CDDCD" w:rsidR="0038117E" w:rsidRDefault="00F83AE4" w:rsidP="006F62DD">
      <w:pPr>
        <w:pStyle w:val="BodyText"/>
        <w:numPr>
          <w:ilvl w:val="0"/>
          <w:numId w:val="38"/>
        </w:numPr>
        <w:spacing w:line="360" w:lineRule="auto"/>
        <w:rPr>
          <w:rFonts w:ascii="Gill Sans MT" w:hAnsi="Gill Sans MT"/>
          <w:sz w:val="20"/>
          <w:lang w:val="en-GB"/>
        </w:rPr>
      </w:pPr>
      <w:r>
        <w:rPr>
          <w:rFonts w:ascii="Gill Sans MT" w:hAnsi="Gill Sans MT"/>
          <w:b/>
          <w:sz w:val="20"/>
          <w:lang w:val="en-GB"/>
        </w:rPr>
        <w:t xml:space="preserve">Simplify the design and management structures for budget support and enhance donor-donor harmonisation </w:t>
      </w:r>
      <w:r w:rsidRPr="00726028">
        <w:rPr>
          <w:rFonts w:ascii="Gill Sans MT" w:hAnsi="Gill Sans MT"/>
          <w:sz w:val="20"/>
          <w:lang w:val="en-GB"/>
        </w:rPr>
        <w:t>so as to eliminate the inefficiencies</w:t>
      </w:r>
      <w:r>
        <w:rPr>
          <w:rFonts w:ascii="Gill Sans MT" w:hAnsi="Gill Sans MT"/>
          <w:sz w:val="20"/>
          <w:lang w:val="en-GB"/>
        </w:rPr>
        <w:t>,</w:t>
      </w:r>
      <w:r w:rsidRPr="00726028">
        <w:rPr>
          <w:rFonts w:ascii="Gill Sans MT" w:hAnsi="Gill Sans MT"/>
          <w:sz w:val="20"/>
          <w:lang w:val="en-GB"/>
        </w:rPr>
        <w:t xml:space="preserve"> which create unnecessary transaction costs and undermine </w:t>
      </w:r>
      <w:r w:rsidR="00A70184">
        <w:rPr>
          <w:rFonts w:ascii="Gill Sans MT" w:hAnsi="Gill Sans MT"/>
          <w:sz w:val="20"/>
          <w:lang w:val="en-GB"/>
        </w:rPr>
        <w:t>predictability of disbursements</w:t>
      </w:r>
      <w:r w:rsidR="001A6F04">
        <w:rPr>
          <w:rFonts w:ascii="Gill Sans MT" w:hAnsi="Gill Sans MT"/>
          <w:sz w:val="20"/>
          <w:lang w:val="en-GB"/>
        </w:rPr>
        <w:t>.</w:t>
      </w:r>
    </w:p>
    <w:p w14:paraId="03E5CD87" w14:textId="77777777" w:rsidR="001A6F04" w:rsidRDefault="001A6F04" w:rsidP="001A6F04">
      <w:pPr>
        <w:pStyle w:val="BodyText"/>
        <w:numPr>
          <w:ilvl w:val="0"/>
          <w:numId w:val="0"/>
        </w:numPr>
        <w:spacing w:line="360" w:lineRule="auto"/>
        <w:ind w:left="1280"/>
        <w:rPr>
          <w:rFonts w:ascii="Gill Sans MT" w:hAnsi="Gill Sans MT"/>
          <w:sz w:val="20"/>
          <w:lang w:val="en-GB"/>
        </w:rPr>
      </w:pPr>
      <w:bookmarkStart w:id="49" w:name="_GoBack"/>
      <w:bookmarkEnd w:id="49"/>
    </w:p>
    <w:p w14:paraId="5D9B926A" w14:textId="77777777" w:rsidR="001A6F04" w:rsidRDefault="001A6F04" w:rsidP="001A6F04">
      <w:pPr>
        <w:pStyle w:val="BodyText"/>
        <w:numPr>
          <w:ilvl w:val="0"/>
          <w:numId w:val="0"/>
        </w:numPr>
        <w:spacing w:line="360" w:lineRule="auto"/>
        <w:rPr>
          <w:rFonts w:ascii="Gill Sans MT" w:hAnsi="Gill Sans MT"/>
          <w:sz w:val="20"/>
          <w:lang w:val="en-GB"/>
        </w:rPr>
        <w:sectPr w:rsidR="001A6F04" w:rsidSect="00713B82">
          <w:pgSz w:w="11909" w:h="16834" w:code="9"/>
          <w:pgMar w:top="1440" w:right="1800" w:bottom="1440" w:left="1800" w:header="720" w:footer="720" w:gutter="0"/>
          <w:cols w:space="720"/>
          <w:docGrid w:linePitch="360"/>
        </w:sectPr>
      </w:pPr>
    </w:p>
    <w:p w14:paraId="5A5D27D7" w14:textId="77777777" w:rsidR="008866A6" w:rsidRPr="00372CF5" w:rsidRDefault="0091101A" w:rsidP="0018160C">
      <w:pPr>
        <w:pStyle w:val="Heading1"/>
      </w:pPr>
      <w:bookmarkStart w:id="50" w:name="_Toc168840567"/>
      <w:bookmarkStart w:id="51" w:name="_Toc168840610"/>
      <w:bookmarkStart w:id="52" w:name="_Toc279848236"/>
      <w:r w:rsidRPr="00372CF5">
        <w:lastRenderedPageBreak/>
        <w:t>1</w:t>
      </w:r>
      <w:r w:rsidR="00691AAD" w:rsidRPr="00372CF5">
        <w:t xml:space="preserve">. </w:t>
      </w:r>
      <w:bookmarkEnd w:id="50"/>
      <w:bookmarkEnd w:id="51"/>
      <w:r w:rsidR="00F40C97">
        <w:t>Introduction</w:t>
      </w:r>
      <w:r w:rsidR="00E1405A">
        <w:t xml:space="preserve">: </w:t>
      </w:r>
      <w:r w:rsidR="004A0106">
        <w:t>Background</w:t>
      </w:r>
      <w:r w:rsidR="00B81966">
        <w:t>, Objectives</w:t>
      </w:r>
      <w:r w:rsidR="004A0106">
        <w:t xml:space="preserve"> </w:t>
      </w:r>
      <w:r w:rsidR="00F40C97">
        <w:t>&amp; Methodology</w:t>
      </w:r>
      <w:bookmarkEnd w:id="52"/>
    </w:p>
    <w:p w14:paraId="42CE4423" w14:textId="77777777" w:rsidR="003F6356" w:rsidRPr="00372CF5" w:rsidRDefault="003F6356" w:rsidP="003F6356">
      <w:pPr>
        <w:pStyle w:val="BodyText"/>
        <w:numPr>
          <w:ilvl w:val="0"/>
          <w:numId w:val="0"/>
        </w:numPr>
        <w:spacing w:before="0" w:after="0" w:line="360" w:lineRule="auto"/>
        <w:ind w:left="360"/>
        <w:rPr>
          <w:rFonts w:ascii="Gill Sans MT" w:hAnsi="Gill Sans MT"/>
          <w:sz w:val="20"/>
          <w:lang w:val="en-GB"/>
        </w:rPr>
      </w:pPr>
    </w:p>
    <w:p w14:paraId="7E18D52B" w14:textId="77777777" w:rsidR="00C653B6" w:rsidRPr="00372CF5" w:rsidRDefault="00E34220" w:rsidP="00D81DB3">
      <w:pPr>
        <w:pStyle w:val="Heading2"/>
        <w:numPr>
          <w:ilvl w:val="1"/>
          <w:numId w:val="4"/>
        </w:numPr>
        <w:rPr>
          <w:bCs w:val="0"/>
        </w:rPr>
      </w:pPr>
      <w:bookmarkStart w:id="53" w:name="_Toc279848237"/>
      <w:r>
        <w:rPr>
          <w:bCs w:val="0"/>
        </w:rPr>
        <w:t xml:space="preserve">Objectives </w:t>
      </w:r>
      <w:r w:rsidR="00E1405A">
        <w:rPr>
          <w:bCs w:val="0"/>
        </w:rPr>
        <w:t xml:space="preserve">and Scope </w:t>
      </w:r>
      <w:r w:rsidR="00635602">
        <w:rPr>
          <w:bCs w:val="0"/>
        </w:rPr>
        <w:t>of the Synthesis</w:t>
      </w:r>
      <w:bookmarkEnd w:id="53"/>
      <w:r w:rsidR="0091101A" w:rsidRPr="00372CF5">
        <w:rPr>
          <w:bCs w:val="0"/>
        </w:rPr>
        <w:t xml:space="preserve"> </w:t>
      </w:r>
    </w:p>
    <w:p w14:paraId="19B6C663" w14:textId="77777777" w:rsidR="00A355B9" w:rsidRDefault="00AB1ECE" w:rsidP="00DE5D22">
      <w:pPr>
        <w:pStyle w:val="BodyText"/>
        <w:numPr>
          <w:ilvl w:val="0"/>
          <w:numId w:val="2"/>
        </w:numPr>
        <w:spacing w:line="360" w:lineRule="auto"/>
        <w:ind w:left="499" w:hanging="357"/>
        <w:rPr>
          <w:rFonts w:ascii="Gill Sans MT" w:hAnsi="Gill Sans MT"/>
          <w:sz w:val="20"/>
          <w:lang w:val="en-GB"/>
        </w:rPr>
      </w:pPr>
      <w:r w:rsidRPr="00824A6E">
        <w:rPr>
          <w:rFonts w:ascii="Gill Sans MT" w:hAnsi="Gill Sans MT"/>
          <w:b/>
          <w:sz w:val="20"/>
          <w:lang w:val="en-GB"/>
        </w:rPr>
        <w:t xml:space="preserve">The objective of this study is to draw lessons from the </w:t>
      </w:r>
      <w:r w:rsidR="00872442" w:rsidRPr="00824A6E">
        <w:rPr>
          <w:rFonts w:ascii="Gill Sans MT" w:hAnsi="Gill Sans MT"/>
          <w:b/>
          <w:sz w:val="20"/>
          <w:lang w:val="en-GB"/>
        </w:rPr>
        <w:t xml:space="preserve">seven evaluations </w:t>
      </w:r>
      <w:r w:rsidR="00354746" w:rsidRPr="00824A6E">
        <w:rPr>
          <w:rFonts w:ascii="Gill Sans MT" w:hAnsi="Gill Sans MT"/>
          <w:b/>
          <w:sz w:val="20"/>
          <w:lang w:val="en-GB"/>
        </w:rPr>
        <w:t xml:space="preserve">of General and Sector Budget Support, which have been undertaken in Tunisia, Mali, Zambia, Tanzania, South Africa, Mozambique and Morocco over </w:t>
      </w:r>
      <w:r w:rsidR="00356B99" w:rsidRPr="00824A6E">
        <w:rPr>
          <w:rFonts w:ascii="Gill Sans MT" w:hAnsi="Gill Sans MT"/>
          <w:b/>
          <w:sz w:val="20"/>
          <w:lang w:val="en-GB"/>
        </w:rPr>
        <w:t>2010 - 2014.</w:t>
      </w:r>
      <w:r w:rsidR="00BC53E9">
        <w:rPr>
          <w:rFonts w:ascii="Gill Sans MT" w:hAnsi="Gill Sans MT"/>
          <w:sz w:val="20"/>
          <w:lang w:val="en-GB"/>
        </w:rPr>
        <w:t xml:space="preserve"> T</w:t>
      </w:r>
      <w:r w:rsidR="00356B99">
        <w:rPr>
          <w:rFonts w:ascii="Gill Sans MT" w:hAnsi="Gill Sans MT"/>
          <w:sz w:val="20"/>
          <w:lang w:val="en-GB"/>
        </w:rPr>
        <w:t xml:space="preserve">hese represent the </w:t>
      </w:r>
      <w:r w:rsidR="001A189B">
        <w:rPr>
          <w:rFonts w:ascii="Gill Sans MT" w:hAnsi="Gill Sans MT"/>
          <w:sz w:val="20"/>
          <w:lang w:val="en-GB"/>
        </w:rPr>
        <w:t xml:space="preserve">full set of </w:t>
      </w:r>
      <w:r w:rsidR="00356B99">
        <w:rPr>
          <w:rFonts w:ascii="Gill Sans MT" w:hAnsi="Gill Sans MT"/>
          <w:sz w:val="20"/>
          <w:lang w:val="en-GB"/>
        </w:rPr>
        <w:t xml:space="preserve">evaluations, which have been </w:t>
      </w:r>
      <w:r w:rsidR="00BC53E9">
        <w:rPr>
          <w:rFonts w:ascii="Gill Sans MT" w:hAnsi="Gill Sans MT"/>
          <w:sz w:val="20"/>
          <w:lang w:val="en-GB"/>
        </w:rPr>
        <w:t xml:space="preserve">completed to date, </w:t>
      </w:r>
      <w:r w:rsidR="00356B99">
        <w:rPr>
          <w:rFonts w:ascii="Gill Sans MT" w:hAnsi="Gill Sans MT"/>
          <w:sz w:val="20"/>
          <w:lang w:val="en-GB"/>
        </w:rPr>
        <w:t>following the revised methodolog</w:t>
      </w:r>
      <w:r w:rsidR="00EC1A3E">
        <w:rPr>
          <w:rFonts w:ascii="Gill Sans MT" w:hAnsi="Gill Sans MT"/>
          <w:sz w:val="20"/>
          <w:lang w:val="en-GB"/>
        </w:rPr>
        <w:t>ical approach</w:t>
      </w:r>
      <w:r w:rsidR="00356B99">
        <w:rPr>
          <w:rFonts w:ascii="Gill Sans MT" w:hAnsi="Gill Sans MT"/>
          <w:sz w:val="20"/>
          <w:lang w:val="en-GB"/>
        </w:rPr>
        <w:t xml:space="preserve"> for evaluation of budget support, a</w:t>
      </w:r>
      <w:r w:rsidR="00EC1A3E">
        <w:rPr>
          <w:rFonts w:ascii="Gill Sans MT" w:hAnsi="Gill Sans MT"/>
          <w:sz w:val="20"/>
          <w:lang w:val="en-GB"/>
        </w:rPr>
        <w:t xml:space="preserve">dopted </w:t>
      </w:r>
      <w:r w:rsidR="00356B99">
        <w:rPr>
          <w:rFonts w:ascii="Gill Sans MT" w:hAnsi="Gill Sans MT"/>
          <w:sz w:val="20"/>
          <w:lang w:val="en-GB"/>
        </w:rPr>
        <w:t xml:space="preserve">by the OECD-DAC </w:t>
      </w:r>
      <w:r w:rsidR="00EC1A3E">
        <w:rPr>
          <w:rFonts w:ascii="Gill Sans MT" w:hAnsi="Gill Sans MT"/>
          <w:sz w:val="20"/>
          <w:lang w:val="en-GB"/>
        </w:rPr>
        <w:t xml:space="preserve">Network on development evaluation </w:t>
      </w:r>
      <w:r w:rsidR="00356B99">
        <w:rPr>
          <w:rFonts w:ascii="Gill Sans MT" w:hAnsi="Gill Sans MT"/>
          <w:sz w:val="20"/>
          <w:lang w:val="en-GB"/>
        </w:rPr>
        <w:t>in 2</w:t>
      </w:r>
      <w:r w:rsidR="00BC53E9">
        <w:rPr>
          <w:rFonts w:ascii="Gill Sans MT" w:hAnsi="Gill Sans MT"/>
          <w:sz w:val="20"/>
          <w:lang w:val="en-GB"/>
        </w:rPr>
        <w:t>0</w:t>
      </w:r>
      <w:r w:rsidR="00EC1A3E">
        <w:rPr>
          <w:rFonts w:ascii="Gill Sans MT" w:hAnsi="Gill Sans MT"/>
          <w:sz w:val="20"/>
          <w:lang w:val="en-GB"/>
        </w:rPr>
        <w:t>12</w:t>
      </w:r>
      <w:r w:rsidR="00BC53E9">
        <w:rPr>
          <w:rFonts w:ascii="Gill Sans MT" w:hAnsi="Gill Sans MT"/>
          <w:sz w:val="20"/>
          <w:lang w:val="en-GB"/>
        </w:rPr>
        <w:t xml:space="preserve">. </w:t>
      </w:r>
      <w:r w:rsidR="00775713">
        <w:rPr>
          <w:rFonts w:ascii="Gill Sans MT" w:hAnsi="Gill Sans MT"/>
          <w:sz w:val="20"/>
          <w:lang w:val="en-GB"/>
        </w:rPr>
        <w:t>Five of these seven</w:t>
      </w:r>
      <w:r w:rsidR="00A355B9">
        <w:rPr>
          <w:rFonts w:ascii="Gill Sans MT" w:hAnsi="Gill Sans MT"/>
          <w:sz w:val="20"/>
          <w:lang w:val="en-GB"/>
        </w:rPr>
        <w:t xml:space="preserve"> </w:t>
      </w:r>
      <w:r w:rsidR="00775713">
        <w:rPr>
          <w:rFonts w:ascii="Gill Sans MT" w:hAnsi="Gill Sans MT"/>
          <w:sz w:val="20"/>
          <w:lang w:val="en-GB"/>
        </w:rPr>
        <w:t>country studies</w:t>
      </w:r>
      <w:r w:rsidR="002B4591">
        <w:rPr>
          <w:rStyle w:val="FootnoteReference"/>
          <w:rFonts w:ascii="Gill Sans MT" w:hAnsi="Gill Sans MT"/>
          <w:sz w:val="20"/>
          <w:lang w:val="en-GB"/>
        </w:rPr>
        <w:footnoteReference w:id="1"/>
      </w:r>
      <w:r w:rsidR="00775713">
        <w:rPr>
          <w:rFonts w:ascii="Gill Sans MT" w:hAnsi="Gill Sans MT"/>
          <w:sz w:val="20"/>
          <w:lang w:val="en-GB"/>
        </w:rPr>
        <w:t xml:space="preserve"> are</w:t>
      </w:r>
      <w:r w:rsidR="002B4591">
        <w:rPr>
          <w:rFonts w:ascii="Gill Sans MT" w:hAnsi="Gill Sans MT"/>
          <w:sz w:val="20"/>
          <w:lang w:val="en-GB"/>
        </w:rPr>
        <w:t xml:space="preserve"> </w:t>
      </w:r>
      <w:r w:rsidR="00A355B9">
        <w:rPr>
          <w:rFonts w:ascii="Gill Sans MT" w:hAnsi="Gill Sans MT"/>
          <w:sz w:val="20"/>
          <w:lang w:val="en-GB"/>
        </w:rPr>
        <w:t xml:space="preserve">multi-donor evaluations, assessing the joint effects of all the General and Sector Budget Support operations financed by different Development Partners in these countries. The evaluation periods </w:t>
      </w:r>
      <w:r w:rsidR="002B4591">
        <w:rPr>
          <w:rFonts w:ascii="Gill Sans MT" w:hAnsi="Gill Sans MT"/>
          <w:sz w:val="20"/>
          <w:lang w:val="en-GB"/>
        </w:rPr>
        <w:t>differ slightly but cover</w:t>
      </w:r>
      <w:r w:rsidR="00B81966">
        <w:rPr>
          <w:rFonts w:ascii="Gill Sans MT" w:hAnsi="Gill Sans MT"/>
          <w:sz w:val="20"/>
          <w:lang w:val="en-GB"/>
        </w:rPr>
        <w:t xml:space="preserve"> the years </w:t>
      </w:r>
      <w:r w:rsidR="00822D29">
        <w:rPr>
          <w:rFonts w:ascii="Gill Sans MT" w:hAnsi="Gill Sans MT"/>
          <w:sz w:val="20"/>
          <w:lang w:val="en-GB"/>
        </w:rPr>
        <w:t>from 1996</w:t>
      </w:r>
      <w:r w:rsidR="00A355B9">
        <w:rPr>
          <w:rFonts w:ascii="Gill Sans MT" w:hAnsi="Gill Sans MT"/>
          <w:sz w:val="20"/>
          <w:lang w:val="en-GB"/>
        </w:rPr>
        <w:t xml:space="preserve"> to 20</w:t>
      </w:r>
      <w:r w:rsidR="002B4591">
        <w:rPr>
          <w:rFonts w:ascii="Gill Sans MT" w:hAnsi="Gill Sans MT"/>
          <w:sz w:val="20"/>
          <w:lang w:val="en-GB"/>
        </w:rPr>
        <w:t xml:space="preserve">12. </w:t>
      </w:r>
      <w:r w:rsidR="00B12F05">
        <w:rPr>
          <w:rFonts w:ascii="Gill Sans MT" w:hAnsi="Gill Sans MT"/>
          <w:sz w:val="20"/>
          <w:lang w:val="en-GB"/>
        </w:rPr>
        <w:t>Independent teams undertook all seven evaluations</w:t>
      </w:r>
      <w:r w:rsidR="00B81966">
        <w:rPr>
          <w:rFonts w:ascii="Gill Sans MT" w:hAnsi="Gill Sans MT"/>
          <w:sz w:val="20"/>
          <w:lang w:val="en-GB"/>
        </w:rPr>
        <w:t>,</w:t>
      </w:r>
      <w:r w:rsidR="00A355B9">
        <w:rPr>
          <w:rFonts w:ascii="Gill Sans MT" w:hAnsi="Gill Sans MT"/>
          <w:sz w:val="20"/>
          <w:lang w:val="en-GB"/>
        </w:rPr>
        <w:t xml:space="preserve"> although they were managed by Evaluation Management Groups, comprising representatives of the different funding agenci</w:t>
      </w:r>
      <w:r w:rsidR="002B4591">
        <w:rPr>
          <w:rFonts w:ascii="Gill Sans MT" w:hAnsi="Gill Sans MT"/>
          <w:sz w:val="20"/>
          <w:lang w:val="en-GB"/>
        </w:rPr>
        <w:t xml:space="preserve">es. </w:t>
      </w:r>
    </w:p>
    <w:p w14:paraId="13E58FDF" w14:textId="77777777" w:rsidR="00BC53E9" w:rsidRDefault="00A355B9" w:rsidP="00DE5D22">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 </w:t>
      </w:r>
      <w:r w:rsidR="00C64ABE">
        <w:rPr>
          <w:rFonts w:ascii="Gill Sans MT" w:hAnsi="Gill Sans MT"/>
          <w:sz w:val="20"/>
          <w:lang w:val="en-GB"/>
        </w:rPr>
        <w:t>The</w:t>
      </w:r>
      <w:r w:rsidR="00BC53E9">
        <w:rPr>
          <w:rFonts w:ascii="Gill Sans MT" w:hAnsi="Gill Sans MT"/>
          <w:sz w:val="20"/>
          <w:lang w:val="en-GB"/>
        </w:rPr>
        <w:t xml:space="preserve"> seven </w:t>
      </w:r>
      <w:r w:rsidR="00356B99">
        <w:rPr>
          <w:rFonts w:ascii="Gill Sans MT" w:hAnsi="Gill Sans MT"/>
          <w:sz w:val="20"/>
          <w:lang w:val="en-GB"/>
        </w:rPr>
        <w:t xml:space="preserve">evaluations </w:t>
      </w:r>
      <w:r w:rsidR="00C64ABE">
        <w:rPr>
          <w:rFonts w:ascii="Gill Sans MT" w:hAnsi="Gill Sans MT"/>
          <w:sz w:val="20"/>
          <w:lang w:val="en-GB"/>
        </w:rPr>
        <w:t xml:space="preserve">here synthesised </w:t>
      </w:r>
      <w:r w:rsidR="00356B99">
        <w:rPr>
          <w:rFonts w:ascii="Gill Sans MT" w:hAnsi="Gill Sans MT"/>
          <w:sz w:val="20"/>
          <w:lang w:val="en-GB"/>
        </w:rPr>
        <w:t xml:space="preserve">cover </w:t>
      </w:r>
      <w:r w:rsidR="00C64ABE">
        <w:rPr>
          <w:rFonts w:ascii="Gill Sans MT" w:hAnsi="Gill Sans MT"/>
          <w:sz w:val="20"/>
          <w:lang w:val="en-GB"/>
        </w:rPr>
        <w:t>exclusively countries in Africa</w:t>
      </w:r>
      <w:r w:rsidR="00EC1A3E">
        <w:rPr>
          <w:rFonts w:ascii="Gill Sans MT" w:hAnsi="Gill Sans MT"/>
          <w:sz w:val="20"/>
          <w:lang w:val="en-GB"/>
        </w:rPr>
        <w:t>,</w:t>
      </w:r>
      <w:r w:rsidR="00C64ABE">
        <w:rPr>
          <w:rFonts w:ascii="Gill Sans MT" w:hAnsi="Gill Sans MT"/>
          <w:sz w:val="20"/>
          <w:lang w:val="en-GB"/>
        </w:rPr>
        <w:t xml:space="preserve"> but </w:t>
      </w:r>
      <w:r w:rsidR="00356B99">
        <w:rPr>
          <w:rFonts w:ascii="Gill Sans MT" w:hAnsi="Gill Sans MT"/>
          <w:sz w:val="20"/>
          <w:lang w:val="en-GB"/>
        </w:rPr>
        <w:t xml:space="preserve">they include low and middle income countries, as well as countries with different </w:t>
      </w:r>
      <w:r w:rsidR="001B13F8">
        <w:rPr>
          <w:rFonts w:ascii="Gill Sans MT" w:hAnsi="Gill Sans MT"/>
          <w:sz w:val="20"/>
          <w:lang w:val="en-GB"/>
        </w:rPr>
        <w:t xml:space="preserve">political structures and administrative heritages (Anglophone, Francophone, Lusophone and Arabic), and countries which have received different types of budget support. As such, they provide a reasonable sample from which to draw conclusions and to make </w:t>
      </w:r>
      <w:r w:rsidR="00AF4B41">
        <w:rPr>
          <w:rFonts w:ascii="Gill Sans MT" w:hAnsi="Gill Sans MT"/>
          <w:sz w:val="20"/>
          <w:lang w:val="en-GB"/>
        </w:rPr>
        <w:t xml:space="preserve">some </w:t>
      </w:r>
      <w:r w:rsidR="001B13F8">
        <w:rPr>
          <w:rFonts w:ascii="Gill Sans MT" w:hAnsi="Gill Sans MT"/>
          <w:sz w:val="20"/>
          <w:lang w:val="en-GB"/>
        </w:rPr>
        <w:t>comparisons with past evaluations –</w:t>
      </w:r>
      <w:r w:rsidR="00E34220">
        <w:rPr>
          <w:rFonts w:ascii="Gill Sans MT" w:hAnsi="Gill Sans MT"/>
          <w:sz w:val="20"/>
          <w:lang w:val="en-GB"/>
        </w:rPr>
        <w:t xml:space="preserve"> in particular</w:t>
      </w:r>
      <w:r w:rsidR="001B13F8">
        <w:rPr>
          <w:rFonts w:ascii="Gill Sans MT" w:hAnsi="Gill Sans MT"/>
          <w:sz w:val="20"/>
          <w:lang w:val="en-GB"/>
        </w:rPr>
        <w:t>, the 2006 evaluation of seven countries</w:t>
      </w:r>
      <w:r w:rsidR="00824A6E">
        <w:rPr>
          <w:rStyle w:val="FootnoteReference"/>
          <w:rFonts w:ascii="Gill Sans MT" w:hAnsi="Gill Sans MT"/>
          <w:sz w:val="20"/>
          <w:lang w:val="en-GB"/>
        </w:rPr>
        <w:footnoteReference w:id="2"/>
      </w:r>
      <w:r w:rsidR="001B13F8">
        <w:rPr>
          <w:rFonts w:ascii="Gill Sans MT" w:hAnsi="Gill Sans MT"/>
          <w:sz w:val="20"/>
          <w:lang w:val="en-GB"/>
        </w:rPr>
        <w:t xml:space="preserve">, which applied the initial </w:t>
      </w:r>
      <w:r w:rsidR="00822D29">
        <w:rPr>
          <w:rFonts w:ascii="Gill Sans MT" w:hAnsi="Gill Sans MT"/>
          <w:sz w:val="20"/>
          <w:lang w:val="en-GB"/>
        </w:rPr>
        <w:t>OECD-DAC methodological approach</w:t>
      </w:r>
      <w:r w:rsidR="001B13F8">
        <w:rPr>
          <w:rFonts w:ascii="Gill Sans MT" w:hAnsi="Gill Sans MT"/>
          <w:sz w:val="20"/>
          <w:lang w:val="en-GB"/>
        </w:rPr>
        <w:t>, and with other research</w:t>
      </w:r>
      <w:r w:rsidR="00E34220">
        <w:rPr>
          <w:rFonts w:ascii="Gill Sans MT" w:hAnsi="Gill Sans MT"/>
          <w:sz w:val="20"/>
          <w:lang w:val="en-GB"/>
        </w:rPr>
        <w:t xml:space="preserve"> publications</w:t>
      </w:r>
      <w:r w:rsidR="00BC53E9">
        <w:rPr>
          <w:rStyle w:val="FootnoteReference"/>
          <w:rFonts w:ascii="Gill Sans MT" w:hAnsi="Gill Sans MT"/>
          <w:sz w:val="20"/>
          <w:lang w:val="en-GB"/>
        </w:rPr>
        <w:footnoteReference w:id="3"/>
      </w:r>
      <w:r w:rsidR="00E34220">
        <w:rPr>
          <w:rFonts w:ascii="Gill Sans MT" w:hAnsi="Gill Sans MT"/>
          <w:sz w:val="20"/>
          <w:lang w:val="en-GB"/>
        </w:rPr>
        <w:t xml:space="preserve"> on the subject of budget support</w:t>
      </w:r>
      <w:r w:rsidR="001B13F8">
        <w:rPr>
          <w:rFonts w:ascii="Gill Sans MT" w:hAnsi="Gill Sans MT"/>
          <w:sz w:val="20"/>
          <w:lang w:val="en-GB"/>
        </w:rPr>
        <w:t>.</w:t>
      </w:r>
      <w:r w:rsidR="00E1405A">
        <w:rPr>
          <w:rFonts w:ascii="Gill Sans MT" w:hAnsi="Gill Sans MT"/>
          <w:sz w:val="20"/>
          <w:lang w:val="en-GB"/>
        </w:rPr>
        <w:t xml:space="preserve"> This synthesis paper also builds on an early OECD-DAC synthesis</w:t>
      </w:r>
      <w:r w:rsidR="00E1405A">
        <w:rPr>
          <w:rStyle w:val="FootnoteReference"/>
          <w:rFonts w:ascii="Gill Sans MT" w:hAnsi="Gill Sans MT"/>
          <w:sz w:val="20"/>
          <w:lang w:val="en-GB"/>
        </w:rPr>
        <w:footnoteReference w:id="4"/>
      </w:r>
      <w:r w:rsidR="00E1405A">
        <w:rPr>
          <w:rFonts w:ascii="Gill Sans MT" w:hAnsi="Gill Sans MT"/>
          <w:sz w:val="20"/>
          <w:lang w:val="en-GB"/>
        </w:rPr>
        <w:t xml:space="preserve"> of the first three evaluations, which piloted the revised methodological approach in Tunisia, Zambia and Mali.</w:t>
      </w:r>
    </w:p>
    <w:p w14:paraId="68CD118F" w14:textId="77777777" w:rsidR="00EC1A3E" w:rsidRDefault="00611743" w:rsidP="00DE5D22">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This </w:t>
      </w:r>
      <w:r w:rsidR="0063161C">
        <w:rPr>
          <w:rFonts w:ascii="Gill Sans MT" w:hAnsi="Gill Sans MT"/>
          <w:sz w:val="20"/>
          <w:lang w:val="en-GB"/>
        </w:rPr>
        <w:t xml:space="preserve">Synthesis Analysis </w:t>
      </w:r>
      <w:r w:rsidR="00BC53E9">
        <w:rPr>
          <w:rFonts w:ascii="Gill Sans MT" w:hAnsi="Gill Sans MT"/>
          <w:sz w:val="20"/>
          <w:lang w:val="en-GB"/>
        </w:rPr>
        <w:t xml:space="preserve">reviews the findings, conclusions and recommendations of </w:t>
      </w:r>
      <w:r w:rsidR="00854B5C">
        <w:rPr>
          <w:rFonts w:ascii="Gill Sans MT" w:hAnsi="Gill Sans MT"/>
          <w:sz w:val="20"/>
          <w:lang w:val="en-GB"/>
        </w:rPr>
        <w:t>these seven evaluations. It draws a distinction between the budget support operations in middle income countries (Morocco, South Africa and Tunisia), where these operations represent a marginal percentage of the respective government budgets</w:t>
      </w:r>
      <w:r w:rsidR="00EC1A3E">
        <w:rPr>
          <w:rFonts w:ascii="Gill Sans MT" w:hAnsi="Gill Sans MT"/>
          <w:sz w:val="20"/>
          <w:lang w:val="en-GB"/>
        </w:rPr>
        <w:t xml:space="preserve"> (0.2 to 2.3% of public spending)</w:t>
      </w:r>
      <w:r w:rsidR="00854B5C">
        <w:rPr>
          <w:rFonts w:ascii="Gill Sans MT" w:hAnsi="Gill Sans MT"/>
          <w:sz w:val="20"/>
          <w:lang w:val="en-GB"/>
        </w:rPr>
        <w:t xml:space="preserve">, and those in </w:t>
      </w:r>
      <w:r w:rsidR="00854B5C">
        <w:rPr>
          <w:rFonts w:ascii="Gill Sans MT" w:hAnsi="Gill Sans MT"/>
          <w:sz w:val="20"/>
          <w:lang w:val="en-GB"/>
        </w:rPr>
        <w:lastRenderedPageBreak/>
        <w:t xml:space="preserve">lower income countries (Mali, Mozambique, Tanzania, Zambia), where budget support has represented </w:t>
      </w:r>
      <w:r w:rsidR="0075403E">
        <w:rPr>
          <w:rFonts w:ascii="Gill Sans MT" w:hAnsi="Gill Sans MT"/>
          <w:sz w:val="20"/>
          <w:lang w:val="en-GB"/>
        </w:rPr>
        <w:t>6 -15</w:t>
      </w:r>
      <w:r w:rsidR="00854B5C">
        <w:rPr>
          <w:rFonts w:ascii="Gill Sans MT" w:hAnsi="Gill Sans MT"/>
          <w:sz w:val="20"/>
          <w:lang w:val="en-GB"/>
        </w:rPr>
        <w:t xml:space="preserve"> % of public spending within the respective periods evaluated</w:t>
      </w:r>
      <w:r w:rsidR="00E1405A">
        <w:rPr>
          <w:rFonts w:ascii="Gill Sans MT" w:hAnsi="Gill Sans MT"/>
          <w:sz w:val="20"/>
          <w:lang w:val="en-GB"/>
        </w:rPr>
        <w:t xml:space="preserve"> (Table 1).</w:t>
      </w:r>
      <w:r w:rsidR="00854B5C">
        <w:rPr>
          <w:rFonts w:ascii="Gill Sans MT" w:hAnsi="Gill Sans MT"/>
          <w:sz w:val="20"/>
          <w:lang w:val="en-GB"/>
        </w:rPr>
        <w:t xml:space="preserve"> It also distinguishes between General and Sector Budget Support and examines in some detail the relevance of the differences in the design and management structures for budget support in each of these countries</w:t>
      </w:r>
      <w:r w:rsidR="00EC1A3E">
        <w:rPr>
          <w:rFonts w:ascii="Gill Sans MT" w:hAnsi="Gill Sans MT"/>
          <w:sz w:val="20"/>
          <w:lang w:val="en-GB"/>
        </w:rPr>
        <w:t>.</w:t>
      </w:r>
    </w:p>
    <w:p w14:paraId="1E2799F4" w14:textId="77777777" w:rsidR="00854B5C" w:rsidRPr="00EC1A3E" w:rsidRDefault="00EC1A3E" w:rsidP="00050B29">
      <w:pPr>
        <w:pStyle w:val="Caption"/>
        <w:ind w:left="502"/>
        <w:rPr>
          <w:lang w:val="en-GB"/>
        </w:rPr>
      </w:pPr>
      <w:bookmarkStart w:id="54" w:name="_Toc279848281"/>
      <w:r w:rsidRPr="00E163AA">
        <w:rPr>
          <w:lang w:val="en-GB"/>
        </w:rPr>
        <w:t xml:space="preserve">Table </w:t>
      </w:r>
      <w:r w:rsidRPr="00E163AA">
        <w:rPr>
          <w:lang w:val="en-GB"/>
        </w:rPr>
        <w:fldChar w:fldCharType="begin"/>
      </w:r>
      <w:r w:rsidRPr="00E163AA">
        <w:rPr>
          <w:lang w:val="en-GB"/>
        </w:rPr>
        <w:instrText xml:space="preserve"> SEQ Table \* ARABIC </w:instrText>
      </w:r>
      <w:r w:rsidRPr="00E163AA">
        <w:rPr>
          <w:lang w:val="en-GB"/>
        </w:rPr>
        <w:fldChar w:fldCharType="separate"/>
      </w:r>
      <w:r w:rsidR="00967582">
        <w:rPr>
          <w:noProof/>
          <w:lang w:val="en-GB"/>
        </w:rPr>
        <w:t>1</w:t>
      </w:r>
      <w:r w:rsidRPr="00E163AA">
        <w:rPr>
          <w:lang w:val="en-GB"/>
        </w:rPr>
        <w:fldChar w:fldCharType="end"/>
      </w:r>
      <w:r w:rsidRPr="00E163AA">
        <w:rPr>
          <w:lang w:val="en-GB"/>
        </w:rPr>
        <w:t>:</w:t>
      </w:r>
      <w:r>
        <w:rPr>
          <w:lang w:val="en-GB"/>
        </w:rPr>
        <w:t xml:space="preserve"> Countries evaluat</w:t>
      </w:r>
      <w:r w:rsidRPr="00E163AA">
        <w:rPr>
          <w:lang w:val="en-GB"/>
        </w:rPr>
        <w:t>ed - Value &amp; Signific</w:t>
      </w:r>
      <w:r>
        <w:rPr>
          <w:lang w:val="en-GB"/>
        </w:rPr>
        <w:t xml:space="preserve">ance of GBS/ SBS </w:t>
      </w:r>
      <w:r w:rsidRPr="00E163AA">
        <w:rPr>
          <w:lang w:val="en-GB"/>
        </w:rPr>
        <w:t>Disbursements</w:t>
      </w:r>
      <w:bookmarkEnd w:id="54"/>
    </w:p>
    <w:p w14:paraId="7049FAE8" w14:textId="5515C1F0" w:rsidR="00EC1A3E" w:rsidRDefault="00AA0614" w:rsidP="00050B29">
      <w:pPr>
        <w:pStyle w:val="BodyText"/>
        <w:numPr>
          <w:ilvl w:val="0"/>
          <w:numId w:val="0"/>
        </w:numPr>
        <w:spacing w:line="360" w:lineRule="auto"/>
        <w:ind w:left="499"/>
        <w:rPr>
          <w:rFonts w:ascii="Gill Sans MT" w:hAnsi="Gill Sans MT"/>
          <w:sz w:val="20"/>
          <w:lang w:val="en-GB"/>
        </w:rPr>
      </w:pPr>
      <w:r>
        <w:rPr>
          <w:rFonts w:ascii="Gill Sans MT" w:hAnsi="Gill Sans MT"/>
          <w:noProof/>
          <w:sz w:val="20"/>
          <w:lang w:val="en-US"/>
        </w:rPr>
        <w:drawing>
          <wp:inline distT="0" distB="0" distL="0" distR="0" wp14:anchorId="4455173E" wp14:editId="7408D982">
            <wp:extent cx="5510793" cy="3259667"/>
            <wp:effectExtent l="0" t="0" r="127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13293" cy="3261146"/>
                    </a:xfrm>
                    <a:prstGeom prst="rect">
                      <a:avLst/>
                    </a:prstGeom>
                    <a:noFill/>
                    <a:ln>
                      <a:noFill/>
                    </a:ln>
                  </pic:spPr>
                </pic:pic>
              </a:graphicData>
            </a:graphic>
          </wp:inline>
        </w:drawing>
      </w:r>
    </w:p>
    <w:p w14:paraId="612B8B3E" w14:textId="77777777" w:rsidR="001A189B" w:rsidRPr="00D45BDF" w:rsidRDefault="00854B5C" w:rsidP="00DE5D22">
      <w:pPr>
        <w:pStyle w:val="BodyText"/>
        <w:numPr>
          <w:ilvl w:val="0"/>
          <w:numId w:val="2"/>
        </w:numPr>
        <w:spacing w:line="360" w:lineRule="auto"/>
        <w:ind w:left="499" w:hanging="357"/>
        <w:rPr>
          <w:rFonts w:ascii="Gill Sans MT" w:hAnsi="Gill Sans MT"/>
          <w:sz w:val="20"/>
          <w:lang w:val="en-GB"/>
        </w:rPr>
      </w:pPr>
      <w:r w:rsidRPr="00D45BDF">
        <w:rPr>
          <w:rFonts w:ascii="Gill Sans MT" w:hAnsi="Gill Sans MT"/>
          <w:b/>
          <w:sz w:val="20"/>
          <w:lang w:val="en-GB"/>
        </w:rPr>
        <w:t>A central question addressed is how far Budget Support has made a contribution towards the achievement of targeted development results and how far it has had positive or negative unintended effects.</w:t>
      </w:r>
      <w:r w:rsidRPr="00D45BDF">
        <w:rPr>
          <w:rFonts w:ascii="Gill Sans MT" w:hAnsi="Gill Sans MT"/>
          <w:sz w:val="20"/>
          <w:lang w:val="en-GB"/>
        </w:rPr>
        <w:t xml:space="preserve"> </w:t>
      </w:r>
      <w:r w:rsidR="00176E80" w:rsidRPr="00D45BDF">
        <w:rPr>
          <w:rFonts w:ascii="Gill Sans MT" w:hAnsi="Gill Sans MT"/>
          <w:sz w:val="20"/>
          <w:lang w:val="en-GB"/>
        </w:rPr>
        <w:t xml:space="preserve"> In this respect, we analyse the relative contributions and roles of the different components of Budget Support – unearmarked discretionary funds, policy dialogue and </w:t>
      </w:r>
      <w:r w:rsidR="001A189B" w:rsidRPr="00D45BDF">
        <w:rPr>
          <w:rFonts w:ascii="Gill Sans MT" w:hAnsi="Gill Sans MT"/>
          <w:sz w:val="20"/>
          <w:lang w:val="en-GB"/>
        </w:rPr>
        <w:t>technical assistance/capacity building</w:t>
      </w:r>
      <w:r w:rsidR="00E34220" w:rsidRPr="00D45BDF">
        <w:rPr>
          <w:rFonts w:ascii="Gill Sans MT" w:hAnsi="Gill Sans MT"/>
          <w:sz w:val="20"/>
          <w:lang w:val="en-GB"/>
        </w:rPr>
        <w:t xml:space="preserve"> measures. We also consider</w:t>
      </w:r>
      <w:r w:rsidR="001A189B" w:rsidRPr="00D45BDF">
        <w:rPr>
          <w:rFonts w:ascii="Gill Sans MT" w:hAnsi="Gill Sans MT"/>
          <w:sz w:val="20"/>
          <w:lang w:val="en-GB"/>
        </w:rPr>
        <w:t xml:space="preserve"> the lessons that may be learned from the processes of donor harmonisation, which have accompanied budget support in each of these countries. </w:t>
      </w:r>
    </w:p>
    <w:p w14:paraId="5E89B831" w14:textId="77777777" w:rsidR="00D12258" w:rsidRPr="004A0106" w:rsidRDefault="001A189B" w:rsidP="00DE5D22">
      <w:pPr>
        <w:pStyle w:val="BodyText"/>
        <w:numPr>
          <w:ilvl w:val="0"/>
          <w:numId w:val="2"/>
        </w:numPr>
        <w:spacing w:line="360" w:lineRule="auto"/>
        <w:ind w:left="499" w:hanging="357"/>
        <w:rPr>
          <w:rFonts w:ascii="Gill Sans MT" w:hAnsi="Gill Sans MT"/>
          <w:sz w:val="20"/>
          <w:lang w:val="en-GB"/>
        </w:rPr>
      </w:pPr>
      <w:r w:rsidRPr="00AA0614">
        <w:rPr>
          <w:rFonts w:ascii="Gill Sans MT" w:hAnsi="Gill Sans MT"/>
          <w:sz w:val="20"/>
          <w:lang w:val="en-GB"/>
        </w:rPr>
        <w:t>The principal goal</w:t>
      </w:r>
      <w:r w:rsidR="004A0106" w:rsidRPr="00AA0614">
        <w:rPr>
          <w:rFonts w:ascii="Gill Sans MT" w:hAnsi="Gill Sans MT"/>
          <w:sz w:val="20"/>
          <w:lang w:val="en-GB"/>
        </w:rPr>
        <w:t>s have</w:t>
      </w:r>
      <w:r w:rsidRPr="00AA0614">
        <w:rPr>
          <w:rFonts w:ascii="Gill Sans MT" w:hAnsi="Gill Sans MT"/>
          <w:sz w:val="20"/>
          <w:lang w:val="en-GB"/>
        </w:rPr>
        <w:t xml:space="preserve"> been to draw up a clear summary of the lessons</w:t>
      </w:r>
      <w:r w:rsidR="00D45BDF" w:rsidRPr="00AA0614">
        <w:rPr>
          <w:rFonts w:ascii="Gill Sans MT" w:hAnsi="Gill Sans MT"/>
          <w:sz w:val="20"/>
          <w:lang w:val="en-GB"/>
        </w:rPr>
        <w:t>,</w:t>
      </w:r>
      <w:r w:rsidRPr="00AA0614">
        <w:rPr>
          <w:rFonts w:ascii="Gill Sans MT" w:hAnsi="Gill Sans MT"/>
          <w:sz w:val="20"/>
          <w:lang w:val="en-GB"/>
        </w:rPr>
        <w:t xml:space="preserve"> which may be learned from recent experience with budget support, and </w:t>
      </w:r>
      <w:r w:rsidR="004A0106" w:rsidRPr="00AA0614">
        <w:rPr>
          <w:rFonts w:ascii="Gill Sans MT" w:hAnsi="Gill Sans MT"/>
          <w:sz w:val="20"/>
          <w:lang w:val="en-GB"/>
        </w:rPr>
        <w:t xml:space="preserve">to </w:t>
      </w:r>
      <w:r w:rsidR="00E34220" w:rsidRPr="00AA0614">
        <w:rPr>
          <w:rFonts w:ascii="Gill Sans MT" w:hAnsi="Gill Sans MT"/>
          <w:sz w:val="20"/>
          <w:lang w:val="en-GB"/>
        </w:rPr>
        <w:t xml:space="preserve">develop </w:t>
      </w:r>
      <w:r w:rsidRPr="00AA0614">
        <w:rPr>
          <w:rFonts w:ascii="Gill Sans MT" w:hAnsi="Gill Sans MT"/>
          <w:sz w:val="20"/>
          <w:lang w:val="en-GB"/>
        </w:rPr>
        <w:t>a corresponding set of recommendations.</w:t>
      </w:r>
      <w:r w:rsidRPr="004A0106">
        <w:rPr>
          <w:rFonts w:ascii="Gill Sans MT" w:hAnsi="Gill Sans MT"/>
          <w:sz w:val="20"/>
          <w:lang w:val="en-GB"/>
        </w:rPr>
        <w:t xml:space="preserve"> These recommendations are presented in our concluding chapter. </w:t>
      </w:r>
    </w:p>
    <w:p w14:paraId="646C1481" w14:textId="77777777" w:rsidR="001A189B" w:rsidRPr="004A0106" w:rsidRDefault="001A189B" w:rsidP="00DE5D22">
      <w:pPr>
        <w:pStyle w:val="BodyText"/>
        <w:numPr>
          <w:ilvl w:val="0"/>
          <w:numId w:val="2"/>
        </w:numPr>
        <w:spacing w:line="360" w:lineRule="auto"/>
        <w:ind w:left="499" w:hanging="357"/>
        <w:rPr>
          <w:rFonts w:ascii="Gill Sans MT" w:hAnsi="Gill Sans MT"/>
          <w:sz w:val="20"/>
          <w:lang w:val="en-GB"/>
        </w:rPr>
      </w:pPr>
      <w:r>
        <w:rPr>
          <w:rFonts w:ascii="Gill Sans MT" w:hAnsi="Gill Sans MT"/>
          <w:b/>
          <w:sz w:val="20"/>
          <w:lang w:val="en-GB"/>
        </w:rPr>
        <w:t xml:space="preserve">An additional objective </w:t>
      </w:r>
      <w:r w:rsidR="0007291B">
        <w:rPr>
          <w:rFonts w:ascii="Gill Sans MT" w:hAnsi="Gill Sans MT"/>
          <w:b/>
          <w:sz w:val="20"/>
          <w:lang w:val="en-GB"/>
        </w:rPr>
        <w:t xml:space="preserve">has been to identify the strengths and weaknesses of the “3 step approach” to the evaluation of Budget Support, </w:t>
      </w:r>
      <w:r w:rsidR="0007291B" w:rsidRPr="0007291B">
        <w:rPr>
          <w:rFonts w:ascii="Gill Sans MT" w:hAnsi="Gill Sans MT"/>
          <w:sz w:val="20"/>
          <w:lang w:val="en-GB"/>
        </w:rPr>
        <w:t>which has been adopted by the OECD-D</w:t>
      </w:r>
      <w:r w:rsidR="0007291B">
        <w:rPr>
          <w:rFonts w:ascii="Gill Sans MT" w:hAnsi="Gill Sans MT"/>
          <w:sz w:val="20"/>
          <w:lang w:val="en-GB"/>
        </w:rPr>
        <w:t xml:space="preserve">AC and applied in each of these </w:t>
      </w:r>
      <w:r w:rsidR="0007291B" w:rsidRPr="0007291B">
        <w:rPr>
          <w:rFonts w:ascii="Gill Sans MT" w:hAnsi="Gill Sans MT"/>
          <w:sz w:val="20"/>
          <w:lang w:val="en-GB"/>
        </w:rPr>
        <w:t>cases</w:t>
      </w:r>
      <w:r w:rsidR="0007291B">
        <w:rPr>
          <w:rFonts w:ascii="Gill Sans MT" w:hAnsi="Gill Sans MT"/>
          <w:b/>
          <w:sz w:val="20"/>
          <w:lang w:val="en-GB"/>
        </w:rPr>
        <w:t xml:space="preserve">. </w:t>
      </w:r>
      <w:r w:rsidR="0007291B" w:rsidRPr="0007291B">
        <w:rPr>
          <w:rFonts w:ascii="Gill Sans MT" w:hAnsi="Gill Sans MT"/>
          <w:sz w:val="20"/>
          <w:lang w:val="en-GB"/>
        </w:rPr>
        <w:t xml:space="preserve">The specific </w:t>
      </w:r>
      <w:r w:rsidR="00327351">
        <w:rPr>
          <w:rFonts w:ascii="Gill Sans MT" w:hAnsi="Gill Sans MT"/>
          <w:sz w:val="20"/>
          <w:lang w:val="en-GB"/>
        </w:rPr>
        <w:t>tools</w:t>
      </w:r>
      <w:r w:rsidR="0007291B" w:rsidRPr="0007291B">
        <w:rPr>
          <w:rFonts w:ascii="Gill Sans MT" w:hAnsi="Gill Sans MT"/>
          <w:sz w:val="20"/>
          <w:lang w:val="en-GB"/>
        </w:rPr>
        <w:t xml:space="preserve"> and evaluation techniques used by each evaluation team have been compared and assessed so as to develop recommendations on possible improvements to evaluation practice. </w:t>
      </w:r>
      <w:r w:rsidR="0007291B">
        <w:rPr>
          <w:rFonts w:ascii="Gill Sans MT" w:hAnsi="Gill Sans MT"/>
          <w:sz w:val="20"/>
          <w:lang w:val="en-GB"/>
        </w:rPr>
        <w:t xml:space="preserve"> The results of this </w:t>
      </w:r>
      <w:r w:rsidR="0007291B" w:rsidRPr="004A0106">
        <w:rPr>
          <w:rFonts w:ascii="Gill Sans MT" w:hAnsi="Gill Sans MT"/>
          <w:sz w:val="20"/>
          <w:lang w:val="en-GB"/>
        </w:rPr>
        <w:t>assessment are presented in a separate volume. (</w:t>
      </w:r>
      <w:r w:rsidR="00611743">
        <w:rPr>
          <w:rFonts w:ascii="Gill Sans MT" w:hAnsi="Gill Sans MT"/>
          <w:sz w:val="20"/>
          <w:lang w:val="en-GB"/>
        </w:rPr>
        <w:t>Volume II</w:t>
      </w:r>
      <w:r w:rsidR="0007291B" w:rsidRPr="004A0106">
        <w:rPr>
          <w:rFonts w:ascii="Gill Sans MT" w:hAnsi="Gill Sans MT"/>
          <w:sz w:val="20"/>
          <w:lang w:val="en-GB"/>
        </w:rPr>
        <w:t>.)</w:t>
      </w:r>
    </w:p>
    <w:p w14:paraId="215B7780" w14:textId="77777777" w:rsidR="00E34220" w:rsidRPr="00E1405A" w:rsidRDefault="00611743" w:rsidP="00E1405A">
      <w:pPr>
        <w:pStyle w:val="Heading3"/>
      </w:pPr>
      <w:r w:rsidRPr="00E1405A">
        <w:lastRenderedPageBreak/>
        <w:t>Scope of the</w:t>
      </w:r>
      <w:r w:rsidR="00E34220" w:rsidRPr="00E1405A">
        <w:t xml:space="preserve"> Synthesis </w:t>
      </w:r>
    </w:p>
    <w:p w14:paraId="4D042CC9" w14:textId="57021BEA" w:rsidR="00E34220" w:rsidRDefault="00E34220" w:rsidP="00DE5D22">
      <w:pPr>
        <w:pStyle w:val="BodyText"/>
        <w:numPr>
          <w:ilvl w:val="0"/>
          <w:numId w:val="2"/>
        </w:numPr>
        <w:spacing w:line="360" w:lineRule="auto"/>
        <w:ind w:left="499" w:hanging="357"/>
        <w:rPr>
          <w:rFonts w:ascii="Gill Sans MT" w:hAnsi="Gill Sans MT"/>
          <w:sz w:val="20"/>
          <w:lang w:val="en-GB"/>
        </w:rPr>
      </w:pPr>
      <w:r w:rsidRPr="003C7EA5">
        <w:rPr>
          <w:rFonts w:ascii="Gill Sans MT" w:hAnsi="Gill Sans MT"/>
          <w:b/>
          <w:sz w:val="20"/>
          <w:lang w:val="en-GB"/>
        </w:rPr>
        <w:t>The scope of this synthesis is limited to a desk review of the seven evaluations</w:t>
      </w:r>
      <w:r>
        <w:rPr>
          <w:rFonts w:ascii="Gill Sans MT" w:hAnsi="Gill Sans MT"/>
          <w:sz w:val="20"/>
          <w:lang w:val="en-GB"/>
        </w:rPr>
        <w:t xml:space="preserve">, drawing out similarities and comparisons in the findings, conclusions and recommendations and, where relevant, comparing these with the corresponding </w:t>
      </w:r>
      <w:r w:rsidR="003C7EA5">
        <w:rPr>
          <w:rFonts w:ascii="Gill Sans MT" w:hAnsi="Gill Sans MT"/>
          <w:sz w:val="20"/>
          <w:lang w:val="en-GB"/>
        </w:rPr>
        <w:t xml:space="preserve">conclusions of existing literature on budget support. It has involved neither additional quantitative analysis nor qualitative research. </w:t>
      </w:r>
      <w:r w:rsidR="00A37478">
        <w:rPr>
          <w:rFonts w:ascii="Gill Sans MT" w:hAnsi="Gill Sans MT"/>
          <w:sz w:val="20"/>
          <w:lang w:val="en-GB"/>
        </w:rPr>
        <w:t>However, t</w:t>
      </w:r>
      <w:r w:rsidR="003C7EA5">
        <w:rPr>
          <w:rFonts w:ascii="Gill Sans MT" w:hAnsi="Gill Sans MT"/>
          <w:sz w:val="20"/>
          <w:lang w:val="en-GB"/>
        </w:rPr>
        <w:t xml:space="preserve">he draft </w:t>
      </w:r>
      <w:r w:rsidR="00A37478">
        <w:rPr>
          <w:rFonts w:ascii="Gill Sans MT" w:hAnsi="Gill Sans MT"/>
          <w:sz w:val="20"/>
          <w:lang w:val="en-GB"/>
        </w:rPr>
        <w:t xml:space="preserve">of this report underwent </w:t>
      </w:r>
      <w:r w:rsidR="00E16292">
        <w:rPr>
          <w:rFonts w:ascii="Gill Sans MT" w:hAnsi="Gill Sans MT"/>
          <w:sz w:val="20"/>
          <w:lang w:val="en-GB"/>
        </w:rPr>
        <w:t xml:space="preserve">a process of validation based on the </w:t>
      </w:r>
      <w:r w:rsidR="0004344D">
        <w:rPr>
          <w:rFonts w:ascii="Gill Sans MT" w:hAnsi="Gill Sans MT"/>
          <w:sz w:val="20"/>
          <w:lang w:val="en-GB"/>
        </w:rPr>
        <w:t>comments of</w:t>
      </w:r>
      <w:r w:rsidR="00A37478">
        <w:rPr>
          <w:rFonts w:ascii="Gill Sans MT" w:hAnsi="Gill Sans MT"/>
          <w:sz w:val="20"/>
          <w:lang w:val="en-GB"/>
        </w:rPr>
        <w:t xml:space="preserve"> the team leaders of the </w:t>
      </w:r>
      <w:r w:rsidR="003C7EA5">
        <w:rPr>
          <w:rFonts w:ascii="Gill Sans MT" w:hAnsi="Gill Sans MT"/>
          <w:sz w:val="20"/>
          <w:lang w:val="en-GB"/>
        </w:rPr>
        <w:t xml:space="preserve">evaluations, </w:t>
      </w:r>
      <w:r w:rsidR="00E16292">
        <w:rPr>
          <w:rFonts w:ascii="Gill Sans MT" w:hAnsi="Gill Sans MT"/>
          <w:sz w:val="20"/>
          <w:lang w:val="en-GB"/>
        </w:rPr>
        <w:t xml:space="preserve">of the Authorities of the concerned countries, of </w:t>
      </w:r>
      <w:r w:rsidR="003C7EA5">
        <w:rPr>
          <w:rFonts w:ascii="Gill Sans MT" w:hAnsi="Gill Sans MT"/>
          <w:sz w:val="20"/>
          <w:lang w:val="en-GB"/>
        </w:rPr>
        <w:t>the Europe Aid Evaluation Unit</w:t>
      </w:r>
      <w:r w:rsidR="00E16292">
        <w:rPr>
          <w:rFonts w:ascii="Gill Sans MT" w:hAnsi="Gill Sans MT"/>
          <w:sz w:val="20"/>
          <w:lang w:val="en-GB"/>
        </w:rPr>
        <w:t xml:space="preserve">, and of other informed stakeholders, including the participants </w:t>
      </w:r>
      <w:r w:rsidR="00050B29">
        <w:rPr>
          <w:rFonts w:ascii="Gill Sans MT" w:hAnsi="Gill Sans MT"/>
          <w:sz w:val="20"/>
          <w:lang w:val="en-GB"/>
        </w:rPr>
        <w:t xml:space="preserve">of a </w:t>
      </w:r>
      <w:r w:rsidR="00E16292">
        <w:rPr>
          <w:rFonts w:ascii="Gill Sans MT" w:hAnsi="Gill Sans MT"/>
          <w:sz w:val="20"/>
          <w:lang w:val="en-GB"/>
        </w:rPr>
        <w:t>w</w:t>
      </w:r>
      <w:r w:rsidR="0004344D">
        <w:rPr>
          <w:rFonts w:ascii="Gill Sans MT" w:hAnsi="Gill Sans MT"/>
          <w:sz w:val="20"/>
          <w:lang w:val="en-GB"/>
        </w:rPr>
        <w:t>orkshop</w:t>
      </w:r>
      <w:r w:rsidR="00E16292" w:rsidRPr="00E16292">
        <w:rPr>
          <w:rFonts w:ascii="Gill Sans MT" w:hAnsi="Gill Sans MT"/>
          <w:sz w:val="20"/>
          <w:lang w:val="en-GB"/>
        </w:rPr>
        <w:t xml:space="preserve"> </w:t>
      </w:r>
      <w:r w:rsidR="00127B9C">
        <w:rPr>
          <w:rFonts w:ascii="Gill Sans MT" w:hAnsi="Gill Sans MT"/>
          <w:sz w:val="20"/>
          <w:lang w:val="en-GB"/>
        </w:rPr>
        <w:t xml:space="preserve">held </w:t>
      </w:r>
      <w:r w:rsidR="00E16292">
        <w:rPr>
          <w:rFonts w:ascii="Gill Sans MT" w:hAnsi="Gill Sans MT"/>
          <w:sz w:val="20"/>
          <w:lang w:val="en-GB"/>
        </w:rPr>
        <w:t>in Brussels on Wednesday 24</w:t>
      </w:r>
      <w:r w:rsidR="00E16292" w:rsidRPr="008C0DFC">
        <w:rPr>
          <w:rFonts w:ascii="Gill Sans MT" w:hAnsi="Gill Sans MT"/>
          <w:sz w:val="20"/>
          <w:vertAlign w:val="superscript"/>
          <w:lang w:val="en-GB"/>
        </w:rPr>
        <w:t>th</w:t>
      </w:r>
      <w:r w:rsidR="00E16292">
        <w:rPr>
          <w:rFonts w:ascii="Gill Sans MT" w:hAnsi="Gill Sans MT"/>
          <w:sz w:val="20"/>
          <w:lang w:val="en-GB"/>
        </w:rPr>
        <w:t>, September 2014, where the draft report</w:t>
      </w:r>
      <w:r w:rsidR="0004344D">
        <w:rPr>
          <w:rFonts w:ascii="Gill Sans MT" w:hAnsi="Gill Sans MT"/>
          <w:sz w:val="20"/>
          <w:lang w:val="en-GB"/>
        </w:rPr>
        <w:t xml:space="preserve"> </w:t>
      </w:r>
      <w:r w:rsidR="00E16292">
        <w:rPr>
          <w:rFonts w:ascii="Gill Sans MT" w:hAnsi="Gill Sans MT"/>
          <w:sz w:val="20"/>
          <w:lang w:val="en-GB"/>
        </w:rPr>
        <w:t xml:space="preserve">was </w:t>
      </w:r>
      <w:r w:rsidR="0004344D">
        <w:rPr>
          <w:rFonts w:ascii="Gill Sans MT" w:hAnsi="Gill Sans MT"/>
          <w:sz w:val="20"/>
          <w:lang w:val="en-GB"/>
        </w:rPr>
        <w:t>presented</w:t>
      </w:r>
      <w:r w:rsidR="00C64ABE">
        <w:rPr>
          <w:rFonts w:ascii="Gill Sans MT" w:hAnsi="Gill Sans MT"/>
          <w:sz w:val="20"/>
          <w:lang w:val="en-GB"/>
        </w:rPr>
        <w:t xml:space="preserve">. </w:t>
      </w:r>
    </w:p>
    <w:p w14:paraId="3436F935" w14:textId="77777777" w:rsidR="00954E08" w:rsidRDefault="00EE69ED" w:rsidP="00DE5D22">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Although BS evaluations have been carried out in several countries</w:t>
      </w:r>
      <w:r w:rsidR="00822D29">
        <w:rPr>
          <w:rFonts w:ascii="Gill Sans MT" w:hAnsi="Gill Sans MT"/>
          <w:sz w:val="20"/>
          <w:lang w:val="en-GB"/>
        </w:rPr>
        <w:t xml:space="preserve"> (listed in full in Annex One)</w:t>
      </w:r>
      <w:r>
        <w:rPr>
          <w:rFonts w:ascii="Gill Sans MT" w:hAnsi="Gill Sans MT"/>
          <w:sz w:val="20"/>
          <w:lang w:val="en-GB"/>
        </w:rPr>
        <w:t>, the revised methodological approach adopted within the framework of the OECD/DAC has only been applied for the evalua</w:t>
      </w:r>
      <w:r w:rsidR="00050B29">
        <w:rPr>
          <w:rFonts w:ascii="Gill Sans MT" w:hAnsi="Gill Sans MT"/>
          <w:sz w:val="20"/>
          <w:lang w:val="en-GB"/>
        </w:rPr>
        <w:t>tions covered by this Synthesis.</w:t>
      </w:r>
      <w:r>
        <w:rPr>
          <w:rFonts w:ascii="Gill Sans MT" w:hAnsi="Gill Sans MT"/>
          <w:sz w:val="20"/>
          <w:lang w:val="en-GB"/>
        </w:rPr>
        <w:t xml:space="preserve"> </w:t>
      </w:r>
      <w:r w:rsidR="00050B29">
        <w:rPr>
          <w:rFonts w:ascii="Gill Sans MT" w:hAnsi="Gill Sans MT"/>
          <w:sz w:val="20"/>
          <w:lang w:val="en-GB"/>
        </w:rPr>
        <w:t>P</w:t>
      </w:r>
      <w:r>
        <w:rPr>
          <w:rFonts w:ascii="Gill Sans MT" w:hAnsi="Gill Sans MT"/>
          <w:sz w:val="20"/>
          <w:lang w:val="en-GB"/>
        </w:rPr>
        <w:t>resently</w:t>
      </w:r>
      <w:r w:rsidR="00050B29">
        <w:rPr>
          <w:rFonts w:ascii="Gill Sans MT" w:hAnsi="Gill Sans MT"/>
          <w:sz w:val="20"/>
          <w:lang w:val="en-GB"/>
        </w:rPr>
        <w:t>,</w:t>
      </w:r>
      <w:r w:rsidR="00822D29">
        <w:rPr>
          <w:rFonts w:ascii="Gill Sans MT" w:hAnsi="Gill Sans MT"/>
          <w:sz w:val="20"/>
          <w:lang w:val="en-GB"/>
        </w:rPr>
        <w:t xml:space="preserve"> evaluations covering Burundi and </w:t>
      </w:r>
      <w:r>
        <w:rPr>
          <w:rFonts w:ascii="Gill Sans MT" w:hAnsi="Gill Sans MT"/>
          <w:sz w:val="20"/>
          <w:lang w:val="en-GB"/>
        </w:rPr>
        <w:t>Ug</w:t>
      </w:r>
      <w:r w:rsidR="00822D29">
        <w:rPr>
          <w:rFonts w:ascii="Gill Sans MT" w:hAnsi="Gill Sans MT"/>
          <w:sz w:val="20"/>
          <w:lang w:val="en-GB"/>
        </w:rPr>
        <w:t xml:space="preserve">anda </w:t>
      </w:r>
      <w:r w:rsidR="00050B29">
        <w:rPr>
          <w:rFonts w:ascii="Gill Sans MT" w:hAnsi="Gill Sans MT"/>
          <w:sz w:val="20"/>
          <w:lang w:val="en-GB"/>
        </w:rPr>
        <w:t>are under implementation</w:t>
      </w:r>
      <w:r>
        <w:rPr>
          <w:rFonts w:ascii="Gill Sans MT" w:hAnsi="Gill Sans MT"/>
          <w:sz w:val="20"/>
          <w:lang w:val="en-GB"/>
        </w:rPr>
        <w:t xml:space="preserve"> and further evaluations </w:t>
      </w:r>
      <w:r w:rsidR="00050B29">
        <w:rPr>
          <w:rFonts w:ascii="Gill Sans MT" w:hAnsi="Gill Sans MT"/>
          <w:sz w:val="20"/>
          <w:lang w:val="en-GB"/>
        </w:rPr>
        <w:t>i</w:t>
      </w:r>
      <w:r w:rsidR="00822D29">
        <w:rPr>
          <w:rFonts w:ascii="Gill Sans MT" w:hAnsi="Gill Sans MT"/>
          <w:sz w:val="20"/>
          <w:lang w:val="en-GB"/>
        </w:rPr>
        <w:t xml:space="preserve">n Paraguay, </w:t>
      </w:r>
      <w:r w:rsidR="00050B29">
        <w:rPr>
          <w:rFonts w:ascii="Gill Sans MT" w:hAnsi="Gill Sans MT"/>
          <w:sz w:val="20"/>
          <w:lang w:val="en-GB"/>
        </w:rPr>
        <w:t xml:space="preserve">Rwanda </w:t>
      </w:r>
      <w:r w:rsidR="00822D29">
        <w:rPr>
          <w:rFonts w:ascii="Gill Sans MT" w:hAnsi="Gill Sans MT"/>
          <w:sz w:val="20"/>
          <w:lang w:val="en-GB"/>
        </w:rPr>
        <w:t xml:space="preserve">and Sierra Leone </w:t>
      </w:r>
      <w:r w:rsidR="00050B29">
        <w:rPr>
          <w:rFonts w:ascii="Gill Sans MT" w:hAnsi="Gill Sans MT"/>
          <w:sz w:val="20"/>
          <w:lang w:val="en-GB"/>
        </w:rPr>
        <w:t>are planned</w:t>
      </w:r>
      <w:r>
        <w:rPr>
          <w:rFonts w:ascii="Gill Sans MT" w:hAnsi="Gill Sans MT"/>
          <w:sz w:val="20"/>
          <w:lang w:val="en-GB"/>
        </w:rPr>
        <w:t xml:space="preserve"> to start in the near future. </w:t>
      </w:r>
    </w:p>
    <w:p w14:paraId="3C032618" w14:textId="77777777" w:rsidR="00161232" w:rsidRPr="00372CF5" w:rsidRDefault="007D1C0C" w:rsidP="00D81DB3">
      <w:pPr>
        <w:pStyle w:val="Heading2"/>
        <w:numPr>
          <w:ilvl w:val="1"/>
          <w:numId w:val="4"/>
        </w:numPr>
        <w:rPr>
          <w:bCs w:val="0"/>
        </w:rPr>
      </w:pPr>
      <w:bookmarkStart w:id="55" w:name="_Toc279848238"/>
      <w:r>
        <w:rPr>
          <w:bCs w:val="0"/>
        </w:rPr>
        <w:t>The definition of Budget Support, its modus operandi and the logic of the 3 Step Approach</w:t>
      </w:r>
      <w:bookmarkEnd w:id="55"/>
    </w:p>
    <w:p w14:paraId="5FD93744" w14:textId="77777777" w:rsidR="009307B2" w:rsidRDefault="003744E7" w:rsidP="007D1C0C">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Before describing the approach we have adopted to the synthesis task, it is important to clarify some of the underlying concepts. </w:t>
      </w:r>
      <w:r w:rsidR="009307B2">
        <w:rPr>
          <w:rFonts w:ascii="Gill Sans MT" w:hAnsi="Gill Sans MT"/>
          <w:sz w:val="20"/>
          <w:lang w:val="en-GB"/>
        </w:rPr>
        <w:t xml:space="preserve">In this section, we therefore present </w:t>
      </w:r>
      <w:r w:rsidR="00E16292">
        <w:rPr>
          <w:rFonts w:ascii="Gill Sans MT" w:hAnsi="Gill Sans MT"/>
          <w:sz w:val="20"/>
          <w:lang w:val="en-GB"/>
        </w:rPr>
        <w:t xml:space="preserve">a definition of budget support and </w:t>
      </w:r>
      <w:r w:rsidR="009307B2">
        <w:rPr>
          <w:rFonts w:ascii="Gill Sans MT" w:hAnsi="Gill Sans MT"/>
          <w:sz w:val="20"/>
          <w:lang w:val="en-GB"/>
        </w:rPr>
        <w:t>summarise the different objectives commonly pu</w:t>
      </w:r>
      <w:r w:rsidR="00D15799">
        <w:rPr>
          <w:rFonts w:ascii="Gill Sans MT" w:hAnsi="Gill Sans MT"/>
          <w:sz w:val="20"/>
          <w:lang w:val="en-GB"/>
        </w:rPr>
        <w:t>rsued through budget support as well as</w:t>
      </w:r>
      <w:r w:rsidR="009307B2">
        <w:rPr>
          <w:rFonts w:ascii="Gill Sans MT" w:hAnsi="Gill Sans MT"/>
          <w:sz w:val="20"/>
          <w:lang w:val="en-GB"/>
        </w:rPr>
        <w:t xml:space="preserve"> the different working approaches</w:t>
      </w:r>
      <w:r w:rsidR="00AC766D">
        <w:rPr>
          <w:rFonts w:ascii="Gill Sans MT" w:hAnsi="Gill Sans MT"/>
          <w:sz w:val="20"/>
          <w:lang w:val="en-GB"/>
        </w:rPr>
        <w:t>,</w:t>
      </w:r>
      <w:r w:rsidR="00527D5E">
        <w:rPr>
          <w:rFonts w:ascii="Gill Sans MT" w:hAnsi="Gill Sans MT"/>
          <w:sz w:val="20"/>
          <w:lang w:val="en-GB"/>
        </w:rPr>
        <w:t xml:space="preserve"> which have been </w:t>
      </w:r>
      <w:r w:rsidR="00C923A5">
        <w:rPr>
          <w:rFonts w:ascii="Gill Sans MT" w:hAnsi="Gill Sans MT"/>
          <w:sz w:val="20"/>
          <w:lang w:val="en-GB"/>
        </w:rPr>
        <w:t>appli</w:t>
      </w:r>
      <w:r w:rsidR="00981331">
        <w:rPr>
          <w:rFonts w:ascii="Gill Sans MT" w:hAnsi="Gill Sans MT"/>
          <w:sz w:val="20"/>
          <w:lang w:val="en-GB"/>
        </w:rPr>
        <w:t>ed</w:t>
      </w:r>
      <w:r w:rsidR="009307B2">
        <w:rPr>
          <w:rFonts w:ascii="Gill Sans MT" w:hAnsi="Gill Sans MT"/>
          <w:sz w:val="20"/>
          <w:lang w:val="en-GB"/>
        </w:rPr>
        <w:t xml:space="preserve">. We then </w:t>
      </w:r>
      <w:r w:rsidR="00D87019">
        <w:rPr>
          <w:rFonts w:ascii="Gill Sans MT" w:hAnsi="Gill Sans MT"/>
          <w:sz w:val="20"/>
          <w:lang w:val="en-GB"/>
        </w:rPr>
        <w:t xml:space="preserve">make reference to the main items of </w:t>
      </w:r>
      <w:r w:rsidR="009307B2">
        <w:rPr>
          <w:rFonts w:ascii="Gill Sans MT" w:hAnsi="Gill Sans MT"/>
          <w:sz w:val="20"/>
          <w:lang w:val="en-GB"/>
        </w:rPr>
        <w:t xml:space="preserve">the </w:t>
      </w:r>
      <w:r w:rsidR="00527D5E">
        <w:rPr>
          <w:rFonts w:ascii="Gill Sans MT" w:hAnsi="Gill Sans MT"/>
          <w:sz w:val="20"/>
          <w:lang w:val="en-GB"/>
        </w:rPr>
        <w:t>methodolog</w:t>
      </w:r>
      <w:r w:rsidR="00D87019">
        <w:rPr>
          <w:rFonts w:ascii="Gill Sans MT" w:hAnsi="Gill Sans MT"/>
          <w:sz w:val="20"/>
          <w:lang w:val="en-GB"/>
        </w:rPr>
        <w:t xml:space="preserve">ical </w:t>
      </w:r>
      <w:r w:rsidR="009307B2">
        <w:rPr>
          <w:rFonts w:ascii="Gill Sans MT" w:hAnsi="Gill Sans MT"/>
          <w:sz w:val="20"/>
          <w:lang w:val="en-GB"/>
        </w:rPr>
        <w:t>“3 Step Approach”</w:t>
      </w:r>
      <w:r w:rsidR="00527D5E">
        <w:rPr>
          <w:rFonts w:ascii="Gill Sans MT" w:hAnsi="Gill Sans MT"/>
          <w:sz w:val="20"/>
          <w:lang w:val="en-GB"/>
        </w:rPr>
        <w:t xml:space="preserve">, adopted </w:t>
      </w:r>
      <w:r w:rsidR="00D87019">
        <w:rPr>
          <w:rFonts w:ascii="Gill Sans MT" w:hAnsi="Gill Sans MT"/>
          <w:sz w:val="20"/>
          <w:lang w:val="en-GB"/>
        </w:rPr>
        <w:t xml:space="preserve">within the framework of </w:t>
      </w:r>
      <w:r w:rsidR="00527D5E">
        <w:rPr>
          <w:rFonts w:ascii="Gill Sans MT" w:hAnsi="Gill Sans MT"/>
          <w:sz w:val="20"/>
          <w:lang w:val="en-GB"/>
        </w:rPr>
        <w:t>the OECD-DAC and employed in each of these evaluations</w:t>
      </w:r>
      <w:r w:rsidR="00D87019">
        <w:rPr>
          <w:rFonts w:ascii="Gill Sans MT" w:hAnsi="Gill Sans MT"/>
          <w:sz w:val="20"/>
          <w:lang w:val="en-GB"/>
        </w:rPr>
        <w:t xml:space="preserve"> (The details are provided in Annex</w:t>
      </w:r>
      <w:r w:rsidR="00981331">
        <w:rPr>
          <w:rFonts w:ascii="Gill Sans MT" w:hAnsi="Gill Sans MT"/>
          <w:sz w:val="20"/>
          <w:lang w:val="en-GB"/>
        </w:rPr>
        <w:t xml:space="preserve"> 2.</w:t>
      </w:r>
      <w:r w:rsidR="00D87019">
        <w:rPr>
          <w:rFonts w:ascii="Gill Sans MT" w:hAnsi="Gill Sans MT"/>
          <w:sz w:val="20"/>
          <w:lang w:val="en-GB"/>
        </w:rPr>
        <w:t>)</w:t>
      </w:r>
    </w:p>
    <w:p w14:paraId="2B2A0FA9" w14:textId="77777777" w:rsidR="00EC33F9" w:rsidRPr="00AC179D" w:rsidRDefault="00AC179D" w:rsidP="00AC179D">
      <w:pPr>
        <w:pStyle w:val="Heading3"/>
      </w:pPr>
      <w:r w:rsidRPr="00AC179D">
        <w:t>What is Budget Support?</w:t>
      </w:r>
      <w:r w:rsidR="00324105">
        <w:t xml:space="preserve"> And how does it work?</w:t>
      </w:r>
    </w:p>
    <w:p w14:paraId="07A785B6" w14:textId="77777777" w:rsidR="006820ED" w:rsidRDefault="006820ED" w:rsidP="002E6426">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Budget Support is defined by the OECD-DAC</w:t>
      </w:r>
      <w:r w:rsidR="00766AD8">
        <w:rPr>
          <w:rStyle w:val="FootnoteReference"/>
          <w:rFonts w:ascii="Gill Sans MT" w:hAnsi="Gill Sans MT"/>
          <w:sz w:val="20"/>
          <w:lang w:val="en-GB"/>
        </w:rPr>
        <w:footnoteReference w:id="5"/>
      </w:r>
      <w:r>
        <w:rPr>
          <w:rFonts w:ascii="Gill Sans MT" w:hAnsi="Gill Sans MT"/>
          <w:sz w:val="20"/>
          <w:lang w:val="en-GB"/>
        </w:rPr>
        <w:t xml:space="preserve"> as ‘</w:t>
      </w:r>
      <w:r w:rsidRPr="00766AD8">
        <w:rPr>
          <w:rFonts w:ascii="Gill Sans MT" w:hAnsi="Gill Sans MT"/>
          <w:i/>
          <w:sz w:val="20"/>
          <w:lang w:val="en-GB"/>
        </w:rPr>
        <w:t xml:space="preserve">a method of financing a partner country’s budget through a transfer of resources from an external financing agency </w:t>
      </w:r>
      <w:r w:rsidR="00BA30F6" w:rsidRPr="00766AD8">
        <w:rPr>
          <w:rFonts w:ascii="Gill Sans MT" w:hAnsi="Gill Sans MT"/>
          <w:i/>
          <w:sz w:val="20"/>
          <w:lang w:val="en-GB"/>
        </w:rPr>
        <w:t xml:space="preserve">to </w:t>
      </w:r>
      <w:r w:rsidRPr="00766AD8">
        <w:rPr>
          <w:rFonts w:ascii="Gill Sans MT" w:hAnsi="Gill Sans MT"/>
          <w:i/>
          <w:sz w:val="20"/>
          <w:lang w:val="en-GB"/>
        </w:rPr>
        <w:t xml:space="preserve">the partner government’s national treasury. </w:t>
      </w:r>
      <w:r w:rsidR="00BA30F6" w:rsidRPr="00766AD8">
        <w:rPr>
          <w:rFonts w:ascii="Gill Sans MT" w:hAnsi="Gill Sans MT"/>
          <w:i/>
          <w:sz w:val="20"/>
          <w:lang w:val="en-GB"/>
        </w:rPr>
        <w:t xml:space="preserve"> The funds thus transferred are managed in accordance with the recipient’s budgetary procedures</w:t>
      </w:r>
      <w:r w:rsidR="00766AD8" w:rsidRPr="00766AD8">
        <w:rPr>
          <w:rFonts w:ascii="Gill Sans MT" w:hAnsi="Gill Sans MT"/>
          <w:i/>
          <w:sz w:val="20"/>
          <w:lang w:val="en-GB"/>
        </w:rPr>
        <w:t>.</w:t>
      </w:r>
      <w:r w:rsidR="00766AD8">
        <w:rPr>
          <w:rFonts w:ascii="Gill Sans MT" w:hAnsi="Gill Sans MT"/>
          <w:sz w:val="20"/>
          <w:lang w:val="en-GB"/>
        </w:rPr>
        <w:t>’</w:t>
      </w:r>
      <w:r w:rsidR="00D924CA">
        <w:rPr>
          <w:rFonts w:ascii="Gill Sans MT" w:hAnsi="Gill Sans MT"/>
          <w:sz w:val="20"/>
          <w:lang w:val="en-GB"/>
        </w:rPr>
        <w:t xml:space="preserve"> The EC’s Budget Support Guidelines add that the transfer of financial resources is made </w:t>
      </w:r>
      <w:r w:rsidR="00D924CA" w:rsidRPr="00CF2C86">
        <w:rPr>
          <w:rFonts w:ascii="Gill Sans MT" w:hAnsi="Gill Sans MT"/>
          <w:i/>
          <w:sz w:val="20"/>
          <w:lang w:val="en-GB"/>
        </w:rPr>
        <w:t>‘</w:t>
      </w:r>
      <w:r w:rsidR="00CF2C86" w:rsidRPr="00CF2C86">
        <w:rPr>
          <w:rFonts w:ascii="Gill Sans MT" w:hAnsi="Gill Sans MT"/>
          <w:i/>
          <w:sz w:val="20"/>
          <w:lang w:val="en-GB"/>
        </w:rPr>
        <w:t>following respect by the latter of agreed conditions for payment’</w:t>
      </w:r>
      <w:r w:rsidR="00CF2C86">
        <w:rPr>
          <w:rFonts w:ascii="Gill Sans MT" w:hAnsi="Gill Sans MT"/>
          <w:i/>
          <w:sz w:val="20"/>
          <w:lang w:val="en-GB"/>
        </w:rPr>
        <w:t xml:space="preserve">. </w:t>
      </w:r>
      <w:r w:rsidR="00CF2C86">
        <w:rPr>
          <w:rFonts w:ascii="Gill Sans MT" w:hAnsi="Gill Sans MT"/>
          <w:sz w:val="20"/>
          <w:lang w:val="en-GB"/>
        </w:rPr>
        <w:t>This requirement is implicit in the OECD-DAC definition and a key aspect of the definition used in the seven evaluations here synthesised.</w:t>
      </w:r>
    </w:p>
    <w:p w14:paraId="40C15D40" w14:textId="77777777" w:rsidR="00CF2C86" w:rsidRDefault="00CF2C86" w:rsidP="002E6426">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The OECD-DAC</w:t>
      </w:r>
      <w:r w:rsidR="00392127">
        <w:rPr>
          <w:rFonts w:ascii="Gill Sans MT" w:hAnsi="Gill Sans MT"/>
          <w:sz w:val="20"/>
          <w:lang w:val="en-GB"/>
        </w:rPr>
        <w:t xml:space="preserve"> definition thus characterises budget support as a particular type of Programme Aid. The definition</w:t>
      </w:r>
      <w:r>
        <w:rPr>
          <w:rFonts w:ascii="Gill Sans MT" w:hAnsi="Gill Sans MT"/>
          <w:sz w:val="20"/>
          <w:lang w:val="en-GB"/>
        </w:rPr>
        <w:t xml:space="preserve"> distinguishes Budget S</w:t>
      </w:r>
      <w:r w:rsidR="00392127">
        <w:rPr>
          <w:rFonts w:ascii="Gill Sans MT" w:hAnsi="Gill Sans MT"/>
          <w:sz w:val="20"/>
          <w:lang w:val="en-GB"/>
        </w:rPr>
        <w:t xml:space="preserve">upport from Balance of Payments support, </w:t>
      </w:r>
      <w:r w:rsidR="00392127">
        <w:rPr>
          <w:rFonts w:ascii="Gill Sans MT" w:hAnsi="Gill Sans MT"/>
          <w:sz w:val="20"/>
          <w:lang w:val="en-GB"/>
        </w:rPr>
        <w:lastRenderedPageBreak/>
        <w:t>where the transfer of foreign exchange would be to the Central Bank, and also from Debt Relief, where the transfer of foreign exchange would be directly to the country’s creditors.</w:t>
      </w:r>
    </w:p>
    <w:p w14:paraId="55233AB0" w14:textId="77777777" w:rsidR="0069191E" w:rsidRDefault="00D97068" w:rsidP="002E6426">
      <w:pPr>
        <w:pStyle w:val="BodyText"/>
        <w:numPr>
          <w:ilvl w:val="0"/>
          <w:numId w:val="2"/>
        </w:numPr>
        <w:spacing w:line="360" w:lineRule="auto"/>
        <w:ind w:left="499" w:hanging="357"/>
        <w:rPr>
          <w:rFonts w:ascii="Gill Sans MT" w:hAnsi="Gill Sans MT"/>
          <w:sz w:val="20"/>
          <w:lang w:val="en-GB"/>
        </w:rPr>
      </w:pPr>
      <w:r w:rsidRPr="00C30FF7">
        <w:rPr>
          <w:rFonts w:ascii="Gill Sans MT" w:hAnsi="Gill Sans MT"/>
          <w:sz w:val="20"/>
          <w:lang w:val="en-GB"/>
        </w:rPr>
        <w:t>The features distinguishing</w:t>
      </w:r>
      <w:r w:rsidR="00CF2C86" w:rsidRPr="00C30FF7">
        <w:rPr>
          <w:rFonts w:ascii="Gill Sans MT" w:hAnsi="Gill Sans MT"/>
          <w:sz w:val="20"/>
          <w:lang w:val="en-GB"/>
        </w:rPr>
        <w:t xml:space="preserve"> </w:t>
      </w:r>
      <w:r w:rsidRPr="00C30FF7">
        <w:rPr>
          <w:rFonts w:ascii="Gill Sans MT" w:hAnsi="Gill Sans MT"/>
          <w:sz w:val="20"/>
          <w:lang w:val="en-GB"/>
        </w:rPr>
        <w:t xml:space="preserve">budget support are the nature of its objectives, the nature of the corresponding disbursement conditions, and the fact that it is perceived as a </w:t>
      </w:r>
      <w:r w:rsidRPr="00C30FF7">
        <w:rPr>
          <w:rFonts w:ascii="Gill Sans MT" w:hAnsi="Gill Sans MT"/>
          <w:sz w:val="20"/>
          <w:u w:val="single"/>
          <w:lang w:val="en-GB"/>
        </w:rPr>
        <w:t>package</w:t>
      </w:r>
      <w:r w:rsidRPr="00C30FF7">
        <w:rPr>
          <w:rFonts w:ascii="Gill Sans MT" w:hAnsi="Gill Sans MT"/>
          <w:sz w:val="20"/>
          <w:lang w:val="en-GB"/>
        </w:rPr>
        <w:t xml:space="preserve"> of inputs, including policy dialogue and technical assistance or capacity-building measures, as well as financial transfers.</w:t>
      </w:r>
      <w:r>
        <w:rPr>
          <w:rFonts w:ascii="Gill Sans MT" w:hAnsi="Gill Sans MT"/>
          <w:sz w:val="20"/>
          <w:lang w:val="en-GB"/>
        </w:rPr>
        <w:t xml:space="preserve"> </w:t>
      </w:r>
      <w:r w:rsidR="0069191E">
        <w:rPr>
          <w:rFonts w:ascii="Gill Sans MT" w:hAnsi="Gill Sans MT"/>
          <w:sz w:val="20"/>
          <w:lang w:val="en-GB"/>
        </w:rPr>
        <w:t xml:space="preserve">Whereas the primary purpose of programme aid (structural adjustment programmes, balance of payments support and debt relief) was to support macroeconomic stabilisation, the principal objective of budget support is to contribute to the implementation of a development strategy. Within this broad objective, a distinction is drawn between: </w:t>
      </w:r>
    </w:p>
    <w:p w14:paraId="438F54FE" w14:textId="77777777" w:rsidR="00392127" w:rsidRDefault="0069191E" w:rsidP="00D81DB3">
      <w:pPr>
        <w:pStyle w:val="BodyText"/>
        <w:numPr>
          <w:ilvl w:val="0"/>
          <w:numId w:val="5"/>
        </w:numPr>
        <w:spacing w:line="360" w:lineRule="auto"/>
        <w:rPr>
          <w:rFonts w:ascii="Gill Sans MT" w:hAnsi="Gill Sans MT"/>
          <w:sz w:val="20"/>
          <w:lang w:val="en-GB"/>
        </w:rPr>
      </w:pPr>
      <w:r w:rsidRPr="0069191E">
        <w:rPr>
          <w:rFonts w:ascii="Gill Sans MT" w:hAnsi="Gill Sans MT"/>
          <w:sz w:val="20"/>
          <w:u w:val="single"/>
          <w:lang w:val="en-GB"/>
        </w:rPr>
        <w:t>General Budget Support</w:t>
      </w:r>
      <w:r>
        <w:rPr>
          <w:rFonts w:ascii="Gill Sans MT" w:hAnsi="Gill Sans MT"/>
          <w:sz w:val="20"/>
          <w:lang w:val="en-GB"/>
        </w:rPr>
        <w:t xml:space="preserve"> (GBS), whose purpose is to contribute to the implementation of a national development or poverty reduction strategy</w:t>
      </w:r>
      <w:r w:rsidR="00F61CCF">
        <w:rPr>
          <w:rFonts w:ascii="Gill Sans MT" w:hAnsi="Gill Sans MT"/>
          <w:sz w:val="20"/>
          <w:lang w:val="en-GB"/>
        </w:rPr>
        <w:t>, with conditions and policy dialogue thus focused on over-arching policy objectives and national budgetary priorities; and</w:t>
      </w:r>
    </w:p>
    <w:p w14:paraId="6CBC730E" w14:textId="77777777" w:rsidR="00F61CCF" w:rsidRDefault="00F61CCF" w:rsidP="00D81DB3">
      <w:pPr>
        <w:pStyle w:val="BodyText"/>
        <w:numPr>
          <w:ilvl w:val="0"/>
          <w:numId w:val="5"/>
        </w:numPr>
        <w:spacing w:line="360" w:lineRule="auto"/>
        <w:rPr>
          <w:rFonts w:ascii="Gill Sans MT" w:hAnsi="Gill Sans MT"/>
          <w:sz w:val="20"/>
          <w:lang w:val="en-GB"/>
        </w:rPr>
      </w:pPr>
      <w:r>
        <w:rPr>
          <w:rFonts w:ascii="Gill Sans MT" w:hAnsi="Gill Sans MT"/>
          <w:sz w:val="20"/>
          <w:u w:val="single"/>
          <w:lang w:val="en-GB"/>
        </w:rPr>
        <w:t xml:space="preserve">Sector Budget Support (SBS), </w:t>
      </w:r>
      <w:r>
        <w:rPr>
          <w:rFonts w:ascii="Gill Sans MT" w:hAnsi="Gill Sans MT"/>
          <w:sz w:val="20"/>
          <w:lang w:val="en-GB"/>
        </w:rPr>
        <w:t xml:space="preserve">whose purpose is to contribute to accelerated progress towards the government’s </w:t>
      </w:r>
      <w:r w:rsidR="003F538F">
        <w:rPr>
          <w:rFonts w:ascii="Gill Sans MT" w:hAnsi="Gill Sans MT"/>
          <w:sz w:val="20"/>
          <w:lang w:val="en-GB"/>
        </w:rPr>
        <w:t xml:space="preserve">development or reform </w:t>
      </w:r>
      <w:r>
        <w:rPr>
          <w:rFonts w:ascii="Gill Sans MT" w:hAnsi="Gill Sans MT"/>
          <w:sz w:val="20"/>
          <w:lang w:val="en-GB"/>
        </w:rPr>
        <w:t>goals within a specific sector, with policy dialogue and conditions focused on sector-specific issues and concerns.</w:t>
      </w:r>
      <w:r>
        <w:rPr>
          <w:rFonts w:ascii="Gill Sans MT" w:hAnsi="Gill Sans MT"/>
          <w:sz w:val="20"/>
          <w:u w:val="single"/>
          <w:lang w:val="en-GB"/>
        </w:rPr>
        <w:t xml:space="preserve"> </w:t>
      </w:r>
    </w:p>
    <w:p w14:paraId="1496D7AD" w14:textId="77777777" w:rsidR="003F538F" w:rsidRDefault="003F538F" w:rsidP="002E6426">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For both GBS and SBS, the transfer of external resources is made to the national treasury account in the Central Bank, and in both cases, the specific use of these funds is decided through the domestic budgetary process – in other words, through decisions made by the Government, and </w:t>
      </w:r>
      <w:r w:rsidR="00005C59">
        <w:rPr>
          <w:rFonts w:ascii="Gill Sans MT" w:hAnsi="Gill Sans MT"/>
          <w:sz w:val="20"/>
          <w:lang w:val="en-GB"/>
        </w:rPr>
        <w:t xml:space="preserve">in most cases </w:t>
      </w:r>
      <w:r>
        <w:rPr>
          <w:rFonts w:ascii="Gill Sans MT" w:hAnsi="Gill Sans MT"/>
          <w:sz w:val="20"/>
          <w:lang w:val="en-GB"/>
        </w:rPr>
        <w:t>then approved by the Legislature.</w:t>
      </w:r>
      <w:r w:rsidR="00004025">
        <w:rPr>
          <w:lang w:val="en-US"/>
        </w:rPr>
        <w:t xml:space="preserve"> </w:t>
      </w:r>
      <w:r w:rsidR="006524C2" w:rsidRPr="00004025">
        <w:rPr>
          <w:rFonts w:ascii="Gill Sans MT" w:hAnsi="Gill Sans MT"/>
          <w:sz w:val="20"/>
          <w:lang w:val="en-GB"/>
        </w:rPr>
        <w:t>Herein lies an important distinction between Budget Support and Common Basket Funding (CBF). In the latter</w:t>
      </w:r>
      <w:r w:rsidR="00004025">
        <w:rPr>
          <w:rFonts w:ascii="Gill Sans MT" w:hAnsi="Gill Sans MT"/>
          <w:sz w:val="20"/>
          <w:lang w:val="en-GB"/>
        </w:rPr>
        <w:t>,</w:t>
      </w:r>
      <w:r w:rsidR="006524C2" w:rsidRPr="00004025">
        <w:rPr>
          <w:rFonts w:ascii="Gill Sans MT" w:hAnsi="Gill Sans MT"/>
          <w:sz w:val="20"/>
          <w:lang w:val="en-GB"/>
        </w:rPr>
        <w:t xml:space="preserve"> </w:t>
      </w:r>
      <w:r w:rsidR="00004025">
        <w:rPr>
          <w:rFonts w:ascii="Gill Sans MT" w:hAnsi="Gill Sans MT"/>
          <w:sz w:val="20"/>
          <w:lang w:val="en-GB"/>
        </w:rPr>
        <w:t>the use of f</w:t>
      </w:r>
      <w:r w:rsidR="006524C2" w:rsidRPr="00004025">
        <w:rPr>
          <w:rFonts w:ascii="Gill Sans MT" w:hAnsi="Gill Sans MT"/>
          <w:sz w:val="20"/>
          <w:lang w:val="en-GB"/>
        </w:rPr>
        <w:t xml:space="preserve">unding is commonly decided by a CBF committee, comprising government and donor representatives of the sector. This effectively removes the decision-making power over resource allocation of </w:t>
      </w:r>
      <w:r w:rsidR="002D4EB8">
        <w:rPr>
          <w:rFonts w:ascii="Gill Sans MT" w:hAnsi="Gill Sans MT"/>
          <w:sz w:val="20"/>
          <w:lang w:val="en-GB"/>
        </w:rPr>
        <w:t>the most pertinent national a</w:t>
      </w:r>
      <w:r w:rsidR="006524C2" w:rsidRPr="00004025">
        <w:rPr>
          <w:rFonts w:ascii="Gill Sans MT" w:hAnsi="Gill Sans MT"/>
          <w:sz w:val="20"/>
          <w:lang w:val="en-GB"/>
        </w:rPr>
        <w:t>uthorities</w:t>
      </w:r>
      <w:r w:rsidR="002D4EB8">
        <w:rPr>
          <w:rFonts w:ascii="Gill Sans MT" w:hAnsi="Gill Sans MT"/>
          <w:sz w:val="20"/>
          <w:lang w:val="en-GB"/>
        </w:rPr>
        <w:t>.</w:t>
      </w:r>
      <w:r w:rsidR="00004025">
        <w:rPr>
          <w:rFonts w:ascii="Gill Sans MT" w:hAnsi="Gill Sans MT"/>
          <w:sz w:val="20"/>
          <w:lang w:val="en-GB"/>
        </w:rPr>
        <w:t xml:space="preserve"> </w:t>
      </w:r>
    </w:p>
    <w:p w14:paraId="79DCB76D" w14:textId="77777777" w:rsidR="00610508" w:rsidRPr="001D3CC3" w:rsidRDefault="006524C2" w:rsidP="001D3CC3">
      <w:pPr>
        <w:pStyle w:val="BodyText"/>
        <w:numPr>
          <w:ilvl w:val="0"/>
          <w:numId w:val="2"/>
        </w:numPr>
        <w:spacing w:line="360" w:lineRule="auto"/>
        <w:ind w:left="499" w:hanging="357"/>
        <w:rPr>
          <w:rFonts w:ascii="Gill Sans MT" w:hAnsi="Gill Sans MT"/>
          <w:sz w:val="20"/>
          <w:lang w:val="en-GB"/>
        </w:rPr>
      </w:pPr>
      <w:r w:rsidRPr="00C30FF7">
        <w:rPr>
          <w:rFonts w:ascii="Gill Sans MT" w:hAnsi="Gill Sans MT"/>
          <w:sz w:val="20"/>
          <w:lang w:val="en-GB"/>
        </w:rPr>
        <w:t>In the context of the Paris Declaration of 2005</w:t>
      </w:r>
      <w:r w:rsidR="00004025" w:rsidRPr="00C30FF7">
        <w:rPr>
          <w:rFonts w:ascii="Gill Sans MT" w:hAnsi="Gill Sans MT"/>
          <w:sz w:val="20"/>
          <w:lang w:val="en-GB"/>
        </w:rPr>
        <w:t>, o</w:t>
      </w:r>
      <w:r w:rsidRPr="00C30FF7">
        <w:rPr>
          <w:rFonts w:ascii="Gill Sans MT" w:hAnsi="Gill Sans MT"/>
          <w:sz w:val="20"/>
          <w:lang w:val="en-GB"/>
        </w:rPr>
        <w:t xml:space="preserve">wnership </w:t>
      </w:r>
      <w:r w:rsidR="00004025" w:rsidRPr="00C30FF7">
        <w:rPr>
          <w:rFonts w:ascii="Gill Sans MT" w:hAnsi="Gill Sans MT"/>
          <w:sz w:val="20"/>
          <w:lang w:val="en-GB"/>
        </w:rPr>
        <w:t xml:space="preserve">by </w:t>
      </w:r>
      <w:r w:rsidRPr="00C30FF7">
        <w:rPr>
          <w:rFonts w:ascii="Gill Sans MT" w:hAnsi="Gill Sans MT"/>
          <w:sz w:val="20"/>
          <w:lang w:val="en-GB"/>
        </w:rPr>
        <w:t>the partner country was a fundamental principle of Budget Support</w:t>
      </w:r>
      <w:r w:rsidR="00F945D3" w:rsidRPr="00C30FF7">
        <w:rPr>
          <w:rFonts w:ascii="Gill Sans MT" w:hAnsi="Gill Sans MT"/>
          <w:sz w:val="20"/>
          <w:lang w:val="en-GB"/>
        </w:rPr>
        <w:t xml:space="preserve">, </w:t>
      </w:r>
      <w:r w:rsidR="005A4727" w:rsidRPr="00C30FF7">
        <w:rPr>
          <w:rFonts w:ascii="Gill Sans MT" w:hAnsi="Gill Sans MT"/>
          <w:sz w:val="20"/>
          <w:lang w:val="en-GB"/>
        </w:rPr>
        <w:t xml:space="preserve">achieved </w:t>
      </w:r>
      <w:r w:rsidR="00F945D3" w:rsidRPr="00C30FF7">
        <w:rPr>
          <w:rFonts w:ascii="Gill Sans MT" w:hAnsi="Gill Sans MT"/>
          <w:sz w:val="20"/>
          <w:lang w:val="en-GB"/>
        </w:rPr>
        <w:t>through the provision of unearmarked fi</w:t>
      </w:r>
      <w:r w:rsidR="00004025" w:rsidRPr="00C30FF7">
        <w:rPr>
          <w:rFonts w:ascii="Gill Sans MT" w:hAnsi="Gill Sans MT"/>
          <w:sz w:val="20"/>
          <w:lang w:val="en-GB"/>
        </w:rPr>
        <w:t xml:space="preserve">nancial support to a government </w:t>
      </w:r>
      <w:r w:rsidR="00F945D3" w:rsidRPr="00C30FF7">
        <w:rPr>
          <w:rFonts w:ascii="Gill Sans MT" w:hAnsi="Gill Sans MT"/>
          <w:sz w:val="20"/>
          <w:lang w:val="en-GB"/>
        </w:rPr>
        <w:t>strategy or reform programme</w:t>
      </w:r>
      <w:r w:rsidR="00004025" w:rsidRPr="00C30FF7">
        <w:rPr>
          <w:rFonts w:ascii="Gill Sans MT" w:hAnsi="Gill Sans MT"/>
          <w:sz w:val="20"/>
          <w:lang w:val="en-GB"/>
        </w:rPr>
        <w:t xml:space="preserve"> and through a process of </w:t>
      </w:r>
      <w:r w:rsidR="00426C07" w:rsidRPr="00C30FF7">
        <w:rPr>
          <w:rFonts w:ascii="Gill Sans MT" w:hAnsi="Gill Sans MT"/>
          <w:sz w:val="20"/>
          <w:lang w:val="en-GB"/>
        </w:rPr>
        <w:t>alignment to government procedures</w:t>
      </w:r>
      <w:r w:rsidR="005E3FD1" w:rsidRPr="00C30FF7">
        <w:rPr>
          <w:rFonts w:ascii="Gill Sans MT" w:hAnsi="Gill Sans MT"/>
          <w:sz w:val="20"/>
          <w:lang w:val="en-GB"/>
        </w:rPr>
        <w:t>.</w:t>
      </w:r>
      <w:r w:rsidR="00F945D3">
        <w:rPr>
          <w:rFonts w:ascii="Gill Sans MT" w:hAnsi="Gill Sans MT"/>
          <w:sz w:val="20"/>
          <w:lang w:val="en-GB"/>
        </w:rPr>
        <w:t xml:space="preserve"> This</w:t>
      </w:r>
      <w:r w:rsidR="00FA7C23">
        <w:rPr>
          <w:rFonts w:ascii="Gill Sans MT" w:hAnsi="Gill Sans MT"/>
          <w:sz w:val="20"/>
          <w:lang w:val="en-GB"/>
        </w:rPr>
        <w:t xml:space="preserve"> contrasts</w:t>
      </w:r>
      <w:r w:rsidR="00F945D3">
        <w:rPr>
          <w:rFonts w:ascii="Gill Sans MT" w:hAnsi="Gill Sans MT"/>
          <w:sz w:val="20"/>
          <w:lang w:val="en-GB"/>
        </w:rPr>
        <w:t xml:space="preserve"> sharply with the era of structural adjustment, when disbursements were essentially conditional upon the implementation of reforms</w:t>
      </w:r>
      <w:r w:rsidR="00FA7C23">
        <w:rPr>
          <w:rFonts w:ascii="Gill Sans MT" w:hAnsi="Gill Sans MT"/>
          <w:sz w:val="20"/>
          <w:lang w:val="en-GB"/>
        </w:rPr>
        <w:t xml:space="preserve">, </w:t>
      </w:r>
      <w:r w:rsidR="00CA0125">
        <w:rPr>
          <w:rFonts w:ascii="Gill Sans MT" w:hAnsi="Gill Sans MT"/>
          <w:sz w:val="20"/>
          <w:lang w:val="en-GB"/>
        </w:rPr>
        <w:t xml:space="preserve">largely </w:t>
      </w:r>
      <w:r w:rsidR="00FA7C23">
        <w:rPr>
          <w:rFonts w:ascii="Gill Sans MT" w:hAnsi="Gill Sans MT"/>
          <w:sz w:val="20"/>
          <w:lang w:val="en-GB"/>
        </w:rPr>
        <w:t xml:space="preserve">designed by external financing agencies. </w:t>
      </w:r>
      <w:r w:rsidR="004569C5">
        <w:rPr>
          <w:rFonts w:ascii="Gill Sans MT" w:hAnsi="Gill Sans MT"/>
          <w:sz w:val="20"/>
          <w:lang w:val="en-GB"/>
        </w:rPr>
        <w:t>S</w:t>
      </w:r>
      <w:r w:rsidR="001D3CC3">
        <w:rPr>
          <w:rFonts w:ascii="Gill Sans MT" w:hAnsi="Gill Sans MT"/>
          <w:sz w:val="20"/>
          <w:lang w:val="en-GB"/>
        </w:rPr>
        <w:t>ubsequent evalu</w:t>
      </w:r>
      <w:r w:rsidR="00DA112E">
        <w:rPr>
          <w:rFonts w:ascii="Gill Sans MT" w:hAnsi="Gill Sans MT"/>
          <w:sz w:val="20"/>
          <w:lang w:val="en-GB"/>
        </w:rPr>
        <w:t xml:space="preserve">ations </w:t>
      </w:r>
      <w:r w:rsidR="004569C5">
        <w:rPr>
          <w:rFonts w:ascii="Gill Sans MT" w:hAnsi="Gill Sans MT"/>
          <w:sz w:val="20"/>
          <w:lang w:val="en-GB"/>
        </w:rPr>
        <w:t xml:space="preserve">pointed </w:t>
      </w:r>
      <w:r w:rsidR="00610508">
        <w:rPr>
          <w:rFonts w:ascii="Gill Sans MT" w:hAnsi="Gill Sans MT"/>
          <w:sz w:val="20"/>
          <w:lang w:val="en-GB"/>
        </w:rPr>
        <w:t>clear</w:t>
      </w:r>
      <w:r w:rsidR="004569C5">
        <w:rPr>
          <w:rFonts w:ascii="Gill Sans MT" w:hAnsi="Gill Sans MT"/>
          <w:sz w:val="20"/>
          <w:lang w:val="en-GB"/>
        </w:rPr>
        <w:t>ly to the weakness of such an approach</w:t>
      </w:r>
      <w:r w:rsidR="00610508">
        <w:rPr>
          <w:rFonts w:ascii="Gill Sans MT" w:hAnsi="Gill Sans MT"/>
          <w:sz w:val="20"/>
          <w:lang w:val="en-GB"/>
        </w:rPr>
        <w:t>:</w:t>
      </w:r>
      <w:r w:rsidR="00004025">
        <w:rPr>
          <w:rFonts w:ascii="Gill Sans MT" w:hAnsi="Gill Sans MT"/>
          <w:sz w:val="20"/>
          <w:lang w:val="en-GB"/>
        </w:rPr>
        <w:t xml:space="preserve"> most notably,</w:t>
      </w:r>
      <w:r w:rsidR="004569C5">
        <w:rPr>
          <w:rFonts w:ascii="Gill Sans MT" w:hAnsi="Gill Sans MT"/>
          <w:sz w:val="20"/>
          <w:lang w:val="en-GB"/>
        </w:rPr>
        <w:t xml:space="preserve"> </w:t>
      </w:r>
      <w:r w:rsidR="00610508">
        <w:rPr>
          <w:rFonts w:ascii="Gill Sans MT" w:hAnsi="Gill Sans MT"/>
          <w:sz w:val="20"/>
          <w:lang w:val="en-GB"/>
        </w:rPr>
        <w:t>where an effective domestic con</w:t>
      </w:r>
      <w:r w:rsidR="004569C5">
        <w:rPr>
          <w:rFonts w:ascii="Gill Sans MT" w:hAnsi="Gill Sans MT"/>
          <w:sz w:val="20"/>
          <w:lang w:val="en-GB"/>
        </w:rPr>
        <w:t xml:space="preserve">stituency in support of reform was not in evidence, policy reforms were not </w:t>
      </w:r>
      <w:r w:rsidR="00610508">
        <w:rPr>
          <w:rFonts w:ascii="Gill Sans MT" w:hAnsi="Gill Sans MT"/>
          <w:sz w:val="20"/>
          <w:lang w:val="en-GB"/>
        </w:rPr>
        <w:t>sustained.</w:t>
      </w:r>
      <w:r w:rsidR="00610508" w:rsidRPr="001D3CC3">
        <w:rPr>
          <w:rFonts w:ascii="Gill Sans MT" w:hAnsi="Gill Sans MT"/>
          <w:sz w:val="20"/>
          <w:lang w:val="en-GB"/>
        </w:rPr>
        <w:t xml:space="preserve"> (</w:t>
      </w:r>
      <w:proofErr w:type="spellStart"/>
      <w:r w:rsidR="00610508" w:rsidRPr="001D3CC3">
        <w:rPr>
          <w:rFonts w:ascii="Gill Sans MT" w:hAnsi="Gill Sans MT"/>
          <w:sz w:val="20"/>
          <w:lang w:val="en-GB"/>
        </w:rPr>
        <w:t>Killick</w:t>
      </w:r>
      <w:proofErr w:type="spellEnd"/>
      <w:r w:rsidR="00610508" w:rsidRPr="001D3CC3">
        <w:rPr>
          <w:rFonts w:ascii="Gill Sans MT" w:hAnsi="Gill Sans MT"/>
          <w:sz w:val="20"/>
          <w:lang w:val="en-GB"/>
        </w:rPr>
        <w:t xml:space="preserve">, 1998; White, 1999; Tarp &amp; </w:t>
      </w:r>
      <w:proofErr w:type="spellStart"/>
      <w:r w:rsidR="00610508" w:rsidRPr="001D3CC3">
        <w:rPr>
          <w:rFonts w:ascii="Gill Sans MT" w:hAnsi="Gill Sans MT"/>
          <w:sz w:val="20"/>
          <w:lang w:val="en-GB"/>
        </w:rPr>
        <w:t>Hjertholm</w:t>
      </w:r>
      <w:proofErr w:type="spellEnd"/>
      <w:r w:rsidR="00610508" w:rsidRPr="001D3CC3">
        <w:rPr>
          <w:rFonts w:ascii="Gill Sans MT" w:hAnsi="Gill Sans MT"/>
          <w:sz w:val="20"/>
          <w:lang w:val="en-GB"/>
        </w:rPr>
        <w:t xml:space="preserve">, 2000; Dollar &amp; </w:t>
      </w:r>
      <w:proofErr w:type="spellStart"/>
      <w:r w:rsidR="00610508" w:rsidRPr="001D3CC3">
        <w:rPr>
          <w:rFonts w:ascii="Gill Sans MT" w:hAnsi="Gill Sans MT"/>
          <w:sz w:val="20"/>
          <w:lang w:val="en-GB"/>
        </w:rPr>
        <w:t>Svensson</w:t>
      </w:r>
      <w:proofErr w:type="spellEnd"/>
      <w:r w:rsidR="00610508" w:rsidRPr="001D3CC3">
        <w:rPr>
          <w:rFonts w:ascii="Gill Sans MT" w:hAnsi="Gill Sans MT"/>
          <w:sz w:val="20"/>
          <w:lang w:val="en-GB"/>
        </w:rPr>
        <w:t>, 2000</w:t>
      </w:r>
      <w:r w:rsidR="001D3CC3">
        <w:rPr>
          <w:rFonts w:ascii="Gill Sans MT" w:hAnsi="Gill Sans MT"/>
          <w:sz w:val="20"/>
          <w:lang w:val="en-GB"/>
        </w:rPr>
        <w:t>.</w:t>
      </w:r>
      <w:r w:rsidR="00610508" w:rsidRPr="001D3CC3">
        <w:rPr>
          <w:rFonts w:ascii="Gill Sans MT" w:hAnsi="Gill Sans MT"/>
          <w:sz w:val="20"/>
          <w:lang w:val="en-GB"/>
        </w:rPr>
        <w:t xml:space="preserve">) </w:t>
      </w:r>
    </w:p>
    <w:p w14:paraId="2375B78D" w14:textId="77777777" w:rsidR="00607ABE" w:rsidRDefault="001D3CC3" w:rsidP="002E6426">
      <w:pPr>
        <w:pStyle w:val="BodyText"/>
        <w:numPr>
          <w:ilvl w:val="0"/>
          <w:numId w:val="2"/>
        </w:numPr>
        <w:spacing w:line="360" w:lineRule="auto"/>
        <w:ind w:left="499" w:hanging="357"/>
        <w:rPr>
          <w:rFonts w:ascii="Gill Sans MT" w:hAnsi="Gill Sans MT"/>
          <w:sz w:val="20"/>
          <w:lang w:val="en-GB"/>
        </w:rPr>
      </w:pPr>
      <w:r w:rsidRPr="001D3CC3">
        <w:rPr>
          <w:rFonts w:ascii="Gill Sans MT" w:hAnsi="Gill Sans MT"/>
          <w:b/>
          <w:sz w:val="20"/>
          <w:lang w:val="en-GB"/>
        </w:rPr>
        <w:t xml:space="preserve">Thus, partnership, rather than conditionality, </w:t>
      </w:r>
      <w:r w:rsidR="00F945D3" w:rsidRPr="001D3CC3">
        <w:rPr>
          <w:rFonts w:ascii="Gill Sans MT" w:hAnsi="Gill Sans MT"/>
          <w:b/>
          <w:sz w:val="20"/>
          <w:lang w:val="en-GB"/>
        </w:rPr>
        <w:t xml:space="preserve">is </w:t>
      </w:r>
      <w:r w:rsidRPr="001D3CC3">
        <w:rPr>
          <w:rFonts w:ascii="Gill Sans MT" w:hAnsi="Gill Sans MT"/>
          <w:b/>
          <w:sz w:val="20"/>
          <w:lang w:val="en-GB"/>
        </w:rPr>
        <w:t>an essential defining feature of Budget</w:t>
      </w:r>
      <w:r w:rsidR="00A82A7C">
        <w:rPr>
          <w:rFonts w:ascii="Gill Sans MT" w:hAnsi="Gill Sans MT"/>
          <w:b/>
          <w:sz w:val="20"/>
          <w:lang w:val="en-GB"/>
        </w:rPr>
        <w:t xml:space="preserve"> Support</w:t>
      </w:r>
      <w:r w:rsidRPr="001D3CC3">
        <w:rPr>
          <w:rFonts w:ascii="Gill Sans MT" w:hAnsi="Gill Sans MT"/>
          <w:b/>
          <w:sz w:val="20"/>
          <w:lang w:val="en-GB"/>
        </w:rPr>
        <w:t>.</w:t>
      </w:r>
      <w:r>
        <w:rPr>
          <w:rFonts w:ascii="Gill Sans MT" w:hAnsi="Gill Sans MT"/>
          <w:sz w:val="20"/>
          <w:lang w:val="en-GB"/>
        </w:rPr>
        <w:t xml:space="preserve"> Within this partnership model, there remains a legitimate role for disbursement conditions but not, as with policy conditionality, as a mechanism to </w:t>
      </w:r>
      <w:r w:rsidR="00607ABE">
        <w:rPr>
          <w:rFonts w:ascii="Gill Sans MT" w:hAnsi="Gill Sans MT"/>
          <w:sz w:val="20"/>
          <w:lang w:val="en-GB"/>
        </w:rPr>
        <w:t>“</w:t>
      </w:r>
      <w:r>
        <w:rPr>
          <w:rFonts w:ascii="Gill Sans MT" w:hAnsi="Gill Sans MT"/>
          <w:sz w:val="20"/>
          <w:lang w:val="en-GB"/>
        </w:rPr>
        <w:t>buy</w:t>
      </w:r>
      <w:r w:rsidR="00607ABE">
        <w:rPr>
          <w:rFonts w:ascii="Gill Sans MT" w:hAnsi="Gill Sans MT"/>
          <w:sz w:val="20"/>
          <w:lang w:val="en-GB"/>
        </w:rPr>
        <w:t>”</w:t>
      </w:r>
      <w:r>
        <w:rPr>
          <w:rFonts w:ascii="Gill Sans MT" w:hAnsi="Gill Sans MT"/>
          <w:sz w:val="20"/>
          <w:lang w:val="en-GB"/>
        </w:rPr>
        <w:t xml:space="preserve"> policy reforms. </w:t>
      </w:r>
      <w:r w:rsidR="00607ABE">
        <w:rPr>
          <w:rFonts w:ascii="Gill Sans MT" w:hAnsi="Gill Sans MT"/>
          <w:sz w:val="20"/>
          <w:lang w:val="en-GB"/>
        </w:rPr>
        <w:t>Rather, the role for disbursement conditions within the partnership model is two-fold:</w:t>
      </w:r>
    </w:p>
    <w:p w14:paraId="760F65E0" w14:textId="77777777" w:rsidR="00607ABE" w:rsidRDefault="00607ABE" w:rsidP="00D81DB3">
      <w:pPr>
        <w:pStyle w:val="BodyText"/>
        <w:numPr>
          <w:ilvl w:val="0"/>
          <w:numId w:val="6"/>
        </w:numPr>
        <w:spacing w:line="360" w:lineRule="auto"/>
        <w:rPr>
          <w:rFonts w:ascii="Gill Sans MT" w:hAnsi="Gill Sans MT"/>
          <w:sz w:val="20"/>
          <w:lang w:val="en-GB"/>
        </w:rPr>
      </w:pPr>
      <w:r>
        <w:rPr>
          <w:rFonts w:ascii="Gill Sans MT" w:hAnsi="Gill Sans MT"/>
          <w:sz w:val="20"/>
          <w:lang w:val="en-GB"/>
        </w:rPr>
        <w:lastRenderedPageBreak/>
        <w:t xml:space="preserve">firstly, it is a method of </w:t>
      </w:r>
      <w:r w:rsidR="00A82A7C" w:rsidRPr="00A82A7C">
        <w:rPr>
          <w:rFonts w:ascii="Gill Sans MT" w:hAnsi="Gill Sans MT"/>
          <w:sz w:val="20"/>
          <w:u w:val="single"/>
          <w:lang w:val="en-GB"/>
        </w:rPr>
        <w:t>accountability</w:t>
      </w:r>
      <w:r w:rsidR="00A82A7C">
        <w:rPr>
          <w:rFonts w:ascii="Gill Sans MT" w:hAnsi="Gill Sans MT"/>
          <w:sz w:val="20"/>
          <w:lang w:val="en-GB"/>
        </w:rPr>
        <w:t xml:space="preserve"> </w:t>
      </w:r>
      <w:r w:rsidR="00A82A7C" w:rsidRPr="00A82A7C">
        <w:rPr>
          <w:rFonts w:ascii="Gill Sans MT" w:hAnsi="Gill Sans MT"/>
          <w:sz w:val="20"/>
          <w:lang w:val="en-GB"/>
        </w:rPr>
        <w:t>(</w:t>
      </w:r>
      <w:r w:rsidRPr="00A82A7C">
        <w:rPr>
          <w:rFonts w:ascii="Gill Sans MT" w:hAnsi="Gill Sans MT"/>
          <w:sz w:val="20"/>
          <w:lang w:val="en-GB"/>
        </w:rPr>
        <w:t>due diligence</w:t>
      </w:r>
      <w:r w:rsidR="00A82A7C" w:rsidRPr="00A82A7C">
        <w:rPr>
          <w:rFonts w:ascii="Gill Sans MT" w:hAnsi="Gill Sans MT"/>
          <w:sz w:val="20"/>
          <w:lang w:val="en-GB"/>
        </w:rPr>
        <w:t>)</w:t>
      </w:r>
      <w:r>
        <w:rPr>
          <w:rFonts w:ascii="Gill Sans MT" w:hAnsi="Gill Sans MT"/>
          <w:sz w:val="20"/>
          <w:lang w:val="en-GB"/>
        </w:rPr>
        <w:t xml:space="preserve"> for the agency providing budget support –</w:t>
      </w:r>
      <w:r w:rsidR="00A41598">
        <w:rPr>
          <w:rFonts w:ascii="Gill Sans MT" w:hAnsi="Gill Sans MT"/>
          <w:sz w:val="20"/>
          <w:lang w:val="en-GB"/>
        </w:rPr>
        <w:t xml:space="preserve"> a way of ensuring that the ‘</w:t>
      </w:r>
      <w:r>
        <w:rPr>
          <w:rFonts w:ascii="Gill Sans MT" w:hAnsi="Gill Sans MT"/>
          <w:sz w:val="20"/>
          <w:lang w:val="en-GB"/>
        </w:rPr>
        <w:t>eligibility conditions’ for Budget Support remain in place, and that the basis for the partnership continues to be sound;</w:t>
      </w:r>
    </w:p>
    <w:p w14:paraId="47C4316B" w14:textId="77777777" w:rsidR="00AC0FD3" w:rsidRDefault="00607ABE" w:rsidP="00D81DB3">
      <w:pPr>
        <w:pStyle w:val="BodyText"/>
        <w:numPr>
          <w:ilvl w:val="0"/>
          <w:numId w:val="6"/>
        </w:numPr>
        <w:spacing w:line="360" w:lineRule="auto"/>
        <w:rPr>
          <w:rFonts w:ascii="Gill Sans MT" w:hAnsi="Gill Sans MT"/>
          <w:sz w:val="20"/>
          <w:lang w:val="en-GB"/>
        </w:rPr>
      </w:pPr>
      <w:proofErr w:type="gramStart"/>
      <w:r>
        <w:rPr>
          <w:rFonts w:ascii="Gill Sans MT" w:hAnsi="Gill Sans MT"/>
          <w:sz w:val="20"/>
          <w:lang w:val="en-GB"/>
        </w:rPr>
        <w:t>secondly</w:t>
      </w:r>
      <w:proofErr w:type="gramEnd"/>
      <w:r>
        <w:rPr>
          <w:rFonts w:ascii="Gill Sans MT" w:hAnsi="Gill Sans MT"/>
          <w:sz w:val="20"/>
          <w:lang w:val="en-GB"/>
        </w:rPr>
        <w:t xml:space="preserve">, it is a </w:t>
      </w:r>
      <w:r w:rsidR="00324105" w:rsidRPr="00324105">
        <w:rPr>
          <w:rFonts w:ascii="Gill Sans MT" w:hAnsi="Gill Sans MT"/>
          <w:sz w:val="20"/>
          <w:u w:val="single"/>
          <w:lang w:val="en-GB"/>
        </w:rPr>
        <w:t xml:space="preserve">monitoring </w:t>
      </w:r>
      <w:r w:rsidRPr="00324105">
        <w:rPr>
          <w:rFonts w:ascii="Gill Sans MT" w:hAnsi="Gill Sans MT"/>
          <w:sz w:val="20"/>
          <w:u w:val="single"/>
          <w:lang w:val="en-GB"/>
        </w:rPr>
        <w:t>mechanism</w:t>
      </w:r>
      <w:r>
        <w:rPr>
          <w:rFonts w:ascii="Gill Sans MT" w:hAnsi="Gill Sans MT"/>
          <w:sz w:val="20"/>
          <w:lang w:val="en-GB"/>
        </w:rPr>
        <w:t xml:space="preserve"> to assist the partner go</w:t>
      </w:r>
      <w:r w:rsidR="0028250E">
        <w:rPr>
          <w:rFonts w:ascii="Gill Sans MT" w:hAnsi="Gill Sans MT"/>
          <w:sz w:val="20"/>
          <w:lang w:val="en-GB"/>
        </w:rPr>
        <w:t>vernment in formulating</w:t>
      </w:r>
      <w:r w:rsidR="00A41598">
        <w:rPr>
          <w:rFonts w:ascii="Gill Sans MT" w:hAnsi="Gill Sans MT"/>
          <w:sz w:val="20"/>
          <w:lang w:val="en-GB"/>
        </w:rPr>
        <w:t xml:space="preserve"> </w:t>
      </w:r>
      <w:r>
        <w:rPr>
          <w:rFonts w:ascii="Gill Sans MT" w:hAnsi="Gill Sans MT"/>
          <w:sz w:val="20"/>
          <w:lang w:val="en-GB"/>
        </w:rPr>
        <w:t>milestones a</w:t>
      </w:r>
      <w:r w:rsidR="00824839">
        <w:rPr>
          <w:rFonts w:ascii="Gill Sans MT" w:hAnsi="Gill Sans MT"/>
          <w:sz w:val="20"/>
          <w:lang w:val="en-GB"/>
        </w:rPr>
        <w:t xml:space="preserve">nd progress targets for its </w:t>
      </w:r>
      <w:r>
        <w:rPr>
          <w:rFonts w:ascii="Gill Sans MT" w:hAnsi="Gill Sans MT"/>
          <w:sz w:val="20"/>
          <w:lang w:val="en-GB"/>
        </w:rPr>
        <w:t>development strategy</w:t>
      </w:r>
      <w:r w:rsidR="00324105">
        <w:rPr>
          <w:rFonts w:ascii="Gill Sans MT" w:hAnsi="Gill Sans MT"/>
          <w:sz w:val="20"/>
          <w:lang w:val="en-GB"/>
        </w:rPr>
        <w:t xml:space="preserve"> and </w:t>
      </w:r>
      <w:r w:rsidR="00A41598">
        <w:rPr>
          <w:rFonts w:ascii="Gill Sans MT" w:hAnsi="Gill Sans MT"/>
          <w:sz w:val="20"/>
          <w:lang w:val="en-GB"/>
        </w:rPr>
        <w:t xml:space="preserve">reform programme, so as </w:t>
      </w:r>
      <w:r>
        <w:rPr>
          <w:rFonts w:ascii="Gill Sans MT" w:hAnsi="Gill Sans MT"/>
          <w:sz w:val="20"/>
          <w:lang w:val="en-GB"/>
        </w:rPr>
        <w:t xml:space="preserve">to </w:t>
      </w:r>
      <w:r w:rsidR="00824839">
        <w:rPr>
          <w:rFonts w:ascii="Gill Sans MT" w:hAnsi="Gill Sans MT"/>
          <w:sz w:val="20"/>
          <w:lang w:val="en-GB"/>
        </w:rPr>
        <w:t xml:space="preserve">assess </w:t>
      </w:r>
      <w:r w:rsidR="00A41598">
        <w:rPr>
          <w:rFonts w:ascii="Gill Sans MT" w:hAnsi="Gill Sans MT"/>
          <w:sz w:val="20"/>
          <w:lang w:val="en-GB"/>
        </w:rPr>
        <w:t xml:space="preserve">progress in an objective </w:t>
      </w:r>
      <w:r>
        <w:rPr>
          <w:rFonts w:ascii="Gill Sans MT" w:hAnsi="Gill Sans MT"/>
          <w:sz w:val="20"/>
          <w:lang w:val="en-GB"/>
        </w:rPr>
        <w:t xml:space="preserve">and public manner, thus increasing domestic accountability and encouraging resolute pursuit of the national </w:t>
      </w:r>
      <w:r w:rsidR="0028250E">
        <w:rPr>
          <w:rFonts w:ascii="Gill Sans MT" w:hAnsi="Gill Sans MT"/>
          <w:sz w:val="20"/>
          <w:lang w:val="en-GB"/>
        </w:rPr>
        <w:t xml:space="preserve">and/or sectoral </w:t>
      </w:r>
      <w:r>
        <w:rPr>
          <w:rFonts w:ascii="Gill Sans MT" w:hAnsi="Gill Sans MT"/>
          <w:sz w:val="20"/>
          <w:lang w:val="en-GB"/>
        </w:rPr>
        <w:t>strategy.</w:t>
      </w:r>
    </w:p>
    <w:p w14:paraId="4CA8B734" w14:textId="77777777" w:rsidR="00607ABE" w:rsidRDefault="005E4BFA" w:rsidP="00F15ABB">
      <w:pPr>
        <w:pStyle w:val="BodyText"/>
        <w:numPr>
          <w:ilvl w:val="0"/>
          <w:numId w:val="2"/>
        </w:numPr>
        <w:spacing w:line="360" w:lineRule="auto"/>
        <w:ind w:left="499" w:hanging="357"/>
        <w:rPr>
          <w:rFonts w:ascii="Gill Sans MT" w:hAnsi="Gill Sans MT"/>
          <w:sz w:val="20"/>
          <w:lang w:val="en-GB"/>
        </w:rPr>
      </w:pPr>
      <w:r>
        <w:rPr>
          <w:rFonts w:ascii="Gill Sans MT" w:hAnsi="Gill Sans MT"/>
          <w:b/>
          <w:sz w:val="20"/>
          <w:lang w:val="en-GB"/>
        </w:rPr>
        <w:t xml:space="preserve">Performance Assessment Frameworks (PAFs) </w:t>
      </w:r>
      <w:r w:rsidR="000A54FC">
        <w:rPr>
          <w:rFonts w:ascii="Gill Sans MT" w:hAnsi="Gill Sans MT"/>
          <w:b/>
          <w:sz w:val="20"/>
          <w:lang w:val="en-GB"/>
        </w:rPr>
        <w:t>or other result</w:t>
      </w:r>
      <w:r w:rsidR="00A82A7C">
        <w:rPr>
          <w:rFonts w:ascii="Gill Sans MT" w:hAnsi="Gill Sans MT"/>
          <w:b/>
          <w:sz w:val="20"/>
          <w:lang w:val="en-GB"/>
        </w:rPr>
        <w:t>s</w:t>
      </w:r>
      <w:r w:rsidR="000A54FC">
        <w:rPr>
          <w:rFonts w:ascii="Gill Sans MT" w:hAnsi="Gill Sans MT"/>
          <w:b/>
          <w:sz w:val="20"/>
          <w:lang w:val="en-GB"/>
        </w:rPr>
        <w:t xml:space="preserve"> oriented frameworks </w:t>
      </w:r>
      <w:r w:rsidR="00F15ABB" w:rsidRPr="00A82A7C">
        <w:rPr>
          <w:rFonts w:ascii="Gill Sans MT" w:hAnsi="Gill Sans MT"/>
          <w:b/>
          <w:sz w:val="20"/>
          <w:lang w:val="en-GB"/>
        </w:rPr>
        <w:t>provide the framework for both of these functions to be performed</w:t>
      </w:r>
      <w:r w:rsidR="00F15ABB">
        <w:rPr>
          <w:rFonts w:ascii="Gill Sans MT" w:hAnsi="Gill Sans MT"/>
          <w:sz w:val="20"/>
          <w:lang w:val="en-GB"/>
        </w:rPr>
        <w:t xml:space="preserve">. </w:t>
      </w:r>
      <w:r w:rsidR="00E9488C">
        <w:rPr>
          <w:rFonts w:ascii="Gill Sans MT" w:hAnsi="Gill Sans MT"/>
          <w:sz w:val="20"/>
          <w:lang w:val="en-GB"/>
        </w:rPr>
        <w:t xml:space="preserve">Policy dialogue can exert influence on reforms. However, this level of influence has only arisen after a good working relationship has been established with the government and both formal and informal channels of influence have been developed. </w:t>
      </w:r>
      <w:r w:rsidR="00607ABE">
        <w:rPr>
          <w:rFonts w:ascii="Gill Sans MT" w:hAnsi="Gill Sans MT"/>
          <w:sz w:val="20"/>
          <w:lang w:val="en-GB"/>
        </w:rPr>
        <w:t>Within this approach, policy dialogue can be relatively easily combined with the monitoring of disbursement conditions. So long as there is confidence that the basis for partnership remains</w:t>
      </w:r>
      <w:r w:rsidR="00F15ABB">
        <w:rPr>
          <w:rFonts w:ascii="Gill Sans MT" w:hAnsi="Gill Sans MT"/>
          <w:sz w:val="20"/>
          <w:lang w:val="en-GB"/>
        </w:rPr>
        <w:t>, it is possible to discuss the reasons why certain targets may have been missed or implemented more slowly than might be desirable.  Partners can review together what changes could be introduced to the design of reforms or to the adopted approaches to implementation, with the Development Partners bringing to the table their international experi</w:t>
      </w:r>
      <w:r w:rsidR="0028250E">
        <w:rPr>
          <w:rFonts w:ascii="Gill Sans MT" w:hAnsi="Gill Sans MT"/>
          <w:sz w:val="20"/>
          <w:lang w:val="en-GB"/>
        </w:rPr>
        <w:t>ence of addressing similar issues</w:t>
      </w:r>
      <w:r w:rsidR="00F15ABB">
        <w:rPr>
          <w:rFonts w:ascii="Gill Sans MT" w:hAnsi="Gill Sans MT"/>
          <w:sz w:val="20"/>
          <w:lang w:val="en-GB"/>
        </w:rPr>
        <w:t>, whilst also deploying appropriate technical a</w:t>
      </w:r>
      <w:r w:rsidR="0028250E">
        <w:rPr>
          <w:rFonts w:ascii="Gill Sans MT" w:hAnsi="Gill Sans MT"/>
          <w:sz w:val="20"/>
          <w:lang w:val="en-GB"/>
        </w:rPr>
        <w:t>ssistance and support to capacity development</w:t>
      </w:r>
      <w:r w:rsidR="00F15ABB">
        <w:rPr>
          <w:rFonts w:ascii="Gill Sans MT" w:hAnsi="Gill Sans MT"/>
          <w:sz w:val="20"/>
          <w:lang w:val="en-GB"/>
        </w:rPr>
        <w:t>.</w:t>
      </w:r>
    </w:p>
    <w:p w14:paraId="7F891DDA" w14:textId="77777777" w:rsidR="00105F94" w:rsidRPr="00C34214" w:rsidRDefault="00463BAB" w:rsidP="00C34214">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This model of “partnership Budget Support” may be said to have been</w:t>
      </w:r>
      <w:r w:rsidR="00FC27FE">
        <w:rPr>
          <w:rFonts w:ascii="Gill Sans MT" w:hAnsi="Gill Sans MT"/>
          <w:sz w:val="20"/>
          <w:lang w:val="en-GB"/>
        </w:rPr>
        <w:t xml:space="preserve"> the prevailing p</w:t>
      </w:r>
      <w:r w:rsidR="005A4727">
        <w:rPr>
          <w:rFonts w:ascii="Gill Sans MT" w:hAnsi="Gill Sans MT"/>
          <w:sz w:val="20"/>
          <w:lang w:val="en-GB"/>
        </w:rPr>
        <w:t xml:space="preserve">hilosophy up until </w:t>
      </w:r>
      <w:r w:rsidR="0028250E">
        <w:rPr>
          <w:rFonts w:ascii="Gill Sans MT" w:hAnsi="Gill Sans MT"/>
          <w:sz w:val="20"/>
          <w:lang w:val="en-GB"/>
        </w:rPr>
        <w:t xml:space="preserve">2007 or 2008. This approach was </w:t>
      </w:r>
      <w:r w:rsidR="00833169">
        <w:rPr>
          <w:rFonts w:ascii="Gill Sans MT" w:hAnsi="Gill Sans MT"/>
          <w:sz w:val="20"/>
          <w:lang w:val="en-GB"/>
        </w:rPr>
        <w:t xml:space="preserve">endorsed by the Paris Declaration of 2005, as well as being explicitly adopted in the internal policies and guidelines of the EU (2002), DFID </w:t>
      </w:r>
      <w:r w:rsidR="00952D6E">
        <w:rPr>
          <w:rFonts w:ascii="Gill Sans MT" w:hAnsi="Gill Sans MT"/>
          <w:sz w:val="20"/>
          <w:lang w:val="en-GB"/>
        </w:rPr>
        <w:t xml:space="preserve">(2005), NORAD (2005) </w:t>
      </w:r>
      <w:r w:rsidR="00833169">
        <w:rPr>
          <w:rFonts w:ascii="Gill Sans MT" w:hAnsi="Gill Sans MT"/>
          <w:sz w:val="20"/>
          <w:lang w:val="en-GB"/>
        </w:rPr>
        <w:t>and the World Bank</w:t>
      </w:r>
      <w:r w:rsidR="00952D6E">
        <w:rPr>
          <w:rFonts w:ascii="Gill Sans MT" w:hAnsi="Gill Sans MT"/>
          <w:sz w:val="20"/>
          <w:lang w:val="en-GB"/>
        </w:rPr>
        <w:t xml:space="preserve"> (2005)</w:t>
      </w:r>
      <w:r w:rsidR="00833169">
        <w:rPr>
          <w:rFonts w:ascii="Gill Sans MT" w:hAnsi="Gill Sans MT"/>
          <w:sz w:val="20"/>
          <w:lang w:val="en-GB"/>
        </w:rPr>
        <w:t>, amongst others</w:t>
      </w:r>
      <w:r w:rsidR="00952D6E">
        <w:rPr>
          <w:rStyle w:val="FootnoteReference"/>
          <w:rFonts w:ascii="Gill Sans MT" w:hAnsi="Gill Sans MT"/>
          <w:sz w:val="20"/>
          <w:lang w:val="en-GB"/>
        </w:rPr>
        <w:footnoteReference w:id="6"/>
      </w:r>
      <w:r w:rsidR="005A4727">
        <w:rPr>
          <w:rFonts w:ascii="Gill Sans MT" w:hAnsi="Gill Sans MT"/>
          <w:sz w:val="20"/>
          <w:lang w:val="en-GB"/>
        </w:rPr>
        <w:t xml:space="preserve">. </w:t>
      </w:r>
      <w:r w:rsidR="00A50B2C" w:rsidRPr="00C34214">
        <w:rPr>
          <w:rFonts w:ascii="Gill Sans MT" w:hAnsi="Gill Sans MT"/>
          <w:sz w:val="20"/>
          <w:lang w:val="en-GB"/>
        </w:rPr>
        <w:t>Crucially, t</w:t>
      </w:r>
      <w:r w:rsidR="00105F94" w:rsidRPr="00C34214">
        <w:rPr>
          <w:rFonts w:ascii="Gill Sans MT" w:hAnsi="Gill Sans MT"/>
          <w:sz w:val="20"/>
          <w:lang w:val="en-GB"/>
        </w:rPr>
        <w:t xml:space="preserve">his model of “partnership Budget Support” </w:t>
      </w:r>
      <w:r w:rsidR="00A50B2C" w:rsidRPr="00C34214">
        <w:rPr>
          <w:rFonts w:ascii="Gill Sans MT" w:hAnsi="Gill Sans MT"/>
          <w:sz w:val="20"/>
          <w:lang w:val="en-GB"/>
        </w:rPr>
        <w:t xml:space="preserve">relies on an appropriate level of </w:t>
      </w:r>
      <w:r w:rsidR="00A50B2C" w:rsidRPr="00C34214">
        <w:rPr>
          <w:rFonts w:ascii="Gill Sans MT" w:hAnsi="Gill Sans MT"/>
          <w:sz w:val="20"/>
          <w:u w:val="single"/>
          <w:lang w:val="en-GB"/>
        </w:rPr>
        <w:t>selectivity</w:t>
      </w:r>
      <w:r w:rsidR="0028250E">
        <w:rPr>
          <w:rFonts w:ascii="Gill Sans MT" w:hAnsi="Gill Sans MT"/>
          <w:sz w:val="20"/>
          <w:lang w:val="en-GB"/>
        </w:rPr>
        <w:t xml:space="preserve"> in the choice of partners - that is to say on a structured process of selection of the partner governments eligible for Budget Support. Specifically, selected partner governments would require </w:t>
      </w:r>
      <w:r w:rsidR="00E95162" w:rsidRPr="00C34214">
        <w:rPr>
          <w:rFonts w:ascii="Gill Sans MT" w:hAnsi="Gill Sans MT"/>
          <w:sz w:val="20"/>
          <w:lang w:val="en-GB"/>
        </w:rPr>
        <w:t>both appropriate policies and strategies</w:t>
      </w:r>
      <w:r w:rsidR="00C30FF7">
        <w:rPr>
          <w:rFonts w:ascii="Gill Sans MT" w:hAnsi="Gill Sans MT"/>
          <w:sz w:val="20"/>
          <w:lang w:val="en-GB"/>
        </w:rPr>
        <w:t>,</w:t>
      </w:r>
      <w:r w:rsidR="00E95162" w:rsidRPr="00C34214">
        <w:rPr>
          <w:rFonts w:ascii="Gill Sans MT" w:hAnsi="Gill Sans MT"/>
          <w:sz w:val="20"/>
          <w:lang w:val="en-GB"/>
        </w:rPr>
        <w:t xml:space="preserve"> and the commitment and t</w:t>
      </w:r>
      <w:r w:rsidR="00C34214">
        <w:rPr>
          <w:rFonts w:ascii="Gill Sans MT" w:hAnsi="Gill Sans MT"/>
          <w:sz w:val="20"/>
          <w:lang w:val="en-GB"/>
        </w:rPr>
        <w:t>he capability to implement them</w:t>
      </w:r>
      <w:r w:rsidR="00E95162" w:rsidRPr="00C34214">
        <w:rPr>
          <w:rFonts w:ascii="Gill Sans MT" w:hAnsi="Gill Sans MT"/>
          <w:sz w:val="20"/>
          <w:lang w:val="en-GB"/>
        </w:rPr>
        <w:t>.</w:t>
      </w:r>
    </w:p>
    <w:p w14:paraId="4A4B3DD7" w14:textId="77777777" w:rsidR="00105F94" w:rsidRDefault="00B330A8" w:rsidP="00B330A8">
      <w:pPr>
        <w:pStyle w:val="Heading3"/>
      </w:pPr>
      <w:r w:rsidRPr="00B330A8">
        <w:t>Improving governance through Budget Support conditionality</w:t>
      </w:r>
    </w:p>
    <w:p w14:paraId="43902E82" w14:textId="77777777" w:rsidR="00B330A8" w:rsidRPr="006C3E01" w:rsidRDefault="005E4BFA" w:rsidP="006C3E01">
      <w:pPr>
        <w:pStyle w:val="BodyText"/>
        <w:numPr>
          <w:ilvl w:val="0"/>
          <w:numId w:val="2"/>
        </w:numPr>
        <w:spacing w:line="360" w:lineRule="auto"/>
        <w:ind w:left="499" w:hanging="357"/>
        <w:rPr>
          <w:rFonts w:ascii="Gill Sans MT" w:hAnsi="Gill Sans MT"/>
          <w:sz w:val="20"/>
          <w:lang w:val="en-GB"/>
        </w:rPr>
      </w:pPr>
      <w:r>
        <w:rPr>
          <w:rFonts w:ascii="Gill Sans MT" w:hAnsi="Gill Sans MT"/>
          <w:b/>
          <w:sz w:val="20"/>
          <w:lang w:val="en-GB"/>
        </w:rPr>
        <w:t>After the</w:t>
      </w:r>
      <w:r w:rsidR="00CE7E7F" w:rsidRPr="00B273CD">
        <w:rPr>
          <w:rFonts w:ascii="Gill Sans MT" w:hAnsi="Gill Sans MT"/>
          <w:b/>
          <w:sz w:val="20"/>
          <w:lang w:val="en-GB"/>
        </w:rPr>
        <w:t xml:space="preserve"> mid-2000’s, there was a notable shift in</w:t>
      </w:r>
      <w:r w:rsidR="00B273CD" w:rsidRPr="00B273CD">
        <w:rPr>
          <w:rFonts w:ascii="Gill Sans MT" w:hAnsi="Gill Sans MT"/>
          <w:b/>
          <w:sz w:val="20"/>
          <w:lang w:val="en-GB"/>
        </w:rPr>
        <w:t xml:space="preserve"> the approach </w:t>
      </w:r>
      <w:r w:rsidR="00CE7E7F" w:rsidRPr="00B273CD">
        <w:rPr>
          <w:rFonts w:ascii="Gill Sans MT" w:hAnsi="Gill Sans MT"/>
          <w:b/>
          <w:sz w:val="20"/>
          <w:lang w:val="en-GB"/>
        </w:rPr>
        <w:t>of many of the European bi-lateral agencies towards a more active “leveraging” of improvements in governance.</w:t>
      </w:r>
      <w:r w:rsidR="00CE7E7F">
        <w:rPr>
          <w:rFonts w:ascii="Gill Sans MT" w:hAnsi="Gill Sans MT"/>
          <w:sz w:val="20"/>
          <w:lang w:val="en-GB"/>
        </w:rPr>
        <w:t xml:space="preserve"> This shift took various forms – the insistence upon larger numbers of PAF indicators linked to governance improvements, the inclusion of more governance-related </w:t>
      </w:r>
      <w:r w:rsidR="00CE7E7F">
        <w:rPr>
          <w:rFonts w:ascii="Gill Sans MT" w:hAnsi="Gill Sans MT"/>
          <w:sz w:val="20"/>
          <w:lang w:val="en-GB"/>
        </w:rPr>
        <w:lastRenderedPageBreak/>
        <w:t>indicators within performance tranches and a greater willingness to suspend payments of budget support due to perceived breaches of underlying principles</w:t>
      </w:r>
      <w:r w:rsidR="00613ABF">
        <w:rPr>
          <w:rFonts w:ascii="Gill Sans MT" w:hAnsi="Gill Sans MT"/>
          <w:sz w:val="20"/>
          <w:lang w:val="en-GB"/>
        </w:rPr>
        <w:t>, related to governance</w:t>
      </w:r>
      <w:r w:rsidR="00CE7E7F">
        <w:rPr>
          <w:rFonts w:ascii="Gill Sans MT" w:hAnsi="Gill Sans MT"/>
          <w:sz w:val="20"/>
          <w:lang w:val="en-GB"/>
        </w:rPr>
        <w:t xml:space="preserve">. </w:t>
      </w:r>
    </w:p>
    <w:p w14:paraId="0D54FD0F" w14:textId="77777777" w:rsidR="00B273CD" w:rsidRDefault="00CE7E7F" w:rsidP="006C3E01">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The motivation</w:t>
      </w:r>
      <w:r w:rsidR="00C03550">
        <w:rPr>
          <w:rFonts w:ascii="Gill Sans MT" w:hAnsi="Gill Sans MT"/>
          <w:sz w:val="20"/>
          <w:lang w:val="en-GB"/>
        </w:rPr>
        <w:t>s for this change were numerous. In</w:t>
      </w:r>
      <w:r>
        <w:rPr>
          <w:rFonts w:ascii="Gill Sans MT" w:hAnsi="Gill Sans MT"/>
          <w:sz w:val="20"/>
          <w:lang w:val="en-GB"/>
        </w:rPr>
        <w:t xml:space="preserve"> part, it was related to changes in government attitudes following elections in different European countries</w:t>
      </w:r>
      <w:r w:rsidR="00C03550">
        <w:rPr>
          <w:rFonts w:ascii="Gill Sans MT" w:hAnsi="Gill Sans MT"/>
          <w:sz w:val="20"/>
          <w:lang w:val="en-GB"/>
        </w:rPr>
        <w:t xml:space="preserve">. In part, it was due to a spate of scandals in budget support receiving countries involving high-level corruption, misappropriation of funds and electoral irregularities. In part, it may have been due to the apparent success of budget support partners in driving faster improvements in PFM systems within the receiving countries. (This success was reported in ODI, 2005 with regard to Tanzania and in IDD, 2006 in 5 out of the 7 countries evaluated.) </w:t>
      </w:r>
    </w:p>
    <w:p w14:paraId="107CD509" w14:textId="77777777" w:rsidR="00F42E3B" w:rsidRDefault="00F42E3B" w:rsidP="00F42E3B">
      <w:pPr>
        <w:pStyle w:val="BodyText"/>
        <w:numPr>
          <w:ilvl w:val="0"/>
          <w:numId w:val="2"/>
        </w:numPr>
        <w:spacing w:line="360" w:lineRule="auto"/>
        <w:ind w:left="499" w:hanging="357"/>
        <w:rPr>
          <w:rFonts w:ascii="Gill Sans MT" w:hAnsi="Gill Sans MT"/>
          <w:sz w:val="20"/>
          <w:lang w:val="en-GB"/>
        </w:rPr>
      </w:pPr>
      <w:r w:rsidRPr="00F42E3B">
        <w:rPr>
          <w:rFonts w:ascii="Gill Sans MT" w:hAnsi="Gill Sans MT"/>
          <w:b/>
          <w:sz w:val="20"/>
          <w:lang w:val="en-GB"/>
        </w:rPr>
        <w:t>The i</w:t>
      </w:r>
      <w:r w:rsidR="00B273CD" w:rsidRPr="00F42E3B">
        <w:rPr>
          <w:rFonts w:ascii="Gill Sans MT" w:hAnsi="Gill Sans MT"/>
          <w:b/>
          <w:sz w:val="20"/>
          <w:lang w:val="en-GB"/>
        </w:rPr>
        <w:t xml:space="preserve">ncreased interest in </w:t>
      </w:r>
      <w:r w:rsidR="00034BFC" w:rsidRPr="00F42E3B">
        <w:rPr>
          <w:rFonts w:ascii="Gill Sans MT" w:hAnsi="Gill Sans MT"/>
          <w:b/>
          <w:sz w:val="20"/>
          <w:lang w:val="en-GB"/>
        </w:rPr>
        <w:t xml:space="preserve">good </w:t>
      </w:r>
      <w:r w:rsidR="00B273CD" w:rsidRPr="00F42E3B">
        <w:rPr>
          <w:rFonts w:ascii="Gill Sans MT" w:hAnsi="Gill Sans MT"/>
          <w:b/>
          <w:sz w:val="20"/>
          <w:lang w:val="en-GB"/>
        </w:rPr>
        <w:t>governan</w:t>
      </w:r>
      <w:r w:rsidRPr="00F42E3B">
        <w:rPr>
          <w:rFonts w:ascii="Gill Sans MT" w:hAnsi="Gill Sans MT"/>
          <w:b/>
          <w:sz w:val="20"/>
          <w:lang w:val="en-GB"/>
        </w:rPr>
        <w:t xml:space="preserve">ce as an objective in itself combined with </w:t>
      </w:r>
      <w:r w:rsidR="00B273CD" w:rsidRPr="00F42E3B">
        <w:rPr>
          <w:rFonts w:ascii="Gill Sans MT" w:hAnsi="Gill Sans MT"/>
          <w:b/>
          <w:sz w:val="20"/>
          <w:lang w:val="en-GB"/>
        </w:rPr>
        <w:t>an increased belief in the capacity to exert exte</w:t>
      </w:r>
      <w:r w:rsidR="007E40E5">
        <w:rPr>
          <w:rFonts w:ascii="Gill Sans MT" w:hAnsi="Gill Sans MT"/>
          <w:b/>
          <w:sz w:val="20"/>
          <w:lang w:val="en-GB"/>
        </w:rPr>
        <w:t xml:space="preserve">rnal influence led to a </w:t>
      </w:r>
      <w:r w:rsidR="00B273CD" w:rsidRPr="00F42E3B">
        <w:rPr>
          <w:rFonts w:ascii="Gill Sans MT" w:hAnsi="Gill Sans MT"/>
          <w:b/>
          <w:sz w:val="20"/>
          <w:lang w:val="en-GB"/>
        </w:rPr>
        <w:t>shift away from partnership and towards conditionality.</w:t>
      </w:r>
      <w:r w:rsidR="00B273CD" w:rsidRPr="00F42E3B">
        <w:rPr>
          <w:rFonts w:ascii="Gill Sans MT" w:hAnsi="Gill Sans MT"/>
          <w:sz w:val="20"/>
          <w:lang w:val="en-GB"/>
        </w:rPr>
        <w:t xml:space="preserve"> </w:t>
      </w:r>
      <w:r w:rsidR="00034BFC">
        <w:rPr>
          <w:rFonts w:ascii="Gill Sans MT" w:hAnsi="Gill Sans MT"/>
          <w:sz w:val="20"/>
          <w:lang w:val="en-GB"/>
        </w:rPr>
        <w:t>In the latter part of the period covered by these seven evaluations, many budget support providers shifted from assessing governance and respect for underlying principles as one aspect of selectivity, towards the active exertion of influence with the objective of obtaining st</w:t>
      </w:r>
      <w:r w:rsidR="007677FD">
        <w:rPr>
          <w:rFonts w:ascii="Gill Sans MT" w:hAnsi="Gill Sans MT"/>
          <w:sz w:val="20"/>
          <w:lang w:val="en-GB"/>
        </w:rPr>
        <w:t>eady improvements in governance</w:t>
      </w:r>
      <w:r w:rsidR="00034BFC">
        <w:rPr>
          <w:rFonts w:ascii="Gill Sans MT" w:hAnsi="Gill Sans MT"/>
          <w:sz w:val="20"/>
          <w:lang w:val="en-GB"/>
        </w:rPr>
        <w:t xml:space="preserve"> </w:t>
      </w:r>
      <w:r w:rsidR="007677FD" w:rsidRPr="000F6403">
        <w:rPr>
          <w:rFonts w:ascii="Gill Sans MT" w:hAnsi="Gill Sans MT"/>
          <w:sz w:val="20"/>
          <w:lang w:val="en-GB"/>
        </w:rPr>
        <w:t xml:space="preserve">(Hayman, 2011, </w:t>
      </w:r>
      <w:proofErr w:type="spellStart"/>
      <w:r w:rsidR="007677FD" w:rsidRPr="000F6403">
        <w:rPr>
          <w:rFonts w:ascii="Gill Sans MT" w:hAnsi="Gill Sans MT"/>
          <w:sz w:val="20"/>
          <w:lang w:val="en-GB"/>
        </w:rPr>
        <w:t>Molenaers</w:t>
      </w:r>
      <w:proofErr w:type="spellEnd"/>
      <w:r w:rsidR="007677FD" w:rsidRPr="000F6403">
        <w:rPr>
          <w:rFonts w:ascii="Gill Sans MT" w:hAnsi="Gill Sans MT"/>
          <w:sz w:val="20"/>
          <w:lang w:val="en-GB"/>
        </w:rPr>
        <w:t xml:space="preserve"> et al., 2010, </w:t>
      </w:r>
      <w:proofErr w:type="spellStart"/>
      <w:r w:rsidR="007677FD" w:rsidRPr="000F6403">
        <w:rPr>
          <w:rFonts w:ascii="Gill Sans MT" w:hAnsi="Gill Sans MT"/>
          <w:sz w:val="20"/>
          <w:lang w:val="en-GB"/>
        </w:rPr>
        <w:t>Dijkstra</w:t>
      </w:r>
      <w:proofErr w:type="spellEnd"/>
      <w:r w:rsidR="007677FD" w:rsidRPr="000F6403">
        <w:rPr>
          <w:rFonts w:ascii="Gill Sans MT" w:hAnsi="Gill Sans MT"/>
          <w:sz w:val="20"/>
          <w:lang w:val="en-GB"/>
        </w:rPr>
        <w:t>, 2013)</w:t>
      </w:r>
      <w:r w:rsidR="000F6403" w:rsidRPr="000F6403">
        <w:rPr>
          <w:rFonts w:ascii="Gill Sans MT" w:hAnsi="Gill Sans MT"/>
          <w:sz w:val="20"/>
          <w:lang w:val="en-GB"/>
        </w:rPr>
        <w:t xml:space="preserve">. </w:t>
      </w:r>
      <w:r w:rsidR="00034BFC">
        <w:rPr>
          <w:rFonts w:ascii="Gill Sans MT" w:hAnsi="Gill Sans MT"/>
          <w:sz w:val="20"/>
          <w:lang w:val="en-GB"/>
        </w:rPr>
        <w:t xml:space="preserve">Although most budget support policy documents continued to state that it would not be used to “buy policy influence”, several agencies did introduce measures </w:t>
      </w:r>
      <w:r w:rsidR="00B06009">
        <w:rPr>
          <w:rFonts w:ascii="Gill Sans MT" w:hAnsi="Gill Sans MT"/>
          <w:sz w:val="20"/>
          <w:lang w:val="en-GB"/>
        </w:rPr>
        <w:t xml:space="preserve">seeking </w:t>
      </w:r>
      <w:r w:rsidR="00034BFC">
        <w:rPr>
          <w:rFonts w:ascii="Gill Sans MT" w:hAnsi="Gill Sans MT"/>
          <w:sz w:val="20"/>
          <w:lang w:val="en-GB"/>
        </w:rPr>
        <w:t xml:space="preserve">to “buy” governance improvements through budget support. </w:t>
      </w:r>
      <w:r w:rsidRPr="00F42E3B">
        <w:rPr>
          <w:rFonts w:ascii="Gill Sans MT" w:hAnsi="Gill Sans MT"/>
          <w:sz w:val="20"/>
          <w:lang w:val="en-GB"/>
        </w:rPr>
        <w:t xml:space="preserve">For many agencies, good governance became an end goal of budget support, on a par with the achievement of growth and poverty reduction. </w:t>
      </w:r>
      <w:r w:rsidR="00C7478F">
        <w:rPr>
          <w:rFonts w:ascii="Gill Sans MT" w:hAnsi="Gill Sans MT"/>
          <w:sz w:val="20"/>
          <w:lang w:val="en-GB"/>
        </w:rPr>
        <w:t>(IOB, 2012.)</w:t>
      </w:r>
    </w:p>
    <w:p w14:paraId="200570AB" w14:textId="77777777" w:rsidR="00F42E3B" w:rsidRPr="00293709" w:rsidRDefault="00F42E3B" w:rsidP="00293709">
      <w:pPr>
        <w:pStyle w:val="Heading3"/>
      </w:pPr>
      <w:r w:rsidRPr="00293709">
        <w:t>The Intervention Logic for Budget Support and its incorporation in the evaluation methodology</w:t>
      </w:r>
    </w:p>
    <w:p w14:paraId="0BC02505" w14:textId="77777777" w:rsidR="00F42E3B" w:rsidRDefault="00CF700A" w:rsidP="00F42E3B">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The foregoing serves to show that while many Development Agencies provide </w:t>
      </w:r>
      <w:r w:rsidR="000F6403">
        <w:rPr>
          <w:rFonts w:ascii="Gill Sans MT" w:hAnsi="Gill Sans MT"/>
          <w:sz w:val="20"/>
          <w:lang w:val="en-GB"/>
        </w:rPr>
        <w:t>budget support to partner countries,</w:t>
      </w:r>
      <w:r>
        <w:rPr>
          <w:rFonts w:ascii="Gill Sans MT" w:hAnsi="Gill Sans MT"/>
          <w:sz w:val="20"/>
          <w:lang w:val="en-GB"/>
        </w:rPr>
        <w:t xml:space="preserve"> the objectives they aim to achieve and their perceptions of how budget support may be expected to w</w:t>
      </w:r>
      <w:r w:rsidR="00D709A9">
        <w:rPr>
          <w:rFonts w:ascii="Gill Sans MT" w:hAnsi="Gill Sans MT"/>
          <w:sz w:val="20"/>
          <w:lang w:val="en-GB"/>
        </w:rPr>
        <w:t>ork differ substantially. Moreover, the thinking within individual agencies has evolved over time, moving from a rather idealised “partner</w:t>
      </w:r>
      <w:r w:rsidR="00B300D0">
        <w:rPr>
          <w:rFonts w:ascii="Gill Sans MT" w:hAnsi="Gill Sans MT"/>
          <w:sz w:val="20"/>
          <w:lang w:val="en-GB"/>
        </w:rPr>
        <w:t xml:space="preserve">ship model” towards a </w:t>
      </w:r>
      <w:r w:rsidR="00D709A9">
        <w:rPr>
          <w:rFonts w:ascii="Gill Sans MT" w:hAnsi="Gill Sans MT"/>
          <w:sz w:val="20"/>
          <w:lang w:val="en-GB"/>
        </w:rPr>
        <w:t>realisation of the need for a degree of conditionality and, in some cases, towards the active promotion of budget support as a mechanism of “policy leverage”.  Simultaneous</w:t>
      </w:r>
      <w:r w:rsidR="00327630">
        <w:rPr>
          <w:rFonts w:ascii="Gill Sans MT" w:hAnsi="Gill Sans MT"/>
          <w:sz w:val="20"/>
          <w:lang w:val="en-GB"/>
        </w:rPr>
        <w:t>ly, there has been an increased</w:t>
      </w:r>
      <w:r w:rsidR="00D709A9">
        <w:rPr>
          <w:rFonts w:ascii="Gill Sans MT" w:hAnsi="Gill Sans MT"/>
          <w:sz w:val="20"/>
          <w:lang w:val="en-GB"/>
        </w:rPr>
        <w:t xml:space="preserve"> interest in good governance as an end goal and no</w:t>
      </w:r>
      <w:r w:rsidR="00B13BC2">
        <w:rPr>
          <w:rFonts w:ascii="Gill Sans MT" w:hAnsi="Gill Sans MT"/>
          <w:sz w:val="20"/>
          <w:lang w:val="en-GB"/>
        </w:rPr>
        <w:t>t just as a means to improve the effectiveness of national development strategies.</w:t>
      </w:r>
      <w:r w:rsidR="00D709A9">
        <w:rPr>
          <w:rFonts w:ascii="Gill Sans MT" w:hAnsi="Gill Sans MT"/>
          <w:sz w:val="20"/>
          <w:lang w:val="en-GB"/>
        </w:rPr>
        <w:t xml:space="preserve"> </w:t>
      </w:r>
    </w:p>
    <w:p w14:paraId="6558DC93" w14:textId="77777777" w:rsidR="00E97CAD" w:rsidRDefault="00DA71C9" w:rsidP="00F42E3B">
      <w:pPr>
        <w:pStyle w:val="BodyText"/>
        <w:numPr>
          <w:ilvl w:val="0"/>
          <w:numId w:val="2"/>
        </w:numPr>
        <w:spacing w:line="360" w:lineRule="auto"/>
        <w:ind w:left="499" w:hanging="357"/>
        <w:rPr>
          <w:rFonts w:ascii="Gill Sans MT" w:hAnsi="Gill Sans MT"/>
          <w:sz w:val="20"/>
          <w:lang w:val="en-GB"/>
        </w:rPr>
      </w:pPr>
      <w:r>
        <w:rPr>
          <w:rFonts w:ascii="Gill Sans MT" w:hAnsi="Gill Sans MT"/>
          <w:b/>
          <w:sz w:val="20"/>
          <w:lang w:val="en-GB"/>
        </w:rPr>
        <w:t xml:space="preserve">The Intervention </w:t>
      </w:r>
      <w:r w:rsidR="00B77537" w:rsidRPr="00DA71C9">
        <w:rPr>
          <w:rFonts w:ascii="Gill Sans MT" w:hAnsi="Gill Sans MT"/>
          <w:b/>
          <w:sz w:val="20"/>
          <w:lang w:val="en-GB"/>
        </w:rPr>
        <w:t xml:space="preserve">Logic underlying </w:t>
      </w:r>
      <w:r w:rsidR="00E97CAD" w:rsidRPr="00DA71C9">
        <w:rPr>
          <w:rFonts w:ascii="Gill Sans MT" w:hAnsi="Gill Sans MT"/>
          <w:b/>
          <w:sz w:val="20"/>
          <w:lang w:val="en-GB"/>
        </w:rPr>
        <w:t xml:space="preserve">the OECD-DAC </w:t>
      </w:r>
      <w:r w:rsidR="00B77537" w:rsidRPr="00DA71C9">
        <w:rPr>
          <w:rFonts w:ascii="Gill Sans MT" w:hAnsi="Gill Sans MT"/>
          <w:b/>
          <w:sz w:val="20"/>
          <w:lang w:val="en-GB"/>
        </w:rPr>
        <w:t xml:space="preserve">evaluation methodology </w:t>
      </w:r>
      <w:r w:rsidR="00E97CAD" w:rsidRPr="00DA71C9">
        <w:rPr>
          <w:rFonts w:ascii="Gill Sans MT" w:hAnsi="Gill Sans MT"/>
          <w:b/>
          <w:sz w:val="20"/>
          <w:lang w:val="en-GB"/>
        </w:rPr>
        <w:t xml:space="preserve">attempts to capture the interactions and combined effects of the </w:t>
      </w:r>
      <w:r w:rsidR="00E97CAD" w:rsidRPr="00DA71C9">
        <w:rPr>
          <w:rFonts w:ascii="Gill Sans MT" w:hAnsi="Gill Sans MT"/>
          <w:b/>
          <w:sz w:val="20"/>
          <w:u w:val="single"/>
          <w:lang w:val="en-GB"/>
        </w:rPr>
        <w:t>full</w:t>
      </w:r>
      <w:r w:rsidR="00E97CAD" w:rsidRPr="00DA71C9">
        <w:rPr>
          <w:rFonts w:ascii="Gill Sans MT" w:hAnsi="Gill Sans MT"/>
          <w:b/>
          <w:sz w:val="20"/>
          <w:lang w:val="en-GB"/>
        </w:rPr>
        <w:t xml:space="preserve"> set of budget support operations</w:t>
      </w:r>
      <w:r w:rsidR="00B77537" w:rsidRPr="00DA71C9">
        <w:rPr>
          <w:rFonts w:ascii="Gill Sans MT" w:hAnsi="Gill Sans MT"/>
          <w:b/>
          <w:sz w:val="20"/>
          <w:lang w:val="en-GB"/>
        </w:rPr>
        <w:t xml:space="preserve"> provided to any single country</w:t>
      </w:r>
      <w:r w:rsidR="00E109A8">
        <w:rPr>
          <w:rFonts w:ascii="Gill Sans MT" w:hAnsi="Gill Sans MT"/>
          <w:b/>
          <w:sz w:val="20"/>
          <w:lang w:val="en-GB"/>
        </w:rPr>
        <w:t xml:space="preserve"> </w:t>
      </w:r>
      <w:r w:rsidR="00E109A8" w:rsidRPr="00C30FF7">
        <w:rPr>
          <w:rFonts w:ascii="Gill Sans MT" w:hAnsi="Gill Sans MT"/>
          <w:sz w:val="20"/>
          <w:lang w:val="en-GB"/>
        </w:rPr>
        <w:t>wi</w:t>
      </w:r>
      <w:r w:rsidR="00B53B5C" w:rsidRPr="00C30FF7">
        <w:rPr>
          <w:rFonts w:ascii="Gill Sans MT" w:hAnsi="Gill Sans MT"/>
          <w:sz w:val="20"/>
          <w:lang w:val="en-GB"/>
        </w:rPr>
        <w:t>thin a specific period of time.</w:t>
      </w:r>
      <w:r w:rsidR="00B53B5C">
        <w:rPr>
          <w:rFonts w:ascii="Gill Sans MT" w:hAnsi="Gill Sans MT"/>
          <w:b/>
          <w:sz w:val="20"/>
          <w:lang w:val="en-GB"/>
        </w:rPr>
        <w:t xml:space="preserve"> </w:t>
      </w:r>
      <w:r w:rsidR="00B53B5C" w:rsidRPr="00B53B5C">
        <w:rPr>
          <w:rFonts w:ascii="Gill Sans MT" w:hAnsi="Gill Sans MT"/>
          <w:sz w:val="20"/>
          <w:lang w:val="en-GB"/>
        </w:rPr>
        <w:t xml:space="preserve">It is a fundamental principle that the effects of all GBS and SBS operations </w:t>
      </w:r>
      <w:r w:rsidR="00E109A8" w:rsidRPr="00B53B5C">
        <w:rPr>
          <w:rFonts w:ascii="Gill Sans MT" w:hAnsi="Gill Sans MT"/>
          <w:sz w:val="20"/>
          <w:lang w:val="en-GB"/>
        </w:rPr>
        <w:t>must be evaluated as an integrated whole</w:t>
      </w:r>
      <w:r w:rsidR="00B77537" w:rsidRPr="00B53B5C">
        <w:rPr>
          <w:rFonts w:ascii="Gill Sans MT" w:hAnsi="Gill Sans MT"/>
          <w:sz w:val="20"/>
          <w:lang w:val="en-GB"/>
        </w:rPr>
        <w:t>.</w:t>
      </w:r>
    </w:p>
    <w:p w14:paraId="1D12D03E" w14:textId="77777777" w:rsidR="00327630" w:rsidRDefault="00B77537" w:rsidP="00327630">
      <w:pPr>
        <w:pStyle w:val="BodyText"/>
        <w:numPr>
          <w:ilvl w:val="0"/>
          <w:numId w:val="2"/>
        </w:numPr>
        <w:tabs>
          <w:tab w:val="clear" w:pos="502"/>
          <w:tab w:val="num" w:pos="360"/>
        </w:tabs>
        <w:spacing w:before="0" w:line="360" w:lineRule="auto"/>
        <w:ind w:left="357" w:hanging="357"/>
        <w:rPr>
          <w:rFonts w:ascii="Gill Sans MT" w:hAnsi="Gill Sans MT"/>
          <w:sz w:val="20"/>
          <w:lang w:val="en-GB"/>
        </w:rPr>
      </w:pPr>
      <w:r w:rsidRPr="00A8479A">
        <w:rPr>
          <w:rFonts w:ascii="Gill Sans MT" w:hAnsi="Gill Sans MT"/>
          <w:b/>
          <w:sz w:val="20"/>
          <w:lang w:val="en-GB"/>
        </w:rPr>
        <w:t xml:space="preserve">The </w:t>
      </w:r>
      <w:r w:rsidR="00822D29">
        <w:rPr>
          <w:rFonts w:ascii="Gill Sans MT" w:hAnsi="Gill Sans MT"/>
          <w:b/>
          <w:sz w:val="20"/>
          <w:lang w:val="en-GB"/>
        </w:rPr>
        <w:t>OECD-DAC methodological approach</w:t>
      </w:r>
      <w:r w:rsidRPr="00A8479A">
        <w:rPr>
          <w:rFonts w:ascii="Gill Sans MT" w:hAnsi="Gill Sans MT"/>
          <w:b/>
          <w:sz w:val="20"/>
          <w:lang w:val="en-GB"/>
        </w:rPr>
        <w:t xml:space="preserve"> </w:t>
      </w:r>
      <w:r w:rsidR="006714A0" w:rsidRPr="00A8479A">
        <w:rPr>
          <w:rFonts w:ascii="Gill Sans MT" w:hAnsi="Gill Sans MT"/>
          <w:b/>
          <w:sz w:val="20"/>
          <w:lang w:val="en-GB"/>
        </w:rPr>
        <w:t>recognises that budget support is not a development programme in itsel</w:t>
      </w:r>
      <w:r w:rsidR="00A8479A" w:rsidRPr="00A8479A">
        <w:rPr>
          <w:rFonts w:ascii="Gill Sans MT" w:hAnsi="Gill Sans MT"/>
          <w:b/>
          <w:sz w:val="20"/>
          <w:lang w:val="en-GB"/>
        </w:rPr>
        <w:t xml:space="preserve">f but rather a means to support </w:t>
      </w:r>
      <w:r w:rsidR="006714A0" w:rsidRPr="00A8479A">
        <w:rPr>
          <w:rFonts w:ascii="Gill Sans MT" w:hAnsi="Gill Sans MT"/>
          <w:b/>
          <w:sz w:val="20"/>
          <w:lang w:val="en-GB"/>
        </w:rPr>
        <w:t xml:space="preserve">a programme of </w:t>
      </w:r>
      <w:r w:rsidR="006714A0" w:rsidRPr="00A8479A">
        <w:rPr>
          <w:rFonts w:ascii="Gill Sans MT" w:hAnsi="Gill Sans MT"/>
          <w:b/>
          <w:sz w:val="20"/>
          <w:lang w:val="en-GB"/>
        </w:rPr>
        <w:lastRenderedPageBreak/>
        <w:t>policy and public spending actions by a partner government</w:t>
      </w:r>
      <w:r w:rsidR="006714A0">
        <w:rPr>
          <w:rFonts w:ascii="Gill Sans MT" w:hAnsi="Gill Sans MT"/>
          <w:sz w:val="20"/>
          <w:lang w:val="en-GB"/>
        </w:rPr>
        <w:t xml:space="preserve">. </w:t>
      </w:r>
      <w:r w:rsidR="004765A3">
        <w:rPr>
          <w:rFonts w:ascii="Gill Sans MT" w:hAnsi="Gill Sans MT"/>
          <w:sz w:val="20"/>
          <w:lang w:val="en-GB"/>
        </w:rPr>
        <w:t xml:space="preserve">The final outcomes </w:t>
      </w:r>
      <w:r w:rsidR="00D76600">
        <w:rPr>
          <w:rFonts w:ascii="Gill Sans MT" w:hAnsi="Gill Sans MT"/>
          <w:sz w:val="20"/>
          <w:lang w:val="en-GB"/>
        </w:rPr>
        <w:t xml:space="preserve">and impacts of GBS and SBS </w:t>
      </w:r>
      <w:r w:rsidR="00A8479A">
        <w:rPr>
          <w:rFonts w:ascii="Gill Sans MT" w:hAnsi="Gill Sans MT"/>
          <w:sz w:val="20"/>
          <w:lang w:val="en-GB"/>
        </w:rPr>
        <w:t>therefore</w:t>
      </w:r>
      <w:r w:rsidR="004765A3">
        <w:rPr>
          <w:rFonts w:ascii="Gill Sans MT" w:hAnsi="Gill Sans MT"/>
          <w:sz w:val="20"/>
          <w:lang w:val="en-GB"/>
        </w:rPr>
        <w:t xml:space="preserve"> depend predominantly on the quality and effectiveness of the strate</w:t>
      </w:r>
      <w:r w:rsidR="00D76600">
        <w:rPr>
          <w:rFonts w:ascii="Gill Sans MT" w:hAnsi="Gill Sans MT"/>
          <w:sz w:val="20"/>
          <w:lang w:val="en-GB"/>
        </w:rPr>
        <w:t xml:space="preserve">gies </w:t>
      </w:r>
      <w:r w:rsidR="004765A3">
        <w:rPr>
          <w:rFonts w:ascii="Gill Sans MT" w:hAnsi="Gill Sans MT"/>
          <w:sz w:val="20"/>
          <w:lang w:val="en-GB"/>
        </w:rPr>
        <w:t>of the partner government, given the constraints imposed by the institutional and socio-economic environmen</w:t>
      </w:r>
      <w:r w:rsidR="007100BD">
        <w:rPr>
          <w:rFonts w:ascii="Gill Sans MT" w:hAnsi="Gill Sans MT"/>
          <w:sz w:val="20"/>
          <w:lang w:val="en-GB"/>
        </w:rPr>
        <w:t>t. Accordingly, the approach</w:t>
      </w:r>
      <w:r w:rsidR="004765A3">
        <w:rPr>
          <w:rFonts w:ascii="Gill Sans MT" w:hAnsi="Gill Sans MT"/>
          <w:sz w:val="20"/>
          <w:lang w:val="en-GB"/>
        </w:rPr>
        <w:t xml:space="preserve"> </w:t>
      </w:r>
      <w:r w:rsidR="00A8479A">
        <w:rPr>
          <w:rFonts w:ascii="Gill Sans MT" w:hAnsi="Gill Sans MT"/>
          <w:sz w:val="20"/>
          <w:lang w:val="en-GB"/>
        </w:rPr>
        <w:t xml:space="preserve">draws a sharp distinction between the (rather limited) direct outputs which budget support might be expected to produce </w:t>
      </w:r>
      <w:r w:rsidR="00613ABF">
        <w:rPr>
          <w:rFonts w:ascii="Gill Sans MT" w:hAnsi="Gill Sans MT"/>
          <w:sz w:val="20"/>
          <w:lang w:val="en-GB"/>
        </w:rPr>
        <w:t xml:space="preserve">and the </w:t>
      </w:r>
      <w:r w:rsidR="00A8479A">
        <w:rPr>
          <w:rFonts w:ascii="Gill Sans MT" w:hAnsi="Gill Sans MT"/>
          <w:sz w:val="20"/>
          <w:lang w:val="en-GB"/>
        </w:rPr>
        <w:t>mo</w:t>
      </w:r>
      <w:r w:rsidR="00613ABF">
        <w:rPr>
          <w:rFonts w:ascii="Gill Sans MT" w:hAnsi="Gill Sans MT"/>
          <w:sz w:val="20"/>
          <w:lang w:val="en-GB"/>
        </w:rPr>
        <w:t>re important</w:t>
      </w:r>
      <w:r w:rsidR="00D76600">
        <w:rPr>
          <w:rFonts w:ascii="Gill Sans MT" w:hAnsi="Gill Sans MT"/>
          <w:sz w:val="20"/>
          <w:lang w:val="en-GB"/>
        </w:rPr>
        <w:t xml:space="preserve"> “induced outputs” resulting from its interactions with government processes. </w:t>
      </w:r>
    </w:p>
    <w:p w14:paraId="75CB9005" w14:textId="77777777" w:rsidR="00327630" w:rsidRPr="00327630" w:rsidRDefault="00D76600" w:rsidP="00327630">
      <w:pPr>
        <w:pStyle w:val="BodyText"/>
        <w:numPr>
          <w:ilvl w:val="0"/>
          <w:numId w:val="2"/>
        </w:numPr>
        <w:tabs>
          <w:tab w:val="clear" w:pos="502"/>
          <w:tab w:val="num" w:pos="360"/>
        </w:tabs>
        <w:spacing w:before="0" w:line="360" w:lineRule="auto"/>
        <w:ind w:left="357" w:hanging="357"/>
        <w:rPr>
          <w:rFonts w:ascii="Gill Sans MT" w:hAnsi="Gill Sans MT"/>
          <w:sz w:val="20"/>
          <w:lang w:val="en-GB"/>
        </w:rPr>
      </w:pPr>
      <w:r w:rsidRPr="00327630">
        <w:rPr>
          <w:rFonts w:ascii="Gill Sans MT" w:hAnsi="Gill Sans MT"/>
          <w:sz w:val="20"/>
          <w:lang w:val="en-GB"/>
        </w:rPr>
        <w:t>The</w:t>
      </w:r>
      <w:r w:rsidR="00A8479A" w:rsidRPr="00327630">
        <w:rPr>
          <w:rFonts w:ascii="Gill Sans MT" w:hAnsi="Gill Sans MT"/>
          <w:sz w:val="20"/>
          <w:lang w:val="en-GB"/>
        </w:rPr>
        <w:t xml:space="preserve"> </w:t>
      </w:r>
      <w:r w:rsidRPr="00327630">
        <w:rPr>
          <w:rFonts w:ascii="Gill Sans MT" w:hAnsi="Gill Sans MT"/>
          <w:sz w:val="20"/>
          <w:lang w:val="en-GB"/>
        </w:rPr>
        <w:t>Intervention Logic</w:t>
      </w:r>
      <w:r w:rsidR="00741178">
        <w:rPr>
          <w:rFonts w:ascii="Gill Sans MT" w:hAnsi="Gill Sans MT"/>
          <w:sz w:val="20"/>
          <w:lang w:val="en-GB"/>
        </w:rPr>
        <w:t xml:space="preserve"> (IL) underlying the approach</w:t>
      </w:r>
      <w:r w:rsidRPr="00327630">
        <w:rPr>
          <w:rFonts w:ascii="Gill Sans MT" w:hAnsi="Gill Sans MT"/>
          <w:sz w:val="20"/>
          <w:lang w:val="en-GB"/>
        </w:rPr>
        <w:t xml:space="preserve"> </w:t>
      </w:r>
      <w:r w:rsidR="00B77537" w:rsidRPr="00327630">
        <w:rPr>
          <w:rFonts w:ascii="Gill Sans MT" w:hAnsi="Gill Sans MT"/>
          <w:sz w:val="20"/>
          <w:lang w:val="en-GB"/>
        </w:rPr>
        <w:t xml:space="preserve">is </w:t>
      </w:r>
      <w:r w:rsidR="00E109A8" w:rsidRPr="00327630">
        <w:rPr>
          <w:rFonts w:ascii="Gill Sans MT" w:hAnsi="Gill Sans MT"/>
          <w:sz w:val="20"/>
          <w:lang w:val="en-GB"/>
        </w:rPr>
        <w:t xml:space="preserve">thus </w:t>
      </w:r>
      <w:r w:rsidR="00B77537" w:rsidRPr="00327630">
        <w:rPr>
          <w:rFonts w:ascii="Gill Sans MT" w:hAnsi="Gill Sans MT"/>
          <w:sz w:val="20"/>
          <w:lang w:val="en-GB"/>
        </w:rPr>
        <w:t>based on a set of structured relationships at five levels</w:t>
      </w:r>
      <w:r w:rsidR="00E109A8" w:rsidRPr="00327630">
        <w:rPr>
          <w:rFonts w:ascii="Gill Sans MT" w:hAnsi="Gill Sans MT"/>
          <w:sz w:val="20"/>
          <w:lang w:val="en-GB"/>
        </w:rPr>
        <w:t xml:space="preserve"> covering Inputs, Direct Outputs, </w:t>
      </w:r>
      <w:r w:rsidR="00B53B5C" w:rsidRPr="00327630">
        <w:rPr>
          <w:rFonts w:ascii="Gill Sans MT" w:hAnsi="Gill Sans MT"/>
          <w:sz w:val="20"/>
          <w:lang w:val="en-GB"/>
        </w:rPr>
        <w:t>I</w:t>
      </w:r>
      <w:r w:rsidR="00E109A8" w:rsidRPr="00327630">
        <w:rPr>
          <w:rFonts w:ascii="Gill Sans MT" w:hAnsi="Gill Sans MT"/>
          <w:sz w:val="20"/>
          <w:lang w:val="en-GB"/>
        </w:rPr>
        <w:t>nduced Outputs, Outcome</w:t>
      </w:r>
      <w:r w:rsidR="00B53B5C" w:rsidRPr="00327630">
        <w:rPr>
          <w:rFonts w:ascii="Gill Sans MT" w:hAnsi="Gill Sans MT"/>
          <w:sz w:val="20"/>
          <w:lang w:val="en-GB"/>
        </w:rPr>
        <w:t xml:space="preserve">s and Impacts. </w:t>
      </w:r>
      <w:r w:rsidRPr="00327630">
        <w:rPr>
          <w:rFonts w:ascii="Gill Sans MT" w:hAnsi="Gill Sans MT"/>
          <w:sz w:val="20"/>
          <w:lang w:val="en-GB"/>
        </w:rPr>
        <w:t xml:space="preserve">In order to avoid </w:t>
      </w:r>
      <w:r w:rsidR="00B77537" w:rsidRPr="00327630">
        <w:rPr>
          <w:rFonts w:ascii="Gill Sans MT" w:hAnsi="Gill Sans MT"/>
          <w:sz w:val="20"/>
          <w:lang w:val="en-GB"/>
        </w:rPr>
        <w:t>implicit assumpti</w:t>
      </w:r>
      <w:r w:rsidRPr="00327630">
        <w:rPr>
          <w:rFonts w:ascii="Gill Sans MT" w:hAnsi="Gill Sans MT"/>
          <w:sz w:val="20"/>
          <w:lang w:val="en-GB"/>
        </w:rPr>
        <w:t>ons of causality between budget s</w:t>
      </w:r>
      <w:r w:rsidR="00B77537" w:rsidRPr="00327630">
        <w:rPr>
          <w:rFonts w:ascii="Gill Sans MT" w:hAnsi="Gill Sans MT"/>
          <w:sz w:val="20"/>
          <w:lang w:val="en-GB"/>
        </w:rPr>
        <w:t>upport inputs and final outcomes and imp</w:t>
      </w:r>
      <w:r w:rsidRPr="00327630">
        <w:rPr>
          <w:rFonts w:ascii="Gill Sans MT" w:hAnsi="Gill Sans MT"/>
          <w:sz w:val="20"/>
          <w:lang w:val="en-GB"/>
        </w:rPr>
        <w:t xml:space="preserve">acts, </w:t>
      </w:r>
      <w:r w:rsidR="00B77537" w:rsidRPr="00327630">
        <w:rPr>
          <w:rFonts w:ascii="Gill Sans MT" w:hAnsi="Gill Sans MT"/>
          <w:sz w:val="20"/>
          <w:lang w:val="en-GB"/>
        </w:rPr>
        <w:t xml:space="preserve">the analysis </w:t>
      </w:r>
      <w:r w:rsidRPr="00327630">
        <w:rPr>
          <w:rFonts w:ascii="Gill Sans MT" w:hAnsi="Gill Sans MT"/>
          <w:sz w:val="20"/>
          <w:lang w:val="en-GB"/>
        </w:rPr>
        <w:t xml:space="preserve">is </w:t>
      </w:r>
      <w:r w:rsidR="00E109A8" w:rsidRPr="00327630">
        <w:rPr>
          <w:rFonts w:ascii="Gill Sans MT" w:hAnsi="Gill Sans MT"/>
          <w:sz w:val="20"/>
          <w:lang w:val="en-GB"/>
        </w:rPr>
        <w:t xml:space="preserve">furthermore </w:t>
      </w:r>
      <w:r w:rsidRPr="00327630">
        <w:rPr>
          <w:rFonts w:ascii="Gill Sans MT" w:hAnsi="Gill Sans MT"/>
          <w:sz w:val="20"/>
          <w:lang w:val="en-GB"/>
        </w:rPr>
        <w:t xml:space="preserve">separated </w:t>
      </w:r>
      <w:r w:rsidR="00B77537" w:rsidRPr="00327630">
        <w:rPr>
          <w:rFonts w:ascii="Gill Sans MT" w:hAnsi="Gill Sans MT"/>
          <w:sz w:val="20"/>
          <w:lang w:val="en-GB"/>
        </w:rPr>
        <w:t>into three st</w:t>
      </w:r>
      <w:r w:rsidR="00B53B5C" w:rsidRPr="00327630">
        <w:rPr>
          <w:rFonts w:ascii="Gill Sans MT" w:hAnsi="Gill Sans MT"/>
          <w:sz w:val="20"/>
          <w:lang w:val="en-GB"/>
        </w:rPr>
        <w:t>eps.</w:t>
      </w:r>
      <w:r w:rsidRPr="00327630">
        <w:rPr>
          <w:rFonts w:ascii="Gill Sans MT" w:hAnsi="Gill Sans MT"/>
          <w:sz w:val="20"/>
          <w:lang w:val="en-GB"/>
        </w:rPr>
        <w:t xml:space="preserve"> For each country evaluation, some adaptation of the </w:t>
      </w:r>
      <w:r w:rsidR="00B77537" w:rsidRPr="00327630">
        <w:rPr>
          <w:rFonts w:ascii="Gill Sans MT" w:hAnsi="Gill Sans MT"/>
          <w:sz w:val="20"/>
          <w:lang w:val="en-GB"/>
        </w:rPr>
        <w:t xml:space="preserve">Intervention Logic (IL) </w:t>
      </w:r>
      <w:r w:rsidR="00070AEB" w:rsidRPr="00327630">
        <w:rPr>
          <w:rFonts w:ascii="Gill Sans MT" w:hAnsi="Gill Sans MT"/>
          <w:sz w:val="20"/>
          <w:lang w:val="en-GB"/>
        </w:rPr>
        <w:t xml:space="preserve">is needed, based on an assessment of </w:t>
      </w:r>
      <w:r w:rsidR="00B77537" w:rsidRPr="00327630">
        <w:rPr>
          <w:rFonts w:ascii="Gill Sans MT" w:hAnsi="Gill Sans MT"/>
          <w:sz w:val="20"/>
          <w:lang w:val="en-GB"/>
        </w:rPr>
        <w:t xml:space="preserve">the relevance and applicability of the range of inputs, direct outputs, induced outputs, outcomes and impacts identified in the standardised </w:t>
      </w:r>
      <w:r w:rsidR="000A54FC" w:rsidRPr="00327630">
        <w:rPr>
          <w:rFonts w:ascii="Gill Sans MT" w:hAnsi="Gill Sans MT"/>
          <w:sz w:val="20"/>
          <w:lang w:val="en-GB"/>
        </w:rPr>
        <w:t>IL.</w:t>
      </w:r>
      <w:r w:rsidR="00B53B5C" w:rsidRPr="00327630">
        <w:rPr>
          <w:rFonts w:ascii="Gill Sans MT" w:hAnsi="Gill Sans MT"/>
          <w:sz w:val="20"/>
          <w:lang w:val="en-GB"/>
        </w:rPr>
        <w:t xml:space="preserve"> </w:t>
      </w:r>
      <w:r w:rsidR="00327630" w:rsidRPr="00327630">
        <w:rPr>
          <w:rFonts w:ascii="Gill Sans MT" w:hAnsi="Gill Sans MT"/>
          <w:sz w:val="20"/>
          <w:lang w:val="en-GB"/>
        </w:rPr>
        <w:t>(See Annex Two for details).</w:t>
      </w:r>
    </w:p>
    <w:p w14:paraId="1D61042F" w14:textId="77777777" w:rsidR="007D1C0C" w:rsidRPr="00372CF5" w:rsidRDefault="00327630" w:rsidP="00D81DB3">
      <w:pPr>
        <w:pStyle w:val="Heading2"/>
        <w:numPr>
          <w:ilvl w:val="1"/>
          <w:numId w:val="4"/>
        </w:numPr>
        <w:rPr>
          <w:bCs w:val="0"/>
        </w:rPr>
      </w:pPr>
      <w:bookmarkStart w:id="56" w:name="_Toc279848239"/>
      <w:r>
        <w:rPr>
          <w:bCs w:val="0"/>
        </w:rPr>
        <w:t>A</w:t>
      </w:r>
      <w:r w:rsidR="007D1C0C">
        <w:rPr>
          <w:bCs w:val="0"/>
        </w:rPr>
        <w:t>ppr</w:t>
      </w:r>
      <w:r w:rsidR="00E54A9A">
        <w:rPr>
          <w:bCs w:val="0"/>
        </w:rPr>
        <w:t xml:space="preserve">oach </w:t>
      </w:r>
      <w:r>
        <w:rPr>
          <w:bCs w:val="0"/>
        </w:rPr>
        <w:t xml:space="preserve">to the synthesis task </w:t>
      </w:r>
      <w:r w:rsidR="00E54A9A">
        <w:rPr>
          <w:bCs w:val="0"/>
        </w:rPr>
        <w:t>and its potential limitations</w:t>
      </w:r>
      <w:bookmarkEnd w:id="56"/>
    </w:p>
    <w:p w14:paraId="2DEA3600" w14:textId="25DA7583" w:rsidR="00FC0A83" w:rsidRDefault="00F37CDF" w:rsidP="00FC0A83">
      <w:pPr>
        <w:pStyle w:val="BodyText"/>
        <w:numPr>
          <w:ilvl w:val="0"/>
          <w:numId w:val="2"/>
        </w:numPr>
        <w:spacing w:line="360" w:lineRule="auto"/>
        <w:ind w:left="499" w:hanging="357"/>
        <w:rPr>
          <w:rFonts w:ascii="Gill Sans MT" w:hAnsi="Gill Sans MT"/>
          <w:sz w:val="20"/>
          <w:lang w:val="en-GB"/>
        </w:rPr>
      </w:pPr>
      <w:r>
        <w:rPr>
          <w:rFonts w:ascii="Gill Sans MT" w:hAnsi="Gill Sans MT"/>
          <w:b/>
          <w:sz w:val="20"/>
          <w:lang w:val="en-GB"/>
        </w:rPr>
        <w:t>The great limitation</w:t>
      </w:r>
      <w:r w:rsidR="000F6403" w:rsidRPr="00FC0A83">
        <w:rPr>
          <w:rFonts w:ascii="Gill Sans MT" w:hAnsi="Gill Sans MT"/>
          <w:b/>
          <w:sz w:val="20"/>
          <w:lang w:val="en-GB"/>
        </w:rPr>
        <w:t xml:space="preserve"> of research or evaluation based on case studies is the problem of “external validity”.</w:t>
      </w:r>
      <w:r w:rsidR="000F6403" w:rsidRPr="00FC0A83">
        <w:rPr>
          <w:rFonts w:ascii="Gill Sans MT" w:hAnsi="Gill Sans MT"/>
          <w:sz w:val="20"/>
          <w:lang w:val="en-GB"/>
        </w:rPr>
        <w:t xml:space="preserve"> </w:t>
      </w:r>
      <w:r w:rsidR="00FB106E">
        <w:rPr>
          <w:rFonts w:ascii="Gill Sans MT" w:hAnsi="Gill Sans MT"/>
          <w:sz w:val="20"/>
          <w:lang w:val="en-GB"/>
        </w:rPr>
        <w:t xml:space="preserve">While a country study </w:t>
      </w:r>
      <w:r w:rsidR="00101811" w:rsidRPr="00FC0A83">
        <w:rPr>
          <w:rFonts w:ascii="Gill Sans MT" w:hAnsi="Gill Sans MT"/>
          <w:sz w:val="20"/>
          <w:lang w:val="en-GB"/>
        </w:rPr>
        <w:t>may be able to explain why the budget support instrument worked in spe</w:t>
      </w:r>
      <w:r w:rsidR="00B300D0">
        <w:rPr>
          <w:rFonts w:ascii="Gill Sans MT" w:hAnsi="Gill Sans MT"/>
          <w:sz w:val="20"/>
          <w:lang w:val="en-GB"/>
        </w:rPr>
        <w:t xml:space="preserve">cific circumstances, it is </w:t>
      </w:r>
      <w:r w:rsidR="00101811" w:rsidRPr="00FC0A83">
        <w:rPr>
          <w:rFonts w:ascii="Gill Sans MT" w:hAnsi="Gill Sans MT"/>
          <w:sz w:val="20"/>
          <w:lang w:val="en-GB"/>
        </w:rPr>
        <w:t xml:space="preserve">hard to generalise the findings from one specific case. </w:t>
      </w:r>
      <w:r w:rsidR="00127B9C">
        <w:rPr>
          <w:rFonts w:ascii="Gill Sans MT" w:hAnsi="Gill Sans MT"/>
          <w:sz w:val="20"/>
          <w:lang w:val="en-GB"/>
        </w:rPr>
        <w:t xml:space="preserve">By </w:t>
      </w:r>
      <w:r w:rsidR="00FC0A83" w:rsidRPr="00FC0A83">
        <w:rPr>
          <w:rFonts w:ascii="Gill Sans MT" w:hAnsi="Gill Sans MT"/>
          <w:sz w:val="20"/>
          <w:lang w:val="en-GB"/>
        </w:rPr>
        <w:t xml:space="preserve">combining several country case </w:t>
      </w:r>
      <w:r w:rsidR="007100BD">
        <w:rPr>
          <w:rFonts w:ascii="Gill Sans MT" w:hAnsi="Gill Sans MT"/>
          <w:sz w:val="20"/>
          <w:lang w:val="en-GB"/>
        </w:rPr>
        <w:t xml:space="preserve">studies </w:t>
      </w:r>
      <w:r w:rsidR="00FC0A83" w:rsidRPr="00FC0A83">
        <w:rPr>
          <w:rFonts w:ascii="Gill Sans MT" w:hAnsi="Gill Sans MT"/>
          <w:sz w:val="20"/>
          <w:lang w:val="en-GB"/>
        </w:rPr>
        <w:t>some patterns may be discerned and a more genera</w:t>
      </w:r>
      <w:r w:rsidR="00FC0A83">
        <w:rPr>
          <w:rFonts w:ascii="Gill Sans MT" w:hAnsi="Gill Sans MT"/>
          <w:sz w:val="20"/>
          <w:lang w:val="en-GB"/>
        </w:rPr>
        <w:t xml:space="preserve">l validity of </w:t>
      </w:r>
      <w:r w:rsidR="00882DF1">
        <w:rPr>
          <w:rFonts w:ascii="Gill Sans MT" w:hAnsi="Gill Sans MT"/>
          <w:sz w:val="20"/>
          <w:lang w:val="en-GB"/>
        </w:rPr>
        <w:t xml:space="preserve">the </w:t>
      </w:r>
      <w:r w:rsidR="00FC0A83">
        <w:rPr>
          <w:rFonts w:ascii="Gill Sans MT" w:hAnsi="Gill Sans MT"/>
          <w:sz w:val="20"/>
          <w:lang w:val="en-GB"/>
        </w:rPr>
        <w:t xml:space="preserve">identified </w:t>
      </w:r>
      <w:r w:rsidR="00882DF1">
        <w:rPr>
          <w:rFonts w:ascii="Gill Sans MT" w:hAnsi="Gill Sans MT"/>
          <w:sz w:val="20"/>
          <w:lang w:val="en-GB"/>
        </w:rPr>
        <w:t>relationships may reasonably be assumed</w:t>
      </w:r>
      <w:r w:rsidR="00FB106E">
        <w:rPr>
          <w:rFonts w:ascii="Gill Sans MT" w:hAnsi="Gill Sans MT"/>
          <w:sz w:val="20"/>
          <w:lang w:val="en-GB"/>
        </w:rPr>
        <w:t xml:space="preserve">. This is especially so </w:t>
      </w:r>
      <w:r w:rsidR="00FC0A83" w:rsidRPr="00FC0A83">
        <w:rPr>
          <w:rFonts w:ascii="Gill Sans MT" w:hAnsi="Gill Sans MT"/>
          <w:sz w:val="20"/>
          <w:lang w:val="en-GB"/>
        </w:rPr>
        <w:t>when the selection of cases has been made with certain theories on expected rel</w:t>
      </w:r>
      <w:r w:rsidR="00FC0A83">
        <w:rPr>
          <w:rFonts w:ascii="Gill Sans MT" w:hAnsi="Gill Sans MT"/>
          <w:sz w:val="20"/>
          <w:lang w:val="en-GB"/>
        </w:rPr>
        <w:t>ationships in mind</w:t>
      </w:r>
      <w:r w:rsidR="00882DF1">
        <w:rPr>
          <w:rFonts w:ascii="Gill Sans MT" w:hAnsi="Gill Sans MT"/>
          <w:sz w:val="20"/>
          <w:lang w:val="en-GB"/>
        </w:rPr>
        <w:t xml:space="preserve">, which the case studies then serve to test or refine. (Blatter &amp; </w:t>
      </w:r>
      <w:proofErr w:type="spellStart"/>
      <w:r w:rsidR="00882DF1">
        <w:rPr>
          <w:rFonts w:ascii="Gill Sans MT" w:hAnsi="Gill Sans MT"/>
          <w:sz w:val="20"/>
          <w:lang w:val="en-GB"/>
        </w:rPr>
        <w:t>Haverland</w:t>
      </w:r>
      <w:proofErr w:type="spellEnd"/>
      <w:r w:rsidR="00882DF1">
        <w:rPr>
          <w:rFonts w:ascii="Gill Sans MT" w:hAnsi="Gill Sans MT"/>
          <w:sz w:val="20"/>
          <w:lang w:val="en-GB"/>
        </w:rPr>
        <w:t>, 2012)</w:t>
      </w:r>
      <w:r w:rsidR="00FC0A83">
        <w:rPr>
          <w:rFonts w:ascii="Gill Sans MT" w:hAnsi="Gill Sans MT"/>
          <w:sz w:val="20"/>
          <w:lang w:val="en-GB"/>
        </w:rPr>
        <w:t>. As the number of country e</w:t>
      </w:r>
      <w:r>
        <w:rPr>
          <w:rFonts w:ascii="Gill Sans MT" w:hAnsi="Gill Sans MT"/>
          <w:sz w:val="20"/>
          <w:lang w:val="en-GB"/>
        </w:rPr>
        <w:t>valuations increases,</w:t>
      </w:r>
      <w:r w:rsidR="00FC0A83">
        <w:rPr>
          <w:rFonts w:ascii="Gill Sans MT" w:hAnsi="Gill Sans MT"/>
          <w:sz w:val="20"/>
          <w:lang w:val="en-GB"/>
        </w:rPr>
        <w:t xml:space="preserve"> it will become easier </w:t>
      </w:r>
      <w:r w:rsidR="00990B69">
        <w:rPr>
          <w:rFonts w:ascii="Gill Sans MT" w:hAnsi="Gill Sans MT"/>
          <w:sz w:val="20"/>
          <w:lang w:val="en-GB"/>
        </w:rPr>
        <w:t>to consider such a research desi</w:t>
      </w:r>
      <w:r>
        <w:rPr>
          <w:rFonts w:ascii="Gill Sans MT" w:hAnsi="Gill Sans MT"/>
          <w:sz w:val="20"/>
          <w:lang w:val="en-GB"/>
        </w:rPr>
        <w:t xml:space="preserve">gn but in this instance </w:t>
      </w:r>
      <w:r w:rsidR="003D466E">
        <w:rPr>
          <w:rFonts w:ascii="Gill Sans MT" w:hAnsi="Gill Sans MT"/>
          <w:sz w:val="20"/>
          <w:lang w:val="en-GB"/>
        </w:rPr>
        <w:t xml:space="preserve">our </w:t>
      </w:r>
      <w:r w:rsidR="00B300D0">
        <w:rPr>
          <w:rFonts w:ascii="Gill Sans MT" w:hAnsi="Gill Sans MT"/>
          <w:sz w:val="20"/>
          <w:lang w:val="en-GB"/>
        </w:rPr>
        <w:t>cases simply represent the first countries to have completed evaluations f</w:t>
      </w:r>
      <w:r w:rsidR="00127B9C">
        <w:rPr>
          <w:rFonts w:ascii="Gill Sans MT" w:hAnsi="Gill Sans MT"/>
          <w:sz w:val="20"/>
          <w:lang w:val="en-GB"/>
        </w:rPr>
        <w:t>ollowing the revised methodological approach</w:t>
      </w:r>
      <w:r w:rsidR="00B300D0">
        <w:rPr>
          <w:rFonts w:ascii="Gill Sans MT" w:hAnsi="Gill Sans MT"/>
          <w:sz w:val="20"/>
          <w:lang w:val="en-GB"/>
        </w:rPr>
        <w:t xml:space="preserve">. </w:t>
      </w:r>
      <w:r w:rsidR="00990B69">
        <w:rPr>
          <w:rFonts w:ascii="Gill Sans MT" w:hAnsi="Gill Sans MT"/>
          <w:sz w:val="20"/>
          <w:lang w:val="en-GB"/>
        </w:rPr>
        <w:t xml:space="preserve">How then can we maximise the external validity of the findings from the given set of seven case studies? </w:t>
      </w:r>
    </w:p>
    <w:p w14:paraId="0D2656F3" w14:textId="77777777" w:rsidR="001453CB" w:rsidRPr="000D6F75" w:rsidRDefault="001453CB" w:rsidP="000D6F75">
      <w:pPr>
        <w:pStyle w:val="BodyText"/>
        <w:numPr>
          <w:ilvl w:val="0"/>
          <w:numId w:val="2"/>
        </w:numPr>
        <w:spacing w:line="360" w:lineRule="auto"/>
        <w:ind w:left="499" w:hanging="357"/>
        <w:rPr>
          <w:rFonts w:ascii="Gill Sans MT" w:hAnsi="Gill Sans MT"/>
          <w:sz w:val="20"/>
          <w:lang w:val="en-GB"/>
        </w:rPr>
      </w:pPr>
      <w:r w:rsidRPr="000D6F75">
        <w:rPr>
          <w:rFonts w:ascii="Gill Sans MT" w:hAnsi="Gill Sans MT"/>
          <w:b/>
          <w:sz w:val="20"/>
          <w:lang w:val="en-GB"/>
        </w:rPr>
        <w:t>T</w:t>
      </w:r>
      <w:r w:rsidR="000D6F75" w:rsidRPr="000D6F75">
        <w:rPr>
          <w:rFonts w:ascii="Gill Sans MT" w:hAnsi="Gill Sans MT"/>
          <w:b/>
          <w:sz w:val="20"/>
          <w:lang w:val="en-GB"/>
        </w:rPr>
        <w:t xml:space="preserve">he </w:t>
      </w:r>
      <w:r w:rsidRPr="000D6F75">
        <w:rPr>
          <w:rFonts w:ascii="Gill Sans MT" w:hAnsi="Gill Sans MT"/>
          <w:b/>
          <w:sz w:val="20"/>
          <w:lang w:val="en-GB"/>
        </w:rPr>
        <w:t xml:space="preserve">approach </w:t>
      </w:r>
      <w:r w:rsidR="000D6F75" w:rsidRPr="000D6F75">
        <w:rPr>
          <w:rFonts w:ascii="Gill Sans MT" w:hAnsi="Gill Sans MT"/>
          <w:b/>
          <w:sz w:val="20"/>
          <w:lang w:val="en-GB"/>
        </w:rPr>
        <w:t>we have adopted to the synthesis process</w:t>
      </w:r>
      <w:r w:rsidRPr="000D6F75">
        <w:rPr>
          <w:rFonts w:ascii="Gill Sans MT" w:hAnsi="Gill Sans MT"/>
          <w:b/>
          <w:sz w:val="20"/>
          <w:lang w:val="en-GB"/>
        </w:rPr>
        <w:t xml:space="preserve"> is that of ‘realist synthesis’</w:t>
      </w:r>
      <w:r w:rsidR="000D6F75" w:rsidRPr="000D6F75">
        <w:rPr>
          <w:rFonts w:ascii="Gill Sans MT" w:hAnsi="Gill Sans MT"/>
          <w:b/>
          <w:sz w:val="20"/>
          <w:lang w:val="en-GB"/>
        </w:rPr>
        <w:t>.</w:t>
      </w:r>
      <w:r w:rsidRPr="000D6F75">
        <w:rPr>
          <w:rFonts w:ascii="Gill Sans MT" w:hAnsi="Gill Sans MT"/>
          <w:sz w:val="20"/>
          <w:lang w:val="en-GB"/>
        </w:rPr>
        <w:t xml:space="preserve"> (</w:t>
      </w:r>
      <w:proofErr w:type="spellStart"/>
      <w:r w:rsidRPr="000D6F75">
        <w:rPr>
          <w:rFonts w:ascii="Gill Sans MT" w:hAnsi="Gill Sans MT"/>
          <w:sz w:val="20"/>
          <w:lang w:val="en-GB"/>
        </w:rPr>
        <w:t>Pawson</w:t>
      </w:r>
      <w:proofErr w:type="spellEnd"/>
      <w:r w:rsidRPr="000D6F75">
        <w:rPr>
          <w:rFonts w:ascii="Gill Sans MT" w:hAnsi="Gill Sans MT"/>
          <w:sz w:val="20"/>
          <w:lang w:val="en-GB"/>
        </w:rPr>
        <w:t xml:space="preserve"> &amp; Tilley, 1997; </w:t>
      </w:r>
      <w:proofErr w:type="spellStart"/>
      <w:r w:rsidRPr="000D6F75">
        <w:rPr>
          <w:rFonts w:ascii="Gill Sans MT" w:hAnsi="Gill Sans MT"/>
          <w:sz w:val="20"/>
          <w:lang w:val="en-GB"/>
        </w:rPr>
        <w:t>Pawson</w:t>
      </w:r>
      <w:proofErr w:type="spellEnd"/>
      <w:r w:rsidRPr="000D6F75">
        <w:rPr>
          <w:rFonts w:ascii="Gill Sans MT" w:hAnsi="Gill Sans MT"/>
          <w:sz w:val="20"/>
          <w:lang w:val="en-GB"/>
        </w:rPr>
        <w:t xml:space="preserve"> 2002). The starting assumption of the realist school is that most programmes of reform or social change work only in limited circumstances. Therefore, the discovery and documentation of the ‘scope conditions’ within which a programme works becomes the main objective of the process of synthesis. Realist synthesis does this through the analysis of change Mechanisms (M) working within different Contexts (C) and producing a range of Outcomes (O). By careful examination of these C-M-O combinations, it is possible to define to a certain level of detail the “boundary conditions” within which a programme theory will work, leading to a more tailored theory and to a better understanding of its transferability.</w:t>
      </w:r>
    </w:p>
    <w:p w14:paraId="12E25D8E" w14:textId="77777777" w:rsidR="001453CB" w:rsidRPr="000D6F75" w:rsidRDefault="001453CB" w:rsidP="000D6F75">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Thus, the systematic analysis of a range of C-M-O combinations produces a continual refinement of programme theory, by learning both from success (favourable outcomes) and failure (unfavourable outcomes). In this sense, realist synthesis builds on the ideas of Karl </w:t>
      </w:r>
      <w:r>
        <w:rPr>
          <w:rFonts w:ascii="Gill Sans MT" w:hAnsi="Gill Sans MT"/>
          <w:sz w:val="20"/>
          <w:lang w:val="en-GB"/>
        </w:rPr>
        <w:lastRenderedPageBreak/>
        <w:t xml:space="preserve">Popper (Popper, 1959) regarding the importance of being able to falsify a theory. Where a theory (or hypothesis) is open to falsification, it then becomes possible to refine the theory through the experience of failure. Learning from mistakes is essential to the process.  </w:t>
      </w:r>
    </w:p>
    <w:p w14:paraId="112BC9AF" w14:textId="77777777" w:rsidR="001453CB" w:rsidRPr="000D6F75" w:rsidRDefault="00BB0BBE" w:rsidP="000D6F75">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We have therefore aimed to categorise the results (Outcomes) identified in the seven evaluations by reference to the Context of each country and the Mechanism of budget support utilised.  In this way, we have generated </w:t>
      </w:r>
      <w:r w:rsidR="001453CB">
        <w:rPr>
          <w:rFonts w:ascii="Gill Sans MT" w:hAnsi="Gill Sans MT"/>
          <w:sz w:val="20"/>
          <w:lang w:val="en-GB"/>
        </w:rPr>
        <w:t xml:space="preserve">a template for documenting the </w:t>
      </w:r>
      <w:r>
        <w:rPr>
          <w:rFonts w:ascii="Gill Sans MT" w:hAnsi="Gill Sans MT"/>
          <w:sz w:val="20"/>
          <w:lang w:val="en-GB"/>
        </w:rPr>
        <w:t xml:space="preserve">C-M-O combinations emerging from the seven </w:t>
      </w:r>
      <w:r w:rsidR="001453CB">
        <w:rPr>
          <w:rFonts w:ascii="Gill Sans MT" w:hAnsi="Gill Sans MT"/>
          <w:sz w:val="20"/>
          <w:lang w:val="en-GB"/>
        </w:rPr>
        <w:t>case histories</w:t>
      </w:r>
      <w:r>
        <w:rPr>
          <w:rFonts w:ascii="Gill Sans MT" w:hAnsi="Gill Sans MT"/>
          <w:sz w:val="20"/>
          <w:lang w:val="en-GB"/>
        </w:rPr>
        <w:t>. We have focused</w:t>
      </w:r>
      <w:r w:rsidR="00A84928">
        <w:rPr>
          <w:rFonts w:ascii="Gill Sans MT" w:hAnsi="Gill Sans MT"/>
          <w:sz w:val="20"/>
          <w:lang w:val="en-GB"/>
        </w:rPr>
        <w:t xml:space="preserve"> on the following </w:t>
      </w:r>
      <w:r>
        <w:rPr>
          <w:rFonts w:ascii="Gill Sans MT" w:hAnsi="Gill Sans MT"/>
          <w:sz w:val="20"/>
          <w:lang w:val="en-GB"/>
        </w:rPr>
        <w:t>indicators</w:t>
      </w:r>
      <w:r w:rsidR="001453CB">
        <w:rPr>
          <w:rFonts w:ascii="Gill Sans MT" w:hAnsi="Gill Sans MT"/>
          <w:sz w:val="20"/>
          <w:lang w:val="en-GB"/>
        </w:rPr>
        <w:t>:</w:t>
      </w:r>
    </w:p>
    <w:p w14:paraId="57E501C9" w14:textId="187495BC" w:rsidR="001453CB" w:rsidRDefault="001453CB" w:rsidP="00D81DB3">
      <w:pPr>
        <w:pStyle w:val="BodyText"/>
        <w:numPr>
          <w:ilvl w:val="0"/>
          <w:numId w:val="7"/>
        </w:numPr>
        <w:spacing w:line="360" w:lineRule="auto"/>
        <w:ind w:left="714" w:hanging="357"/>
        <w:rPr>
          <w:rFonts w:ascii="Gill Sans MT" w:hAnsi="Gill Sans MT"/>
          <w:sz w:val="20"/>
          <w:lang w:val="en-GB"/>
        </w:rPr>
      </w:pPr>
      <w:r w:rsidRPr="009A12F5">
        <w:rPr>
          <w:rFonts w:ascii="Gill Sans MT" w:hAnsi="Gill Sans MT"/>
          <w:b/>
          <w:color w:val="660066"/>
          <w:sz w:val="20"/>
          <w:lang w:val="en-GB"/>
        </w:rPr>
        <w:t>Context</w:t>
      </w:r>
      <w:r w:rsidR="00A84928">
        <w:rPr>
          <w:rFonts w:ascii="Gill Sans MT" w:hAnsi="Gill Sans MT"/>
          <w:sz w:val="20"/>
          <w:lang w:val="en-GB"/>
        </w:rPr>
        <w:t xml:space="preserve"> has been captured</w:t>
      </w:r>
      <w:r w:rsidR="003E0259">
        <w:rPr>
          <w:rFonts w:ascii="Gill Sans MT" w:hAnsi="Gill Sans MT"/>
          <w:sz w:val="20"/>
          <w:lang w:val="en-GB"/>
        </w:rPr>
        <w:t xml:space="preserve"> through indicators relating to the economic, social and governance context, as well as an analysis of the aid situation </w:t>
      </w:r>
      <w:r w:rsidR="00335C70">
        <w:rPr>
          <w:rFonts w:ascii="Gill Sans MT" w:hAnsi="Gill Sans MT"/>
          <w:sz w:val="20"/>
          <w:lang w:val="en-GB"/>
        </w:rPr>
        <w:t>and the political framework</w:t>
      </w:r>
      <w:r w:rsidR="00ED75F9">
        <w:rPr>
          <w:rStyle w:val="FootnoteReference"/>
          <w:rFonts w:ascii="Gill Sans MT" w:hAnsi="Gill Sans MT"/>
          <w:sz w:val="20"/>
          <w:lang w:val="en-GB"/>
        </w:rPr>
        <w:footnoteReference w:id="7"/>
      </w:r>
      <w:r w:rsidR="00335C70">
        <w:rPr>
          <w:rFonts w:ascii="Gill Sans MT" w:hAnsi="Gill Sans MT"/>
          <w:sz w:val="20"/>
          <w:lang w:val="en-GB"/>
        </w:rPr>
        <w:t>.</w:t>
      </w:r>
    </w:p>
    <w:p w14:paraId="0782533D" w14:textId="1E4D3305" w:rsidR="001453CB" w:rsidRPr="00E2749D" w:rsidRDefault="001453CB" w:rsidP="00D81DB3">
      <w:pPr>
        <w:pStyle w:val="BodyText"/>
        <w:numPr>
          <w:ilvl w:val="0"/>
          <w:numId w:val="7"/>
        </w:numPr>
        <w:spacing w:line="360" w:lineRule="auto"/>
        <w:ind w:left="714" w:hanging="357"/>
        <w:rPr>
          <w:rFonts w:ascii="Gill Sans MT" w:hAnsi="Gill Sans MT"/>
          <w:sz w:val="20"/>
          <w:lang w:val="en-GB"/>
        </w:rPr>
      </w:pPr>
      <w:r>
        <w:rPr>
          <w:rFonts w:ascii="Gill Sans MT" w:hAnsi="Gill Sans MT"/>
          <w:b/>
          <w:color w:val="660066"/>
          <w:sz w:val="20"/>
          <w:lang w:val="en-GB"/>
        </w:rPr>
        <w:t xml:space="preserve">Mechanisms </w:t>
      </w:r>
      <w:r w:rsidRPr="009A12F5">
        <w:rPr>
          <w:rFonts w:ascii="Gill Sans MT" w:hAnsi="Gill Sans MT"/>
          <w:sz w:val="20"/>
          <w:lang w:val="en-GB"/>
        </w:rPr>
        <w:t>are documented</w:t>
      </w:r>
      <w:r>
        <w:rPr>
          <w:rFonts w:ascii="Gill Sans MT" w:hAnsi="Gill Sans MT"/>
          <w:b/>
          <w:color w:val="660066"/>
          <w:sz w:val="20"/>
          <w:lang w:val="en-GB"/>
        </w:rPr>
        <w:t xml:space="preserve"> </w:t>
      </w:r>
      <w:r w:rsidR="003E0259" w:rsidRPr="003E0259">
        <w:rPr>
          <w:rFonts w:ascii="Gill Sans MT" w:hAnsi="Gill Sans MT"/>
          <w:sz w:val="20"/>
          <w:lang w:val="en-GB"/>
        </w:rPr>
        <w:t xml:space="preserve">by </w:t>
      </w:r>
      <w:r w:rsidR="003E0259">
        <w:rPr>
          <w:rFonts w:ascii="Gill Sans MT" w:hAnsi="Gill Sans MT"/>
          <w:sz w:val="20"/>
          <w:lang w:val="en-GB"/>
        </w:rPr>
        <w:t>reference to the scale of budget support disbursements</w:t>
      </w:r>
      <w:r w:rsidR="000E4548">
        <w:rPr>
          <w:rFonts w:ascii="Gill Sans MT" w:hAnsi="Gill Sans MT"/>
          <w:sz w:val="20"/>
          <w:lang w:val="en-GB"/>
        </w:rPr>
        <w:t xml:space="preserve">, </w:t>
      </w:r>
      <w:r w:rsidR="003D466E">
        <w:rPr>
          <w:rFonts w:ascii="Gill Sans MT" w:hAnsi="Gill Sans MT"/>
          <w:sz w:val="20"/>
          <w:lang w:val="en-GB"/>
        </w:rPr>
        <w:t xml:space="preserve">the number of providers, </w:t>
      </w:r>
      <w:r w:rsidR="003E0259">
        <w:rPr>
          <w:rFonts w:ascii="Gill Sans MT" w:hAnsi="Gill Sans MT"/>
          <w:sz w:val="20"/>
          <w:lang w:val="en-GB"/>
        </w:rPr>
        <w:t>the balance between General and Sector Budget Support, the mix of inputs provided</w:t>
      </w:r>
      <w:r w:rsidR="00E2749D">
        <w:rPr>
          <w:rFonts w:ascii="Gill Sans MT" w:hAnsi="Gill Sans MT"/>
          <w:sz w:val="20"/>
          <w:lang w:val="en-GB"/>
        </w:rPr>
        <w:t>, the nature of conditionality</w:t>
      </w:r>
      <w:r w:rsidR="00F37CDF">
        <w:rPr>
          <w:rFonts w:ascii="Gill Sans MT" w:hAnsi="Gill Sans MT"/>
          <w:sz w:val="20"/>
          <w:lang w:val="en-GB"/>
        </w:rPr>
        <w:t>,</w:t>
      </w:r>
      <w:r w:rsidR="00E2749D">
        <w:rPr>
          <w:rFonts w:ascii="Gill Sans MT" w:hAnsi="Gill Sans MT"/>
          <w:sz w:val="20"/>
          <w:lang w:val="en-GB"/>
        </w:rPr>
        <w:t xml:space="preserve"> the structures and mechanisms for policy dialogue and the structures and mechanisms for mana</w:t>
      </w:r>
      <w:r w:rsidR="00335C70">
        <w:rPr>
          <w:rFonts w:ascii="Gill Sans MT" w:hAnsi="Gill Sans MT"/>
          <w:sz w:val="20"/>
          <w:lang w:val="en-GB"/>
        </w:rPr>
        <w:t>ging TA/capacity building. Three</w:t>
      </w:r>
      <w:r w:rsidR="00E2749D">
        <w:rPr>
          <w:rFonts w:ascii="Gill Sans MT" w:hAnsi="Gill Sans MT"/>
          <w:sz w:val="20"/>
          <w:lang w:val="en-GB"/>
        </w:rPr>
        <w:t xml:space="preserve"> indicators of the efficiency of budget support</w:t>
      </w:r>
      <w:r w:rsidR="000E4548">
        <w:rPr>
          <w:rFonts w:ascii="Gill Sans MT" w:hAnsi="Gill Sans MT"/>
          <w:sz w:val="20"/>
          <w:lang w:val="en-GB"/>
        </w:rPr>
        <w:t xml:space="preserve"> mechanisms are also </w:t>
      </w:r>
      <w:r w:rsidR="00E2749D">
        <w:rPr>
          <w:rFonts w:ascii="Gill Sans MT" w:hAnsi="Gill Sans MT"/>
          <w:sz w:val="20"/>
          <w:lang w:val="en-GB"/>
        </w:rPr>
        <w:t>examined – the predictability of disbursements, the reported transaction costs</w:t>
      </w:r>
      <w:r w:rsidR="003125A3">
        <w:rPr>
          <w:rFonts w:ascii="Gill Sans MT" w:hAnsi="Gill Sans MT"/>
          <w:sz w:val="20"/>
          <w:lang w:val="en-GB"/>
        </w:rPr>
        <w:t>, and the quality of the contributions to the polic</w:t>
      </w:r>
      <w:r w:rsidR="00F3690A">
        <w:rPr>
          <w:rFonts w:ascii="Gill Sans MT" w:hAnsi="Gill Sans MT"/>
          <w:sz w:val="20"/>
          <w:lang w:val="en-GB"/>
        </w:rPr>
        <w:t>y dialogue process</w:t>
      </w:r>
      <w:r w:rsidR="00F02D14">
        <w:rPr>
          <w:rFonts w:ascii="Gill Sans MT" w:hAnsi="Gill Sans MT"/>
          <w:sz w:val="20"/>
          <w:lang w:val="en-GB"/>
        </w:rPr>
        <w:t>. Thus,</w:t>
      </w:r>
      <w:r w:rsidR="000E4548">
        <w:rPr>
          <w:rFonts w:ascii="Gill Sans MT" w:hAnsi="Gill Sans MT"/>
          <w:sz w:val="20"/>
          <w:lang w:val="en-GB"/>
        </w:rPr>
        <w:t xml:space="preserve"> mechanisms encompass</w:t>
      </w:r>
      <w:r w:rsidR="003125A3">
        <w:rPr>
          <w:rFonts w:ascii="Gill Sans MT" w:hAnsi="Gill Sans MT"/>
          <w:sz w:val="20"/>
          <w:lang w:val="en-GB"/>
        </w:rPr>
        <w:t xml:space="preserve"> both the inputs and </w:t>
      </w:r>
      <w:r w:rsidR="00335C70">
        <w:rPr>
          <w:rFonts w:ascii="Gill Sans MT" w:hAnsi="Gill Sans MT"/>
          <w:sz w:val="20"/>
          <w:lang w:val="en-GB"/>
        </w:rPr>
        <w:t xml:space="preserve">the direct outputs </w:t>
      </w:r>
      <w:r w:rsidR="003D466E">
        <w:rPr>
          <w:rFonts w:ascii="Gill Sans MT" w:hAnsi="Gill Sans MT"/>
          <w:sz w:val="20"/>
          <w:lang w:val="en-GB"/>
        </w:rPr>
        <w:t>of budget support – the first two levels of the Intervention Logic.</w:t>
      </w:r>
    </w:p>
    <w:p w14:paraId="2DC00F1F" w14:textId="77777777" w:rsidR="001453CB" w:rsidRDefault="001453CB" w:rsidP="00D81DB3">
      <w:pPr>
        <w:pStyle w:val="BodyText"/>
        <w:numPr>
          <w:ilvl w:val="0"/>
          <w:numId w:val="7"/>
        </w:numPr>
        <w:spacing w:line="360" w:lineRule="auto"/>
        <w:ind w:left="714" w:hanging="357"/>
        <w:rPr>
          <w:rFonts w:ascii="Gill Sans MT" w:hAnsi="Gill Sans MT"/>
          <w:sz w:val="20"/>
          <w:lang w:val="en-GB"/>
        </w:rPr>
      </w:pPr>
      <w:r>
        <w:rPr>
          <w:rFonts w:ascii="Gill Sans MT" w:hAnsi="Gill Sans MT"/>
          <w:b/>
          <w:color w:val="660066"/>
          <w:sz w:val="20"/>
          <w:lang w:val="en-GB"/>
        </w:rPr>
        <w:t xml:space="preserve">Outcomes </w:t>
      </w:r>
      <w:r w:rsidR="00312FE1">
        <w:rPr>
          <w:rFonts w:ascii="Gill Sans MT" w:hAnsi="Gill Sans MT"/>
          <w:sz w:val="20"/>
          <w:lang w:val="en-GB"/>
        </w:rPr>
        <w:t>comprise the results documented in each of the evaluations in relation to Induced</w:t>
      </w:r>
      <w:r w:rsidR="003D466E">
        <w:rPr>
          <w:rFonts w:ascii="Gill Sans MT" w:hAnsi="Gill Sans MT"/>
          <w:sz w:val="20"/>
          <w:lang w:val="en-GB"/>
        </w:rPr>
        <w:t xml:space="preserve"> Outputs, Outcomes and Impacts – the final three levels of the Intervention Logic.</w:t>
      </w:r>
    </w:p>
    <w:p w14:paraId="3C10E870" w14:textId="0FA5DEF8" w:rsidR="007936EF" w:rsidRDefault="00312FE1" w:rsidP="007936EF">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In examining the</w:t>
      </w:r>
      <w:r w:rsidR="001453CB" w:rsidRPr="00312FE1">
        <w:rPr>
          <w:rFonts w:ascii="Gill Sans MT" w:hAnsi="Gill Sans MT"/>
          <w:sz w:val="20"/>
          <w:lang w:val="en-GB"/>
        </w:rPr>
        <w:t xml:space="preserve"> different </w:t>
      </w:r>
      <w:r>
        <w:rPr>
          <w:rFonts w:ascii="Gill Sans MT" w:hAnsi="Gill Sans MT"/>
          <w:sz w:val="20"/>
          <w:lang w:val="en-GB"/>
        </w:rPr>
        <w:t xml:space="preserve">C-M-O </w:t>
      </w:r>
      <w:r w:rsidR="001453CB" w:rsidRPr="00312FE1">
        <w:rPr>
          <w:rFonts w:ascii="Gill Sans MT" w:hAnsi="Gill Sans MT"/>
          <w:sz w:val="20"/>
          <w:lang w:val="en-GB"/>
        </w:rPr>
        <w:t xml:space="preserve">combinations, </w:t>
      </w:r>
      <w:r>
        <w:rPr>
          <w:rFonts w:ascii="Gill Sans MT" w:hAnsi="Gill Sans MT"/>
          <w:sz w:val="20"/>
          <w:lang w:val="en-GB"/>
        </w:rPr>
        <w:t xml:space="preserve">we have </w:t>
      </w:r>
      <w:r w:rsidR="00670353">
        <w:rPr>
          <w:rFonts w:ascii="Gill Sans MT" w:hAnsi="Gill Sans MT"/>
          <w:sz w:val="20"/>
          <w:lang w:val="en-GB"/>
        </w:rPr>
        <w:t xml:space="preserve">initially separated </w:t>
      </w:r>
      <w:r>
        <w:rPr>
          <w:rFonts w:ascii="Gill Sans MT" w:hAnsi="Gill Sans MT"/>
          <w:sz w:val="20"/>
          <w:lang w:val="en-GB"/>
        </w:rPr>
        <w:t xml:space="preserve">the three </w:t>
      </w:r>
      <w:proofErr w:type="gramStart"/>
      <w:r>
        <w:rPr>
          <w:rFonts w:ascii="Gill Sans MT" w:hAnsi="Gill Sans MT"/>
          <w:sz w:val="20"/>
          <w:lang w:val="en-GB"/>
        </w:rPr>
        <w:t>middle income</w:t>
      </w:r>
      <w:proofErr w:type="gramEnd"/>
      <w:r>
        <w:rPr>
          <w:rFonts w:ascii="Gill Sans MT" w:hAnsi="Gill Sans MT"/>
          <w:sz w:val="20"/>
          <w:lang w:val="en-GB"/>
        </w:rPr>
        <w:t xml:space="preserve"> countries (Morocco, South Africa and Tunisia) from the four lower income countries (Mali</w:t>
      </w:r>
      <w:r w:rsidR="00CD5698">
        <w:rPr>
          <w:rFonts w:ascii="Gill Sans MT" w:hAnsi="Gill Sans MT"/>
          <w:sz w:val="20"/>
          <w:lang w:val="en-GB"/>
        </w:rPr>
        <w:t>, Mozambique, Tanzania, Zambia)</w:t>
      </w:r>
      <w:r>
        <w:rPr>
          <w:rFonts w:ascii="Gill Sans MT" w:hAnsi="Gill Sans MT"/>
          <w:sz w:val="20"/>
          <w:lang w:val="en-GB"/>
        </w:rPr>
        <w:t>.</w:t>
      </w:r>
      <w:r w:rsidR="001453CB" w:rsidRPr="00312FE1">
        <w:rPr>
          <w:rFonts w:ascii="Gill Sans MT" w:hAnsi="Gill Sans MT"/>
          <w:sz w:val="20"/>
          <w:lang w:val="en-GB"/>
        </w:rPr>
        <w:t xml:space="preserve"> </w:t>
      </w:r>
      <w:r w:rsidR="00CD5698">
        <w:rPr>
          <w:rFonts w:ascii="Gill Sans MT" w:hAnsi="Gill Sans MT"/>
          <w:sz w:val="20"/>
          <w:lang w:val="en-GB"/>
        </w:rPr>
        <w:t xml:space="preserve">Within each of the </w:t>
      </w:r>
      <w:r>
        <w:rPr>
          <w:rFonts w:ascii="Gill Sans MT" w:hAnsi="Gill Sans MT"/>
          <w:sz w:val="20"/>
          <w:lang w:val="en-GB"/>
        </w:rPr>
        <w:t xml:space="preserve">country groups, </w:t>
      </w:r>
      <w:r w:rsidR="00670353">
        <w:rPr>
          <w:rFonts w:ascii="Gill Sans MT" w:hAnsi="Gill Sans MT"/>
          <w:sz w:val="20"/>
          <w:lang w:val="en-GB"/>
        </w:rPr>
        <w:t xml:space="preserve">we have </w:t>
      </w:r>
      <w:r w:rsidR="00E54A9A">
        <w:rPr>
          <w:rFonts w:ascii="Gill Sans MT" w:hAnsi="Gill Sans MT"/>
          <w:sz w:val="20"/>
          <w:lang w:val="en-GB"/>
        </w:rPr>
        <w:t xml:space="preserve">considered </w:t>
      </w:r>
      <w:r w:rsidR="007936EF">
        <w:rPr>
          <w:rFonts w:ascii="Gill Sans MT" w:hAnsi="Gill Sans MT"/>
          <w:sz w:val="20"/>
          <w:lang w:val="en-GB"/>
        </w:rPr>
        <w:t>the emergi</w:t>
      </w:r>
      <w:r w:rsidR="00670353">
        <w:rPr>
          <w:rFonts w:ascii="Gill Sans MT" w:hAnsi="Gill Sans MT"/>
          <w:sz w:val="20"/>
          <w:lang w:val="en-GB"/>
        </w:rPr>
        <w:t>ng patterns, and then compared them with each other in the final chapter</w:t>
      </w:r>
      <w:r w:rsidR="007936EF">
        <w:rPr>
          <w:rFonts w:ascii="Gill Sans MT" w:hAnsi="Gill Sans MT"/>
          <w:sz w:val="20"/>
          <w:lang w:val="en-GB"/>
        </w:rPr>
        <w:t xml:space="preserve">. </w:t>
      </w:r>
    </w:p>
    <w:p w14:paraId="13CA7965" w14:textId="77777777" w:rsidR="002E5930" w:rsidRDefault="007936EF" w:rsidP="007936EF">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Clearly, the wider validity of these findings is limited by the relatively limited number of cases, </w:t>
      </w:r>
      <w:r w:rsidR="00670353">
        <w:rPr>
          <w:rFonts w:ascii="Gill Sans MT" w:hAnsi="Gill Sans MT"/>
          <w:sz w:val="20"/>
          <w:lang w:val="en-GB"/>
        </w:rPr>
        <w:t xml:space="preserve">and </w:t>
      </w:r>
      <w:r w:rsidR="00CB6EC6">
        <w:rPr>
          <w:rFonts w:ascii="Gill Sans MT" w:hAnsi="Gill Sans MT"/>
          <w:sz w:val="20"/>
          <w:lang w:val="en-GB"/>
        </w:rPr>
        <w:t xml:space="preserve">by the very particular nature of each of the Middle Income Country (MIC) cases. This </w:t>
      </w:r>
      <w:r>
        <w:rPr>
          <w:rFonts w:ascii="Gill Sans MT" w:hAnsi="Gill Sans MT"/>
          <w:sz w:val="20"/>
          <w:lang w:val="en-GB"/>
        </w:rPr>
        <w:t>heterogeneity</w:t>
      </w:r>
      <w:r w:rsidR="00CB6EC6">
        <w:rPr>
          <w:rFonts w:ascii="Gill Sans MT" w:hAnsi="Gill Sans MT"/>
          <w:sz w:val="20"/>
          <w:lang w:val="en-GB"/>
        </w:rPr>
        <w:t xml:space="preserve"> of th</w:t>
      </w:r>
      <w:r w:rsidR="0033188E">
        <w:rPr>
          <w:rFonts w:ascii="Gill Sans MT" w:hAnsi="Gill Sans MT"/>
          <w:sz w:val="20"/>
          <w:lang w:val="en-GB"/>
        </w:rPr>
        <w:t xml:space="preserve">e MIC cases makes it </w:t>
      </w:r>
      <w:r w:rsidR="00CB6EC6">
        <w:rPr>
          <w:rFonts w:ascii="Gill Sans MT" w:hAnsi="Gill Sans MT"/>
          <w:sz w:val="20"/>
          <w:lang w:val="en-GB"/>
        </w:rPr>
        <w:t>d</w:t>
      </w:r>
      <w:r w:rsidR="00670353">
        <w:rPr>
          <w:rFonts w:ascii="Gill Sans MT" w:hAnsi="Gill Sans MT"/>
          <w:sz w:val="20"/>
          <w:lang w:val="en-GB"/>
        </w:rPr>
        <w:t xml:space="preserve">ifficult to be confident of the wider validity of the </w:t>
      </w:r>
      <w:r w:rsidR="00CB6EC6">
        <w:rPr>
          <w:rFonts w:ascii="Gill Sans MT" w:hAnsi="Gill Sans MT"/>
          <w:sz w:val="20"/>
          <w:lang w:val="en-GB"/>
        </w:rPr>
        <w:t>patterns and relationships</w:t>
      </w:r>
      <w:r w:rsidR="00670353">
        <w:rPr>
          <w:rFonts w:ascii="Gill Sans MT" w:hAnsi="Gill Sans MT"/>
          <w:sz w:val="20"/>
          <w:lang w:val="en-GB"/>
        </w:rPr>
        <w:t xml:space="preserve"> identified</w:t>
      </w:r>
      <w:r>
        <w:rPr>
          <w:rFonts w:ascii="Gill Sans MT" w:hAnsi="Gill Sans MT"/>
          <w:sz w:val="20"/>
          <w:lang w:val="en-GB"/>
        </w:rPr>
        <w:t xml:space="preserve">. </w:t>
      </w:r>
      <w:r w:rsidR="00F02D14">
        <w:rPr>
          <w:rFonts w:ascii="Gill Sans MT" w:hAnsi="Gill Sans MT"/>
          <w:sz w:val="20"/>
          <w:lang w:val="en-GB"/>
        </w:rPr>
        <w:t xml:space="preserve">There is also a problem of endogeneity, in that certain key </w:t>
      </w:r>
      <w:r w:rsidR="00F37CDF">
        <w:rPr>
          <w:rFonts w:ascii="Gill Sans MT" w:hAnsi="Gill Sans MT"/>
          <w:sz w:val="20"/>
          <w:lang w:val="en-GB"/>
        </w:rPr>
        <w:t xml:space="preserve">aspects of the Context (GDP per capita, </w:t>
      </w:r>
      <w:r w:rsidR="00F02D14">
        <w:rPr>
          <w:rFonts w:ascii="Gill Sans MT" w:hAnsi="Gill Sans MT"/>
          <w:sz w:val="20"/>
          <w:lang w:val="en-GB"/>
        </w:rPr>
        <w:t>the quality of governance) also feature as Outcomes. We have attempted to deal with this by focusing on the context at the outset of the budget support period rather than during its duration but we are aware that this is not a satisfactory solution. Notwithstanding these methodological shortcomings</w:t>
      </w:r>
      <w:r w:rsidR="00CB6EC6">
        <w:rPr>
          <w:rFonts w:ascii="Gill Sans MT" w:hAnsi="Gill Sans MT"/>
          <w:sz w:val="20"/>
          <w:lang w:val="en-GB"/>
        </w:rPr>
        <w:t>, we believe that th</w:t>
      </w:r>
      <w:r w:rsidR="00F3690A">
        <w:rPr>
          <w:rFonts w:ascii="Gill Sans MT" w:hAnsi="Gill Sans MT"/>
          <w:sz w:val="20"/>
          <w:lang w:val="en-GB"/>
        </w:rPr>
        <w:t>e realist synthesis framework</w:t>
      </w:r>
      <w:r w:rsidR="00CB6EC6">
        <w:rPr>
          <w:rFonts w:ascii="Gill Sans MT" w:hAnsi="Gill Sans MT"/>
          <w:sz w:val="20"/>
          <w:lang w:val="en-GB"/>
        </w:rPr>
        <w:t xml:space="preserve"> does provide a useful way of grouping and comparing the results of country case studies. It is our hope that new case studies might </w:t>
      </w:r>
      <w:r>
        <w:rPr>
          <w:rFonts w:ascii="Gill Sans MT" w:hAnsi="Gill Sans MT"/>
          <w:sz w:val="20"/>
          <w:lang w:val="en-GB"/>
        </w:rPr>
        <w:t xml:space="preserve">be inserted into this framework so as to refine the </w:t>
      </w:r>
      <w:r w:rsidR="00C7478F">
        <w:rPr>
          <w:rFonts w:ascii="Gill Sans MT" w:hAnsi="Gill Sans MT"/>
          <w:sz w:val="20"/>
          <w:lang w:val="en-GB"/>
        </w:rPr>
        <w:t xml:space="preserve">preliminary </w:t>
      </w:r>
      <w:r>
        <w:rPr>
          <w:rFonts w:ascii="Gill Sans MT" w:hAnsi="Gill Sans MT"/>
          <w:sz w:val="20"/>
          <w:lang w:val="en-GB"/>
        </w:rPr>
        <w:t>hypotheses</w:t>
      </w:r>
      <w:r w:rsidR="00C7478F">
        <w:rPr>
          <w:rFonts w:ascii="Gill Sans MT" w:hAnsi="Gill Sans MT"/>
          <w:sz w:val="20"/>
          <w:lang w:val="en-GB"/>
        </w:rPr>
        <w:t>,</w:t>
      </w:r>
      <w:r>
        <w:rPr>
          <w:rFonts w:ascii="Gill Sans MT" w:hAnsi="Gill Sans MT"/>
          <w:sz w:val="20"/>
          <w:lang w:val="en-GB"/>
        </w:rPr>
        <w:t xml:space="preserve"> </w:t>
      </w:r>
      <w:r w:rsidR="00C7478F">
        <w:rPr>
          <w:rFonts w:ascii="Gill Sans MT" w:hAnsi="Gill Sans MT"/>
          <w:sz w:val="20"/>
          <w:lang w:val="en-GB"/>
        </w:rPr>
        <w:t>which we have developed.</w:t>
      </w:r>
    </w:p>
    <w:p w14:paraId="00250F1A" w14:textId="6330CB40" w:rsidR="00281C7F" w:rsidRPr="007936EF" w:rsidRDefault="00281C7F" w:rsidP="007936EF">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lastRenderedPageBreak/>
        <w:t>A further limitation on the validity of our conclusions is that we have had to assume that t</w:t>
      </w:r>
      <w:r w:rsidR="004B17A2">
        <w:rPr>
          <w:rFonts w:ascii="Gill Sans MT" w:hAnsi="Gill Sans MT"/>
          <w:sz w:val="20"/>
          <w:lang w:val="en-GB"/>
        </w:rPr>
        <w:t xml:space="preserve">he findings reported in </w:t>
      </w:r>
      <w:r>
        <w:rPr>
          <w:rFonts w:ascii="Gill Sans MT" w:hAnsi="Gill Sans MT"/>
          <w:sz w:val="20"/>
          <w:lang w:val="en-GB"/>
        </w:rPr>
        <w:t xml:space="preserve">the seven evaluations here synthesised are themselves adequately justified, with evidence of an adequate level of reliability. However, this does not seem an unduly brave assumption. </w:t>
      </w:r>
      <w:r w:rsidR="004B17A2">
        <w:rPr>
          <w:rFonts w:ascii="Gill Sans MT" w:hAnsi="Gill Sans MT"/>
          <w:sz w:val="20"/>
          <w:lang w:val="en-GB"/>
        </w:rPr>
        <w:t xml:space="preserve">Each of the seven evaluations reports on </w:t>
      </w:r>
      <w:r>
        <w:rPr>
          <w:rFonts w:ascii="Gill Sans MT" w:hAnsi="Gill Sans MT"/>
          <w:sz w:val="20"/>
          <w:lang w:val="en-GB"/>
        </w:rPr>
        <w:t xml:space="preserve">the quality of evidence </w:t>
      </w:r>
      <w:r w:rsidR="004B17A2">
        <w:rPr>
          <w:rFonts w:ascii="Gill Sans MT" w:hAnsi="Gill Sans MT"/>
          <w:sz w:val="20"/>
          <w:lang w:val="en-GB"/>
        </w:rPr>
        <w:t xml:space="preserve">for the responses to each Evaluation Question (in most cases in the matrices included as “Volume Two”) </w:t>
      </w:r>
      <w:r>
        <w:rPr>
          <w:rFonts w:ascii="Gill Sans MT" w:hAnsi="Gill Sans MT"/>
          <w:sz w:val="20"/>
          <w:lang w:val="en-GB"/>
        </w:rPr>
        <w:t>and we believe that the Management</w:t>
      </w:r>
      <w:r w:rsidR="004B17A2">
        <w:rPr>
          <w:rFonts w:ascii="Gill Sans MT" w:hAnsi="Gill Sans MT"/>
          <w:sz w:val="20"/>
          <w:lang w:val="en-GB"/>
        </w:rPr>
        <w:t xml:space="preserve"> Groups for </w:t>
      </w:r>
      <w:r>
        <w:rPr>
          <w:rFonts w:ascii="Gill Sans MT" w:hAnsi="Gill Sans MT"/>
          <w:sz w:val="20"/>
          <w:lang w:val="en-GB"/>
        </w:rPr>
        <w:t>these evaluations would therefore have demanded changes in the conclusions presented, if these were not considered sufficiently evidence-based.</w:t>
      </w:r>
    </w:p>
    <w:p w14:paraId="599FDBF3" w14:textId="77777777" w:rsidR="00161232" w:rsidRPr="00372CF5" w:rsidRDefault="00C7478F" w:rsidP="00D81DB3">
      <w:pPr>
        <w:pStyle w:val="Heading2"/>
        <w:numPr>
          <w:ilvl w:val="1"/>
          <w:numId w:val="4"/>
        </w:numPr>
        <w:rPr>
          <w:bCs w:val="0"/>
        </w:rPr>
      </w:pPr>
      <w:bookmarkStart w:id="57" w:name="_Toc279848240"/>
      <w:r>
        <w:rPr>
          <w:bCs w:val="0"/>
        </w:rPr>
        <w:t>Structure of the Report</w:t>
      </w:r>
      <w:bookmarkEnd w:id="57"/>
    </w:p>
    <w:p w14:paraId="64C5E552" w14:textId="77777777" w:rsidR="002B02F9" w:rsidRDefault="003D466E" w:rsidP="002B02F9">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Following this introductory chapter, this report is structured as follows:</w:t>
      </w:r>
    </w:p>
    <w:p w14:paraId="16FB7826" w14:textId="1F8FFD35" w:rsidR="003D466E" w:rsidRDefault="003D466E" w:rsidP="00D81DB3">
      <w:pPr>
        <w:pStyle w:val="BodyText"/>
        <w:numPr>
          <w:ilvl w:val="0"/>
          <w:numId w:val="8"/>
        </w:numPr>
        <w:spacing w:line="360" w:lineRule="auto"/>
        <w:rPr>
          <w:rFonts w:ascii="Gill Sans MT" w:hAnsi="Gill Sans MT"/>
          <w:sz w:val="20"/>
          <w:lang w:val="en-GB"/>
        </w:rPr>
      </w:pPr>
      <w:r w:rsidRPr="005110D2">
        <w:rPr>
          <w:rFonts w:ascii="Gill Sans MT" w:hAnsi="Gill Sans MT"/>
          <w:b/>
          <w:color w:val="660066"/>
          <w:sz w:val="20"/>
          <w:lang w:val="en-GB"/>
        </w:rPr>
        <w:t>Chapter 2</w:t>
      </w:r>
      <w:r>
        <w:rPr>
          <w:rFonts w:ascii="Gill Sans MT" w:hAnsi="Gill Sans MT"/>
          <w:sz w:val="20"/>
          <w:lang w:val="en-GB"/>
        </w:rPr>
        <w:t xml:space="preserve"> analyses the findings and conclusions of </w:t>
      </w:r>
      <w:r w:rsidR="00F37CDF">
        <w:rPr>
          <w:rFonts w:ascii="Gill Sans MT" w:hAnsi="Gill Sans MT"/>
          <w:sz w:val="20"/>
          <w:lang w:val="en-GB"/>
        </w:rPr>
        <w:t>the four evaluations in low</w:t>
      </w:r>
      <w:r>
        <w:rPr>
          <w:rFonts w:ascii="Gill Sans MT" w:hAnsi="Gill Sans MT"/>
          <w:sz w:val="20"/>
          <w:lang w:val="en-GB"/>
        </w:rPr>
        <w:t xml:space="preserve"> income countries </w:t>
      </w:r>
      <w:r w:rsidR="00F37CDF">
        <w:rPr>
          <w:rFonts w:ascii="Gill Sans MT" w:hAnsi="Gill Sans MT"/>
          <w:sz w:val="20"/>
          <w:lang w:val="en-GB"/>
        </w:rPr>
        <w:t xml:space="preserve">(LICs) </w:t>
      </w:r>
      <w:r>
        <w:rPr>
          <w:rFonts w:ascii="Gill Sans MT" w:hAnsi="Gill Sans MT"/>
          <w:sz w:val="20"/>
          <w:lang w:val="en-GB"/>
        </w:rPr>
        <w:t>– Mali, Mozambique, Tanzania and Zamb</w:t>
      </w:r>
      <w:r w:rsidR="00F37CDF">
        <w:rPr>
          <w:rFonts w:ascii="Gill Sans MT" w:hAnsi="Gill Sans MT"/>
          <w:sz w:val="20"/>
          <w:lang w:val="en-GB"/>
        </w:rPr>
        <w:t>ia. I</w:t>
      </w:r>
      <w:r>
        <w:rPr>
          <w:rFonts w:ascii="Gill Sans MT" w:hAnsi="Gill Sans MT"/>
          <w:sz w:val="20"/>
          <w:lang w:val="en-GB"/>
        </w:rPr>
        <w:t>t categorises first the key eleme</w:t>
      </w:r>
      <w:r w:rsidR="00F37CDF">
        <w:rPr>
          <w:rFonts w:ascii="Gill Sans MT" w:hAnsi="Gill Sans MT"/>
          <w:sz w:val="20"/>
          <w:lang w:val="en-GB"/>
        </w:rPr>
        <w:t>nts of the Context (C)</w:t>
      </w:r>
      <w:r>
        <w:rPr>
          <w:rFonts w:ascii="Gill Sans MT" w:hAnsi="Gill Sans MT"/>
          <w:sz w:val="20"/>
          <w:lang w:val="en-GB"/>
        </w:rPr>
        <w:t>, then documents</w:t>
      </w:r>
      <w:r w:rsidR="00F37CDF">
        <w:rPr>
          <w:rFonts w:ascii="Gill Sans MT" w:hAnsi="Gill Sans MT"/>
          <w:sz w:val="20"/>
          <w:lang w:val="en-GB"/>
        </w:rPr>
        <w:t xml:space="preserve"> the Mechanisms (M) utilised</w:t>
      </w:r>
      <w:r>
        <w:rPr>
          <w:rFonts w:ascii="Gill Sans MT" w:hAnsi="Gill Sans MT"/>
          <w:sz w:val="20"/>
          <w:lang w:val="en-GB"/>
        </w:rPr>
        <w:t>, before then summarising the main Outcomes (O) achieved in the four c</w:t>
      </w:r>
      <w:r w:rsidR="00CD5698">
        <w:rPr>
          <w:rFonts w:ascii="Gill Sans MT" w:hAnsi="Gill Sans MT"/>
          <w:sz w:val="20"/>
          <w:lang w:val="en-GB"/>
        </w:rPr>
        <w:t xml:space="preserve">ountries. A final section </w:t>
      </w:r>
      <w:r>
        <w:rPr>
          <w:rFonts w:ascii="Gill Sans MT" w:hAnsi="Gill Sans MT"/>
          <w:sz w:val="20"/>
          <w:lang w:val="en-GB"/>
        </w:rPr>
        <w:t>examines the</w:t>
      </w:r>
      <w:r w:rsidR="005110D2">
        <w:rPr>
          <w:rFonts w:ascii="Gill Sans MT" w:hAnsi="Gill Sans MT"/>
          <w:sz w:val="20"/>
          <w:lang w:val="en-GB"/>
        </w:rPr>
        <w:t xml:space="preserve">se C-M-O combinations together </w:t>
      </w:r>
      <w:r>
        <w:rPr>
          <w:rFonts w:ascii="Gill Sans MT" w:hAnsi="Gill Sans MT"/>
          <w:sz w:val="20"/>
          <w:lang w:val="en-GB"/>
        </w:rPr>
        <w:t>in or</w:t>
      </w:r>
      <w:r w:rsidR="006F7FC7">
        <w:rPr>
          <w:rFonts w:ascii="Gill Sans MT" w:hAnsi="Gill Sans MT"/>
          <w:sz w:val="20"/>
          <w:lang w:val="en-GB"/>
        </w:rPr>
        <w:t>der to derive</w:t>
      </w:r>
      <w:r w:rsidR="00441F39">
        <w:rPr>
          <w:rFonts w:ascii="Gill Sans MT" w:hAnsi="Gill Sans MT"/>
          <w:sz w:val="20"/>
          <w:lang w:val="en-GB"/>
        </w:rPr>
        <w:t xml:space="preserve"> some hypotheses</w:t>
      </w:r>
      <w:r>
        <w:rPr>
          <w:rFonts w:ascii="Gill Sans MT" w:hAnsi="Gill Sans MT"/>
          <w:sz w:val="20"/>
          <w:lang w:val="en-GB"/>
        </w:rPr>
        <w:t xml:space="preserve"> </w:t>
      </w:r>
      <w:r w:rsidR="005110D2">
        <w:rPr>
          <w:rFonts w:ascii="Gill Sans MT" w:hAnsi="Gill Sans MT"/>
          <w:sz w:val="20"/>
          <w:lang w:val="en-GB"/>
        </w:rPr>
        <w:t>regarding the effects of budget s</w:t>
      </w:r>
      <w:r w:rsidR="00F37CDF">
        <w:rPr>
          <w:rFonts w:ascii="Gill Sans MT" w:hAnsi="Gill Sans MT"/>
          <w:sz w:val="20"/>
          <w:lang w:val="en-GB"/>
        </w:rPr>
        <w:t>upport in LICs</w:t>
      </w:r>
      <w:r w:rsidR="005110D2">
        <w:rPr>
          <w:rFonts w:ascii="Gill Sans MT" w:hAnsi="Gill Sans MT"/>
          <w:sz w:val="20"/>
          <w:lang w:val="en-GB"/>
        </w:rPr>
        <w:t>.</w:t>
      </w:r>
    </w:p>
    <w:p w14:paraId="483CF8DC" w14:textId="2F4D50E7" w:rsidR="005110D2" w:rsidRDefault="005110D2" w:rsidP="00D81DB3">
      <w:pPr>
        <w:pStyle w:val="BodyText"/>
        <w:numPr>
          <w:ilvl w:val="0"/>
          <w:numId w:val="8"/>
        </w:numPr>
        <w:spacing w:line="360" w:lineRule="auto"/>
        <w:rPr>
          <w:rFonts w:ascii="Gill Sans MT" w:hAnsi="Gill Sans MT"/>
          <w:sz w:val="20"/>
          <w:lang w:val="en-GB"/>
        </w:rPr>
      </w:pPr>
      <w:r w:rsidRPr="005110D2">
        <w:rPr>
          <w:rFonts w:ascii="Gill Sans MT" w:hAnsi="Gill Sans MT"/>
          <w:b/>
          <w:color w:val="660066"/>
          <w:sz w:val="20"/>
          <w:lang w:val="en-GB"/>
        </w:rPr>
        <w:t>Chapter 3</w:t>
      </w:r>
      <w:r>
        <w:rPr>
          <w:rFonts w:ascii="Gill Sans MT" w:hAnsi="Gill Sans MT"/>
          <w:sz w:val="20"/>
          <w:lang w:val="en-GB"/>
        </w:rPr>
        <w:t xml:space="preserve"> analyses the findings and conclusions of the three evaluations relating to middle income countries </w:t>
      </w:r>
      <w:r w:rsidR="00F37CDF">
        <w:rPr>
          <w:rFonts w:ascii="Gill Sans MT" w:hAnsi="Gill Sans MT"/>
          <w:sz w:val="20"/>
          <w:lang w:val="en-GB"/>
        </w:rPr>
        <w:t xml:space="preserve">(MICs) </w:t>
      </w:r>
      <w:r>
        <w:rPr>
          <w:rFonts w:ascii="Gill Sans MT" w:hAnsi="Gill Sans MT"/>
          <w:sz w:val="20"/>
          <w:lang w:val="en-GB"/>
        </w:rPr>
        <w:t xml:space="preserve">– Morocco, South Africa and Tunisia. It follows the same structure as Chapter 2, </w:t>
      </w:r>
      <w:r w:rsidR="00441F39">
        <w:rPr>
          <w:rFonts w:ascii="Gill Sans MT" w:hAnsi="Gill Sans MT"/>
          <w:sz w:val="20"/>
          <w:lang w:val="en-GB"/>
        </w:rPr>
        <w:t>closing with some hypotheses regarding the effects of b</w:t>
      </w:r>
      <w:r w:rsidR="004B17A2">
        <w:rPr>
          <w:rFonts w:ascii="Gill Sans MT" w:hAnsi="Gill Sans MT"/>
          <w:sz w:val="20"/>
          <w:lang w:val="en-GB"/>
        </w:rPr>
        <w:t>udget support in such countries</w:t>
      </w:r>
      <w:r w:rsidR="00441F39">
        <w:rPr>
          <w:rFonts w:ascii="Gill Sans MT" w:hAnsi="Gill Sans MT"/>
          <w:sz w:val="20"/>
          <w:lang w:val="en-GB"/>
        </w:rPr>
        <w:t xml:space="preserve">. </w:t>
      </w:r>
    </w:p>
    <w:p w14:paraId="6623EC75" w14:textId="5159805D" w:rsidR="005110D2" w:rsidRDefault="005110D2" w:rsidP="00D81DB3">
      <w:pPr>
        <w:pStyle w:val="BodyText"/>
        <w:numPr>
          <w:ilvl w:val="0"/>
          <w:numId w:val="8"/>
        </w:numPr>
        <w:spacing w:line="360" w:lineRule="auto"/>
        <w:rPr>
          <w:rFonts w:ascii="Gill Sans MT" w:hAnsi="Gill Sans MT"/>
          <w:sz w:val="20"/>
          <w:lang w:val="en-GB"/>
        </w:rPr>
      </w:pPr>
      <w:r w:rsidRPr="005110D2">
        <w:rPr>
          <w:rFonts w:ascii="Gill Sans MT" w:hAnsi="Gill Sans MT"/>
          <w:b/>
          <w:color w:val="660066"/>
          <w:sz w:val="20"/>
          <w:lang w:val="en-GB"/>
        </w:rPr>
        <w:t>Chapter 4</w:t>
      </w:r>
      <w:r>
        <w:rPr>
          <w:rFonts w:ascii="Gill Sans MT" w:hAnsi="Gill Sans MT"/>
          <w:sz w:val="20"/>
          <w:lang w:val="en-GB"/>
        </w:rPr>
        <w:t xml:space="preserve"> summarises t</w:t>
      </w:r>
      <w:r w:rsidR="00CD5698">
        <w:rPr>
          <w:rFonts w:ascii="Gill Sans MT" w:hAnsi="Gill Sans MT"/>
          <w:sz w:val="20"/>
          <w:lang w:val="en-GB"/>
        </w:rPr>
        <w:t xml:space="preserve">he lessons learned from </w:t>
      </w:r>
      <w:r w:rsidR="0012507C">
        <w:rPr>
          <w:rFonts w:ascii="Gill Sans MT" w:hAnsi="Gill Sans MT"/>
          <w:sz w:val="20"/>
          <w:lang w:val="en-GB"/>
        </w:rPr>
        <w:t>these seven count</w:t>
      </w:r>
      <w:r w:rsidR="00F37CDF">
        <w:rPr>
          <w:rFonts w:ascii="Gill Sans MT" w:hAnsi="Gill Sans MT"/>
          <w:sz w:val="20"/>
          <w:lang w:val="en-GB"/>
        </w:rPr>
        <w:t>ries</w:t>
      </w:r>
      <w:r w:rsidR="00CD5698">
        <w:rPr>
          <w:rFonts w:ascii="Gill Sans MT" w:hAnsi="Gill Sans MT"/>
          <w:sz w:val="20"/>
          <w:lang w:val="en-GB"/>
        </w:rPr>
        <w:t xml:space="preserve">. It concludes with </w:t>
      </w:r>
      <w:r w:rsidRPr="0033188E">
        <w:rPr>
          <w:rFonts w:ascii="Gill Sans MT" w:hAnsi="Gill Sans MT"/>
          <w:sz w:val="20"/>
          <w:lang w:val="en-GB"/>
        </w:rPr>
        <w:t>recommendations regarding the future design and management of budget support.</w:t>
      </w:r>
    </w:p>
    <w:p w14:paraId="0B332ADC" w14:textId="77777777" w:rsidR="00573B4F" w:rsidRDefault="00573B4F" w:rsidP="00D81DB3">
      <w:pPr>
        <w:pStyle w:val="BodyText"/>
        <w:numPr>
          <w:ilvl w:val="0"/>
          <w:numId w:val="8"/>
        </w:numPr>
        <w:spacing w:line="360" w:lineRule="auto"/>
        <w:rPr>
          <w:rFonts w:ascii="Gill Sans MT" w:hAnsi="Gill Sans MT"/>
          <w:sz w:val="20"/>
          <w:lang w:val="en-GB"/>
        </w:rPr>
      </w:pPr>
      <w:r>
        <w:rPr>
          <w:rFonts w:ascii="Gill Sans MT" w:hAnsi="Gill Sans MT"/>
          <w:b/>
          <w:color w:val="660066"/>
          <w:sz w:val="20"/>
          <w:lang w:val="en-GB"/>
        </w:rPr>
        <w:t xml:space="preserve">The Annexes </w:t>
      </w:r>
      <w:r>
        <w:rPr>
          <w:rFonts w:ascii="Gill Sans MT" w:hAnsi="Gill Sans MT"/>
          <w:sz w:val="20"/>
          <w:lang w:val="en-GB"/>
        </w:rPr>
        <w:t>contain additional material to support the analysis in the text</w:t>
      </w:r>
      <w:r w:rsidRPr="00573B4F">
        <w:rPr>
          <w:rFonts w:ascii="Gill Sans MT" w:hAnsi="Gill Sans MT"/>
          <w:sz w:val="20"/>
          <w:lang w:val="en-GB"/>
        </w:rPr>
        <w:t>:</w:t>
      </w:r>
    </w:p>
    <w:p w14:paraId="44FFF20B" w14:textId="77777777" w:rsidR="00573B4F" w:rsidRDefault="00573B4F" w:rsidP="00573B4F">
      <w:pPr>
        <w:pStyle w:val="BodyText"/>
        <w:numPr>
          <w:ilvl w:val="1"/>
          <w:numId w:val="8"/>
        </w:numPr>
        <w:spacing w:line="360" w:lineRule="auto"/>
        <w:rPr>
          <w:rFonts w:ascii="Gill Sans MT" w:hAnsi="Gill Sans MT"/>
          <w:sz w:val="20"/>
          <w:lang w:val="en-GB"/>
        </w:rPr>
      </w:pPr>
      <w:r>
        <w:rPr>
          <w:rFonts w:ascii="Gill Sans MT" w:hAnsi="Gill Sans MT"/>
          <w:b/>
          <w:color w:val="660066"/>
          <w:sz w:val="20"/>
          <w:lang w:val="en-GB"/>
        </w:rPr>
        <w:t xml:space="preserve">Annex One: </w:t>
      </w:r>
      <w:r w:rsidRPr="00573B4F">
        <w:rPr>
          <w:rFonts w:ascii="Gill Sans MT" w:hAnsi="Gill Sans MT"/>
          <w:sz w:val="20"/>
          <w:lang w:val="en-GB"/>
        </w:rPr>
        <w:t>Listing of Country evaluations undertaken of Budget Support</w:t>
      </w:r>
      <w:r>
        <w:rPr>
          <w:rFonts w:ascii="Gill Sans MT" w:hAnsi="Gill Sans MT"/>
          <w:sz w:val="20"/>
          <w:lang w:val="en-GB"/>
        </w:rPr>
        <w:t>;</w:t>
      </w:r>
    </w:p>
    <w:p w14:paraId="29F56BB6" w14:textId="77777777" w:rsidR="00573B4F" w:rsidRDefault="00573B4F" w:rsidP="00573B4F">
      <w:pPr>
        <w:pStyle w:val="BodyText"/>
        <w:numPr>
          <w:ilvl w:val="1"/>
          <w:numId w:val="8"/>
        </w:numPr>
        <w:spacing w:line="360" w:lineRule="auto"/>
        <w:rPr>
          <w:rFonts w:ascii="Gill Sans MT" w:hAnsi="Gill Sans MT"/>
          <w:sz w:val="20"/>
          <w:lang w:val="en-GB"/>
        </w:rPr>
      </w:pPr>
      <w:r>
        <w:rPr>
          <w:rFonts w:ascii="Gill Sans MT" w:hAnsi="Gill Sans MT"/>
          <w:b/>
          <w:color w:val="660066"/>
          <w:sz w:val="20"/>
          <w:lang w:val="en-GB"/>
        </w:rPr>
        <w:t>Annex Two:</w:t>
      </w:r>
      <w:r>
        <w:rPr>
          <w:rFonts w:ascii="Gill Sans MT" w:hAnsi="Gill Sans MT"/>
          <w:sz w:val="20"/>
          <w:lang w:val="en-GB"/>
        </w:rPr>
        <w:t xml:space="preserve"> Overview of the “3 Step Approach”;</w:t>
      </w:r>
    </w:p>
    <w:p w14:paraId="4731E52E" w14:textId="77777777" w:rsidR="00573B4F" w:rsidRDefault="00573B4F" w:rsidP="00573B4F">
      <w:pPr>
        <w:pStyle w:val="BodyText"/>
        <w:numPr>
          <w:ilvl w:val="1"/>
          <w:numId w:val="8"/>
        </w:numPr>
        <w:spacing w:line="360" w:lineRule="auto"/>
        <w:rPr>
          <w:rFonts w:ascii="Gill Sans MT" w:hAnsi="Gill Sans MT"/>
          <w:sz w:val="20"/>
          <w:lang w:val="en-GB"/>
        </w:rPr>
      </w:pPr>
      <w:r>
        <w:rPr>
          <w:rFonts w:ascii="Gill Sans MT" w:hAnsi="Gill Sans MT"/>
          <w:b/>
          <w:color w:val="660066"/>
          <w:sz w:val="20"/>
          <w:lang w:val="en-GB"/>
        </w:rPr>
        <w:t>Annex Three:</w:t>
      </w:r>
      <w:r>
        <w:rPr>
          <w:rFonts w:ascii="Gill Sans MT" w:hAnsi="Gill Sans MT"/>
          <w:sz w:val="20"/>
          <w:lang w:val="en-GB"/>
        </w:rPr>
        <w:t xml:space="preserve"> Suspensions of Budget Support due to Underlying Principles: the cases of Mozambique, Tanzania and Zambia;</w:t>
      </w:r>
    </w:p>
    <w:p w14:paraId="6031FB2A" w14:textId="77777777" w:rsidR="00573B4F" w:rsidRDefault="00573B4F" w:rsidP="00573B4F">
      <w:pPr>
        <w:pStyle w:val="BodyText"/>
        <w:numPr>
          <w:ilvl w:val="1"/>
          <w:numId w:val="8"/>
        </w:numPr>
        <w:spacing w:line="360" w:lineRule="auto"/>
        <w:rPr>
          <w:rFonts w:ascii="Gill Sans MT" w:hAnsi="Gill Sans MT"/>
          <w:sz w:val="20"/>
          <w:lang w:val="en-GB"/>
        </w:rPr>
      </w:pPr>
      <w:r>
        <w:rPr>
          <w:rFonts w:ascii="Gill Sans MT" w:hAnsi="Gill Sans MT"/>
          <w:b/>
          <w:color w:val="660066"/>
          <w:sz w:val="20"/>
          <w:lang w:val="en-GB"/>
        </w:rPr>
        <w:t>Annex Four:</w:t>
      </w:r>
      <w:r>
        <w:rPr>
          <w:rFonts w:ascii="Gill Sans MT" w:hAnsi="Gill Sans MT"/>
          <w:sz w:val="20"/>
          <w:lang w:val="en-GB"/>
        </w:rPr>
        <w:t xml:space="preserve"> Effects of Variable/ Performance tranches: experience from Mozambique;</w:t>
      </w:r>
    </w:p>
    <w:p w14:paraId="787D51D9" w14:textId="77777777" w:rsidR="00573B4F" w:rsidRPr="0033188E" w:rsidRDefault="00573B4F" w:rsidP="00573B4F">
      <w:pPr>
        <w:pStyle w:val="BodyText"/>
        <w:numPr>
          <w:ilvl w:val="1"/>
          <w:numId w:val="8"/>
        </w:numPr>
        <w:spacing w:line="360" w:lineRule="auto"/>
        <w:rPr>
          <w:rFonts w:ascii="Gill Sans MT" w:hAnsi="Gill Sans MT"/>
          <w:sz w:val="20"/>
          <w:lang w:val="en-GB"/>
        </w:rPr>
      </w:pPr>
      <w:r>
        <w:rPr>
          <w:rFonts w:ascii="Gill Sans MT" w:hAnsi="Gill Sans MT"/>
          <w:b/>
          <w:color w:val="660066"/>
          <w:sz w:val="20"/>
          <w:lang w:val="en-GB"/>
        </w:rPr>
        <w:t>Annex Five:</w:t>
      </w:r>
      <w:r w:rsidR="00C23EBD">
        <w:rPr>
          <w:rFonts w:ascii="Gill Sans MT" w:hAnsi="Gill Sans MT"/>
          <w:sz w:val="20"/>
          <w:lang w:val="en-GB"/>
        </w:rPr>
        <w:t xml:space="preserve"> Comparing Budget Support with other modalities: evidence from </w:t>
      </w:r>
      <w:r>
        <w:rPr>
          <w:rFonts w:ascii="Gill Sans MT" w:hAnsi="Gill Sans MT"/>
          <w:sz w:val="20"/>
          <w:lang w:val="en-GB"/>
        </w:rPr>
        <w:t>Mozambique.</w:t>
      </w:r>
    </w:p>
    <w:p w14:paraId="7AB9D8A1" w14:textId="156D6722" w:rsidR="003D466E" w:rsidRDefault="005110D2" w:rsidP="00F37CDF">
      <w:pPr>
        <w:pStyle w:val="BodyText"/>
        <w:numPr>
          <w:ilvl w:val="0"/>
          <w:numId w:val="8"/>
        </w:numPr>
        <w:spacing w:line="360" w:lineRule="auto"/>
        <w:rPr>
          <w:rFonts w:ascii="Gill Sans MT" w:hAnsi="Gill Sans MT"/>
          <w:sz w:val="20"/>
          <w:lang w:val="en-GB"/>
        </w:rPr>
      </w:pPr>
      <w:r w:rsidRPr="005110D2">
        <w:rPr>
          <w:rFonts w:ascii="Gill Sans MT" w:hAnsi="Gill Sans MT"/>
          <w:b/>
          <w:color w:val="660066"/>
          <w:sz w:val="20"/>
          <w:lang w:val="en-GB"/>
        </w:rPr>
        <w:t>Volume Two</w:t>
      </w:r>
      <w:r w:rsidR="00CD5698">
        <w:rPr>
          <w:rFonts w:ascii="Gill Sans MT" w:hAnsi="Gill Sans MT"/>
          <w:b/>
          <w:color w:val="660066"/>
          <w:sz w:val="20"/>
          <w:lang w:val="en-GB"/>
        </w:rPr>
        <w:t xml:space="preserve">, </w:t>
      </w:r>
      <w:r w:rsidR="00CD5698" w:rsidRPr="00CD5698">
        <w:rPr>
          <w:rFonts w:ascii="Gill Sans MT" w:hAnsi="Gill Sans MT"/>
          <w:sz w:val="20"/>
          <w:lang w:val="en-GB"/>
        </w:rPr>
        <w:t>which comprises a separate report,</w:t>
      </w:r>
      <w:r w:rsidR="00CD5698">
        <w:rPr>
          <w:rFonts w:ascii="Gill Sans MT" w:hAnsi="Gill Sans MT"/>
          <w:sz w:val="20"/>
          <w:lang w:val="en-GB"/>
        </w:rPr>
        <w:t xml:space="preserve"> </w:t>
      </w:r>
      <w:r>
        <w:rPr>
          <w:rFonts w:ascii="Gill Sans MT" w:hAnsi="Gill Sans MT"/>
          <w:sz w:val="20"/>
          <w:lang w:val="en-GB"/>
        </w:rPr>
        <w:t xml:space="preserve">reviews the experience of applying the revised OECD-DAC </w:t>
      </w:r>
      <w:r w:rsidR="00CD5698">
        <w:rPr>
          <w:rFonts w:ascii="Gill Sans MT" w:hAnsi="Gill Sans MT"/>
          <w:sz w:val="20"/>
          <w:lang w:val="en-GB"/>
        </w:rPr>
        <w:t xml:space="preserve">methodological approach to GBS/ SBS </w:t>
      </w:r>
      <w:r>
        <w:rPr>
          <w:rFonts w:ascii="Gill Sans MT" w:hAnsi="Gill Sans MT"/>
          <w:sz w:val="20"/>
          <w:lang w:val="en-GB"/>
        </w:rPr>
        <w:t xml:space="preserve">evaluation </w:t>
      </w:r>
      <w:r w:rsidR="00CD5698">
        <w:rPr>
          <w:rFonts w:ascii="Gill Sans MT" w:hAnsi="Gill Sans MT"/>
          <w:sz w:val="20"/>
          <w:lang w:val="en-GB"/>
        </w:rPr>
        <w:t xml:space="preserve">and presents </w:t>
      </w:r>
      <w:r>
        <w:rPr>
          <w:rFonts w:ascii="Gill Sans MT" w:hAnsi="Gill Sans MT"/>
          <w:sz w:val="20"/>
          <w:lang w:val="en-GB"/>
        </w:rPr>
        <w:t>recommendations to improve its application in future.</w:t>
      </w:r>
    </w:p>
    <w:p w14:paraId="46B8A0C8" w14:textId="77777777" w:rsidR="00573B4F" w:rsidRPr="00F37CDF" w:rsidRDefault="00573B4F" w:rsidP="00573B4F">
      <w:pPr>
        <w:pStyle w:val="BodyText"/>
        <w:numPr>
          <w:ilvl w:val="0"/>
          <w:numId w:val="0"/>
        </w:numPr>
        <w:spacing w:line="360" w:lineRule="auto"/>
        <w:ind w:left="1219"/>
        <w:rPr>
          <w:rFonts w:ascii="Gill Sans MT" w:hAnsi="Gill Sans MT"/>
          <w:sz w:val="20"/>
          <w:lang w:val="en-GB"/>
        </w:rPr>
      </w:pPr>
    </w:p>
    <w:p w14:paraId="33FD0215" w14:textId="77777777" w:rsidR="00C8661F" w:rsidRDefault="00C8661F" w:rsidP="0038145C">
      <w:pPr>
        <w:pStyle w:val="BodyText"/>
        <w:numPr>
          <w:ilvl w:val="0"/>
          <w:numId w:val="2"/>
        </w:numPr>
        <w:spacing w:line="360" w:lineRule="auto"/>
        <w:ind w:left="499" w:hanging="357"/>
        <w:rPr>
          <w:rFonts w:ascii="Gill Sans MT" w:hAnsi="Gill Sans MT"/>
          <w:sz w:val="20"/>
          <w:lang w:val="en-GB"/>
        </w:rPr>
        <w:sectPr w:rsidR="00C8661F" w:rsidSect="00713B82">
          <w:pgSz w:w="11909" w:h="16834" w:code="9"/>
          <w:pgMar w:top="1440" w:right="1800" w:bottom="1440" w:left="1800" w:header="720" w:footer="720" w:gutter="0"/>
          <w:cols w:space="720"/>
          <w:docGrid w:linePitch="360"/>
        </w:sectPr>
      </w:pPr>
    </w:p>
    <w:p w14:paraId="0C45A8EA" w14:textId="77777777" w:rsidR="0009108F" w:rsidRPr="00B56E6C" w:rsidRDefault="00B56E6C" w:rsidP="00B56E6C">
      <w:pPr>
        <w:pStyle w:val="Heading1"/>
      </w:pPr>
      <w:bookmarkStart w:id="58" w:name="_Toc279848241"/>
      <w:r w:rsidRPr="00B56E6C">
        <w:lastRenderedPageBreak/>
        <w:t>2</w:t>
      </w:r>
      <w:r w:rsidR="0009108F" w:rsidRPr="00B56E6C">
        <w:t xml:space="preserve">. </w:t>
      </w:r>
      <w:r w:rsidR="00F60929" w:rsidRPr="00B56E6C">
        <w:t>Budget Support to Low Income Countries</w:t>
      </w:r>
      <w:bookmarkEnd w:id="58"/>
      <w:r w:rsidRPr="00B56E6C">
        <w:t xml:space="preserve"> </w:t>
      </w:r>
    </w:p>
    <w:p w14:paraId="676DBED8" w14:textId="77777777" w:rsidR="003111C7" w:rsidRDefault="003111C7" w:rsidP="00891216">
      <w:pPr>
        <w:pStyle w:val="BodyText"/>
        <w:numPr>
          <w:ilvl w:val="0"/>
          <w:numId w:val="2"/>
        </w:numPr>
        <w:spacing w:line="360" w:lineRule="auto"/>
        <w:rPr>
          <w:rFonts w:ascii="Gill Sans MT" w:hAnsi="Gill Sans MT"/>
          <w:sz w:val="20"/>
          <w:lang w:val="en-GB"/>
        </w:rPr>
      </w:pPr>
      <w:r>
        <w:rPr>
          <w:rFonts w:ascii="Gill Sans MT" w:hAnsi="Gill Sans MT"/>
          <w:sz w:val="20"/>
          <w:lang w:val="en-GB"/>
        </w:rPr>
        <w:t>This Chapter analyses the findings and conclusions of the fou</w:t>
      </w:r>
      <w:r w:rsidR="00DE028A">
        <w:rPr>
          <w:rFonts w:ascii="Gill Sans MT" w:hAnsi="Gill Sans MT"/>
          <w:sz w:val="20"/>
          <w:lang w:val="en-GB"/>
        </w:rPr>
        <w:t>r evaluations relating to Low Income C</w:t>
      </w:r>
      <w:r>
        <w:rPr>
          <w:rFonts w:ascii="Gill Sans MT" w:hAnsi="Gill Sans MT"/>
          <w:sz w:val="20"/>
          <w:lang w:val="en-GB"/>
        </w:rPr>
        <w:t>ountries – Mali, Mozambique, Tanzania and Zambia</w:t>
      </w:r>
      <w:r w:rsidR="007162D2">
        <w:rPr>
          <w:rStyle w:val="FootnoteReference"/>
          <w:rFonts w:ascii="Gill Sans MT" w:hAnsi="Gill Sans MT"/>
          <w:sz w:val="20"/>
          <w:lang w:val="en-GB"/>
        </w:rPr>
        <w:footnoteReference w:id="8"/>
      </w:r>
      <w:r>
        <w:rPr>
          <w:rFonts w:ascii="Gill Sans MT" w:hAnsi="Gill Sans MT"/>
          <w:sz w:val="20"/>
          <w:lang w:val="en-GB"/>
        </w:rPr>
        <w:t xml:space="preserve">. It is presented in four sub-sections. The first three cover respectively the Context (C) in which budget support has been provided, the </w:t>
      </w:r>
      <w:r w:rsidR="00FF59BE">
        <w:rPr>
          <w:rFonts w:ascii="Gill Sans MT" w:hAnsi="Gill Sans MT"/>
          <w:sz w:val="20"/>
          <w:lang w:val="en-GB"/>
        </w:rPr>
        <w:t>Mechanisms (M) utilised for its provision</w:t>
      </w:r>
      <w:r>
        <w:rPr>
          <w:rFonts w:ascii="Gill Sans MT" w:hAnsi="Gill Sans MT"/>
          <w:sz w:val="20"/>
          <w:lang w:val="en-GB"/>
        </w:rPr>
        <w:t xml:space="preserve">, and the </w:t>
      </w:r>
      <w:r w:rsidR="00FF59BE">
        <w:rPr>
          <w:rFonts w:ascii="Gill Sans MT" w:hAnsi="Gill Sans MT"/>
          <w:sz w:val="20"/>
          <w:lang w:val="en-GB"/>
        </w:rPr>
        <w:t>main Outcomes (O) achieved</w:t>
      </w:r>
      <w:r>
        <w:rPr>
          <w:rFonts w:ascii="Gill Sans MT" w:hAnsi="Gill Sans MT"/>
          <w:sz w:val="20"/>
          <w:lang w:val="en-GB"/>
        </w:rPr>
        <w:t>. A final section, then examines these C-M-O combinations together i</w:t>
      </w:r>
      <w:r w:rsidR="006F7FC7">
        <w:rPr>
          <w:rFonts w:ascii="Gill Sans MT" w:hAnsi="Gill Sans MT"/>
          <w:sz w:val="20"/>
          <w:lang w:val="en-GB"/>
        </w:rPr>
        <w:t>n order to derive some hypotheses</w:t>
      </w:r>
      <w:r>
        <w:rPr>
          <w:rFonts w:ascii="Gill Sans MT" w:hAnsi="Gill Sans MT"/>
          <w:sz w:val="20"/>
          <w:lang w:val="en-GB"/>
        </w:rPr>
        <w:t xml:space="preserve"> regarding the effects of budget support in lower income countries.</w:t>
      </w:r>
    </w:p>
    <w:p w14:paraId="783F5A41" w14:textId="77777777" w:rsidR="00D341AD" w:rsidRPr="00B56E6C" w:rsidRDefault="00B56E6C" w:rsidP="00B56E6C">
      <w:pPr>
        <w:pStyle w:val="Heading2"/>
        <w:rPr>
          <w:bCs w:val="0"/>
        </w:rPr>
      </w:pPr>
      <w:bookmarkStart w:id="59" w:name="_Toc279848242"/>
      <w:r>
        <w:rPr>
          <w:bCs w:val="0"/>
        </w:rPr>
        <w:t xml:space="preserve">2.1 </w:t>
      </w:r>
      <w:r w:rsidR="00F60929" w:rsidRPr="00B56E6C">
        <w:rPr>
          <w:bCs w:val="0"/>
        </w:rPr>
        <w:t>The context for Budget Support</w:t>
      </w:r>
      <w:bookmarkEnd w:id="59"/>
    </w:p>
    <w:p w14:paraId="31765E22" w14:textId="77777777" w:rsidR="00D4165B" w:rsidRDefault="00DB18AC" w:rsidP="00D341AD">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In this section, we examine</w:t>
      </w:r>
      <w:r w:rsidR="00DE028A">
        <w:rPr>
          <w:rFonts w:ascii="Gill Sans MT" w:hAnsi="Gill Sans MT"/>
          <w:sz w:val="20"/>
          <w:lang w:val="en-GB"/>
        </w:rPr>
        <w:t xml:space="preserve"> the contex</w:t>
      </w:r>
      <w:r w:rsidR="00D22EC6">
        <w:rPr>
          <w:rFonts w:ascii="Gill Sans MT" w:hAnsi="Gill Sans MT"/>
          <w:sz w:val="20"/>
          <w:lang w:val="en-GB"/>
        </w:rPr>
        <w:t xml:space="preserve">t for budget support in </w:t>
      </w:r>
      <w:r w:rsidR="00DE028A">
        <w:rPr>
          <w:rFonts w:ascii="Gill Sans MT" w:hAnsi="Gill Sans MT"/>
          <w:sz w:val="20"/>
          <w:lang w:val="en-GB"/>
        </w:rPr>
        <w:t>the four countries, based on an analysis of data relating to (</w:t>
      </w:r>
      <w:proofErr w:type="spellStart"/>
      <w:r w:rsidR="00DE028A">
        <w:rPr>
          <w:rFonts w:ascii="Gill Sans MT" w:hAnsi="Gill Sans MT"/>
          <w:sz w:val="20"/>
          <w:lang w:val="en-GB"/>
        </w:rPr>
        <w:t>i</w:t>
      </w:r>
      <w:proofErr w:type="spellEnd"/>
      <w:r w:rsidR="00DE028A">
        <w:rPr>
          <w:rFonts w:ascii="Gill Sans MT" w:hAnsi="Gill Sans MT"/>
          <w:sz w:val="20"/>
          <w:lang w:val="en-GB"/>
        </w:rPr>
        <w:t>) economic and social indicators</w:t>
      </w:r>
      <w:r w:rsidR="007F7825">
        <w:rPr>
          <w:rFonts w:ascii="Gill Sans MT" w:hAnsi="Gill Sans MT"/>
          <w:sz w:val="20"/>
          <w:lang w:val="en-GB"/>
        </w:rPr>
        <w:t xml:space="preserve">, (ii) governance indicators, (iii) </w:t>
      </w:r>
      <w:r w:rsidR="00310228">
        <w:rPr>
          <w:rFonts w:ascii="Gill Sans MT" w:hAnsi="Gill Sans MT"/>
          <w:sz w:val="20"/>
          <w:lang w:val="en-GB"/>
        </w:rPr>
        <w:t>the political framework</w:t>
      </w:r>
      <w:r w:rsidR="007F7825">
        <w:rPr>
          <w:rFonts w:ascii="Gill Sans MT" w:hAnsi="Gill Sans MT"/>
          <w:sz w:val="20"/>
          <w:lang w:val="en-GB"/>
        </w:rPr>
        <w:t xml:space="preserve">, and </w:t>
      </w:r>
      <w:proofErr w:type="gramStart"/>
      <w:r w:rsidR="007F7825">
        <w:rPr>
          <w:rFonts w:ascii="Gill Sans MT" w:hAnsi="Gill Sans MT"/>
          <w:sz w:val="20"/>
          <w:lang w:val="en-GB"/>
        </w:rPr>
        <w:t>(iv)</w:t>
      </w:r>
      <w:r w:rsidR="00FF59BE">
        <w:rPr>
          <w:rFonts w:ascii="Gill Sans MT" w:hAnsi="Gill Sans MT"/>
          <w:sz w:val="20"/>
          <w:lang w:val="en-GB"/>
        </w:rPr>
        <w:t xml:space="preserve"> </w:t>
      </w:r>
      <w:r w:rsidR="00377E0D">
        <w:rPr>
          <w:rFonts w:ascii="Gill Sans MT" w:hAnsi="Gill Sans MT"/>
          <w:sz w:val="20"/>
          <w:lang w:val="en-GB"/>
        </w:rPr>
        <w:t>the</w:t>
      </w:r>
      <w:proofErr w:type="gramEnd"/>
      <w:r w:rsidR="00377E0D">
        <w:rPr>
          <w:rFonts w:ascii="Gill Sans MT" w:hAnsi="Gill Sans MT"/>
          <w:sz w:val="20"/>
          <w:lang w:val="en-GB"/>
        </w:rPr>
        <w:t xml:space="preserve"> nature of aid relations</w:t>
      </w:r>
      <w:r w:rsidR="007F7825">
        <w:rPr>
          <w:rFonts w:ascii="Gill Sans MT" w:hAnsi="Gill Sans MT"/>
          <w:sz w:val="20"/>
          <w:lang w:val="en-GB"/>
        </w:rPr>
        <w:t xml:space="preserve">. </w:t>
      </w:r>
      <w:r w:rsidR="00D4165B">
        <w:rPr>
          <w:rFonts w:ascii="Gill Sans MT" w:hAnsi="Gill Sans MT"/>
          <w:sz w:val="20"/>
          <w:lang w:val="en-GB"/>
        </w:rPr>
        <w:t>For the analysis of context, we have taken the year 2004 as the relevant year for comparison, being at or near the beginning of the evaluat</w:t>
      </w:r>
      <w:r w:rsidR="00D22EC6">
        <w:rPr>
          <w:rFonts w:ascii="Gill Sans MT" w:hAnsi="Gill Sans MT"/>
          <w:sz w:val="20"/>
          <w:lang w:val="en-GB"/>
        </w:rPr>
        <w:t>ion period for each country</w:t>
      </w:r>
      <w:r w:rsidR="00D4165B">
        <w:rPr>
          <w:rFonts w:ascii="Gill Sans MT" w:hAnsi="Gill Sans MT"/>
          <w:sz w:val="20"/>
          <w:lang w:val="en-GB"/>
        </w:rPr>
        <w:t xml:space="preserve">. </w:t>
      </w:r>
    </w:p>
    <w:p w14:paraId="25061532" w14:textId="77777777" w:rsidR="00D4165B" w:rsidRDefault="00111852" w:rsidP="00D341AD">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T</w:t>
      </w:r>
      <w:r w:rsidR="00D4165B" w:rsidRPr="00D4165B">
        <w:rPr>
          <w:rFonts w:ascii="Gill Sans MT" w:hAnsi="Gill Sans MT"/>
          <w:sz w:val="20"/>
          <w:lang w:val="en-GB"/>
        </w:rPr>
        <w:t>he presentation of the political and governance context is relatively weak in the evaluations, with the exception of the Mozambique and, to a lesser extent, the Zambia re</w:t>
      </w:r>
      <w:r w:rsidR="00D4165B">
        <w:rPr>
          <w:rFonts w:ascii="Gill Sans MT" w:hAnsi="Gill Sans MT"/>
          <w:sz w:val="20"/>
          <w:lang w:val="en-GB"/>
        </w:rPr>
        <w:t xml:space="preserve">ports. It would be </w:t>
      </w:r>
      <w:r w:rsidR="00D4165B" w:rsidRPr="00D4165B">
        <w:rPr>
          <w:rFonts w:ascii="Gill Sans MT" w:hAnsi="Gill Sans MT"/>
          <w:sz w:val="20"/>
          <w:lang w:val="en-GB"/>
        </w:rPr>
        <w:t>appropriate for future evaluations to dedicate more ti</w:t>
      </w:r>
      <w:r w:rsidR="00D4165B">
        <w:rPr>
          <w:rFonts w:ascii="Gill Sans MT" w:hAnsi="Gill Sans MT"/>
          <w:sz w:val="20"/>
          <w:lang w:val="en-GB"/>
        </w:rPr>
        <w:t xml:space="preserve">me to such analysis and to provide certain internationally comparable </w:t>
      </w:r>
      <w:r w:rsidR="00D4165B" w:rsidRPr="00D4165B">
        <w:rPr>
          <w:rFonts w:ascii="Gill Sans MT" w:hAnsi="Gill Sans MT"/>
          <w:sz w:val="20"/>
          <w:lang w:val="en-GB"/>
        </w:rPr>
        <w:t xml:space="preserve">data (such </w:t>
      </w:r>
      <w:r w:rsidR="00D4165B">
        <w:rPr>
          <w:rFonts w:ascii="Gill Sans MT" w:hAnsi="Gill Sans MT"/>
          <w:sz w:val="20"/>
          <w:lang w:val="en-GB"/>
        </w:rPr>
        <w:t xml:space="preserve">as WGI indicators) as a standard </w:t>
      </w:r>
      <w:r w:rsidR="00D4165B" w:rsidRPr="00D4165B">
        <w:rPr>
          <w:rFonts w:ascii="Gill Sans MT" w:hAnsi="Gill Sans MT"/>
          <w:sz w:val="20"/>
          <w:lang w:val="en-GB"/>
        </w:rPr>
        <w:t>requirement</w:t>
      </w:r>
      <w:r w:rsidR="00D4165B">
        <w:rPr>
          <w:rFonts w:ascii="Gill Sans MT" w:hAnsi="Gill Sans MT"/>
          <w:sz w:val="20"/>
          <w:lang w:val="en-GB"/>
        </w:rPr>
        <w:t xml:space="preserve">. Hence, the relatively simple analysis here presented </w:t>
      </w:r>
      <w:r w:rsidR="00883F28">
        <w:rPr>
          <w:rFonts w:ascii="Gill Sans MT" w:hAnsi="Gill Sans MT"/>
          <w:sz w:val="20"/>
          <w:lang w:val="en-GB"/>
        </w:rPr>
        <w:t xml:space="preserve">provides only an indication of the subjects to be covered in </w:t>
      </w:r>
      <w:r w:rsidR="00D4165B">
        <w:rPr>
          <w:rFonts w:ascii="Gill Sans MT" w:hAnsi="Gill Sans MT"/>
          <w:sz w:val="20"/>
          <w:lang w:val="en-GB"/>
        </w:rPr>
        <w:t>future evaluations, which s</w:t>
      </w:r>
      <w:r w:rsidR="00883F28">
        <w:rPr>
          <w:rFonts w:ascii="Gill Sans MT" w:hAnsi="Gill Sans MT"/>
          <w:sz w:val="20"/>
          <w:lang w:val="en-GB"/>
        </w:rPr>
        <w:t>hould normally also include more in-depth</w:t>
      </w:r>
      <w:r w:rsidR="00D4165B">
        <w:rPr>
          <w:rFonts w:ascii="Gill Sans MT" w:hAnsi="Gill Sans MT"/>
          <w:sz w:val="20"/>
          <w:lang w:val="en-GB"/>
        </w:rPr>
        <w:t xml:space="preserve"> political economy analysis of the public administration system.</w:t>
      </w:r>
      <w:r w:rsidR="00D22EC6">
        <w:rPr>
          <w:rFonts w:ascii="Gill Sans MT" w:hAnsi="Gill Sans MT"/>
          <w:sz w:val="20"/>
          <w:lang w:val="en-GB"/>
        </w:rPr>
        <w:t xml:space="preserve"> Feasibility and design work for budget support operations should also include a similar scope of analysis. </w:t>
      </w:r>
    </w:p>
    <w:p w14:paraId="7567E6A5" w14:textId="77777777" w:rsidR="00D22EC6" w:rsidRPr="00D22EC6" w:rsidRDefault="00D22EC6" w:rsidP="00D22EC6">
      <w:pPr>
        <w:pStyle w:val="Heading3"/>
      </w:pPr>
      <w:r>
        <w:t>Economic &amp; Social indicators</w:t>
      </w:r>
    </w:p>
    <w:p w14:paraId="2E082CB9" w14:textId="77777777" w:rsidR="00D22EC6" w:rsidRDefault="00D22EC6" w:rsidP="00D22EC6">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As may be seen from Table 2</w:t>
      </w:r>
      <w:r w:rsidRPr="00372CF5">
        <w:rPr>
          <w:rFonts w:ascii="Gill Sans MT" w:hAnsi="Gill Sans MT"/>
          <w:sz w:val="20"/>
          <w:lang w:val="en-GB"/>
        </w:rPr>
        <w:t xml:space="preserve">, </w:t>
      </w:r>
      <w:r>
        <w:rPr>
          <w:rFonts w:ascii="Gill Sans MT" w:hAnsi="Gill Sans MT"/>
          <w:sz w:val="20"/>
          <w:lang w:val="en-GB"/>
        </w:rPr>
        <w:t xml:space="preserve">at the outset of the evaluation period, Mali, Mozambique, Tanzania and Zambia all had per capita incomes and HDI scores below the average for Sub-Saharan Africa. Despite having a higher per capita income, Zambia had a much higher poverty headcount than the other three countries, a fact also reflected in a high prevalence of malnutrition. On the other hand, Zambia enjoyed the highest levels of literacy and of net primary enrolment of the four countries – two indicators for which Mali ranked especially low. Mozambique and Zambia had lower levels of life expectancy in 2004, probably reflecting their higher levels of incidence of HIV-AIDS. </w:t>
      </w:r>
    </w:p>
    <w:p w14:paraId="0AA87486" w14:textId="77777777" w:rsidR="00883F28" w:rsidRPr="00883F28" w:rsidRDefault="00883F28" w:rsidP="00883F28">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While the contextual differences relating to economic and social indicators are relatively small</w:t>
      </w:r>
      <w:r w:rsidR="00B12F05">
        <w:rPr>
          <w:rFonts w:ascii="Gill Sans MT" w:hAnsi="Gill Sans MT"/>
          <w:sz w:val="20"/>
          <w:lang w:val="en-GB"/>
        </w:rPr>
        <w:t>, it</w:t>
      </w:r>
      <w:r>
        <w:rPr>
          <w:rFonts w:ascii="Gill Sans MT" w:hAnsi="Gill Sans MT"/>
          <w:sz w:val="20"/>
          <w:lang w:val="en-GB"/>
        </w:rPr>
        <w:t xml:space="preserve"> would be legitimate to group Mali and Mozambique together, while distinguishing Tanzania </w:t>
      </w:r>
      <w:r>
        <w:rPr>
          <w:rFonts w:ascii="Gill Sans MT" w:hAnsi="Gill Sans MT"/>
          <w:sz w:val="20"/>
          <w:lang w:val="en-GB"/>
        </w:rPr>
        <w:lastRenderedPageBreak/>
        <w:t xml:space="preserve">due to its more favourable poverty and social indicators, and Zambia due to its higher per capita incomes. Table 3 below prevents this simple categorisation. </w:t>
      </w:r>
    </w:p>
    <w:p w14:paraId="7B8AFECF" w14:textId="77777777" w:rsidR="004768BB" w:rsidRPr="00D22EC6" w:rsidRDefault="00D22EC6" w:rsidP="00D22EC6">
      <w:pPr>
        <w:pStyle w:val="Caption"/>
        <w:jc w:val="center"/>
        <w:rPr>
          <w:lang w:val="en-GB"/>
        </w:rPr>
      </w:pPr>
      <w:bookmarkStart w:id="60" w:name="_Toc279848282"/>
      <w:r w:rsidRPr="00D22EC6">
        <w:rPr>
          <w:lang w:val="en-GB"/>
        </w:rPr>
        <w:t xml:space="preserve">Table </w:t>
      </w:r>
      <w:r w:rsidRPr="00D22EC6">
        <w:rPr>
          <w:lang w:val="en-GB"/>
        </w:rPr>
        <w:fldChar w:fldCharType="begin"/>
      </w:r>
      <w:r w:rsidRPr="00D22EC6">
        <w:rPr>
          <w:lang w:val="en-GB"/>
        </w:rPr>
        <w:instrText xml:space="preserve"> SEQ Table \* ARABIC </w:instrText>
      </w:r>
      <w:r w:rsidRPr="00D22EC6">
        <w:rPr>
          <w:lang w:val="en-GB"/>
        </w:rPr>
        <w:fldChar w:fldCharType="separate"/>
      </w:r>
      <w:r w:rsidR="00967582">
        <w:rPr>
          <w:noProof/>
          <w:lang w:val="en-GB"/>
        </w:rPr>
        <w:t>2</w:t>
      </w:r>
      <w:r w:rsidRPr="00D22EC6">
        <w:rPr>
          <w:lang w:val="en-GB"/>
        </w:rPr>
        <w:fldChar w:fldCharType="end"/>
      </w:r>
      <w:r w:rsidR="004768BB" w:rsidRPr="00D22EC6">
        <w:rPr>
          <w:lang w:val="en-GB"/>
        </w:rPr>
        <w:t>: Economic and Social Indicators for the Low Income Countries, 2004</w:t>
      </w:r>
      <w:bookmarkEnd w:id="60"/>
    </w:p>
    <w:p w14:paraId="1E5E4C01" w14:textId="77777777" w:rsidR="004768BB" w:rsidRDefault="00881946" w:rsidP="004768BB">
      <w:pPr>
        <w:rPr>
          <w:lang w:val="en-GB"/>
        </w:rPr>
      </w:pPr>
      <w:r w:rsidRPr="00881946">
        <w:rPr>
          <w:noProof/>
          <w:lang w:val="en-US"/>
        </w:rPr>
        <w:drawing>
          <wp:inline distT="0" distB="0" distL="0" distR="0" wp14:anchorId="7AD9DAEC" wp14:editId="67E12BB6">
            <wp:extent cx="5500554" cy="2518833"/>
            <wp:effectExtent l="0" t="0" r="1143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04932" cy="2520838"/>
                    </a:xfrm>
                    <a:prstGeom prst="rect">
                      <a:avLst/>
                    </a:prstGeom>
                    <a:noFill/>
                    <a:ln>
                      <a:noFill/>
                    </a:ln>
                  </pic:spPr>
                </pic:pic>
              </a:graphicData>
            </a:graphic>
          </wp:inline>
        </w:drawing>
      </w:r>
    </w:p>
    <w:p w14:paraId="22967F22" w14:textId="77777777" w:rsidR="00881946" w:rsidRDefault="00881946" w:rsidP="004768BB">
      <w:pPr>
        <w:rPr>
          <w:rFonts w:ascii="Gill Sans MT" w:hAnsi="Gill Sans MT"/>
          <w:sz w:val="18"/>
          <w:szCs w:val="18"/>
          <w:u w:val="single"/>
          <w:lang w:val="en-GB"/>
        </w:rPr>
      </w:pPr>
    </w:p>
    <w:p w14:paraId="0297FABF" w14:textId="77777777" w:rsidR="00881946" w:rsidRPr="00881946" w:rsidRDefault="00881946" w:rsidP="004768BB">
      <w:pPr>
        <w:rPr>
          <w:rFonts w:ascii="Gill Sans MT" w:hAnsi="Gill Sans MT"/>
          <w:sz w:val="18"/>
          <w:szCs w:val="18"/>
          <w:lang w:val="en-GB"/>
        </w:rPr>
      </w:pPr>
      <w:r w:rsidRPr="00881946">
        <w:rPr>
          <w:rFonts w:ascii="Gill Sans MT" w:hAnsi="Gill Sans MT"/>
          <w:sz w:val="18"/>
          <w:szCs w:val="18"/>
          <w:u w:val="single"/>
          <w:lang w:val="en-GB"/>
        </w:rPr>
        <w:t>Sources</w:t>
      </w:r>
      <w:r w:rsidRPr="00881946">
        <w:rPr>
          <w:rFonts w:ascii="Gill Sans MT" w:hAnsi="Gill Sans MT"/>
          <w:sz w:val="18"/>
          <w:szCs w:val="18"/>
          <w:lang w:val="en-GB"/>
        </w:rPr>
        <w:t>: World Bank, World Development Indicators; United Nations, Human Development Index</w:t>
      </w:r>
      <w:r w:rsidR="00F719AA">
        <w:rPr>
          <w:rFonts w:ascii="Gill Sans MT" w:hAnsi="Gill Sans MT"/>
          <w:sz w:val="18"/>
          <w:szCs w:val="18"/>
          <w:lang w:val="en-GB"/>
        </w:rPr>
        <w:t>.</w:t>
      </w:r>
      <w:r w:rsidRPr="00881946">
        <w:rPr>
          <w:rFonts w:ascii="Gill Sans MT" w:hAnsi="Gill Sans MT"/>
          <w:sz w:val="18"/>
          <w:szCs w:val="18"/>
          <w:lang w:val="en-GB"/>
        </w:rPr>
        <w:t xml:space="preserve"> </w:t>
      </w:r>
    </w:p>
    <w:p w14:paraId="1B7B1821" w14:textId="77777777" w:rsidR="00883F28" w:rsidRDefault="00883F28" w:rsidP="00310228">
      <w:pPr>
        <w:pStyle w:val="Caption"/>
        <w:rPr>
          <w:lang w:val="en-GB"/>
        </w:rPr>
      </w:pPr>
    </w:p>
    <w:p w14:paraId="5C5959F1" w14:textId="77777777" w:rsidR="00D22EC6" w:rsidRDefault="00D22EC6" w:rsidP="00310228">
      <w:pPr>
        <w:pStyle w:val="Caption"/>
        <w:rPr>
          <w:lang w:val="en-GB"/>
        </w:rPr>
      </w:pPr>
      <w:bookmarkStart w:id="61" w:name="_Toc279848283"/>
      <w:r w:rsidRPr="00D22EC6">
        <w:rPr>
          <w:lang w:val="en-GB"/>
        </w:rPr>
        <w:t xml:space="preserve">Table </w:t>
      </w:r>
      <w:r w:rsidRPr="00D22EC6">
        <w:rPr>
          <w:lang w:val="en-GB"/>
        </w:rPr>
        <w:fldChar w:fldCharType="begin"/>
      </w:r>
      <w:r w:rsidRPr="00D22EC6">
        <w:rPr>
          <w:lang w:val="en-GB"/>
        </w:rPr>
        <w:instrText xml:space="preserve"> SEQ Table \* ARABIC </w:instrText>
      </w:r>
      <w:r w:rsidRPr="00D22EC6">
        <w:rPr>
          <w:lang w:val="en-GB"/>
        </w:rPr>
        <w:fldChar w:fldCharType="separate"/>
      </w:r>
      <w:r w:rsidR="00967582">
        <w:rPr>
          <w:noProof/>
          <w:lang w:val="en-GB"/>
        </w:rPr>
        <w:t>3</w:t>
      </w:r>
      <w:r w:rsidRPr="00D22EC6">
        <w:rPr>
          <w:lang w:val="en-GB"/>
        </w:rPr>
        <w:fldChar w:fldCharType="end"/>
      </w:r>
      <w:r w:rsidR="00BE2160" w:rsidRPr="00D22EC6">
        <w:rPr>
          <w:lang w:val="en-GB"/>
        </w:rPr>
        <w:t>: Si</w:t>
      </w:r>
      <w:r w:rsidR="001F3F8C" w:rsidRPr="00D22EC6">
        <w:rPr>
          <w:lang w:val="en-GB"/>
        </w:rPr>
        <w:t>mplified categorisation of the Socio-economic S</w:t>
      </w:r>
      <w:r w:rsidR="00BE2160" w:rsidRPr="00D22EC6">
        <w:rPr>
          <w:lang w:val="en-GB"/>
        </w:rPr>
        <w:t>tatus of the LIC countries, 2004</w:t>
      </w:r>
      <w:bookmarkEnd w:id="61"/>
    </w:p>
    <w:p w14:paraId="6ADC6CFB" w14:textId="77777777" w:rsidR="00310228" w:rsidRPr="008C51D1" w:rsidRDefault="00310228" w:rsidP="00310228">
      <w:pPr>
        <w:rPr>
          <w:lang w:val="en-GB"/>
        </w:rPr>
      </w:pPr>
    </w:p>
    <w:tbl>
      <w:tblPr>
        <w:tblStyle w:val="TableColorful3"/>
        <w:tblW w:w="0" w:type="auto"/>
        <w:tblLook w:val="04A0" w:firstRow="1" w:lastRow="0" w:firstColumn="1" w:lastColumn="0" w:noHBand="0" w:noVBand="1"/>
      </w:tblPr>
      <w:tblGrid>
        <w:gridCol w:w="2376"/>
        <w:gridCol w:w="993"/>
        <w:gridCol w:w="1847"/>
        <w:gridCol w:w="2132"/>
      </w:tblGrid>
      <w:tr w:rsidR="00BE2160" w:rsidRPr="00BE2160" w14:paraId="50FF47BE" w14:textId="77777777" w:rsidTr="0031022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76" w:type="dxa"/>
          </w:tcPr>
          <w:p w14:paraId="254DD1BF" w14:textId="77777777" w:rsidR="00BE2160" w:rsidRPr="00BE2160" w:rsidRDefault="00BE2160" w:rsidP="00BE2160">
            <w:pPr>
              <w:rPr>
                <w:rFonts w:ascii="Gill Sans MT" w:hAnsi="Gill Sans MT"/>
                <w:sz w:val="20"/>
                <w:szCs w:val="20"/>
                <w:lang w:val="en-GB"/>
              </w:rPr>
            </w:pPr>
          </w:p>
        </w:tc>
        <w:tc>
          <w:tcPr>
            <w:tcW w:w="993" w:type="dxa"/>
            <w:shd w:val="clear" w:color="008080" w:fill="CCC0D9" w:themeFill="accent4" w:themeFillTint="66"/>
          </w:tcPr>
          <w:p w14:paraId="357449E7" w14:textId="77777777" w:rsidR="00BE2160" w:rsidRPr="00BE2160" w:rsidRDefault="00BE2160" w:rsidP="00BE2160">
            <w:pPr>
              <w:cnfStyle w:val="100000000000" w:firstRow="1" w:lastRow="0" w:firstColumn="0" w:lastColumn="0" w:oddVBand="0" w:evenVBand="0" w:oddHBand="0" w:evenHBand="0" w:firstRowFirstColumn="0" w:firstRowLastColumn="0" w:lastRowFirstColumn="0" w:lastRowLastColumn="0"/>
              <w:rPr>
                <w:rFonts w:ascii="Gill Sans MT" w:hAnsi="Gill Sans MT"/>
                <w:sz w:val="20"/>
                <w:szCs w:val="20"/>
                <w:lang w:val="en-GB"/>
              </w:rPr>
            </w:pPr>
          </w:p>
        </w:tc>
        <w:tc>
          <w:tcPr>
            <w:tcW w:w="3979" w:type="dxa"/>
            <w:gridSpan w:val="2"/>
            <w:shd w:val="clear" w:color="008080" w:fill="CCC0D9" w:themeFill="accent4" w:themeFillTint="66"/>
          </w:tcPr>
          <w:p w14:paraId="494401A1" w14:textId="77777777" w:rsidR="00BE2160" w:rsidRPr="00275A8F" w:rsidRDefault="00BE2160" w:rsidP="00BE2160">
            <w:pPr>
              <w:jc w:val="center"/>
              <w:cnfStyle w:val="100000000000" w:firstRow="1" w:lastRow="0" w:firstColumn="0" w:lastColumn="0" w:oddVBand="0" w:evenVBand="0" w:oddHBand="0" w:evenHBand="0" w:firstRowFirstColumn="0" w:firstRowLastColumn="0" w:lastRowFirstColumn="0" w:lastRowLastColumn="0"/>
              <w:rPr>
                <w:rFonts w:ascii="Gill Sans MT" w:hAnsi="Gill Sans MT"/>
                <w:b/>
                <w:sz w:val="22"/>
                <w:szCs w:val="22"/>
                <w:lang w:val="en-GB"/>
              </w:rPr>
            </w:pPr>
            <w:r w:rsidRPr="00275A8F">
              <w:rPr>
                <w:rFonts w:ascii="Gill Sans MT" w:hAnsi="Gill Sans MT"/>
                <w:b/>
                <w:sz w:val="22"/>
                <w:szCs w:val="22"/>
                <w:lang w:val="en-GB"/>
              </w:rPr>
              <w:t>Per Capita Income</w:t>
            </w:r>
          </w:p>
        </w:tc>
      </w:tr>
      <w:tr w:rsidR="00BE2160" w:rsidRPr="00BE2160" w14:paraId="28298B1F" w14:textId="77777777" w:rsidTr="00310228">
        <w:tc>
          <w:tcPr>
            <w:cnfStyle w:val="001000000000" w:firstRow="0" w:lastRow="0" w:firstColumn="1" w:lastColumn="0" w:oddVBand="0" w:evenVBand="0" w:oddHBand="0" w:evenHBand="0" w:firstRowFirstColumn="0" w:firstRowLastColumn="0" w:lastRowFirstColumn="0" w:lastRowLastColumn="0"/>
            <w:tcW w:w="2376" w:type="dxa"/>
            <w:shd w:val="clear" w:color="008080" w:fill="CCC0D9" w:themeFill="accent4" w:themeFillTint="66"/>
          </w:tcPr>
          <w:p w14:paraId="6C701E16" w14:textId="77777777" w:rsidR="00BE2160" w:rsidRPr="00BE2160" w:rsidRDefault="00BE2160" w:rsidP="00BE2160">
            <w:pPr>
              <w:rPr>
                <w:rFonts w:ascii="Gill Sans MT" w:hAnsi="Gill Sans MT"/>
                <w:sz w:val="20"/>
                <w:szCs w:val="20"/>
                <w:lang w:val="en-GB"/>
              </w:rPr>
            </w:pPr>
          </w:p>
        </w:tc>
        <w:tc>
          <w:tcPr>
            <w:tcW w:w="993" w:type="dxa"/>
          </w:tcPr>
          <w:p w14:paraId="243F1892" w14:textId="77777777" w:rsidR="00BE2160" w:rsidRPr="00BE2160" w:rsidRDefault="00BE2160" w:rsidP="00BE2160">
            <w:pP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p>
        </w:tc>
        <w:tc>
          <w:tcPr>
            <w:tcW w:w="1847" w:type="dxa"/>
          </w:tcPr>
          <w:p w14:paraId="239E6624" w14:textId="77777777" w:rsidR="00BE2160" w:rsidRPr="00BE2160" w:rsidRDefault="00BE2160" w:rsidP="00BE2160">
            <w:pP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sidRPr="00BE2160">
              <w:rPr>
                <w:rFonts w:ascii="Gill Sans MT" w:hAnsi="Gill Sans MT"/>
                <w:i/>
                <w:sz w:val="20"/>
                <w:szCs w:val="20"/>
                <w:lang w:val="en-GB"/>
              </w:rPr>
              <w:t>Higher</w:t>
            </w:r>
          </w:p>
        </w:tc>
        <w:tc>
          <w:tcPr>
            <w:tcW w:w="2132" w:type="dxa"/>
          </w:tcPr>
          <w:p w14:paraId="0EC14966" w14:textId="77777777" w:rsidR="00BE2160" w:rsidRPr="00BE2160" w:rsidRDefault="00BE2160" w:rsidP="00BE2160">
            <w:pPr>
              <w:cnfStyle w:val="000000000000" w:firstRow="0" w:lastRow="0" w:firstColumn="0" w:lastColumn="0" w:oddVBand="0" w:evenVBand="0" w:oddHBand="0" w:evenHBand="0" w:firstRowFirstColumn="0" w:firstRowLastColumn="0" w:lastRowFirstColumn="0" w:lastRowLastColumn="0"/>
              <w:rPr>
                <w:rFonts w:ascii="Gill Sans MT" w:hAnsi="Gill Sans MT"/>
                <w:i/>
                <w:sz w:val="20"/>
                <w:szCs w:val="20"/>
                <w:lang w:val="en-GB"/>
              </w:rPr>
            </w:pPr>
            <w:r w:rsidRPr="00BE2160">
              <w:rPr>
                <w:rFonts w:ascii="Gill Sans MT" w:hAnsi="Gill Sans MT"/>
                <w:i/>
                <w:sz w:val="20"/>
                <w:szCs w:val="20"/>
                <w:lang w:val="en-GB"/>
              </w:rPr>
              <w:t>Lower</w:t>
            </w:r>
          </w:p>
        </w:tc>
      </w:tr>
      <w:tr w:rsidR="00BE2160" w:rsidRPr="00BE2160" w14:paraId="0727424D" w14:textId="77777777" w:rsidTr="00310228">
        <w:tc>
          <w:tcPr>
            <w:cnfStyle w:val="001000000000" w:firstRow="0" w:lastRow="0" w:firstColumn="1" w:lastColumn="0" w:oddVBand="0" w:evenVBand="0" w:oddHBand="0" w:evenHBand="0" w:firstRowFirstColumn="0" w:firstRowLastColumn="0" w:lastRowFirstColumn="0" w:lastRowLastColumn="0"/>
            <w:tcW w:w="2376" w:type="dxa"/>
            <w:vMerge w:val="restart"/>
            <w:shd w:val="clear" w:color="008080" w:fill="CCC0D9" w:themeFill="accent4" w:themeFillTint="66"/>
          </w:tcPr>
          <w:p w14:paraId="5CCAFF86" w14:textId="77777777" w:rsidR="00BE2160" w:rsidRPr="00275A8F" w:rsidRDefault="00BE2160" w:rsidP="00BE2160">
            <w:pPr>
              <w:rPr>
                <w:rFonts w:ascii="Gill Sans MT" w:hAnsi="Gill Sans MT"/>
                <w:b/>
                <w:sz w:val="22"/>
                <w:szCs w:val="22"/>
                <w:lang w:val="en-GB"/>
              </w:rPr>
            </w:pPr>
            <w:r w:rsidRPr="00275A8F">
              <w:rPr>
                <w:rFonts w:ascii="Gill Sans MT" w:hAnsi="Gill Sans MT"/>
                <w:b/>
                <w:sz w:val="22"/>
                <w:szCs w:val="22"/>
                <w:lang w:val="en-GB"/>
              </w:rPr>
              <w:t>Poverty &amp; social indicators</w:t>
            </w:r>
          </w:p>
        </w:tc>
        <w:tc>
          <w:tcPr>
            <w:tcW w:w="993" w:type="dxa"/>
          </w:tcPr>
          <w:p w14:paraId="72B99AA8" w14:textId="77777777" w:rsidR="00BE2160" w:rsidRDefault="00BE2160" w:rsidP="00BE2160">
            <w:pPr>
              <w:cnfStyle w:val="000000000000" w:firstRow="0" w:lastRow="0" w:firstColumn="0" w:lastColumn="0" w:oddVBand="0" w:evenVBand="0" w:oddHBand="0" w:evenHBand="0" w:firstRowFirstColumn="0" w:firstRowLastColumn="0" w:lastRowFirstColumn="0" w:lastRowLastColumn="0"/>
              <w:rPr>
                <w:rFonts w:ascii="Gill Sans MT" w:hAnsi="Gill Sans MT"/>
                <w:i/>
                <w:sz w:val="20"/>
                <w:szCs w:val="20"/>
                <w:lang w:val="en-GB"/>
              </w:rPr>
            </w:pPr>
            <w:r w:rsidRPr="00BE2160">
              <w:rPr>
                <w:rFonts w:ascii="Gill Sans MT" w:hAnsi="Gill Sans MT"/>
                <w:i/>
                <w:sz w:val="20"/>
                <w:szCs w:val="20"/>
                <w:lang w:val="en-GB"/>
              </w:rPr>
              <w:t>Higher</w:t>
            </w:r>
          </w:p>
          <w:p w14:paraId="556F1D36" w14:textId="77777777" w:rsidR="00BE2160" w:rsidRPr="00BE2160" w:rsidRDefault="00BE2160" w:rsidP="00BE2160">
            <w:pPr>
              <w:cnfStyle w:val="000000000000" w:firstRow="0" w:lastRow="0" w:firstColumn="0" w:lastColumn="0" w:oddVBand="0" w:evenVBand="0" w:oddHBand="0" w:evenHBand="0" w:firstRowFirstColumn="0" w:firstRowLastColumn="0" w:lastRowFirstColumn="0" w:lastRowLastColumn="0"/>
              <w:rPr>
                <w:rFonts w:ascii="Gill Sans MT" w:hAnsi="Gill Sans MT"/>
                <w:i/>
                <w:sz w:val="20"/>
                <w:szCs w:val="20"/>
                <w:lang w:val="en-GB"/>
              </w:rPr>
            </w:pPr>
          </w:p>
        </w:tc>
        <w:tc>
          <w:tcPr>
            <w:tcW w:w="1847" w:type="dxa"/>
            <w:shd w:val="pct25" w:color="008080" w:fill="auto"/>
          </w:tcPr>
          <w:p w14:paraId="22C075F6" w14:textId="77777777" w:rsidR="00BE2160" w:rsidRPr="00BE2160" w:rsidRDefault="00BE2160" w:rsidP="00BE2160">
            <w:pP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p>
        </w:tc>
        <w:tc>
          <w:tcPr>
            <w:tcW w:w="2132" w:type="dxa"/>
            <w:shd w:val="pct25" w:color="008080" w:fill="auto"/>
          </w:tcPr>
          <w:p w14:paraId="4C7A33EF" w14:textId="77777777" w:rsidR="00BE2160" w:rsidRPr="00275A8F" w:rsidRDefault="00BE2160" w:rsidP="00BE2160">
            <w:pPr>
              <w:cnfStyle w:val="000000000000" w:firstRow="0" w:lastRow="0" w:firstColumn="0" w:lastColumn="0" w:oddVBand="0" w:evenVBand="0" w:oddHBand="0" w:evenHBand="0" w:firstRowFirstColumn="0" w:firstRowLastColumn="0" w:lastRowFirstColumn="0" w:lastRowLastColumn="0"/>
              <w:rPr>
                <w:rFonts w:ascii="Gill Sans MT" w:hAnsi="Gill Sans MT"/>
                <w:b/>
                <w:sz w:val="20"/>
                <w:szCs w:val="20"/>
                <w:lang w:val="en-GB"/>
              </w:rPr>
            </w:pPr>
            <w:r w:rsidRPr="00275A8F">
              <w:rPr>
                <w:rFonts w:ascii="Gill Sans MT" w:hAnsi="Gill Sans MT"/>
                <w:b/>
                <w:sz w:val="20"/>
                <w:szCs w:val="20"/>
                <w:lang w:val="en-GB"/>
              </w:rPr>
              <w:t>TANZANIA</w:t>
            </w:r>
          </w:p>
        </w:tc>
      </w:tr>
      <w:tr w:rsidR="00BE2160" w:rsidRPr="00BE2160" w14:paraId="3851A423" w14:textId="77777777" w:rsidTr="00310228">
        <w:tc>
          <w:tcPr>
            <w:cnfStyle w:val="001000000000" w:firstRow="0" w:lastRow="0" w:firstColumn="1" w:lastColumn="0" w:oddVBand="0" w:evenVBand="0" w:oddHBand="0" w:evenHBand="0" w:firstRowFirstColumn="0" w:firstRowLastColumn="0" w:lastRowFirstColumn="0" w:lastRowLastColumn="0"/>
            <w:tcW w:w="2376" w:type="dxa"/>
            <w:vMerge/>
            <w:shd w:val="clear" w:color="008080" w:fill="CCC0D9" w:themeFill="accent4" w:themeFillTint="66"/>
          </w:tcPr>
          <w:p w14:paraId="08273BB9" w14:textId="77777777" w:rsidR="00BE2160" w:rsidRPr="00BE2160" w:rsidRDefault="00BE2160" w:rsidP="00BE2160">
            <w:pPr>
              <w:rPr>
                <w:rFonts w:ascii="Gill Sans MT" w:hAnsi="Gill Sans MT"/>
                <w:sz w:val="20"/>
                <w:szCs w:val="20"/>
                <w:lang w:val="en-GB"/>
              </w:rPr>
            </w:pPr>
          </w:p>
        </w:tc>
        <w:tc>
          <w:tcPr>
            <w:tcW w:w="993" w:type="dxa"/>
          </w:tcPr>
          <w:p w14:paraId="642AE113" w14:textId="77777777" w:rsidR="00BE2160" w:rsidRPr="00BE2160" w:rsidRDefault="00BE2160" w:rsidP="00BE2160">
            <w:pPr>
              <w:cnfStyle w:val="000000000000" w:firstRow="0" w:lastRow="0" w:firstColumn="0" w:lastColumn="0" w:oddVBand="0" w:evenVBand="0" w:oddHBand="0" w:evenHBand="0" w:firstRowFirstColumn="0" w:firstRowLastColumn="0" w:lastRowFirstColumn="0" w:lastRowLastColumn="0"/>
              <w:rPr>
                <w:rFonts w:ascii="Gill Sans MT" w:hAnsi="Gill Sans MT"/>
                <w:i/>
                <w:sz w:val="20"/>
                <w:szCs w:val="20"/>
                <w:lang w:val="en-GB"/>
              </w:rPr>
            </w:pPr>
            <w:r w:rsidRPr="00BE2160">
              <w:rPr>
                <w:rFonts w:ascii="Gill Sans MT" w:hAnsi="Gill Sans MT"/>
                <w:i/>
                <w:sz w:val="20"/>
                <w:szCs w:val="20"/>
                <w:lang w:val="en-GB"/>
              </w:rPr>
              <w:t>Lower</w:t>
            </w:r>
          </w:p>
        </w:tc>
        <w:tc>
          <w:tcPr>
            <w:tcW w:w="1847" w:type="dxa"/>
          </w:tcPr>
          <w:p w14:paraId="5C0990EF" w14:textId="77777777" w:rsidR="00BE2160" w:rsidRPr="00275A8F" w:rsidRDefault="00BE2160" w:rsidP="00BE2160">
            <w:pPr>
              <w:cnfStyle w:val="000000000000" w:firstRow="0" w:lastRow="0" w:firstColumn="0" w:lastColumn="0" w:oddVBand="0" w:evenVBand="0" w:oddHBand="0" w:evenHBand="0" w:firstRowFirstColumn="0" w:firstRowLastColumn="0" w:lastRowFirstColumn="0" w:lastRowLastColumn="0"/>
              <w:rPr>
                <w:rFonts w:ascii="Gill Sans MT" w:hAnsi="Gill Sans MT"/>
                <w:b/>
                <w:sz w:val="20"/>
                <w:szCs w:val="20"/>
                <w:lang w:val="en-GB"/>
              </w:rPr>
            </w:pPr>
            <w:r w:rsidRPr="00275A8F">
              <w:rPr>
                <w:rFonts w:ascii="Gill Sans MT" w:hAnsi="Gill Sans MT"/>
                <w:b/>
                <w:sz w:val="20"/>
                <w:szCs w:val="20"/>
                <w:lang w:val="en-GB"/>
              </w:rPr>
              <w:t>ZAMBIA</w:t>
            </w:r>
          </w:p>
        </w:tc>
        <w:tc>
          <w:tcPr>
            <w:tcW w:w="2132" w:type="dxa"/>
            <w:shd w:val="pct25" w:color="008080" w:fill="auto"/>
          </w:tcPr>
          <w:p w14:paraId="760A0467" w14:textId="77777777" w:rsidR="00BE2160" w:rsidRPr="00275A8F" w:rsidRDefault="00BE2160" w:rsidP="00BE2160">
            <w:pPr>
              <w:cnfStyle w:val="000000000000" w:firstRow="0" w:lastRow="0" w:firstColumn="0" w:lastColumn="0" w:oddVBand="0" w:evenVBand="0" w:oddHBand="0" w:evenHBand="0" w:firstRowFirstColumn="0" w:firstRowLastColumn="0" w:lastRowFirstColumn="0" w:lastRowLastColumn="0"/>
              <w:rPr>
                <w:rFonts w:ascii="Gill Sans MT" w:hAnsi="Gill Sans MT"/>
                <w:b/>
                <w:sz w:val="20"/>
                <w:szCs w:val="20"/>
                <w:lang w:val="en-GB"/>
              </w:rPr>
            </w:pPr>
            <w:r w:rsidRPr="00275A8F">
              <w:rPr>
                <w:rFonts w:ascii="Gill Sans MT" w:hAnsi="Gill Sans MT"/>
                <w:b/>
                <w:sz w:val="20"/>
                <w:szCs w:val="20"/>
                <w:lang w:val="en-GB"/>
              </w:rPr>
              <w:t>MALI</w:t>
            </w:r>
          </w:p>
          <w:p w14:paraId="7957CC9D" w14:textId="77777777" w:rsidR="00BE2160" w:rsidRPr="00BE2160" w:rsidRDefault="00BE2160" w:rsidP="00BE2160">
            <w:pP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sidRPr="00275A8F">
              <w:rPr>
                <w:rFonts w:ascii="Gill Sans MT" w:hAnsi="Gill Sans MT"/>
                <w:b/>
                <w:sz w:val="20"/>
                <w:szCs w:val="20"/>
                <w:lang w:val="en-GB"/>
              </w:rPr>
              <w:t>MOZAMBIQUE</w:t>
            </w:r>
          </w:p>
        </w:tc>
      </w:tr>
    </w:tbl>
    <w:p w14:paraId="2F12AB5B" w14:textId="77777777" w:rsidR="00BE2160" w:rsidRDefault="00BE2160" w:rsidP="00BE2160">
      <w:pPr>
        <w:rPr>
          <w:lang w:val="en-GB"/>
        </w:rPr>
      </w:pPr>
    </w:p>
    <w:p w14:paraId="7A449753" w14:textId="77777777" w:rsidR="00275A8F" w:rsidRPr="00BE2160" w:rsidRDefault="00275A8F" w:rsidP="00275A8F">
      <w:pPr>
        <w:pStyle w:val="Heading3"/>
      </w:pPr>
      <w:r>
        <w:t>Governance indicators</w:t>
      </w:r>
    </w:p>
    <w:p w14:paraId="346E401E" w14:textId="77777777" w:rsidR="00A9451E" w:rsidRDefault="001F3F8C" w:rsidP="00D341AD">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Our categorisation of the gov</w:t>
      </w:r>
      <w:r w:rsidR="00D87E1B">
        <w:rPr>
          <w:rFonts w:ascii="Gill Sans MT" w:hAnsi="Gill Sans MT"/>
          <w:sz w:val="20"/>
          <w:lang w:val="en-GB"/>
        </w:rPr>
        <w:t xml:space="preserve">ernance context is based </w:t>
      </w:r>
      <w:r>
        <w:rPr>
          <w:rFonts w:ascii="Gill Sans MT" w:hAnsi="Gill Sans MT"/>
          <w:sz w:val="20"/>
          <w:lang w:val="en-GB"/>
        </w:rPr>
        <w:t>on an analysis of the data generated by the World Bank’s Worldwide Governance Indicators</w:t>
      </w:r>
      <w:r w:rsidR="00BD6D6D">
        <w:rPr>
          <w:rFonts w:ascii="Gill Sans MT" w:hAnsi="Gill Sans MT"/>
          <w:sz w:val="20"/>
          <w:lang w:val="en-GB"/>
        </w:rPr>
        <w:t xml:space="preserve"> (WGI)</w:t>
      </w:r>
      <w:r w:rsidR="00BD6D6D">
        <w:rPr>
          <w:rStyle w:val="FootnoteReference"/>
          <w:rFonts w:ascii="Gill Sans MT" w:hAnsi="Gill Sans MT"/>
          <w:sz w:val="20"/>
          <w:lang w:val="en-GB"/>
        </w:rPr>
        <w:footnoteReference w:id="9"/>
      </w:r>
      <w:r>
        <w:rPr>
          <w:rFonts w:ascii="Gill Sans MT" w:hAnsi="Gill Sans MT"/>
          <w:sz w:val="20"/>
          <w:lang w:val="en-GB"/>
        </w:rPr>
        <w:t>. Clearly, this does not do justice to the complexity of the governance situation</w:t>
      </w:r>
      <w:r w:rsidR="00BD6D6D">
        <w:rPr>
          <w:rFonts w:ascii="Gill Sans MT" w:hAnsi="Gill Sans MT"/>
          <w:sz w:val="20"/>
          <w:lang w:val="en-GB"/>
        </w:rPr>
        <w:t xml:space="preserve"> </w:t>
      </w:r>
      <w:r>
        <w:rPr>
          <w:rFonts w:ascii="Gill Sans MT" w:hAnsi="Gill Sans MT"/>
          <w:sz w:val="20"/>
          <w:lang w:val="en-GB"/>
        </w:rPr>
        <w:t>in each of these countries</w:t>
      </w:r>
      <w:r w:rsidR="00F0633F">
        <w:rPr>
          <w:rFonts w:ascii="Gill Sans MT" w:hAnsi="Gill Sans MT"/>
          <w:sz w:val="20"/>
          <w:lang w:val="en-GB"/>
        </w:rPr>
        <w:t xml:space="preserve"> but it g</w:t>
      </w:r>
      <w:r w:rsidR="00BD6D6D">
        <w:rPr>
          <w:rFonts w:ascii="Gill Sans MT" w:hAnsi="Gill Sans MT"/>
          <w:sz w:val="20"/>
          <w:lang w:val="en-GB"/>
        </w:rPr>
        <w:t xml:space="preserve">ives a reasonable idea of </w:t>
      </w:r>
      <w:r w:rsidR="00F0633F">
        <w:rPr>
          <w:rFonts w:ascii="Gill Sans MT" w:hAnsi="Gill Sans MT"/>
          <w:sz w:val="20"/>
          <w:lang w:val="en-GB"/>
        </w:rPr>
        <w:t xml:space="preserve">relative strengths and weaknesses. </w:t>
      </w:r>
      <w:r w:rsidR="00BB0A89">
        <w:rPr>
          <w:rFonts w:ascii="Gill Sans MT" w:hAnsi="Gill Sans MT"/>
          <w:sz w:val="20"/>
          <w:lang w:val="en-GB"/>
        </w:rPr>
        <w:t xml:space="preserve">Moreover, the indicators of governance quoted in the individual evaluation reports comprise source data for the WGI (Afrobarometer, </w:t>
      </w:r>
      <w:r w:rsidR="00F0633F">
        <w:rPr>
          <w:rFonts w:ascii="Gill Sans MT" w:hAnsi="Gill Sans MT"/>
          <w:sz w:val="20"/>
          <w:lang w:val="en-GB"/>
        </w:rPr>
        <w:t>Bertelsmann Transfo</w:t>
      </w:r>
      <w:r w:rsidR="00BB0A89">
        <w:rPr>
          <w:rFonts w:ascii="Gill Sans MT" w:hAnsi="Gill Sans MT"/>
          <w:sz w:val="20"/>
          <w:lang w:val="en-GB"/>
        </w:rPr>
        <w:t xml:space="preserve">rmation Index, </w:t>
      </w:r>
      <w:r w:rsidR="00F0633F">
        <w:rPr>
          <w:rFonts w:ascii="Gill Sans MT" w:hAnsi="Gill Sans MT"/>
          <w:sz w:val="20"/>
          <w:lang w:val="en-GB"/>
        </w:rPr>
        <w:t>Freedom House</w:t>
      </w:r>
      <w:r w:rsidR="00BB0A89">
        <w:rPr>
          <w:rFonts w:ascii="Gill Sans MT" w:hAnsi="Gill Sans MT"/>
          <w:sz w:val="20"/>
          <w:lang w:val="en-GB"/>
        </w:rPr>
        <w:t>, Transparency International Corruption Perceptions Index), as do the main alternative indicators of government effectiveness - the African Development Bank and World Bank Country Policy &amp; Institutional Assessments (CPIA).</w:t>
      </w:r>
      <w:r w:rsidR="00F0633F">
        <w:rPr>
          <w:rFonts w:ascii="Gill Sans MT" w:hAnsi="Gill Sans MT"/>
          <w:sz w:val="20"/>
          <w:lang w:val="en-GB"/>
        </w:rPr>
        <w:t xml:space="preserve"> </w:t>
      </w:r>
    </w:p>
    <w:p w14:paraId="049E8735" w14:textId="77777777" w:rsidR="005118DA" w:rsidRPr="00372CF5" w:rsidRDefault="00CE3446" w:rsidP="00D341AD">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For each of the six identified dimensions of governance, the WGI produces estimates ranging from – 2.5 to + 2.5. From these estimates, a percentile ranking is produced (from 0 = lowest to 100 = highest) of the respective scores within each </w:t>
      </w:r>
      <w:r w:rsidR="00B35BD3">
        <w:rPr>
          <w:rFonts w:ascii="Gill Sans MT" w:hAnsi="Gill Sans MT"/>
          <w:sz w:val="20"/>
          <w:lang w:val="en-GB"/>
        </w:rPr>
        <w:t xml:space="preserve">dimension for the </w:t>
      </w:r>
      <w:r>
        <w:rPr>
          <w:rFonts w:ascii="Gill Sans MT" w:hAnsi="Gill Sans MT"/>
          <w:sz w:val="20"/>
          <w:lang w:val="en-GB"/>
        </w:rPr>
        <w:t xml:space="preserve">countries and territories </w:t>
      </w:r>
      <w:r>
        <w:rPr>
          <w:rFonts w:ascii="Gill Sans MT" w:hAnsi="Gill Sans MT"/>
          <w:sz w:val="20"/>
          <w:lang w:val="en-GB"/>
        </w:rPr>
        <w:lastRenderedPageBreak/>
        <w:t xml:space="preserve">covered by the WGI. Table </w:t>
      </w:r>
      <w:r w:rsidR="003715F3">
        <w:rPr>
          <w:rFonts w:ascii="Gill Sans MT" w:hAnsi="Gill Sans MT"/>
          <w:sz w:val="20"/>
          <w:lang w:val="en-GB"/>
        </w:rPr>
        <w:t>4</w:t>
      </w:r>
      <w:r w:rsidR="006B1E5A">
        <w:rPr>
          <w:rFonts w:ascii="Gill Sans MT" w:hAnsi="Gill Sans MT"/>
          <w:sz w:val="20"/>
          <w:lang w:val="en-GB"/>
        </w:rPr>
        <w:t xml:space="preserve"> shows the percentile r</w:t>
      </w:r>
      <w:r w:rsidR="001D5CA7">
        <w:rPr>
          <w:rFonts w:ascii="Gill Sans MT" w:hAnsi="Gill Sans MT"/>
          <w:sz w:val="20"/>
          <w:lang w:val="en-GB"/>
        </w:rPr>
        <w:t xml:space="preserve">ankings for the four </w:t>
      </w:r>
      <w:r w:rsidR="0088648F">
        <w:rPr>
          <w:rFonts w:ascii="Gill Sans MT" w:hAnsi="Gill Sans MT"/>
          <w:sz w:val="20"/>
          <w:lang w:val="en-GB"/>
        </w:rPr>
        <w:t>countries. T</w:t>
      </w:r>
      <w:r w:rsidR="001D5CA7">
        <w:rPr>
          <w:rFonts w:ascii="Gill Sans MT" w:hAnsi="Gill Sans MT"/>
          <w:sz w:val="20"/>
          <w:lang w:val="en-GB"/>
        </w:rPr>
        <w:t xml:space="preserve">hey </w:t>
      </w:r>
      <w:r w:rsidR="00B35BD3">
        <w:rPr>
          <w:rFonts w:ascii="Gill Sans MT" w:hAnsi="Gill Sans MT"/>
          <w:sz w:val="20"/>
          <w:lang w:val="en-GB"/>
        </w:rPr>
        <w:t xml:space="preserve">are </w:t>
      </w:r>
      <w:r w:rsidR="001D5CA7">
        <w:rPr>
          <w:rFonts w:ascii="Gill Sans MT" w:hAnsi="Gill Sans MT"/>
          <w:sz w:val="20"/>
          <w:lang w:val="en-GB"/>
        </w:rPr>
        <w:t xml:space="preserve">situated within the upper part of the second quartile of the 200 plus countries covered by the WGI: </w:t>
      </w:r>
      <w:r w:rsidR="00B35BD3">
        <w:rPr>
          <w:rFonts w:ascii="Gill Sans MT" w:hAnsi="Gill Sans MT"/>
          <w:sz w:val="20"/>
          <w:lang w:val="en-GB"/>
        </w:rPr>
        <w:t xml:space="preserve">in other words, they </w:t>
      </w:r>
      <w:r w:rsidR="001D5CA7">
        <w:rPr>
          <w:rFonts w:ascii="Gill Sans MT" w:hAnsi="Gill Sans MT"/>
          <w:sz w:val="20"/>
          <w:lang w:val="en-GB"/>
        </w:rPr>
        <w:t>score below the world averages for governance but they are</w:t>
      </w:r>
      <w:r w:rsidR="00D87E1B">
        <w:rPr>
          <w:rFonts w:ascii="Gill Sans MT" w:hAnsi="Gill Sans MT"/>
          <w:sz w:val="20"/>
          <w:lang w:val="en-GB"/>
        </w:rPr>
        <w:t xml:space="preserve"> not in the bottom 25%</w:t>
      </w:r>
      <w:r w:rsidR="001D5CA7">
        <w:rPr>
          <w:rFonts w:ascii="Gill Sans MT" w:hAnsi="Gill Sans MT"/>
          <w:sz w:val="20"/>
          <w:lang w:val="en-GB"/>
        </w:rPr>
        <w:t xml:space="preserve">. However, the two dimensions with the lowest average scores – control of corruption and regulatory quality – have scores </w:t>
      </w:r>
      <w:r w:rsidR="00EF26C0">
        <w:rPr>
          <w:rFonts w:ascii="Gill Sans MT" w:hAnsi="Gill Sans MT"/>
          <w:sz w:val="20"/>
          <w:lang w:val="en-GB"/>
        </w:rPr>
        <w:t>which place these countries only slightly above the bottom 25 %, so they are clearly not “good performers” with regard to governance.</w:t>
      </w:r>
    </w:p>
    <w:p w14:paraId="50B5BA98" w14:textId="77777777" w:rsidR="000636C9" w:rsidRDefault="005118DA" w:rsidP="003715F3">
      <w:pPr>
        <w:pStyle w:val="Caption"/>
        <w:jc w:val="center"/>
        <w:rPr>
          <w:lang w:val="en-GB"/>
        </w:rPr>
      </w:pPr>
      <w:bookmarkStart w:id="62" w:name="_Toc279848284"/>
      <w:r w:rsidRPr="005118DA">
        <w:rPr>
          <w:lang w:val="en-GB"/>
        </w:rPr>
        <w:t xml:space="preserve">Table </w:t>
      </w:r>
      <w:r w:rsidRPr="005118DA">
        <w:rPr>
          <w:lang w:val="en-GB"/>
        </w:rPr>
        <w:fldChar w:fldCharType="begin"/>
      </w:r>
      <w:r w:rsidRPr="005118DA">
        <w:rPr>
          <w:lang w:val="en-GB"/>
        </w:rPr>
        <w:instrText xml:space="preserve"> SEQ Table \* ARABIC </w:instrText>
      </w:r>
      <w:r w:rsidRPr="005118DA">
        <w:rPr>
          <w:lang w:val="en-GB"/>
        </w:rPr>
        <w:fldChar w:fldCharType="separate"/>
      </w:r>
      <w:r w:rsidR="00967582">
        <w:rPr>
          <w:noProof/>
          <w:lang w:val="en-GB"/>
        </w:rPr>
        <w:t>4</w:t>
      </w:r>
      <w:r w:rsidRPr="005118DA">
        <w:rPr>
          <w:lang w:val="en-GB"/>
        </w:rPr>
        <w:fldChar w:fldCharType="end"/>
      </w:r>
      <w:r w:rsidRPr="005118DA">
        <w:rPr>
          <w:lang w:val="en-GB"/>
        </w:rPr>
        <w:t>: Governance status of the LIC countries, WGI percentile rankings 2004</w:t>
      </w:r>
      <w:r w:rsidR="003715F3">
        <w:rPr>
          <w:lang w:val="en-GB"/>
        </w:rPr>
        <w:t>, reflecting significant differences</w:t>
      </w:r>
      <w:bookmarkEnd w:id="62"/>
    </w:p>
    <w:tbl>
      <w:tblPr>
        <w:tblStyle w:val="TableClassic2"/>
        <w:tblW w:w="0" w:type="auto"/>
        <w:tblLook w:val="04A0" w:firstRow="1" w:lastRow="0" w:firstColumn="1" w:lastColumn="0" w:noHBand="0" w:noVBand="1"/>
      </w:tblPr>
      <w:tblGrid>
        <w:gridCol w:w="3369"/>
        <w:gridCol w:w="1134"/>
        <w:gridCol w:w="1559"/>
        <w:gridCol w:w="1276"/>
        <w:gridCol w:w="1187"/>
      </w:tblGrid>
      <w:tr w:rsidR="000636C9" w:rsidRPr="00AD4BA3" w14:paraId="2BACE9D5" w14:textId="77777777" w:rsidTr="00D87E1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69" w:type="dxa"/>
          </w:tcPr>
          <w:p w14:paraId="66C437DA" w14:textId="77777777" w:rsidR="000636C9" w:rsidRPr="00AD4BA3" w:rsidRDefault="000636C9" w:rsidP="000636C9">
            <w:pPr>
              <w:rPr>
                <w:rFonts w:ascii="Gill Sans MT" w:hAnsi="Gill Sans MT"/>
                <w:lang w:val="en-GB"/>
              </w:rPr>
            </w:pPr>
            <w:r w:rsidRPr="00AD4BA3">
              <w:rPr>
                <w:rFonts w:ascii="Gill Sans MT" w:hAnsi="Gill Sans MT"/>
                <w:lang w:val="en-GB"/>
              </w:rPr>
              <w:t>WGI Governance dimensions</w:t>
            </w:r>
          </w:p>
        </w:tc>
        <w:tc>
          <w:tcPr>
            <w:tcW w:w="1134" w:type="dxa"/>
          </w:tcPr>
          <w:p w14:paraId="109F8FD9" w14:textId="77777777" w:rsidR="000636C9" w:rsidRPr="00AD4BA3" w:rsidRDefault="000636C9" w:rsidP="000636C9">
            <w:pPr>
              <w:cnfStyle w:val="100000000000" w:firstRow="1" w:lastRow="0" w:firstColumn="0" w:lastColumn="0" w:oddVBand="0" w:evenVBand="0" w:oddHBand="0" w:evenHBand="0" w:firstRowFirstColumn="0" w:firstRowLastColumn="0" w:lastRowFirstColumn="0" w:lastRowLastColumn="0"/>
              <w:rPr>
                <w:rFonts w:ascii="Gill Sans MT" w:hAnsi="Gill Sans MT"/>
                <w:lang w:val="en-GB"/>
              </w:rPr>
            </w:pPr>
            <w:r w:rsidRPr="00AD4BA3">
              <w:rPr>
                <w:rFonts w:ascii="Gill Sans MT" w:hAnsi="Gill Sans MT"/>
                <w:lang w:val="en-GB"/>
              </w:rPr>
              <w:t>Mali</w:t>
            </w:r>
          </w:p>
          <w:p w14:paraId="545E2FA7" w14:textId="77777777" w:rsidR="000636C9" w:rsidRPr="00AD4BA3" w:rsidRDefault="000636C9" w:rsidP="000636C9">
            <w:pPr>
              <w:cnfStyle w:val="100000000000" w:firstRow="1" w:lastRow="0" w:firstColumn="0" w:lastColumn="0" w:oddVBand="0" w:evenVBand="0" w:oddHBand="0" w:evenHBand="0" w:firstRowFirstColumn="0" w:firstRowLastColumn="0" w:lastRowFirstColumn="0" w:lastRowLastColumn="0"/>
              <w:rPr>
                <w:rFonts w:ascii="Gill Sans MT" w:hAnsi="Gill Sans MT"/>
                <w:lang w:val="en-GB"/>
              </w:rPr>
            </w:pPr>
            <w:r w:rsidRPr="00AD4BA3">
              <w:rPr>
                <w:rFonts w:ascii="Gill Sans MT" w:hAnsi="Gill Sans MT"/>
                <w:lang w:val="en-GB"/>
              </w:rPr>
              <w:t>(2004)</w:t>
            </w:r>
          </w:p>
        </w:tc>
        <w:tc>
          <w:tcPr>
            <w:tcW w:w="1559" w:type="dxa"/>
          </w:tcPr>
          <w:p w14:paraId="3C56FFDF" w14:textId="77777777" w:rsidR="000636C9" w:rsidRPr="00AD4BA3" w:rsidRDefault="000636C9" w:rsidP="000636C9">
            <w:pPr>
              <w:cnfStyle w:val="100000000000" w:firstRow="1" w:lastRow="0" w:firstColumn="0" w:lastColumn="0" w:oddVBand="0" w:evenVBand="0" w:oddHBand="0" w:evenHBand="0" w:firstRowFirstColumn="0" w:firstRowLastColumn="0" w:lastRowFirstColumn="0" w:lastRowLastColumn="0"/>
              <w:rPr>
                <w:rFonts w:ascii="Gill Sans MT" w:hAnsi="Gill Sans MT"/>
                <w:lang w:val="en-GB"/>
              </w:rPr>
            </w:pPr>
            <w:r w:rsidRPr="00AD4BA3">
              <w:rPr>
                <w:rFonts w:ascii="Gill Sans MT" w:hAnsi="Gill Sans MT"/>
                <w:lang w:val="en-GB"/>
              </w:rPr>
              <w:t>Mozambique</w:t>
            </w:r>
          </w:p>
          <w:p w14:paraId="70A2DE8F" w14:textId="77777777" w:rsidR="000636C9" w:rsidRPr="00AD4BA3" w:rsidRDefault="000636C9" w:rsidP="000636C9">
            <w:pPr>
              <w:cnfStyle w:val="100000000000" w:firstRow="1" w:lastRow="0" w:firstColumn="0" w:lastColumn="0" w:oddVBand="0" w:evenVBand="0" w:oddHBand="0" w:evenHBand="0" w:firstRowFirstColumn="0" w:firstRowLastColumn="0" w:lastRowFirstColumn="0" w:lastRowLastColumn="0"/>
              <w:rPr>
                <w:rFonts w:ascii="Gill Sans MT" w:hAnsi="Gill Sans MT"/>
                <w:lang w:val="en-GB"/>
              </w:rPr>
            </w:pPr>
            <w:r w:rsidRPr="00AD4BA3">
              <w:rPr>
                <w:rFonts w:ascii="Gill Sans MT" w:hAnsi="Gill Sans MT"/>
                <w:lang w:val="en-GB"/>
              </w:rPr>
              <w:t>(2004)</w:t>
            </w:r>
          </w:p>
        </w:tc>
        <w:tc>
          <w:tcPr>
            <w:tcW w:w="1276" w:type="dxa"/>
          </w:tcPr>
          <w:p w14:paraId="3340F7E8" w14:textId="77777777" w:rsidR="000636C9" w:rsidRPr="00AD4BA3" w:rsidRDefault="000636C9" w:rsidP="000636C9">
            <w:pPr>
              <w:cnfStyle w:val="100000000000" w:firstRow="1" w:lastRow="0" w:firstColumn="0" w:lastColumn="0" w:oddVBand="0" w:evenVBand="0" w:oddHBand="0" w:evenHBand="0" w:firstRowFirstColumn="0" w:firstRowLastColumn="0" w:lastRowFirstColumn="0" w:lastRowLastColumn="0"/>
              <w:rPr>
                <w:rFonts w:ascii="Gill Sans MT" w:hAnsi="Gill Sans MT"/>
                <w:lang w:val="en-GB"/>
              </w:rPr>
            </w:pPr>
            <w:r w:rsidRPr="00AD4BA3">
              <w:rPr>
                <w:rFonts w:ascii="Gill Sans MT" w:hAnsi="Gill Sans MT"/>
                <w:lang w:val="en-GB"/>
              </w:rPr>
              <w:t>Tanzania</w:t>
            </w:r>
          </w:p>
          <w:p w14:paraId="5E733EBE" w14:textId="77777777" w:rsidR="000636C9" w:rsidRPr="00AD4BA3" w:rsidRDefault="000636C9" w:rsidP="000636C9">
            <w:pPr>
              <w:cnfStyle w:val="100000000000" w:firstRow="1" w:lastRow="0" w:firstColumn="0" w:lastColumn="0" w:oddVBand="0" w:evenVBand="0" w:oddHBand="0" w:evenHBand="0" w:firstRowFirstColumn="0" w:firstRowLastColumn="0" w:lastRowFirstColumn="0" w:lastRowLastColumn="0"/>
              <w:rPr>
                <w:rFonts w:ascii="Gill Sans MT" w:hAnsi="Gill Sans MT"/>
                <w:lang w:val="en-GB"/>
              </w:rPr>
            </w:pPr>
            <w:r w:rsidRPr="00AD4BA3">
              <w:rPr>
                <w:rFonts w:ascii="Gill Sans MT" w:hAnsi="Gill Sans MT"/>
                <w:lang w:val="en-GB"/>
              </w:rPr>
              <w:t>(2004)</w:t>
            </w:r>
          </w:p>
        </w:tc>
        <w:tc>
          <w:tcPr>
            <w:tcW w:w="1187" w:type="dxa"/>
          </w:tcPr>
          <w:p w14:paraId="063AF976" w14:textId="77777777" w:rsidR="000636C9" w:rsidRPr="00AD4BA3" w:rsidRDefault="000636C9" w:rsidP="000636C9">
            <w:pPr>
              <w:cnfStyle w:val="100000000000" w:firstRow="1" w:lastRow="0" w:firstColumn="0" w:lastColumn="0" w:oddVBand="0" w:evenVBand="0" w:oddHBand="0" w:evenHBand="0" w:firstRowFirstColumn="0" w:firstRowLastColumn="0" w:lastRowFirstColumn="0" w:lastRowLastColumn="0"/>
              <w:rPr>
                <w:rFonts w:ascii="Gill Sans MT" w:hAnsi="Gill Sans MT"/>
                <w:lang w:val="en-GB"/>
              </w:rPr>
            </w:pPr>
            <w:r w:rsidRPr="00AD4BA3">
              <w:rPr>
                <w:rFonts w:ascii="Gill Sans MT" w:hAnsi="Gill Sans MT"/>
                <w:lang w:val="en-GB"/>
              </w:rPr>
              <w:t>Zambia</w:t>
            </w:r>
          </w:p>
          <w:p w14:paraId="1F80CFB4" w14:textId="77777777" w:rsidR="000636C9" w:rsidRPr="00AD4BA3" w:rsidRDefault="000636C9" w:rsidP="000636C9">
            <w:pPr>
              <w:cnfStyle w:val="100000000000" w:firstRow="1" w:lastRow="0" w:firstColumn="0" w:lastColumn="0" w:oddVBand="0" w:evenVBand="0" w:oddHBand="0" w:evenHBand="0" w:firstRowFirstColumn="0" w:firstRowLastColumn="0" w:lastRowFirstColumn="0" w:lastRowLastColumn="0"/>
              <w:rPr>
                <w:rFonts w:ascii="Gill Sans MT" w:hAnsi="Gill Sans MT"/>
                <w:lang w:val="en-GB"/>
              </w:rPr>
            </w:pPr>
            <w:r w:rsidRPr="00AD4BA3">
              <w:rPr>
                <w:rFonts w:ascii="Gill Sans MT" w:hAnsi="Gill Sans MT"/>
                <w:lang w:val="en-GB"/>
              </w:rPr>
              <w:t>(2004)</w:t>
            </w:r>
          </w:p>
        </w:tc>
      </w:tr>
      <w:tr w:rsidR="000636C9" w:rsidRPr="00AD4BA3" w14:paraId="0DB71979" w14:textId="77777777" w:rsidTr="00D42960">
        <w:tc>
          <w:tcPr>
            <w:cnfStyle w:val="001000000000" w:firstRow="0" w:lastRow="0" w:firstColumn="1" w:lastColumn="0" w:oddVBand="0" w:evenVBand="0" w:oddHBand="0" w:evenHBand="0" w:firstRowFirstColumn="0" w:firstRowLastColumn="0" w:lastRowFirstColumn="0" w:lastRowLastColumn="0"/>
            <w:tcW w:w="3369" w:type="dxa"/>
          </w:tcPr>
          <w:p w14:paraId="2393681F" w14:textId="77777777" w:rsidR="000636C9" w:rsidRPr="00AD4BA3" w:rsidRDefault="000636C9" w:rsidP="000636C9">
            <w:pPr>
              <w:spacing w:line="360" w:lineRule="auto"/>
              <w:rPr>
                <w:rFonts w:ascii="Gill Sans MT" w:hAnsi="Gill Sans MT"/>
                <w:sz w:val="22"/>
                <w:szCs w:val="22"/>
                <w:lang w:val="en-GB"/>
              </w:rPr>
            </w:pPr>
            <w:r w:rsidRPr="00AD4BA3">
              <w:rPr>
                <w:rFonts w:ascii="Gill Sans MT" w:hAnsi="Gill Sans MT"/>
                <w:sz w:val="22"/>
                <w:szCs w:val="22"/>
                <w:lang w:val="en-GB"/>
              </w:rPr>
              <w:t>Voice &amp; Accountability</w:t>
            </w:r>
          </w:p>
        </w:tc>
        <w:tc>
          <w:tcPr>
            <w:tcW w:w="1134" w:type="dxa"/>
            <w:tcBorders>
              <w:top w:val="single" w:sz="6" w:space="0" w:color="000000"/>
              <w:bottom w:val="single" w:sz="4" w:space="0" w:color="auto"/>
              <w:right w:val="single" w:sz="4" w:space="0" w:color="auto"/>
            </w:tcBorders>
            <w:shd w:val="clear" w:color="auto" w:fill="CCFFCC"/>
          </w:tcPr>
          <w:p w14:paraId="690E3BA2" w14:textId="77777777" w:rsidR="000636C9" w:rsidRPr="00AD4BA3" w:rsidRDefault="000636C9" w:rsidP="00426B59">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57.2</w:t>
            </w:r>
          </w:p>
        </w:tc>
        <w:tc>
          <w:tcPr>
            <w:tcW w:w="1559" w:type="dxa"/>
            <w:tcBorders>
              <w:top w:val="single" w:sz="6" w:space="0" w:color="000000"/>
              <w:left w:val="single" w:sz="4" w:space="0" w:color="auto"/>
              <w:bottom w:val="single" w:sz="4" w:space="0" w:color="auto"/>
              <w:right w:val="single" w:sz="4" w:space="0" w:color="auto"/>
            </w:tcBorders>
            <w:shd w:val="clear" w:color="auto" w:fill="FFFF00"/>
          </w:tcPr>
          <w:p w14:paraId="6212B5E7" w14:textId="77777777" w:rsidR="000636C9" w:rsidRPr="00AD4BA3" w:rsidRDefault="000636C9" w:rsidP="00426B59">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47.1</w:t>
            </w:r>
          </w:p>
        </w:tc>
        <w:tc>
          <w:tcPr>
            <w:tcW w:w="1276" w:type="dxa"/>
            <w:tcBorders>
              <w:top w:val="single" w:sz="6" w:space="0" w:color="000000"/>
              <w:left w:val="single" w:sz="4" w:space="0" w:color="auto"/>
              <w:bottom w:val="single" w:sz="4" w:space="0" w:color="auto"/>
              <w:right w:val="single" w:sz="4" w:space="0" w:color="auto"/>
            </w:tcBorders>
            <w:shd w:val="clear" w:color="auto" w:fill="FF6600"/>
          </w:tcPr>
          <w:p w14:paraId="02D94905" w14:textId="77777777" w:rsidR="000636C9" w:rsidRPr="00AD4BA3" w:rsidRDefault="000636C9" w:rsidP="00426B59">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34.1</w:t>
            </w:r>
          </w:p>
        </w:tc>
        <w:tc>
          <w:tcPr>
            <w:tcW w:w="1187" w:type="dxa"/>
            <w:tcBorders>
              <w:top w:val="single" w:sz="6" w:space="0" w:color="000000"/>
              <w:left w:val="single" w:sz="4" w:space="0" w:color="auto"/>
              <w:bottom w:val="single" w:sz="4" w:space="0" w:color="auto"/>
            </w:tcBorders>
            <w:shd w:val="clear" w:color="auto" w:fill="FF6600"/>
          </w:tcPr>
          <w:p w14:paraId="64D30015" w14:textId="77777777" w:rsidR="000636C9" w:rsidRPr="00AD4BA3" w:rsidRDefault="000636C9" w:rsidP="00426B59">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36.1</w:t>
            </w:r>
          </w:p>
        </w:tc>
      </w:tr>
      <w:tr w:rsidR="000636C9" w:rsidRPr="00AD4BA3" w14:paraId="33610CB6" w14:textId="77777777" w:rsidTr="00D87E1B">
        <w:tc>
          <w:tcPr>
            <w:cnfStyle w:val="001000000000" w:firstRow="0" w:lastRow="0" w:firstColumn="1" w:lastColumn="0" w:oddVBand="0" w:evenVBand="0" w:oddHBand="0" w:evenHBand="0" w:firstRowFirstColumn="0" w:firstRowLastColumn="0" w:lastRowFirstColumn="0" w:lastRowLastColumn="0"/>
            <w:tcW w:w="3369" w:type="dxa"/>
          </w:tcPr>
          <w:p w14:paraId="4458FA64" w14:textId="77777777" w:rsidR="000636C9" w:rsidRPr="00AD4BA3" w:rsidRDefault="000636C9" w:rsidP="000636C9">
            <w:pPr>
              <w:spacing w:line="360" w:lineRule="auto"/>
              <w:rPr>
                <w:rFonts w:ascii="Gill Sans MT" w:hAnsi="Gill Sans MT"/>
                <w:sz w:val="22"/>
                <w:szCs w:val="22"/>
                <w:lang w:val="en-GB"/>
              </w:rPr>
            </w:pPr>
            <w:r w:rsidRPr="00AD4BA3">
              <w:rPr>
                <w:rFonts w:ascii="Gill Sans MT" w:hAnsi="Gill Sans MT"/>
                <w:sz w:val="22"/>
                <w:szCs w:val="22"/>
                <w:lang w:val="en-GB"/>
              </w:rPr>
              <w:t>Rule of Law</w:t>
            </w:r>
          </w:p>
        </w:tc>
        <w:tc>
          <w:tcPr>
            <w:tcW w:w="1134" w:type="dxa"/>
            <w:tcBorders>
              <w:top w:val="single" w:sz="4" w:space="0" w:color="auto"/>
              <w:bottom w:val="single" w:sz="4" w:space="0" w:color="auto"/>
              <w:right w:val="single" w:sz="4" w:space="0" w:color="auto"/>
            </w:tcBorders>
            <w:shd w:val="clear" w:color="auto" w:fill="CCFFCC"/>
          </w:tcPr>
          <w:p w14:paraId="248ABA74" w14:textId="77777777" w:rsidR="000636C9" w:rsidRPr="00AD4BA3" w:rsidRDefault="000636C9" w:rsidP="00426B59">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47.8</w:t>
            </w:r>
          </w:p>
        </w:tc>
        <w:tc>
          <w:tcPr>
            <w:tcW w:w="1559" w:type="dxa"/>
            <w:tcBorders>
              <w:top w:val="single" w:sz="4" w:space="0" w:color="auto"/>
              <w:left w:val="single" w:sz="4" w:space="0" w:color="auto"/>
              <w:bottom w:val="single" w:sz="4" w:space="0" w:color="auto"/>
              <w:right w:val="single" w:sz="4" w:space="0" w:color="auto"/>
            </w:tcBorders>
            <w:shd w:val="clear" w:color="auto" w:fill="FF6600"/>
          </w:tcPr>
          <w:p w14:paraId="791FABBC" w14:textId="77777777" w:rsidR="000636C9" w:rsidRPr="00AD4BA3" w:rsidRDefault="000636C9" w:rsidP="00426B59">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32.5</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4F0C42F5" w14:textId="77777777" w:rsidR="000636C9" w:rsidRPr="00AD4BA3" w:rsidRDefault="000636C9" w:rsidP="00426B59">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42.6</w:t>
            </w:r>
          </w:p>
        </w:tc>
        <w:tc>
          <w:tcPr>
            <w:tcW w:w="1187" w:type="dxa"/>
            <w:tcBorders>
              <w:top w:val="single" w:sz="4" w:space="0" w:color="auto"/>
              <w:left w:val="single" w:sz="4" w:space="0" w:color="auto"/>
              <w:bottom w:val="single" w:sz="4" w:space="0" w:color="auto"/>
            </w:tcBorders>
            <w:shd w:val="clear" w:color="auto" w:fill="FF6600"/>
          </w:tcPr>
          <w:p w14:paraId="24718DFE" w14:textId="77777777" w:rsidR="000636C9" w:rsidRPr="00AD4BA3" w:rsidRDefault="000636C9" w:rsidP="00426B59">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35.9</w:t>
            </w:r>
          </w:p>
        </w:tc>
      </w:tr>
      <w:tr w:rsidR="000636C9" w:rsidRPr="00AD4BA3" w14:paraId="35AB97E5" w14:textId="77777777" w:rsidTr="00D87E1B">
        <w:tc>
          <w:tcPr>
            <w:cnfStyle w:val="001000000000" w:firstRow="0" w:lastRow="0" w:firstColumn="1" w:lastColumn="0" w:oddVBand="0" w:evenVBand="0" w:oddHBand="0" w:evenHBand="0" w:firstRowFirstColumn="0" w:firstRowLastColumn="0" w:lastRowFirstColumn="0" w:lastRowLastColumn="0"/>
            <w:tcW w:w="3369" w:type="dxa"/>
          </w:tcPr>
          <w:p w14:paraId="2D3167E0" w14:textId="77777777" w:rsidR="000636C9" w:rsidRPr="00AD4BA3" w:rsidRDefault="000636C9" w:rsidP="000636C9">
            <w:pPr>
              <w:spacing w:line="360" w:lineRule="auto"/>
              <w:rPr>
                <w:rFonts w:ascii="Gill Sans MT" w:hAnsi="Gill Sans MT"/>
                <w:sz w:val="22"/>
                <w:szCs w:val="22"/>
                <w:lang w:val="en-GB"/>
              </w:rPr>
            </w:pPr>
            <w:r w:rsidRPr="00AD4BA3">
              <w:rPr>
                <w:rFonts w:ascii="Gill Sans MT" w:hAnsi="Gill Sans MT"/>
                <w:sz w:val="22"/>
                <w:szCs w:val="22"/>
                <w:lang w:val="en-GB"/>
              </w:rPr>
              <w:t>Regulatory Quality</w:t>
            </w:r>
          </w:p>
        </w:tc>
        <w:tc>
          <w:tcPr>
            <w:tcW w:w="1134" w:type="dxa"/>
            <w:tcBorders>
              <w:top w:val="single" w:sz="4" w:space="0" w:color="auto"/>
              <w:bottom w:val="single" w:sz="4" w:space="0" w:color="auto"/>
              <w:right w:val="single" w:sz="4" w:space="0" w:color="auto"/>
            </w:tcBorders>
            <w:shd w:val="clear" w:color="auto" w:fill="FF6600"/>
          </w:tcPr>
          <w:p w14:paraId="5B6ADA55" w14:textId="77777777" w:rsidR="000636C9" w:rsidRPr="00AD4BA3" w:rsidRDefault="000636C9" w:rsidP="00426B59">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35.3</w:t>
            </w:r>
          </w:p>
        </w:tc>
        <w:tc>
          <w:tcPr>
            <w:tcW w:w="1559" w:type="dxa"/>
            <w:tcBorders>
              <w:top w:val="single" w:sz="4" w:space="0" w:color="auto"/>
              <w:left w:val="single" w:sz="4" w:space="0" w:color="auto"/>
              <w:bottom w:val="single" w:sz="4" w:space="0" w:color="auto"/>
              <w:right w:val="single" w:sz="4" w:space="0" w:color="auto"/>
            </w:tcBorders>
            <w:shd w:val="clear" w:color="auto" w:fill="FF6600"/>
          </w:tcPr>
          <w:p w14:paraId="2D46E68A" w14:textId="77777777" w:rsidR="000636C9" w:rsidRPr="00AD4BA3" w:rsidRDefault="000636C9" w:rsidP="00426B59">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34.3</w:t>
            </w:r>
          </w:p>
        </w:tc>
        <w:tc>
          <w:tcPr>
            <w:tcW w:w="1276" w:type="dxa"/>
            <w:tcBorders>
              <w:top w:val="single" w:sz="4" w:space="0" w:color="auto"/>
              <w:left w:val="single" w:sz="4" w:space="0" w:color="auto"/>
              <w:bottom w:val="single" w:sz="4" w:space="0" w:color="auto"/>
              <w:right w:val="single" w:sz="4" w:space="0" w:color="auto"/>
            </w:tcBorders>
            <w:shd w:val="clear" w:color="auto" w:fill="FF6600"/>
          </w:tcPr>
          <w:p w14:paraId="1407190C" w14:textId="77777777" w:rsidR="000636C9" w:rsidRPr="00AD4BA3" w:rsidRDefault="000636C9" w:rsidP="00426B59">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36.3</w:t>
            </w:r>
          </w:p>
        </w:tc>
        <w:tc>
          <w:tcPr>
            <w:tcW w:w="1187" w:type="dxa"/>
            <w:tcBorders>
              <w:top w:val="single" w:sz="4" w:space="0" w:color="auto"/>
              <w:left w:val="single" w:sz="4" w:space="0" w:color="auto"/>
              <w:bottom w:val="single" w:sz="4" w:space="0" w:color="auto"/>
            </w:tcBorders>
            <w:shd w:val="clear" w:color="auto" w:fill="FF6600"/>
          </w:tcPr>
          <w:p w14:paraId="6F589DD3" w14:textId="77777777" w:rsidR="000636C9" w:rsidRPr="00AD4BA3" w:rsidRDefault="000636C9" w:rsidP="00426B59">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31.9</w:t>
            </w:r>
          </w:p>
        </w:tc>
      </w:tr>
      <w:tr w:rsidR="000636C9" w:rsidRPr="00AD4BA3" w14:paraId="318E6B70" w14:textId="77777777" w:rsidTr="00D87E1B">
        <w:tc>
          <w:tcPr>
            <w:cnfStyle w:val="001000000000" w:firstRow="0" w:lastRow="0" w:firstColumn="1" w:lastColumn="0" w:oddVBand="0" w:evenVBand="0" w:oddHBand="0" w:evenHBand="0" w:firstRowFirstColumn="0" w:firstRowLastColumn="0" w:lastRowFirstColumn="0" w:lastRowLastColumn="0"/>
            <w:tcW w:w="3369" w:type="dxa"/>
          </w:tcPr>
          <w:p w14:paraId="12EF09EE" w14:textId="77777777" w:rsidR="000636C9" w:rsidRPr="00AD4BA3" w:rsidRDefault="000636C9" w:rsidP="000636C9">
            <w:pPr>
              <w:spacing w:line="276" w:lineRule="auto"/>
              <w:rPr>
                <w:rFonts w:ascii="Gill Sans MT" w:hAnsi="Gill Sans MT"/>
                <w:sz w:val="22"/>
                <w:szCs w:val="22"/>
                <w:lang w:val="en-GB"/>
              </w:rPr>
            </w:pPr>
            <w:r w:rsidRPr="00AD4BA3">
              <w:rPr>
                <w:rFonts w:ascii="Gill Sans MT" w:hAnsi="Gill Sans MT"/>
                <w:sz w:val="22"/>
                <w:szCs w:val="22"/>
                <w:lang w:val="en-GB"/>
              </w:rPr>
              <w:t>Political Stability &amp; Absence of Violence/ Terrorism</w:t>
            </w:r>
          </w:p>
        </w:tc>
        <w:tc>
          <w:tcPr>
            <w:tcW w:w="1134" w:type="dxa"/>
            <w:tcBorders>
              <w:top w:val="single" w:sz="4" w:space="0" w:color="auto"/>
              <w:bottom w:val="single" w:sz="4" w:space="0" w:color="auto"/>
              <w:right w:val="single" w:sz="4" w:space="0" w:color="auto"/>
            </w:tcBorders>
            <w:shd w:val="clear" w:color="auto" w:fill="CCFFCC"/>
          </w:tcPr>
          <w:p w14:paraId="775CABDA" w14:textId="77777777" w:rsidR="000636C9" w:rsidRPr="00AD4BA3" w:rsidRDefault="000636C9" w:rsidP="00426B59">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63.0</w:t>
            </w:r>
          </w:p>
        </w:tc>
        <w:tc>
          <w:tcPr>
            <w:tcW w:w="1559" w:type="dxa"/>
            <w:tcBorders>
              <w:top w:val="single" w:sz="4" w:space="0" w:color="auto"/>
              <w:left w:val="single" w:sz="4" w:space="0" w:color="auto"/>
              <w:bottom w:val="single" w:sz="4" w:space="0" w:color="auto"/>
              <w:right w:val="single" w:sz="4" w:space="0" w:color="auto"/>
            </w:tcBorders>
            <w:shd w:val="clear" w:color="auto" w:fill="FF6600"/>
          </w:tcPr>
          <w:p w14:paraId="3939B378" w14:textId="77777777" w:rsidR="000636C9" w:rsidRPr="00AD4BA3" w:rsidRDefault="000636C9" w:rsidP="00426B59">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44.7</w:t>
            </w:r>
          </w:p>
        </w:tc>
        <w:tc>
          <w:tcPr>
            <w:tcW w:w="1276" w:type="dxa"/>
            <w:tcBorders>
              <w:top w:val="single" w:sz="4" w:space="0" w:color="auto"/>
              <w:left w:val="single" w:sz="4" w:space="0" w:color="auto"/>
              <w:bottom w:val="single" w:sz="4" w:space="0" w:color="auto"/>
              <w:right w:val="single" w:sz="4" w:space="0" w:color="auto"/>
            </w:tcBorders>
            <w:shd w:val="clear" w:color="auto" w:fill="FF6600"/>
          </w:tcPr>
          <w:p w14:paraId="75A6E45F" w14:textId="77777777" w:rsidR="000636C9" w:rsidRPr="00AD4BA3" w:rsidRDefault="000636C9" w:rsidP="00426B59">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24.5</w:t>
            </w:r>
          </w:p>
        </w:tc>
        <w:tc>
          <w:tcPr>
            <w:tcW w:w="1187" w:type="dxa"/>
            <w:tcBorders>
              <w:top w:val="single" w:sz="4" w:space="0" w:color="auto"/>
              <w:left w:val="single" w:sz="4" w:space="0" w:color="auto"/>
              <w:bottom w:val="single" w:sz="4" w:space="0" w:color="auto"/>
            </w:tcBorders>
            <w:shd w:val="clear" w:color="auto" w:fill="FFFF00"/>
          </w:tcPr>
          <w:p w14:paraId="1E94124A" w14:textId="77777777" w:rsidR="000636C9" w:rsidRPr="00AD4BA3" w:rsidRDefault="000636C9" w:rsidP="00426B59">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51.9</w:t>
            </w:r>
          </w:p>
        </w:tc>
      </w:tr>
      <w:tr w:rsidR="000636C9" w:rsidRPr="00AD4BA3" w14:paraId="600734CD" w14:textId="77777777" w:rsidTr="00D87E1B">
        <w:tc>
          <w:tcPr>
            <w:cnfStyle w:val="001000000000" w:firstRow="0" w:lastRow="0" w:firstColumn="1" w:lastColumn="0" w:oddVBand="0" w:evenVBand="0" w:oddHBand="0" w:evenHBand="0" w:firstRowFirstColumn="0" w:firstRowLastColumn="0" w:lastRowFirstColumn="0" w:lastRowLastColumn="0"/>
            <w:tcW w:w="3369" w:type="dxa"/>
          </w:tcPr>
          <w:p w14:paraId="3FBC7743" w14:textId="77777777" w:rsidR="000636C9" w:rsidRPr="00AD4BA3" w:rsidRDefault="000636C9" w:rsidP="000636C9">
            <w:pPr>
              <w:spacing w:line="360" w:lineRule="auto"/>
              <w:rPr>
                <w:rFonts w:ascii="Gill Sans MT" w:hAnsi="Gill Sans MT"/>
                <w:sz w:val="22"/>
                <w:szCs w:val="22"/>
                <w:lang w:val="en-GB"/>
              </w:rPr>
            </w:pPr>
            <w:r w:rsidRPr="00AD4BA3">
              <w:rPr>
                <w:rFonts w:ascii="Gill Sans MT" w:hAnsi="Gill Sans MT"/>
                <w:sz w:val="22"/>
                <w:szCs w:val="22"/>
                <w:lang w:val="en-GB"/>
              </w:rPr>
              <w:t>Government Effectiveness</w:t>
            </w:r>
          </w:p>
        </w:tc>
        <w:tc>
          <w:tcPr>
            <w:tcW w:w="1134" w:type="dxa"/>
            <w:tcBorders>
              <w:top w:val="single" w:sz="4" w:space="0" w:color="auto"/>
              <w:bottom w:val="single" w:sz="4" w:space="0" w:color="auto"/>
              <w:right w:val="single" w:sz="4" w:space="0" w:color="auto"/>
            </w:tcBorders>
            <w:shd w:val="clear" w:color="auto" w:fill="FFFF00"/>
          </w:tcPr>
          <w:p w14:paraId="3C381B6F" w14:textId="77777777" w:rsidR="000636C9" w:rsidRPr="00AD4BA3" w:rsidRDefault="000636C9" w:rsidP="00426B59">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30.7</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4F813FD9" w14:textId="77777777" w:rsidR="000636C9" w:rsidRPr="00AD4BA3" w:rsidRDefault="000636C9" w:rsidP="00426B59">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35.6</w:t>
            </w:r>
          </w:p>
        </w:tc>
        <w:tc>
          <w:tcPr>
            <w:tcW w:w="1276" w:type="dxa"/>
            <w:tcBorders>
              <w:top w:val="single" w:sz="4" w:space="0" w:color="auto"/>
              <w:left w:val="single" w:sz="4" w:space="0" w:color="auto"/>
              <w:bottom w:val="single" w:sz="4" w:space="0" w:color="auto"/>
              <w:right w:val="single" w:sz="4" w:space="0" w:color="auto"/>
            </w:tcBorders>
            <w:shd w:val="clear" w:color="auto" w:fill="CCFFCC"/>
          </w:tcPr>
          <w:p w14:paraId="2C7B4F76" w14:textId="77777777" w:rsidR="000636C9" w:rsidRPr="00AD4BA3" w:rsidRDefault="000636C9" w:rsidP="00426B59">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42.4</w:t>
            </w:r>
          </w:p>
        </w:tc>
        <w:tc>
          <w:tcPr>
            <w:tcW w:w="1187" w:type="dxa"/>
            <w:tcBorders>
              <w:top w:val="single" w:sz="4" w:space="0" w:color="auto"/>
              <w:left w:val="single" w:sz="4" w:space="0" w:color="auto"/>
              <w:bottom w:val="single" w:sz="4" w:space="0" w:color="auto"/>
            </w:tcBorders>
            <w:shd w:val="clear" w:color="auto" w:fill="FF6600"/>
          </w:tcPr>
          <w:p w14:paraId="11A41D5D" w14:textId="77777777" w:rsidR="000636C9" w:rsidRPr="00AD4BA3" w:rsidRDefault="000636C9" w:rsidP="00426B59">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20.0</w:t>
            </w:r>
          </w:p>
        </w:tc>
      </w:tr>
      <w:tr w:rsidR="000636C9" w:rsidRPr="00AD4BA3" w14:paraId="6F16302D" w14:textId="77777777" w:rsidTr="00D87E1B">
        <w:tc>
          <w:tcPr>
            <w:cnfStyle w:val="001000000000" w:firstRow="0" w:lastRow="0" w:firstColumn="1" w:lastColumn="0" w:oddVBand="0" w:evenVBand="0" w:oddHBand="0" w:evenHBand="0" w:firstRowFirstColumn="0" w:firstRowLastColumn="0" w:lastRowFirstColumn="0" w:lastRowLastColumn="0"/>
            <w:tcW w:w="3369" w:type="dxa"/>
          </w:tcPr>
          <w:p w14:paraId="0F818946" w14:textId="77777777" w:rsidR="000636C9" w:rsidRPr="00AD4BA3" w:rsidRDefault="000636C9" w:rsidP="000636C9">
            <w:pPr>
              <w:spacing w:line="360" w:lineRule="auto"/>
              <w:rPr>
                <w:rFonts w:ascii="Gill Sans MT" w:hAnsi="Gill Sans MT"/>
                <w:sz w:val="22"/>
                <w:szCs w:val="22"/>
                <w:lang w:val="en-GB"/>
              </w:rPr>
            </w:pPr>
            <w:r w:rsidRPr="00AD4BA3">
              <w:rPr>
                <w:rFonts w:ascii="Gill Sans MT" w:hAnsi="Gill Sans MT"/>
                <w:sz w:val="22"/>
                <w:szCs w:val="22"/>
                <w:lang w:val="en-GB"/>
              </w:rPr>
              <w:t>Control of Corruption</w:t>
            </w:r>
          </w:p>
        </w:tc>
        <w:tc>
          <w:tcPr>
            <w:tcW w:w="1134" w:type="dxa"/>
            <w:tcBorders>
              <w:top w:val="single" w:sz="4" w:space="0" w:color="auto"/>
              <w:bottom w:val="single" w:sz="12" w:space="0" w:color="000000"/>
              <w:right w:val="single" w:sz="4" w:space="0" w:color="auto"/>
            </w:tcBorders>
            <w:shd w:val="clear" w:color="auto" w:fill="FF6600"/>
          </w:tcPr>
          <w:p w14:paraId="777BEC03" w14:textId="77777777" w:rsidR="000636C9" w:rsidRPr="00AD4BA3" w:rsidRDefault="000636C9" w:rsidP="00426B59">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37.6</w:t>
            </w:r>
          </w:p>
        </w:tc>
        <w:tc>
          <w:tcPr>
            <w:tcW w:w="1559" w:type="dxa"/>
            <w:tcBorders>
              <w:top w:val="single" w:sz="4" w:space="0" w:color="auto"/>
              <w:left w:val="single" w:sz="4" w:space="0" w:color="auto"/>
              <w:bottom w:val="single" w:sz="12" w:space="0" w:color="000000"/>
              <w:right w:val="single" w:sz="4" w:space="0" w:color="auto"/>
            </w:tcBorders>
            <w:shd w:val="clear" w:color="auto" w:fill="FF6600"/>
          </w:tcPr>
          <w:p w14:paraId="681A2806" w14:textId="77777777" w:rsidR="000636C9" w:rsidRPr="00AD4BA3" w:rsidRDefault="000636C9" w:rsidP="00426B59">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31.2</w:t>
            </w:r>
          </w:p>
        </w:tc>
        <w:tc>
          <w:tcPr>
            <w:tcW w:w="1276" w:type="dxa"/>
            <w:tcBorders>
              <w:top w:val="single" w:sz="4" w:space="0" w:color="auto"/>
              <w:left w:val="single" w:sz="4" w:space="0" w:color="auto"/>
              <w:bottom w:val="single" w:sz="12" w:space="0" w:color="000000"/>
              <w:right w:val="single" w:sz="4" w:space="0" w:color="auto"/>
            </w:tcBorders>
            <w:shd w:val="clear" w:color="auto" w:fill="FF6600"/>
          </w:tcPr>
          <w:p w14:paraId="4E7E4E9D" w14:textId="77777777" w:rsidR="000636C9" w:rsidRPr="00AD4BA3" w:rsidRDefault="000636C9" w:rsidP="00426B59">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32.2</w:t>
            </w:r>
          </w:p>
        </w:tc>
        <w:tc>
          <w:tcPr>
            <w:tcW w:w="1187" w:type="dxa"/>
            <w:tcBorders>
              <w:top w:val="single" w:sz="4" w:space="0" w:color="auto"/>
              <w:left w:val="single" w:sz="4" w:space="0" w:color="auto"/>
              <w:bottom w:val="single" w:sz="12" w:space="0" w:color="000000"/>
            </w:tcBorders>
            <w:shd w:val="clear" w:color="auto" w:fill="FF6600"/>
          </w:tcPr>
          <w:p w14:paraId="5E9AAE1B" w14:textId="77777777" w:rsidR="000636C9" w:rsidRPr="00AD4BA3" w:rsidRDefault="000636C9" w:rsidP="00426B59">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26.8</w:t>
            </w:r>
          </w:p>
        </w:tc>
      </w:tr>
    </w:tbl>
    <w:p w14:paraId="41431D8B" w14:textId="77777777" w:rsidR="000636C9" w:rsidRDefault="000636C9" w:rsidP="005118DA">
      <w:pPr>
        <w:rPr>
          <w:rFonts w:ascii="Gill Sans MT" w:hAnsi="Gill Sans MT"/>
          <w:sz w:val="18"/>
          <w:szCs w:val="18"/>
          <w:u w:val="single"/>
          <w:lang w:val="en-GB"/>
        </w:rPr>
      </w:pPr>
    </w:p>
    <w:p w14:paraId="46D12640" w14:textId="77777777" w:rsidR="001D5CA7" w:rsidRPr="0088648F" w:rsidRDefault="00AD4BA3" w:rsidP="005118DA">
      <w:pPr>
        <w:rPr>
          <w:rFonts w:ascii="Gill Sans MT" w:hAnsi="Gill Sans MT"/>
          <w:sz w:val="18"/>
          <w:szCs w:val="18"/>
          <w:u w:val="single"/>
          <w:lang w:val="en-GB"/>
        </w:rPr>
      </w:pPr>
      <w:r w:rsidRPr="00AD4BA3">
        <w:rPr>
          <w:rFonts w:ascii="Gill Sans MT" w:hAnsi="Gill Sans MT"/>
          <w:sz w:val="18"/>
          <w:szCs w:val="18"/>
          <w:u w:val="single"/>
          <w:lang w:val="en-GB"/>
        </w:rPr>
        <w:t xml:space="preserve">Source: </w:t>
      </w:r>
      <w:r w:rsidRPr="00AD4BA3">
        <w:rPr>
          <w:rFonts w:ascii="Gill Sans MT" w:hAnsi="Gill Sans MT"/>
          <w:sz w:val="18"/>
          <w:szCs w:val="18"/>
          <w:lang w:val="en-GB"/>
        </w:rPr>
        <w:t>World Bank, Worldwide Governance Indicators</w:t>
      </w:r>
    </w:p>
    <w:p w14:paraId="60B54D66" w14:textId="77777777" w:rsidR="00426B59" w:rsidRDefault="00B35BD3" w:rsidP="00D87E1B">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A </w:t>
      </w:r>
      <w:r w:rsidR="00D87E1B">
        <w:rPr>
          <w:rFonts w:ascii="Gill Sans MT" w:hAnsi="Gill Sans MT"/>
          <w:sz w:val="20"/>
          <w:lang w:val="en-GB"/>
        </w:rPr>
        <w:t>feature of the WGI is that for each dimension and each country, it publishes both the estimated scor</w:t>
      </w:r>
      <w:r w:rsidR="003715F3">
        <w:rPr>
          <w:rFonts w:ascii="Gill Sans MT" w:hAnsi="Gill Sans MT"/>
          <w:sz w:val="20"/>
          <w:lang w:val="en-GB"/>
        </w:rPr>
        <w:t>e and the standard error.  The</w:t>
      </w:r>
      <w:r w:rsidR="00D87E1B">
        <w:rPr>
          <w:rFonts w:ascii="Gill Sans MT" w:hAnsi="Gill Sans MT"/>
          <w:sz w:val="20"/>
          <w:lang w:val="en-GB"/>
        </w:rPr>
        <w:t xml:space="preserve"> standard errors are relatively high</w:t>
      </w:r>
      <w:r w:rsidR="0088648F">
        <w:rPr>
          <w:rFonts w:ascii="Gill Sans MT" w:hAnsi="Gill Sans MT"/>
          <w:sz w:val="20"/>
          <w:lang w:val="en-GB"/>
        </w:rPr>
        <w:t>, which means that in many</w:t>
      </w:r>
      <w:r w:rsidR="008F32E3">
        <w:rPr>
          <w:rFonts w:ascii="Gill Sans MT" w:hAnsi="Gill Sans MT"/>
          <w:sz w:val="20"/>
          <w:lang w:val="en-GB"/>
        </w:rPr>
        <w:t xml:space="preserve"> cases, the differences in scores between countries ranked within the same decile are not in fact statistically significant</w:t>
      </w:r>
      <w:r w:rsidR="00C04C6A">
        <w:rPr>
          <w:rStyle w:val="FootnoteReference"/>
          <w:rFonts w:ascii="Gill Sans MT" w:hAnsi="Gill Sans MT"/>
          <w:sz w:val="20"/>
          <w:lang w:val="en-GB"/>
        </w:rPr>
        <w:footnoteReference w:id="10"/>
      </w:r>
      <w:r w:rsidR="006E058A">
        <w:rPr>
          <w:rFonts w:ascii="Gill Sans MT" w:hAnsi="Gill Sans MT"/>
          <w:sz w:val="20"/>
          <w:lang w:val="en-GB"/>
        </w:rPr>
        <w:t>. In T</w:t>
      </w:r>
      <w:r w:rsidR="003715F3">
        <w:rPr>
          <w:rFonts w:ascii="Gill Sans MT" w:hAnsi="Gill Sans MT"/>
          <w:sz w:val="20"/>
          <w:lang w:val="en-GB"/>
        </w:rPr>
        <w:t>able 4</w:t>
      </w:r>
      <w:r w:rsidR="006E058A">
        <w:rPr>
          <w:rFonts w:ascii="Gill Sans MT" w:hAnsi="Gill Sans MT"/>
          <w:sz w:val="20"/>
          <w:lang w:val="en-GB"/>
        </w:rPr>
        <w:t xml:space="preserve"> we have classified</w:t>
      </w:r>
      <w:r w:rsidR="008F32E3">
        <w:rPr>
          <w:rFonts w:ascii="Gill Sans MT" w:hAnsi="Gill Sans MT"/>
          <w:sz w:val="20"/>
          <w:lang w:val="en-GB"/>
        </w:rPr>
        <w:t xml:space="preserve"> the scores using a colour scheme to reflect the </w:t>
      </w:r>
      <w:r w:rsidR="003715F3">
        <w:rPr>
          <w:rFonts w:ascii="Gill Sans MT" w:hAnsi="Gill Sans MT"/>
          <w:sz w:val="20"/>
          <w:lang w:val="en-GB"/>
        </w:rPr>
        <w:t>statistically significant differences</w:t>
      </w:r>
      <w:r w:rsidR="00426B59">
        <w:rPr>
          <w:rFonts w:ascii="Gill Sans MT" w:hAnsi="Gill Sans MT"/>
          <w:sz w:val="20"/>
          <w:lang w:val="en-GB"/>
        </w:rPr>
        <w:t>. Accordingly</w:t>
      </w:r>
      <w:r w:rsidR="008F32E3">
        <w:rPr>
          <w:rFonts w:ascii="Gill Sans MT" w:hAnsi="Gill Sans MT"/>
          <w:sz w:val="20"/>
          <w:lang w:val="en-GB"/>
        </w:rPr>
        <w:t>, where all scores are equivalently low (i.e. with no statistically significant differences), they are shown in red; where one score is significantly superior to all the others, it is marked in green; and where there is a statistically significant intermediate sco</w:t>
      </w:r>
      <w:r w:rsidR="00426B59">
        <w:rPr>
          <w:rFonts w:ascii="Gill Sans MT" w:hAnsi="Gill Sans MT"/>
          <w:sz w:val="20"/>
          <w:lang w:val="en-GB"/>
        </w:rPr>
        <w:t xml:space="preserve">ring, </w:t>
      </w:r>
      <w:r w:rsidR="00C5065C">
        <w:rPr>
          <w:rFonts w:ascii="Gill Sans MT" w:hAnsi="Gill Sans MT"/>
          <w:sz w:val="20"/>
          <w:lang w:val="en-GB"/>
        </w:rPr>
        <w:t xml:space="preserve">this is marked in yellow. </w:t>
      </w:r>
      <w:r>
        <w:rPr>
          <w:rFonts w:ascii="Gill Sans MT" w:hAnsi="Gill Sans MT"/>
          <w:sz w:val="20"/>
          <w:lang w:val="en-GB"/>
        </w:rPr>
        <w:t>In this way</w:t>
      </w:r>
      <w:r w:rsidR="00426B59">
        <w:rPr>
          <w:rFonts w:ascii="Gill Sans MT" w:hAnsi="Gill Sans MT"/>
          <w:sz w:val="20"/>
          <w:lang w:val="en-GB"/>
        </w:rPr>
        <w:t xml:space="preserve">, it is possible to establish a </w:t>
      </w:r>
      <w:r w:rsidR="0088648F">
        <w:rPr>
          <w:rFonts w:ascii="Gill Sans MT" w:hAnsi="Gill Sans MT"/>
          <w:sz w:val="20"/>
          <w:lang w:val="en-GB"/>
        </w:rPr>
        <w:t xml:space="preserve">simple </w:t>
      </w:r>
      <w:r w:rsidR="00426B59">
        <w:rPr>
          <w:rFonts w:ascii="Gill Sans MT" w:hAnsi="Gill Sans MT"/>
          <w:sz w:val="20"/>
          <w:lang w:val="en-GB"/>
        </w:rPr>
        <w:t>ranking of the quality of gover</w:t>
      </w:r>
      <w:r>
        <w:rPr>
          <w:rFonts w:ascii="Gill Sans MT" w:hAnsi="Gill Sans MT"/>
          <w:sz w:val="20"/>
          <w:lang w:val="en-GB"/>
        </w:rPr>
        <w:t>nance across the four countries</w:t>
      </w:r>
      <w:r w:rsidR="00C57E27">
        <w:rPr>
          <w:rFonts w:ascii="Gill Sans MT" w:hAnsi="Gill Sans MT"/>
          <w:sz w:val="20"/>
          <w:lang w:val="en-GB"/>
        </w:rPr>
        <w:t xml:space="preserve"> in 2004</w:t>
      </w:r>
      <w:r w:rsidR="00426B59">
        <w:rPr>
          <w:rFonts w:ascii="Gill Sans MT" w:hAnsi="Gill Sans MT"/>
          <w:sz w:val="20"/>
          <w:lang w:val="en-GB"/>
        </w:rPr>
        <w:t>:</w:t>
      </w:r>
    </w:p>
    <w:p w14:paraId="26672E54" w14:textId="77777777" w:rsidR="00426B59" w:rsidRDefault="00426B59" w:rsidP="00D81DB3">
      <w:pPr>
        <w:pStyle w:val="BodyText"/>
        <w:numPr>
          <w:ilvl w:val="0"/>
          <w:numId w:val="9"/>
        </w:numPr>
        <w:spacing w:line="360" w:lineRule="auto"/>
        <w:rPr>
          <w:rFonts w:ascii="Gill Sans MT" w:hAnsi="Gill Sans MT"/>
          <w:sz w:val="20"/>
          <w:lang w:val="en-GB"/>
        </w:rPr>
      </w:pPr>
      <w:r w:rsidRPr="00C04C6A">
        <w:rPr>
          <w:rFonts w:ascii="Gill Sans MT" w:hAnsi="Gill Sans MT"/>
          <w:b/>
          <w:sz w:val="20"/>
          <w:lang w:val="en-GB"/>
        </w:rPr>
        <w:t>Mali scores the best</w:t>
      </w:r>
      <w:r>
        <w:rPr>
          <w:rFonts w:ascii="Gill Sans MT" w:hAnsi="Gill Sans MT"/>
          <w:sz w:val="20"/>
          <w:lang w:val="en-GB"/>
        </w:rPr>
        <w:t>, scoring poorly on control of corruption and regulatory quality but with significantly superior scores on 3 of the 6 dimensions.</w:t>
      </w:r>
    </w:p>
    <w:p w14:paraId="5F69120C" w14:textId="77777777" w:rsidR="001D5CA7" w:rsidRDefault="00426B59" w:rsidP="00D81DB3">
      <w:pPr>
        <w:pStyle w:val="BodyText"/>
        <w:numPr>
          <w:ilvl w:val="0"/>
          <w:numId w:val="9"/>
        </w:numPr>
        <w:spacing w:line="360" w:lineRule="auto"/>
        <w:rPr>
          <w:rFonts w:ascii="Gill Sans MT" w:hAnsi="Gill Sans MT"/>
          <w:sz w:val="20"/>
          <w:lang w:val="en-GB"/>
        </w:rPr>
      </w:pPr>
      <w:r w:rsidRPr="00C04C6A">
        <w:rPr>
          <w:rFonts w:ascii="Gill Sans MT" w:hAnsi="Gill Sans MT"/>
          <w:b/>
          <w:sz w:val="20"/>
          <w:lang w:val="en-GB"/>
        </w:rPr>
        <w:t>Tanzania may be ranked second</w:t>
      </w:r>
      <w:r w:rsidR="00B35BD3">
        <w:rPr>
          <w:rFonts w:ascii="Gill Sans MT" w:hAnsi="Gill Sans MT"/>
          <w:sz w:val="20"/>
          <w:lang w:val="en-GB"/>
        </w:rPr>
        <w:t xml:space="preserve">. </w:t>
      </w:r>
      <w:r>
        <w:rPr>
          <w:rFonts w:ascii="Gill Sans MT" w:hAnsi="Gill Sans MT"/>
          <w:sz w:val="20"/>
          <w:lang w:val="en-GB"/>
        </w:rPr>
        <w:t>It is notable that it is the best performer with regar</w:t>
      </w:r>
      <w:r w:rsidR="00D42960">
        <w:rPr>
          <w:rFonts w:ascii="Gill Sans MT" w:hAnsi="Gill Sans MT"/>
          <w:sz w:val="20"/>
          <w:lang w:val="en-GB"/>
        </w:rPr>
        <w:t xml:space="preserve">d to government effectiveness. </w:t>
      </w:r>
    </w:p>
    <w:p w14:paraId="5CE645C7" w14:textId="77777777" w:rsidR="00D42960" w:rsidRDefault="00D42960" w:rsidP="00D81DB3">
      <w:pPr>
        <w:pStyle w:val="BodyText"/>
        <w:numPr>
          <w:ilvl w:val="0"/>
          <w:numId w:val="9"/>
        </w:numPr>
        <w:spacing w:line="360" w:lineRule="auto"/>
        <w:rPr>
          <w:rFonts w:ascii="Gill Sans MT" w:hAnsi="Gill Sans MT"/>
          <w:sz w:val="20"/>
          <w:lang w:val="en-GB"/>
        </w:rPr>
      </w:pPr>
      <w:r w:rsidRPr="00C04C6A">
        <w:rPr>
          <w:rFonts w:ascii="Gill Sans MT" w:hAnsi="Gill Sans MT"/>
          <w:b/>
          <w:sz w:val="20"/>
          <w:lang w:val="en-GB"/>
        </w:rPr>
        <w:t>Mozambique may be ranked third</w:t>
      </w:r>
      <w:r w:rsidR="00B35BD3">
        <w:rPr>
          <w:rFonts w:ascii="Gill Sans MT" w:hAnsi="Gill Sans MT"/>
          <w:sz w:val="20"/>
          <w:lang w:val="en-GB"/>
        </w:rPr>
        <w:t>, scoring</w:t>
      </w:r>
      <w:r>
        <w:rPr>
          <w:rFonts w:ascii="Gill Sans MT" w:hAnsi="Gill Sans MT"/>
          <w:sz w:val="20"/>
          <w:lang w:val="en-GB"/>
        </w:rPr>
        <w:t xml:space="preserve"> better than Zambia on voice &amp; accountability and on government effectivenes</w:t>
      </w:r>
      <w:r w:rsidR="0088648F">
        <w:rPr>
          <w:rFonts w:ascii="Gill Sans MT" w:hAnsi="Gill Sans MT"/>
          <w:sz w:val="20"/>
          <w:lang w:val="en-GB"/>
        </w:rPr>
        <w:t>s</w:t>
      </w:r>
      <w:r>
        <w:rPr>
          <w:rFonts w:ascii="Gill Sans MT" w:hAnsi="Gill Sans MT"/>
          <w:sz w:val="20"/>
          <w:lang w:val="en-GB"/>
        </w:rPr>
        <w:t xml:space="preserve">. </w:t>
      </w:r>
    </w:p>
    <w:p w14:paraId="090FC0F5" w14:textId="77777777" w:rsidR="00A74999" w:rsidRDefault="00D42960" w:rsidP="00D81DB3">
      <w:pPr>
        <w:pStyle w:val="BodyText"/>
        <w:numPr>
          <w:ilvl w:val="0"/>
          <w:numId w:val="9"/>
        </w:numPr>
        <w:spacing w:line="360" w:lineRule="auto"/>
        <w:rPr>
          <w:rFonts w:ascii="Gill Sans MT" w:hAnsi="Gill Sans MT"/>
          <w:sz w:val="20"/>
          <w:lang w:val="en-GB"/>
        </w:rPr>
      </w:pPr>
      <w:r w:rsidRPr="00C04C6A">
        <w:rPr>
          <w:rFonts w:ascii="Gill Sans MT" w:hAnsi="Gill Sans MT"/>
          <w:b/>
          <w:sz w:val="20"/>
          <w:lang w:val="en-GB"/>
        </w:rPr>
        <w:lastRenderedPageBreak/>
        <w:t>Zambia scores the lowest</w:t>
      </w:r>
      <w:r>
        <w:rPr>
          <w:rFonts w:ascii="Gill Sans MT" w:hAnsi="Gill Sans MT"/>
          <w:sz w:val="20"/>
          <w:lang w:val="en-GB"/>
        </w:rPr>
        <w:t xml:space="preserve">, scoring better </w:t>
      </w:r>
      <w:r w:rsidR="00C04C6A">
        <w:rPr>
          <w:rFonts w:ascii="Gill Sans MT" w:hAnsi="Gill Sans MT"/>
          <w:sz w:val="20"/>
          <w:lang w:val="en-GB"/>
        </w:rPr>
        <w:t xml:space="preserve">only </w:t>
      </w:r>
      <w:r>
        <w:rPr>
          <w:rFonts w:ascii="Gill Sans MT" w:hAnsi="Gill Sans MT"/>
          <w:sz w:val="20"/>
          <w:lang w:val="en-GB"/>
        </w:rPr>
        <w:t>for political stability and absence of v</w:t>
      </w:r>
      <w:r w:rsidR="00A74999">
        <w:rPr>
          <w:rFonts w:ascii="Gill Sans MT" w:hAnsi="Gill Sans MT"/>
          <w:sz w:val="20"/>
          <w:lang w:val="en-GB"/>
        </w:rPr>
        <w:t xml:space="preserve">iolence. </w:t>
      </w:r>
    </w:p>
    <w:p w14:paraId="3C6A2C6E" w14:textId="77777777" w:rsidR="00D42960" w:rsidRDefault="00A74999" w:rsidP="00A74999">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The</w:t>
      </w:r>
      <w:r w:rsidR="00B35BD3">
        <w:rPr>
          <w:rFonts w:ascii="Gill Sans MT" w:hAnsi="Gill Sans MT"/>
          <w:sz w:val="20"/>
          <w:lang w:val="en-GB"/>
        </w:rPr>
        <w:t xml:space="preserve"> low </w:t>
      </w:r>
      <w:r w:rsidR="00D42960">
        <w:rPr>
          <w:rFonts w:ascii="Gill Sans MT" w:hAnsi="Gill Sans MT"/>
          <w:sz w:val="20"/>
          <w:lang w:val="en-GB"/>
        </w:rPr>
        <w:t xml:space="preserve">ranking </w:t>
      </w:r>
      <w:r>
        <w:rPr>
          <w:rFonts w:ascii="Gill Sans MT" w:hAnsi="Gill Sans MT"/>
          <w:sz w:val="20"/>
          <w:lang w:val="en-GB"/>
        </w:rPr>
        <w:t xml:space="preserve">of Zambia </w:t>
      </w:r>
      <w:r w:rsidR="00D42960">
        <w:rPr>
          <w:rFonts w:ascii="Gill Sans MT" w:hAnsi="Gill Sans MT"/>
          <w:sz w:val="20"/>
          <w:lang w:val="en-GB"/>
        </w:rPr>
        <w:t>with respect to governance is</w:t>
      </w:r>
      <w:r w:rsidR="00580C98">
        <w:rPr>
          <w:rFonts w:ascii="Gill Sans MT" w:hAnsi="Gill Sans MT"/>
          <w:sz w:val="20"/>
          <w:lang w:val="en-GB"/>
        </w:rPr>
        <w:t xml:space="preserve"> explained as follows in the </w:t>
      </w:r>
      <w:r w:rsidR="00AF5419">
        <w:rPr>
          <w:rFonts w:ascii="Gill Sans MT" w:hAnsi="Gill Sans MT"/>
          <w:sz w:val="20"/>
          <w:lang w:val="en-GB"/>
        </w:rPr>
        <w:t>evaluation report: ‘</w:t>
      </w:r>
      <w:r w:rsidR="00AF5419" w:rsidRPr="00AF5419">
        <w:rPr>
          <w:rFonts w:ascii="Gill Sans MT" w:hAnsi="Gill Sans MT"/>
          <w:i/>
          <w:sz w:val="20"/>
          <w:lang w:val="en-GB"/>
        </w:rPr>
        <w:t>In combination with a historical pattern of single-party rule organised by centralised patronage, the fragile systems of checks a</w:t>
      </w:r>
      <w:r w:rsidR="006E058A">
        <w:rPr>
          <w:rFonts w:ascii="Gill Sans MT" w:hAnsi="Gill Sans MT"/>
          <w:i/>
          <w:sz w:val="20"/>
          <w:lang w:val="en-GB"/>
        </w:rPr>
        <w:t>n</w:t>
      </w:r>
      <w:r w:rsidR="00AF5419" w:rsidRPr="00AF5419">
        <w:rPr>
          <w:rFonts w:ascii="Gill Sans MT" w:hAnsi="Gill Sans MT"/>
          <w:i/>
          <w:sz w:val="20"/>
          <w:lang w:val="en-GB"/>
        </w:rPr>
        <w:t>d balances has created incentives and opportunities for the ruling party to undermine electoral competitiveness….In an increasingly politicised environment in which the opposition is gaining in popularity, several GRZ initiatives have attempted to constrain political transparency, reduce the influence of critical non-governmental organisations and shield politicians involved in corruption scandals from judicial prosecution</w:t>
      </w:r>
      <w:r w:rsidR="00AF5419">
        <w:rPr>
          <w:rFonts w:ascii="Gill Sans MT" w:hAnsi="Gill Sans MT"/>
          <w:sz w:val="20"/>
          <w:lang w:val="en-GB"/>
        </w:rPr>
        <w:t>.’ (IOB, 2011; pp. 105-106).</w:t>
      </w:r>
    </w:p>
    <w:p w14:paraId="50373EFE" w14:textId="77777777" w:rsidR="00AF5419" w:rsidRPr="00D87E1B" w:rsidRDefault="00580C98" w:rsidP="00A74999">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An </w:t>
      </w:r>
      <w:r w:rsidR="00C04C6A">
        <w:rPr>
          <w:rFonts w:ascii="Gill Sans MT" w:hAnsi="Gill Sans MT"/>
          <w:sz w:val="20"/>
          <w:lang w:val="en-GB"/>
        </w:rPr>
        <w:t xml:space="preserve">apparent </w:t>
      </w:r>
      <w:r w:rsidR="00C53625">
        <w:rPr>
          <w:rFonts w:ascii="Gill Sans MT" w:hAnsi="Gill Sans MT"/>
          <w:sz w:val="20"/>
          <w:lang w:val="en-GB"/>
        </w:rPr>
        <w:t xml:space="preserve">anomaly worth highlighting </w:t>
      </w:r>
      <w:r w:rsidR="00C04C6A">
        <w:rPr>
          <w:rFonts w:ascii="Gill Sans MT" w:hAnsi="Gill Sans MT"/>
          <w:sz w:val="20"/>
          <w:lang w:val="en-GB"/>
        </w:rPr>
        <w:t xml:space="preserve">in WGI 2004 is the </w:t>
      </w:r>
      <w:r w:rsidR="00C53625">
        <w:rPr>
          <w:rFonts w:ascii="Gill Sans MT" w:hAnsi="Gill Sans MT"/>
          <w:sz w:val="20"/>
          <w:lang w:val="en-GB"/>
        </w:rPr>
        <w:t>high ranking of Mali (63 %) and low ranking of Tanzania (24.5%) with respect to political stability and absence of violen</w:t>
      </w:r>
      <w:r w:rsidR="00C57E27">
        <w:rPr>
          <w:rFonts w:ascii="Gill Sans MT" w:hAnsi="Gill Sans MT"/>
          <w:sz w:val="20"/>
          <w:lang w:val="en-GB"/>
        </w:rPr>
        <w:t xml:space="preserve">ce. These scores are </w:t>
      </w:r>
      <w:r w:rsidR="00C53625">
        <w:rPr>
          <w:rFonts w:ascii="Gill Sans MT" w:hAnsi="Gill Sans MT"/>
          <w:sz w:val="20"/>
          <w:lang w:val="en-GB"/>
        </w:rPr>
        <w:t xml:space="preserve">surprising given the </w:t>
      </w:r>
      <w:r w:rsidR="00C53625" w:rsidRPr="00EC1A3E">
        <w:rPr>
          <w:rFonts w:ascii="Gill Sans MT" w:hAnsi="Gill Sans MT"/>
          <w:i/>
          <w:sz w:val="20"/>
          <w:lang w:val="en-GB"/>
        </w:rPr>
        <w:t>coup d’état</w:t>
      </w:r>
      <w:r w:rsidR="00C53625">
        <w:rPr>
          <w:rFonts w:ascii="Gill Sans MT" w:hAnsi="Gill Sans MT"/>
          <w:sz w:val="20"/>
          <w:lang w:val="en-GB"/>
        </w:rPr>
        <w:t xml:space="preserve"> that Mali suffered in 2012</w:t>
      </w:r>
      <w:r w:rsidR="002E1575">
        <w:rPr>
          <w:rFonts w:ascii="Gill Sans MT" w:hAnsi="Gill Sans MT"/>
          <w:sz w:val="20"/>
          <w:lang w:val="en-GB"/>
        </w:rPr>
        <w:t xml:space="preserve"> in response to </w:t>
      </w:r>
      <w:r w:rsidR="00500E26">
        <w:rPr>
          <w:rFonts w:ascii="Gill Sans MT" w:hAnsi="Gill Sans MT"/>
          <w:sz w:val="20"/>
          <w:lang w:val="en-GB"/>
        </w:rPr>
        <w:t xml:space="preserve">the </w:t>
      </w:r>
      <w:proofErr w:type="spellStart"/>
      <w:r w:rsidR="00500E26">
        <w:rPr>
          <w:rFonts w:ascii="Gill Sans MT" w:hAnsi="Gill Sans MT"/>
          <w:sz w:val="20"/>
          <w:lang w:val="en-GB"/>
        </w:rPr>
        <w:t>Tuareg</w:t>
      </w:r>
      <w:proofErr w:type="spellEnd"/>
      <w:r w:rsidR="00500E26">
        <w:rPr>
          <w:rFonts w:ascii="Gill Sans MT" w:hAnsi="Gill Sans MT"/>
          <w:sz w:val="20"/>
          <w:lang w:val="en-GB"/>
        </w:rPr>
        <w:t xml:space="preserve"> uprising in the North</w:t>
      </w:r>
      <w:r w:rsidR="0088648F">
        <w:rPr>
          <w:rFonts w:ascii="Gill Sans MT" w:hAnsi="Gill Sans MT"/>
          <w:sz w:val="20"/>
          <w:lang w:val="en-GB"/>
        </w:rPr>
        <w:t>, and the fact that Tanzania has</w:t>
      </w:r>
      <w:r w:rsidR="00500E26">
        <w:rPr>
          <w:rFonts w:ascii="Gill Sans MT" w:hAnsi="Gill Sans MT"/>
          <w:sz w:val="20"/>
          <w:lang w:val="en-GB"/>
        </w:rPr>
        <w:t xml:space="preserve"> suffered no comparable event of civil unrest either before or since 2004. However, </w:t>
      </w:r>
      <w:r w:rsidR="00C57E27">
        <w:rPr>
          <w:rFonts w:ascii="Gill Sans MT" w:hAnsi="Gill Sans MT"/>
          <w:sz w:val="20"/>
          <w:lang w:val="en-GB"/>
        </w:rPr>
        <w:t xml:space="preserve">in 2004 (and indeed up to 2008), Mali was perceived both domestically and internationally as peaceful and stable, </w:t>
      </w:r>
      <w:r w:rsidR="00500E26">
        <w:rPr>
          <w:rFonts w:ascii="Gill Sans MT" w:hAnsi="Gill Sans MT"/>
          <w:sz w:val="20"/>
          <w:lang w:val="en-GB"/>
        </w:rPr>
        <w:t>following the polit</w:t>
      </w:r>
      <w:r w:rsidR="00C57E27">
        <w:rPr>
          <w:rFonts w:ascii="Gill Sans MT" w:hAnsi="Gill Sans MT"/>
          <w:sz w:val="20"/>
          <w:lang w:val="en-GB"/>
        </w:rPr>
        <w:t xml:space="preserve">ical settlement reached </w:t>
      </w:r>
      <w:r w:rsidR="00500E26">
        <w:rPr>
          <w:rFonts w:ascii="Gill Sans MT" w:hAnsi="Gill Sans MT"/>
          <w:sz w:val="20"/>
          <w:lang w:val="en-GB"/>
        </w:rPr>
        <w:t>with the signing of the ‘</w:t>
      </w:r>
      <w:proofErr w:type="spellStart"/>
      <w:r w:rsidR="003C06CA" w:rsidRPr="00EC1A3E">
        <w:rPr>
          <w:rFonts w:ascii="Gill Sans MT" w:hAnsi="Gill Sans MT"/>
          <w:i/>
          <w:sz w:val="20"/>
          <w:lang w:val="en-GB"/>
        </w:rPr>
        <w:t>Pacte</w:t>
      </w:r>
      <w:proofErr w:type="spellEnd"/>
      <w:r w:rsidR="00500E26" w:rsidRPr="00EC1A3E">
        <w:rPr>
          <w:rFonts w:ascii="Gill Sans MT" w:hAnsi="Gill Sans MT"/>
          <w:i/>
          <w:sz w:val="20"/>
          <w:lang w:val="en-GB"/>
        </w:rPr>
        <w:t xml:space="preserve"> National</w:t>
      </w:r>
      <w:r w:rsidR="00500E26">
        <w:rPr>
          <w:rFonts w:ascii="Gill Sans MT" w:hAnsi="Gill Sans MT"/>
          <w:sz w:val="20"/>
          <w:lang w:val="en-GB"/>
        </w:rPr>
        <w:t>’ in 1992</w:t>
      </w:r>
      <w:r w:rsidR="003C06CA">
        <w:rPr>
          <w:rFonts w:ascii="Gill Sans MT" w:hAnsi="Gill Sans MT"/>
          <w:sz w:val="20"/>
          <w:lang w:val="en-GB"/>
        </w:rPr>
        <w:t xml:space="preserve">, the period of peace that then followed and the orderly alternation of power between Presidents </w:t>
      </w:r>
      <w:proofErr w:type="spellStart"/>
      <w:r w:rsidR="003C06CA">
        <w:rPr>
          <w:rFonts w:ascii="Gill Sans MT" w:hAnsi="Gill Sans MT"/>
          <w:sz w:val="20"/>
          <w:lang w:val="en-GB"/>
        </w:rPr>
        <w:t>Konaré</w:t>
      </w:r>
      <w:proofErr w:type="spellEnd"/>
      <w:r w:rsidR="003C06CA">
        <w:rPr>
          <w:rFonts w:ascii="Gill Sans MT" w:hAnsi="Gill Sans MT"/>
          <w:sz w:val="20"/>
          <w:lang w:val="en-GB"/>
        </w:rPr>
        <w:t xml:space="preserve"> and </w:t>
      </w:r>
      <w:proofErr w:type="spellStart"/>
      <w:r w:rsidR="003C06CA">
        <w:rPr>
          <w:rFonts w:ascii="Gill Sans MT" w:hAnsi="Gill Sans MT"/>
          <w:sz w:val="20"/>
          <w:lang w:val="en-GB"/>
        </w:rPr>
        <w:t>Touré</w:t>
      </w:r>
      <w:proofErr w:type="spellEnd"/>
      <w:r w:rsidR="003C06CA">
        <w:rPr>
          <w:rFonts w:ascii="Gill Sans MT" w:hAnsi="Gill Sans MT"/>
          <w:sz w:val="20"/>
          <w:lang w:val="en-GB"/>
        </w:rPr>
        <w:t xml:space="preserve"> after the 2002 election. By contrast, the 1998 bombing of the US embassy in Dar es Salaam led to an extensive hunt for Al Qaeda collaborators in Tanzania, which was still continuing in 2004; moreover, there was significant unrest – especially in Zanzibar – between Christians and Muslims in the lead-up to the 2005 national elections.</w:t>
      </w:r>
      <w:r w:rsidR="00C04C6A">
        <w:rPr>
          <w:rFonts w:ascii="Gill Sans MT" w:hAnsi="Gill Sans MT"/>
          <w:sz w:val="20"/>
          <w:lang w:val="en-GB"/>
        </w:rPr>
        <w:t xml:space="preserve"> WGI scores for this dimension later diverged, with the ranking for Mali being 37.7 % in 2010 and 3.8% in 2012, compared with 46.2% and 46.9% respectively for Tanzania.</w:t>
      </w:r>
    </w:p>
    <w:p w14:paraId="7278779A" w14:textId="77777777" w:rsidR="00A0774B" w:rsidRPr="00BE2160" w:rsidRDefault="00310228" w:rsidP="00A0774B">
      <w:pPr>
        <w:pStyle w:val="Heading3"/>
      </w:pPr>
      <w:r>
        <w:t>The political framework</w:t>
      </w:r>
    </w:p>
    <w:p w14:paraId="12914D47" w14:textId="77777777" w:rsidR="006C2C33" w:rsidRDefault="005B0143" w:rsidP="00A0774B">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The WGI governance scores </w:t>
      </w:r>
      <w:r w:rsidR="00CB6EC6">
        <w:rPr>
          <w:rFonts w:ascii="Gill Sans MT" w:hAnsi="Gill Sans MT"/>
          <w:sz w:val="20"/>
          <w:lang w:val="en-GB"/>
        </w:rPr>
        <w:t>address</w:t>
      </w:r>
      <w:r w:rsidR="00A72A03">
        <w:rPr>
          <w:rFonts w:ascii="Gill Sans MT" w:hAnsi="Gill Sans MT"/>
          <w:sz w:val="20"/>
          <w:lang w:val="en-GB"/>
        </w:rPr>
        <w:t xml:space="preserve"> certain aspects of the political system. In particular, the voice and accountability dimension captures perceptions of the extent to which ‘</w:t>
      </w:r>
      <w:r w:rsidR="00A72A03" w:rsidRPr="007E10CA">
        <w:rPr>
          <w:rFonts w:ascii="Gill Sans MT" w:hAnsi="Gill Sans MT"/>
          <w:i/>
          <w:sz w:val="20"/>
          <w:lang w:val="en-GB"/>
        </w:rPr>
        <w:t>a country’s citizens are able to participate in selecting their government, as well as freedom of expression, freedom of association a</w:t>
      </w:r>
      <w:r w:rsidR="006C2C33" w:rsidRPr="007E10CA">
        <w:rPr>
          <w:rFonts w:ascii="Gill Sans MT" w:hAnsi="Gill Sans MT"/>
          <w:i/>
          <w:sz w:val="20"/>
          <w:lang w:val="en-GB"/>
        </w:rPr>
        <w:t>n</w:t>
      </w:r>
      <w:r w:rsidR="00A72A03" w:rsidRPr="007E10CA">
        <w:rPr>
          <w:rFonts w:ascii="Gill Sans MT" w:hAnsi="Gill Sans MT"/>
          <w:i/>
          <w:sz w:val="20"/>
          <w:lang w:val="en-GB"/>
        </w:rPr>
        <w:t>d a free media’</w:t>
      </w:r>
      <w:r w:rsidR="00A72A03">
        <w:rPr>
          <w:rFonts w:ascii="Gill Sans MT" w:hAnsi="Gill Sans MT"/>
          <w:sz w:val="20"/>
          <w:lang w:val="en-GB"/>
        </w:rPr>
        <w:t xml:space="preserve"> (</w:t>
      </w:r>
      <w:proofErr w:type="spellStart"/>
      <w:r w:rsidR="00A72A03">
        <w:rPr>
          <w:rFonts w:ascii="Gill Sans MT" w:hAnsi="Gill Sans MT"/>
          <w:sz w:val="20"/>
          <w:lang w:val="en-GB"/>
        </w:rPr>
        <w:t>Kraay</w:t>
      </w:r>
      <w:proofErr w:type="spellEnd"/>
      <w:r w:rsidR="00A72A03">
        <w:rPr>
          <w:rFonts w:ascii="Gill Sans MT" w:hAnsi="Gill Sans MT"/>
          <w:sz w:val="20"/>
          <w:lang w:val="en-GB"/>
        </w:rPr>
        <w:t xml:space="preserve"> et al., 2010)</w:t>
      </w:r>
      <w:r w:rsidR="006E058A">
        <w:rPr>
          <w:rFonts w:ascii="Gill Sans MT" w:hAnsi="Gill Sans MT"/>
          <w:sz w:val="20"/>
          <w:lang w:val="en-GB"/>
        </w:rPr>
        <w:t>. Ho</w:t>
      </w:r>
      <w:r w:rsidR="006C2C33">
        <w:rPr>
          <w:rFonts w:ascii="Gill Sans MT" w:hAnsi="Gill Sans MT"/>
          <w:sz w:val="20"/>
          <w:lang w:val="en-GB"/>
        </w:rPr>
        <w:t xml:space="preserve">wever, there are </w:t>
      </w:r>
      <w:r w:rsidR="001E7A99">
        <w:rPr>
          <w:rFonts w:ascii="Gill Sans MT" w:hAnsi="Gill Sans MT"/>
          <w:sz w:val="20"/>
          <w:lang w:val="en-GB"/>
        </w:rPr>
        <w:t xml:space="preserve">other </w:t>
      </w:r>
      <w:r w:rsidR="006C2C33">
        <w:rPr>
          <w:rFonts w:ascii="Gill Sans MT" w:hAnsi="Gill Sans MT"/>
          <w:sz w:val="20"/>
          <w:lang w:val="en-GB"/>
        </w:rPr>
        <w:t>aspects of the political framework</w:t>
      </w:r>
      <w:r w:rsidR="001E7A99">
        <w:rPr>
          <w:rFonts w:ascii="Gill Sans MT" w:hAnsi="Gill Sans MT"/>
          <w:sz w:val="20"/>
          <w:lang w:val="en-GB"/>
        </w:rPr>
        <w:t>,</w:t>
      </w:r>
      <w:r w:rsidR="00235F98">
        <w:rPr>
          <w:rFonts w:ascii="Gill Sans MT" w:hAnsi="Gill Sans MT"/>
          <w:sz w:val="20"/>
          <w:lang w:val="en-GB"/>
        </w:rPr>
        <w:t xml:space="preserve"> which are </w:t>
      </w:r>
      <w:r w:rsidR="006C2C33">
        <w:rPr>
          <w:rFonts w:ascii="Gill Sans MT" w:hAnsi="Gill Sans MT"/>
          <w:sz w:val="20"/>
          <w:lang w:val="en-GB"/>
        </w:rPr>
        <w:t>important in determining the ability of a government to achieve satisfactory public policy and spending outcomes.</w:t>
      </w:r>
    </w:p>
    <w:p w14:paraId="6B4E59DB" w14:textId="77777777" w:rsidR="00540253" w:rsidRDefault="006C2C33" w:rsidP="00A0774B">
      <w:pPr>
        <w:pStyle w:val="BodyText"/>
        <w:numPr>
          <w:ilvl w:val="0"/>
          <w:numId w:val="2"/>
        </w:numPr>
        <w:spacing w:line="360" w:lineRule="auto"/>
        <w:ind w:left="499" w:hanging="357"/>
        <w:rPr>
          <w:rFonts w:ascii="Gill Sans MT" w:hAnsi="Gill Sans MT"/>
          <w:sz w:val="20"/>
          <w:lang w:val="en-GB"/>
        </w:rPr>
      </w:pPr>
      <w:r w:rsidRPr="001E7A99">
        <w:rPr>
          <w:rFonts w:ascii="Gill Sans MT" w:hAnsi="Gill Sans MT"/>
          <w:b/>
          <w:sz w:val="20"/>
          <w:lang w:val="en-GB"/>
        </w:rPr>
        <w:t xml:space="preserve">Consistency in political leadership has been found to be an important success factor within developing and transitional country </w:t>
      </w:r>
      <w:r w:rsidR="006E058A" w:rsidRPr="001E7A99">
        <w:rPr>
          <w:rFonts w:ascii="Gill Sans MT" w:hAnsi="Gill Sans MT"/>
          <w:b/>
          <w:sz w:val="20"/>
          <w:lang w:val="en-GB"/>
        </w:rPr>
        <w:t>governments</w:t>
      </w:r>
      <w:r w:rsidR="001E7A99" w:rsidRPr="001E7A99">
        <w:rPr>
          <w:rFonts w:ascii="Gill Sans MT" w:hAnsi="Gill Sans MT"/>
          <w:b/>
          <w:sz w:val="20"/>
          <w:lang w:val="en-GB"/>
        </w:rPr>
        <w:t>,</w:t>
      </w:r>
      <w:r w:rsidR="006E058A">
        <w:rPr>
          <w:rFonts w:ascii="Gill Sans MT" w:hAnsi="Gill Sans MT"/>
          <w:sz w:val="20"/>
          <w:lang w:val="en-GB"/>
        </w:rPr>
        <w:t xml:space="preserve"> which are </w:t>
      </w:r>
      <w:r>
        <w:rPr>
          <w:rFonts w:ascii="Gill Sans MT" w:hAnsi="Gill Sans MT"/>
          <w:sz w:val="20"/>
          <w:lang w:val="en-GB"/>
        </w:rPr>
        <w:t>expanding and improving their public service</w:t>
      </w:r>
      <w:r w:rsidR="001E7A99">
        <w:rPr>
          <w:rFonts w:ascii="Gill Sans MT" w:hAnsi="Gill Sans MT"/>
          <w:sz w:val="20"/>
          <w:lang w:val="en-GB"/>
        </w:rPr>
        <w:t>s</w:t>
      </w:r>
      <w:r>
        <w:rPr>
          <w:rFonts w:ascii="Gill Sans MT" w:hAnsi="Gill Sans MT"/>
          <w:sz w:val="20"/>
          <w:lang w:val="en-GB"/>
        </w:rPr>
        <w:t xml:space="preserve"> </w:t>
      </w:r>
      <w:r w:rsidR="001E7A99">
        <w:rPr>
          <w:rFonts w:ascii="Gill Sans MT" w:hAnsi="Gill Sans MT"/>
          <w:sz w:val="20"/>
          <w:lang w:val="en-GB"/>
        </w:rPr>
        <w:t>and pursuing complex programmes of reforms</w:t>
      </w:r>
      <w:r>
        <w:rPr>
          <w:rFonts w:ascii="Gill Sans MT" w:hAnsi="Gill Sans MT"/>
          <w:sz w:val="20"/>
          <w:lang w:val="en-GB"/>
        </w:rPr>
        <w:t xml:space="preserve">. (Robinson, </w:t>
      </w:r>
      <w:r w:rsidR="005D62A1">
        <w:rPr>
          <w:rFonts w:ascii="Gill Sans MT" w:hAnsi="Gill Sans MT"/>
          <w:sz w:val="20"/>
          <w:lang w:val="en-GB"/>
        </w:rPr>
        <w:t>2007.</w:t>
      </w:r>
      <w:r>
        <w:rPr>
          <w:rFonts w:ascii="Gill Sans MT" w:hAnsi="Gill Sans MT"/>
          <w:sz w:val="20"/>
          <w:lang w:val="en-GB"/>
        </w:rPr>
        <w:t xml:space="preserve">) Frequent changes of government </w:t>
      </w:r>
      <w:r w:rsidR="001E7A99">
        <w:rPr>
          <w:rFonts w:ascii="Gill Sans MT" w:hAnsi="Gill Sans MT"/>
          <w:sz w:val="20"/>
          <w:lang w:val="en-GB"/>
        </w:rPr>
        <w:t>undermine the development of an institutional memory</w:t>
      </w:r>
      <w:r w:rsidR="00CE613D">
        <w:rPr>
          <w:rFonts w:ascii="Gill Sans MT" w:hAnsi="Gill Sans MT"/>
          <w:sz w:val="20"/>
          <w:lang w:val="en-GB"/>
        </w:rPr>
        <w:t>,</w:t>
      </w:r>
      <w:r w:rsidR="001E7A99">
        <w:rPr>
          <w:rFonts w:ascii="Gill Sans MT" w:hAnsi="Gill Sans MT"/>
          <w:sz w:val="20"/>
          <w:lang w:val="en-GB"/>
        </w:rPr>
        <w:t xml:space="preserve"> </w:t>
      </w:r>
      <w:r w:rsidR="00C27EEC">
        <w:rPr>
          <w:rFonts w:ascii="Gill Sans MT" w:hAnsi="Gill Sans MT"/>
          <w:sz w:val="20"/>
          <w:lang w:val="en-GB"/>
        </w:rPr>
        <w:t>com</w:t>
      </w:r>
      <w:r w:rsidR="00D81AD6">
        <w:rPr>
          <w:rFonts w:ascii="Gill Sans MT" w:hAnsi="Gill Sans MT"/>
          <w:sz w:val="20"/>
          <w:lang w:val="en-GB"/>
        </w:rPr>
        <w:t xml:space="preserve">pel a more short-term policy </w:t>
      </w:r>
      <w:r w:rsidR="00C27EEC">
        <w:rPr>
          <w:rFonts w:ascii="Gill Sans MT" w:hAnsi="Gill Sans MT"/>
          <w:sz w:val="20"/>
          <w:lang w:val="en-GB"/>
        </w:rPr>
        <w:t xml:space="preserve">focus and </w:t>
      </w:r>
      <w:r w:rsidR="001E7A99">
        <w:rPr>
          <w:rFonts w:ascii="Gill Sans MT" w:hAnsi="Gill Sans MT"/>
          <w:sz w:val="20"/>
          <w:lang w:val="en-GB"/>
        </w:rPr>
        <w:t xml:space="preserve">fore-shorten the natural cycle of policy analysis, </w:t>
      </w:r>
      <w:r w:rsidR="00CE613D">
        <w:rPr>
          <w:rFonts w:ascii="Gill Sans MT" w:hAnsi="Gill Sans MT"/>
          <w:sz w:val="20"/>
          <w:lang w:val="en-GB"/>
        </w:rPr>
        <w:t>formul</w:t>
      </w:r>
      <w:r w:rsidR="00D81AD6">
        <w:rPr>
          <w:rFonts w:ascii="Gill Sans MT" w:hAnsi="Gill Sans MT"/>
          <w:sz w:val="20"/>
          <w:lang w:val="en-GB"/>
        </w:rPr>
        <w:t>ation and implementation.</w:t>
      </w:r>
    </w:p>
    <w:p w14:paraId="37DA282F" w14:textId="77777777" w:rsidR="00A0774B" w:rsidRDefault="00366BC9" w:rsidP="00A0774B">
      <w:pPr>
        <w:pStyle w:val="BodyText"/>
        <w:numPr>
          <w:ilvl w:val="0"/>
          <w:numId w:val="2"/>
        </w:numPr>
        <w:spacing w:line="360" w:lineRule="auto"/>
        <w:ind w:left="499" w:hanging="357"/>
        <w:rPr>
          <w:rFonts w:ascii="Gill Sans MT" w:hAnsi="Gill Sans MT"/>
          <w:sz w:val="20"/>
          <w:lang w:val="en-GB"/>
        </w:rPr>
      </w:pPr>
      <w:r w:rsidRPr="00540253">
        <w:rPr>
          <w:rFonts w:ascii="Gill Sans MT" w:hAnsi="Gill Sans MT"/>
          <w:b/>
          <w:sz w:val="20"/>
          <w:lang w:val="en-GB"/>
        </w:rPr>
        <w:lastRenderedPageBreak/>
        <w:t>At the same time, the political leadership should feel accountable fo</w:t>
      </w:r>
      <w:r w:rsidR="00540253" w:rsidRPr="00540253">
        <w:rPr>
          <w:rFonts w:ascii="Gill Sans MT" w:hAnsi="Gill Sans MT"/>
          <w:b/>
          <w:sz w:val="20"/>
          <w:lang w:val="en-GB"/>
        </w:rPr>
        <w:t xml:space="preserve">r their actions and should remain </w:t>
      </w:r>
      <w:r w:rsidRPr="00540253">
        <w:rPr>
          <w:rFonts w:ascii="Gill Sans MT" w:hAnsi="Gill Sans MT"/>
          <w:b/>
          <w:sz w:val="20"/>
          <w:lang w:val="en-GB"/>
        </w:rPr>
        <w:t>att</w:t>
      </w:r>
      <w:r w:rsidR="000B1899">
        <w:rPr>
          <w:rFonts w:ascii="Gill Sans MT" w:hAnsi="Gill Sans MT"/>
          <w:b/>
          <w:sz w:val="20"/>
          <w:lang w:val="en-GB"/>
        </w:rPr>
        <w:t xml:space="preserve">entive to </w:t>
      </w:r>
      <w:r w:rsidR="000B1899" w:rsidRPr="00540253">
        <w:rPr>
          <w:rFonts w:ascii="Gill Sans MT" w:hAnsi="Gill Sans MT"/>
          <w:b/>
          <w:sz w:val="20"/>
          <w:lang w:val="en-GB"/>
        </w:rPr>
        <w:t>citizens</w:t>
      </w:r>
      <w:r w:rsidR="000B1899">
        <w:rPr>
          <w:rFonts w:ascii="Gill Sans MT" w:hAnsi="Gill Sans MT"/>
          <w:b/>
          <w:sz w:val="20"/>
          <w:lang w:val="en-GB"/>
        </w:rPr>
        <w:t>’</w:t>
      </w:r>
      <w:r w:rsidR="000B1899" w:rsidRPr="00540253">
        <w:rPr>
          <w:rFonts w:ascii="Gill Sans MT" w:hAnsi="Gill Sans MT"/>
          <w:b/>
          <w:sz w:val="20"/>
          <w:lang w:val="en-GB"/>
        </w:rPr>
        <w:t xml:space="preserve"> </w:t>
      </w:r>
      <w:r w:rsidR="000B1899">
        <w:rPr>
          <w:rFonts w:ascii="Gill Sans MT" w:hAnsi="Gill Sans MT"/>
          <w:b/>
          <w:sz w:val="20"/>
          <w:lang w:val="en-GB"/>
        </w:rPr>
        <w:t>needs</w:t>
      </w:r>
      <w:r w:rsidRPr="00540253">
        <w:rPr>
          <w:rFonts w:ascii="Gill Sans MT" w:hAnsi="Gill Sans MT"/>
          <w:b/>
          <w:sz w:val="20"/>
          <w:lang w:val="en-GB"/>
        </w:rPr>
        <w:t>.</w:t>
      </w:r>
      <w:r>
        <w:rPr>
          <w:rFonts w:ascii="Gill Sans MT" w:hAnsi="Gill Sans MT"/>
          <w:sz w:val="20"/>
          <w:lang w:val="en-GB"/>
        </w:rPr>
        <w:t xml:space="preserve"> </w:t>
      </w:r>
      <w:r w:rsidR="00540253">
        <w:rPr>
          <w:rFonts w:ascii="Gill Sans MT" w:hAnsi="Gill Sans MT"/>
          <w:sz w:val="20"/>
          <w:lang w:val="en-GB"/>
        </w:rPr>
        <w:t>Political leaders, who remain in place for too long and/or who have a limited probability of being voted out of office are likely to lose a sense of accountabilit</w:t>
      </w:r>
      <w:r w:rsidR="005D62A1">
        <w:rPr>
          <w:rFonts w:ascii="Gill Sans MT" w:hAnsi="Gill Sans MT"/>
          <w:sz w:val="20"/>
          <w:lang w:val="en-GB"/>
        </w:rPr>
        <w:t>y and receptivity to the interest</w:t>
      </w:r>
      <w:r w:rsidR="00540253">
        <w:rPr>
          <w:rFonts w:ascii="Gill Sans MT" w:hAnsi="Gill Sans MT"/>
          <w:sz w:val="20"/>
          <w:lang w:val="en-GB"/>
        </w:rPr>
        <w:t xml:space="preserve">s of the electorate. </w:t>
      </w:r>
      <w:r w:rsidR="00391E54">
        <w:rPr>
          <w:rFonts w:ascii="Gill Sans MT" w:hAnsi="Gill Sans MT"/>
          <w:sz w:val="20"/>
          <w:lang w:val="en-GB"/>
        </w:rPr>
        <w:t>Although not sufficient in itself, t</w:t>
      </w:r>
      <w:r w:rsidR="003D28D1">
        <w:rPr>
          <w:rFonts w:ascii="Gill Sans MT" w:hAnsi="Gill Sans MT"/>
          <w:sz w:val="20"/>
          <w:lang w:val="en-GB"/>
        </w:rPr>
        <w:t>his concern is clearly reflected in the constitutional requirement that a President may only hold office for two terms, a requirement, which is common to Mali, Mozambique, Tanz</w:t>
      </w:r>
      <w:r w:rsidR="00391E54">
        <w:rPr>
          <w:rFonts w:ascii="Gill Sans MT" w:hAnsi="Gill Sans MT"/>
          <w:sz w:val="20"/>
          <w:lang w:val="en-GB"/>
        </w:rPr>
        <w:t xml:space="preserve">ania and Zambia (as well as </w:t>
      </w:r>
      <w:r w:rsidR="003D28D1">
        <w:rPr>
          <w:rFonts w:ascii="Gill Sans MT" w:hAnsi="Gill Sans MT"/>
          <w:sz w:val="20"/>
          <w:lang w:val="en-GB"/>
        </w:rPr>
        <w:t>the vast majority of constitutional democracies in the world.)</w:t>
      </w:r>
    </w:p>
    <w:p w14:paraId="47447634" w14:textId="77777777" w:rsidR="00BD3782" w:rsidRDefault="00BD3782" w:rsidP="00A0774B">
      <w:pPr>
        <w:pStyle w:val="BodyText"/>
        <w:numPr>
          <w:ilvl w:val="0"/>
          <w:numId w:val="2"/>
        </w:numPr>
        <w:spacing w:line="360" w:lineRule="auto"/>
        <w:ind w:left="499" w:hanging="357"/>
        <w:rPr>
          <w:rFonts w:ascii="Gill Sans MT" w:hAnsi="Gill Sans MT"/>
          <w:sz w:val="20"/>
          <w:lang w:val="en-GB"/>
        </w:rPr>
      </w:pPr>
      <w:r w:rsidRPr="002E1575">
        <w:rPr>
          <w:rFonts w:ascii="Gill Sans MT" w:hAnsi="Gill Sans MT"/>
          <w:sz w:val="20"/>
          <w:lang w:val="en-GB"/>
        </w:rPr>
        <w:t>How can consistency in leadership be best combined with accountability and attentiveness to voters’ needs</w:t>
      </w:r>
      <w:r w:rsidR="002E1575" w:rsidRPr="002E1575">
        <w:rPr>
          <w:rFonts w:ascii="Gill Sans MT" w:hAnsi="Gill Sans MT"/>
          <w:sz w:val="20"/>
          <w:lang w:val="en-GB"/>
        </w:rPr>
        <w:t>?</w:t>
      </w:r>
      <w:r w:rsidR="002E1575">
        <w:rPr>
          <w:rFonts w:ascii="Gill Sans MT" w:hAnsi="Gill Sans MT"/>
          <w:sz w:val="20"/>
          <w:lang w:val="en-GB"/>
        </w:rPr>
        <w:t xml:space="preserve"> </w:t>
      </w:r>
      <w:r w:rsidR="008069A6">
        <w:rPr>
          <w:rFonts w:ascii="Gill Sans MT" w:hAnsi="Gill Sans MT"/>
          <w:sz w:val="20"/>
          <w:lang w:val="en-GB"/>
        </w:rPr>
        <w:t>Which indicators might be used to assess whether the political structures of budget support receiving countries adequately capture this balance? These are extremely difficult questions</w:t>
      </w:r>
      <w:r w:rsidR="00C27EEC">
        <w:rPr>
          <w:rFonts w:ascii="Gill Sans MT" w:hAnsi="Gill Sans MT"/>
          <w:sz w:val="20"/>
          <w:lang w:val="en-GB"/>
        </w:rPr>
        <w:t xml:space="preserve">, for which there is probably no satisfactory </w:t>
      </w:r>
      <w:r w:rsidR="008069A6">
        <w:rPr>
          <w:rFonts w:ascii="Gill Sans MT" w:hAnsi="Gill Sans MT"/>
          <w:sz w:val="20"/>
          <w:lang w:val="en-GB"/>
        </w:rPr>
        <w:t xml:space="preserve">answer. </w:t>
      </w:r>
      <w:r w:rsidR="00432BF1">
        <w:rPr>
          <w:rFonts w:ascii="Gill Sans MT" w:hAnsi="Gill Sans MT"/>
          <w:sz w:val="20"/>
          <w:lang w:val="en-GB"/>
        </w:rPr>
        <w:t>Nevertheless, it is important to recognise some of the particularities of these four countries in this regard:</w:t>
      </w:r>
    </w:p>
    <w:p w14:paraId="28778EA5" w14:textId="77777777" w:rsidR="00432BF1" w:rsidRDefault="00432BF1" w:rsidP="00D81DB3">
      <w:pPr>
        <w:pStyle w:val="BodyText"/>
        <w:numPr>
          <w:ilvl w:val="0"/>
          <w:numId w:val="10"/>
        </w:numPr>
        <w:spacing w:line="360" w:lineRule="auto"/>
        <w:rPr>
          <w:rFonts w:ascii="Gill Sans MT" w:hAnsi="Gill Sans MT"/>
          <w:sz w:val="20"/>
          <w:lang w:val="en-GB"/>
        </w:rPr>
      </w:pPr>
      <w:r w:rsidRPr="00B56465">
        <w:rPr>
          <w:rFonts w:ascii="Gill Sans MT" w:hAnsi="Gill Sans MT"/>
          <w:b/>
          <w:sz w:val="20"/>
          <w:lang w:val="en-GB"/>
        </w:rPr>
        <w:t>Tanzania and Mozambique</w:t>
      </w:r>
      <w:r>
        <w:rPr>
          <w:rFonts w:ascii="Gill Sans MT" w:hAnsi="Gill Sans MT"/>
          <w:sz w:val="20"/>
          <w:lang w:val="en-GB"/>
        </w:rPr>
        <w:t xml:space="preserve"> have political systems dominated by their majority parties – CCM </w:t>
      </w:r>
      <w:r w:rsidR="007E10CA">
        <w:rPr>
          <w:rFonts w:ascii="Gill Sans MT" w:hAnsi="Gill Sans MT"/>
          <w:sz w:val="20"/>
          <w:lang w:val="en-GB"/>
        </w:rPr>
        <w:t>(</w:t>
      </w:r>
      <w:r w:rsidR="007E10CA" w:rsidRPr="00473398">
        <w:rPr>
          <w:rFonts w:ascii="Gill Sans MT" w:hAnsi="Gill Sans MT"/>
          <w:i/>
          <w:sz w:val="20"/>
          <w:lang w:val="en-GB"/>
        </w:rPr>
        <w:t xml:space="preserve">Chama Cha </w:t>
      </w:r>
      <w:proofErr w:type="spellStart"/>
      <w:r w:rsidR="007E10CA" w:rsidRPr="00473398">
        <w:rPr>
          <w:rFonts w:ascii="Gill Sans MT" w:hAnsi="Gill Sans MT"/>
          <w:i/>
          <w:sz w:val="20"/>
          <w:lang w:val="en-GB"/>
        </w:rPr>
        <w:t>Mapinduzi</w:t>
      </w:r>
      <w:proofErr w:type="spellEnd"/>
      <w:r w:rsidR="007E10CA">
        <w:rPr>
          <w:rFonts w:ascii="Gill Sans MT" w:hAnsi="Gill Sans MT"/>
          <w:sz w:val="20"/>
          <w:lang w:val="en-GB"/>
        </w:rPr>
        <w:t xml:space="preserve">) </w:t>
      </w:r>
      <w:r>
        <w:rPr>
          <w:rFonts w:ascii="Gill Sans MT" w:hAnsi="Gill Sans MT"/>
          <w:sz w:val="20"/>
          <w:lang w:val="en-GB"/>
        </w:rPr>
        <w:t>and Frelimo, which in one form or another have been in government since Independence. This has ensured consistency in leadership and has generated hierarchical and relatively disciplined public administration systems. On the o</w:t>
      </w:r>
      <w:r w:rsidR="00A16FE1">
        <w:rPr>
          <w:rFonts w:ascii="Gill Sans MT" w:hAnsi="Gill Sans MT"/>
          <w:sz w:val="20"/>
          <w:lang w:val="en-GB"/>
        </w:rPr>
        <w:t xml:space="preserve">ther hand, most observers </w:t>
      </w:r>
      <w:r>
        <w:rPr>
          <w:rFonts w:ascii="Gill Sans MT" w:hAnsi="Gill Sans MT"/>
          <w:sz w:val="20"/>
          <w:lang w:val="en-GB"/>
        </w:rPr>
        <w:t>agree that this has undermined accountability</w:t>
      </w:r>
      <w:r w:rsidR="00CE613D">
        <w:rPr>
          <w:rFonts w:ascii="Gill Sans MT" w:hAnsi="Gill Sans MT"/>
          <w:sz w:val="20"/>
          <w:lang w:val="en-GB"/>
        </w:rPr>
        <w:t>,</w:t>
      </w:r>
      <w:r>
        <w:rPr>
          <w:rFonts w:ascii="Gill Sans MT" w:hAnsi="Gill Sans MT"/>
          <w:sz w:val="20"/>
          <w:lang w:val="en-GB"/>
        </w:rPr>
        <w:t xml:space="preserve"> and </w:t>
      </w:r>
      <w:r w:rsidR="00A16FE1">
        <w:rPr>
          <w:rFonts w:ascii="Gill Sans MT" w:hAnsi="Gill Sans MT"/>
          <w:sz w:val="20"/>
          <w:lang w:val="en-GB"/>
        </w:rPr>
        <w:t xml:space="preserve">both the country evaluations report that this </w:t>
      </w:r>
      <w:r>
        <w:rPr>
          <w:rFonts w:ascii="Gill Sans MT" w:hAnsi="Gill Sans MT"/>
          <w:sz w:val="20"/>
          <w:lang w:val="en-GB"/>
        </w:rPr>
        <w:t>has tended to make the political leadership averse to criticism and less than fully attentive to their voters</w:t>
      </w:r>
      <w:r w:rsidR="00CE613D">
        <w:rPr>
          <w:rFonts w:ascii="Gill Sans MT" w:hAnsi="Gill Sans MT"/>
          <w:sz w:val="20"/>
          <w:lang w:val="en-GB"/>
        </w:rPr>
        <w:t>’</w:t>
      </w:r>
      <w:r>
        <w:rPr>
          <w:rFonts w:ascii="Gill Sans MT" w:hAnsi="Gill Sans MT"/>
          <w:sz w:val="20"/>
          <w:lang w:val="en-GB"/>
        </w:rPr>
        <w:t xml:space="preserve"> needs. The fact that Presidential candidates are constitutionally restricted to two terms serves</w:t>
      </w:r>
      <w:r w:rsidR="004B16E6">
        <w:rPr>
          <w:rFonts w:ascii="Gill Sans MT" w:hAnsi="Gill Sans MT"/>
          <w:sz w:val="20"/>
          <w:lang w:val="en-GB"/>
        </w:rPr>
        <w:t>,</w:t>
      </w:r>
      <w:r>
        <w:rPr>
          <w:rFonts w:ascii="Gill Sans MT" w:hAnsi="Gill Sans MT"/>
          <w:sz w:val="20"/>
          <w:lang w:val="en-GB"/>
        </w:rPr>
        <w:t xml:space="preserve"> </w:t>
      </w:r>
      <w:r w:rsidR="004B16E6">
        <w:rPr>
          <w:rFonts w:ascii="Gill Sans MT" w:hAnsi="Gill Sans MT"/>
          <w:sz w:val="20"/>
          <w:lang w:val="en-GB"/>
        </w:rPr>
        <w:t>to a degree</w:t>
      </w:r>
      <w:r w:rsidR="005D62A1">
        <w:rPr>
          <w:rFonts w:ascii="Gill Sans MT" w:hAnsi="Gill Sans MT"/>
          <w:sz w:val="20"/>
          <w:lang w:val="en-GB"/>
        </w:rPr>
        <w:t>, as a counterweight but the evaluations confirm that this ha</w:t>
      </w:r>
      <w:r w:rsidR="004B16E6">
        <w:rPr>
          <w:rFonts w:ascii="Gill Sans MT" w:hAnsi="Gill Sans MT"/>
          <w:sz w:val="20"/>
          <w:lang w:val="en-GB"/>
        </w:rPr>
        <w:t xml:space="preserve">s not </w:t>
      </w:r>
      <w:r w:rsidR="005D62A1">
        <w:rPr>
          <w:rFonts w:ascii="Gill Sans MT" w:hAnsi="Gill Sans MT"/>
          <w:sz w:val="20"/>
          <w:lang w:val="en-GB"/>
        </w:rPr>
        <w:t xml:space="preserve">been </w:t>
      </w:r>
      <w:r w:rsidR="004B16E6">
        <w:rPr>
          <w:rFonts w:ascii="Gill Sans MT" w:hAnsi="Gill Sans MT"/>
          <w:sz w:val="20"/>
          <w:lang w:val="en-GB"/>
        </w:rPr>
        <w:t>sufficient to ensure an adequate level of accountability.</w:t>
      </w:r>
    </w:p>
    <w:p w14:paraId="0DA81D0C" w14:textId="77777777" w:rsidR="004B16E6" w:rsidRDefault="004B16E6" w:rsidP="00D81DB3">
      <w:pPr>
        <w:pStyle w:val="BodyText"/>
        <w:numPr>
          <w:ilvl w:val="0"/>
          <w:numId w:val="10"/>
        </w:numPr>
        <w:spacing w:line="360" w:lineRule="auto"/>
        <w:rPr>
          <w:rFonts w:ascii="Gill Sans MT" w:hAnsi="Gill Sans MT"/>
          <w:sz w:val="20"/>
          <w:lang w:val="en-GB"/>
        </w:rPr>
      </w:pPr>
      <w:r w:rsidRPr="007E10CA">
        <w:rPr>
          <w:rFonts w:ascii="Gill Sans MT" w:hAnsi="Gill Sans MT"/>
          <w:b/>
          <w:sz w:val="20"/>
          <w:lang w:val="en-GB"/>
        </w:rPr>
        <w:t>Zambia</w:t>
      </w:r>
      <w:r>
        <w:rPr>
          <w:rFonts w:ascii="Gill Sans MT" w:hAnsi="Gill Sans MT"/>
          <w:sz w:val="20"/>
          <w:lang w:val="en-GB"/>
        </w:rPr>
        <w:t xml:space="preserve"> </w:t>
      </w:r>
      <w:r w:rsidR="00D15D63">
        <w:rPr>
          <w:rFonts w:ascii="Gill Sans MT" w:hAnsi="Gill Sans MT"/>
          <w:sz w:val="20"/>
          <w:lang w:val="en-GB"/>
        </w:rPr>
        <w:t xml:space="preserve">has been ruled from </w:t>
      </w:r>
      <w:r w:rsidR="001652C5">
        <w:rPr>
          <w:rFonts w:ascii="Gill Sans MT" w:hAnsi="Gill Sans MT"/>
          <w:sz w:val="20"/>
          <w:lang w:val="en-GB"/>
        </w:rPr>
        <w:t xml:space="preserve">1991 </w:t>
      </w:r>
      <w:r w:rsidR="00D15D63">
        <w:rPr>
          <w:rFonts w:ascii="Gill Sans MT" w:hAnsi="Gill Sans MT"/>
          <w:sz w:val="20"/>
          <w:lang w:val="en-GB"/>
        </w:rPr>
        <w:t xml:space="preserve">to 2011 </w:t>
      </w:r>
      <w:r w:rsidR="001652C5">
        <w:rPr>
          <w:rFonts w:ascii="Gill Sans MT" w:hAnsi="Gill Sans MT"/>
          <w:sz w:val="20"/>
          <w:lang w:val="en-GB"/>
        </w:rPr>
        <w:t>by the Movement for Multi-Party Democracy (MMD) who were able to peacefully end the regime of President Kaunda and</w:t>
      </w:r>
      <w:r w:rsidR="007E10CA">
        <w:rPr>
          <w:rFonts w:ascii="Gill Sans MT" w:hAnsi="Gill Sans MT"/>
          <w:sz w:val="20"/>
          <w:lang w:val="en-GB"/>
        </w:rPr>
        <w:t xml:space="preserve"> </w:t>
      </w:r>
      <w:r w:rsidR="001652C5">
        <w:rPr>
          <w:rFonts w:ascii="Gill Sans MT" w:hAnsi="Gill Sans MT"/>
          <w:sz w:val="20"/>
          <w:lang w:val="en-GB"/>
        </w:rPr>
        <w:t xml:space="preserve">introduce multi-party democracy. </w:t>
      </w:r>
      <w:r w:rsidR="00CC2318">
        <w:rPr>
          <w:rFonts w:ascii="Gill Sans MT" w:hAnsi="Gill Sans MT"/>
          <w:sz w:val="20"/>
          <w:lang w:val="en-GB"/>
        </w:rPr>
        <w:t xml:space="preserve">The new regime under President </w:t>
      </w:r>
      <w:proofErr w:type="spellStart"/>
      <w:r w:rsidR="00CC2318">
        <w:rPr>
          <w:rFonts w:ascii="Gill Sans MT" w:hAnsi="Gill Sans MT"/>
          <w:sz w:val="20"/>
          <w:lang w:val="en-GB"/>
        </w:rPr>
        <w:t>Chiluba</w:t>
      </w:r>
      <w:proofErr w:type="spellEnd"/>
      <w:r w:rsidR="00CC2318">
        <w:rPr>
          <w:rFonts w:ascii="Gill Sans MT" w:hAnsi="Gill Sans MT"/>
          <w:sz w:val="20"/>
          <w:lang w:val="en-GB"/>
        </w:rPr>
        <w:t xml:space="preserve"> initially showed strong democratic credentials but in the latter half of the 1990s democratic accountability began to deteriorate, with political rights and civil liberti</w:t>
      </w:r>
      <w:r w:rsidR="007E10CA">
        <w:rPr>
          <w:rFonts w:ascii="Gill Sans MT" w:hAnsi="Gill Sans MT"/>
          <w:sz w:val="20"/>
          <w:lang w:val="en-GB"/>
        </w:rPr>
        <w:t xml:space="preserve">es being curtailed. </w:t>
      </w:r>
      <w:r w:rsidR="00CC2318">
        <w:rPr>
          <w:rFonts w:ascii="Gill Sans MT" w:hAnsi="Gill Sans MT"/>
          <w:sz w:val="20"/>
          <w:lang w:val="en-GB"/>
        </w:rPr>
        <w:t xml:space="preserve">Civil protest proved effective in 2001 in preventing President </w:t>
      </w:r>
      <w:proofErr w:type="spellStart"/>
      <w:r w:rsidR="00CC2318">
        <w:rPr>
          <w:rFonts w:ascii="Gill Sans MT" w:hAnsi="Gill Sans MT"/>
          <w:sz w:val="20"/>
          <w:lang w:val="en-GB"/>
        </w:rPr>
        <w:t>Chiluba</w:t>
      </w:r>
      <w:proofErr w:type="spellEnd"/>
      <w:r w:rsidR="00CC2318">
        <w:rPr>
          <w:rFonts w:ascii="Gill Sans MT" w:hAnsi="Gill Sans MT"/>
          <w:sz w:val="20"/>
          <w:lang w:val="en-GB"/>
        </w:rPr>
        <w:t xml:space="preserve"> from changing the Constitution and running for a third term</w:t>
      </w:r>
      <w:r w:rsidR="00B56465">
        <w:rPr>
          <w:rFonts w:ascii="Gill Sans MT" w:hAnsi="Gill Sans MT"/>
          <w:sz w:val="20"/>
          <w:lang w:val="en-GB"/>
        </w:rPr>
        <w:t xml:space="preserve"> but the MMD candidates still won elections in 2002, 2006 and 2008.  </w:t>
      </w:r>
      <w:r w:rsidR="007E10CA">
        <w:rPr>
          <w:rFonts w:ascii="Gill Sans MT" w:hAnsi="Gill Sans MT"/>
          <w:sz w:val="20"/>
          <w:lang w:val="en-GB"/>
        </w:rPr>
        <w:t xml:space="preserve">This permitted an increasing concentration of power in the hands of the executive vis-à-vis the legislature, the judiciary and civil society. (IOB, 2011; p.104.) </w:t>
      </w:r>
      <w:r w:rsidR="00B56465">
        <w:rPr>
          <w:rFonts w:ascii="Gill Sans MT" w:hAnsi="Gill Sans MT"/>
          <w:sz w:val="20"/>
          <w:lang w:val="en-GB"/>
        </w:rPr>
        <w:t>However, it does not seem that shortcomings in accoun</w:t>
      </w:r>
      <w:r w:rsidR="007E10CA">
        <w:rPr>
          <w:rFonts w:ascii="Gill Sans MT" w:hAnsi="Gill Sans MT"/>
          <w:sz w:val="20"/>
          <w:lang w:val="en-GB"/>
        </w:rPr>
        <w:t xml:space="preserve">tability were compensated </w:t>
      </w:r>
      <w:r w:rsidR="00B56465">
        <w:rPr>
          <w:rFonts w:ascii="Gill Sans MT" w:hAnsi="Gill Sans MT"/>
          <w:sz w:val="20"/>
          <w:lang w:val="en-GB"/>
        </w:rPr>
        <w:t>by increased consistency of leadership or greater efficiency in government. The low WGI scores on government effectiveness are testament</w:t>
      </w:r>
      <w:r w:rsidR="007E10CA">
        <w:rPr>
          <w:rFonts w:ascii="Gill Sans MT" w:hAnsi="Gill Sans MT"/>
          <w:sz w:val="20"/>
          <w:lang w:val="en-GB"/>
        </w:rPr>
        <w:t xml:space="preserve"> to this. The evaluation </w:t>
      </w:r>
      <w:r w:rsidR="00B56465">
        <w:rPr>
          <w:rFonts w:ascii="Gill Sans MT" w:hAnsi="Gill Sans MT"/>
          <w:sz w:val="20"/>
          <w:lang w:val="en-GB"/>
        </w:rPr>
        <w:t>also points to the frag</w:t>
      </w:r>
      <w:r w:rsidR="00617EF1">
        <w:rPr>
          <w:rFonts w:ascii="Gill Sans MT" w:hAnsi="Gill Sans MT"/>
          <w:sz w:val="20"/>
          <w:lang w:val="en-GB"/>
        </w:rPr>
        <w:t xml:space="preserve">mentation within government, </w:t>
      </w:r>
      <w:r w:rsidR="00B56465">
        <w:rPr>
          <w:rFonts w:ascii="Gill Sans MT" w:hAnsi="Gill Sans MT"/>
          <w:sz w:val="20"/>
          <w:lang w:val="en-GB"/>
        </w:rPr>
        <w:t>the lack of discipline</w:t>
      </w:r>
      <w:r w:rsidR="00617EF1">
        <w:rPr>
          <w:rFonts w:ascii="Gill Sans MT" w:hAnsi="Gill Sans MT"/>
          <w:sz w:val="20"/>
          <w:lang w:val="en-GB"/>
        </w:rPr>
        <w:t xml:space="preserve"> displayed by sector Ministers </w:t>
      </w:r>
      <w:r w:rsidR="00F02D14">
        <w:rPr>
          <w:rFonts w:ascii="Gill Sans MT" w:hAnsi="Gill Sans MT"/>
          <w:sz w:val="20"/>
          <w:lang w:val="en-GB"/>
        </w:rPr>
        <w:t>and the consequent negative effects</w:t>
      </w:r>
      <w:r w:rsidR="005D62A1">
        <w:rPr>
          <w:rFonts w:ascii="Gill Sans MT" w:hAnsi="Gill Sans MT"/>
          <w:sz w:val="20"/>
          <w:lang w:val="en-GB"/>
        </w:rPr>
        <w:t xml:space="preserve"> on the efficacy</w:t>
      </w:r>
      <w:r w:rsidR="00F02D14">
        <w:rPr>
          <w:rFonts w:ascii="Gill Sans MT" w:hAnsi="Gill Sans MT"/>
          <w:sz w:val="20"/>
          <w:lang w:val="en-GB"/>
        </w:rPr>
        <w:t xml:space="preserve"> of Sector Advisory Groups (SAGs).</w:t>
      </w:r>
      <w:r w:rsidR="001B27D9">
        <w:rPr>
          <w:rFonts w:ascii="Gill Sans MT" w:hAnsi="Gill Sans MT"/>
          <w:sz w:val="20"/>
          <w:lang w:val="en-GB"/>
        </w:rPr>
        <w:t xml:space="preserve"> (IOB, 2011.)</w:t>
      </w:r>
    </w:p>
    <w:p w14:paraId="056F0551" w14:textId="77777777" w:rsidR="00B56465" w:rsidRPr="002E1575" w:rsidRDefault="00A64F2B" w:rsidP="00D81DB3">
      <w:pPr>
        <w:pStyle w:val="BodyText"/>
        <w:numPr>
          <w:ilvl w:val="0"/>
          <w:numId w:val="10"/>
        </w:numPr>
        <w:spacing w:line="360" w:lineRule="auto"/>
        <w:rPr>
          <w:rFonts w:ascii="Gill Sans MT" w:hAnsi="Gill Sans MT"/>
          <w:sz w:val="20"/>
          <w:lang w:val="en-GB"/>
        </w:rPr>
      </w:pPr>
      <w:r>
        <w:rPr>
          <w:rFonts w:ascii="Gill Sans MT" w:hAnsi="Gill Sans MT"/>
          <w:sz w:val="20"/>
          <w:lang w:val="en-GB"/>
        </w:rPr>
        <w:lastRenderedPageBreak/>
        <w:t xml:space="preserve">Since the restoration of democracy in 1992, </w:t>
      </w:r>
      <w:r w:rsidR="00B56465">
        <w:rPr>
          <w:rFonts w:ascii="Gill Sans MT" w:hAnsi="Gill Sans MT"/>
          <w:b/>
          <w:sz w:val="20"/>
          <w:lang w:val="en-GB"/>
        </w:rPr>
        <w:t xml:space="preserve">Mali </w:t>
      </w:r>
      <w:r w:rsidR="00B56465">
        <w:rPr>
          <w:rFonts w:ascii="Gill Sans MT" w:hAnsi="Gill Sans MT"/>
          <w:sz w:val="20"/>
          <w:lang w:val="en-GB"/>
        </w:rPr>
        <w:t xml:space="preserve">has been ruled </w:t>
      </w:r>
      <w:r w:rsidR="00A16FE1">
        <w:rPr>
          <w:rFonts w:ascii="Gill Sans MT" w:hAnsi="Gill Sans MT"/>
          <w:sz w:val="20"/>
          <w:lang w:val="en-GB"/>
        </w:rPr>
        <w:t xml:space="preserve">by </w:t>
      </w:r>
      <w:r>
        <w:rPr>
          <w:rFonts w:ascii="Gill Sans MT" w:hAnsi="Gill Sans MT"/>
          <w:sz w:val="20"/>
          <w:lang w:val="en-GB"/>
        </w:rPr>
        <w:t xml:space="preserve">two presidents and </w:t>
      </w:r>
      <w:r w:rsidR="00B56465">
        <w:rPr>
          <w:rFonts w:ascii="Gill Sans MT" w:hAnsi="Gill Sans MT"/>
          <w:sz w:val="20"/>
          <w:lang w:val="en-GB"/>
        </w:rPr>
        <w:t xml:space="preserve">a variety of parties and </w:t>
      </w:r>
      <w:r>
        <w:rPr>
          <w:rFonts w:ascii="Gill Sans MT" w:hAnsi="Gill Sans MT"/>
          <w:sz w:val="20"/>
          <w:lang w:val="en-GB"/>
        </w:rPr>
        <w:t xml:space="preserve">parliamentary </w:t>
      </w:r>
      <w:r w:rsidR="00B56465">
        <w:rPr>
          <w:rFonts w:ascii="Gill Sans MT" w:hAnsi="Gill Sans MT"/>
          <w:sz w:val="20"/>
          <w:lang w:val="en-GB"/>
        </w:rPr>
        <w:t>coalitions</w:t>
      </w:r>
      <w:r w:rsidR="00BD29FA">
        <w:rPr>
          <w:rFonts w:ascii="Gill Sans MT" w:hAnsi="Gill Sans MT"/>
          <w:sz w:val="20"/>
          <w:lang w:val="en-GB"/>
        </w:rPr>
        <w:t xml:space="preserve">. President Alpha </w:t>
      </w:r>
      <w:proofErr w:type="spellStart"/>
      <w:r w:rsidR="00BD29FA">
        <w:rPr>
          <w:rFonts w:ascii="Gill Sans MT" w:hAnsi="Gill Sans MT"/>
          <w:sz w:val="20"/>
          <w:lang w:val="en-GB"/>
        </w:rPr>
        <w:t>Konaré</w:t>
      </w:r>
      <w:proofErr w:type="spellEnd"/>
      <w:r w:rsidR="00BD29FA">
        <w:rPr>
          <w:rFonts w:ascii="Gill Sans MT" w:hAnsi="Gill Sans MT"/>
          <w:sz w:val="20"/>
          <w:lang w:val="en-GB"/>
        </w:rPr>
        <w:t xml:space="preserve"> of the Alliance for Democracy in Mali (ADEMA) won both the 1992 and 1997 elections</w:t>
      </w:r>
      <w:r>
        <w:rPr>
          <w:rFonts w:ascii="Gill Sans MT" w:hAnsi="Gill Sans MT"/>
          <w:sz w:val="20"/>
          <w:lang w:val="en-GB"/>
        </w:rPr>
        <w:t xml:space="preserve">, with ADEMA also winning a majority of the parliamentary seats in each case. The 2002 and 2007 elections were both won by President Amadou </w:t>
      </w:r>
      <w:proofErr w:type="spellStart"/>
      <w:r>
        <w:rPr>
          <w:rFonts w:ascii="Gill Sans MT" w:hAnsi="Gill Sans MT"/>
          <w:sz w:val="20"/>
          <w:lang w:val="en-GB"/>
        </w:rPr>
        <w:t>Toumani</w:t>
      </w:r>
      <w:proofErr w:type="spellEnd"/>
      <w:r>
        <w:rPr>
          <w:rFonts w:ascii="Gill Sans MT" w:hAnsi="Gill Sans MT"/>
          <w:sz w:val="20"/>
          <w:lang w:val="en-GB"/>
        </w:rPr>
        <w:t xml:space="preserve"> </w:t>
      </w:r>
      <w:proofErr w:type="spellStart"/>
      <w:r>
        <w:rPr>
          <w:rFonts w:ascii="Gill Sans MT" w:hAnsi="Gill Sans MT"/>
          <w:sz w:val="20"/>
          <w:lang w:val="en-GB"/>
        </w:rPr>
        <w:t>Touré</w:t>
      </w:r>
      <w:proofErr w:type="spellEnd"/>
      <w:r>
        <w:rPr>
          <w:rFonts w:ascii="Gill Sans MT" w:hAnsi="Gill Sans MT"/>
          <w:sz w:val="20"/>
          <w:lang w:val="en-GB"/>
        </w:rPr>
        <w:t xml:space="preserve">, standing as an independent in each case, while no party won an overall majority in Parliament in either election.  </w:t>
      </w:r>
      <w:r w:rsidR="00A16FE1">
        <w:rPr>
          <w:rFonts w:ascii="Gill Sans MT" w:hAnsi="Gill Sans MT"/>
          <w:sz w:val="20"/>
          <w:lang w:val="en-GB"/>
        </w:rPr>
        <w:t xml:space="preserve">Thus, of the four countries, it might be said that Mali comes closest to combining consistency in leadership at the presidential level, with a reasonable level of alternation of power between political parties and coalitions. </w:t>
      </w:r>
    </w:p>
    <w:p w14:paraId="0F2BB17F" w14:textId="77777777" w:rsidR="00CE613D" w:rsidRPr="00BE2160" w:rsidRDefault="00641608" w:rsidP="00CE613D">
      <w:pPr>
        <w:pStyle w:val="Heading3"/>
      </w:pPr>
      <w:r>
        <w:t>The nature of Aid relations</w:t>
      </w:r>
    </w:p>
    <w:p w14:paraId="1A450A0A" w14:textId="77777777" w:rsidR="006F555E" w:rsidRDefault="005468DB" w:rsidP="00CE613D">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There are conflicting theories about how policy dialogue and conditionality may foster institutional and policy reforms in budget support receiving countries. However, </w:t>
      </w:r>
      <w:r w:rsidR="00F61E01">
        <w:rPr>
          <w:rFonts w:ascii="Gill Sans MT" w:hAnsi="Gill Sans MT"/>
          <w:sz w:val="20"/>
          <w:lang w:val="en-GB"/>
        </w:rPr>
        <w:t xml:space="preserve">the degree of aid dependency is clearly relevant. In addition, </w:t>
      </w:r>
      <w:r>
        <w:rPr>
          <w:rFonts w:ascii="Gill Sans MT" w:hAnsi="Gill Sans MT"/>
          <w:sz w:val="20"/>
          <w:lang w:val="en-GB"/>
        </w:rPr>
        <w:t>constructive dialogue betw</w:t>
      </w:r>
      <w:r w:rsidR="00F61E01">
        <w:rPr>
          <w:rFonts w:ascii="Gill Sans MT" w:hAnsi="Gill Sans MT"/>
          <w:sz w:val="20"/>
          <w:lang w:val="en-GB"/>
        </w:rPr>
        <w:t xml:space="preserve">een government and donors </w:t>
      </w:r>
      <w:r>
        <w:rPr>
          <w:rFonts w:ascii="Gill Sans MT" w:hAnsi="Gill Sans MT"/>
          <w:sz w:val="20"/>
          <w:lang w:val="en-GB"/>
        </w:rPr>
        <w:t>require</w:t>
      </w:r>
      <w:r w:rsidR="00F61E01">
        <w:rPr>
          <w:rFonts w:ascii="Gill Sans MT" w:hAnsi="Gill Sans MT"/>
          <w:sz w:val="20"/>
          <w:lang w:val="en-GB"/>
        </w:rPr>
        <w:t>s</w:t>
      </w:r>
      <w:r w:rsidR="00F720C8">
        <w:rPr>
          <w:rFonts w:ascii="Gill Sans MT" w:hAnsi="Gill Sans MT"/>
          <w:sz w:val="20"/>
          <w:lang w:val="en-GB"/>
        </w:rPr>
        <w:t xml:space="preserve"> </w:t>
      </w:r>
      <w:r w:rsidR="00F61E01">
        <w:rPr>
          <w:rFonts w:ascii="Gill Sans MT" w:hAnsi="Gill Sans MT"/>
          <w:sz w:val="20"/>
          <w:lang w:val="en-GB"/>
        </w:rPr>
        <w:t>a context where Development Cooperation is seen to provide a genuine added value.</w:t>
      </w:r>
      <w:r w:rsidR="00E96118">
        <w:rPr>
          <w:rFonts w:ascii="Gill Sans MT" w:hAnsi="Gill Sans MT"/>
          <w:sz w:val="20"/>
          <w:lang w:val="en-GB"/>
        </w:rPr>
        <w:t xml:space="preserve"> </w:t>
      </w:r>
      <w:r w:rsidR="00F61E01">
        <w:rPr>
          <w:rFonts w:ascii="Gill Sans MT" w:hAnsi="Gill Sans MT"/>
          <w:sz w:val="20"/>
          <w:lang w:val="en-GB"/>
        </w:rPr>
        <w:t>For this</w:t>
      </w:r>
      <w:r w:rsidR="00F720C8">
        <w:rPr>
          <w:rFonts w:ascii="Gill Sans MT" w:hAnsi="Gill Sans MT"/>
          <w:sz w:val="20"/>
          <w:lang w:val="en-GB"/>
        </w:rPr>
        <w:t xml:space="preserve">, it seems desirable to have </w:t>
      </w:r>
      <w:r w:rsidR="00E96118">
        <w:rPr>
          <w:rFonts w:ascii="Gill Sans MT" w:hAnsi="Gill Sans MT"/>
          <w:sz w:val="20"/>
          <w:lang w:val="en-GB"/>
        </w:rPr>
        <w:t xml:space="preserve">a </w:t>
      </w:r>
      <w:r w:rsidR="00F720C8">
        <w:rPr>
          <w:rFonts w:ascii="Gill Sans MT" w:hAnsi="Gill Sans MT"/>
          <w:sz w:val="20"/>
          <w:lang w:val="en-GB"/>
        </w:rPr>
        <w:t xml:space="preserve">starting </w:t>
      </w:r>
      <w:r w:rsidR="00E96118">
        <w:rPr>
          <w:rFonts w:ascii="Gill Sans MT" w:hAnsi="Gill Sans MT"/>
          <w:sz w:val="20"/>
          <w:lang w:val="en-GB"/>
        </w:rPr>
        <w:t xml:space="preserve">context where </w:t>
      </w:r>
      <w:r w:rsidR="00F720C8">
        <w:rPr>
          <w:rFonts w:ascii="Gill Sans MT" w:hAnsi="Gill Sans MT"/>
          <w:sz w:val="20"/>
          <w:lang w:val="en-GB"/>
        </w:rPr>
        <w:t xml:space="preserve">a) there is an existing framework for dialogue and b) where </w:t>
      </w:r>
      <w:r w:rsidR="00E96118">
        <w:rPr>
          <w:rFonts w:ascii="Gill Sans MT" w:hAnsi="Gill Sans MT"/>
          <w:sz w:val="20"/>
          <w:lang w:val="en-GB"/>
        </w:rPr>
        <w:t>underlying relations are good.</w:t>
      </w:r>
      <w:r>
        <w:rPr>
          <w:rFonts w:ascii="Gill Sans MT" w:hAnsi="Gill Sans MT"/>
          <w:sz w:val="20"/>
          <w:lang w:val="en-GB"/>
        </w:rPr>
        <w:t xml:space="preserve"> </w:t>
      </w:r>
    </w:p>
    <w:p w14:paraId="659EDE3F" w14:textId="77777777" w:rsidR="00617EF1" w:rsidRDefault="00617EF1" w:rsidP="00DB18AC">
      <w:pPr>
        <w:pStyle w:val="Caption"/>
        <w:jc w:val="center"/>
        <w:rPr>
          <w:lang w:val="en-GB"/>
        </w:rPr>
      </w:pPr>
      <w:bookmarkStart w:id="63" w:name="_Toc279848285"/>
      <w:r w:rsidRPr="00617EF1">
        <w:rPr>
          <w:lang w:val="en-GB"/>
        </w:rPr>
        <w:t xml:space="preserve">Table </w:t>
      </w:r>
      <w:r w:rsidRPr="00617EF1">
        <w:rPr>
          <w:lang w:val="en-GB"/>
        </w:rPr>
        <w:fldChar w:fldCharType="begin"/>
      </w:r>
      <w:r w:rsidRPr="00617EF1">
        <w:rPr>
          <w:lang w:val="en-GB"/>
        </w:rPr>
        <w:instrText xml:space="preserve"> SEQ Table \* ARABIC </w:instrText>
      </w:r>
      <w:r w:rsidRPr="00617EF1">
        <w:rPr>
          <w:lang w:val="en-GB"/>
        </w:rPr>
        <w:fldChar w:fldCharType="separate"/>
      </w:r>
      <w:r w:rsidR="00967582">
        <w:rPr>
          <w:noProof/>
          <w:lang w:val="en-GB"/>
        </w:rPr>
        <w:t>5</w:t>
      </w:r>
      <w:r w:rsidRPr="00617EF1">
        <w:rPr>
          <w:lang w:val="en-GB"/>
        </w:rPr>
        <w:fldChar w:fldCharType="end"/>
      </w:r>
      <w:r w:rsidRPr="00617EF1">
        <w:rPr>
          <w:lang w:val="en-GB"/>
        </w:rPr>
        <w:t>: The Nature of Aid Relations in the 4 recipient LICs – key variables</w:t>
      </w:r>
      <w:bookmarkEnd w:id="63"/>
    </w:p>
    <w:tbl>
      <w:tblPr>
        <w:tblStyle w:val="TableClassic2"/>
        <w:tblW w:w="0" w:type="auto"/>
        <w:tblLayout w:type="fixed"/>
        <w:tblLook w:val="04A0" w:firstRow="1" w:lastRow="0" w:firstColumn="1" w:lastColumn="0" w:noHBand="0" w:noVBand="1"/>
      </w:tblPr>
      <w:tblGrid>
        <w:gridCol w:w="2943"/>
        <w:gridCol w:w="1395"/>
        <w:gridCol w:w="1396"/>
        <w:gridCol w:w="1395"/>
        <w:gridCol w:w="1396"/>
      </w:tblGrid>
      <w:tr w:rsidR="005E34B9" w:rsidRPr="005E34B9" w14:paraId="4F5E2C99" w14:textId="77777777" w:rsidTr="00F61E0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43" w:type="dxa"/>
          </w:tcPr>
          <w:p w14:paraId="1AC11512" w14:textId="77777777" w:rsidR="00617EF1" w:rsidRPr="005E34B9" w:rsidRDefault="00617EF1" w:rsidP="00617EF1">
            <w:pPr>
              <w:rPr>
                <w:rFonts w:ascii="Gill Sans MT" w:hAnsi="Gill Sans MT"/>
                <w:sz w:val="22"/>
                <w:szCs w:val="22"/>
                <w:lang w:val="en-GB"/>
              </w:rPr>
            </w:pPr>
          </w:p>
        </w:tc>
        <w:tc>
          <w:tcPr>
            <w:tcW w:w="1395" w:type="dxa"/>
          </w:tcPr>
          <w:p w14:paraId="7C520284" w14:textId="77777777" w:rsidR="00617EF1" w:rsidRPr="005E34B9" w:rsidRDefault="002A4804" w:rsidP="000F0C16">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5E34B9">
              <w:rPr>
                <w:rFonts w:ascii="Gill Sans MT" w:hAnsi="Gill Sans MT"/>
                <w:sz w:val="22"/>
                <w:szCs w:val="22"/>
                <w:lang w:val="en-GB"/>
              </w:rPr>
              <w:t>Mali</w:t>
            </w:r>
          </w:p>
          <w:p w14:paraId="71377DE2" w14:textId="77777777" w:rsidR="002A4804" w:rsidRPr="005E34B9" w:rsidRDefault="002A4804" w:rsidP="000F0C16">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5E34B9">
              <w:rPr>
                <w:rFonts w:ascii="Gill Sans MT" w:hAnsi="Gill Sans MT"/>
                <w:sz w:val="22"/>
                <w:szCs w:val="22"/>
                <w:lang w:val="en-GB"/>
              </w:rPr>
              <w:t>(2003-2009)</w:t>
            </w:r>
          </w:p>
        </w:tc>
        <w:tc>
          <w:tcPr>
            <w:tcW w:w="1396" w:type="dxa"/>
          </w:tcPr>
          <w:p w14:paraId="78E531B9" w14:textId="77777777" w:rsidR="00617EF1" w:rsidRPr="005E34B9" w:rsidRDefault="002A4804" w:rsidP="000F0C16">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5E34B9">
              <w:rPr>
                <w:rFonts w:ascii="Gill Sans MT" w:hAnsi="Gill Sans MT"/>
                <w:sz w:val="22"/>
                <w:szCs w:val="22"/>
                <w:lang w:val="en-GB"/>
              </w:rPr>
              <w:t>Mozambique</w:t>
            </w:r>
          </w:p>
          <w:p w14:paraId="0BB17255" w14:textId="77777777" w:rsidR="002A4804" w:rsidRPr="005E34B9" w:rsidRDefault="002A4804" w:rsidP="000F0C16">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5E34B9">
              <w:rPr>
                <w:rFonts w:ascii="Gill Sans MT" w:hAnsi="Gill Sans MT"/>
                <w:sz w:val="22"/>
                <w:szCs w:val="22"/>
                <w:lang w:val="en-GB"/>
              </w:rPr>
              <w:t>(2005-2012)</w:t>
            </w:r>
          </w:p>
        </w:tc>
        <w:tc>
          <w:tcPr>
            <w:tcW w:w="1395" w:type="dxa"/>
          </w:tcPr>
          <w:p w14:paraId="317BDE8D" w14:textId="77777777" w:rsidR="00617EF1" w:rsidRPr="005E34B9" w:rsidRDefault="005E34B9" w:rsidP="000F0C16">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5E34B9">
              <w:rPr>
                <w:rFonts w:ascii="Gill Sans MT" w:hAnsi="Gill Sans MT"/>
                <w:sz w:val="22"/>
                <w:szCs w:val="22"/>
                <w:lang w:val="en-GB"/>
              </w:rPr>
              <w:t>Tanzania</w:t>
            </w:r>
          </w:p>
          <w:p w14:paraId="78159F7C" w14:textId="77777777" w:rsidR="005E34B9" w:rsidRPr="005E34B9" w:rsidRDefault="005E34B9" w:rsidP="000F0C16">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5E34B9">
              <w:rPr>
                <w:rFonts w:ascii="Gill Sans MT" w:hAnsi="Gill Sans MT"/>
                <w:sz w:val="22"/>
                <w:szCs w:val="22"/>
                <w:lang w:val="en-GB"/>
              </w:rPr>
              <w:t>(2004-2011)</w:t>
            </w:r>
          </w:p>
        </w:tc>
        <w:tc>
          <w:tcPr>
            <w:tcW w:w="1396" w:type="dxa"/>
          </w:tcPr>
          <w:p w14:paraId="70945733" w14:textId="77777777" w:rsidR="00617EF1" w:rsidRPr="005E34B9" w:rsidRDefault="005E34B9" w:rsidP="000F0C16">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5E34B9">
              <w:rPr>
                <w:rFonts w:ascii="Gill Sans MT" w:hAnsi="Gill Sans MT"/>
                <w:sz w:val="22"/>
                <w:szCs w:val="22"/>
                <w:lang w:val="en-GB"/>
              </w:rPr>
              <w:t>Zambia</w:t>
            </w:r>
          </w:p>
          <w:p w14:paraId="05E222D0" w14:textId="77777777" w:rsidR="005E34B9" w:rsidRPr="005E34B9" w:rsidRDefault="005E34B9" w:rsidP="000F0C16">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5E34B9">
              <w:rPr>
                <w:rFonts w:ascii="Gill Sans MT" w:hAnsi="Gill Sans MT"/>
                <w:sz w:val="22"/>
                <w:szCs w:val="22"/>
                <w:lang w:val="en-GB"/>
              </w:rPr>
              <w:t>(2005-2010)</w:t>
            </w:r>
          </w:p>
        </w:tc>
      </w:tr>
      <w:tr w:rsidR="005E34B9" w14:paraId="36AEDAAD" w14:textId="77777777" w:rsidTr="00F61E01">
        <w:tc>
          <w:tcPr>
            <w:cnfStyle w:val="001000000000" w:firstRow="0" w:lastRow="0" w:firstColumn="1" w:lastColumn="0" w:oddVBand="0" w:evenVBand="0" w:oddHBand="0" w:evenHBand="0" w:firstRowFirstColumn="0" w:firstRowLastColumn="0" w:lastRowFirstColumn="0" w:lastRowLastColumn="0"/>
            <w:tcW w:w="2943" w:type="dxa"/>
          </w:tcPr>
          <w:p w14:paraId="6AE1DBC5" w14:textId="77777777" w:rsidR="00617EF1" w:rsidRPr="005E34B9" w:rsidRDefault="005E34B9" w:rsidP="00F61E01">
            <w:pPr>
              <w:rPr>
                <w:rFonts w:ascii="Gill Sans MT" w:hAnsi="Gill Sans MT"/>
                <w:sz w:val="20"/>
                <w:szCs w:val="20"/>
                <w:lang w:val="en-GB"/>
              </w:rPr>
            </w:pPr>
            <w:r w:rsidRPr="005E34B9">
              <w:rPr>
                <w:rFonts w:ascii="Gill Sans MT" w:hAnsi="Gill Sans MT"/>
                <w:sz w:val="20"/>
                <w:szCs w:val="20"/>
                <w:lang w:val="en-GB"/>
              </w:rPr>
              <w:t>ODA as % GDP</w:t>
            </w:r>
            <w:r w:rsidR="00223323">
              <w:rPr>
                <w:rFonts w:ascii="Gill Sans MT" w:hAnsi="Gill Sans MT"/>
                <w:sz w:val="20"/>
                <w:szCs w:val="20"/>
                <w:lang w:val="en-GB"/>
              </w:rPr>
              <w:t xml:space="preserve"> (period average) </w:t>
            </w:r>
          </w:p>
        </w:tc>
        <w:tc>
          <w:tcPr>
            <w:tcW w:w="1395" w:type="dxa"/>
          </w:tcPr>
          <w:p w14:paraId="75B90DDF" w14:textId="77777777" w:rsidR="00617EF1" w:rsidRPr="000F0C16" w:rsidRDefault="000F0C16" w:rsidP="000F0C1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0F0C16">
              <w:rPr>
                <w:rFonts w:ascii="Gill Sans MT" w:hAnsi="Gill Sans MT"/>
                <w:sz w:val="22"/>
                <w:szCs w:val="22"/>
                <w:lang w:val="en-GB"/>
              </w:rPr>
              <w:t>12.2 %</w:t>
            </w:r>
          </w:p>
        </w:tc>
        <w:tc>
          <w:tcPr>
            <w:tcW w:w="1396" w:type="dxa"/>
          </w:tcPr>
          <w:p w14:paraId="57562736" w14:textId="77777777" w:rsidR="00617EF1" w:rsidRPr="000F0C16" w:rsidRDefault="000F0C16" w:rsidP="000F0C1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22.5%</w:t>
            </w:r>
          </w:p>
        </w:tc>
        <w:tc>
          <w:tcPr>
            <w:tcW w:w="1395" w:type="dxa"/>
          </w:tcPr>
          <w:p w14:paraId="1F2B1E8E" w14:textId="77777777" w:rsidR="00617EF1" w:rsidRPr="000F0C16" w:rsidRDefault="000F0C16" w:rsidP="000F0C1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13.0%</w:t>
            </w:r>
          </w:p>
        </w:tc>
        <w:tc>
          <w:tcPr>
            <w:tcW w:w="1396" w:type="dxa"/>
          </w:tcPr>
          <w:p w14:paraId="5440028E" w14:textId="77777777" w:rsidR="00617EF1" w:rsidRPr="000F0C16" w:rsidRDefault="000F0C16" w:rsidP="000F0C1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9.8%</w:t>
            </w:r>
          </w:p>
        </w:tc>
      </w:tr>
      <w:tr w:rsidR="005E34B9" w14:paraId="254CD48D" w14:textId="77777777" w:rsidTr="00F61E01">
        <w:tc>
          <w:tcPr>
            <w:cnfStyle w:val="001000000000" w:firstRow="0" w:lastRow="0" w:firstColumn="1" w:lastColumn="0" w:oddVBand="0" w:evenVBand="0" w:oddHBand="0" w:evenHBand="0" w:firstRowFirstColumn="0" w:firstRowLastColumn="0" w:lastRowFirstColumn="0" w:lastRowLastColumn="0"/>
            <w:tcW w:w="2943" w:type="dxa"/>
          </w:tcPr>
          <w:p w14:paraId="6D07F78F" w14:textId="77777777" w:rsidR="00617EF1" w:rsidRPr="005E34B9" w:rsidRDefault="005E34B9" w:rsidP="00223323">
            <w:pPr>
              <w:rPr>
                <w:rFonts w:ascii="Gill Sans MT" w:hAnsi="Gill Sans MT"/>
                <w:sz w:val="20"/>
                <w:szCs w:val="20"/>
                <w:lang w:val="en-GB"/>
              </w:rPr>
            </w:pPr>
            <w:r w:rsidRPr="005E34B9">
              <w:rPr>
                <w:rFonts w:ascii="Gill Sans MT" w:hAnsi="Gill Sans MT"/>
                <w:sz w:val="20"/>
                <w:szCs w:val="20"/>
                <w:lang w:val="en-GB"/>
              </w:rPr>
              <w:t>Budget Support as %</w:t>
            </w:r>
            <w:r w:rsidR="00223323">
              <w:rPr>
                <w:rFonts w:ascii="Gill Sans MT" w:hAnsi="Gill Sans MT"/>
                <w:sz w:val="20"/>
                <w:szCs w:val="20"/>
                <w:lang w:val="en-GB"/>
              </w:rPr>
              <w:t xml:space="preserve"> </w:t>
            </w:r>
            <w:r w:rsidRPr="005E34B9">
              <w:rPr>
                <w:rFonts w:ascii="Gill Sans MT" w:hAnsi="Gill Sans MT"/>
                <w:sz w:val="20"/>
                <w:szCs w:val="20"/>
                <w:lang w:val="en-GB"/>
              </w:rPr>
              <w:t>ODA</w:t>
            </w:r>
            <w:r w:rsidR="00223323">
              <w:rPr>
                <w:rFonts w:ascii="Gill Sans MT" w:hAnsi="Gill Sans MT"/>
                <w:sz w:val="20"/>
                <w:szCs w:val="20"/>
                <w:lang w:val="en-GB"/>
              </w:rPr>
              <w:t xml:space="preserve"> (period average)</w:t>
            </w:r>
          </w:p>
        </w:tc>
        <w:tc>
          <w:tcPr>
            <w:tcW w:w="1395" w:type="dxa"/>
          </w:tcPr>
          <w:p w14:paraId="65B12B8C" w14:textId="77777777" w:rsidR="00617EF1" w:rsidRPr="000F0C16" w:rsidRDefault="000F0C16" w:rsidP="000F0C1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22.7%</w:t>
            </w:r>
          </w:p>
        </w:tc>
        <w:tc>
          <w:tcPr>
            <w:tcW w:w="1396" w:type="dxa"/>
          </w:tcPr>
          <w:p w14:paraId="58E08AC6" w14:textId="77777777" w:rsidR="00617EF1" w:rsidRPr="000F0C16" w:rsidRDefault="000F0C16" w:rsidP="000F0C1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20.2%</w:t>
            </w:r>
          </w:p>
        </w:tc>
        <w:tc>
          <w:tcPr>
            <w:tcW w:w="1395" w:type="dxa"/>
          </w:tcPr>
          <w:p w14:paraId="3938C3DE" w14:textId="77777777" w:rsidR="00617EF1" w:rsidRPr="000F0C16" w:rsidRDefault="000F0C16" w:rsidP="000F0C1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27.7%</w:t>
            </w:r>
          </w:p>
        </w:tc>
        <w:tc>
          <w:tcPr>
            <w:tcW w:w="1396" w:type="dxa"/>
          </w:tcPr>
          <w:p w14:paraId="51BEF1BE" w14:textId="77777777" w:rsidR="00617EF1" w:rsidRPr="000F0C16" w:rsidRDefault="000F0C16" w:rsidP="000F0C1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15.5%</w:t>
            </w:r>
          </w:p>
        </w:tc>
      </w:tr>
      <w:tr w:rsidR="005E34B9" w14:paraId="16CC1D82" w14:textId="77777777" w:rsidTr="00F61E01">
        <w:tc>
          <w:tcPr>
            <w:cnfStyle w:val="001000000000" w:firstRow="0" w:lastRow="0" w:firstColumn="1" w:lastColumn="0" w:oddVBand="0" w:evenVBand="0" w:oddHBand="0" w:evenHBand="0" w:firstRowFirstColumn="0" w:firstRowLastColumn="0" w:lastRowFirstColumn="0" w:lastRowLastColumn="0"/>
            <w:tcW w:w="2943" w:type="dxa"/>
          </w:tcPr>
          <w:p w14:paraId="0F82E67D" w14:textId="77777777" w:rsidR="005E34B9" w:rsidRPr="005E34B9" w:rsidRDefault="005E34B9" w:rsidP="005E34B9">
            <w:pPr>
              <w:spacing w:line="360" w:lineRule="auto"/>
              <w:rPr>
                <w:rFonts w:ascii="Gill Sans MT" w:hAnsi="Gill Sans MT"/>
                <w:sz w:val="20"/>
                <w:szCs w:val="20"/>
                <w:lang w:val="en-GB"/>
              </w:rPr>
            </w:pPr>
            <w:r w:rsidRPr="005E34B9">
              <w:rPr>
                <w:rFonts w:ascii="Gill Sans MT" w:hAnsi="Gill Sans MT"/>
                <w:sz w:val="20"/>
                <w:szCs w:val="20"/>
                <w:lang w:val="en-GB"/>
              </w:rPr>
              <w:t>Joint Assistance Framework</w:t>
            </w:r>
          </w:p>
        </w:tc>
        <w:tc>
          <w:tcPr>
            <w:tcW w:w="1395" w:type="dxa"/>
          </w:tcPr>
          <w:p w14:paraId="2BD104E8" w14:textId="77777777" w:rsidR="005E34B9" w:rsidRPr="000F0C16" w:rsidRDefault="000F0C16" w:rsidP="000F0C1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Yes</w:t>
            </w:r>
          </w:p>
        </w:tc>
        <w:tc>
          <w:tcPr>
            <w:tcW w:w="1396" w:type="dxa"/>
          </w:tcPr>
          <w:p w14:paraId="0CB5F44D" w14:textId="77777777" w:rsidR="005E34B9" w:rsidRPr="000F0C16" w:rsidRDefault="006E22AF" w:rsidP="000F0C1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No</w:t>
            </w:r>
          </w:p>
        </w:tc>
        <w:tc>
          <w:tcPr>
            <w:tcW w:w="1395" w:type="dxa"/>
          </w:tcPr>
          <w:p w14:paraId="3B69F468" w14:textId="77777777" w:rsidR="005E34B9" w:rsidRPr="000F0C16" w:rsidRDefault="000F0C16" w:rsidP="000F0C1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Yes</w:t>
            </w:r>
          </w:p>
        </w:tc>
        <w:tc>
          <w:tcPr>
            <w:tcW w:w="1396" w:type="dxa"/>
          </w:tcPr>
          <w:p w14:paraId="6AD209BA" w14:textId="77777777" w:rsidR="005E34B9" w:rsidRPr="000F0C16" w:rsidRDefault="000F0C16" w:rsidP="000F0C1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Yes</w:t>
            </w:r>
          </w:p>
        </w:tc>
      </w:tr>
      <w:tr w:rsidR="005E34B9" w14:paraId="02BA8041" w14:textId="77777777" w:rsidTr="00F61E01">
        <w:tc>
          <w:tcPr>
            <w:cnfStyle w:val="001000000000" w:firstRow="0" w:lastRow="0" w:firstColumn="1" w:lastColumn="0" w:oddVBand="0" w:evenVBand="0" w:oddHBand="0" w:evenHBand="0" w:firstRowFirstColumn="0" w:firstRowLastColumn="0" w:lastRowFirstColumn="0" w:lastRowLastColumn="0"/>
            <w:tcW w:w="2943" w:type="dxa"/>
          </w:tcPr>
          <w:p w14:paraId="2F94BE4C" w14:textId="77777777" w:rsidR="005E34B9" w:rsidRPr="005E34B9" w:rsidRDefault="005E34B9" w:rsidP="005E34B9">
            <w:pPr>
              <w:rPr>
                <w:rFonts w:ascii="Gill Sans MT" w:hAnsi="Gill Sans MT"/>
                <w:sz w:val="20"/>
                <w:szCs w:val="20"/>
                <w:lang w:val="en-GB"/>
              </w:rPr>
            </w:pPr>
            <w:r w:rsidRPr="005E34B9">
              <w:rPr>
                <w:rFonts w:ascii="Gill Sans MT" w:hAnsi="Gill Sans MT"/>
                <w:sz w:val="20"/>
                <w:szCs w:val="20"/>
                <w:lang w:val="en-GB"/>
              </w:rPr>
              <w:t>Degree of tension in Aid Relations</w:t>
            </w:r>
          </w:p>
        </w:tc>
        <w:tc>
          <w:tcPr>
            <w:tcW w:w="1395" w:type="dxa"/>
          </w:tcPr>
          <w:p w14:paraId="78553AAE" w14:textId="77777777" w:rsidR="00617EF1" w:rsidRPr="000F0C16" w:rsidRDefault="000F0C16" w:rsidP="000F0C1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Low</w:t>
            </w:r>
          </w:p>
        </w:tc>
        <w:tc>
          <w:tcPr>
            <w:tcW w:w="1396" w:type="dxa"/>
          </w:tcPr>
          <w:p w14:paraId="78B91394" w14:textId="77777777" w:rsidR="00617EF1" w:rsidRPr="000F0C16" w:rsidRDefault="00223323" w:rsidP="000F0C1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Medium</w:t>
            </w:r>
          </w:p>
        </w:tc>
        <w:tc>
          <w:tcPr>
            <w:tcW w:w="1395" w:type="dxa"/>
          </w:tcPr>
          <w:p w14:paraId="6F310408" w14:textId="77777777" w:rsidR="00617EF1" w:rsidRPr="000F0C16" w:rsidRDefault="00223323" w:rsidP="000F0C1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Medium</w:t>
            </w:r>
          </w:p>
        </w:tc>
        <w:tc>
          <w:tcPr>
            <w:tcW w:w="1396" w:type="dxa"/>
          </w:tcPr>
          <w:p w14:paraId="46749D11" w14:textId="77777777" w:rsidR="00617EF1" w:rsidRPr="000F0C16" w:rsidRDefault="00223323" w:rsidP="000F0C1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Medium</w:t>
            </w:r>
          </w:p>
        </w:tc>
      </w:tr>
    </w:tbl>
    <w:p w14:paraId="47D6E061" w14:textId="77777777" w:rsidR="00617EF1" w:rsidRPr="00223323" w:rsidRDefault="00223323" w:rsidP="00617EF1">
      <w:pPr>
        <w:rPr>
          <w:rFonts w:ascii="Gill Sans MT" w:hAnsi="Gill Sans MT"/>
          <w:sz w:val="18"/>
          <w:szCs w:val="18"/>
          <w:lang w:val="en-GB"/>
        </w:rPr>
      </w:pPr>
      <w:r w:rsidRPr="00223323">
        <w:rPr>
          <w:rFonts w:ascii="Gill Sans MT" w:hAnsi="Gill Sans MT"/>
          <w:sz w:val="18"/>
          <w:szCs w:val="18"/>
          <w:u w:val="single"/>
          <w:lang w:val="en-GB"/>
        </w:rPr>
        <w:t xml:space="preserve">Sources: </w:t>
      </w:r>
      <w:r>
        <w:rPr>
          <w:rFonts w:ascii="Gill Sans MT" w:hAnsi="Gill Sans MT"/>
          <w:sz w:val="18"/>
          <w:szCs w:val="18"/>
          <w:lang w:val="en-GB"/>
        </w:rPr>
        <w:t>O</w:t>
      </w:r>
      <w:r w:rsidR="00CF7FAC">
        <w:rPr>
          <w:rFonts w:ascii="Gill Sans MT" w:hAnsi="Gill Sans MT"/>
          <w:sz w:val="18"/>
          <w:szCs w:val="18"/>
          <w:lang w:val="en-GB"/>
        </w:rPr>
        <w:t>DA statistics from OECD-DAC CRS; o</w:t>
      </w:r>
      <w:r>
        <w:rPr>
          <w:rFonts w:ascii="Gill Sans MT" w:hAnsi="Gill Sans MT"/>
          <w:sz w:val="18"/>
          <w:szCs w:val="18"/>
          <w:lang w:val="en-GB"/>
        </w:rPr>
        <w:t>ther data from Evaluation reports, with degree of tension in aid relations interpreted by author from information in Evaluation reports.</w:t>
      </w:r>
    </w:p>
    <w:p w14:paraId="196ACDDF" w14:textId="77777777" w:rsidR="00223323" w:rsidRDefault="00A135A5" w:rsidP="00CE613D">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We may characterise </w:t>
      </w:r>
      <w:r w:rsidR="00223323">
        <w:rPr>
          <w:rFonts w:ascii="Gill Sans MT" w:hAnsi="Gill Sans MT"/>
          <w:sz w:val="20"/>
          <w:lang w:val="en-GB"/>
        </w:rPr>
        <w:t>the nature of aid relations in the four countries as follows</w:t>
      </w:r>
      <w:r>
        <w:rPr>
          <w:rFonts w:ascii="Gill Sans MT" w:hAnsi="Gill Sans MT"/>
          <w:sz w:val="20"/>
          <w:lang w:val="en-GB"/>
        </w:rPr>
        <w:t xml:space="preserve"> (Table 5)</w:t>
      </w:r>
      <w:r w:rsidR="00223323">
        <w:rPr>
          <w:rFonts w:ascii="Gill Sans MT" w:hAnsi="Gill Sans MT"/>
          <w:sz w:val="20"/>
          <w:lang w:val="en-GB"/>
        </w:rPr>
        <w:t>:</w:t>
      </w:r>
    </w:p>
    <w:p w14:paraId="3168AC52" w14:textId="77777777" w:rsidR="004E1509" w:rsidRDefault="00C638ED" w:rsidP="00D81DB3">
      <w:pPr>
        <w:pStyle w:val="BodyText"/>
        <w:numPr>
          <w:ilvl w:val="0"/>
          <w:numId w:val="11"/>
        </w:numPr>
        <w:spacing w:line="360" w:lineRule="auto"/>
        <w:rPr>
          <w:rFonts w:ascii="Gill Sans MT" w:hAnsi="Gill Sans MT"/>
          <w:sz w:val="20"/>
          <w:lang w:val="en-GB"/>
        </w:rPr>
      </w:pPr>
      <w:r>
        <w:rPr>
          <w:rFonts w:ascii="Gill Sans MT" w:hAnsi="Gill Sans MT"/>
          <w:sz w:val="20"/>
          <w:lang w:val="en-GB"/>
        </w:rPr>
        <w:t>All four countries have a relatively hig</w:t>
      </w:r>
      <w:r w:rsidR="004E1509">
        <w:rPr>
          <w:rFonts w:ascii="Gill Sans MT" w:hAnsi="Gill Sans MT"/>
          <w:sz w:val="20"/>
          <w:lang w:val="en-GB"/>
        </w:rPr>
        <w:t xml:space="preserve">h level of aid dependence, most especially so in </w:t>
      </w:r>
      <w:r>
        <w:rPr>
          <w:rFonts w:ascii="Gill Sans MT" w:hAnsi="Gill Sans MT"/>
          <w:sz w:val="20"/>
          <w:lang w:val="en-GB"/>
        </w:rPr>
        <w:t>M</w:t>
      </w:r>
      <w:r w:rsidR="004E1509">
        <w:rPr>
          <w:rFonts w:ascii="Gill Sans MT" w:hAnsi="Gill Sans MT"/>
          <w:sz w:val="20"/>
          <w:lang w:val="en-GB"/>
        </w:rPr>
        <w:t>oza</w:t>
      </w:r>
      <w:r w:rsidR="005468DB">
        <w:rPr>
          <w:rFonts w:ascii="Gill Sans MT" w:hAnsi="Gill Sans MT"/>
          <w:sz w:val="20"/>
          <w:lang w:val="en-GB"/>
        </w:rPr>
        <w:t xml:space="preserve">mbique, and </w:t>
      </w:r>
      <w:r w:rsidR="004E1509">
        <w:rPr>
          <w:rFonts w:ascii="Gill Sans MT" w:hAnsi="Gill Sans MT"/>
          <w:sz w:val="20"/>
          <w:lang w:val="en-GB"/>
        </w:rPr>
        <w:t xml:space="preserve">less so in </w:t>
      </w:r>
      <w:r>
        <w:rPr>
          <w:rFonts w:ascii="Gill Sans MT" w:hAnsi="Gill Sans MT"/>
          <w:sz w:val="20"/>
          <w:lang w:val="en-GB"/>
        </w:rPr>
        <w:t>Zambia</w:t>
      </w:r>
      <w:r w:rsidR="004E1509">
        <w:rPr>
          <w:rFonts w:ascii="Gill Sans MT" w:hAnsi="Gill Sans MT"/>
          <w:sz w:val="20"/>
          <w:lang w:val="en-GB"/>
        </w:rPr>
        <w:t>;</w:t>
      </w:r>
    </w:p>
    <w:p w14:paraId="17A78422" w14:textId="77777777" w:rsidR="00F97C9F" w:rsidRDefault="006E22AF" w:rsidP="00D81DB3">
      <w:pPr>
        <w:pStyle w:val="BodyText"/>
        <w:numPr>
          <w:ilvl w:val="0"/>
          <w:numId w:val="11"/>
        </w:numPr>
        <w:spacing w:line="360" w:lineRule="auto"/>
        <w:rPr>
          <w:rFonts w:ascii="Gill Sans MT" w:hAnsi="Gill Sans MT"/>
          <w:sz w:val="20"/>
          <w:lang w:val="en-GB"/>
        </w:rPr>
      </w:pPr>
      <w:r>
        <w:rPr>
          <w:rFonts w:ascii="Gill Sans MT" w:hAnsi="Gill Sans MT"/>
          <w:sz w:val="20"/>
          <w:lang w:val="en-GB"/>
        </w:rPr>
        <w:t xml:space="preserve">3 of the 4 countries </w:t>
      </w:r>
      <w:r w:rsidR="004E1509">
        <w:rPr>
          <w:rFonts w:ascii="Gill Sans MT" w:hAnsi="Gill Sans MT"/>
          <w:sz w:val="20"/>
          <w:lang w:val="en-GB"/>
        </w:rPr>
        <w:t>had established “Joint Assistance Strategies</w:t>
      </w:r>
      <w:r>
        <w:rPr>
          <w:rFonts w:ascii="Gill Sans MT" w:hAnsi="Gill Sans MT"/>
          <w:sz w:val="20"/>
          <w:lang w:val="en-GB"/>
        </w:rPr>
        <w:t>” with their DP</w:t>
      </w:r>
      <w:r w:rsidR="004E1509">
        <w:rPr>
          <w:rFonts w:ascii="Gill Sans MT" w:hAnsi="Gill Sans MT"/>
          <w:sz w:val="20"/>
          <w:lang w:val="en-GB"/>
        </w:rPr>
        <w:t xml:space="preserve">s prior to the outset of the evaluation period and </w:t>
      </w:r>
      <w:r w:rsidR="00592AF2">
        <w:rPr>
          <w:rFonts w:ascii="Gill Sans MT" w:hAnsi="Gill Sans MT"/>
          <w:sz w:val="20"/>
          <w:lang w:val="en-GB"/>
        </w:rPr>
        <w:t xml:space="preserve">all 4 </w:t>
      </w:r>
      <w:r w:rsidR="004E1509">
        <w:rPr>
          <w:rFonts w:ascii="Gill Sans MT" w:hAnsi="Gill Sans MT"/>
          <w:sz w:val="20"/>
          <w:lang w:val="en-GB"/>
        </w:rPr>
        <w:t>had created formal structures for the management</w:t>
      </w:r>
      <w:r>
        <w:rPr>
          <w:rFonts w:ascii="Gill Sans MT" w:hAnsi="Gill Sans MT"/>
          <w:sz w:val="20"/>
          <w:lang w:val="en-GB"/>
        </w:rPr>
        <w:t xml:space="preserve"> of aid, led by </w:t>
      </w:r>
      <w:r w:rsidR="00401776">
        <w:rPr>
          <w:rFonts w:ascii="Gill Sans MT" w:hAnsi="Gill Sans MT"/>
          <w:sz w:val="20"/>
          <w:lang w:val="en-GB"/>
        </w:rPr>
        <w:t xml:space="preserve">the </w:t>
      </w:r>
      <w:r w:rsidR="004E1509">
        <w:rPr>
          <w:rFonts w:ascii="Gill Sans MT" w:hAnsi="Gill Sans MT"/>
          <w:sz w:val="20"/>
          <w:lang w:val="en-GB"/>
        </w:rPr>
        <w:t>cent</w:t>
      </w:r>
      <w:r w:rsidR="001A62F2">
        <w:rPr>
          <w:rFonts w:ascii="Gill Sans MT" w:hAnsi="Gill Sans MT"/>
          <w:sz w:val="20"/>
          <w:lang w:val="en-GB"/>
        </w:rPr>
        <w:t>ral agencies</w:t>
      </w:r>
      <w:r>
        <w:rPr>
          <w:rFonts w:ascii="Gill Sans MT" w:hAnsi="Gill Sans MT"/>
          <w:sz w:val="20"/>
          <w:lang w:val="en-GB"/>
        </w:rPr>
        <w:t xml:space="preserve"> of government</w:t>
      </w:r>
      <w:r w:rsidR="00592AF2">
        <w:rPr>
          <w:rFonts w:ascii="Gill Sans MT" w:hAnsi="Gill Sans MT"/>
          <w:sz w:val="20"/>
          <w:lang w:val="en-GB"/>
        </w:rPr>
        <w:t xml:space="preserve"> (Finance and/or Planning).</w:t>
      </w:r>
    </w:p>
    <w:p w14:paraId="1084C4A0" w14:textId="77777777" w:rsidR="00E96118" w:rsidRDefault="00F97C9F" w:rsidP="00D81DB3">
      <w:pPr>
        <w:pStyle w:val="BodyText"/>
        <w:numPr>
          <w:ilvl w:val="0"/>
          <w:numId w:val="11"/>
        </w:numPr>
        <w:spacing w:line="360" w:lineRule="auto"/>
        <w:rPr>
          <w:rFonts w:ascii="Gill Sans MT" w:hAnsi="Gill Sans MT"/>
          <w:sz w:val="20"/>
          <w:lang w:val="en-GB"/>
        </w:rPr>
      </w:pPr>
      <w:r>
        <w:rPr>
          <w:rFonts w:ascii="Gill Sans MT" w:hAnsi="Gill Sans MT"/>
          <w:sz w:val="20"/>
          <w:lang w:val="en-GB"/>
        </w:rPr>
        <w:lastRenderedPageBreak/>
        <w:t>The evaluation reports indicate that the degree of tension in aid relations was low in Mali, where there were no significant suspensions of budget support during the whole of the evaluation period</w:t>
      </w:r>
      <w:r>
        <w:rPr>
          <w:rStyle w:val="FootnoteReference"/>
          <w:rFonts w:ascii="Gill Sans MT" w:hAnsi="Gill Sans MT"/>
          <w:sz w:val="20"/>
          <w:lang w:val="en-GB"/>
        </w:rPr>
        <w:footnoteReference w:id="11"/>
      </w:r>
      <w:r>
        <w:rPr>
          <w:rFonts w:ascii="Gill Sans MT" w:hAnsi="Gill Sans MT"/>
          <w:sz w:val="20"/>
          <w:lang w:val="en-GB"/>
        </w:rPr>
        <w:t>.</w:t>
      </w:r>
    </w:p>
    <w:p w14:paraId="5077F169" w14:textId="77777777" w:rsidR="001D02B6" w:rsidRDefault="00F97C9F" w:rsidP="00D81DB3">
      <w:pPr>
        <w:pStyle w:val="BodyText"/>
        <w:numPr>
          <w:ilvl w:val="0"/>
          <w:numId w:val="11"/>
        </w:numPr>
        <w:spacing w:line="360" w:lineRule="auto"/>
        <w:rPr>
          <w:rFonts w:ascii="Gill Sans MT" w:hAnsi="Gill Sans MT"/>
          <w:sz w:val="20"/>
          <w:lang w:val="en-GB"/>
        </w:rPr>
      </w:pPr>
      <w:r>
        <w:rPr>
          <w:rFonts w:ascii="Gill Sans MT" w:hAnsi="Gill Sans MT"/>
          <w:sz w:val="20"/>
          <w:lang w:val="en-GB"/>
        </w:rPr>
        <w:t xml:space="preserve">Although there were significant suspensions of budget support in each of the other three countries related to perceived breaches of underlying principles, we classify the degree of tension as “medium” because the reasons for these suspensions were in each case addressed and the financial consequences </w:t>
      </w:r>
      <w:r w:rsidR="00F237A5">
        <w:rPr>
          <w:rFonts w:ascii="Gill Sans MT" w:hAnsi="Gill Sans MT"/>
          <w:sz w:val="20"/>
          <w:lang w:val="en-GB"/>
        </w:rPr>
        <w:t>were not excessive</w:t>
      </w:r>
      <w:r w:rsidR="000D5934">
        <w:rPr>
          <w:rFonts w:ascii="Gill Sans MT" w:hAnsi="Gill Sans MT"/>
          <w:sz w:val="20"/>
          <w:lang w:val="en-GB"/>
        </w:rPr>
        <w:t>.</w:t>
      </w:r>
      <w:r w:rsidR="00F237A5">
        <w:rPr>
          <w:rFonts w:ascii="Gill Sans MT" w:hAnsi="Gill Sans MT"/>
          <w:sz w:val="20"/>
          <w:lang w:val="en-GB"/>
        </w:rPr>
        <w:t xml:space="preserve"> </w:t>
      </w:r>
      <w:r w:rsidR="00592AF2">
        <w:rPr>
          <w:rFonts w:ascii="Gill Sans MT" w:hAnsi="Gill Sans MT"/>
          <w:sz w:val="20"/>
          <w:lang w:val="en-GB"/>
        </w:rPr>
        <w:t>Moreover, the other three countries had relatively favourable Gov</w:t>
      </w:r>
      <w:r w:rsidR="00F80615">
        <w:rPr>
          <w:rFonts w:ascii="Gill Sans MT" w:hAnsi="Gill Sans MT"/>
          <w:sz w:val="20"/>
          <w:lang w:val="en-GB"/>
        </w:rPr>
        <w:t>ernmen</w:t>
      </w:r>
      <w:r w:rsidR="00592AF2">
        <w:rPr>
          <w:rFonts w:ascii="Gill Sans MT" w:hAnsi="Gill Sans MT"/>
          <w:sz w:val="20"/>
          <w:lang w:val="en-GB"/>
        </w:rPr>
        <w:t xml:space="preserve">t-Donor relations at the outset of the period, which then deteriorated. </w:t>
      </w:r>
    </w:p>
    <w:p w14:paraId="24752755" w14:textId="77777777" w:rsidR="00FE133A" w:rsidRDefault="001D02B6" w:rsidP="000600AA">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Notwithstanding this “medium” classification</w:t>
      </w:r>
      <w:r w:rsidR="000D5934">
        <w:rPr>
          <w:rStyle w:val="FootnoteReference"/>
          <w:rFonts w:ascii="Gill Sans MT" w:hAnsi="Gill Sans MT"/>
          <w:sz w:val="20"/>
          <w:lang w:val="en-GB"/>
        </w:rPr>
        <w:footnoteReference w:id="12"/>
      </w:r>
      <w:r>
        <w:rPr>
          <w:rFonts w:ascii="Gill Sans MT" w:hAnsi="Gill Sans MT"/>
          <w:sz w:val="20"/>
          <w:lang w:val="en-GB"/>
        </w:rPr>
        <w:t xml:space="preserve"> of the degree of tension in do</w:t>
      </w:r>
      <w:r w:rsidR="00824146">
        <w:rPr>
          <w:rFonts w:ascii="Gill Sans MT" w:hAnsi="Gill Sans MT"/>
          <w:sz w:val="20"/>
          <w:lang w:val="en-GB"/>
        </w:rPr>
        <w:t>nor relations in Tanzania</w:t>
      </w:r>
      <w:r w:rsidR="00592AF2">
        <w:rPr>
          <w:rFonts w:ascii="Gill Sans MT" w:hAnsi="Gill Sans MT"/>
          <w:sz w:val="20"/>
          <w:lang w:val="en-GB"/>
        </w:rPr>
        <w:t xml:space="preserve"> and Zambia</w:t>
      </w:r>
      <w:r w:rsidR="00592AF2">
        <w:rPr>
          <w:rStyle w:val="FootnoteReference"/>
          <w:rFonts w:ascii="Gill Sans MT" w:hAnsi="Gill Sans MT"/>
          <w:sz w:val="20"/>
          <w:lang w:val="en-GB"/>
        </w:rPr>
        <w:footnoteReference w:id="13"/>
      </w:r>
      <w:r w:rsidR="00824146">
        <w:rPr>
          <w:rFonts w:ascii="Gill Sans MT" w:hAnsi="Gill Sans MT"/>
          <w:sz w:val="20"/>
          <w:lang w:val="en-GB"/>
        </w:rPr>
        <w:t xml:space="preserve">, </w:t>
      </w:r>
      <w:r w:rsidR="00F237A5">
        <w:rPr>
          <w:rFonts w:ascii="Gill Sans MT" w:hAnsi="Gill Sans MT"/>
          <w:sz w:val="20"/>
          <w:lang w:val="en-GB"/>
        </w:rPr>
        <w:t xml:space="preserve">the </w:t>
      </w:r>
      <w:r w:rsidR="001B5887">
        <w:rPr>
          <w:rFonts w:ascii="Gill Sans MT" w:hAnsi="Gill Sans MT"/>
          <w:sz w:val="20"/>
          <w:lang w:val="en-GB"/>
        </w:rPr>
        <w:t>shift in donor attitudes</w:t>
      </w:r>
      <w:r w:rsidR="00592AF2">
        <w:rPr>
          <w:rFonts w:ascii="Gill Sans MT" w:hAnsi="Gill Sans MT"/>
          <w:sz w:val="20"/>
          <w:lang w:val="en-GB"/>
        </w:rPr>
        <w:t xml:space="preserve"> during the evaluation period</w:t>
      </w:r>
      <w:r w:rsidR="001B5887">
        <w:rPr>
          <w:rFonts w:ascii="Gill Sans MT" w:hAnsi="Gill Sans MT"/>
          <w:sz w:val="20"/>
          <w:lang w:val="en-GB"/>
        </w:rPr>
        <w:t xml:space="preserve">, was sharp and </w:t>
      </w:r>
      <w:r w:rsidR="00F80615">
        <w:rPr>
          <w:rFonts w:ascii="Gill Sans MT" w:hAnsi="Gill Sans MT"/>
          <w:sz w:val="20"/>
          <w:lang w:val="en-GB"/>
        </w:rPr>
        <w:t>long lasting</w:t>
      </w:r>
      <w:r w:rsidR="001B5887">
        <w:rPr>
          <w:rFonts w:ascii="Gill Sans MT" w:hAnsi="Gill Sans MT"/>
          <w:sz w:val="20"/>
          <w:lang w:val="en-GB"/>
        </w:rPr>
        <w:t xml:space="preserve"> and had deep effects on the quality of policy dialogue. </w:t>
      </w:r>
      <w:r>
        <w:rPr>
          <w:rFonts w:ascii="Gill Sans MT" w:hAnsi="Gill Sans MT"/>
          <w:sz w:val="20"/>
          <w:lang w:val="en-GB"/>
        </w:rPr>
        <w:t>(ITAD, 2013;</w:t>
      </w:r>
      <w:r w:rsidR="00401776">
        <w:rPr>
          <w:rFonts w:ascii="Gill Sans MT" w:hAnsi="Gill Sans MT"/>
          <w:sz w:val="20"/>
          <w:lang w:val="en-GB"/>
        </w:rPr>
        <w:t xml:space="preserve"> pp. 6-7 &amp; 44-45). </w:t>
      </w:r>
      <w:r w:rsidR="00697ADD">
        <w:rPr>
          <w:rFonts w:ascii="Gill Sans MT" w:hAnsi="Gill Sans MT"/>
          <w:sz w:val="20"/>
          <w:lang w:val="en-GB"/>
        </w:rPr>
        <w:t>W</w:t>
      </w:r>
      <w:r w:rsidR="0090300C">
        <w:rPr>
          <w:rFonts w:ascii="Gill Sans MT" w:hAnsi="Gill Sans MT"/>
          <w:sz w:val="20"/>
          <w:lang w:val="en-GB"/>
        </w:rPr>
        <w:t xml:space="preserve">e </w:t>
      </w:r>
      <w:r w:rsidR="00824146">
        <w:rPr>
          <w:rFonts w:ascii="Gill Sans MT" w:hAnsi="Gill Sans MT"/>
          <w:sz w:val="20"/>
          <w:lang w:val="en-GB"/>
        </w:rPr>
        <w:t xml:space="preserve">do not believe that this should </w:t>
      </w:r>
      <w:r w:rsidR="0090300C">
        <w:rPr>
          <w:rFonts w:ascii="Gill Sans MT" w:hAnsi="Gill Sans MT"/>
          <w:sz w:val="20"/>
          <w:lang w:val="en-GB"/>
        </w:rPr>
        <w:t>be</w:t>
      </w:r>
      <w:r w:rsidR="00401776">
        <w:rPr>
          <w:rFonts w:ascii="Gill Sans MT" w:hAnsi="Gill Sans MT"/>
          <w:sz w:val="20"/>
          <w:lang w:val="en-GB"/>
        </w:rPr>
        <w:t xml:space="preserve"> inter</w:t>
      </w:r>
      <w:r w:rsidR="001665A4">
        <w:rPr>
          <w:rFonts w:ascii="Gill Sans MT" w:hAnsi="Gill Sans MT"/>
          <w:sz w:val="20"/>
          <w:lang w:val="en-GB"/>
        </w:rPr>
        <w:t>preted as a contextual problem</w:t>
      </w:r>
      <w:r w:rsidR="00824146">
        <w:rPr>
          <w:rFonts w:ascii="Gill Sans MT" w:hAnsi="Gill Sans MT"/>
          <w:sz w:val="20"/>
          <w:lang w:val="en-GB"/>
        </w:rPr>
        <w:t xml:space="preserve"> but rather </w:t>
      </w:r>
      <w:r w:rsidR="00401776">
        <w:rPr>
          <w:rFonts w:ascii="Gill Sans MT" w:hAnsi="Gill Sans MT"/>
          <w:sz w:val="20"/>
          <w:lang w:val="en-GB"/>
        </w:rPr>
        <w:t>as a weakness in th</w:t>
      </w:r>
      <w:r w:rsidR="00C5065C">
        <w:rPr>
          <w:rFonts w:ascii="Gill Sans MT" w:hAnsi="Gill Sans MT"/>
          <w:sz w:val="20"/>
          <w:lang w:val="en-GB"/>
        </w:rPr>
        <w:t xml:space="preserve">e mechanism </w:t>
      </w:r>
      <w:r w:rsidR="00E81CA6">
        <w:rPr>
          <w:rFonts w:ascii="Gill Sans MT" w:hAnsi="Gill Sans MT"/>
          <w:sz w:val="20"/>
          <w:lang w:val="en-GB"/>
        </w:rPr>
        <w:t xml:space="preserve">for </w:t>
      </w:r>
      <w:r w:rsidR="00401776">
        <w:rPr>
          <w:rFonts w:ascii="Gill Sans MT" w:hAnsi="Gill Sans MT"/>
          <w:sz w:val="20"/>
          <w:lang w:val="en-GB"/>
        </w:rPr>
        <w:t>respond</w:t>
      </w:r>
      <w:r w:rsidR="00C5065C">
        <w:rPr>
          <w:rFonts w:ascii="Gill Sans MT" w:hAnsi="Gill Sans MT"/>
          <w:sz w:val="20"/>
          <w:lang w:val="en-GB"/>
        </w:rPr>
        <w:t>ing</w:t>
      </w:r>
      <w:r w:rsidR="00401776">
        <w:rPr>
          <w:rFonts w:ascii="Gill Sans MT" w:hAnsi="Gill Sans MT"/>
          <w:sz w:val="20"/>
          <w:lang w:val="en-GB"/>
        </w:rPr>
        <w:t xml:space="preserve"> to potential br</w:t>
      </w:r>
      <w:r w:rsidR="00C56A53">
        <w:rPr>
          <w:rFonts w:ascii="Gill Sans MT" w:hAnsi="Gill Sans MT"/>
          <w:sz w:val="20"/>
          <w:lang w:val="en-GB"/>
        </w:rPr>
        <w:t>eaches of underlying principles</w:t>
      </w:r>
      <w:r w:rsidR="0090300C">
        <w:rPr>
          <w:rFonts w:ascii="Gill Sans MT" w:hAnsi="Gill Sans MT"/>
          <w:sz w:val="20"/>
          <w:lang w:val="en-GB"/>
        </w:rPr>
        <w:t>.</w:t>
      </w:r>
      <w:r w:rsidR="00E81CA6">
        <w:rPr>
          <w:rFonts w:ascii="Gill Sans MT" w:hAnsi="Gill Sans MT"/>
          <w:sz w:val="20"/>
          <w:lang w:val="en-GB"/>
        </w:rPr>
        <w:t xml:space="preserve"> We return to this point below.</w:t>
      </w:r>
    </w:p>
    <w:p w14:paraId="3D72A7B8" w14:textId="77777777" w:rsidR="00E81CA6" w:rsidRPr="00E81CA6" w:rsidRDefault="00E81CA6" w:rsidP="00E81CA6">
      <w:pPr>
        <w:pStyle w:val="Heading3"/>
      </w:pPr>
      <w:r w:rsidRPr="00E81CA6">
        <w:t>Conclusions on the context</w:t>
      </w:r>
      <w:r w:rsidR="000568BC">
        <w:t xml:space="preserve"> in the 4 LICs </w:t>
      </w:r>
    </w:p>
    <w:p w14:paraId="72990E64" w14:textId="77777777" w:rsidR="00791D48" w:rsidRPr="00473398" w:rsidRDefault="00824146" w:rsidP="00791D48">
      <w:pPr>
        <w:pStyle w:val="BodyText"/>
        <w:numPr>
          <w:ilvl w:val="0"/>
          <w:numId w:val="2"/>
        </w:numPr>
        <w:spacing w:line="360" w:lineRule="auto"/>
        <w:rPr>
          <w:rFonts w:ascii="Gill Sans MT" w:hAnsi="Gill Sans MT"/>
          <w:sz w:val="20"/>
          <w:lang w:val="en-GB"/>
        </w:rPr>
      </w:pPr>
      <w:r w:rsidRPr="00473398">
        <w:rPr>
          <w:rFonts w:ascii="Gill Sans MT" w:hAnsi="Gill Sans MT"/>
          <w:b/>
          <w:sz w:val="20"/>
          <w:lang w:val="en-GB"/>
        </w:rPr>
        <w:t xml:space="preserve">Overall, we would </w:t>
      </w:r>
      <w:r w:rsidR="00791D48" w:rsidRPr="00473398">
        <w:rPr>
          <w:rFonts w:ascii="Gill Sans MT" w:hAnsi="Gill Sans MT"/>
          <w:b/>
          <w:sz w:val="20"/>
          <w:lang w:val="en-GB"/>
        </w:rPr>
        <w:t>describe this as a difficult context for budget support but with a relatively more favourable situation in Mali</w:t>
      </w:r>
      <w:r w:rsidR="00791D48" w:rsidRPr="00473398">
        <w:rPr>
          <w:rFonts w:ascii="Gill Sans MT" w:hAnsi="Gill Sans MT"/>
          <w:sz w:val="20"/>
          <w:lang w:val="en-GB"/>
        </w:rPr>
        <w:t xml:space="preserve">: </w:t>
      </w:r>
    </w:p>
    <w:p w14:paraId="74C9F648" w14:textId="77777777" w:rsidR="000568BC" w:rsidRDefault="000568BC" w:rsidP="008F339F">
      <w:pPr>
        <w:pStyle w:val="BodyText"/>
        <w:numPr>
          <w:ilvl w:val="0"/>
          <w:numId w:val="39"/>
        </w:numPr>
        <w:spacing w:line="360" w:lineRule="auto"/>
        <w:rPr>
          <w:rFonts w:ascii="Gill Sans MT" w:hAnsi="Gill Sans MT"/>
          <w:sz w:val="20"/>
          <w:lang w:val="en-GB"/>
        </w:rPr>
      </w:pPr>
      <w:r>
        <w:rPr>
          <w:rFonts w:ascii="Gill Sans MT" w:hAnsi="Gill Sans MT"/>
          <w:sz w:val="20"/>
          <w:lang w:val="en-GB"/>
        </w:rPr>
        <w:t>These were four low income countries, with significant poverty levels, high levels of malnutrition, and generally poor social indicators.</w:t>
      </w:r>
    </w:p>
    <w:p w14:paraId="02FA0DFD" w14:textId="77777777" w:rsidR="000568BC" w:rsidRDefault="000568BC" w:rsidP="008F339F">
      <w:pPr>
        <w:pStyle w:val="BodyText"/>
        <w:numPr>
          <w:ilvl w:val="0"/>
          <w:numId w:val="39"/>
        </w:numPr>
        <w:spacing w:line="360" w:lineRule="auto"/>
        <w:rPr>
          <w:rFonts w:ascii="Gill Sans MT" w:hAnsi="Gill Sans MT"/>
          <w:sz w:val="20"/>
          <w:lang w:val="en-GB"/>
        </w:rPr>
      </w:pPr>
      <w:r>
        <w:rPr>
          <w:rFonts w:ascii="Gill Sans MT" w:hAnsi="Gill Sans MT"/>
          <w:sz w:val="20"/>
          <w:lang w:val="en-GB"/>
        </w:rPr>
        <w:t xml:space="preserve">Zambia had a marginally higher per capita income, and a greater potential for growth given the existence of an established copper mining industry.  </w:t>
      </w:r>
    </w:p>
    <w:p w14:paraId="4DF750B1" w14:textId="77777777" w:rsidR="00861282" w:rsidRDefault="00861282" w:rsidP="008F339F">
      <w:pPr>
        <w:pStyle w:val="BodyText"/>
        <w:numPr>
          <w:ilvl w:val="0"/>
          <w:numId w:val="39"/>
        </w:numPr>
        <w:spacing w:line="360" w:lineRule="auto"/>
        <w:rPr>
          <w:rFonts w:ascii="Gill Sans MT" w:hAnsi="Gill Sans MT"/>
          <w:sz w:val="20"/>
          <w:lang w:val="en-GB"/>
        </w:rPr>
      </w:pPr>
      <w:r>
        <w:rPr>
          <w:rFonts w:ascii="Gill Sans MT" w:hAnsi="Gill Sans MT"/>
          <w:sz w:val="20"/>
          <w:lang w:val="en-GB"/>
        </w:rPr>
        <w:t>Each country suffered from a combination of deficiencies in the political framework and weaknesses in governance, most especially Mozambique and Zambia.</w:t>
      </w:r>
    </w:p>
    <w:p w14:paraId="23DF6F78" w14:textId="77777777" w:rsidR="00861282" w:rsidRDefault="00861282" w:rsidP="008F339F">
      <w:pPr>
        <w:pStyle w:val="BodyText"/>
        <w:numPr>
          <w:ilvl w:val="0"/>
          <w:numId w:val="39"/>
        </w:numPr>
        <w:spacing w:line="360" w:lineRule="auto"/>
        <w:rPr>
          <w:rFonts w:ascii="Gill Sans MT" w:hAnsi="Gill Sans MT"/>
          <w:sz w:val="20"/>
          <w:lang w:val="en-GB"/>
        </w:rPr>
      </w:pPr>
      <w:r>
        <w:rPr>
          <w:rFonts w:ascii="Gill Sans MT" w:hAnsi="Gill Sans MT"/>
          <w:sz w:val="20"/>
          <w:lang w:val="en-GB"/>
        </w:rPr>
        <w:t>Mali had a relatively more favourable political framework and governance status.</w:t>
      </w:r>
    </w:p>
    <w:p w14:paraId="4DC41EEB" w14:textId="77777777" w:rsidR="00861282" w:rsidRDefault="00697ADD" w:rsidP="008F339F">
      <w:pPr>
        <w:pStyle w:val="BodyText"/>
        <w:numPr>
          <w:ilvl w:val="0"/>
          <w:numId w:val="39"/>
        </w:numPr>
        <w:spacing w:line="360" w:lineRule="auto"/>
        <w:rPr>
          <w:rFonts w:ascii="Gill Sans MT" w:hAnsi="Gill Sans MT"/>
          <w:sz w:val="20"/>
          <w:lang w:val="en-GB"/>
        </w:rPr>
      </w:pPr>
      <w:r>
        <w:rPr>
          <w:rFonts w:ascii="Gill Sans MT" w:hAnsi="Gill Sans MT"/>
          <w:sz w:val="20"/>
          <w:lang w:val="en-GB"/>
        </w:rPr>
        <w:t>A</w:t>
      </w:r>
      <w:r w:rsidR="00861282">
        <w:rPr>
          <w:rFonts w:ascii="Gill Sans MT" w:hAnsi="Gill Sans MT"/>
          <w:sz w:val="20"/>
          <w:lang w:val="en-GB"/>
        </w:rPr>
        <w:t>ll had high levels of aid dependency, which in Moz</w:t>
      </w:r>
      <w:r w:rsidR="00FA5101">
        <w:rPr>
          <w:rFonts w:ascii="Gill Sans MT" w:hAnsi="Gill Sans MT"/>
          <w:sz w:val="20"/>
          <w:lang w:val="en-GB"/>
        </w:rPr>
        <w:t xml:space="preserve">ambique, Tanzania and Zambia </w:t>
      </w:r>
      <w:r w:rsidR="00861282">
        <w:rPr>
          <w:rFonts w:ascii="Gill Sans MT" w:hAnsi="Gill Sans MT"/>
          <w:sz w:val="20"/>
          <w:lang w:val="en-GB"/>
        </w:rPr>
        <w:t>generated a degre</w:t>
      </w:r>
      <w:r>
        <w:rPr>
          <w:rFonts w:ascii="Gill Sans MT" w:hAnsi="Gill Sans MT"/>
          <w:sz w:val="20"/>
          <w:lang w:val="en-GB"/>
        </w:rPr>
        <w:t>e of tension in relations with Development P</w:t>
      </w:r>
      <w:r w:rsidR="00861282">
        <w:rPr>
          <w:rFonts w:ascii="Gill Sans MT" w:hAnsi="Gill Sans MT"/>
          <w:sz w:val="20"/>
          <w:lang w:val="en-GB"/>
        </w:rPr>
        <w:t>artners.</w:t>
      </w:r>
    </w:p>
    <w:p w14:paraId="77E2EC6B" w14:textId="77777777" w:rsidR="0088648F" w:rsidRDefault="00B56E6C" w:rsidP="00B56E6C">
      <w:pPr>
        <w:pStyle w:val="Heading2"/>
        <w:rPr>
          <w:bCs w:val="0"/>
        </w:rPr>
      </w:pPr>
      <w:bookmarkStart w:id="64" w:name="_Toc279848243"/>
      <w:r w:rsidRPr="00B56E6C">
        <w:rPr>
          <w:bCs w:val="0"/>
        </w:rPr>
        <w:lastRenderedPageBreak/>
        <w:t xml:space="preserve">2.2 </w:t>
      </w:r>
      <w:r w:rsidR="00F60929" w:rsidRPr="00B56E6C">
        <w:rPr>
          <w:bCs w:val="0"/>
        </w:rPr>
        <w:t>The mechanisms for implementation of Budget Support</w:t>
      </w:r>
      <w:bookmarkEnd w:id="64"/>
    </w:p>
    <w:p w14:paraId="5794B6E9" w14:textId="77777777" w:rsidR="00744EAC" w:rsidRPr="001D02B6" w:rsidRDefault="00C56A53" w:rsidP="00744EAC">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Here</w:t>
      </w:r>
      <w:r w:rsidR="00420F1C">
        <w:rPr>
          <w:rFonts w:ascii="Gill Sans MT" w:hAnsi="Gill Sans MT"/>
          <w:sz w:val="20"/>
          <w:lang w:val="en-GB"/>
        </w:rPr>
        <w:t>, we examine the mechanisms for i</w:t>
      </w:r>
      <w:r>
        <w:rPr>
          <w:rFonts w:ascii="Gill Sans MT" w:hAnsi="Gill Sans MT"/>
          <w:sz w:val="20"/>
          <w:lang w:val="en-GB"/>
        </w:rPr>
        <w:t>mplementation of budget support</w:t>
      </w:r>
      <w:r w:rsidR="00420F1C">
        <w:rPr>
          <w:rFonts w:ascii="Gill Sans MT" w:hAnsi="Gill Sans MT"/>
          <w:sz w:val="20"/>
          <w:lang w:val="en-GB"/>
        </w:rPr>
        <w:t>, based on an analysis of data relating to (</w:t>
      </w:r>
      <w:proofErr w:type="spellStart"/>
      <w:r w:rsidR="00420F1C">
        <w:rPr>
          <w:rFonts w:ascii="Gill Sans MT" w:hAnsi="Gill Sans MT"/>
          <w:sz w:val="20"/>
          <w:lang w:val="en-GB"/>
        </w:rPr>
        <w:t>i</w:t>
      </w:r>
      <w:proofErr w:type="spellEnd"/>
      <w:r w:rsidR="00420F1C">
        <w:rPr>
          <w:rFonts w:ascii="Gill Sans MT" w:hAnsi="Gill Sans MT"/>
          <w:sz w:val="20"/>
          <w:lang w:val="en-GB"/>
        </w:rPr>
        <w:t>) the inputs provided and (ii) the quality of</w:t>
      </w:r>
      <w:r w:rsidR="00F5270C">
        <w:rPr>
          <w:rFonts w:ascii="Gill Sans MT" w:hAnsi="Gill Sans MT"/>
          <w:sz w:val="20"/>
          <w:lang w:val="en-GB"/>
        </w:rPr>
        <w:t xml:space="preserve"> the implementation frameworks</w:t>
      </w:r>
      <w:r w:rsidR="00420F1C">
        <w:rPr>
          <w:rFonts w:ascii="Gill Sans MT" w:hAnsi="Gill Sans MT"/>
          <w:sz w:val="20"/>
          <w:lang w:val="en-GB"/>
        </w:rPr>
        <w:t xml:space="preserve">. </w:t>
      </w:r>
    </w:p>
    <w:p w14:paraId="7F39F42A" w14:textId="77777777" w:rsidR="00B329B5" w:rsidRDefault="008815B0" w:rsidP="00C56A53">
      <w:pPr>
        <w:pStyle w:val="Heading3"/>
      </w:pPr>
      <w:r>
        <w:t>(</w:t>
      </w:r>
      <w:proofErr w:type="spellStart"/>
      <w:r>
        <w:t>i</w:t>
      </w:r>
      <w:proofErr w:type="spellEnd"/>
      <w:r>
        <w:t xml:space="preserve">) </w:t>
      </w:r>
      <w:r w:rsidR="0012793E">
        <w:t xml:space="preserve">The scale, </w:t>
      </w:r>
      <w:r w:rsidR="00420F1C">
        <w:t xml:space="preserve">nature </w:t>
      </w:r>
      <w:r w:rsidR="0012793E">
        <w:t xml:space="preserve">and relevance </w:t>
      </w:r>
      <w:r w:rsidR="00420F1C">
        <w:t>of budget support inputs</w:t>
      </w:r>
    </w:p>
    <w:p w14:paraId="4A37F1B0" w14:textId="77777777" w:rsidR="00C91602" w:rsidRPr="00C91602" w:rsidRDefault="00C91602" w:rsidP="00C91602"/>
    <w:p w14:paraId="57C0D586" w14:textId="77777777" w:rsidR="00C91602" w:rsidRDefault="00C91602" w:rsidP="00C91602">
      <w:pPr>
        <w:pStyle w:val="Caption"/>
        <w:jc w:val="center"/>
        <w:rPr>
          <w:lang w:val="en-GB"/>
        </w:rPr>
      </w:pPr>
      <w:bookmarkStart w:id="65" w:name="_Toc279848286"/>
      <w:r w:rsidRPr="00B329B5">
        <w:rPr>
          <w:lang w:val="en-GB"/>
        </w:rPr>
        <w:t xml:space="preserve">Table </w:t>
      </w:r>
      <w:r w:rsidRPr="00B329B5">
        <w:rPr>
          <w:lang w:val="en-GB"/>
        </w:rPr>
        <w:fldChar w:fldCharType="begin"/>
      </w:r>
      <w:r w:rsidRPr="00B329B5">
        <w:rPr>
          <w:lang w:val="en-GB"/>
        </w:rPr>
        <w:instrText xml:space="preserve"> SEQ Table \* ARABIC </w:instrText>
      </w:r>
      <w:r w:rsidRPr="00B329B5">
        <w:rPr>
          <w:lang w:val="en-GB"/>
        </w:rPr>
        <w:fldChar w:fldCharType="separate"/>
      </w:r>
      <w:r>
        <w:rPr>
          <w:noProof/>
          <w:lang w:val="en-GB"/>
        </w:rPr>
        <w:t>6</w:t>
      </w:r>
      <w:r w:rsidRPr="00B329B5">
        <w:rPr>
          <w:lang w:val="en-GB"/>
        </w:rPr>
        <w:fldChar w:fldCharType="end"/>
      </w:r>
      <w:r w:rsidRPr="00B329B5">
        <w:rPr>
          <w:lang w:val="en-GB"/>
        </w:rPr>
        <w:t xml:space="preserve"> -The</w:t>
      </w:r>
      <w:r>
        <w:rPr>
          <w:lang w:val="en-GB"/>
        </w:rPr>
        <w:t xml:space="preserve"> Mechanisms of budget support: (</w:t>
      </w:r>
      <w:proofErr w:type="spellStart"/>
      <w:r>
        <w:rPr>
          <w:lang w:val="en-GB"/>
        </w:rPr>
        <w:t>i</w:t>
      </w:r>
      <w:proofErr w:type="spellEnd"/>
      <w:r>
        <w:rPr>
          <w:lang w:val="en-GB"/>
        </w:rPr>
        <w:t xml:space="preserve">) </w:t>
      </w:r>
      <w:r w:rsidRPr="00B329B5">
        <w:rPr>
          <w:lang w:val="en-GB"/>
        </w:rPr>
        <w:t>Inputs provided</w:t>
      </w:r>
      <w:bookmarkEnd w:id="65"/>
    </w:p>
    <w:tbl>
      <w:tblPr>
        <w:tblStyle w:val="TableClassic2"/>
        <w:tblW w:w="0" w:type="auto"/>
        <w:tblLayout w:type="fixed"/>
        <w:tblLook w:val="04A0" w:firstRow="1" w:lastRow="0" w:firstColumn="1" w:lastColumn="0" w:noHBand="0" w:noVBand="1"/>
      </w:tblPr>
      <w:tblGrid>
        <w:gridCol w:w="2518"/>
        <w:gridCol w:w="1559"/>
        <w:gridCol w:w="1444"/>
        <w:gridCol w:w="1502"/>
        <w:gridCol w:w="1502"/>
      </w:tblGrid>
      <w:tr w:rsidR="00C91602" w:rsidRPr="005E34B9" w14:paraId="1C7AB12B" w14:textId="77777777" w:rsidTr="00A751F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18" w:type="dxa"/>
          </w:tcPr>
          <w:p w14:paraId="1BCC54C4" w14:textId="77777777" w:rsidR="00C91602" w:rsidRPr="005E34B9" w:rsidRDefault="00C91602" w:rsidP="00A751F4">
            <w:pPr>
              <w:rPr>
                <w:rFonts w:ascii="Gill Sans MT" w:hAnsi="Gill Sans MT"/>
                <w:sz w:val="22"/>
                <w:szCs w:val="22"/>
                <w:lang w:val="en-GB"/>
              </w:rPr>
            </w:pPr>
            <w:r>
              <w:rPr>
                <w:rFonts w:ascii="Gill Sans MT" w:hAnsi="Gill Sans MT"/>
                <w:sz w:val="22"/>
                <w:szCs w:val="22"/>
                <w:lang w:val="en-GB"/>
              </w:rPr>
              <w:t>Budget Support Inputs provided (annual averages)</w:t>
            </w:r>
          </w:p>
        </w:tc>
        <w:tc>
          <w:tcPr>
            <w:tcW w:w="1559" w:type="dxa"/>
          </w:tcPr>
          <w:p w14:paraId="08DCB567" w14:textId="77777777" w:rsidR="00C91602" w:rsidRPr="005E34B9" w:rsidRDefault="00C91602" w:rsidP="00A751F4">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5E34B9">
              <w:rPr>
                <w:rFonts w:ascii="Gill Sans MT" w:hAnsi="Gill Sans MT"/>
                <w:sz w:val="22"/>
                <w:szCs w:val="22"/>
                <w:lang w:val="en-GB"/>
              </w:rPr>
              <w:t>Mali</w:t>
            </w:r>
          </w:p>
          <w:p w14:paraId="1627EDDD" w14:textId="77777777" w:rsidR="00C91602" w:rsidRPr="005E34B9" w:rsidRDefault="00C91602" w:rsidP="00A751F4">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2003-2009</w:t>
            </w:r>
          </w:p>
        </w:tc>
        <w:tc>
          <w:tcPr>
            <w:tcW w:w="1444" w:type="dxa"/>
          </w:tcPr>
          <w:p w14:paraId="14DCE8AA" w14:textId="77777777" w:rsidR="00C91602" w:rsidRPr="005E34B9" w:rsidRDefault="00C91602" w:rsidP="00A751F4">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5E34B9">
              <w:rPr>
                <w:rFonts w:ascii="Gill Sans MT" w:hAnsi="Gill Sans MT"/>
                <w:sz w:val="22"/>
                <w:szCs w:val="22"/>
                <w:lang w:val="en-GB"/>
              </w:rPr>
              <w:t>Mozambique</w:t>
            </w:r>
          </w:p>
          <w:p w14:paraId="79D69021" w14:textId="77777777" w:rsidR="00C91602" w:rsidRPr="005E34B9" w:rsidRDefault="00C91602" w:rsidP="00A751F4">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2005-2012</w:t>
            </w:r>
          </w:p>
        </w:tc>
        <w:tc>
          <w:tcPr>
            <w:tcW w:w="1502" w:type="dxa"/>
          </w:tcPr>
          <w:p w14:paraId="3764420B" w14:textId="77777777" w:rsidR="00C91602" w:rsidRPr="005E34B9" w:rsidRDefault="00C91602" w:rsidP="00A751F4">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5E34B9">
              <w:rPr>
                <w:rFonts w:ascii="Gill Sans MT" w:hAnsi="Gill Sans MT"/>
                <w:sz w:val="22"/>
                <w:szCs w:val="22"/>
                <w:lang w:val="en-GB"/>
              </w:rPr>
              <w:t>Tanzania</w:t>
            </w:r>
          </w:p>
          <w:p w14:paraId="1C4663CF" w14:textId="77777777" w:rsidR="00C91602" w:rsidRPr="005E34B9" w:rsidRDefault="00C91602" w:rsidP="00A751F4">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5E34B9">
              <w:rPr>
                <w:rFonts w:ascii="Gill Sans MT" w:hAnsi="Gill Sans MT"/>
                <w:sz w:val="22"/>
                <w:szCs w:val="22"/>
                <w:lang w:val="en-GB"/>
              </w:rPr>
              <w:t>200</w:t>
            </w:r>
            <w:r>
              <w:rPr>
                <w:rFonts w:ascii="Gill Sans MT" w:hAnsi="Gill Sans MT"/>
                <w:sz w:val="22"/>
                <w:szCs w:val="22"/>
                <w:lang w:val="en-GB"/>
              </w:rPr>
              <w:t>4-2011</w:t>
            </w:r>
          </w:p>
        </w:tc>
        <w:tc>
          <w:tcPr>
            <w:tcW w:w="1502" w:type="dxa"/>
          </w:tcPr>
          <w:p w14:paraId="536FBE6F" w14:textId="77777777" w:rsidR="00C91602" w:rsidRPr="005E34B9" w:rsidRDefault="00C91602" w:rsidP="00A751F4">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5E34B9">
              <w:rPr>
                <w:rFonts w:ascii="Gill Sans MT" w:hAnsi="Gill Sans MT"/>
                <w:sz w:val="22"/>
                <w:szCs w:val="22"/>
                <w:lang w:val="en-GB"/>
              </w:rPr>
              <w:t>Zambia</w:t>
            </w:r>
          </w:p>
          <w:p w14:paraId="00E9980C" w14:textId="77777777" w:rsidR="00C91602" w:rsidRPr="005E34B9" w:rsidRDefault="00C91602" w:rsidP="00A751F4">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2005-2010</w:t>
            </w:r>
          </w:p>
        </w:tc>
      </w:tr>
      <w:tr w:rsidR="00C91602" w14:paraId="19B8667C" w14:textId="77777777" w:rsidTr="00A751F4">
        <w:tc>
          <w:tcPr>
            <w:cnfStyle w:val="001000000000" w:firstRow="0" w:lastRow="0" w:firstColumn="1" w:lastColumn="0" w:oddVBand="0" w:evenVBand="0" w:oddHBand="0" w:evenHBand="0" w:firstRowFirstColumn="0" w:firstRowLastColumn="0" w:lastRowFirstColumn="0" w:lastRowLastColumn="0"/>
            <w:tcW w:w="2518" w:type="dxa"/>
          </w:tcPr>
          <w:p w14:paraId="29EB89ED" w14:textId="77777777" w:rsidR="00C91602" w:rsidRPr="005E34B9" w:rsidRDefault="00C91602" w:rsidP="00A751F4">
            <w:pPr>
              <w:rPr>
                <w:rFonts w:ascii="Gill Sans MT" w:hAnsi="Gill Sans MT"/>
                <w:sz w:val="20"/>
                <w:szCs w:val="20"/>
                <w:lang w:val="en-GB"/>
              </w:rPr>
            </w:pPr>
            <w:r>
              <w:rPr>
                <w:rFonts w:ascii="Gill Sans MT" w:hAnsi="Gill Sans MT"/>
                <w:sz w:val="20"/>
                <w:szCs w:val="20"/>
                <w:lang w:val="en-GB"/>
              </w:rPr>
              <w:t>BS disbursements (</w:t>
            </w:r>
            <w:proofErr w:type="spellStart"/>
            <w:r>
              <w:rPr>
                <w:rFonts w:ascii="Gill Sans MT" w:hAnsi="Gill Sans MT"/>
                <w:sz w:val="20"/>
                <w:szCs w:val="20"/>
                <w:lang w:val="en-GB"/>
              </w:rPr>
              <w:t>US$m</w:t>
            </w:r>
            <w:proofErr w:type="spellEnd"/>
            <w:r>
              <w:rPr>
                <w:rFonts w:ascii="Gill Sans MT" w:hAnsi="Gill Sans MT"/>
                <w:sz w:val="20"/>
                <w:szCs w:val="20"/>
                <w:lang w:val="en-GB"/>
              </w:rPr>
              <w:t>)</w:t>
            </w:r>
          </w:p>
        </w:tc>
        <w:tc>
          <w:tcPr>
            <w:tcW w:w="1559" w:type="dxa"/>
          </w:tcPr>
          <w:p w14:paraId="4C171D21" w14:textId="77777777" w:rsidR="00C91602" w:rsidRPr="00016EEB" w:rsidRDefault="00C91602" w:rsidP="00A751F4">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sidRPr="00016EEB">
              <w:rPr>
                <w:rFonts w:ascii="Gill Sans MT" w:hAnsi="Gill Sans MT"/>
                <w:sz w:val="20"/>
                <w:szCs w:val="20"/>
                <w:lang w:val="en-GB"/>
              </w:rPr>
              <w:t>182</w:t>
            </w:r>
          </w:p>
        </w:tc>
        <w:tc>
          <w:tcPr>
            <w:tcW w:w="1444" w:type="dxa"/>
          </w:tcPr>
          <w:p w14:paraId="2DC55CE2" w14:textId="77777777" w:rsidR="00C91602" w:rsidRPr="00016EEB" w:rsidRDefault="00C91602" w:rsidP="00A751F4">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sidRPr="00016EEB">
              <w:rPr>
                <w:rFonts w:ascii="Gill Sans MT" w:hAnsi="Gill Sans MT"/>
                <w:sz w:val="20"/>
                <w:szCs w:val="20"/>
                <w:lang w:val="en-GB"/>
              </w:rPr>
              <w:t>414</w:t>
            </w:r>
          </w:p>
        </w:tc>
        <w:tc>
          <w:tcPr>
            <w:tcW w:w="1502" w:type="dxa"/>
          </w:tcPr>
          <w:p w14:paraId="07891CD3" w14:textId="77777777" w:rsidR="00C91602" w:rsidRPr="00016EEB" w:rsidRDefault="00C91602" w:rsidP="00A751F4">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sidRPr="00016EEB">
              <w:rPr>
                <w:rFonts w:ascii="Gill Sans MT" w:hAnsi="Gill Sans MT"/>
                <w:sz w:val="20"/>
                <w:szCs w:val="20"/>
                <w:lang w:val="en-GB"/>
              </w:rPr>
              <w:t>660</w:t>
            </w:r>
          </w:p>
        </w:tc>
        <w:tc>
          <w:tcPr>
            <w:tcW w:w="1502" w:type="dxa"/>
          </w:tcPr>
          <w:p w14:paraId="32239282" w14:textId="77777777" w:rsidR="00C91602" w:rsidRPr="00016EEB" w:rsidRDefault="00C91602" w:rsidP="00A751F4">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sidRPr="00016EEB">
              <w:rPr>
                <w:rFonts w:ascii="Gill Sans MT" w:hAnsi="Gill Sans MT"/>
                <w:sz w:val="20"/>
                <w:szCs w:val="20"/>
                <w:lang w:val="en-GB"/>
              </w:rPr>
              <w:t>186</w:t>
            </w:r>
          </w:p>
        </w:tc>
      </w:tr>
      <w:tr w:rsidR="00C91602" w14:paraId="04ED7033" w14:textId="77777777" w:rsidTr="00A751F4">
        <w:tc>
          <w:tcPr>
            <w:cnfStyle w:val="001000000000" w:firstRow="0" w:lastRow="0" w:firstColumn="1" w:lastColumn="0" w:oddVBand="0" w:evenVBand="0" w:oddHBand="0" w:evenHBand="0" w:firstRowFirstColumn="0" w:firstRowLastColumn="0" w:lastRowFirstColumn="0" w:lastRowLastColumn="0"/>
            <w:tcW w:w="2518" w:type="dxa"/>
            <w:tcBorders>
              <w:bottom w:val="nil"/>
            </w:tcBorders>
          </w:tcPr>
          <w:p w14:paraId="5240740B" w14:textId="77777777" w:rsidR="00C91602" w:rsidRPr="005E34B9" w:rsidRDefault="00C91602" w:rsidP="00A751F4">
            <w:pPr>
              <w:rPr>
                <w:rFonts w:ascii="Gill Sans MT" w:hAnsi="Gill Sans MT"/>
                <w:sz w:val="20"/>
                <w:szCs w:val="20"/>
                <w:lang w:val="en-GB"/>
              </w:rPr>
            </w:pPr>
            <w:r>
              <w:rPr>
                <w:rFonts w:ascii="Gill Sans MT" w:hAnsi="Gill Sans MT"/>
                <w:sz w:val="20"/>
                <w:szCs w:val="20"/>
                <w:lang w:val="en-GB"/>
              </w:rPr>
              <w:t>BS</w:t>
            </w:r>
            <w:r w:rsidRPr="005E34B9">
              <w:rPr>
                <w:rFonts w:ascii="Gill Sans MT" w:hAnsi="Gill Sans MT"/>
                <w:sz w:val="20"/>
                <w:szCs w:val="20"/>
                <w:lang w:val="en-GB"/>
              </w:rPr>
              <w:t xml:space="preserve"> as %</w:t>
            </w:r>
            <w:r>
              <w:rPr>
                <w:rFonts w:ascii="Gill Sans MT" w:hAnsi="Gill Sans MT"/>
                <w:sz w:val="20"/>
                <w:szCs w:val="20"/>
                <w:lang w:val="en-GB"/>
              </w:rPr>
              <w:t xml:space="preserve"> </w:t>
            </w:r>
            <w:r w:rsidRPr="005E34B9">
              <w:rPr>
                <w:rFonts w:ascii="Gill Sans MT" w:hAnsi="Gill Sans MT"/>
                <w:sz w:val="20"/>
                <w:szCs w:val="20"/>
                <w:lang w:val="en-GB"/>
              </w:rPr>
              <w:t>ODA</w:t>
            </w:r>
            <w:r>
              <w:rPr>
                <w:rStyle w:val="FootnoteReference"/>
                <w:rFonts w:ascii="Gill Sans MT" w:hAnsi="Gill Sans MT"/>
                <w:sz w:val="20"/>
                <w:szCs w:val="20"/>
                <w:lang w:val="en-GB"/>
              </w:rPr>
              <w:footnoteReference w:id="14"/>
            </w:r>
            <w:r>
              <w:rPr>
                <w:rFonts w:ascii="Gill Sans MT" w:hAnsi="Gill Sans MT"/>
                <w:sz w:val="20"/>
                <w:szCs w:val="20"/>
                <w:lang w:val="en-GB"/>
              </w:rPr>
              <w:t xml:space="preserve"> </w:t>
            </w:r>
          </w:p>
        </w:tc>
        <w:tc>
          <w:tcPr>
            <w:tcW w:w="1559" w:type="dxa"/>
            <w:tcBorders>
              <w:bottom w:val="nil"/>
            </w:tcBorders>
          </w:tcPr>
          <w:p w14:paraId="0DB0B167" w14:textId="77777777" w:rsidR="00C91602" w:rsidRPr="00016EEB" w:rsidRDefault="00C91602" w:rsidP="00A751F4">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sidRPr="00016EEB">
              <w:rPr>
                <w:rFonts w:ascii="Gill Sans MT" w:hAnsi="Gill Sans MT"/>
                <w:sz w:val="20"/>
                <w:szCs w:val="20"/>
                <w:lang w:val="en-GB"/>
              </w:rPr>
              <w:t>22.7 %</w:t>
            </w:r>
          </w:p>
        </w:tc>
        <w:tc>
          <w:tcPr>
            <w:tcW w:w="1444" w:type="dxa"/>
            <w:tcBorders>
              <w:bottom w:val="nil"/>
            </w:tcBorders>
          </w:tcPr>
          <w:p w14:paraId="4E926301" w14:textId="77777777" w:rsidR="00C91602" w:rsidRPr="00016EEB" w:rsidRDefault="00C91602" w:rsidP="00A751F4">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sidRPr="00016EEB">
              <w:rPr>
                <w:rFonts w:ascii="Gill Sans MT" w:hAnsi="Gill Sans MT"/>
                <w:sz w:val="20"/>
                <w:szCs w:val="20"/>
                <w:lang w:val="en-GB"/>
              </w:rPr>
              <w:t>20.2 %</w:t>
            </w:r>
          </w:p>
        </w:tc>
        <w:tc>
          <w:tcPr>
            <w:tcW w:w="1502" w:type="dxa"/>
            <w:tcBorders>
              <w:bottom w:val="nil"/>
            </w:tcBorders>
          </w:tcPr>
          <w:p w14:paraId="60ED0C1B" w14:textId="77777777" w:rsidR="00C91602" w:rsidRPr="00016EEB" w:rsidRDefault="00C91602" w:rsidP="00A751F4">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sidRPr="00016EEB">
              <w:rPr>
                <w:rFonts w:ascii="Gill Sans MT" w:hAnsi="Gill Sans MT"/>
                <w:sz w:val="20"/>
                <w:szCs w:val="20"/>
                <w:lang w:val="en-GB"/>
              </w:rPr>
              <w:t>27.7 %</w:t>
            </w:r>
          </w:p>
        </w:tc>
        <w:tc>
          <w:tcPr>
            <w:tcW w:w="1502" w:type="dxa"/>
            <w:tcBorders>
              <w:bottom w:val="nil"/>
            </w:tcBorders>
          </w:tcPr>
          <w:p w14:paraId="00F6537C" w14:textId="77777777" w:rsidR="00C91602" w:rsidRPr="00016EEB" w:rsidRDefault="00C91602" w:rsidP="00A751F4">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sidRPr="00016EEB">
              <w:rPr>
                <w:rFonts w:ascii="Gill Sans MT" w:hAnsi="Gill Sans MT"/>
                <w:sz w:val="20"/>
                <w:szCs w:val="20"/>
                <w:lang w:val="en-GB"/>
              </w:rPr>
              <w:t>15.5 %</w:t>
            </w:r>
          </w:p>
        </w:tc>
      </w:tr>
      <w:tr w:rsidR="00C91602" w14:paraId="2E5FE46E" w14:textId="77777777" w:rsidTr="00A751F4">
        <w:tc>
          <w:tcPr>
            <w:cnfStyle w:val="001000000000" w:firstRow="0" w:lastRow="0" w:firstColumn="1" w:lastColumn="0" w:oddVBand="0" w:evenVBand="0" w:oddHBand="0" w:evenHBand="0" w:firstRowFirstColumn="0" w:firstRowLastColumn="0" w:lastRowFirstColumn="0" w:lastRowLastColumn="0"/>
            <w:tcW w:w="2518" w:type="dxa"/>
            <w:tcBorders>
              <w:top w:val="nil"/>
              <w:bottom w:val="single" w:sz="4" w:space="0" w:color="auto"/>
            </w:tcBorders>
          </w:tcPr>
          <w:p w14:paraId="23F61831" w14:textId="77777777" w:rsidR="00C91602" w:rsidRPr="005E34B9" w:rsidRDefault="00C91602" w:rsidP="00A751F4">
            <w:pPr>
              <w:rPr>
                <w:rFonts w:ascii="Gill Sans MT" w:hAnsi="Gill Sans MT"/>
                <w:sz w:val="20"/>
                <w:szCs w:val="20"/>
                <w:lang w:val="en-GB"/>
              </w:rPr>
            </w:pPr>
            <w:r>
              <w:rPr>
                <w:rFonts w:ascii="Gill Sans MT" w:hAnsi="Gill Sans MT"/>
                <w:sz w:val="20"/>
                <w:szCs w:val="20"/>
                <w:lang w:val="en-GB"/>
              </w:rPr>
              <w:t>BS as % Total expenditure</w:t>
            </w:r>
          </w:p>
        </w:tc>
        <w:tc>
          <w:tcPr>
            <w:tcW w:w="1559" w:type="dxa"/>
            <w:tcBorders>
              <w:top w:val="nil"/>
              <w:bottom w:val="single" w:sz="4" w:space="0" w:color="auto"/>
            </w:tcBorders>
          </w:tcPr>
          <w:p w14:paraId="330ACF99" w14:textId="77777777" w:rsidR="00C91602" w:rsidRPr="00016EEB" w:rsidRDefault="00C91602" w:rsidP="00A751F4">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sidRPr="00016EEB">
              <w:rPr>
                <w:rFonts w:ascii="Gill Sans MT" w:hAnsi="Gill Sans MT"/>
                <w:sz w:val="20"/>
                <w:szCs w:val="20"/>
                <w:lang w:val="en-GB"/>
              </w:rPr>
              <w:t>11.6 %</w:t>
            </w:r>
          </w:p>
        </w:tc>
        <w:tc>
          <w:tcPr>
            <w:tcW w:w="1444" w:type="dxa"/>
            <w:tcBorders>
              <w:top w:val="nil"/>
              <w:bottom w:val="single" w:sz="4" w:space="0" w:color="auto"/>
            </w:tcBorders>
          </w:tcPr>
          <w:p w14:paraId="40CAF92F" w14:textId="77777777" w:rsidR="00C91602" w:rsidRPr="00016EEB" w:rsidRDefault="00C91602" w:rsidP="00A751F4">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sidRPr="00016EEB">
              <w:rPr>
                <w:rFonts w:ascii="Gill Sans MT" w:hAnsi="Gill Sans MT"/>
                <w:sz w:val="20"/>
                <w:szCs w:val="20"/>
                <w:lang w:val="en-GB"/>
              </w:rPr>
              <w:t>15.4 %</w:t>
            </w:r>
          </w:p>
        </w:tc>
        <w:tc>
          <w:tcPr>
            <w:tcW w:w="1502" w:type="dxa"/>
            <w:tcBorders>
              <w:top w:val="nil"/>
              <w:bottom w:val="single" w:sz="4" w:space="0" w:color="auto"/>
            </w:tcBorders>
          </w:tcPr>
          <w:p w14:paraId="45C6650A" w14:textId="77777777" w:rsidR="00C91602" w:rsidRPr="00016EEB" w:rsidRDefault="00C91602" w:rsidP="00A751F4">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sidRPr="00016EEB">
              <w:rPr>
                <w:rFonts w:ascii="Gill Sans MT" w:hAnsi="Gill Sans MT"/>
                <w:sz w:val="20"/>
                <w:szCs w:val="20"/>
                <w:lang w:val="en-GB"/>
              </w:rPr>
              <w:t>14.8 %</w:t>
            </w:r>
          </w:p>
        </w:tc>
        <w:tc>
          <w:tcPr>
            <w:tcW w:w="1502" w:type="dxa"/>
            <w:tcBorders>
              <w:top w:val="nil"/>
              <w:bottom w:val="single" w:sz="4" w:space="0" w:color="auto"/>
            </w:tcBorders>
          </w:tcPr>
          <w:p w14:paraId="671F146F" w14:textId="77777777" w:rsidR="00C91602" w:rsidRPr="00016EEB" w:rsidRDefault="00C91602" w:rsidP="00A751F4">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sidRPr="00016EEB">
              <w:rPr>
                <w:rFonts w:ascii="Gill Sans MT" w:hAnsi="Gill Sans MT"/>
                <w:sz w:val="20"/>
                <w:szCs w:val="20"/>
                <w:lang w:val="en-GB"/>
              </w:rPr>
              <w:t>6.5 %</w:t>
            </w:r>
          </w:p>
        </w:tc>
      </w:tr>
      <w:tr w:rsidR="00C91602" w14:paraId="03800814" w14:textId="77777777" w:rsidTr="00A751F4">
        <w:tc>
          <w:tcPr>
            <w:cnfStyle w:val="001000000000" w:firstRow="0" w:lastRow="0" w:firstColumn="1" w:lastColumn="0" w:oddVBand="0" w:evenVBand="0" w:oddHBand="0" w:evenHBand="0" w:firstRowFirstColumn="0" w:firstRowLastColumn="0" w:lastRowFirstColumn="0" w:lastRowLastColumn="0"/>
            <w:tcW w:w="2518" w:type="dxa"/>
            <w:tcBorders>
              <w:top w:val="single" w:sz="4" w:space="0" w:color="auto"/>
              <w:bottom w:val="single" w:sz="4" w:space="0" w:color="auto"/>
            </w:tcBorders>
          </w:tcPr>
          <w:p w14:paraId="2FCB1E56" w14:textId="77777777" w:rsidR="00C91602" w:rsidRPr="005E34B9" w:rsidRDefault="00C91602" w:rsidP="00A751F4">
            <w:pPr>
              <w:rPr>
                <w:rFonts w:ascii="Gill Sans MT" w:hAnsi="Gill Sans MT"/>
                <w:sz w:val="20"/>
                <w:szCs w:val="20"/>
                <w:lang w:val="en-GB"/>
              </w:rPr>
            </w:pPr>
            <w:r>
              <w:rPr>
                <w:rFonts w:ascii="Gill Sans MT" w:hAnsi="Gill Sans MT"/>
                <w:sz w:val="20"/>
                <w:szCs w:val="20"/>
                <w:lang w:val="en-GB"/>
              </w:rPr>
              <w:t xml:space="preserve">Number of BS Providers </w:t>
            </w:r>
          </w:p>
        </w:tc>
        <w:tc>
          <w:tcPr>
            <w:tcW w:w="1559" w:type="dxa"/>
            <w:tcBorders>
              <w:top w:val="single" w:sz="4" w:space="0" w:color="auto"/>
              <w:bottom w:val="single" w:sz="4" w:space="0" w:color="auto"/>
            </w:tcBorders>
          </w:tcPr>
          <w:p w14:paraId="1E57A2EF" w14:textId="77777777" w:rsidR="00C91602" w:rsidRDefault="00C91602" w:rsidP="00A751F4">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10</w:t>
            </w:r>
          </w:p>
          <w:p w14:paraId="23126E90" w14:textId="77777777" w:rsidR="00C91602" w:rsidRPr="00016EEB" w:rsidRDefault="00C91602" w:rsidP="00A751F4">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7 bilateral; 3 multilateral</w:t>
            </w:r>
          </w:p>
        </w:tc>
        <w:tc>
          <w:tcPr>
            <w:tcW w:w="1444" w:type="dxa"/>
            <w:tcBorders>
              <w:top w:val="single" w:sz="4" w:space="0" w:color="auto"/>
              <w:bottom w:val="single" w:sz="4" w:space="0" w:color="auto"/>
            </w:tcBorders>
          </w:tcPr>
          <w:p w14:paraId="15284595" w14:textId="77777777" w:rsidR="00C91602" w:rsidRDefault="00C91602" w:rsidP="00A751F4">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19</w:t>
            </w:r>
          </w:p>
          <w:p w14:paraId="4502329B" w14:textId="77777777" w:rsidR="00C91602" w:rsidRPr="00016EEB" w:rsidRDefault="00C91602" w:rsidP="00A751F4">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16 bilateral; 3 multilateral</w:t>
            </w:r>
          </w:p>
        </w:tc>
        <w:tc>
          <w:tcPr>
            <w:tcW w:w="1502" w:type="dxa"/>
            <w:tcBorders>
              <w:top w:val="single" w:sz="4" w:space="0" w:color="auto"/>
              <w:bottom w:val="single" w:sz="4" w:space="0" w:color="auto"/>
            </w:tcBorders>
          </w:tcPr>
          <w:p w14:paraId="005C371C" w14:textId="77777777" w:rsidR="00C91602" w:rsidRPr="00016EEB" w:rsidRDefault="00C91602" w:rsidP="00A751F4">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sidRPr="00016EEB">
              <w:rPr>
                <w:rFonts w:ascii="Gill Sans MT" w:hAnsi="Gill Sans MT"/>
                <w:sz w:val="20"/>
                <w:szCs w:val="20"/>
                <w:lang w:val="en-GB"/>
              </w:rPr>
              <w:t>14</w:t>
            </w:r>
          </w:p>
          <w:p w14:paraId="6CBAD5A1" w14:textId="77777777" w:rsidR="00C91602" w:rsidRPr="00016EEB" w:rsidRDefault="00C91602" w:rsidP="00A751F4">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sidRPr="00016EEB">
              <w:rPr>
                <w:rFonts w:ascii="Gill Sans MT" w:hAnsi="Gill Sans MT"/>
                <w:sz w:val="20"/>
                <w:szCs w:val="20"/>
                <w:lang w:val="en-GB"/>
              </w:rPr>
              <w:t>11 bilateral; 3</w:t>
            </w:r>
            <w:r>
              <w:rPr>
                <w:rFonts w:ascii="Gill Sans MT" w:hAnsi="Gill Sans MT"/>
                <w:sz w:val="20"/>
                <w:szCs w:val="20"/>
                <w:lang w:val="en-GB"/>
              </w:rPr>
              <w:t xml:space="preserve"> </w:t>
            </w:r>
            <w:r w:rsidRPr="00016EEB">
              <w:rPr>
                <w:rFonts w:ascii="Gill Sans MT" w:hAnsi="Gill Sans MT"/>
                <w:sz w:val="20"/>
                <w:szCs w:val="20"/>
                <w:lang w:val="en-GB"/>
              </w:rPr>
              <w:t>multilateral</w:t>
            </w:r>
          </w:p>
        </w:tc>
        <w:tc>
          <w:tcPr>
            <w:tcW w:w="1502" w:type="dxa"/>
            <w:tcBorders>
              <w:top w:val="single" w:sz="4" w:space="0" w:color="auto"/>
              <w:bottom w:val="single" w:sz="4" w:space="0" w:color="auto"/>
            </w:tcBorders>
          </w:tcPr>
          <w:p w14:paraId="56A284FD" w14:textId="77777777" w:rsidR="00C91602" w:rsidRPr="00016EEB" w:rsidRDefault="00C91602" w:rsidP="00A751F4">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sidRPr="00016EEB">
              <w:rPr>
                <w:rFonts w:ascii="Gill Sans MT" w:hAnsi="Gill Sans MT"/>
                <w:sz w:val="20"/>
                <w:szCs w:val="20"/>
                <w:lang w:val="en-GB"/>
              </w:rPr>
              <w:t>9</w:t>
            </w:r>
          </w:p>
          <w:p w14:paraId="33D4BDBF" w14:textId="77777777" w:rsidR="00C91602" w:rsidRPr="00016EEB" w:rsidRDefault="00C91602" w:rsidP="00A751F4">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sidRPr="00016EEB">
              <w:rPr>
                <w:rFonts w:ascii="Gill Sans MT" w:hAnsi="Gill Sans MT"/>
                <w:sz w:val="20"/>
                <w:szCs w:val="20"/>
                <w:lang w:val="en-GB"/>
              </w:rPr>
              <w:t>6 bilateral; 3 multilateral</w:t>
            </w:r>
          </w:p>
        </w:tc>
      </w:tr>
      <w:tr w:rsidR="00C91602" w:rsidRPr="008C51D1" w14:paraId="5B8331C6" w14:textId="77777777" w:rsidTr="00A751F4">
        <w:tc>
          <w:tcPr>
            <w:cnfStyle w:val="001000000000" w:firstRow="0" w:lastRow="0" w:firstColumn="1" w:lastColumn="0" w:oddVBand="0" w:evenVBand="0" w:oddHBand="0" w:evenHBand="0" w:firstRowFirstColumn="0" w:firstRowLastColumn="0" w:lastRowFirstColumn="0" w:lastRowLastColumn="0"/>
            <w:tcW w:w="2518" w:type="dxa"/>
            <w:tcBorders>
              <w:top w:val="single" w:sz="4" w:space="0" w:color="auto"/>
              <w:bottom w:val="nil"/>
            </w:tcBorders>
          </w:tcPr>
          <w:p w14:paraId="61C2A9E0" w14:textId="77777777" w:rsidR="00C91602" w:rsidRPr="005E34B9" w:rsidRDefault="00C91602" w:rsidP="00A751F4">
            <w:pPr>
              <w:spacing w:line="360" w:lineRule="auto"/>
              <w:rPr>
                <w:rFonts w:ascii="Gill Sans MT" w:hAnsi="Gill Sans MT"/>
                <w:sz w:val="20"/>
                <w:szCs w:val="20"/>
                <w:lang w:val="en-GB"/>
              </w:rPr>
            </w:pPr>
            <w:r>
              <w:rPr>
                <w:rFonts w:ascii="Gill Sans MT" w:hAnsi="Gill Sans MT"/>
                <w:sz w:val="20"/>
                <w:szCs w:val="20"/>
                <w:lang w:val="en-GB"/>
              </w:rPr>
              <w:t>GBS/ SBS balance</w:t>
            </w:r>
          </w:p>
        </w:tc>
        <w:tc>
          <w:tcPr>
            <w:tcW w:w="1559" w:type="dxa"/>
            <w:tcBorders>
              <w:top w:val="single" w:sz="4" w:space="0" w:color="auto"/>
              <w:bottom w:val="nil"/>
            </w:tcBorders>
          </w:tcPr>
          <w:p w14:paraId="03FBE293" w14:textId="77777777" w:rsidR="00C91602" w:rsidRDefault="00C91602" w:rsidP="00A751F4">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71% GBS</w:t>
            </w:r>
          </w:p>
          <w:p w14:paraId="712FDFF7" w14:textId="77777777" w:rsidR="00C91602" w:rsidRPr="00016EEB" w:rsidRDefault="00C91602" w:rsidP="00A751F4">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SBS: Health, Education, Decentralisation PFM, Cotton</w:t>
            </w:r>
          </w:p>
        </w:tc>
        <w:tc>
          <w:tcPr>
            <w:tcW w:w="1444" w:type="dxa"/>
            <w:tcBorders>
              <w:top w:val="single" w:sz="4" w:space="0" w:color="auto"/>
              <w:bottom w:val="nil"/>
            </w:tcBorders>
          </w:tcPr>
          <w:p w14:paraId="54AFFA45" w14:textId="77777777" w:rsidR="00C91602" w:rsidRPr="00016EEB" w:rsidRDefault="00C91602" w:rsidP="00A751F4">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100% GBS</w:t>
            </w:r>
          </w:p>
        </w:tc>
        <w:tc>
          <w:tcPr>
            <w:tcW w:w="1502" w:type="dxa"/>
            <w:tcBorders>
              <w:top w:val="single" w:sz="4" w:space="0" w:color="auto"/>
              <w:bottom w:val="nil"/>
            </w:tcBorders>
          </w:tcPr>
          <w:p w14:paraId="7E210680" w14:textId="77777777" w:rsidR="00C91602" w:rsidRDefault="00C91602" w:rsidP="00A751F4">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96% GBS</w:t>
            </w:r>
          </w:p>
          <w:p w14:paraId="540349BF" w14:textId="77777777" w:rsidR="00C91602" w:rsidRPr="00016EEB" w:rsidRDefault="00C91602" w:rsidP="00A751F4">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SBS: Education, Roads</w:t>
            </w:r>
          </w:p>
        </w:tc>
        <w:tc>
          <w:tcPr>
            <w:tcW w:w="1502" w:type="dxa"/>
            <w:tcBorders>
              <w:top w:val="single" w:sz="4" w:space="0" w:color="auto"/>
              <w:bottom w:val="nil"/>
            </w:tcBorders>
          </w:tcPr>
          <w:p w14:paraId="1D30F7EF" w14:textId="77777777" w:rsidR="00C91602" w:rsidRPr="00EA46BD" w:rsidRDefault="00C91602" w:rsidP="00A751F4">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sidRPr="00EA46BD">
              <w:rPr>
                <w:rFonts w:ascii="Gill Sans MT" w:hAnsi="Gill Sans MT"/>
                <w:sz w:val="20"/>
                <w:szCs w:val="20"/>
                <w:lang w:val="en-GB"/>
              </w:rPr>
              <w:t>87 %</w:t>
            </w:r>
            <w:r>
              <w:rPr>
                <w:rFonts w:ascii="Gill Sans MT" w:hAnsi="Gill Sans MT"/>
                <w:sz w:val="20"/>
                <w:szCs w:val="20"/>
                <w:lang w:val="en-GB"/>
              </w:rPr>
              <w:t xml:space="preserve"> GBS</w:t>
            </w:r>
          </w:p>
          <w:p w14:paraId="7AA4539A" w14:textId="77777777" w:rsidR="00C91602" w:rsidRDefault="00C91602" w:rsidP="00A751F4">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sidRPr="00EA46BD">
              <w:rPr>
                <w:rFonts w:ascii="Gill Sans MT" w:hAnsi="Gill Sans MT"/>
                <w:sz w:val="20"/>
                <w:szCs w:val="20"/>
                <w:lang w:val="en-GB"/>
              </w:rPr>
              <w:t xml:space="preserve">SBS: </w:t>
            </w:r>
          </w:p>
          <w:p w14:paraId="0D283B9A" w14:textId="77777777" w:rsidR="00C91602" w:rsidRPr="00EA46BD" w:rsidRDefault="00C91602" w:rsidP="00A751F4">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sidRPr="00EA46BD">
              <w:rPr>
                <w:rFonts w:ascii="Gill Sans MT" w:hAnsi="Gill Sans MT"/>
                <w:sz w:val="20"/>
                <w:szCs w:val="20"/>
                <w:lang w:val="en-GB"/>
              </w:rPr>
              <w:t>Roads, Health, PFM</w:t>
            </w:r>
          </w:p>
        </w:tc>
      </w:tr>
      <w:tr w:rsidR="00C91602" w14:paraId="77CD92C0" w14:textId="77777777" w:rsidTr="00A751F4">
        <w:tc>
          <w:tcPr>
            <w:cnfStyle w:val="001000000000" w:firstRow="0" w:lastRow="0" w:firstColumn="1" w:lastColumn="0" w:oddVBand="0" w:evenVBand="0" w:oddHBand="0" w:evenHBand="0" w:firstRowFirstColumn="0" w:firstRowLastColumn="0" w:lastRowFirstColumn="0" w:lastRowLastColumn="0"/>
            <w:tcW w:w="2518" w:type="dxa"/>
            <w:tcBorders>
              <w:top w:val="nil"/>
              <w:bottom w:val="single" w:sz="4" w:space="0" w:color="auto"/>
            </w:tcBorders>
          </w:tcPr>
          <w:p w14:paraId="531966EC" w14:textId="77777777" w:rsidR="00C91602" w:rsidRDefault="00C91602" w:rsidP="00A751F4">
            <w:pPr>
              <w:rPr>
                <w:rFonts w:ascii="Gill Sans MT" w:hAnsi="Gill Sans MT"/>
                <w:sz w:val="20"/>
                <w:szCs w:val="20"/>
                <w:lang w:val="en-GB"/>
              </w:rPr>
            </w:pPr>
            <w:r>
              <w:rPr>
                <w:rFonts w:ascii="Gill Sans MT" w:hAnsi="Gill Sans MT"/>
                <w:sz w:val="20"/>
                <w:szCs w:val="20"/>
                <w:lang w:val="en-GB"/>
              </w:rPr>
              <w:t>Use of Variable/ Performance tranches</w:t>
            </w:r>
          </w:p>
        </w:tc>
        <w:tc>
          <w:tcPr>
            <w:tcW w:w="1559" w:type="dxa"/>
            <w:tcBorders>
              <w:top w:val="nil"/>
              <w:bottom w:val="single" w:sz="4" w:space="0" w:color="auto"/>
            </w:tcBorders>
          </w:tcPr>
          <w:p w14:paraId="108E5E74" w14:textId="77777777" w:rsidR="00C91602" w:rsidRDefault="00C91602" w:rsidP="00A751F4">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p>
          <w:p w14:paraId="40CA3F23" w14:textId="77777777" w:rsidR="00C91602" w:rsidRPr="00016EEB" w:rsidRDefault="00C91602" w:rsidP="00A751F4">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Yes</w:t>
            </w:r>
          </w:p>
        </w:tc>
        <w:tc>
          <w:tcPr>
            <w:tcW w:w="1444" w:type="dxa"/>
            <w:tcBorders>
              <w:top w:val="nil"/>
              <w:bottom w:val="single" w:sz="4" w:space="0" w:color="auto"/>
            </w:tcBorders>
          </w:tcPr>
          <w:p w14:paraId="29E507FE" w14:textId="77777777" w:rsidR="00C91602" w:rsidRDefault="00C91602" w:rsidP="00A751F4">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p>
          <w:p w14:paraId="527072CA" w14:textId="77777777" w:rsidR="00C91602" w:rsidRPr="00016EEB" w:rsidRDefault="00C91602" w:rsidP="00A751F4">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Yes</w:t>
            </w:r>
          </w:p>
        </w:tc>
        <w:tc>
          <w:tcPr>
            <w:tcW w:w="1502" w:type="dxa"/>
            <w:tcBorders>
              <w:top w:val="nil"/>
              <w:bottom w:val="single" w:sz="4" w:space="0" w:color="auto"/>
            </w:tcBorders>
          </w:tcPr>
          <w:p w14:paraId="3EF08F37" w14:textId="77777777" w:rsidR="00C91602" w:rsidRDefault="00C91602" w:rsidP="00A751F4">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p>
          <w:p w14:paraId="2DB31709" w14:textId="77777777" w:rsidR="00C91602" w:rsidRPr="00016EEB" w:rsidRDefault="00C91602" w:rsidP="00A751F4">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Yes</w:t>
            </w:r>
          </w:p>
        </w:tc>
        <w:tc>
          <w:tcPr>
            <w:tcW w:w="1502" w:type="dxa"/>
            <w:tcBorders>
              <w:top w:val="nil"/>
              <w:bottom w:val="single" w:sz="4" w:space="0" w:color="auto"/>
            </w:tcBorders>
          </w:tcPr>
          <w:p w14:paraId="4A8776E1" w14:textId="77777777" w:rsidR="00C91602" w:rsidRDefault="00C91602" w:rsidP="00A751F4">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p>
          <w:p w14:paraId="49E881EF" w14:textId="77777777" w:rsidR="00C91602" w:rsidRPr="00EA46BD" w:rsidRDefault="00C91602" w:rsidP="00A751F4">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Yes</w:t>
            </w:r>
          </w:p>
        </w:tc>
      </w:tr>
      <w:tr w:rsidR="00C91602" w14:paraId="6241E118" w14:textId="77777777" w:rsidTr="00A751F4">
        <w:tc>
          <w:tcPr>
            <w:cnfStyle w:val="001000000000" w:firstRow="0" w:lastRow="0" w:firstColumn="1" w:lastColumn="0" w:oddVBand="0" w:evenVBand="0" w:oddHBand="0" w:evenHBand="0" w:firstRowFirstColumn="0" w:firstRowLastColumn="0" w:lastRowFirstColumn="0" w:lastRowLastColumn="0"/>
            <w:tcW w:w="2518" w:type="dxa"/>
            <w:tcBorders>
              <w:top w:val="single" w:sz="4" w:space="0" w:color="auto"/>
            </w:tcBorders>
          </w:tcPr>
          <w:p w14:paraId="2483C34B" w14:textId="77777777" w:rsidR="00C91602" w:rsidRPr="005E34B9" w:rsidRDefault="00C91602" w:rsidP="00A751F4">
            <w:pPr>
              <w:rPr>
                <w:rFonts w:ascii="Gill Sans MT" w:hAnsi="Gill Sans MT"/>
                <w:sz w:val="20"/>
                <w:szCs w:val="20"/>
                <w:lang w:val="en-GB"/>
              </w:rPr>
            </w:pPr>
            <w:r>
              <w:rPr>
                <w:rFonts w:ascii="Gill Sans MT" w:hAnsi="Gill Sans MT"/>
                <w:sz w:val="20"/>
                <w:szCs w:val="20"/>
                <w:lang w:val="en-GB"/>
              </w:rPr>
              <w:t>Technical Assistance/ capacity-building</w:t>
            </w:r>
          </w:p>
        </w:tc>
        <w:tc>
          <w:tcPr>
            <w:tcW w:w="1559" w:type="dxa"/>
            <w:tcBorders>
              <w:top w:val="single" w:sz="4" w:space="0" w:color="auto"/>
            </w:tcBorders>
          </w:tcPr>
          <w:p w14:paraId="6DE7CB51" w14:textId="77777777" w:rsidR="00C91602" w:rsidRPr="00016EEB" w:rsidRDefault="00C91602" w:rsidP="00A751F4">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Yes: significant</w:t>
            </w:r>
          </w:p>
        </w:tc>
        <w:tc>
          <w:tcPr>
            <w:tcW w:w="1444" w:type="dxa"/>
            <w:tcBorders>
              <w:top w:val="single" w:sz="4" w:space="0" w:color="auto"/>
            </w:tcBorders>
          </w:tcPr>
          <w:p w14:paraId="706FCFAB" w14:textId="77777777" w:rsidR="00C91602" w:rsidRPr="00016EEB" w:rsidRDefault="00C91602" w:rsidP="00A751F4">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Yes: significant</w:t>
            </w:r>
          </w:p>
        </w:tc>
        <w:tc>
          <w:tcPr>
            <w:tcW w:w="1502" w:type="dxa"/>
            <w:tcBorders>
              <w:top w:val="single" w:sz="4" w:space="0" w:color="auto"/>
            </w:tcBorders>
          </w:tcPr>
          <w:p w14:paraId="0C7ECD08" w14:textId="77777777" w:rsidR="00C91602" w:rsidRPr="00016EEB" w:rsidRDefault="00C91602" w:rsidP="00A751F4">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Yes but limited</w:t>
            </w:r>
          </w:p>
        </w:tc>
        <w:tc>
          <w:tcPr>
            <w:tcW w:w="1502" w:type="dxa"/>
            <w:tcBorders>
              <w:top w:val="single" w:sz="4" w:space="0" w:color="auto"/>
            </w:tcBorders>
          </w:tcPr>
          <w:p w14:paraId="778C73C2" w14:textId="77777777" w:rsidR="00C91602" w:rsidRPr="00EA46BD" w:rsidRDefault="00C91602" w:rsidP="00A751F4">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Yes: significant</w:t>
            </w:r>
          </w:p>
        </w:tc>
      </w:tr>
    </w:tbl>
    <w:p w14:paraId="14654D3B" w14:textId="77777777" w:rsidR="00C91602" w:rsidRDefault="00C91602" w:rsidP="00C91602">
      <w:pPr>
        <w:rPr>
          <w:rFonts w:ascii="Gill Sans MT" w:hAnsi="Gill Sans MT"/>
          <w:sz w:val="18"/>
          <w:szCs w:val="18"/>
          <w:lang w:val="en-GB"/>
        </w:rPr>
      </w:pPr>
      <w:r w:rsidRPr="00223323">
        <w:rPr>
          <w:rFonts w:ascii="Gill Sans MT" w:hAnsi="Gill Sans MT"/>
          <w:sz w:val="18"/>
          <w:szCs w:val="18"/>
          <w:u w:val="single"/>
          <w:lang w:val="en-GB"/>
        </w:rPr>
        <w:t xml:space="preserve">Sources: </w:t>
      </w:r>
      <w:r>
        <w:rPr>
          <w:rFonts w:ascii="Gill Sans MT" w:hAnsi="Gill Sans MT"/>
          <w:sz w:val="18"/>
          <w:szCs w:val="18"/>
          <w:lang w:val="en-GB"/>
        </w:rPr>
        <w:t>ODA statistics from OECD-DAC CRS; Other data from Evaluation reports.</w:t>
      </w:r>
    </w:p>
    <w:p w14:paraId="6D58E232" w14:textId="77777777" w:rsidR="00C56A53" w:rsidRDefault="00C56A53" w:rsidP="00C56A53">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Table 6 presents an overview of the budget support inputs provided in the four </w:t>
      </w:r>
      <w:r w:rsidR="00791D48">
        <w:rPr>
          <w:rFonts w:ascii="Gill Sans MT" w:hAnsi="Gill Sans MT"/>
          <w:sz w:val="20"/>
          <w:lang w:val="en-GB"/>
        </w:rPr>
        <w:t>countries</w:t>
      </w:r>
      <w:r>
        <w:rPr>
          <w:rFonts w:ascii="Gill Sans MT" w:hAnsi="Gill Sans MT"/>
          <w:sz w:val="20"/>
          <w:lang w:val="en-GB"/>
        </w:rPr>
        <w:t xml:space="preserve">: </w:t>
      </w:r>
    </w:p>
    <w:p w14:paraId="05EA8A95" w14:textId="77777777" w:rsidR="00C56A53" w:rsidRDefault="00C56A53" w:rsidP="00D81DB3">
      <w:pPr>
        <w:pStyle w:val="BodyText"/>
        <w:numPr>
          <w:ilvl w:val="0"/>
          <w:numId w:val="12"/>
        </w:numPr>
        <w:spacing w:line="360" w:lineRule="auto"/>
        <w:rPr>
          <w:rFonts w:ascii="Gill Sans MT" w:hAnsi="Gill Sans MT"/>
          <w:sz w:val="20"/>
          <w:lang w:val="en-GB"/>
        </w:rPr>
      </w:pPr>
      <w:r>
        <w:rPr>
          <w:rFonts w:ascii="Gill Sans MT" w:hAnsi="Gill Sans MT"/>
          <w:sz w:val="20"/>
          <w:lang w:val="en-GB"/>
        </w:rPr>
        <w:t>The scale of budget suppor</w:t>
      </w:r>
      <w:r w:rsidR="00791D48">
        <w:rPr>
          <w:rFonts w:ascii="Gill Sans MT" w:hAnsi="Gill Sans MT"/>
          <w:sz w:val="20"/>
          <w:lang w:val="en-GB"/>
        </w:rPr>
        <w:t>t is everywhere significant</w:t>
      </w:r>
      <w:r>
        <w:rPr>
          <w:rFonts w:ascii="Gill Sans MT" w:hAnsi="Gill Sans MT"/>
          <w:sz w:val="20"/>
          <w:lang w:val="en-GB"/>
        </w:rPr>
        <w:t>, with average annual disbursements comprising 6.5 % of public spending in Zambia and exceeding 10 % in Mali, Mozambique and Tanzania.</w:t>
      </w:r>
    </w:p>
    <w:p w14:paraId="11D337B2" w14:textId="77777777" w:rsidR="00824146" w:rsidRPr="00824146" w:rsidRDefault="00824146" w:rsidP="00824146">
      <w:pPr>
        <w:pStyle w:val="BodyText"/>
        <w:numPr>
          <w:ilvl w:val="0"/>
          <w:numId w:val="12"/>
        </w:numPr>
        <w:spacing w:line="360" w:lineRule="auto"/>
        <w:rPr>
          <w:rFonts w:ascii="Gill Sans MT" w:hAnsi="Gill Sans MT"/>
          <w:sz w:val="20"/>
          <w:lang w:val="en-GB"/>
        </w:rPr>
      </w:pPr>
      <w:r w:rsidRPr="00C56A53">
        <w:rPr>
          <w:rFonts w:ascii="Gill Sans MT" w:hAnsi="Gill Sans MT"/>
          <w:sz w:val="20"/>
          <w:lang w:val="en-GB"/>
        </w:rPr>
        <w:t>Technical assist</w:t>
      </w:r>
      <w:r w:rsidR="00697ADD">
        <w:rPr>
          <w:rFonts w:ascii="Gill Sans MT" w:hAnsi="Gill Sans MT"/>
          <w:sz w:val="20"/>
          <w:lang w:val="en-GB"/>
        </w:rPr>
        <w:t>ance/ capacity-building inputs we</w:t>
      </w:r>
      <w:r w:rsidRPr="00C56A53">
        <w:rPr>
          <w:rFonts w:ascii="Gill Sans MT" w:hAnsi="Gill Sans MT"/>
          <w:sz w:val="20"/>
          <w:lang w:val="en-GB"/>
        </w:rPr>
        <w:t>re provided in each country but generally as an accompanying parallel measure, rather than as a fully integrated element of bu</w:t>
      </w:r>
      <w:r w:rsidR="00697ADD">
        <w:rPr>
          <w:rFonts w:ascii="Gill Sans MT" w:hAnsi="Gill Sans MT"/>
          <w:sz w:val="20"/>
          <w:lang w:val="en-GB"/>
        </w:rPr>
        <w:t>dget support. TA</w:t>
      </w:r>
      <w:r w:rsidRPr="00C56A53">
        <w:rPr>
          <w:rFonts w:ascii="Gill Sans MT" w:hAnsi="Gill Sans MT"/>
          <w:sz w:val="20"/>
          <w:lang w:val="en-GB"/>
        </w:rPr>
        <w:t xml:space="preserve"> has generally been directed to support PFM reform, strengthening of internal and external audit, improvements in revenue generation and strengthening of statistics offices.</w:t>
      </w:r>
      <w:r>
        <w:rPr>
          <w:rFonts w:ascii="Gill Sans MT" w:hAnsi="Gill Sans MT"/>
          <w:sz w:val="20"/>
          <w:lang w:val="en-GB"/>
        </w:rPr>
        <w:t xml:space="preserve"> In </w:t>
      </w:r>
      <w:r w:rsidRPr="00C56A53">
        <w:rPr>
          <w:rFonts w:ascii="Gill Sans MT" w:hAnsi="Gill Sans MT"/>
          <w:sz w:val="20"/>
          <w:lang w:val="en-GB"/>
        </w:rPr>
        <w:t>Mali,</w:t>
      </w:r>
      <w:r>
        <w:rPr>
          <w:rFonts w:ascii="Gill Sans MT" w:hAnsi="Gill Sans MT"/>
          <w:sz w:val="20"/>
          <w:lang w:val="en-GB"/>
        </w:rPr>
        <w:t xml:space="preserve"> </w:t>
      </w:r>
      <w:r w:rsidR="00697ADD">
        <w:rPr>
          <w:rFonts w:ascii="Gill Sans MT" w:hAnsi="Gill Sans MT"/>
          <w:sz w:val="20"/>
          <w:lang w:val="en-GB"/>
        </w:rPr>
        <w:t xml:space="preserve">there was also </w:t>
      </w:r>
      <w:r w:rsidRPr="00C56A53">
        <w:rPr>
          <w:rFonts w:ascii="Gill Sans MT" w:hAnsi="Gill Sans MT"/>
          <w:sz w:val="20"/>
          <w:lang w:val="en-GB"/>
        </w:rPr>
        <w:t>support to the PRSP (</w:t>
      </w:r>
      <w:r w:rsidRPr="00C56A53">
        <w:rPr>
          <w:rFonts w:ascii="Gill Sans MT" w:hAnsi="Gill Sans MT"/>
          <w:i/>
          <w:sz w:val="20"/>
          <w:lang w:val="en-GB"/>
        </w:rPr>
        <w:t>CSLP</w:t>
      </w:r>
      <w:r w:rsidRPr="00C56A53">
        <w:rPr>
          <w:rFonts w:ascii="Gill Sans MT" w:hAnsi="Gill Sans MT"/>
          <w:sz w:val="20"/>
          <w:lang w:val="en-GB"/>
        </w:rPr>
        <w:t xml:space="preserve">) monitoring unit within the Ministry of Finance, to the planning and statistics units of the main sector ministries, and to the unit coordinating </w:t>
      </w:r>
      <w:r w:rsidR="00697ADD">
        <w:rPr>
          <w:rFonts w:ascii="Gill Sans MT" w:hAnsi="Gill Sans MT"/>
          <w:sz w:val="20"/>
          <w:lang w:val="en-GB"/>
        </w:rPr>
        <w:t>the decentralisation process</w:t>
      </w:r>
      <w:r w:rsidRPr="00C56A53">
        <w:rPr>
          <w:rFonts w:ascii="Gill Sans MT" w:hAnsi="Gill Sans MT"/>
          <w:sz w:val="20"/>
          <w:lang w:val="en-GB"/>
        </w:rPr>
        <w:t>. Tanzania is notable for its more limited use of technical assistance</w:t>
      </w:r>
      <w:r>
        <w:rPr>
          <w:rFonts w:ascii="Gill Sans MT" w:hAnsi="Gill Sans MT"/>
          <w:sz w:val="20"/>
          <w:lang w:val="en-GB"/>
        </w:rPr>
        <w:t>.</w:t>
      </w:r>
    </w:p>
    <w:p w14:paraId="6F0C58AA" w14:textId="77777777" w:rsidR="00C56A53" w:rsidRDefault="00C56A53" w:rsidP="00D81DB3">
      <w:pPr>
        <w:pStyle w:val="BodyText"/>
        <w:numPr>
          <w:ilvl w:val="0"/>
          <w:numId w:val="12"/>
        </w:numPr>
        <w:spacing w:line="360" w:lineRule="auto"/>
        <w:rPr>
          <w:rFonts w:ascii="Gill Sans MT" w:hAnsi="Gill Sans MT"/>
          <w:sz w:val="20"/>
          <w:lang w:val="en-GB"/>
        </w:rPr>
      </w:pPr>
      <w:r>
        <w:rPr>
          <w:rFonts w:ascii="Gill Sans MT" w:hAnsi="Gill Sans MT"/>
          <w:sz w:val="20"/>
          <w:lang w:val="en-GB"/>
        </w:rPr>
        <w:lastRenderedPageBreak/>
        <w:t xml:space="preserve">Sector Budget Support is significant in Mali and Zambia, directed both to the classic service delivery sectors of education, health and roads and also to </w:t>
      </w:r>
      <w:r w:rsidR="00791D48">
        <w:rPr>
          <w:rFonts w:ascii="Gill Sans MT" w:hAnsi="Gill Sans MT"/>
          <w:sz w:val="20"/>
          <w:lang w:val="en-GB"/>
        </w:rPr>
        <w:t>PFM reform and, in Mali, to decentralisation and the cotton sub-sector</w:t>
      </w:r>
      <w:r w:rsidR="00791D48">
        <w:rPr>
          <w:rStyle w:val="FootnoteReference"/>
          <w:rFonts w:ascii="Gill Sans MT" w:hAnsi="Gill Sans MT"/>
          <w:sz w:val="20"/>
          <w:lang w:val="en-GB"/>
        </w:rPr>
        <w:footnoteReference w:id="15"/>
      </w:r>
      <w:r>
        <w:rPr>
          <w:rFonts w:ascii="Gill Sans MT" w:hAnsi="Gill Sans MT"/>
          <w:sz w:val="20"/>
          <w:lang w:val="en-GB"/>
        </w:rPr>
        <w:t xml:space="preserve">. </w:t>
      </w:r>
    </w:p>
    <w:p w14:paraId="47B26A05" w14:textId="77777777" w:rsidR="00C56A53" w:rsidRDefault="00C56A53" w:rsidP="00D81DB3">
      <w:pPr>
        <w:pStyle w:val="BodyText"/>
        <w:numPr>
          <w:ilvl w:val="0"/>
          <w:numId w:val="12"/>
        </w:numPr>
        <w:spacing w:line="360" w:lineRule="auto"/>
        <w:rPr>
          <w:rFonts w:ascii="Gill Sans MT" w:hAnsi="Gill Sans MT"/>
          <w:sz w:val="20"/>
          <w:lang w:val="en-GB"/>
        </w:rPr>
      </w:pPr>
      <w:r>
        <w:rPr>
          <w:rFonts w:ascii="Gill Sans MT" w:hAnsi="Gill Sans MT"/>
          <w:sz w:val="20"/>
          <w:lang w:val="en-GB"/>
        </w:rPr>
        <w:t>There are variable/performance tranches in each country. Although grow</w:t>
      </w:r>
      <w:r w:rsidR="001A62F2">
        <w:rPr>
          <w:rFonts w:ascii="Gill Sans MT" w:hAnsi="Gill Sans MT"/>
          <w:sz w:val="20"/>
          <w:lang w:val="en-GB"/>
        </w:rPr>
        <w:t xml:space="preserve">ing in significance in the </w:t>
      </w:r>
      <w:r>
        <w:rPr>
          <w:rFonts w:ascii="Gill Sans MT" w:hAnsi="Gill Sans MT"/>
          <w:sz w:val="20"/>
          <w:lang w:val="en-GB"/>
        </w:rPr>
        <w:t>rece</w:t>
      </w:r>
      <w:r w:rsidR="001A62F2">
        <w:rPr>
          <w:rFonts w:ascii="Gill Sans MT" w:hAnsi="Gill Sans MT"/>
          <w:sz w:val="20"/>
          <w:lang w:val="en-GB"/>
        </w:rPr>
        <w:t xml:space="preserve">nt years, they </w:t>
      </w:r>
      <w:r>
        <w:rPr>
          <w:rFonts w:ascii="Gill Sans MT" w:hAnsi="Gill Sans MT"/>
          <w:sz w:val="20"/>
          <w:lang w:val="en-GB"/>
        </w:rPr>
        <w:t>represent less than 20% of total disbursements</w:t>
      </w:r>
      <w:r>
        <w:rPr>
          <w:rStyle w:val="FootnoteReference"/>
          <w:rFonts w:ascii="Gill Sans MT" w:hAnsi="Gill Sans MT"/>
          <w:sz w:val="20"/>
          <w:lang w:val="en-GB"/>
        </w:rPr>
        <w:footnoteReference w:id="16"/>
      </w:r>
      <w:r>
        <w:rPr>
          <w:rFonts w:ascii="Gill Sans MT" w:hAnsi="Gill Sans MT"/>
          <w:sz w:val="20"/>
          <w:lang w:val="en-GB"/>
        </w:rPr>
        <w:t>.</w:t>
      </w:r>
    </w:p>
    <w:p w14:paraId="5DF2D0D4" w14:textId="55852ADC" w:rsidR="0088648F" w:rsidRDefault="008815B0" w:rsidP="005A4D78">
      <w:pPr>
        <w:pStyle w:val="Heading3"/>
      </w:pPr>
      <w:r>
        <w:t xml:space="preserve">(ii) </w:t>
      </w:r>
      <w:r w:rsidR="005A4D78">
        <w:t>Quality of implemen</w:t>
      </w:r>
      <w:r w:rsidR="00AA4683">
        <w:t xml:space="preserve">tation frameworks: a) Predictable financing </w:t>
      </w:r>
    </w:p>
    <w:p w14:paraId="47423F30" w14:textId="77777777" w:rsidR="005A4D78" w:rsidRDefault="00003A36" w:rsidP="005A4D78">
      <w:pPr>
        <w:pStyle w:val="BodyText"/>
        <w:numPr>
          <w:ilvl w:val="0"/>
          <w:numId w:val="2"/>
        </w:numPr>
        <w:spacing w:line="360" w:lineRule="auto"/>
        <w:ind w:left="499" w:hanging="357"/>
        <w:rPr>
          <w:rFonts w:ascii="Gill Sans MT" w:hAnsi="Gill Sans MT"/>
          <w:sz w:val="20"/>
          <w:lang w:val="en-GB"/>
        </w:rPr>
      </w:pPr>
      <w:r w:rsidRPr="00003A36">
        <w:rPr>
          <w:rFonts w:ascii="Gill Sans MT" w:hAnsi="Gill Sans MT"/>
          <w:b/>
          <w:sz w:val="20"/>
          <w:lang w:val="en-GB"/>
        </w:rPr>
        <w:t>An important operational objective of budget support is to achieve</w:t>
      </w:r>
      <w:r w:rsidR="00E637B9" w:rsidRPr="00003A36">
        <w:rPr>
          <w:rFonts w:ascii="Gill Sans MT" w:hAnsi="Gill Sans MT"/>
          <w:b/>
          <w:sz w:val="20"/>
          <w:lang w:val="en-GB"/>
        </w:rPr>
        <w:t xml:space="preserve"> predictability between </w:t>
      </w:r>
      <w:r w:rsidRPr="00003A36">
        <w:rPr>
          <w:rFonts w:ascii="Gill Sans MT" w:hAnsi="Gill Sans MT"/>
          <w:b/>
          <w:sz w:val="20"/>
          <w:lang w:val="en-GB"/>
        </w:rPr>
        <w:t xml:space="preserve">actual disbursements and the forecast </w:t>
      </w:r>
      <w:r w:rsidR="00E637B9" w:rsidRPr="00003A36">
        <w:rPr>
          <w:rFonts w:ascii="Gill Sans MT" w:hAnsi="Gill Sans MT"/>
          <w:b/>
          <w:sz w:val="20"/>
          <w:lang w:val="en-GB"/>
        </w:rPr>
        <w:t xml:space="preserve">disbursement levels incorporated </w:t>
      </w:r>
      <w:r w:rsidRPr="00003A36">
        <w:rPr>
          <w:rFonts w:ascii="Gill Sans MT" w:hAnsi="Gill Sans MT"/>
          <w:b/>
          <w:sz w:val="20"/>
          <w:lang w:val="en-GB"/>
        </w:rPr>
        <w:t>in the budget and treasury plans</w:t>
      </w:r>
      <w:r w:rsidR="00E637B9" w:rsidRPr="00003A36">
        <w:rPr>
          <w:rFonts w:ascii="Gill Sans MT" w:hAnsi="Gill Sans MT"/>
          <w:b/>
          <w:sz w:val="20"/>
          <w:lang w:val="en-GB"/>
        </w:rPr>
        <w:t xml:space="preserve"> </w:t>
      </w:r>
      <w:r w:rsidRPr="00003A36">
        <w:rPr>
          <w:rFonts w:ascii="Gill Sans MT" w:hAnsi="Gill Sans MT"/>
          <w:b/>
          <w:sz w:val="20"/>
          <w:lang w:val="en-GB"/>
        </w:rPr>
        <w:t>of the recipient government</w:t>
      </w:r>
      <w:r>
        <w:rPr>
          <w:rFonts w:ascii="Gill Sans MT" w:hAnsi="Gill Sans MT"/>
          <w:sz w:val="20"/>
          <w:lang w:val="en-GB"/>
        </w:rPr>
        <w:t>. A lack of predictability was identified as a significant problem in the earlier years of budget sup</w:t>
      </w:r>
      <w:r w:rsidR="008B0B7A">
        <w:rPr>
          <w:rFonts w:ascii="Gill Sans MT" w:hAnsi="Gill Sans MT"/>
          <w:sz w:val="20"/>
          <w:lang w:val="en-GB"/>
        </w:rPr>
        <w:t xml:space="preserve">port as </w:t>
      </w:r>
      <w:r>
        <w:rPr>
          <w:rFonts w:ascii="Gill Sans MT" w:hAnsi="Gill Sans MT"/>
          <w:sz w:val="20"/>
          <w:lang w:val="en-GB"/>
        </w:rPr>
        <w:t>noted in the Joint Evaluation of 2006 (IDD, 2006). These fou</w:t>
      </w:r>
      <w:r w:rsidR="008B0B7A">
        <w:rPr>
          <w:rFonts w:ascii="Gill Sans MT" w:hAnsi="Gill Sans MT"/>
          <w:sz w:val="20"/>
          <w:lang w:val="en-GB"/>
        </w:rPr>
        <w:t xml:space="preserve">r evaluations suggest that </w:t>
      </w:r>
      <w:r>
        <w:rPr>
          <w:rFonts w:ascii="Gill Sans MT" w:hAnsi="Gill Sans MT"/>
          <w:sz w:val="20"/>
          <w:lang w:val="en-GB"/>
        </w:rPr>
        <w:t xml:space="preserve">the problem of predictability in annual disbursements has now largely been solved </w:t>
      </w:r>
      <w:r w:rsidR="008B0B7A">
        <w:rPr>
          <w:rFonts w:ascii="Gill Sans MT" w:hAnsi="Gill Sans MT"/>
          <w:sz w:val="20"/>
          <w:lang w:val="en-GB"/>
        </w:rPr>
        <w:t xml:space="preserve">and that with the right administrative arrangements for </w:t>
      </w:r>
      <w:r w:rsidR="0080097A">
        <w:rPr>
          <w:rFonts w:ascii="Gill Sans MT" w:hAnsi="Gill Sans MT"/>
          <w:sz w:val="20"/>
          <w:lang w:val="en-GB"/>
        </w:rPr>
        <w:t xml:space="preserve">approving </w:t>
      </w:r>
      <w:r w:rsidR="008B0B7A">
        <w:rPr>
          <w:rFonts w:ascii="Gill Sans MT" w:hAnsi="Gill Sans MT"/>
          <w:sz w:val="20"/>
          <w:lang w:val="en-GB"/>
        </w:rPr>
        <w:t xml:space="preserve">annual disbursements, budget support can attain levels of predictability considerably higher than projects or common basket funds: </w:t>
      </w:r>
    </w:p>
    <w:p w14:paraId="537EFD09" w14:textId="77777777" w:rsidR="008B0B7A" w:rsidRDefault="000D5934" w:rsidP="00D81DB3">
      <w:pPr>
        <w:pStyle w:val="BodyText"/>
        <w:numPr>
          <w:ilvl w:val="0"/>
          <w:numId w:val="13"/>
        </w:numPr>
        <w:spacing w:line="360" w:lineRule="auto"/>
        <w:rPr>
          <w:rFonts w:ascii="Gill Sans MT" w:hAnsi="Gill Sans MT"/>
          <w:sz w:val="20"/>
          <w:lang w:val="en-GB"/>
        </w:rPr>
      </w:pPr>
      <w:r>
        <w:rPr>
          <w:rFonts w:ascii="Gill Sans MT" w:hAnsi="Gill Sans MT"/>
          <w:sz w:val="20"/>
          <w:lang w:val="en-GB"/>
        </w:rPr>
        <w:t xml:space="preserve">In </w:t>
      </w:r>
      <w:r w:rsidRPr="00562A93">
        <w:rPr>
          <w:rFonts w:ascii="Gill Sans MT" w:hAnsi="Gill Sans MT"/>
          <w:b/>
          <w:sz w:val="20"/>
          <w:lang w:val="en-GB"/>
        </w:rPr>
        <w:t>Tanzania</w:t>
      </w:r>
      <w:r>
        <w:rPr>
          <w:rFonts w:ascii="Gill Sans MT" w:hAnsi="Gill Sans MT"/>
          <w:sz w:val="20"/>
          <w:lang w:val="en-GB"/>
        </w:rPr>
        <w:t xml:space="preserve">, </w:t>
      </w:r>
      <w:r w:rsidR="00E265C3" w:rsidRPr="0007230C">
        <w:rPr>
          <w:rFonts w:ascii="Gill Sans MT" w:hAnsi="Gill Sans MT"/>
          <w:b/>
          <w:sz w:val="20"/>
          <w:lang w:val="en-GB"/>
        </w:rPr>
        <w:t>Mozambique</w:t>
      </w:r>
      <w:r w:rsidR="00E265C3">
        <w:rPr>
          <w:rFonts w:ascii="Gill Sans MT" w:hAnsi="Gill Sans MT"/>
          <w:sz w:val="20"/>
          <w:lang w:val="en-GB"/>
        </w:rPr>
        <w:t xml:space="preserve"> and </w:t>
      </w:r>
      <w:r w:rsidR="00E265C3" w:rsidRPr="0007230C">
        <w:rPr>
          <w:rFonts w:ascii="Gill Sans MT" w:hAnsi="Gill Sans MT"/>
          <w:b/>
          <w:sz w:val="20"/>
          <w:lang w:val="en-GB"/>
        </w:rPr>
        <w:t>Mali</w:t>
      </w:r>
      <w:r w:rsidR="00E265C3">
        <w:rPr>
          <w:rFonts w:ascii="Gill Sans MT" w:hAnsi="Gill Sans MT"/>
          <w:sz w:val="20"/>
          <w:lang w:val="en-GB"/>
        </w:rPr>
        <w:t xml:space="preserve"> </w:t>
      </w:r>
      <w:r w:rsidR="00562A93">
        <w:rPr>
          <w:rFonts w:ascii="Gill Sans MT" w:hAnsi="Gill Sans MT"/>
          <w:sz w:val="20"/>
          <w:lang w:val="en-GB"/>
        </w:rPr>
        <w:t xml:space="preserve">budget support </w:t>
      </w:r>
      <w:r>
        <w:rPr>
          <w:rFonts w:ascii="Gill Sans MT" w:hAnsi="Gill Sans MT"/>
          <w:sz w:val="20"/>
          <w:lang w:val="en-GB"/>
        </w:rPr>
        <w:t>disbursements were close to 100% of an</w:t>
      </w:r>
      <w:r w:rsidR="00DD09F5">
        <w:rPr>
          <w:rFonts w:ascii="Gill Sans MT" w:hAnsi="Gill Sans MT"/>
          <w:sz w:val="20"/>
          <w:lang w:val="en-GB"/>
        </w:rPr>
        <w:t>nual forecasts</w:t>
      </w:r>
      <w:r w:rsidR="00562A93">
        <w:rPr>
          <w:rFonts w:ascii="Gill Sans MT" w:hAnsi="Gill Sans MT"/>
          <w:sz w:val="20"/>
          <w:lang w:val="en-GB"/>
        </w:rPr>
        <w:t>, whereas disbursements by other</w:t>
      </w:r>
      <w:r w:rsidR="00E265C3">
        <w:rPr>
          <w:rFonts w:ascii="Gill Sans MT" w:hAnsi="Gill Sans MT"/>
          <w:sz w:val="20"/>
          <w:lang w:val="en-GB"/>
        </w:rPr>
        <w:t xml:space="preserve"> modalities fluctuated between 50 % and 80 % of budgeted forecasts, with much higher levels of volatility from one year to another. </w:t>
      </w:r>
    </w:p>
    <w:p w14:paraId="49BE31FD" w14:textId="77777777" w:rsidR="00562A93" w:rsidRDefault="0007230C" w:rsidP="00D81DB3">
      <w:pPr>
        <w:pStyle w:val="BodyText"/>
        <w:numPr>
          <w:ilvl w:val="0"/>
          <w:numId w:val="13"/>
        </w:numPr>
        <w:spacing w:line="360" w:lineRule="auto"/>
        <w:rPr>
          <w:rFonts w:ascii="Gill Sans MT" w:hAnsi="Gill Sans MT"/>
          <w:sz w:val="20"/>
          <w:lang w:val="en-GB"/>
        </w:rPr>
      </w:pPr>
      <w:r>
        <w:rPr>
          <w:rFonts w:ascii="Gill Sans MT" w:hAnsi="Gill Sans MT"/>
          <w:sz w:val="20"/>
          <w:lang w:val="en-GB"/>
        </w:rPr>
        <w:t>In</w:t>
      </w:r>
      <w:r w:rsidR="00E265C3">
        <w:rPr>
          <w:rFonts w:ascii="Gill Sans MT" w:hAnsi="Gill Sans MT"/>
          <w:b/>
          <w:sz w:val="20"/>
          <w:lang w:val="en-GB"/>
        </w:rPr>
        <w:t xml:space="preserve"> </w:t>
      </w:r>
      <w:r w:rsidR="00E265C3" w:rsidRPr="00E265C3">
        <w:rPr>
          <w:rFonts w:ascii="Gill Sans MT" w:hAnsi="Gill Sans MT"/>
          <w:b/>
          <w:sz w:val="20"/>
          <w:lang w:val="en-GB"/>
        </w:rPr>
        <w:t>Zambia</w:t>
      </w:r>
      <w:r w:rsidR="00E265C3">
        <w:rPr>
          <w:rFonts w:ascii="Gill Sans MT" w:hAnsi="Gill Sans MT"/>
          <w:b/>
          <w:sz w:val="20"/>
          <w:lang w:val="en-GB"/>
        </w:rPr>
        <w:t xml:space="preserve">, </w:t>
      </w:r>
      <w:r w:rsidR="00E265C3">
        <w:rPr>
          <w:rFonts w:ascii="Gill Sans MT" w:hAnsi="Gill Sans MT"/>
          <w:sz w:val="20"/>
          <w:lang w:val="en-GB"/>
        </w:rPr>
        <w:t xml:space="preserve">annual </w:t>
      </w:r>
      <w:r>
        <w:rPr>
          <w:rFonts w:ascii="Gill Sans MT" w:hAnsi="Gill Sans MT"/>
          <w:sz w:val="20"/>
          <w:lang w:val="en-GB"/>
        </w:rPr>
        <w:t xml:space="preserve">budget </w:t>
      </w:r>
      <w:r w:rsidR="00E265C3">
        <w:rPr>
          <w:rFonts w:ascii="Gill Sans MT" w:hAnsi="Gill Sans MT"/>
          <w:sz w:val="20"/>
          <w:lang w:val="en-GB"/>
        </w:rPr>
        <w:t>support disbursements were below 80 % in 2006 and 2007 but fluctuated around 100 % in the final 3 years, suggesting that a learning and adaptation period is generally needed for annual predictability to be attained.</w:t>
      </w:r>
    </w:p>
    <w:p w14:paraId="20908A15" w14:textId="77777777" w:rsidR="008B0B7A" w:rsidRDefault="00AA4683" w:rsidP="005A4D78">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Predictability of within-</w:t>
      </w:r>
      <w:r w:rsidR="00720033" w:rsidRPr="00540C2D">
        <w:rPr>
          <w:rFonts w:ascii="Gill Sans MT" w:hAnsi="Gill Sans MT"/>
          <w:sz w:val="20"/>
          <w:lang w:val="en-GB"/>
        </w:rPr>
        <w:t>year disbursements proved more difficult to achieve</w:t>
      </w:r>
      <w:r w:rsidR="00716985" w:rsidRPr="00540C2D">
        <w:rPr>
          <w:rFonts w:ascii="Gill Sans MT" w:hAnsi="Gill Sans MT"/>
          <w:sz w:val="20"/>
          <w:lang w:val="en-GB"/>
        </w:rPr>
        <w:t xml:space="preserve"> in each of the four countries.</w:t>
      </w:r>
      <w:r w:rsidR="00716985">
        <w:rPr>
          <w:rFonts w:ascii="Gill Sans MT" w:hAnsi="Gill Sans MT"/>
          <w:sz w:val="20"/>
          <w:lang w:val="en-GB"/>
        </w:rPr>
        <w:t xml:space="preserve"> This is technically more challenging, requiring various elements including an appropriately structured calendar of disbursement decisions, a design of disbursement conditions or “triggers” </w:t>
      </w:r>
      <w:r w:rsidR="00540C2D">
        <w:rPr>
          <w:rFonts w:ascii="Gill Sans MT" w:hAnsi="Gill Sans MT"/>
          <w:sz w:val="20"/>
          <w:lang w:val="en-GB"/>
        </w:rPr>
        <w:t>built on feasible reporting requirements</w:t>
      </w:r>
      <w:r w:rsidR="00540C2D">
        <w:rPr>
          <w:rStyle w:val="FootnoteReference"/>
          <w:rFonts w:ascii="Gill Sans MT" w:hAnsi="Gill Sans MT"/>
          <w:sz w:val="20"/>
          <w:lang w:val="en-GB"/>
        </w:rPr>
        <w:footnoteReference w:id="17"/>
      </w:r>
      <w:r w:rsidR="00540C2D">
        <w:rPr>
          <w:rFonts w:ascii="Gill Sans MT" w:hAnsi="Gill Sans MT"/>
          <w:sz w:val="20"/>
          <w:lang w:val="en-GB"/>
        </w:rPr>
        <w:t xml:space="preserve">, good treasury/ cash planning by the Ministry of Finance, and efficiency in decision-making channels between the HQ and field offices of the Development Partners. </w:t>
      </w:r>
      <w:r w:rsidR="00716985">
        <w:rPr>
          <w:rFonts w:ascii="Gill Sans MT" w:hAnsi="Gill Sans MT"/>
          <w:sz w:val="20"/>
          <w:lang w:val="en-GB"/>
        </w:rPr>
        <w:t xml:space="preserve"> </w:t>
      </w:r>
    </w:p>
    <w:p w14:paraId="640E12EE" w14:textId="77777777" w:rsidR="005A4D78" w:rsidRDefault="005F7236" w:rsidP="005A4D78">
      <w:pPr>
        <w:pStyle w:val="BodyText"/>
        <w:numPr>
          <w:ilvl w:val="0"/>
          <w:numId w:val="2"/>
        </w:numPr>
        <w:spacing w:line="360" w:lineRule="auto"/>
        <w:ind w:left="499" w:hanging="357"/>
        <w:rPr>
          <w:rFonts w:ascii="Gill Sans MT" w:hAnsi="Gill Sans MT"/>
          <w:sz w:val="20"/>
          <w:lang w:val="en-GB"/>
        </w:rPr>
      </w:pPr>
      <w:r>
        <w:rPr>
          <w:rFonts w:ascii="Gill Sans MT" w:hAnsi="Gill Sans MT"/>
          <w:b/>
          <w:sz w:val="20"/>
          <w:lang w:val="en-GB"/>
        </w:rPr>
        <w:t>I</w:t>
      </w:r>
      <w:r w:rsidR="00197DBE" w:rsidRPr="00197DBE">
        <w:rPr>
          <w:rFonts w:ascii="Gill Sans MT" w:hAnsi="Gill Sans MT"/>
          <w:b/>
          <w:sz w:val="20"/>
          <w:lang w:val="en-GB"/>
        </w:rPr>
        <w:t>n Mozambique and Tanzania the objectives of in-year predictability and of front-loading of disbursements were largely achieved in normal years</w:t>
      </w:r>
      <w:r w:rsidR="00197DBE">
        <w:rPr>
          <w:rFonts w:ascii="Gill Sans MT" w:hAnsi="Gill Sans MT"/>
          <w:sz w:val="20"/>
          <w:lang w:val="en-GB"/>
        </w:rPr>
        <w:t xml:space="preserve">. In Mali and Zambia, this proved more difficult and the resulting costs in terms of unplanned domestic borrowing and </w:t>
      </w:r>
      <w:r w:rsidR="00197DBE">
        <w:rPr>
          <w:rFonts w:ascii="Gill Sans MT" w:hAnsi="Gill Sans MT"/>
          <w:sz w:val="20"/>
          <w:lang w:val="en-GB"/>
        </w:rPr>
        <w:lastRenderedPageBreak/>
        <w:t xml:space="preserve">delayed expenditures were sometimes considerable. However, there is evidence of learning by doing and of good practices being shared between countries and between Development Partners, suggesting that these operational objectives should be increasingly achieved through the budget support mechanism. </w:t>
      </w:r>
    </w:p>
    <w:p w14:paraId="0AF9235C" w14:textId="77777777" w:rsidR="00AA4683" w:rsidRDefault="00354552" w:rsidP="005A4D78">
      <w:pPr>
        <w:pStyle w:val="BodyText"/>
        <w:numPr>
          <w:ilvl w:val="0"/>
          <w:numId w:val="2"/>
        </w:numPr>
        <w:spacing w:line="360" w:lineRule="auto"/>
        <w:ind w:left="499" w:hanging="357"/>
        <w:rPr>
          <w:rFonts w:ascii="Gill Sans MT" w:hAnsi="Gill Sans MT"/>
          <w:sz w:val="20"/>
          <w:lang w:val="en-GB"/>
        </w:rPr>
      </w:pPr>
      <w:r w:rsidRPr="00AA4683">
        <w:rPr>
          <w:rFonts w:ascii="Gill Sans MT" w:hAnsi="Gill Sans MT"/>
          <w:sz w:val="20"/>
          <w:lang w:val="en-GB"/>
        </w:rPr>
        <w:t>Unexpected suspensions of payments due to perceived breaches of underlying principles present a different kind of problem.</w:t>
      </w:r>
      <w:r w:rsidR="00630E2A">
        <w:rPr>
          <w:rFonts w:ascii="Gill Sans MT" w:hAnsi="Gill Sans MT"/>
          <w:b/>
          <w:sz w:val="20"/>
          <w:lang w:val="en-GB"/>
        </w:rPr>
        <w:t xml:space="preserve"> </w:t>
      </w:r>
      <w:r w:rsidR="00630E2A" w:rsidRPr="00630E2A">
        <w:rPr>
          <w:rFonts w:ascii="Gill Sans MT" w:hAnsi="Gill Sans MT"/>
          <w:sz w:val="20"/>
          <w:lang w:val="en-GB"/>
        </w:rPr>
        <w:t>Mali was the only country of the four</w:t>
      </w:r>
      <w:r w:rsidR="00093526">
        <w:rPr>
          <w:rFonts w:ascii="Gill Sans MT" w:hAnsi="Gill Sans MT"/>
          <w:sz w:val="20"/>
          <w:lang w:val="en-GB"/>
        </w:rPr>
        <w:t>,</w:t>
      </w:r>
      <w:r w:rsidR="00630E2A" w:rsidRPr="00630E2A">
        <w:rPr>
          <w:rFonts w:ascii="Gill Sans MT" w:hAnsi="Gill Sans MT"/>
          <w:sz w:val="20"/>
          <w:lang w:val="en-GB"/>
        </w:rPr>
        <w:t xml:space="preserve"> which did not suffer significant suspensions of this type.</w:t>
      </w:r>
      <w:r w:rsidR="00630E2A">
        <w:rPr>
          <w:rFonts w:ascii="Gill Sans MT" w:hAnsi="Gill Sans MT"/>
          <w:sz w:val="20"/>
          <w:lang w:val="en-GB"/>
        </w:rPr>
        <w:t xml:space="preserve"> We consider below the motivations </w:t>
      </w:r>
      <w:r w:rsidR="00093526">
        <w:rPr>
          <w:rFonts w:ascii="Gill Sans MT" w:hAnsi="Gill Sans MT"/>
          <w:sz w:val="20"/>
          <w:lang w:val="en-GB"/>
        </w:rPr>
        <w:t>and the effects of such suspensions (including any apparent effect</w:t>
      </w:r>
      <w:r w:rsidR="008A6DF7">
        <w:rPr>
          <w:rFonts w:ascii="Gill Sans MT" w:hAnsi="Gill Sans MT"/>
          <w:sz w:val="20"/>
          <w:lang w:val="en-GB"/>
        </w:rPr>
        <w:t xml:space="preserve">s on the quality of governance). </w:t>
      </w:r>
    </w:p>
    <w:p w14:paraId="12CE2D4F" w14:textId="77777777" w:rsidR="00354552" w:rsidRDefault="00183FE3" w:rsidP="005A4D78">
      <w:pPr>
        <w:pStyle w:val="BodyText"/>
        <w:numPr>
          <w:ilvl w:val="0"/>
          <w:numId w:val="2"/>
        </w:numPr>
        <w:spacing w:line="360" w:lineRule="auto"/>
        <w:ind w:left="499" w:hanging="357"/>
        <w:rPr>
          <w:rFonts w:ascii="Gill Sans MT" w:hAnsi="Gill Sans MT"/>
          <w:sz w:val="20"/>
          <w:lang w:val="en-GB"/>
        </w:rPr>
      </w:pPr>
      <w:r>
        <w:rPr>
          <w:rFonts w:ascii="Gill Sans MT" w:hAnsi="Gill Sans MT"/>
          <w:b/>
          <w:sz w:val="20"/>
          <w:lang w:val="en-GB"/>
        </w:rPr>
        <w:t>F</w:t>
      </w:r>
      <w:r w:rsidR="00093526" w:rsidRPr="00AA4683">
        <w:rPr>
          <w:rFonts w:ascii="Gill Sans MT" w:hAnsi="Gill Sans MT"/>
          <w:b/>
          <w:sz w:val="20"/>
          <w:lang w:val="en-GB"/>
        </w:rPr>
        <w:t xml:space="preserve">requent </w:t>
      </w:r>
      <w:r w:rsidR="008A6DF7" w:rsidRPr="00AA4683">
        <w:rPr>
          <w:rFonts w:ascii="Gill Sans MT" w:hAnsi="Gill Sans MT"/>
          <w:b/>
          <w:sz w:val="20"/>
          <w:lang w:val="en-GB"/>
        </w:rPr>
        <w:t>unexpected suspensions may seriously undermine the value of budget support as a financing mechanism</w:t>
      </w:r>
      <w:r w:rsidR="00B2508D">
        <w:rPr>
          <w:rFonts w:ascii="Gill Sans MT" w:hAnsi="Gill Sans MT"/>
          <w:sz w:val="20"/>
          <w:lang w:val="en-GB"/>
        </w:rPr>
        <w:t xml:space="preserve">. </w:t>
      </w:r>
      <w:r w:rsidR="008A6DF7">
        <w:rPr>
          <w:rFonts w:ascii="Gill Sans MT" w:hAnsi="Gill Sans MT"/>
          <w:sz w:val="20"/>
          <w:lang w:val="en-GB"/>
        </w:rPr>
        <w:t xml:space="preserve">While under </w:t>
      </w:r>
      <w:r w:rsidR="00B2508D">
        <w:rPr>
          <w:rFonts w:ascii="Gill Sans MT" w:hAnsi="Gill Sans MT"/>
          <w:sz w:val="20"/>
          <w:lang w:val="en-GB"/>
        </w:rPr>
        <w:t>some</w:t>
      </w:r>
      <w:r w:rsidR="008A6DF7">
        <w:rPr>
          <w:rFonts w:ascii="Gill Sans MT" w:hAnsi="Gill Sans MT"/>
          <w:sz w:val="20"/>
          <w:lang w:val="en-GB"/>
        </w:rPr>
        <w:t xml:space="preserve"> circumstances </w:t>
      </w:r>
      <w:r w:rsidR="00B2508D">
        <w:rPr>
          <w:rFonts w:ascii="Gill Sans MT" w:hAnsi="Gill Sans MT"/>
          <w:sz w:val="20"/>
          <w:lang w:val="en-GB"/>
        </w:rPr>
        <w:t>it may be wise to reduce domestic arrears (e.g. Ghana</w:t>
      </w:r>
      <w:r w:rsidR="009A6F6A">
        <w:rPr>
          <w:rFonts w:ascii="Gill Sans MT" w:hAnsi="Gill Sans MT"/>
          <w:sz w:val="20"/>
          <w:lang w:val="en-GB"/>
        </w:rPr>
        <w:t>; ODI, 2007</w:t>
      </w:r>
      <w:r w:rsidR="00B2508D">
        <w:rPr>
          <w:rFonts w:ascii="Gill Sans MT" w:hAnsi="Gill Sans MT"/>
          <w:sz w:val="20"/>
          <w:lang w:val="en-GB"/>
        </w:rPr>
        <w:t xml:space="preserve">) </w:t>
      </w:r>
      <w:r w:rsidR="009A6F6A">
        <w:rPr>
          <w:rFonts w:ascii="Gill Sans MT" w:hAnsi="Gill Sans MT"/>
          <w:sz w:val="20"/>
          <w:lang w:val="en-GB"/>
        </w:rPr>
        <w:t>or debt</w:t>
      </w:r>
      <w:r w:rsidR="008A6DF7">
        <w:rPr>
          <w:rFonts w:ascii="Gill Sans MT" w:hAnsi="Gill Sans MT"/>
          <w:sz w:val="20"/>
          <w:lang w:val="en-GB"/>
        </w:rPr>
        <w:t>, the real value of budget support to LIC recipient countries is to boost discretionary budget resources in a predictable manner, so that well-planned investments and enhancements of recurrent spending (for expansion of teacher numbers</w:t>
      </w:r>
      <w:r w:rsidR="00AA4683">
        <w:rPr>
          <w:rFonts w:ascii="Gill Sans MT" w:hAnsi="Gill Sans MT"/>
          <w:sz w:val="20"/>
          <w:lang w:val="en-GB"/>
        </w:rPr>
        <w:t>, for example</w:t>
      </w:r>
      <w:r w:rsidR="008A6DF7">
        <w:rPr>
          <w:rFonts w:ascii="Gill Sans MT" w:hAnsi="Gill Sans MT"/>
          <w:sz w:val="20"/>
          <w:lang w:val="en-GB"/>
        </w:rPr>
        <w:t>)</w:t>
      </w:r>
      <w:r w:rsidR="00AA4683">
        <w:rPr>
          <w:rFonts w:ascii="Gill Sans MT" w:hAnsi="Gill Sans MT"/>
          <w:sz w:val="20"/>
          <w:lang w:val="en-GB"/>
        </w:rPr>
        <w:t xml:space="preserve"> may be brought forward, with positive effects on the coverage or quality of public services and long term impacts on income or non-income poverty. </w:t>
      </w:r>
      <w:r w:rsidR="008A6DF7">
        <w:rPr>
          <w:rFonts w:ascii="Gill Sans MT" w:hAnsi="Gill Sans MT"/>
          <w:sz w:val="20"/>
          <w:lang w:val="en-GB"/>
        </w:rPr>
        <w:t>If budget support is used as “residual spending” and if it causes the build-up of payment arrears</w:t>
      </w:r>
      <w:r w:rsidR="005607C5">
        <w:rPr>
          <w:rFonts w:ascii="Gill Sans MT" w:hAnsi="Gill Sans MT"/>
          <w:sz w:val="20"/>
          <w:lang w:val="en-GB"/>
        </w:rPr>
        <w:t xml:space="preserve">, then its </w:t>
      </w:r>
      <w:r w:rsidR="00AA4683">
        <w:rPr>
          <w:rFonts w:ascii="Gill Sans MT" w:hAnsi="Gill Sans MT"/>
          <w:sz w:val="20"/>
          <w:lang w:val="en-GB"/>
        </w:rPr>
        <w:t>value to the recipient country</w:t>
      </w:r>
      <w:r w:rsidR="005607C5">
        <w:rPr>
          <w:rFonts w:ascii="Gill Sans MT" w:hAnsi="Gill Sans MT"/>
          <w:sz w:val="20"/>
          <w:lang w:val="en-GB"/>
        </w:rPr>
        <w:t xml:space="preserve"> is diminished</w:t>
      </w:r>
      <w:r w:rsidR="005E5271">
        <w:rPr>
          <w:rStyle w:val="FootnoteReference"/>
          <w:rFonts w:ascii="Gill Sans MT" w:hAnsi="Gill Sans MT"/>
          <w:sz w:val="20"/>
          <w:lang w:val="en-GB"/>
        </w:rPr>
        <w:footnoteReference w:id="18"/>
      </w:r>
      <w:r w:rsidR="00AA4683">
        <w:rPr>
          <w:rFonts w:ascii="Gill Sans MT" w:hAnsi="Gill Sans MT"/>
          <w:sz w:val="20"/>
          <w:lang w:val="en-GB"/>
        </w:rPr>
        <w:t>. It is for this reason that s</w:t>
      </w:r>
      <w:r w:rsidR="005F7236">
        <w:rPr>
          <w:rFonts w:ascii="Gill Sans MT" w:hAnsi="Gill Sans MT"/>
          <w:sz w:val="20"/>
          <w:lang w:val="en-GB"/>
        </w:rPr>
        <w:t xml:space="preserve">ome African countries are </w:t>
      </w:r>
      <w:r w:rsidR="00AA4683">
        <w:rPr>
          <w:rFonts w:ascii="Gill Sans MT" w:hAnsi="Gill Sans MT"/>
          <w:sz w:val="20"/>
          <w:lang w:val="en-GB"/>
        </w:rPr>
        <w:t xml:space="preserve">reported to be expressing a preference for project-based support. (IEG, 2010; </w:t>
      </w:r>
      <w:proofErr w:type="spellStart"/>
      <w:r w:rsidR="00AA4683">
        <w:rPr>
          <w:rFonts w:ascii="Gill Sans MT" w:hAnsi="Gill Sans MT"/>
          <w:sz w:val="20"/>
          <w:lang w:val="en-GB"/>
        </w:rPr>
        <w:t>p.xxviii</w:t>
      </w:r>
      <w:proofErr w:type="spellEnd"/>
      <w:r w:rsidR="00AA4683">
        <w:rPr>
          <w:rFonts w:ascii="Gill Sans MT" w:hAnsi="Gill Sans MT"/>
          <w:sz w:val="20"/>
          <w:lang w:val="en-GB"/>
        </w:rPr>
        <w:t>.)</w:t>
      </w:r>
    </w:p>
    <w:p w14:paraId="0AACDB9C" w14:textId="77777777" w:rsidR="0070516E" w:rsidRPr="0070516E" w:rsidRDefault="0070516E" w:rsidP="005A4D78">
      <w:pPr>
        <w:pStyle w:val="BodyText"/>
        <w:numPr>
          <w:ilvl w:val="0"/>
          <w:numId w:val="2"/>
        </w:numPr>
        <w:spacing w:line="360" w:lineRule="auto"/>
        <w:ind w:left="499" w:hanging="357"/>
        <w:rPr>
          <w:rFonts w:ascii="Gill Sans MT" w:hAnsi="Gill Sans MT"/>
          <w:sz w:val="20"/>
          <w:lang w:val="en-GB"/>
        </w:rPr>
      </w:pPr>
      <w:r>
        <w:rPr>
          <w:rFonts w:ascii="Gill Sans MT" w:hAnsi="Gill Sans MT"/>
          <w:b/>
          <w:sz w:val="20"/>
          <w:lang w:val="en-GB"/>
        </w:rPr>
        <w:t xml:space="preserve">The evaluations report that the most significant effects of the suspensions in Mozambique, Tanzania and Zambia were on the quality of dialogue.  </w:t>
      </w:r>
      <w:r w:rsidRPr="0070516E">
        <w:rPr>
          <w:rFonts w:ascii="Gill Sans MT" w:hAnsi="Gill Sans MT"/>
          <w:sz w:val="20"/>
          <w:lang w:val="en-GB"/>
        </w:rPr>
        <w:t xml:space="preserve">The financial effects of the various suspensions were neither extensive nor </w:t>
      </w:r>
      <w:r w:rsidR="00B12F05" w:rsidRPr="0070516E">
        <w:rPr>
          <w:rFonts w:ascii="Gill Sans MT" w:hAnsi="Gill Sans MT"/>
          <w:sz w:val="20"/>
          <w:lang w:val="en-GB"/>
        </w:rPr>
        <w:t>long lasting</w:t>
      </w:r>
      <w:r w:rsidRPr="0070516E">
        <w:rPr>
          <w:rFonts w:ascii="Gill Sans MT" w:hAnsi="Gill Sans MT"/>
          <w:sz w:val="20"/>
          <w:lang w:val="en-GB"/>
        </w:rPr>
        <w:t xml:space="preserve"> because in most cases they did not involve the larger budget support providers</w:t>
      </w:r>
      <w:r w:rsidR="00EE7F73">
        <w:rPr>
          <w:rStyle w:val="FootnoteReference"/>
          <w:rFonts w:ascii="Gill Sans MT" w:hAnsi="Gill Sans MT"/>
          <w:sz w:val="20"/>
          <w:lang w:val="en-GB"/>
        </w:rPr>
        <w:footnoteReference w:id="19"/>
      </w:r>
      <w:r w:rsidRPr="0070516E">
        <w:rPr>
          <w:rFonts w:ascii="Gill Sans MT" w:hAnsi="Gill Sans MT"/>
          <w:sz w:val="20"/>
          <w:lang w:val="en-GB"/>
        </w:rPr>
        <w:t xml:space="preserve"> and because the suspensions </w:t>
      </w:r>
      <w:r w:rsidR="00BD4BC9">
        <w:rPr>
          <w:rFonts w:ascii="Gill Sans MT" w:hAnsi="Gill Sans MT"/>
          <w:sz w:val="20"/>
          <w:lang w:val="en-GB"/>
        </w:rPr>
        <w:t>comprised deferments</w:t>
      </w:r>
      <w:r w:rsidRPr="0070516E">
        <w:rPr>
          <w:rFonts w:ascii="Gill Sans MT" w:hAnsi="Gill Sans MT"/>
          <w:sz w:val="20"/>
          <w:lang w:val="en-GB"/>
        </w:rPr>
        <w:t xml:space="preserve"> rather than outright cancellations of disbursements.</w:t>
      </w:r>
      <w:r>
        <w:rPr>
          <w:rFonts w:ascii="Gill Sans MT" w:hAnsi="Gill Sans MT"/>
          <w:sz w:val="20"/>
          <w:lang w:val="en-GB"/>
        </w:rPr>
        <w:t xml:space="preserve"> Nevertheless, the effects on dialogue were significant –</w:t>
      </w:r>
      <w:r w:rsidR="000F5EC7">
        <w:rPr>
          <w:rFonts w:ascii="Gill Sans MT" w:hAnsi="Gill Sans MT"/>
          <w:sz w:val="20"/>
          <w:lang w:val="en-GB"/>
        </w:rPr>
        <w:t xml:space="preserve"> as we discuss in our conclusions</w:t>
      </w:r>
      <w:r>
        <w:rPr>
          <w:rFonts w:ascii="Gill Sans MT" w:hAnsi="Gill Sans MT"/>
          <w:sz w:val="20"/>
          <w:lang w:val="en-GB"/>
        </w:rPr>
        <w:t xml:space="preserve">. </w:t>
      </w:r>
    </w:p>
    <w:p w14:paraId="2471B415" w14:textId="77777777" w:rsidR="00EE7F73" w:rsidRDefault="00EE7F73" w:rsidP="00EE7F73">
      <w:pPr>
        <w:pStyle w:val="Heading3"/>
      </w:pPr>
      <w:r>
        <w:t xml:space="preserve">Implementation frameworks: b) Harmonised delivery structures </w:t>
      </w:r>
    </w:p>
    <w:p w14:paraId="39165D40" w14:textId="77777777" w:rsidR="000F290F" w:rsidRDefault="001B3DE5" w:rsidP="000F290F">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A common rationale for the provision of budget support is that, in addition to being </w:t>
      </w:r>
      <w:r w:rsidRPr="001B3DE5">
        <w:rPr>
          <w:rFonts w:ascii="Gill Sans MT" w:hAnsi="Gill Sans MT"/>
          <w:i/>
          <w:sz w:val="20"/>
          <w:lang w:val="en-GB"/>
        </w:rPr>
        <w:t>a priori</w:t>
      </w:r>
      <w:r>
        <w:rPr>
          <w:rFonts w:ascii="Gill Sans MT" w:hAnsi="Gill Sans MT"/>
          <w:sz w:val="20"/>
          <w:lang w:val="en-GB"/>
        </w:rPr>
        <w:t xml:space="preserve"> more fully aligned to government policies and proces</w:t>
      </w:r>
      <w:r w:rsidR="00BD4BC9">
        <w:rPr>
          <w:rFonts w:ascii="Gill Sans MT" w:hAnsi="Gill Sans MT"/>
          <w:sz w:val="20"/>
          <w:lang w:val="en-GB"/>
        </w:rPr>
        <w:t xml:space="preserve">ses, </w:t>
      </w:r>
      <w:r>
        <w:rPr>
          <w:rFonts w:ascii="Gill Sans MT" w:hAnsi="Gill Sans MT"/>
          <w:sz w:val="20"/>
          <w:lang w:val="en-GB"/>
        </w:rPr>
        <w:t>it is an aid modality that lends itself more easily to harmonisation across providers and thus involves lower trans</w:t>
      </w:r>
      <w:r w:rsidR="00F47C8F">
        <w:rPr>
          <w:rFonts w:ascii="Gill Sans MT" w:hAnsi="Gill Sans MT"/>
          <w:sz w:val="20"/>
          <w:lang w:val="en-GB"/>
        </w:rPr>
        <w:t xml:space="preserve">action costs </w:t>
      </w:r>
      <w:r>
        <w:rPr>
          <w:rFonts w:ascii="Gill Sans MT" w:hAnsi="Gill Sans MT"/>
          <w:sz w:val="20"/>
          <w:lang w:val="en-GB"/>
        </w:rPr>
        <w:t>than other modalities. How harmonised has the delivery process been in the four evaluated LICs?</w:t>
      </w:r>
    </w:p>
    <w:p w14:paraId="2A042F00" w14:textId="77777777" w:rsidR="001B3DE5" w:rsidRDefault="001B3DE5" w:rsidP="000F290F">
      <w:pPr>
        <w:pStyle w:val="BodyText"/>
        <w:numPr>
          <w:ilvl w:val="0"/>
          <w:numId w:val="2"/>
        </w:numPr>
        <w:spacing w:line="360" w:lineRule="auto"/>
        <w:ind w:left="499" w:hanging="357"/>
        <w:rPr>
          <w:rFonts w:ascii="Gill Sans MT" w:hAnsi="Gill Sans MT"/>
          <w:sz w:val="20"/>
          <w:lang w:val="en-GB"/>
        </w:rPr>
      </w:pPr>
      <w:r w:rsidRPr="00601097">
        <w:rPr>
          <w:rFonts w:ascii="Gill Sans MT" w:hAnsi="Gill Sans MT"/>
          <w:b/>
          <w:sz w:val="20"/>
          <w:lang w:val="en-GB"/>
        </w:rPr>
        <w:t>On the positive side, there is much evidence of progress in harmonisation efforts,</w:t>
      </w:r>
      <w:r>
        <w:rPr>
          <w:rFonts w:ascii="Gill Sans MT" w:hAnsi="Gill Sans MT"/>
          <w:sz w:val="20"/>
          <w:lang w:val="en-GB"/>
        </w:rPr>
        <w:t xml:space="preserve"> especially if one considers that the number of budget support providers in these c</w:t>
      </w:r>
      <w:r w:rsidR="00601097">
        <w:rPr>
          <w:rFonts w:ascii="Gill Sans MT" w:hAnsi="Gill Sans MT"/>
          <w:sz w:val="20"/>
          <w:lang w:val="en-GB"/>
        </w:rPr>
        <w:t>ountr</w:t>
      </w:r>
      <w:r w:rsidR="009A6F6A">
        <w:rPr>
          <w:rFonts w:ascii="Gill Sans MT" w:hAnsi="Gill Sans MT"/>
          <w:sz w:val="20"/>
          <w:lang w:val="en-GB"/>
        </w:rPr>
        <w:t>ies ranged from 9 to 19 (Table 7</w:t>
      </w:r>
      <w:r w:rsidR="00601097">
        <w:rPr>
          <w:rFonts w:ascii="Gill Sans MT" w:hAnsi="Gill Sans MT"/>
          <w:sz w:val="20"/>
          <w:lang w:val="en-GB"/>
        </w:rPr>
        <w:t>.):</w:t>
      </w:r>
    </w:p>
    <w:p w14:paraId="7D8BE92A" w14:textId="77777777" w:rsidR="00601097" w:rsidRDefault="00601097" w:rsidP="00D81DB3">
      <w:pPr>
        <w:pStyle w:val="BodyText"/>
        <w:numPr>
          <w:ilvl w:val="0"/>
          <w:numId w:val="14"/>
        </w:numPr>
        <w:spacing w:line="360" w:lineRule="auto"/>
        <w:rPr>
          <w:rFonts w:ascii="Gill Sans MT" w:hAnsi="Gill Sans MT"/>
          <w:sz w:val="20"/>
          <w:lang w:val="en-GB"/>
        </w:rPr>
      </w:pPr>
      <w:r w:rsidRPr="00601097">
        <w:rPr>
          <w:rFonts w:ascii="Gill Sans MT" w:hAnsi="Gill Sans MT"/>
          <w:sz w:val="20"/>
          <w:lang w:val="en-GB"/>
        </w:rPr>
        <w:lastRenderedPageBreak/>
        <w:t>In each case, all of the budget support providers are signatories of a common Memorandum of Understanding</w:t>
      </w:r>
      <w:r>
        <w:rPr>
          <w:rFonts w:ascii="Gill Sans MT" w:hAnsi="Gill Sans MT"/>
          <w:sz w:val="20"/>
          <w:lang w:val="en-GB"/>
        </w:rPr>
        <w:t>;</w:t>
      </w:r>
    </w:p>
    <w:p w14:paraId="7B7CEC1C" w14:textId="77777777" w:rsidR="00601097" w:rsidRDefault="00601097" w:rsidP="00D81DB3">
      <w:pPr>
        <w:pStyle w:val="BodyText"/>
        <w:numPr>
          <w:ilvl w:val="0"/>
          <w:numId w:val="14"/>
        </w:numPr>
        <w:spacing w:line="360" w:lineRule="auto"/>
        <w:rPr>
          <w:rFonts w:ascii="Gill Sans MT" w:hAnsi="Gill Sans MT"/>
          <w:sz w:val="20"/>
          <w:lang w:val="en-GB"/>
        </w:rPr>
      </w:pPr>
      <w:r>
        <w:rPr>
          <w:rFonts w:ascii="Gill Sans MT" w:hAnsi="Gill Sans MT"/>
          <w:sz w:val="20"/>
          <w:lang w:val="en-GB"/>
        </w:rPr>
        <w:t>There is an integrated calendar for the annual assessment of progress and for decision-making on disbursement;</w:t>
      </w:r>
    </w:p>
    <w:p w14:paraId="027AF81E" w14:textId="77777777" w:rsidR="006519B5" w:rsidRDefault="006519B5" w:rsidP="00D81DB3">
      <w:pPr>
        <w:pStyle w:val="BodyText"/>
        <w:numPr>
          <w:ilvl w:val="0"/>
          <w:numId w:val="14"/>
        </w:numPr>
        <w:spacing w:line="360" w:lineRule="auto"/>
        <w:rPr>
          <w:rFonts w:ascii="Gill Sans MT" w:hAnsi="Gill Sans MT"/>
          <w:sz w:val="20"/>
          <w:lang w:val="en-GB"/>
        </w:rPr>
      </w:pPr>
      <w:r>
        <w:rPr>
          <w:rFonts w:ascii="Gill Sans MT" w:hAnsi="Gill Sans MT"/>
          <w:sz w:val="20"/>
          <w:lang w:val="en-GB"/>
        </w:rPr>
        <w:t xml:space="preserve">The calendar integrates sectoral reviews with the annual assessment of progress with the poverty-reduction strategy and the annual assessment of GBS disbursement conditions.  </w:t>
      </w:r>
    </w:p>
    <w:p w14:paraId="428D59CF" w14:textId="77777777" w:rsidR="00601097" w:rsidRPr="00601097" w:rsidRDefault="00601097" w:rsidP="00D81DB3">
      <w:pPr>
        <w:pStyle w:val="BodyText"/>
        <w:numPr>
          <w:ilvl w:val="0"/>
          <w:numId w:val="14"/>
        </w:numPr>
        <w:spacing w:line="360" w:lineRule="auto"/>
        <w:rPr>
          <w:rFonts w:ascii="Gill Sans MT" w:hAnsi="Gill Sans MT"/>
          <w:sz w:val="20"/>
          <w:lang w:val="en-GB"/>
        </w:rPr>
      </w:pPr>
      <w:r>
        <w:rPr>
          <w:rFonts w:ascii="Gill Sans MT" w:hAnsi="Gill Sans MT"/>
          <w:sz w:val="20"/>
          <w:lang w:val="en-GB"/>
        </w:rPr>
        <w:t>For most agencies – the occasional exception</w:t>
      </w:r>
      <w:r w:rsidR="005607C5">
        <w:rPr>
          <w:rFonts w:ascii="Gill Sans MT" w:hAnsi="Gill Sans MT"/>
          <w:sz w:val="20"/>
          <w:lang w:val="en-GB"/>
        </w:rPr>
        <w:t>s</w:t>
      </w:r>
      <w:r>
        <w:rPr>
          <w:rFonts w:ascii="Gill Sans MT" w:hAnsi="Gill Sans MT"/>
          <w:sz w:val="20"/>
          <w:lang w:val="en-GB"/>
        </w:rPr>
        <w:t xml:space="preserve"> being the </w:t>
      </w:r>
      <w:r w:rsidR="005607C5">
        <w:rPr>
          <w:rFonts w:ascii="Gill Sans MT" w:hAnsi="Gill Sans MT"/>
          <w:sz w:val="20"/>
          <w:lang w:val="en-GB"/>
        </w:rPr>
        <w:t xml:space="preserve">African Development Bank and the </w:t>
      </w:r>
      <w:r>
        <w:rPr>
          <w:rFonts w:ascii="Gill Sans MT" w:hAnsi="Gill Sans MT"/>
          <w:sz w:val="20"/>
          <w:lang w:val="en-GB"/>
        </w:rPr>
        <w:t>World Bank – the indicators used to assess progress are incorporated in harmonised performance assessment frameworks (PAFs) at the central and sectoral levels (in the case of SBS arrangements)</w:t>
      </w:r>
      <w:r w:rsidR="006519B5">
        <w:rPr>
          <w:rFonts w:ascii="Gill Sans MT" w:hAnsi="Gill Sans MT"/>
          <w:sz w:val="20"/>
          <w:lang w:val="en-GB"/>
        </w:rPr>
        <w:t xml:space="preserve">; </w:t>
      </w:r>
    </w:p>
    <w:p w14:paraId="43BB3BE8" w14:textId="77777777" w:rsidR="009179E4" w:rsidRDefault="009179E4" w:rsidP="009179E4">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In Mali and Zambia, this harmonised delivery mechanism was built up in the early years of the evaluation period, while in Mozambique and Tanzania, which were earlier starters with budget support, it was established in the 2002 – 2005 period: ‘</w:t>
      </w:r>
      <w:r w:rsidRPr="0093544B">
        <w:rPr>
          <w:rFonts w:ascii="Gill Sans MT" w:hAnsi="Gill Sans MT"/>
          <w:i/>
          <w:sz w:val="20"/>
          <w:lang w:val="en-GB"/>
        </w:rPr>
        <w:t>the core essentials of a structured, harmonised assessment and disbursement process had been established in Tanzania from the outset of the evaluation period and have been preserved</w:t>
      </w:r>
      <w:r>
        <w:rPr>
          <w:rFonts w:ascii="Gill Sans MT" w:hAnsi="Gill Sans MT"/>
          <w:sz w:val="20"/>
          <w:lang w:val="en-GB"/>
        </w:rPr>
        <w:t>.’ (ITAD, 2013; p. 29.)</w:t>
      </w:r>
    </w:p>
    <w:p w14:paraId="00F61EBC" w14:textId="77777777" w:rsidR="005A4D78" w:rsidRPr="00BD4BC9" w:rsidRDefault="009179E4" w:rsidP="0088648F">
      <w:pPr>
        <w:pStyle w:val="BodyText"/>
        <w:numPr>
          <w:ilvl w:val="0"/>
          <w:numId w:val="2"/>
        </w:numPr>
        <w:spacing w:line="360" w:lineRule="auto"/>
        <w:ind w:left="499" w:hanging="357"/>
      </w:pPr>
      <w:r w:rsidRPr="00E759C7">
        <w:rPr>
          <w:rFonts w:ascii="Gill Sans MT" w:hAnsi="Gill Sans MT"/>
          <w:sz w:val="20"/>
          <w:lang w:val="en-GB"/>
        </w:rPr>
        <w:t xml:space="preserve"> </w:t>
      </w:r>
      <w:r w:rsidR="0093544B" w:rsidRPr="00E759C7">
        <w:rPr>
          <w:rFonts w:ascii="Gill Sans MT" w:hAnsi="Gill Sans MT"/>
          <w:b/>
          <w:sz w:val="20"/>
          <w:lang w:val="en-GB"/>
        </w:rPr>
        <w:t>Budget support is widely acknowledged to have lower transaction costs per unit of aid than projects or common basket funds, but the transaction costs of the BS delivery mechanism are still considered too high</w:t>
      </w:r>
      <w:r w:rsidR="0093544B" w:rsidRPr="00E759C7">
        <w:rPr>
          <w:rFonts w:ascii="Gill Sans MT" w:hAnsi="Gill Sans MT"/>
          <w:sz w:val="20"/>
          <w:lang w:val="en-GB"/>
        </w:rPr>
        <w:t xml:space="preserve">. The stakeholders interviewed in these four evaluations all agreed that budget support compared favourably with other modalities in terms of transaction costs per unit of aid. </w:t>
      </w:r>
      <w:r w:rsidR="00AB0188" w:rsidRPr="00E759C7">
        <w:rPr>
          <w:rFonts w:ascii="Gill Sans MT" w:hAnsi="Gill Sans MT"/>
          <w:sz w:val="20"/>
          <w:lang w:val="en-GB"/>
        </w:rPr>
        <w:t>This view is confirmed</w:t>
      </w:r>
      <w:r w:rsidR="00A166E8">
        <w:rPr>
          <w:rStyle w:val="FootnoteReference"/>
          <w:rFonts w:ascii="Gill Sans MT" w:hAnsi="Gill Sans MT"/>
          <w:sz w:val="20"/>
          <w:lang w:val="en-GB"/>
        </w:rPr>
        <w:footnoteReference w:id="20"/>
      </w:r>
      <w:r w:rsidR="00AB0188" w:rsidRPr="00E759C7">
        <w:rPr>
          <w:rFonts w:ascii="Gill Sans MT" w:hAnsi="Gill Sans MT"/>
          <w:sz w:val="20"/>
          <w:lang w:val="en-GB"/>
        </w:rPr>
        <w:t xml:space="preserve"> by the UK National Audit Office in regard to DFID (NAO, 2008) and with regard to SID</w:t>
      </w:r>
      <w:r w:rsidR="00E759C7">
        <w:rPr>
          <w:rFonts w:ascii="Gill Sans MT" w:hAnsi="Gill Sans MT"/>
          <w:sz w:val="20"/>
          <w:lang w:val="en-GB"/>
        </w:rPr>
        <w:t xml:space="preserve">A by </w:t>
      </w:r>
      <w:proofErr w:type="spellStart"/>
      <w:r w:rsidR="00E759C7">
        <w:rPr>
          <w:rFonts w:ascii="Gill Sans MT" w:hAnsi="Gill Sans MT"/>
          <w:sz w:val="20"/>
          <w:lang w:val="en-GB"/>
        </w:rPr>
        <w:t>Bigsten</w:t>
      </w:r>
      <w:proofErr w:type="spellEnd"/>
      <w:r w:rsidR="00E759C7">
        <w:rPr>
          <w:rFonts w:ascii="Gill Sans MT" w:hAnsi="Gill Sans MT"/>
          <w:sz w:val="20"/>
          <w:lang w:val="en-GB"/>
        </w:rPr>
        <w:t xml:space="preserve"> et al. (2011), who </w:t>
      </w:r>
      <w:r w:rsidR="00A166E8" w:rsidRPr="00E759C7">
        <w:rPr>
          <w:rFonts w:ascii="Gill Sans MT" w:hAnsi="Gill Sans MT"/>
          <w:sz w:val="20"/>
          <w:lang w:val="en-GB"/>
        </w:rPr>
        <w:t>estimate that the administrative costs per Swedish Krona spent through budget support are 19% of those for projects (quoted in IOB, 2012</w:t>
      </w:r>
      <w:r w:rsidR="00E759C7">
        <w:rPr>
          <w:rFonts w:ascii="Gill Sans MT" w:hAnsi="Gill Sans MT"/>
          <w:sz w:val="20"/>
          <w:lang w:val="en-GB"/>
        </w:rPr>
        <w:t>).</w:t>
      </w:r>
    </w:p>
    <w:p w14:paraId="7D05B18A" w14:textId="77777777" w:rsidR="00BD4BC9" w:rsidRPr="00592EBE" w:rsidRDefault="009A6F6A" w:rsidP="0088648F">
      <w:pPr>
        <w:pStyle w:val="BodyText"/>
        <w:numPr>
          <w:ilvl w:val="0"/>
          <w:numId w:val="2"/>
        </w:numPr>
        <w:spacing w:line="360" w:lineRule="auto"/>
        <w:ind w:left="499" w:hanging="357"/>
      </w:pPr>
      <w:r>
        <w:rPr>
          <w:rFonts w:ascii="Gill Sans MT" w:hAnsi="Gill Sans MT"/>
          <w:sz w:val="20"/>
          <w:lang w:val="en-GB"/>
        </w:rPr>
        <w:t xml:space="preserve">Notwithstanding the </w:t>
      </w:r>
      <w:r w:rsidR="00BD4BC9">
        <w:rPr>
          <w:rFonts w:ascii="Gill Sans MT" w:hAnsi="Gill Sans MT"/>
          <w:sz w:val="20"/>
          <w:lang w:val="en-GB"/>
        </w:rPr>
        <w:t>recognition of the potential f</w:t>
      </w:r>
      <w:r>
        <w:rPr>
          <w:rFonts w:ascii="Gill Sans MT" w:hAnsi="Gill Sans MT"/>
          <w:sz w:val="20"/>
          <w:lang w:val="en-GB"/>
        </w:rPr>
        <w:t>or transaction cost savings through GBS/ SBS</w:t>
      </w:r>
      <w:r w:rsidR="00BD4BC9">
        <w:rPr>
          <w:rFonts w:ascii="Gill Sans MT" w:hAnsi="Gill Sans MT"/>
          <w:sz w:val="20"/>
          <w:lang w:val="en-GB"/>
        </w:rPr>
        <w:t>, each of the evaluations point to unnecessarily high level</w:t>
      </w:r>
      <w:r w:rsidR="00F77587">
        <w:rPr>
          <w:rFonts w:ascii="Gill Sans MT" w:hAnsi="Gill Sans MT"/>
          <w:sz w:val="20"/>
          <w:lang w:val="en-GB"/>
        </w:rPr>
        <w:t xml:space="preserve">s of such </w:t>
      </w:r>
      <w:r w:rsidR="00750647">
        <w:rPr>
          <w:rFonts w:ascii="Gill Sans MT" w:hAnsi="Gill Sans MT"/>
          <w:sz w:val="20"/>
          <w:lang w:val="en-GB"/>
        </w:rPr>
        <w:t>costs. In Mali, this is perceived essentially as ‘unfinished business’ with regard to the harmonisation agenda</w:t>
      </w:r>
      <w:r w:rsidR="00783390">
        <w:rPr>
          <w:rStyle w:val="FootnoteReference"/>
          <w:rFonts w:ascii="Gill Sans MT" w:hAnsi="Gill Sans MT"/>
          <w:sz w:val="20"/>
          <w:lang w:val="en-GB"/>
        </w:rPr>
        <w:footnoteReference w:id="21"/>
      </w:r>
      <w:r w:rsidR="00750647">
        <w:rPr>
          <w:rFonts w:ascii="Gill Sans MT" w:hAnsi="Gill Sans MT"/>
          <w:sz w:val="20"/>
          <w:lang w:val="en-GB"/>
        </w:rPr>
        <w:t>: ‘</w:t>
      </w:r>
      <w:r w:rsidR="00750647" w:rsidRPr="00783390">
        <w:rPr>
          <w:rFonts w:ascii="Gill Sans MT" w:hAnsi="Gill Sans MT"/>
          <w:i/>
          <w:sz w:val="20"/>
          <w:lang w:val="en-GB"/>
        </w:rPr>
        <w:t>the annual process of assessment…is not yet fully harmonised and still generates unnecessary transaction costs</w:t>
      </w:r>
      <w:r w:rsidR="00750647">
        <w:rPr>
          <w:rFonts w:ascii="Gill Sans MT" w:hAnsi="Gill Sans MT"/>
          <w:sz w:val="20"/>
          <w:lang w:val="en-GB"/>
        </w:rPr>
        <w:t>’</w:t>
      </w:r>
      <w:r w:rsidR="00783390">
        <w:rPr>
          <w:rFonts w:ascii="Gill Sans MT" w:hAnsi="Gill Sans MT"/>
          <w:sz w:val="20"/>
          <w:lang w:val="en-GB"/>
        </w:rPr>
        <w:t xml:space="preserve"> (ECO-Consult, 2011; p.10). The Mozambique and Tanzania evaluations, by contrast, point to </w:t>
      </w:r>
      <w:r w:rsidR="00F47C8F">
        <w:rPr>
          <w:rFonts w:ascii="Gill Sans MT" w:hAnsi="Gill Sans MT"/>
          <w:sz w:val="20"/>
          <w:lang w:val="en-GB"/>
        </w:rPr>
        <w:t>increased</w:t>
      </w:r>
      <w:r w:rsidR="00783390">
        <w:rPr>
          <w:rFonts w:ascii="Gill Sans MT" w:hAnsi="Gill Sans MT"/>
          <w:sz w:val="20"/>
          <w:lang w:val="en-GB"/>
        </w:rPr>
        <w:t xml:space="preserve"> levels of transaction costs</w:t>
      </w:r>
      <w:r w:rsidR="00F47C8F">
        <w:rPr>
          <w:rFonts w:ascii="Gill Sans MT" w:hAnsi="Gill Sans MT"/>
          <w:sz w:val="20"/>
          <w:lang w:val="en-GB"/>
        </w:rPr>
        <w:t xml:space="preserve"> in the second half of the evaluation period</w:t>
      </w:r>
      <w:r w:rsidR="00783390">
        <w:rPr>
          <w:rFonts w:ascii="Gill Sans MT" w:hAnsi="Gill Sans MT"/>
          <w:sz w:val="20"/>
          <w:lang w:val="en-GB"/>
        </w:rPr>
        <w:t xml:space="preserve">, as a consequence of a declining level of trust between DPs and the Government and </w:t>
      </w:r>
      <w:r w:rsidR="00F47C8F">
        <w:rPr>
          <w:rFonts w:ascii="Gill Sans MT" w:hAnsi="Gill Sans MT"/>
          <w:sz w:val="20"/>
          <w:lang w:val="en-GB"/>
        </w:rPr>
        <w:t xml:space="preserve">the resultant growth </w:t>
      </w:r>
      <w:r w:rsidR="005607C5">
        <w:rPr>
          <w:rFonts w:ascii="Gill Sans MT" w:hAnsi="Gill Sans MT"/>
          <w:sz w:val="20"/>
          <w:lang w:val="en-GB"/>
        </w:rPr>
        <w:t xml:space="preserve">in the </w:t>
      </w:r>
      <w:r w:rsidR="00592EBE">
        <w:rPr>
          <w:rFonts w:ascii="Gill Sans MT" w:hAnsi="Gill Sans MT"/>
          <w:sz w:val="20"/>
          <w:lang w:val="en-GB"/>
        </w:rPr>
        <w:lastRenderedPageBreak/>
        <w:t xml:space="preserve">variable/ performance tranches (reaching 7 in Mozambique and 12 in Tanzania) and </w:t>
      </w:r>
      <w:r w:rsidR="00783390">
        <w:rPr>
          <w:rFonts w:ascii="Gill Sans MT" w:hAnsi="Gill Sans MT"/>
          <w:sz w:val="20"/>
          <w:lang w:val="en-GB"/>
        </w:rPr>
        <w:t xml:space="preserve">the number of indicators and disbursement conditions included in </w:t>
      </w:r>
      <w:r w:rsidR="00592EBE">
        <w:rPr>
          <w:rFonts w:ascii="Gill Sans MT" w:hAnsi="Gill Sans MT"/>
          <w:sz w:val="20"/>
          <w:lang w:val="en-GB"/>
        </w:rPr>
        <w:t>the SBS and GBS arrangements.</w:t>
      </w:r>
    </w:p>
    <w:p w14:paraId="5E78F185" w14:textId="77777777" w:rsidR="00592EBE" w:rsidRDefault="00592EBE" w:rsidP="0088648F">
      <w:pPr>
        <w:pStyle w:val="BodyText"/>
        <w:numPr>
          <w:ilvl w:val="0"/>
          <w:numId w:val="2"/>
        </w:numPr>
        <w:spacing w:line="360" w:lineRule="auto"/>
        <w:ind w:left="499" w:hanging="357"/>
        <w:rPr>
          <w:rFonts w:ascii="Gill Sans MT" w:hAnsi="Gill Sans MT"/>
          <w:sz w:val="20"/>
          <w:lang w:val="en-GB"/>
        </w:rPr>
      </w:pPr>
      <w:r w:rsidRPr="00592EBE">
        <w:rPr>
          <w:rFonts w:ascii="Gill Sans MT" w:hAnsi="Gill Sans MT"/>
          <w:sz w:val="20"/>
          <w:lang w:val="en-GB"/>
        </w:rPr>
        <w:t>In Zambia</w:t>
      </w:r>
      <w:r>
        <w:rPr>
          <w:rFonts w:ascii="Gill Sans MT" w:hAnsi="Gill Sans MT"/>
          <w:sz w:val="20"/>
          <w:lang w:val="en-GB"/>
        </w:rPr>
        <w:t>, the persistently high transaction costs are presented as a reflection of, on the one hand, the high level of fragmentation and the consequent inefficiencies in the GRZ public administration and, on the other, the divergences in opinions between Development Partners regarding the ultimat</w:t>
      </w:r>
      <w:r w:rsidR="00E545AD">
        <w:rPr>
          <w:rFonts w:ascii="Gill Sans MT" w:hAnsi="Gill Sans MT"/>
          <w:sz w:val="20"/>
          <w:lang w:val="en-GB"/>
        </w:rPr>
        <w:t>e objectives of budget support: ‘</w:t>
      </w:r>
      <w:r w:rsidR="00E545AD" w:rsidRPr="00F47C8F">
        <w:rPr>
          <w:rFonts w:ascii="Gill Sans MT" w:hAnsi="Gill Sans MT"/>
          <w:i/>
          <w:sz w:val="20"/>
          <w:lang w:val="en-GB"/>
        </w:rPr>
        <w:t>while some cooperating partners apparently understand budget support as a poverty</w:t>
      </w:r>
      <w:r w:rsidR="00F47C8F">
        <w:rPr>
          <w:rFonts w:ascii="Gill Sans MT" w:hAnsi="Gill Sans MT"/>
          <w:sz w:val="20"/>
          <w:lang w:val="en-GB"/>
        </w:rPr>
        <w:t xml:space="preserve"> </w:t>
      </w:r>
      <w:r w:rsidR="00E545AD" w:rsidRPr="00E545AD">
        <w:rPr>
          <w:rFonts w:ascii="Gill Sans MT" w:hAnsi="Gill Sans MT"/>
          <w:i/>
          <w:sz w:val="20"/>
          <w:lang w:val="en-GB"/>
        </w:rPr>
        <w:t>reduction-oriented financing instrument, other cooperating partners seem more keen to use budget support as an instrument to promote public administration and governance reforms</w:t>
      </w:r>
      <w:r w:rsidR="00E545AD">
        <w:rPr>
          <w:rFonts w:ascii="Gill Sans MT" w:hAnsi="Gill Sans MT"/>
          <w:sz w:val="20"/>
          <w:lang w:val="en-GB"/>
        </w:rPr>
        <w:t>’ (</w:t>
      </w:r>
      <w:r w:rsidR="009A6F6A">
        <w:rPr>
          <w:rFonts w:ascii="Gill Sans MT" w:hAnsi="Gill Sans MT"/>
          <w:sz w:val="20"/>
          <w:lang w:val="en-GB"/>
        </w:rPr>
        <w:t>IOB, 2011</w:t>
      </w:r>
      <w:r w:rsidR="00E545AD">
        <w:rPr>
          <w:rFonts w:ascii="Gill Sans MT" w:hAnsi="Gill Sans MT"/>
          <w:sz w:val="20"/>
          <w:lang w:val="en-GB"/>
        </w:rPr>
        <w:t>; p.90.)</w:t>
      </w:r>
    </w:p>
    <w:p w14:paraId="60D66065" w14:textId="77777777" w:rsidR="00E545AD" w:rsidRDefault="00F47C8F" w:rsidP="0088648F">
      <w:pPr>
        <w:pStyle w:val="BodyText"/>
        <w:numPr>
          <w:ilvl w:val="0"/>
          <w:numId w:val="2"/>
        </w:numPr>
        <w:spacing w:line="360" w:lineRule="auto"/>
        <w:ind w:left="499" w:hanging="357"/>
        <w:rPr>
          <w:rFonts w:ascii="Gill Sans MT" w:hAnsi="Gill Sans MT"/>
          <w:sz w:val="20"/>
          <w:lang w:val="en-GB"/>
        </w:rPr>
      </w:pPr>
      <w:r w:rsidRPr="00F47C8F">
        <w:rPr>
          <w:rFonts w:ascii="Gill Sans MT" w:hAnsi="Gill Sans MT"/>
          <w:b/>
          <w:sz w:val="20"/>
          <w:lang w:val="en-GB"/>
        </w:rPr>
        <w:t>Thus</w:t>
      </w:r>
      <w:r w:rsidR="00E545AD" w:rsidRPr="00F47C8F">
        <w:rPr>
          <w:rFonts w:ascii="Gill Sans MT" w:hAnsi="Gill Sans MT"/>
          <w:b/>
          <w:sz w:val="20"/>
          <w:lang w:val="en-GB"/>
        </w:rPr>
        <w:t xml:space="preserve">, </w:t>
      </w:r>
      <w:r w:rsidRPr="00F47C8F">
        <w:rPr>
          <w:rFonts w:ascii="Gill Sans MT" w:hAnsi="Gill Sans MT"/>
          <w:b/>
          <w:sz w:val="20"/>
          <w:lang w:val="en-GB"/>
        </w:rPr>
        <w:t>in Mozambique, Tanzania and Zambia, the impression is that the harmonisation process has reached a pl</w:t>
      </w:r>
      <w:r w:rsidR="00033992">
        <w:rPr>
          <w:rFonts w:ascii="Gill Sans MT" w:hAnsi="Gill Sans MT"/>
          <w:b/>
          <w:sz w:val="20"/>
          <w:lang w:val="en-GB"/>
        </w:rPr>
        <w:t>ateau and that only through</w:t>
      </w:r>
      <w:r w:rsidRPr="00F47C8F">
        <w:rPr>
          <w:rFonts w:ascii="Gill Sans MT" w:hAnsi="Gill Sans MT"/>
          <w:b/>
          <w:sz w:val="20"/>
          <w:lang w:val="en-GB"/>
        </w:rPr>
        <w:t xml:space="preserve"> fundamental changes can further progress be envisaged.</w:t>
      </w:r>
      <w:r>
        <w:rPr>
          <w:rFonts w:ascii="Gill Sans MT" w:hAnsi="Gill Sans MT"/>
          <w:sz w:val="20"/>
          <w:lang w:val="en-GB"/>
        </w:rPr>
        <w:t xml:space="preserve"> O</w:t>
      </w:r>
      <w:r w:rsidR="00E545AD">
        <w:rPr>
          <w:rFonts w:ascii="Gill Sans MT" w:hAnsi="Gill Sans MT"/>
          <w:sz w:val="20"/>
          <w:lang w:val="en-GB"/>
        </w:rPr>
        <w:t>nly the Mali evaluation showed confidence in the potential for continued improvements in harmonisation and contro</w:t>
      </w:r>
      <w:r>
        <w:rPr>
          <w:rFonts w:ascii="Gill Sans MT" w:hAnsi="Gill Sans MT"/>
          <w:sz w:val="20"/>
          <w:lang w:val="en-GB"/>
        </w:rPr>
        <w:t>l of transaction costs, a position</w:t>
      </w:r>
      <w:r w:rsidR="00E545AD">
        <w:rPr>
          <w:rFonts w:ascii="Gill Sans MT" w:hAnsi="Gill Sans MT"/>
          <w:sz w:val="20"/>
          <w:lang w:val="en-GB"/>
        </w:rPr>
        <w:t xml:space="preserve"> almost certainly influenced by the more favourable nature</w:t>
      </w:r>
      <w:r>
        <w:rPr>
          <w:rFonts w:ascii="Gill Sans MT" w:hAnsi="Gill Sans MT"/>
          <w:sz w:val="20"/>
          <w:lang w:val="en-GB"/>
        </w:rPr>
        <w:t xml:space="preserve"> of aid relations at that time - a contextual difference identified </w:t>
      </w:r>
      <w:r w:rsidR="00B00ED1">
        <w:rPr>
          <w:rFonts w:ascii="Gill Sans MT" w:hAnsi="Gill Sans MT"/>
          <w:sz w:val="20"/>
          <w:lang w:val="en-GB"/>
        </w:rPr>
        <w:t xml:space="preserve">in section 2.1 </w:t>
      </w:r>
      <w:r>
        <w:rPr>
          <w:rFonts w:ascii="Gill Sans MT" w:hAnsi="Gill Sans MT"/>
          <w:sz w:val="20"/>
          <w:lang w:val="en-GB"/>
        </w:rPr>
        <w:t>above.</w:t>
      </w:r>
    </w:p>
    <w:p w14:paraId="1B3CDDCF" w14:textId="77777777" w:rsidR="00F47C8F" w:rsidRDefault="00B113F5" w:rsidP="00F47C8F">
      <w:pPr>
        <w:pStyle w:val="Heading3"/>
      </w:pPr>
      <w:r>
        <w:t xml:space="preserve">(ii) </w:t>
      </w:r>
      <w:r w:rsidR="00F47C8F">
        <w:t xml:space="preserve">Implementation frameworks: c) the framework for policy dialogue </w:t>
      </w:r>
    </w:p>
    <w:p w14:paraId="0915FCE2" w14:textId="77777777" w:rsidR="00F47C8F" w:rsidRDefault="006E52BC" w:rsidP="00F47C8F">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The opportunity for constructive policy dialogue between government and the budget support providers is perceived </w:t>
      </w:r>
      <w:r w:rsidR="00E016D3">
        <w:rPr>
          <w:rFonts w:ascii="Gill Sans MT" w:hAnsi="Gill Sans MT"/>
          <w:sz w:val="20"/>
          <w:lang w:val="en-GB"/>
        </w:rPr>
        <w:t xml:space="preserve">as one of the critical advantages of the modality. How may we assess the quality of the mechanisms created for this purpose in the LICs? </w:t>
      </w:r>
    </w:p>
    <w:p w14:paraId="2B9323CC" w14:textId="77777777" w:rsidR="00F47C8F" w:rsidRDefault="00055824" w:rsidP="00F47C8F">
      <w:pPr>
        <w:pStyle w:val="BodyText"/>
        <w:numPr>
          <w:ilvl w:val="0"/>
          <w:numId w:val="2"/>
        </w:numPr>
        <w:spacing w:line="360" w:lineRule="auto"/>
        <w:ind w:left="499" w:hanging="357"/>
        <w:rPr>
          <w:rFonts w:ascii="Gill Sans MT" w:hAnsi="Gill Sans MT"/>
          <w:sz w:val="20"/>
          <w:lang w:val="en-GB"/>
        </w:rPr>
      </w:pPr>
      <w:r w:rsidRPr="00055824">
        <w:rPr>
          <w:rFonts w:ascii="Gill Sans MT" w:hAnsi="Gill Sans MT"/>
          <w:b/>
          <w:sz w:val="20"/>
          <w:lang w:val="en-GB"/>
        </w:rPr>
        <w:t>On the posit</w:t>
      </w:r>
      <w:r w:rsidR="005F7236">
        <w:rPr>
          <w:rFonts w:ascii="Gill Sans MT" w:hAnsi="Gill Sans MT"/>
          <w:b/>
          <w:sz w:val="20"/>
          <w:lang w:val="en-GB"/>
        </w:rPr>
        <w:t xml:space="preserve">ive side, in each of these </w:t>
      </w:r>
      <w:r w:rsidRPr="00055824">
        <w:rPr>
          <w:rFonts w:ascii="Gill Sans MT" w:hAnsi="Gill Sans MT"/>
          <w:b/>
          <w:sz w:val="20"/>
          <w:lang w:val="en-GB"/>
        </w:rPr>
        <w:t>countries budget support has created integrated structures for setting and monitoring annual progress targets for the national development strategy and for key sectoral strategies</w:t>
      </w:r>
      <w:r>
        <w:rPr>
          <w:rFonts w:ascii="Gill Sans MT" w:hAnsi="Gill Sans MT"/>
          <w:sz w:val="20"/>
          <w:lang w:val="en-GB"/>
        </w:rPr>
        <w:t>. Such structures did not previously exist or were not fully f</w:t>
      </w:r>
      <w:r w:rsidR="00B23424">
        <w:rPr>
          <w:rFonts w:ascii="Gill Sans MT" w:hAnsi="Gill Sans MT"/>
          <w:sz w:val="20"/>
          <w:lang w:val="en-GB"/>
        </w:rPr>
        <w:t xml:space="preserve">unctional. Moreover, </w:t>
      </w:r>
      <w:r>
        <w:rPr>
          <w:rFonts w:ascii="Gill Sans MT" w:hAnsi="Gill Sans MT"/>
          <w:sz w:val="20"/>
          <w:lang w:val="en-GB"/>
        </w:rPr>
        <w:t xml:space="preserve">the structures established have created new opportunities for policy input from civil society. </w:t>
      </w:r>
      <w:r w:rsidR="0093025B">
        <w:rPr>
          <w:rFonts w:ascii="Gill Sans MT" w:hAnsi="Gill Sans MT"/>
          <w:sz w:val="20"/>
          <w:lang w:val="en-GB"/>
        </w:rPr>
        <w:t>The importance of these achievements is well captured in the Tanzania evaluation</w:t>
      </w:r>
      <w:r w:rsidR="00703812">
        <w:rPr>
          <w:rStyle w:val="FootnoteReference"/>
          <w:rFonts w:ascii="Gill Sans MT" w:hAnsi="Gill Sans MT"/>
          <w:sz w:val="20"/>
          <w:lang w:val="en-GB"/>
        </w:rPr>
        <w:footnoteReference w:id="22"/>
      </w:r>
      <w:r w:rsidR="0093025B">
        <w:rPr>
          <w:rFonts w:ascii="Gill Sans MT" w:hAnsi="Gill Sans MT"/>
          <w:sz w:val="20"/>
          <w:lang w:val="en-GB"/>
        </w:rPr>
        <w:t>: ‘</w:t>
      </w:r>
      <w:r w:rsidR="0093025B" w:rsidRPr="0093025B">
        <w:rPr>
          <w:rFonts w:ascii="Gill Sans MT" w:hAnsi="Gill Sans MT"/>
          <w:i/>
          <w:sz w:val="20"/>
          <w:lang w:val="en-GB"/>
        </w:rPr>
        <w:t>In terms of harmonisation, alignment and stakeholder engagement, the existing framework for dialogue scores relatively well. […] The Budget Support framework for dialogue can also be credited with promoting the use of results and indicators within the Tanzanian policy process.</w:t>
      </w:r>
      <w:r w:rsidR="0093025B">
        <w:rPr>
          <w:rFonts w:ascii="Gill Sans MT" w:hAnsi="Gill Sans MT"/>
          <w:sz w:val="20"/>
          <w:lang w:val="en-GB"/>
        </w:rPr>
        <w:t xml:space="preserve">’ (ITAD, 2013; p.31) </w:t>
      </w:r>
      <w:r>
        <w:rPr>
          <w:rFonts w:ascii="Gill Sans MT" w:hAnsi="Gill Sans MT"/>
          <w:sz w:val="20"/>
          <w:lang w:val="en-GB"/>
        </w:rPr>
        <w:t xml:space="preserve"> </w:t>
      </w:r>
    </w:p>
    <w:p w14:paraId="46D11DB4" w14:textId="77777777" w:rsidR="0093025B" w:rsidRDefault="003A720E" w:rsidP="00F47C8F">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In the case of Mali, the policy dialogue mechanism was considered relatively effective and was seen to have generated relevant results: ‘</w:t>
      </w:r>
      <w:r w:rsidRPr="003A720E">
        <w:rPr>
          <w:rFonts w:ascii="Gill Sans MT" w:hAnsi="Gill Sans MT"/>
          <w:i/>
          <w:sz w:val="20"/>
          <w:lang w:val="en-GB"/>
        </w:rPr>
        <w:t>these structures have facilitated the implementation and monitoring of national development programmes, in particular the CSLP / CSCRP, (the poverty reduction strategy) education and health sector policies, and policies to strengthen public finance management, decentralisation and public sector reform’</w:t>
      </w:r>
      <w:r w:rsidRPr="003A720E">
        <w:rPr>
          <w:rFonts w:ascii="Gill Sans MT" w:hAnsi="Gill Sans MT"/>
          <w:sz w:val="20"/>
          <w:lang w:val="en-GB"/>
        </w:rPr>
        <w:t>.</w:t>
      </w:r>
      <w:r>
        <w:rPr>
          <w:rFonts w:ascii="Gill Sans MT" w:hAnsi="Gill Sans MT"/>
          <w:sz w:val="20"/>
          <w:lang w:val="en-GB"/>
        </w:rPr>
        <w:t xml:space="preserve"> (ECO-Consult, 2011: p. 10)</w:t>
      </w:r>
    </w:p>
    <w:p w14:paraId="5F6D5F00" w14:textId="77777777" w:rsidR="00DF587C" w:rsidRDefault="000119A8" w:rsidP="00F47C8F">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lastRenderedPageBreak/>
        <w:t>In the other</w:t>
      </w:r>
      <w:r w:rsidR="00642713">
        <w:rPr>
          <w:rFonts w:ascii="Gill Sans MT" w:hAnsi="Gill Sans MT"/>
          <w:sz w:val="20"/>
          <w:lang w:val="en-GB"/>
        </w:rPr>
        <w:t xml:space="preserve"> three countries,</w:t>
      </w:r>
      <w:r w:rsidR="00B113F5">
        <w:rPr>
          <w:rFonts w:ascii="Gill Sans MT" w:hAnsi="Gill Sans MT"/>
          <w:sz w:val="20"/>
          <w:lang w:val="en-GB"/>
        </w:rPr>
        <w:t xml:space="preserve"> the </w:t>
      </w:r>
      <w:r w:rsidR="005F7236">
        <w:rPr>
          <w:rFonts w:ascii="Gill Sans MT" w:hAnsi="Gill Sans MT"/>
          <w:sz w:val="20"/>
          <w:lang w:val="en-GB"/>
        </w:rPr>
        <w:t xml:space="preserve">substance of the policy dialogue did not benefit from </w:t>
      </w:r>
      <w:r w:rsidR="008D48D0">
        <w:rPr>
          <w:rFonts w:ascii="Gill Sans MT" w:hAnsi="Gill Sans MT"/>
          <w:sz w:val="20"/>
          <w:lang w:val="en-GB"/>
        </w:rPr>
        <w:t>the initial gains made in the establishment of harmonised monitorin</w:t>
      </w:r>
      <w:r w:rsidR="00642713">
        <w:rPr>
          <w:rFonts w:ascii="Gill Sans MT" w:hAnsi="Gill Sans MT"/>
          <w:sz w:val="20"/>
          <w:lang w:val="en-GB"/>
        </w:rPr>
        <w:t xml:space="preserve">g mechanisms, and was </w:t>
      </w:r>
      <w:r w:rsidR="00B113F5">
        <w:rPr>
          <w:rFonts w:ascii="Gill Sans MT" w:hAnsi="Gill Sans MT"/>
          <w:sz w:val="20"/>
          <w:lang w:val="en-GB"/>
        </w:rPr>
        <w:t xml:space="preserve">perceived </w:t>
      </w:r>
      <w:r w:rsidR="00642713">
        <w:rPr>
          <w:rFonts w:ascii="Gill Sans MT" w:hAnsi="Gill Sans MT"/>
          <w:sz w:val="20"/>
          <w:lang w:val="en-GB"/>
        </w:rPr>
        <w:t xml:space="preserve">by the evaluations </w:t>
      </w:r>
      <w:r w:rsidR="00B113F5">
        <w:rPr>
          <w:rFonts w:ascii="Gill Sans MT" w:hAnsi="Gill Sans MT"/>
          <w:sz w:val="20"/>
          <w:lang w:val="en-GB"/>
        </w:rPr>
        <w:t xml:space="preserve">as falling </w:t>
      </w:r>
      <w:r w:rsidR="00642713">
        <w:rPr>
          <w:rFonts w:ascii="Gill Sans MT" w:hAnsi="Gill Sans MT"/>
          <w:sz w:val="20"/>
          <w:lang w:val="en-GB"/>
        </w:rPr>
        <w:t xml:space="preserve">significantly </w:t>
      </w:r>
      <w:r w:rsidR="008D48D0">
        <w:rPr>
          <w:rFonts w:ascii="Gill Sans MT" w:hAnsi="Gill Sans MT"/>
          <w:sz w:val="20"/>
          <w:lang w:val="en-GB"/>
        </w:rPr>
        <w:t>short of expectations</w:t>
      </w:r>
      <w:r w:rsidR="00B113F5">
        <w:rPr>
          <w:rFonts w:ascii="Gill Sans MT" w:hAnsi="Gill Sans MT"/>
          <w:sz w:val="20"/>
          <w:lang w:val="en-GB"/>
        </w:rPr>
        <w:t xml:space="preserve">. This was </w:t>
      </w:r>
      <w:r>
        <w:rPr>
          <w:rFonts w:ascii="Gill Sans MT" w:hAnsi="Gill Sans MT"/>
          <w:sz w:val="20"/>
          <w:lang w:val="en-GB"/>
        </w:rPr>
        <w:t xml:space="preserve">especially </w:t>
      </w:r>
      <w:r w:rsidR="00B113F5">
        <w:rPr>
          <w:rFonts w:ascii="Gill Sans MT" w:hAnsi="Gill Sans MT"/>
          <w:sz w:val="20"/>
          <w:lang w:val="en-GB"/>
        </w:rPr>
        <w:t xml:space="preserve">true </w:t>
      </w:r>
      <w:r>
        <w:rPr>
          <w:rFonts w:ascii="Gill Sans MT" w:hAnsi="Gill Sans MT"/>
          <w:sz w:val="20"/>
          <w:lang w:val="en-GB"/>
        </w:rPr>
        <w:t xml:space="preserve">in Mozambique and Tanzania, </w:t>
      </w:r>
      <w:r w:rsidR="00B113F5">
        <w:rPr>
          <w:rFonts w:ascii="Gill Sans MT" w:hAnsi="Gill Sans MT"/>
          <w:sz w:val="20"/>
          <w:lang w:val="en-GB"/>
        </w:rPr>
        <w:t xml:space="preserve">the countries with the more mature </w:t>
      </w:r>
      <w:r>
        <w:rPr>
          <w:rFonts w:ascii="Gill Sans MT" w:hAnsi="Gill Sans MT"/>
          <w:sz w:val="20"/>
          <w:lang w:val="en-GB"/>
        </w:rPr>
        <w:t>budget support process</w:t>
      </w:r>
      <w:r w:rsidR="00B113F5">
        <w:rPr>
          <w:rFonts w:ascii="Gill Sans MT" w:hAnsi="Gill Sans MT"/>
          <w:sz w:val="20"/>
          <w:lang w:val="en-GB"/>
        </w:rPr>
        <w:t>es, where progressive improvements in the efficiency and effectiveness of dialogue were expected</w:t>
      </w:r>
      <w:r w:rsidR="005F7236">
        <w:rPr>
          <w:rFonts w:ascii="Gill Sans MT" w:hAnsi="Gill Sans MT"/>
          <w:sz w:val="20"/>
          <w:lang w:val="en-GB"/>
        </w:rPr>
        <w:t>:</w:t>
      </w:r>
    </w:p>
    <w:p w14:paraId="01E27053" w14:textId="77777777" w:rsidR="000119A8" w:rsidRDefault="008E156A" w:rsidP="00D81DB3">
      <w:pPr>
        <w:pStyle w:val="BodyText"/>
        <w:numPr>
          <w:ilvl w:val="0"/>
          <w:numId w:val="15"/>
        </w:numPr>
        <w:spacing w:line="360" w:lineRule="auto"/>
        <w:rPr>
          <w:rFonts w:ascii="Gill Sans MT" w:hAnsi="Gill Sans MT"/>
          <w:sz w:val="20"/>
          <w:lang w:val="en-GB"/>
        </w:rPr>
      </w:pPr>
      <w:r>
        <w:rPr>
          <w:rFonts w:ascii="Gill Sans MT" w:hAnsi="Gill Sans MT"/>
          <w:sz w:val="20"/>
          <w:lang w:val="en-GB"/>
        </w:rPr>
        <w:t>T</w:t>
      </w:r>
      <w:r w:rsidR="008D48D0">
        <w:rPr>
          <w:rFonts w:ascii="Gill Sans MT" w:hAnsi="Gill Sans MT"/>
          <w:sz w:val="20"/>
          <w:lang w:val="en-GB"/>
        </w:rPr>
        <w:t xml:space="preserve">he transaction costs of the dialogue framework were seen to be </w:t>
      </w:r>
      <w:r w:rsidR="00DF587C">
        <w:rPr>
          <w:rFonts w:ascii="Gill Sans MT" w:hAnsi="Gill Sans MT"/>
          <w:sz w:val="20"/>
          <w:lang w:val="en-GB"/>
        </w:rPr>
        <w:t>high</w:t>
      </w:r>
      <w:r w:rsidR="008D48D0">
        <w:rPr>
          <w:rFonts w:ascii="Gill Sans MT" w:hAnsi="Gill Sans MT"/>
          <w:sz w:val="20"/>
          <w:lang w:val="en-GB"/>
        </w:rPr>
        <w:t xml:space="preserve">, and, in the second half of the evaluation period, actually rising </w:t>
      </w:r>
      <w:r w:rsidR="006B39BB">
        <w:rPr>
          <w:rFonts w:ascii="Gill Sans MT" w:hAnsi="Gill Sans MT"/>
          <w:sz w:val="20"/>
          <w:lang w:val="en-GB"/>
        </w:rPr>
        <w:t xml:space="preserve">due to </w:t>
      </w:r>
      <w:r w:rsidR="00DF587C">
        <w:rPr>
          <w:rFonts w:ascii="Gill Sans MT" w:hAnsi="Gill Sans MT"/>
          <w:sz w:val="20"/>
          <w:lang w:val="en-GB"/>
        </w:rPr>
        <w:t xml:space="preserve">an excess of </w:t>
      </w:r>
      <w:r w:rsidR="00B23424">
        <w:rPr>
          <w:rFonts w:ascii="Gill Sans MT" w:hAnsi="Gill Sans MT"/>
          <w:sz w:val="20"/>
          <w:lang w:val="en-GB"/>
        </w:rPr>
        <w:t xml:space="preserve">dialogue </w:t>
      </w:r>
      <w:r w:rsidR="00DF587C">
        <w:rPr>
          <w:rFonts w:ascii="Gill Sans MT" w:hAnsi="Gill Sans MT"/>
          <w:sz w:val="20"/>
          <w:lang w:val="en-GB"/>
        </w:rPr>
        <w:t>layers and committees</w:t>
      </w:r>
      <w:r w:rsidR="002866F5">
        <w:rPr>
          <w:rFonts w:ascii="Gill Sans MT" w:hAnsi="Gill Sans MT"/>
          <w:sz w:val="20"/>
          <w:lang w:val="en-GB"/>
        </w:rPr>
        <w:t>, and due to protra</w:t>
      </w:r>
      <w:r w:rsidR="006B39BB">
        <w:rPr>
          <w:rFonts w:ascii="Gill Sans MT" w:hAnsi="Gill Sans MT"/>
          <w:sz w:val="20"/>
          <w:lang w:val="en-GB"/>
        </w:rPr>
        <w:t>cted discussions over setting PAF targets and interpreting performance against those targets</w:t>
      </w:r>
      <w:r w:rsidR="00DF587C">
        <w:rPr>
          <w:rFonts w:ascii="Gill Sans MT" w:hAnsi="Gill Sans MT"/>
          <w:sz w:val="20"/>
          <w:lang w:val="en-GB"/>
        </w:rPr>
        <w:t>;</w:t>
      </w:r>
    </w:p>
    <w:p w14:paraId="66FBD427" w14:textId="77777777" w:rsidR="008D48D0" w:rsidRDefault="008D48D0" w:rsidP="00D81DB3">
      <w:pPr>
        <w:pStyle w:val="BodyText"/>
        <w:numPr>
          <w:ilvl w:val="0"/>
          <w:numId w:val="15"/>
        </w:numPr>
        <w:spacing w:line="360" w:lineRule="auto"/>
        <w:rPr>
          <w:rFonts w:ascii="Gill Sans MT" w:hAnsi="Gill Sans MT"/>
          <w:sz w:val="20"/>
          <w:lang w:val="en-GB"/>
        </w:rPr>
      </w:pPr>
      <w:r>
        <w:rPr>
          <w:rFonts w:ascii="Gill Sans MT" w:hAnsi="Gill Sans MT"/>
          <w:sz w:val="20"/>
          <w:lang w:val="en-GB"/>
        </w:rPr>
        <w:t>In all three countries, the PAF had become too big, attempting to address a dozen or more sectors and thematic areas, due to the demands of the different budget support providers to respond to their specific concerns and interests</w:t>
      </w:r>
      <w:r w:rsidR="008E156A">
        <w:rPr>
          <w:rStyle w:val="FootnoteReference"/>
          <w:rFonts w:ascii="Gill Sans MT" w:hAnsi="Gill Sans MT"/>
          <w:sz w:val="20"/>
          <w:lang w:val="en-GB"/>
        </w:rPr>
        <w:footnoteReference w:id="23"/>
      </w:r>
      <w:r w:rsidR="008E156A">
        <w:rPr>
          <w:rFonts w:ascii="Gill Sans MT" w:hAnsi="Gill Sans MT"/>
          <w:sz w:val="20"/>
          <w:lang w:val="en-GB"/>
        </w:rPr>
        <w:t xml:space="preserve">; </w:t>
      </w:r>
      <w:r>
        <w:rPr>
          <w:rFonts w:ascii="Gill Sans MT" w:hAnsi="Gill Sans MT"/>
          <w:sz w:val="20"/>
          <w:lang w:val="en-GB"/>
        </w:rPr>
        <w:t xml:space="preserve"> </w:t>
      </w:r>
    </w:p>
    <w:p w14:paraId="6606B841" w14:textId="77777777" w:rsidR="00DF587C" w:rsidRDefault="00DF587C" w:rsidP="00D81DB3">
      <w:pPr>
        <w:pStyle w:val="BodyText"/>
        <w:numPr>
          <w:ilvl w:val="0"/>
          <w:numId w:val="15"/>
        </w:numPr>
        <w:spacing w:line="360" w:lineRule="auto"/>
        <w:rPr>
          <w:rFonts w:ascii="Gill Sans MT" w:hAnsi="Gill Sans MT"/>
          <w:sz w:val="20"/>
          <w:lang w:val="en-GB"/>
        </w:rPr>
      </w:pPr>
      <w:r>
        <w:rPr>
          <w:rFonts w:ascii="Gill Sans MT" w:hAnsi="Gill Sans MT"/>
          <w:sz w:val="20"/>
          <w:lang w:val="en-GB"/>
        </w:rPr>
        <w:t>In T</w:t>
      </w:r>
      <w:r w:rsidR="00B23424">
        <w:rPr>
          <w:rFonts w:ascii="Gill Sans MT" w:hAnsi="Gill Sans MT"/>
          <w:sz w:val="20"/>
          <w:lang w:val="en-GB"/>
        </w:rPr>
        <w:t xml:space="preserve">anzania, the PAF was </w:t>
      </w:r>
      <w:r w:rsidR="004D166F">
        <w:rPr>
          <w:rFonts w:ascii="Gill Sans MT" w:hAnsi="Gill Sans MT"/>
          <w:sz w:val="20"/>
          <w:lang w:val="en-GB"/>
        </w:rPr>
        <w:t xml:space="preserve">especially </w:t>
      </w:r>
      <w:r>
        <w:rPr>
          <w:rFonts w:ascii="Gill Sans MT" w:hAnsi="Gill Sans MT"/>
          <w:sz w:val="20"/>
          <w:lang w:val="en-GB"/>
        </w:rPr>
        <w:t xml:space="preserve">problematic involving an excessive number of indicators (89 at its peak in 2007/08), but also a lack of coherence, consistency and </w:t>
      </w:r>
      <w:r w:rsidR="003A613B">
        <w:rPr>
          <w:rFonts w:ascii="Gill Sans MT" w:hAnsi="Gill Sans MT"/>
          <w:sz w:val="20"/>
          <w:lang w:val="en-GB"/>
        </w:rPr>
        <w:t>“</w:t>
      </w:r>
      <w:r>
        <w:rPr>
          <w:rFonts w:ascii="Gill Sans MT" w:hAnsi="Gill Sans MT"/>
          <w:sz w:val="20"/>
          <w:lang w:val="en-GB"/>
        </w:rPr>
        <w:t>SMART-ness</w:t>
      </w:r>
      <w:r w:rsidR="003A613B">
        <w:rPr>
          <w:rFonts w:ascii="Gill Sans MT" w:hAnsi="Gill Sans MT"/>
          <w:sz w:val="20"/>
          <w:lang w:val="en-GB"/>
        </w:rPr>
        <w:t>”</w:t>
      </w:r>
      <w:r>
        <w:rPr>
          <w:rFonts w:ascii="Gill Sans MT" w:hAnsi="Gill Sans MT"/>
          <w:sz w:val="20"/>
          <w:lang w:val="en-GB"/>
        </w:rPr>
        <w:t xml:space="preserve"> in the definition of indicators</w:t>
      </w:r>
      <w:r w:rsidR="008D48D0">
        <w:rPr>
          <w:rStyle w:val="FootnoteReference"/>
          <w:rFonts w:ascii="Gill Sans MT" w:hAnsi="Gill Sans MT"/>
          <w:sz w:val="20"/>
          <w:lang w:val="en-GB"/>
        </w:rPr>
        <w:footnoteReference w:id="24"/>
      </w:r>
      <w:r>
        <w:rPr>
          <w:rFonts w:ascii="Gill Sans MT" w:hAnsi="Gill Sans MT"/>
          <w:sz w:val="20"/>
          <w:lang w:val="en-GB"/>
        </w:rPr>
        <w:t xml:space="preserve"> (ITAD, 2013; pp. 31-35); </w:t>
      </w:r>
    </w:p>
    <w:p w14:paraId="2AD78F86" w14:textId="77777777" w:rsidR="008D48D0" w:rsidRDefault="008E156A" w:rsidP="00D81DB3">
      <w:pPr>
        <w:pStyle w:val="BodyText"/>
        <w:numPr>
          <w:ilvl w:val="0"/>
          <w:numId w:val="15"/>
        </w:numPr>
        <w:spacing w:line="360" w:lineRule="auto"/>
        <w:rPr>
          <w:rFonts w:ascii="Gill Sans MT" w:hAnsi="Gill Sans MT"/>
          <w:sz w:val="20"/>
          <w:lang w:val="en-GB"/>
        </w:rPr>
      </w:pPr>
      <w:r>
        <w:rPr>
          <w:rFonts w:ascii="Gill Sans MT" w:hAnsi="Gill Sans MT"/>
          <w:sz w:val="20"/>
          <w:lang w:val="en-GB"/>
        </w:rPr>
        <w:t xml:space="preserve">The combination of </w:t>
      </w:r>
      <w:r w:rsidR="00642713">
        <w:rPr>
          <w:rFonts w:ascii="Gill Sans MT" w:hAnsi="Gill Sans MT"/>
          <w:sz w:val="20"/>
          <w:lang w:val="en-GB"/>
        </w:rPr>
        <w:t xml:space="preserve">a </w:t>
      </w:r>
      <w:r>
        <w:rPr>
          <w:rFonts w:ascii="Gill Sans MT" w:hAnsi="Gill Sans MT"/>
          <w:sz w:val="20"/>
          <w:lang w:val="en-GB"/>
        </w:rPr>
        <w:t>donor-</w:t>
      </w:r>
      <w:r w:rsidR="00642713">
        <w:rPr>
          <w:rFonts w:ascii="Gill Sans MT" w:hAnsi="Gill Sans MT"/>
          <w:sz w:val="20"/>
          <w:lang w:val="en-GB"/>
        </w:rPr>
        <w:t>driven process and a high level of transaction costs generated severe disincentives against the participation of senior civil servants, further eroding the already declining level of ownership and diminishing the quality of debate and discussion.</w:t>
      </w:r>
    </w:p>
    <w:p w14:paraId="2AA9CF76" w14:textId="77777777" w:rsidR="005A4D78" w:rsidRDefault="00642713" w:rsidP="0088648F">
      <w:pPr>
        <w:pStyle w:val="BodyText"/>
        <w:numPr>
          <w:ilvl w:val="0"/>
          <w:numId w:val="2"/>
        </w:numPr>
        <w:spacing w:line="360" w:lineRule="auto"/>
        <w:ind w:left="499" w:hanging="357"/>
        <w:rPr>
          <w:rFonts w:ascii="Gill Sans MT" w:hAnsi="Gill Sans MT"/>
          <w:sz w:val="20"/>
          <w:lang w:val="en-GB"/>
        </w:rPr>
      </w:pPr>
      <w:r>
        <w:rPr>
          <w:rFonts w:ascii="Gill Sans MT" w:hAnsi="Gill Sans MT"/>
          <w:b/>
          <w:sz w:val="20"/>
          <w:lang w:val="en-GB"/>
        </w:rPr>
        <w:t>T</w:t>
      </w:r>
      <w:r w:rsidR="000C7CA7" w:rsidRPr="000F5EC7">
        <w:rPr>
          <w:rFonts w:ascii="Gill Sans MT" w:hAnsi="Gill Sans MT"/>
          <w:b/>
          <w:sz w:val="20"/>
          <w:lang w:val="en-GB"/>
        </w:rPr>
        <w:t>he most serious problem identified was the lack of a strategic, problem-solving orientation</w:t>
      </w:r>
      <w:r>
        <w:rPr>
          <w:rFonts w:ascii="Gill Sans MT" w:hAnsi="Gill Sans MT"/>
          <w:sz w:val="20"/>
          <w:lang w:val="en-GB"/>
        </w:rPr>
        <w:t>. In Mozambique, Tanzania and Zambia, dialogue had</w:t>
      </w:r>
      <w:r w:rsidR="000C7CA7" w:rsidRPr="000F5EC7">
        <w:rPr>
          <w:rFonts w:ascii="Gill Sans MT" w:hAnsi="Gill Sans MT"/>
          <w:sz w:val="20"/>
          <w:lang w:val="en-GB"/>
        </w:rPr>
        <w:t xml:space="preserve"> been focused rather narrowly on the definition and subsequent monitoring of the indicators in the PAF, without a more extensive discussion </w:t>
      </w:r>
      <w:r w:rsidR="000F5EC7" w:rsidRPr="000F5EC7">
        <w:rPr>
          <w:rFonts w:ascii="Gill Sans MT" w:hAnsi="Gill Sans MT"/>
          <w:sz w:val="20"/>
          <w:lang w:val="en-GB"/>
        </w:rPr>
        <w:t>of the reasons for progress or lack of progress and with no apparent analysis of policy options. For example</w:t>
      </w:r>
      <w:r>
        <w:rPr>
          <w:rFonts w:ascii="Gill Sans MT" w:hAnsi="Gill Sans MT"/>
          <w:sz w:val="20"/>
          <w:lang w:val="en-GB"/>
        </w:rPr>
        <w:t>, the Tanzania evaluation pointed</w:t>
      </w:r>
      <w:r w:rsidR="000F5EC7" w:rsidRPr="000F5EC7">
        <w:rPr>
          <w:rFonts w:ascii="Gill Sans MT" w:hAnsi="Gill Sans MT"/>
          <w:sz w:val="20"/>
          <w:lang w:val="en-GB"/>
        </w:rPr>
        <w:t xml:space="preserve"> to ‘</w:t>
      </w:r>
      <w:r w:rsidR="000F5EC7" w:rsidRPr="000F5EC7">
        <w:rPr>
          <w:rFonts w:ascii="Gill Sans MT" w:hAnsi="Gill Sans MT"/>
          <w:i/>
          <w:sz w:val="20"/>
          <w:lang w:val="en-GB"/>
        </w:rPr>
        <w:t>the notable scarcity of documentation on policy ideas, case studies or international examples presented by members of the Budget Support Group</w:t>
      </w:r>
      <w:r w:rsidR="000F5EC7" w:rsidRPr="000F5EC7">
        <w:rPr>
          <w:rFonts w:ascii="Gill Sans MT" w:hAnsi="Gill Sans MT"/>
          <w:sz w:val="20"/>
          <w:lang w:val="en-GB"/>
        </w:rPr>
        <w:t>’ (ITAD, 2013; p.36).</w:t>
      </w:r>
    </w:p>
    <w:p w14:paraId="4F88BC28" w14:textId="77777777" w:rsidR="000A4AA1" w:rsidRDefault="00F33DFB" w:rsidP="00A952D1">
      <w:pPr>
        <w:pStyle w:val="BodyText"/>
        <w:numPr>
          <w:ilvl w:val="0"/>
          <w:numId w:val="2"/>
        </w:numPr>
        <w:spacing w:line="360" w:lineRule="auto"/>
        <w:ind w:left="499" w:hanging="357"/>
        <w:rPr>
          <w:rFonts w:ascii="Gill Sans MT" w:hAnsi="Gill Sans MT"/>
          <w:sz w:val="20"/>
          <w:lang w:val="en-GB"/>
        </w:rPr>
      </w:pPr>
      <w:r w:rsidRPr="00F33DFB">
        <w:rPr>
          <w:rFonts w:ascii="Gill Sans MT" w:hAnsi="Gill Sans MT"/>
          <w:b/>
          <w:sz w:val="20"/>
          <w:lang w:val="en-GB"/>
        </w:rPr>
        <w:t>A</w:t>
      </w:r>
      <w:r w:rsidR="00FD009F" w:rsidRPr="00F33DFB">
        <w:rPr>
          <w:rFonts w:ascii="Gill Sans MT" w:hAnsi="Gill Sans MT"/>
          <w:b/>
          <w:sz w:val="20"/>
          <w:lang w:val="en-GB"/>
        </w:rPr>
        <w:t xml:space="preserve">t the heart of the problem lay a lack of appreciation on the Donors’ side of the need for the policy dialogue to be owned and led by Government. </w:t>
      </w:r>
      <w:r w:rsidR="00FD009F" w:rsidRPr="00A952D1">
        <w:rPr>
          <w:rFonts w:ascii="Gill Sans MT" w:hAnsi="Gill Sans MT"/>
          <w:sz w:val="20"/>
          <w:lang w:val="en-GB"/>
        </w:rPr>
        <w:t xml:space="preserve">Initial dissatisfaction on the part of Donors with the pace of progress of reforms and with the quality of </w:t>
      </w:r>
      <w:r w:rsidR="00A952D1">
        <w:rPr>
          <w:rFonts w:ascii="Gill Sans MT" w:hAnsi="Gill Sans MT"/>
          <w:sz w:val="20"/>
          <w:lang w:val="en-GB"/>
        </w:rPr>
        <w:t xml:space="preserve">governance led to a desire to ‘raise the bar’ for disbursement by demanding the inclusion of additional and more ambitious targets in the PAF. As the PAF became bigger and, with it the scope of dialogue, this began to expose capacity deficiencies on both sides: the Governments clearly had </w:t>
      </w:r>
      <w:r w:rsidR="00A952D1">
        <w:rPr>
          <w:rFonts w:ascii="Gill Sans MT" w:hAnsi="Gill Sans MT"/>
          <w:sz w:val="20"/>
          <w:lang w:val="en-GB"/>
        </w:rPr>
        <w:lastRenderedPageBreak/>
        <w:t>limitations in their administrative and technical capacity to design and manage reforms, which made it impossible to address reform requirements across a dozen or more sectors or thematic areas simultaneously. Donors also had limitations in their ability to draw on technical expertise to support the dialogue process. Beyond the r</w:t>
      </w:r>
      <w:r>
        <w:rPr>
          <w:rFonts w:ascii="Gill Sans MT" w:hAnsi="Gill Sans MT"/>
          <w:sz w:val="20"/>
          <w:lang w:val="en-GB"/>
        </w:rPr>
        <w:t>equirements for selected areas</w:t>
      </w:r>
      <w:r w:rsidR="00A952D1">
        <w:rPr>
          <w:rFonts w:ascii="Gill Sans MT" w:hAnsi="Gill Sans MT"/>
          <w:sz w:val="20"/>
          <w:lang w:val="en-GB"/>
        </w:rPr>
        <w:t xml:space="preserve"> </w:t>
      </w:r>
      <w:r>
        <w:rPr>
          <w:rFonts w:ascii="Gill Sans MT" w:hAnsi="Gill Sans MT"/>
          <w:sz w:val="20"/>
          <w:lang w:val="en-GB"/>
        </w:rPr>
        <w:t>such as PFM, the oversight institutions and the social sectors, it proved difficult to address these gaps with technical assistance and capacity building –</w:t>
      </w:r>
      <w:r w:rsidR="000A4AA1">
        <w:rPr>
          <w:rFonts w:ascii="Gill Sans MT" w:hAnsi="Gill Sans MT"/>
          <w:sz w:val="20"/>
          <w:lang w:val="en-GB"/>
        </w:rPr>
        <w:t xml:space="preserve"> in part, because of the procedural complexities of procuring good technical assistance, in part, because the potential needs were not well identified and discussed between the parties in the first place. </w:t>
      </w:r>
    </w:p>
    <w:p w14:paraId="4BA71FA6" w14:textId="77777777" w:rsidR="00FD009F" w:rsidRDefault="00F33DFB" w:rsidP="00A952D1">
      <w:pPr>
        <w:pStyle w:val="BodyText"/>
        <w:numPr>
          <w:ilvl w:val="0"/>
          <w:numId w:val="2"/>
        </w:numPr>
        <w:spacing w:line="360" w:lineRule="auto"/>
        <w:ind w:left="499" w:hanging="357"/>
        <w:rPr>
          <w:rFonts w:ascii="Gill Sans MT" w:hAnsi="Gill Sans MT"/>
          <w:sz w:val="20"/>
          <w:lang w:val="en-GB"/>
        </w:rPr>
      </w:pPr>
      <w:r w:rsidRPr="004E3C4F">
        <w:rPr>
          <w:rFonts w:ascii="Gill Sans MT" w:hAnsi="Gill Sans MT"/>
          <w:b/>
          <w:sz w:val="20"/>
          <w:lang w:val="en-GB"/>
        </w:rPr>
        <w:t>Finally, it should be said that</w:t>
      </w:r>
      <w:r w:rsidR="004A6B26" w:rsidRPr="004E3C4F">
        <w:rPr>
          <w:rFonts w:ascii="Gill Sans MT" w:hAnsi="Gill Sans MT"/>
          <w:b/>
          <w:sz w:val="20"/>
          <w:lang w:val="en-GB"/>
        </w:rPr>
        <w:t xml:space="preserve"> the concept of budget support dialogue</w:t>
      </w:r>
      <w:r w:rsidR="004E3C4F" w:rsidRPr="004E3C4F">
        <w:rPr>
          <w:rFonts w:ascii="Gill Sans MT" w:hAnsi="Gill Sans MT"/>
          <w:b/>
          <w:sz w:val="20"/>
          <w:lang w:val="en-GB"/>
        </w:rPr>
        <w:t xml:space="preserve"> as a shared process of problem </w:t>
      </w:r>
      <w:r w:rsidR="004A6B26" w:rsidRPr="004E3C4F">
        <w:rPr>
          <w:rFonts w:ascii="Gill Sans MT" w:hAnsi="Gill Sans MT"/>
          <w:b/>
          <w:sz w:val="20"/>
          <w:lang w:val="en-GB"/>
        </w:rPr>
        <w:t>solving was not one that had been internalised by the majority of the providers at the outset of these operations</w:t>
      </w:r>
      <w:r w:rsidR="004A6B26">
        <w:rPr>
          <w:rFonts w:ascii="Gill Sans MT" w:hAnsi="Gill Sans MT"/>
          <w:sz w:val="20"/>
          <w:lang w:val="en-GB"/>
        </w:rPr>
        <w:t xml:space="preserve">. If it had, one would have expected to see a process more deliberately structured with this in mind, with the capacity requirements foreseen from the outset and with space (and resources) for research and evaluation work to feed the dialogue. These elements were not in place in any of the four cases. Moreover, as underlying tensions became more severe in Mozambique, Tanzania and Zambia, the ‘auditing function’ of the budget support dialogue </w:t>
      </w:r>
      <w:r w:rsidR="00F52EE7">
        <w:rPr>
          <w:rFonts w:ascii="Gill Sans MT" w:hAnsi="Gill Sans MT"/>
          <w:sz w:val="20"/>
          <w:lang w:val="en-GB"/>
        </w:rPr>
        <w:t>increasingly squeezed out the space for a more constructive problem-solving dialogue.</w:t>
      </w:r>
    </w:p>
    <w:p w14:paraId="65760A54" w14:textId="77777777" w:rsidR="004E3C4F" w:rsidRDefault="004E3C4F" w:rsidP="00A952D1">
      <w:pPr>
        <w:pStyle w:val="BodyText"/>
        <w:numPr>
          <w:ilvl w:val="0"/>
          <w:numId w:val="2"/>
        </w:numPr>
        <w:spacing w:line="360" w:lineRule="auto"/>
        <w:ind w:left="499" w:hanging="357"/>
        <w:rPr>
          <w:rFonts w:ascii="Gill Sans MT" w:hAnsi="Gill Sans MT"/>
          <w:sz w:val="20"/>
          <w:lang w:val="en-GB"/>
        </w:rPr>
      </w:pPr>
      <w:r>
        <w:rPr>
          <w:rFonts w:ascii="Gill Sans MT" w:hAnsi="Gill Sans MT"/>
          <w:b/>
          <w:sz w:val="20"/>
          <w:lang w:val="en-GB"/>
        </w:rPr>
        <w:t>Mali did not suffer to the same extent from these weaknesses in the dialogue framework, and it is worth considering why</w:t>
      </w:r>
      <w:r w:rsidRPr="004E3C4F">
        <w:rPr>
          <w:rFonts w:ascii="Gill Sans MT" w:hAnsi="Gill Sans MT"/>
          <w:sz w:val="20"/>
          <w:lang w:val="en-GB"/>
        </w:rPr>
        <w:t>.</w:t>
      </w:r>
      <w:r>
        <w:rPr>
          <w:rFonts w:ascii="Gill Sans MT" w:hAnsi="Gill Sans MT"/>
          <w:sz w:val="20"/>
          <w:lang w:val="en-GB"/>
        </w:rPr>
        <w:t xml:space="preserve"> Issues did arise in Mali with indicators being “forced” into the PAF and into the variable tranche frameworks by the budget support providers. This was especially the case with the indicators for decentralisation, public sector reform and establ</w:t>
      </w:r>
      <w:r w:rsidR="008531EC">
        <w:rPr>
          <w:rFonts w:ascii="Gill Sans MT" w:hAnsi="Gill Sans MT"/>
          <w:sz w:val="20"/>
          <w:lang w:val="en-GB"/>
        </w:rPr>
        <w:t xml:space="preserve">ishment of the independent </w:t>
      </w:r>
      <w:proofErr w:type="spellStart"/>
      <w:r w:rsidR="008531EC" w:rsidRPr="008C51D1">
        <w:rPr>
          <w:rFonts w:ascii="Gill Sans MT" w:hAnsi="Gill Sans MT"/>
          <w:i/>
          <w:sz w:val="20"/>
          <w:lang w:val="en-GB"/>
        </w:rPr>
        <w:t>Cour</w:t>
      </w:r>
      <w:proofErr w:type="spellEnd"/>
      <w:r w:rsidR="008531EC" w:rsidRPr="008C51D1">
        <w:rPr>
          <w:rFonts w:ascii="Gill Sans MT" w:hAnsi="Gill Sans MT"/>
          <w:i/>
          <w:sz w:val="20"/>
          <w:lang w:val="en-GB"/>
        </w:rPr>
        <w:t xml:space="preserve"> des </w:t>
      </w:r>
      <w:proofErr w:type="spellStart"/>
      <w:r w:rsidR="008531EC" w:rsidRPr="008C51D1">
        <w:rPr>
          <w:rFonts w:ascii="Gill Sans MT" w:hAnsi="Gill Sans MT"/>
          <w:i/>
          <w:sz w:val="20"/>
          <w:lang w:val="en-GB"/>
        </w:rPr>
        <w:t>Comptes</w:t>
      </w:r>
      <w:proofErr w:type="spellEnd"/>
      <w:r w:rsidR="008531EC">
        <w:rPr>
          <w:rFonts w:ascii="Gill Sans MT" w:hAnsi="Gill Sans MT"/>
          <w:sz w:val="20"/>
          <w:lang w:val="en-GB"/>
        </w:rPr>
        <w:t>, the majority of which were not fulfilled. This created s</w:t>
      </w:r>
      <w:r w:rsidR="00381F08">
        <w:rPr>
          <w:rFonts w:ascii="Gill Sans MT" w:hAnsi="Gill Sans MT"/>
          <w:sz w:val="20"/>
          <w:lang w:val="en-GB"/>
        </w:rPr>
        <w:t xml:space="preserve">ome frustration </w:t>
      </w:r>
      <w:r w:rsidR="008531EC">
        <w:rPr>
          <w:rFonts w:ascii="Gill Sans MT" w:hAnsi="Gill Sans MT"/>
          <w:sz w:val="20"/>
          <w:lang w:val="en-GB"/>
        </w:rPr>
        <w:t xml:space="preserve">but, significantly, it did not lead to any </w:t>
      </w:r>
      <w:r w:rsidR="00381F08">
        <w:rPr>
          <w:rFonts w:ascii="Gill Sans MT" w:hAnsi="Gill Sans MT"/>
          <w:sz w:val="20"/>
          <w:lang w:val="en-GB"/>
        </w:rPr>
        <w:t>lasting tensions</w:t>
      </w:r>
      <w:r w:rsidR="00DB2EF5">
        <w:rPr>
          <w:rFonts w:ascii="Gill Sans MT" w:hAnsi="Gill Sans MT"/>
          <w:sz w:val="20"/>
          <w:lang w:val="en-GB"/>
        </w:rPr>
        <w:t>.</w:t>
      </w:r>
      <w:r w:rsidR="00381F08">
        <w:rPr>
          <w:rFonts w:ascii="Gill Sans MT" w:hAnsi="Gill Sans MT"/>
          <w:sz w:val="20"/>
          <w:lang w:val="en-GB"/>
        </w:rPr>
        <w:t xml:space="preserve"> Positive dialogue continued i</w:t>
      </w:r>
      <w:r w:rsidR="00B23424">
        <w:rPr>
          <w:rFonts w:ascii="Gill Sans MT" w:hAnsi="Gill Sans MT"/>
          <w:sz w:val="20"/>
          <w:lang w:val="en-GB"/>
        </w:rPr>
        <w:t>n education and health</w:t>
      </w:r>
      <w:r w:rsidR="00DB2EF5">
        <w:rPr>
          <w:rFonts w:ascii="Gill Sans MT" w:hAnsi="Gill Sans MT"/>
          <w:sz w:val="20"/>
          <w:lang w:val="en-GB"/>
        </w:rPr>
        <w:t>, as well as on PFM and macroeconomic issues</w:t>
      </w:r>
      <w:r w:rsidR="00B23424">
        <w:rPr>
          <w:rFonts w:ascii="Gill Sans MT" w:hAnsi="Gill Sans MT"/>
          <w:sz w:val="20"/>
          <w:lang w:val="en-GB"/>
        </w:rPr>
        <w:t>,</w:t>
      </w:r>
      <w:r w:rsidR="009F04A9">
        <w:rPr>
          <w:rFonts w:ascii="Gill Sans MT" w:hAnsi="Gill Sans MT"/>
          <w:sz w:val="20"/>
          <w:lang w:val="en-GB"/>
        </w:rPr>
        <w:t xml:space="preserve"> and significant</w:t>
      </w:r>
      <w:r w:rsidR="00381F08">
        <w:rPr>
          <w:rFonts w:ascii="Gill Sans MT" w:hAnsi="Gill Sans MT"/>
          <w:sz w:val="20"/>
          <w:lang w:val="en-GB"/>
        </w:rPr>
        <w:t xml:space="preserve"> results were generated</w:t>
      </w:r>
      <w:r w:rsidR="00DB2EF5">
        <w:rPr>
          <w:rFonts w:ascii="Gill Sans MT" w:hAnsi="Gill Sans MT"/>
          <w:sz w:val="20"/>
          <w:lang w:val="en-GB"/>
        </w:rPr>
        <w:t>.  This was attributed to the technical capacities existing in these areas (on both sides of the relationship) and to the fact that relationships were well established, with a good number of donor staff in place for long periods</w:t>
      </w:r>
      <w:r w:rsidR="00DB2EF5">
        <w:rPr>
          <w:rStyle w:val="FootnoteReference"/>
          <w:rFonts w:ascii="Gill Sans MT" w:hAnsi="Gill Sans MT"/>
          <w:sz w:val="20"/>
          <w:lang w:val="en-GB"/>
        </w:rPr>
        <w:footnoteReference w:id="25"/>
      </w:r>
      <w:r w:rsidR="00DB2EF5">
        <w:rPr>
          <w:rFonts w:ascii="Gill Sans MT" w:hAnsi="Gill Sans MT"/>
          <w:sz w:val="20"/>
          <w:lang w:val="en-GB"/>
        </w:rPr>
        <w:t xml:space="preserve">. </w:t>
      </w:r>
    </w:p>
    <w:p w14:paraId="7C772F59" w14:textId="77777777" w:rsidR="00DB2EF5" w:rsidRPr="00A952D1" w:rsidRDefault="00DB2EF5" w:rsidP="00A952D1">
      <w:pPr>
        <w:pStyle w:val="BodyText"/>
        <w:numPr>
          <w:ilvl w:val="0"/>
          <w:numId w:val="2"/>
        </w:numPr>
        <w:spacing w:line="360" w:lineRule="auto"/>
        <w:ind w:left="499" w:hanging="357"/>
        <w:rPr>
          <w:rFonts w:ascii="Gill Sans MT" w:hAnsi="Gill Sans MT"/>
          <w:sz w:val="20"/>
          <w:lang w:val="en-GB"/>
        </w:rPr>
      </w:pPr>
      <w:r>
        <w:rPr>
          <w:rFonts w:ascii="Gill Sans MT" w:hAnsi="Gill Sans MT"/>
          <w:b/>
          <w:sz w:val="20"/>
          <w:lang w:val="en-GB"/>
        </w:rPr>
        <w:t xml:space="preserve">It is also worth highlighting the success of the policy dialogue related to Mozambique’s entry into the </w:t>
      </w:r>
      <w:r w:rsidR="000406F0">
        <w:rPr>
          <w:rFonts w:ascii="Gill Sans MT" w:hAnsi="Gill Sans MT"/>
          <w:b/>
          <w:sz w:val="20"/>
          <w:lang w:val="en-GB"/>
        </w:rPr>
        <w:t>Extractive Industries Transparency Initiative (</w:t>
      </w:r>
      <w:r>
        <w:rPr>
          <w:rFonts w:ascii="Gill Sans MT" w:hAnsi="Gill Sans MT"/>
          <w:b/>
          <w:sz w:val="20"/>
          <w:lang w:val="en-GB"/>
        </w:rPr>
        <w:t>EITI</w:t>
      </w:r>
      <w:r w:rsidR="000406F0">
        <w:rPr>
          <w:rFonts w:ascii="Gill Sans MT" w:hAnsi="Gill Sans MT"/>
          <w:b/>
          <w:sz w:val="20"/>
          <w:lang w:val="en-GB"/>
        </w:rPr>
        <w:t>)</w:t>
      </w:r>
      <w:r w:rsidR="00B23424">
        <w:rPr>
          <w:rFonts w:ascii="Gill Sans MT" w:hAnsi="Gill Sans MT"/>
          <w:b/>
          <w:sz w:val="20"/>
          <w:lang w:val="en-GB"/>
        </w:rPr>
        <w:t>,</w:t>
      </w:r>
      <w:r w:rsidR="00381F08">
        <w:rPr>
          <w:rFonts w:ascii="Gill Sans MT" w:hAnsi="Gill Sans MT"/>
          <w:b/>
          <w:sz w:val="20"/>
          <w:lang w:val="en-GB"/>
        </w:rPr>
        <w:t xml:space="preserve"> where a </w:t>
      </w:r>
      <w:r w:rsidR="000406F0">
        <w:rPr>
          <w:rFonts w:ascii="Gill Sans MT" w:hAnsi="Gill Sans MT"/>
          <w:b/>
          <w:sz w:val="20"/>
          <w:lang w:val="en-GB"/>
        </w:rPr>
        <w:t>different approach was adopted.</w:t>
      </w:r>
      <w:r>
        <w:rPr>
          <w:rFonts w:ascii="Gill Sans MT" w:hAnsi="Gill Sans MT"/>
          <w:b/>
          <w:sz w:val="20"/>
          <w:lang w:val="en-GB"/>
        </w:rPr>
        <w:t xml:space="preserve"> </w:t>
      </w:r>
      <w:r w:rsidR="000406F0" w:rsidRPr="000406F0">
        <w:rPr>
          <w:rFonts w:ascii="Gill Sans MT" w:hAnsi="Gill Sans MT"/>
          <w:i/>
          <w:sz w:val="20"/>
          <w:lang w:val="en-GB"/>
        </w:rPr>
        <w:t>‘At one level, the way in which this was done was quite “traditional” – a PAF indicator on progress to EITI compliance was developed and</w:t>
      </w:r>
      <w:r w:rsidR="000406F0">
        <w:rPr>
          <w:rFonts w:ascii="Gill Sans MT" w:hAnsi="Gill Sans MT"/>
          <w:i/>
          <w:sz w:val="20"/>
          <w:lang w:val="en-GB"/>
        </w:rPr>
        <w:t xml:space="preserve"> indicators on</w:t>
      </w:r>
      <w:r w:rsidR="000406F0" w:rsidRPr="000406F0">
        <w:rPr>
          <w:rFonts w:ascii="Gill Sans MT" w:hAnsi="Gill Sans MT"/>
          <w:i/>
          <w:sz w:val="20"/>
          <w:lang w:val="en-GB"/>
        </w:rPr>
        <w:t xml:space="preserve"> transparency of the fiscal arrangements for natural resources were included in the variable tranches. But much wider efforts were made to promote debate and thinking on the optimum design of arrangements.  Various papers on the future management of natural resource revenues were presented and discussed at the Nordic- Mozambique conference on inclusive growth of May 2012, study tours </w:t>
      </w:r>
      <w:r w:rsidR="000406F0" w:rsidRPr="000406F0">
        <w:rPr>
          <w:rFonts w:ascii="Gill Sans MT" w:hAnsi="Gill Sans MT"/>
          <w:i/>
          <w:sz w:val="20"/>
          <w:lang w:val="en-GB"/>
        </w:rPr>
        <w:lastRenderedPageBreak/>
        <w:t>were organised to examine the experience of other countries and substantial advisory support was provided by the IMF and by Norway.‘</w:t>
      </w:r>
      <w:r w:rsidR="000406F0">
        <w:rPr>
          <w:rFonts w:ascii="Gill Sans MT" w:hAnsi="Gill Sans MT"/>
          <w:sz w:val="20"/>
          <w:lang w:val="en-GB"/>
        </w:rPr>
        <w:t xml:space="preserve"> (ITAD, 2014; p. 77.) </w:t>
      </w:r>
      <w:r>
        <w:rPr>
          <w:rFonts w:ascii="Gill Sans MT" w:hAnsi="Gill Sans MT"/>
          <w:b/>
          <w:sz w:val="20"/>
          <w:lang w:val="en-GB"/>
        </w:rPr>
        <w:t xml:space="preserve"> </w:t>
      </w:r>
    </w:p>
    <w:p w14:paraId="03606CAF" w14:textId="77777777" w:rsidR="003742AF" w:rsidRDefault="002A73F8" w:rsidP="003742AF">
      <w:pPr>
        <w:pStyle w:val="Heading3"/>
      </w:pPr>
      <w:r>
        <w:t xml:space="preserve">(ii) </w:t>
      </w:r>
      <w:r w:rsidR="003742AF">
        <w:t xml:space="preserve">Implementation frameworks: d) the “underlying principles” </w:t>
      </w:r>
    </w:p>
    <w:p w14:paraId="25363916" w14:textId="77777777" w:rsidR="00AE596B" w:rsidRPr="00AE596B" w:rsidRDefault="00381F08" w:rsidP="00AE596B">
      <w:pPr>
        <w:pStyle w:val="BodyText"/>
        <w:numPr>
          <w:ilvl w:val="0"/>
          <w:numId w:val="2"/>
        </w:numPr>
        <w:tabs>
          <w:tab w:val="clear" w:pos="502"/>
        </w:tabs>
        <w:spacing w:line="360" w:lineRule="auto"/>
        <w:ind w:left="499" w:hanging="357"/>
        <w:rPr>
          <w:rFonts w:ascii="Gill Sans MT" w:hAnsi="Gill Sans MT"/>
          <w:sz w:val="20"/>
          <w:lang w:val="en-GB"/>
        </w:rPr>
      </w:pPr>
      <w:r>
        <w:rPr>
          <w:rFonts w:ascii="Gill Sans MT" w:hAnsi="Gill Sans MT"/>
          <w:sz w:val="20"/>
          <w:lang w:val="en-GB"/>
        </w:rPr>
        <w:t>T</w:t>
      </w:r>
      <w:r w:rsidR="002E0C2E">
        <w:rPr>
          <w:rFonts w:ascii="Gill Sans MT" w:hAnsi="Gill Sans MT"/>
          <w:sz w:val="20"/>
          <w:lang w:val="en-GB"/>
        </w:rPr>
        <w:t xml:space="preserve">he four budget support arrangements include </w:t>
      </w:r>
      <w:r w:rsidR="002F6D13">
        <w:rPr>
          <w:rFonts w:ascii="Gill Sans MT" w:hAnsi="Gill Sans MT"/>
          <w:sz w:val="20"/>
          <w:lang w:val="en-GB"/>
        </w:rPr>
        <w:t xml:space="preserve">clauses </w:t>
      </w:r>
      <w:r w:rsidR="002E0C2E">
        <w:rPr>
          <w:rFonts w:ascii="Gill Sans MT" w:hAnsi="Gill Sans MT"/>
          <w:sz w:val="20"/>
          <w:lang w:val="en-GB"/>
        </w:rPr>
        <w:t>in</w:t>
      </w:r>
      <w:r>
        <w:rPr>
          <w:rFonts w:ascii="Gill Sans MT" w:hAnsi="Gill Sans MT"/>
          <w:sz w:val="20"/>
          <w:lang w:val="en-GB"/>
        </w:rPr>
        <w:t xml:space="preserve"> their </w:t>
      </w:r>
      <w:r w:rsidR="002F6D13">
        <w:rPr>
          <w:rFonts w:ascii="Gill Sans MT" w:hAnsi="Gill Sans MT"/>
          <w:sz w:val="20"/>
          <w:lang w:val="en-GB"/>
        </w:rPr>
        <w:t>MoUs</w:t>
      </w:r>
      <w:r>
        <w:rPr>
          <w:rFonts w:ascii="Gill Sans MT" w:hAnsi="Gill Sans MT"/>
          <w:sz w:val="20"/>
          <w:lang w:val="en-GB"/>
        </w:rPr>
        <w:t xml:space="preserve"> identifying </w:t>
      </w:r>
      <w:r w:rsidR="002E0C2E">
        <w:rPr>
          <w:rFonts w:ascii="Gill Sans MT" w:hAnsi="Gill Sans MT"/>
          <w:sz w:val="20"/>
          <w:lang w:val="en-GB"/>
        </w:rPr>
        <w:t xml:space="preserve">a set of underlying principles ‘critical to the continuation of the budget support partnership’. </w:t>
      </w:r>
      <w:r w:rsidR="00AE596B">
        <w:rPr>
          <w:rFonts w:ascii="Gill Sans MT" w:hAnsi="Gill Sans MT"/>
          <w:sz w:val="20"/>
          <w:lang w:val="en-GB"/>
        </w:rPr>
        <w:t>These are defined in quite a general wa</w:t>
      </w:r>
      <w:r>
        <w:rPr>
          <w:rFonts w:ascii="Gill Sans MT" w:hAnsi="Gill Sans MT"/>
          <w:sz w:val="20"/>
          <w:lang w:val="en-GB"/>
        </w:rPr>
        <w:t>y, of which the text in the Tanzania MoU is a good example</w:t>
      </w:r>
      <w:r w:rsidR="00AE596B" w:rsidRPr="00AE596B">
        <w:rPr>
          <w:rFonts w:ascii="Gill Sans MT" w:hAnsi="Gill Sans MT"/>
          <w:sz w:val="20"/>
          <w:lang w:val="en-GB"/>
        </w:rPr>
        <w:t>:</w:t>
      </w:r>
    </w:p>
    <w:p w14:paraId="2C38CDB8" w14:textId="77777777" w:rsidR="00AE596B" w:rsidRPr="0043379A" w:rsidRDefault="00AE596B" w:rsidP="00D81DB3">
      <w:pPr>
        <w:pStyle w:val="BodyText"/>
        <w:widowControl w:val="0"/>
        <w:numPr>
          <w:ilvl w:val="0"/>
          <w:numId w:val="16"/>
        </w:numPr>
        <w:adjustRightInd w:val="0"/>
        <w:spacing w:line="360" w:lineRule="auto"/>
        <w:textAlignment w:val="baseline"/>
        <w:rPr>
          <w:rFonts w:ascii="Gill Sans MT" w:hAnsi="Gill Sans MT"/>
          <w:sz w:val="20"/>
          <w:lang w:val="en-GB"/>
        </w:rPr>
      </w:pPr>
      <w:r w:rsidRPr="0043379A">
        <w:rPr>
          <w:rFonts w:ascii="Gill Sans MT" w:hAnsi="Gill Sans MT"/>
          <w:sz w:val="20"/>
          <w:lang w:val="en-GB"/>
        </w:rPr>
        <w:t>Sound macroeconomic management;</w:t>
      </w:r>
    </w:p>
    <w:p w14:paraId="1A38E5AF" w14:textId="77777777" w:rsidR="00AE596B" w:rsidRPr="0043379A" w:rsidRDefault="00AE596B" w:rsidP="00D81DB3">
      <w:pPr>
        <w:pStyle w:val="BodyText"/>
        <w:widowControl w:val="0"/>
        <w:numPr>
          <w:ilvl w:val="0"/>
          <w:numId w:val="16"/>
        </w:numPr>
        <w:adjustRightInd w:val="0"/>
        <w:spacing w:line="360" w:lineRule="auto"/>
        <w:textAlignment w:val="baseline"/>
        <w:rPr>
          <w:rFonts w:ascii="Gill Sans MT" w:hAnsi="Gill Sans MT"/>
          <w:sz w:val="20"/>
          <w:lang w:val="en-GB"/>
        </w:rPr>
      </w:pPr>
      <w:r w:rsidRPr="0043379A">
        <w:rPr>
          <w:rFonts w:ascii="Gill Sans MT" w:hAnsi="Gill Sans MT"/>
          <w:sz w:val="20"/>
          <w:lang w:val="en-GB"/>
        </w:rPr>
        <w:t xml:space="preserve">Commitment to achieving the </w:t>
      </w:r>
      <w:r>
        <w:rPr>
          <w:rFonts w:ascii="Gill Sans MT" w:hAnsi="Gill Sans MT"/>
          <w:sz w:val="20"/>
          <w:lang w:val="en-GB"/>
        </w:rPr>
        <w:t>MKUKUTA</w:t>
      </w:r>
      <w:r w:rsidR="002F6D13">
        <w:rPr>
          <w:rFonts w:ascii="Gill Sans MT" w:hAnsi="Gill Sans MT"/>
          <w:sz w:val="20"/>
          <w:lang w:val="en-GB"/>
        </w:rPr>
        <w:t xml:space="preserve"> (poverty reduction strategy)</w:t>
      </w:r>
      <w:r w:rsidRPr="0043379A">
        <w:rPr>
          <w:rFonts w:ascii="Gill Sans MT" w:hAnsi="Gill Sans MT"/>
          <w:sz w:val="20"/>
          <w:lang w:val="en-GB"/>
        </w:rPr>
        <w:t xml:space="preserve"> objectives and the MDGs;</w:t>
      </w:r>
    </w:p>
    <w:p w14:paraId="13D03C40" w14:textId="77777777" w:rsidR="00AE596B" w:rsidRPr="0043379A" w:rsidRDefault="00AE596B" w:rsidP="00D81DB3">
      <w:pPr>
        <w:pStyle w:val="BodyText"/>
        <w:widowControl w:val="0"/>
        <w:numPr>
          <w:ilvl w:val="0"/>
          <w:numId w:val="16"/>
        </w:numPr>
        <w:adjustRightInd w:val="0"/>
        <w:spacing w:line="360" w:lineRule="auto"/>
        <w:textAlignment w:val="baseline"/>
        <w:rPr>
          <w:rFonts w:ascii="Gill Sans MT" w:hAnsi="Gill Sans MT"/>
          <w:sz w:val="20"/>
          <w:lang w:val="en-GB"/>
        </w:rPr>
      </w:pPr>
      <w:r w:rsidRPr="0043379A">
        <w:rPr>
          <w:rFonts w:ascii="Gill Sans MT" w:hAnsi="Gill Sans MT"/>
          <w:sz w:val="20"/>
          <w:lang w:val="en-GB"/>
        </w:rPr>
        <w:t>Sound budgeting and PFM systems;</w:t>
      </w:r>
    </w:p>
    <w:p w14:paraId="36A41647" w14:textId="77777777" w:rsidR="00AE596B" w:rsidRPr="0043379A" w:rsidRDefault="00AE596B" w:rsidP="00D81DB3">
      <w:pPr>
        <w:pStyle w:val="BodyText"/>
        <w:widowControl w:val="0"/>
        <w:numPr>
          <w:ilvl w:val="0"/>
          <w:numId w:val="16"/>
        </w:numPr>
        <w:adjustRightInd w:val="0"/>
        <w:spacing w:line="360" w:lineRule="auto"/>
        <w:textAlignment w:val="baseline"/>
        <w:rPr>
          <w:rFonts w:ascii="Gill Sans MT" w:hAnsi="Gill Sans MT"/>
          <w:sz w:val="20"/>
          <w:lang w:val="en-GB"/>
        </w:rPr>
      </w:pPr>
      <w:r w:rsidRPr="0043379A">
        <w:rPr>
          <w:rFonts w:ascii="Gill Sans MT" w:hAnsi="Gill Sans MT"/>
          <w:sz w:val="20"/>
          <w:lang w:val="en-GB"/>
        </w:rPr>
        <w:t>Continuing peace and respect for human rights, the rule of law, democratic principles and the independence of the judiciary.</w:t>
      </w:r>
    </w:p>
    <w:p w14:paraId="4FF77004" w14:textId="77777777" w:rsidR="00AE596B" w:rsidRPr="0043379A" w:rsidRDefault="00AE596B" w:rsidP="00D81DB3">
      <w:pPr>
        <w:pStyle w:val="BodyText"/>
        <w:widowControl w:val="0"/>
        <w:numPr>
          <w:ilvl w:val="0"/>
          <w:numId w:val="16"/>
        </w:numPr>
        <w:adjustRightInd w:val="0"/>
        <w:spacing w:line="360" w:lineRule="auto"/>
        <w:textAlignment w:val="baseline"/>
        <w:rPr>
          <w:rFonts w:ascii="Gill Sans MT" w:hAnsi="Gill Sans MT"/>
          <w:sz w:val="20"/>
          <w:lang w:val="en-GB"/>
        </w:rPr>
      </w:pPr>
      <w:r w:rsidRPr="0043379A">
        <w:rPr>
          <w:rFonts w:ascii="Gill Sans MT" w:hAnsi="Gill Sans MT"/>
          <w:sz w:val="20"/>
          <w:lang w:val="en-GB"/>
        </w:rPr>
        <w:t>Good governance, accountability of the government to its citizens and integrity of public life, including the active fight against corruption.</w:t>
      </w:r>
    </w:p>
    <w:p w14:paraId="62913B91" w14:textId="77777777" w:rsidR="005A79DD" w:rsidRDefault="00AF3C8B" w:rsidP="0088648F">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Beyond the requirement to initiate a ‘high level policy dialogue’ to discuss potential breaches of underlying principles, n</w:t>
      </w:r>
      <w:r w:rsidR="002E0C2E">
        <w:rPr>
          <w:rFonts w:ascii="Gill Sans MT" w:hAnsi="Gill Sans MT"/>
          <w:sz w:val="20"/>
          <w:lang w:val="en-GB"/>
        </w:rPr>
        <w:t>one o</w:t>
      </w:r>
      <w:r w:rsidR="00AE596B">
        <w:rPr>
          <w:rFonts w:ascii="Gill Sans MT" w:hAnsi="Gill Sans MT"/>
          <w:sz w:val="20"/>
          <w:lang w:val="en-GB"/>
        </w:rPr>
        <w:t xml:space="preserve">f the MoUs define a </w:t>
      </w:r>
      <w:r>
        <w:rPr>
          <w:rFonts w:ascii="Gill Sans MT" w:hAnsi="Gill Sans MT"/>
          <w:sz w:val="20"/>
          <w:lang w:val="en-GB"/>
        </w:rPr>
        <w:t xml:space="preserve">clear </w:t>
      </w:r>
      <w:r w:rsidR="00AE596B">
        <w:rPr>
          <w:rFonts w:ascii="Gill Sans MT" w:hAnsi="Gill Sans MT"/>
          <w:sz w:val="20"/>
          <w:lang w:val="en-GB"/>
        </w:rPr>
        <w:t>procedure either for assessing whether the underlying principles are being respected</w:t>
      </w:r>
      <w:r w:rsidR="002E0C2E">
        <w:rPr>
          <w:rFonts w:ascii="Gill Sans MT" w:hAnsi="Gill Sans MT"/>
          <w:sz w:val="20"/>
          <w:lang w:val="en-GB"/>
        </w:rPr>
        <w:t xml:space="preserve"> </w:t>
      </w:r>
      <w:r>
        <w:rPr>
          <w:rFonts w:ascii="Gill Sans MT" w:hAnsi="Gill Sans MT"/>
          <w:sz w:val="20"/>
          <w:lang w:val="en-GB"/>
        </w:rPr>
        <w:t>or for defining the corrective actions to be taken</w:t>
      </w:r>
      <w:r w:rsidR="00AE596B">
        <w:rPr>
          <w:rFonts w:ascii="Gill Sans MT" w:hAnsi="Gill Sans MT"/>
          <w:sz w:val="20"/>
          <w:lang w:val="en-GB"/>
        </w:rPr>
        <w:t>.</w:t>
      </w:r>
      <w:r w:rsidR="004F0745">
        <w:rPr>
          <w:rFonts w:ascii="Gill Sans MT" w:hAnsi="Gill Sans MT"/>
          <w:sz w:val="20"/>
          <w:lang w:val="en-GB"/>
        </w:rPr>
        <w:t xml:space="preserve"> </w:t>
      </w:r>
      <w:r w:rsidR="00D35ED4">
        <w:rPr>
          <w:rFonts w:ascii="Gill Sans MT" w:hAnsi="Gill Sans MT"/>
          <w:sz w:val="20"/>
          <w:lang w:val="en-GB"/>
        </w:rPr>
        <w:t xml:space="preserve">This has been a cause of some concern within the recipient countries, in particular in Mozambique where the government has insisted that in the new MoU for budget support, there should be a tighter definition both of principles and procedures. </w:t>
      </w:r>
    </w:p>
    <w:p w14:paraId="78A71C03" w14:textId="77777777" w:rsidR="008C2DFE" w:rsidRPr="00603A88" w:rsidRDefault="005A79DD" w:rsidP="0088648F">
      <w:pPr>
        <w:pStyle w:val="BodyText"/>
        <w:numPr>
          <w:ilvl w:val="0"/>
          <w:numId w:val="2"/>
        </w:numPr>
        <w:spacing w:line="360" w:lineRule="auto"/>
        <w:ind w:left="499" w:hanging="357"/>
        <w:rPr>
          <w:rFonts w:ascii="Gill Sans MT" w:hAnsi="Gill Sans MT"/>
          <w:sz w:val="20"/>
          <w:lang w:val="en-GB"/>
        </w:rPr>
      </w:pPr>
      <w:r w:rsidRPr="00603A88">
        <w:rPr>
          <w:rFonts w:ascii="Gill Sans MT" w:hAnsi="Gill Sans MT"/>
          <w:sz w:val="20"/>
          <w:lang w:val="en-GB"/>
        </w:rPr>
        <w:t>In Mali, there were no suspensions of disbursements due to underlying principles during the evaluation perio</w:t>
      </w:r>
      <w:r w:rsidR="00785D13">
        <w:rPr>
          <w:rFonts w:ascii="Gill Sans MT" w:hAnsi="Gill Sans MT"/>
          <w:sz w:val="20"/>
          <w:lang w:val="en-GB"/>
        </w:rPr>
        <w:t xml:space="preserve">d. This may perhaps reflect a </w:t>
      </w:r>
      <w:r w:rsidRPr="00603A88">
        <w:rPr>
          <w:rFonts w:ascii="Gill Sans MT" w:hAnsi="Gill Sans MT"/>
          <w:sz w:val="20"/>
          <w:lang w:val="en-GB"/>
        </w:rPr>
        <w:t xml:space="preserve">stronger governance situation in Mali, or perhaps the fact that there was less underlying tension in relations with donors. </w:t>
      </w:r>
    </w:p>
    <w:p w14:paraId="3DEAA656" w14:textId="77777777" w:rsidR="00CA08B0" w:rsidRPr="00603A88" w:rsidRDefault="005A79DD" w:rsidP="00603A88">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The other three countries did experience </w:t>
      </w:r>
      <w:r w:rsidR="008C2DFE">
        <w:rPr>
          <w:rFonts w:ascii="Gill Sans MT" w:hAnsi="Gill Sans MT"/>
          <w:sz w:val="20"/>
          <w:lang w:val="en-GB"/>
        </w:rPr>
        <w:t>suspensions of disbursements, for which we provide the details in Annex Three.</w:t>
      </w:r>
      <w:r w:rsidR="00603A88">
        <w:rPr>
          <w:rFonts w:ascii="Gill Sans MT" w:hAnsi="Gill Sans MT"/>
          <w:sz w:val="20"/>
          <w:lang w:val="en-GB"/>
        </w:rPr>
        <w:t xml:space="preserve"> </w:t>
      </w:r>
      <w:r w:rsidR="0084497D" w:rsidRPr="00603A88">
        <w:rPr>
          <w:rFonts w:ascii="Gill Sans MT" w:hAnsi="Gill Sans MT"/>
          <w:sz w:val="20"/>
          <w:lang w:val="en-GB"/>
        </w:rPr>
        <w:t>The</w:t>
      </w:r>
      <w:r w:rsidR="00BC30AF" w:rsidRPr="00603A88">
        <w:rPr>
          <w:rFonts w:ascii="Gill Sans MT" w:hAnsi="Gill Sans MT"/>
          <w:sz w:val="20"/>
          <w:lang w:val="en-GB"/>
        </w:rPr>
        <w:t xml:space="preserve"> three suspensions in Mozambique were especially controversial</w:t>
      </w:r>
      <w:r w:rsidR="00E706CF" w:rsidRPr="00603A88">
        <w:rPr>
          <w:rFonts w:ascii="Gill Sans MT" w:hAnsi="Gill Sans MT"/>
          <w:sz w:val="20"/>
          <w:lang w:val="en-GB"/>
        </w:rPr>
        <w:t>,</w:t>
      </w:r>
      <w:r w:rsidR="00BC30AF" w:rsidRPr="00603A88">
        <w:rPr>
          <w:rFonts w:ascii="Gill Sans MT" w:hAnsi="Gill Sans MT"/>
          <w:sz w:val="20"/>
          <w:lang w:val="en-GB"/>
        </w:rPr>
        <w:t xml:space="preserve"> with </w:t>
      </w:r>
      <w:r w:rsidR="0084497D" w:rsidRPr="00603A88">
        <w:rPr>
          <w:rFonts w:ascii="Gill Sans MT" w:hAnsi="Gill Sans MT"/>
          <w:sz w:val="20"/>
          <w:lang w:val="en-GB"/>
        </w:rPr>
        <w:t>Government stakeholders maintain</w:t>
      </w:r>
      <w:r w:rsidR="00BC30AF" w:rsidRPr="00603A88">
        <w:rPr>
          <w:rFonts w:ascii="Gill Sans MT" w:hAnsi="Gill Sans MT"/>
          <w:sz w:val="20"/>
          <w:lang w:val="en-GB"/>
        </w:rPr>
        <w:t>ing</w:t>
      </w:r>
      <w:r w:rsidR="0084497D" w:rsidRPr="00603A88">
        <w:rPr>
          <w:rFonts w:ascii="Gill Sans MT" w:hAnsi="Gill Sans MT"/>
          <w:sz w:val="20"/>
          <w:lang w:val="en-GB"/>
        </w:rPr>
        <w:t xml:space="preserve"> that the “pre-emptive” suspension by certain partners was not needed, while several DPs expressed a conviction that corrective actions would not have been ta</w:t>
      </w:r>
      <w:r w:rsidR="00BE6781" w:rsidRPr="00603A88">
        <w:rPr>
          <w:rFonts w:ascii="Gill Sans MT" w:hAnsi="Gill Sans MT"/>
          <w:sz w:val="20"/>
          <w:lang w:val="en-GB"/>
        </w:rPr>
        <w:t xml:space="preserve">ken </w:t>
      </w:r>
      <w:r w:rsidR="0084497D" w:rsidRPr="00603A88">
        <w:rPr>
          <w:rFonts w:ascii="Gill Sans MT" w:hAnsi="Gill Sans MT"/>
          <w:sz w:val="20"/>
          <w:lang w:val="en-GB"/>
        </w:rPr>
        <w:t xml:space="preserve">in the absence of the decision to suspend disbursements. </w:t>
      </w:r>
      <w:r w:rsidR="00CA08B0" w:rsidRPr="00603A88">
        <w:rPr>
          <w:rFonts w:ascii="Gill Sans MT" w:hAnsi="Gill Sans MT"/>
          <w:sz w:val="20"/>
          <w:szCs w:val="12"/>
        </w:rPr>
        <w:t xml:space="preserve">The evaluation expresses the view </w:t>
      </w:r>
      <w:r w:rsidR="0084497D" w:rsidRPr="00603A88">
        <w:rPr>
          <w:rFonts w:ascii="Gill Sans MT" w:hAnsi="Gill Sans MT"/>
          <w:sz w:val="20"/>
          <w:szCs w:val="12"/>
        </w:rPr>
        <w:t xml:space="preserve">that </w:t>
      </w:r>
      <w:r w:rsidR="00CA08B0" w:rsidRPr="00603A88">
        <w:rPr>
          <w:rFonts w:ascii="Gill Sans MT" w:hAnsi="Gill Sans MT"/>
          <w:sz w:val="20"/>
          <w:szCs w:val="12"/>
        </w:rPr>
        <w:t>‘</w:t>
      </w:r>
      <w:r w:rsidR="0084497D" w:rsidRPr="00603A88">
        <w:rPr>
          <w:rFonts w:ascii="Gill Sans MT" w:hAnsi="Gill Sans MT"/>
          <w:i/>
          <w:sz w:val="20"/>
          <w:szCs w:val="12"/>
        </w:rPr>
        <w:t>the suspension of payments in early 2010 was instrumental in generating corrective actions at the time of the “</w:t>
      </w:r>
      <w:r w:rsidR="0084497D" w:rsidRPr="00603A88">
        <w:rPr>
          <w:rFonts w:ascii="Gill Sans MT" w:hAnsi="Gill Sans MT"/>
          <w:i/>
          <w:sz w:val="20"/>
          <w:szCs w:val="12"/>
          <w:lang w:val="en-GB"/>
        </w:rPr>
        <w:t>crispação</w:t>
      </w:r>
      <w:r w:rsidR="0084497D" w:rsidRPr="00603A88">
        <w:rPr>
          <w:rFonts w:ascii="Gill Sans MT" w:hAnsi="Gill Sans MT"/>
          <w:i/>
          <w:sz w:val="20"/>
          <w:szCs w:val="12"/>
        </w:rPr>
        <w:t>” but not necessary at the time of the revelation of the education payroll fraud in late 2011</w:t>
      </w:r>
      <w:r w:rsidR="00BC30AF" w:rsidRPr="00603A88">
        <w:rPr>
          <w:rFonts w:ascii="Gill Sans MT" w:hAnsi="Gill Sans MT"/>
          <w:i/>
          <w:sz w:val="20"/>
          <w:szCs w:val="12"/>
        </w:rPr>
        <w:t>’</w:t>
      </w:r>
      <w:r w:rsidR="00CA08B0" w:rsidRPr="00603A88">
        <w:rPr>
          <w:rFonts w:ascii="Gill Sans MT" w:hAnsi="Gill Sans MT"/>
          <w:sz w:val="20"/>
          <w:szCs w:val="12"/>
        </w:rPr>
        <w:t>.</w:t>
      </w:r>
      <w:r w:rsidR="0084497D" w:rsidRPr="00603A88">
        <w:rPr>
          <w:rFonts w:ascii="Gill Sans MT" w:hAnsi="Gill Sans MT"/>
          <w:sz w:val="20"/>
          <w:szCs w:val="12"/>
        </w:rPr>
        <w:t xml:space="preserve">  </w:t>
      </w:r>
      <w:r w:rsidR="007624EF" w:rsidRPr="00603A88">
        <w:rPr>
          <w:rFonts w:ascii="Gill Sans MT" w:hAnsi="Gill Sans MT"/>
          <w:sz w:val="20"/>
          <w:szCs w:val="12"/>
        </w:rPr>
        <w:t>(ITAD, 2014; p.78.)</w:t>
      </w:r>
    </w:p>
    <w:p w14:paraId="6DFC05D5" w14:textId="77777777" w:rsidR="007624EF" w:rsidRPr="007624EF" w:rsidRDefault="00E706CF" w:rsidP="00D6663B">
      <w:pPr>
        <w:pStyle w:val="BodyText"/>
        <w:numPr>
          <w:ilvl w:val="0"/>
          <w:numId w:val="2"/>
        </w:numPr>
        <w:spacing w:line="360" w:lineRule="auto"/>
        <w:ind w:left="499" w:hanging="357"/>
        <w:rPr>
          <w:rFonts w:ascii="Gill Sans MT" w:hAnsi="Gill Sans MT"/>
          <w:sz w:val="20"/>
          <w:lang w:val="en-GB"/>
        </w:rPr>
      </w:pPr>
      <w:r w:rsidRPr="007D27FE">
        <w:rPr>
          <w:rFonts w:ascii="Gill Sans MT" w:hAnsi="Gill Sans MT"/>
          <w:b/>
          <w:sz w:val="20"/>
          <w:szCs w:val="12"/>
        </w:rPr>
        <w:t>These experiences illustrate the weakness of the mechanism for monitoring respect of underlying principles and responding to identified breaches, as well as more fundamental differ</w:t>
      </w:r>
      <w:r w:rsidR="00261305" w:rsidRPr="007D27FE">
        <w:rPr>
          <w:rFonts w:ascii="Gill Sans MT" w:hAnsi="Gill Sans MT"/>
          <w:b/>
          <w:sz w:val="20"/>
          <w:szCs w:val="12"/>
        </w:rPr>
        <w:t xml:space="preserve">ences in the </w:t>
      </w:r>
      <w:r w:rsidRPr="007D27FE">
        <w:rPr>
          <w:rFonts w:ascii="Gill Sans MT" w:hAnsi="Gill Sans MT"/>
          <w:b/>
          <w:sz w:val="20"/>
          <w:szCs w:val="12"/>
        </w:rPr>
        <w:t xml:space="preserve">perception of the </w:t>
      </w:r>
      <w:r w:rsidR="00261305" w:rsidRPr="007D27FE">
        <w:rPr>
          <w:rFonts w:ascii="Gill Sans MT" w:hAnsi="Gill Sans MT"/>
          <w:b/>
          <w:sz w:val="20"/>
          <w:szCs w:val="12"/>
        </w:rPr>
        <w:t>objectives of budget support.</w:t>
      </w:r>
      <w:r w:rsidR="00261305" w:rsidRPr="007D27FE">
        <w:rPr>
          <w:rFonts w:ascii="Gill Sans MT" w:hAnsi="Gill Sans MT"/>
          <w:sz w:val="20"/>
          <w:szCs w:val="12"/>
        </w:rPr>
        <w:t xml:space="preserve"> </w:t>
      </w:r>
      <w:r w:rsidR="002E7302">
        <w:rPr>
          <w:rFonts w:ascii="Gill Sans MT" w:hAnsi="Gill Sans MT"/>
          <w:sz w:val="20"/>
          <w:lang w:val="en-GB"/>
        </w:rPr>
        <w:t xml:space="preserve">The budget support </w:t>
      </w:r>
      <w:r w:rsidR="007D27FE">
        <w:rPr>
          <w:rFonts w:ascii="Gill Sans MT" w:hAnsi="Gill Sans MT"/>
          <w:sz w:val="20"/>
          <w:lang w:val="en-GB"/>
        </w:rPr>
        <w:t xml:space="preserve">MoUs in each of these countries </w:t>
      </w:r>
      <w:r w:rsidR="002E7302">
        <w:rPr>
          <w:rFonts w:ascii="Gill Sans MT" w:hAnsi="Gill Sans MT"/>
          <w:sz w:val="20"/>
          <w:lang w:val="en-GB"/>
        </w:rPr>
        <w:t xml:space="preserve">present the view </w:t>
      </w:r>
      <w:r w:rsidR="00261305" w:rsidRPr="007D27FE">
        <w:rPr>
          <w:rFonts w:ascii="Gill Sans MT" w:hAnsi="Gill Sans MT"/>
          <w:sz w:val="20"/>
          <w:lang w:val="en-GB"/>
        </w:rPr>
        <w:t xml:space="preserve">that </w:t>
      </w:r>
      <w:r w:rsidR="0084497D" w:rsidRPr="007D27FE">
        <w:rPr>
          <w:rFonts w:ascii="Gill Sans MT" w:hAnsi="Gill Sans MT"/>
          <w:sz w:val="20"/>
          <w:szCs w:val="12"/>
        </w:rPr>
        <w:lastRenderedPageBreak/>
        <w:t>disbursements should only be suspended in extreme circumstances, because the guarantee of a predictable flow of resources is fundamen</w:t>
      </w:r>
      <w:r w:rsidR="002E7302">
        <w:rPr>
          <w:rFonts w:ascii="Gill Sans MT" w:hAnsi="Gill Sans MT"/>
          <w:sz w:val="20"/>
          <w:szCs w:val="12"/>
        </w:rPr>
        <w:t>tal to the partnership. Some budget suppor</w:t>
      </w:r>
      <w:r w:rsidR="00D6663B">
        <w:rPr>
          <w:rFonts w:ascii="Gill Sans MT" w:hAnsi="Gill Sans MT"/>
          <w:sz w:val="20"/>
          <w:szCs w:val="12"/>
        </w:rPr>
        <w:t>t providers would add that, as budget s</w:t>
      </w:r>
      <w:r w:rsidR="002E7302">
        <w:rPr>
          <w:rFonts w:ascii="Gill Sans MT" w:hAnsi="Gill Sans MT"/>
          <w:sz w:val="20"/>
          <w:szCs w:val="12"/>
        </w:rPr>
        <w:t xml:space="preserve">upport promotes the </w:t>
      </w:r>
      <w:r w:rsidR="0084497D" w:rsidRPr="007D27FE">
        <w:rPr>
          <w:rFonts w:ascii="Gill Sans MT" w:hAnsi="Gill Sans MT"/>
          <w:sz w:val="20"/>
          <w:szCs w:val="12"/>
        </w:rPr>
        <w:t>stre</w:t>
      </w:r>
      <w:r w:rsidR="007D27FE" w:rsidRPr="007D27FE">
        <w:rPr>
          <w:rFonts w:ascii="Gill Sans MT" w:hAnsi="Gill Sans MT"/>
          <w:sz w:val="20"/>
          <w:szCs w:val="12"/>
        </w:rPr>
        <w:t xml:space="preserve">ngthening of PFM systems and </w:t>
      </w:r>
      <w:r w:rsidR="002E7302">
        <w:rPr>
          <w:rFonts w:ascii="Gill Sans MT" w:hAnsi="Gill Sans MT"/>
          <w:sz w:val="20"/>
          <w:szCs w:val="12"/>
        </w:rPr>
        <w:t>anti-corruption mechanisms</w:t>
      </w:r>
      <w:r w:rsidR="0084497D" w:rsidRPr="007D27FE">
        <w:rPr>
          <w:rFonts w:ascii="Gill Sans MT" w:hAnsi="Gill Sans MT"/>
          <w:sz w:val="20"/>
          <w:szCs w:val="12"/>
        </w:rPr>
        <w:t xml:space="preserve">, the level of detection of </w:t>
      </w:r>
      <w:r w:rsidR="007D27FE" w:rsidRPr="007D27FE">
        <w:rPr>
          <w:rFonts w:ascii="Gill Sans MT" w:hAnsi="Gill Sans MT"/>
          <w:sz w:val="20"/>
          <w:szCs w:val="12"/>
        </w:rPr>
        <w:t>fraud is likely to improve</w:t>
      </w:r>
      <w:r w:rsidR="002E7302">
        <w:rPr>
          <w:rFonts w:ascii="Gill Sans MT" w:hAnsi="Gill Sans MT"/>
          <w:sz w:val="20"/>
          <w:szCs w:val="12"/>
        </w:rPr>
        <w:t xml:space="preserve"> </w:t>
      </w:r>
      <w:r w:rsidR="002E7302" w:rsidRPr="007D27FE">
        <w:rPr>
          <w:rFonts w:ascii="Gill Sans MT" w:hAnsi="Gill Sans MT"/>
          <w:sz w:val="20"/>
          <w:szCs w:val="12"/>
        </w:rPr>
        <w:t>as these systems become stronger</w:t>
      </w:r>
      <w:r w:rsidR="007624EF">
        <w:rPr>
          <w:rFonts w:ascii="Gill Sans MT" w:hAnsi="Gill Sans MT"/>
          <w:sz w:val="20"/>
          <w:szCs w:val="12"/>
        </w:rPr>
        <w:t>. T</w:t>
      </w:r>
      <w:r w:rsidR="002E7302">
        <w:rPr>
          <w:rFonts w:ascii="Gill Sans MT" w:hAnsi="Gill Sans MT"/>
          <w:sz w:val="20"/>
          <w:szCs w:val="12"/>
        </w:rPr>
        <w:t>o suspend budget s</w:t>
      </w:r>
      <w:r w:rsidR="0084497D" w:rsidRPr="007D27FE">
        <w:rPr>
          <w:rFonts w:ascii="Gill Sans MT" w:hAnsi="Gill Sans MT"/>
          <w:sz w:val="20"/>
          <w:szCs w:val="12"/>
        </w:rPr>
        <w:t>upport each time such a case is detected would be akin to “shooting the messenger” for bringing bad news. What is important is that cases of fraud should b</w:t>
      </w:r>
      <w:r w:rsidR="002E7302">
        <w:rPr>
          <w:rFonts w:ascii="Gill Sans MT" w:hAnsi="Gill Sans MT"/>
          <w:sz w:val="20"/>
          <w:szCs w:val="12"/>
        </w:rPr>
        <w:t xml:space="preserve">e made public and that </w:t>
      </w:r>
      <w:r w:rsidR="0084497D" w:rsidRPr="007D27FE">
        <w:rPr>
          <w:rFonts w:ascii="Gill Sans MT" w:hAnsi="Gill Sans MT"/>
          <w:sz w:val="20"/>
          <w:szCs w:val="12"/>
        </w:rPr>
        <w:t>corrective actions should be introduced and vigorously pursued. The absence of such a process might legitimately be considered a violation of underlying principles but the occurrence of fraud should not, in itself, be considered as such.</w:t>
      </w:r>
      <w:r w:rsidR="002B7DB8" w:rsidRPr="007D27FE">
        <w:rPr>
          <w:rFonts w:ascii="Gill Sans MT" w:hAnsi="Gill Sans MT"/>
          <w:sz w:val="20"/>
          <w:szCs w:val="12"/>
        </w:rPr>
        <w:t xml:space="preserve"> </w:t>
      </w:r>
    </w:p>
    <w:p w14:paraId="7878BF5A" w14:textId="77777777" w:rsidR="002F6D13" w:rsidRPr="00014956" w:rsidRDefault="00D6663B" w:rsidP="00014956">
      <w:pPr>
        <w:pStyle w:val="BodyText"/>
        <w:numPr>
          <w:ilvl w:val="0"/>
          <w:numId w:val="2"/>
        </w:numPr>
        <w:spacing w:line="360" w:lineRule="auto"/>
        <w:ind w:left="499" w:hanging="357"/>
        <w:rPr>
          <w:rFonts w:ascii="Gill Sans MT" w:hAnsi="Gill Sans MT"/>
          <w:sz w:val="20"/>
          <w:lang w:val="en-GB"/>
        </w:rPr>
      </w:pPr>
      <w:r>
        <w:rPr>
          <w:rFonts w:ascii="Gill Sans MT" w:hAnsi="Gill Sans MT"/>
          <w:sz w:val="20"/>
          <w:szCs w:val="12"/>
        </w:rPr>
        <w:t>The fact that several b</w:t>
      </w:r>
      <w:r w:rsidR="009D190A">
        <w:rPr>
          <w:rFonts w:ascii="Gill Sans MT" w:hAnsi="Gill Sans MT"/>
          <w:sz w:val="20"/>
          <w:szCs w:val="12"/>
        </w:rPr>
        <w:t>udg</w:t>
      </w:r>
      <w:r w:rsidR="007644FF">
        <w:rPr>
          <w:rFonts w:ascii="Gill Sans MT" w:hAnsi="Gill Sans MT"/>
          <w:sz w:val="20"/>
          <w:szCs w:val="12"/>
        </w:rPr>
        <w:t xml:space="preserve">et support providers were prepared to make pre-emptive suspensions of </w:t>
      </w:r>
      <w:r w:rsidR="009D190A">
        <w:rPr>
          <w:rFonts w:ascii="Gill Sans MT" w:hAnsi="Gill Sans MT"/>
          <w:sz w:val="20"/>
          <w:szCs w:val="12"/>
        </w:rPr>
        <w:t>payments</w:t>
      </w:r>
      <w:r>
        <w:rPr>
          <w:rFonts w:ascii="Gill Sans MT" w:hAnsi="Gill Sans MT"/>
          <w:sz w:val="20"/>
          <w:szCs w:val="12"/>
        </w:rPr>
        <w:t xml:space="preserve"> in instances of fraud in Zambia </w:t>
      </w:r>
      <w:r w:rsidR="007624EF">
        <w:rPr>
          <w:rFonts w:ascii="Gill Sans MT" w:hAnsi="Gill Sans MT"/>
          <w:sz w:val="20"/>
          <w:szCs w:val="12"/>
        </w:rPr>
        <w:t>and Mozambique suggests that this</w:t>
      </w:r>
      <w:r>
        <w:rPr>
          <w:rFonts w:ascii="Gill Sans MT" w:hAnsi="Gill Sans MT"/>
          <w:sz w:val="20"/>
          <w:szCs w:val="12"/>
        </w:rPr>
        <w:t xml:space="preserve"> original p</w:t>
      </w:r>
      <w:r w:rsidR="007644FF">
        <w:rPr>
          <w:rFonts w:ascii="Gill Sans MT" w:hAnsi="Gill Sans MT"/>
          <w:sz w:val="20"/>
          <w:szCs w:val="12"/>
        </w:rPr>
        <w:t xml:space="preserve">hilosophy </w:t>
      </w:r>
      <w:r w:rsidR="00014956">
        <w:rPr>
          <w:rFonts w:ascii="Gill Sans MT" w:hAnsi="Gill Sans MT"/>
          <w:sz w:val="20"/>
          <w:szCs w:val="12"/>
        </w:rPr>
        <w:t xml:space="preserve">was no longer </w:t>
      </w:r>
      <w:r w:rsidR="00DB6453">
        <w:rPr>
          <w:rFonts w:ascii="Gill Sans MT" w:hAnsi="Gill Sans MT"/>
          <w:sz w:val="20"/>
          <w:szCs w:val="12"/>
        </w:rPr>
        <w:t>the dominant one</w:t>
      </w:r>
      <w:r w:rsidR="00014956">
        <w:rPr>
          <w:rFonts w:ascii="Gill Sans MT" w:hAnsi="Gill Sans MT"/>
          <w:sz w:val="20"/>
          <w:szCs w:val="12"/>
        </w:rPr>
        <w:t xml:space="preserve"> by 2008</w:t>
      </w:r>
      <w:r w:rsidR="00DB6453">
        <w:rPr>
          <w:rFonts w:ascii="Gill Sans MT" w:hAnsi="Gill Sans MT"/>
          <w:sz w:val="20"/>
          <w:szCs w:val="12"/>
        </w:rPr>
        <w:t>.</w:t>
      </w:r>
      <w:r w:rsidRPr="00D6663B">
        <w:rPr>
          <w:rFonts w:ascii="Gill Sans MT" w:hAnsi="Gill Sans MT"/>
          <w:sz w:val="20"/>
          <w:lang w:val="en-GB"/>
        </w:rPr>
        <w:t xml:space="preserve"> </w:t>
      </w:r>
      <w:r w:rsidR="00DB6453">
        <w:rPr>
          <w:rFonts w:ascii="Gill Sans MT" w:hAnsi="Gill Sans MT"/>
          <w:sz w:val="20"/>
          <w:lang w:val="en-GB"/>
        </w:rPr>
        <w:t>In Tanzania, the suspension in early 2008 proved to be a turning point in relations, with the level of conditionality of disbursements systematically increasing thereafter – with more PAF conditions (especially process conditions), a stricter assessment of performance against conditions and greater use of variable and performance tranches. (ITAD, 2014; pp.41-42)</w:t>
      </w:r>
      <w:r w:rsidR="009D190A">
        <w:rPr>
          <w:rFonts w:ascii="Gill Sans MT" w:hAnsi="Gill Sans MT"/>
          <w:sz w:val="20"/>
          <w:lang w:val="en-GB"/>
        </w:rPr>
        <w:t xml:space="preserve"> The evaluation concluded that these changes</w:t>
      </w:r>
      <w:r w:rsidR="007644FF">
        <w:rPr>
          <w:rFonts w:ascii="Gill Sans MT" w:hAnsi="Gill Sans MT"/>
          <w:sz w:val="20"/>
          <w:lang w:val="en-GB"/>
        </w:rPr>
        <w:t xml:space="preserve"> did not generate improvements in governance and </w:t>
      </w:r>
      <w:r w:rsidR="009D190A">
        <w:rPr>
          <w:rFonts w:ascii="Gill Sans MT" w:hAnsi="Gill Sans MT"/>
          <w:sz w:val="20"/>
          <w:lang w:val="en-GB"/>
        </w:rPr>
        <w:t>‘</w:t>
      </w:r>
      <w:r w:rsidR="009D190A" w:rsidRPr="009D190A">
        <w:rPr>
          <w:rFonts w:ascii="Gill Sans MT" w:hAnsi="Gill Sans MT"/>
          <w:i/>
          <w:sz w:val="20"/>
          <w:lang w:val="en-GB"/>
        </w:rPr>
        <w:t>served only to deepen feelings of distrust and to move further away from a constructive policy dialogue</w:t>
      </w:r>
      <w:r w:rsidR="009D190A">
        <w:rPr>
          <w:rFonts w:ascii="Gill Sans MT" w:hAnsi="Gill Sans MT"/>
          <w:sz w:val="20"/>
          <w:lang w:val="en-GB"/>
        </w:rPr>
        <w:t xml:space="preserve">.’ </w:t>
      </w:r>
    </w:p>
    <w:p w14:paraId="4B51CD04" w14:textId="77777777" w:rsidR="00A47CB2" w:rsidRPr="00372CF5" w:rsidRDefault="00B56E6C" w:rsidP="00B56E6C">
      <w:pPr>
        <w:pStyle w:val="Heading2"/>
        <w:rPr>
          <w:bCs w:val="0"/>
        </w:rPr>
      </w:pPr>
      <w:bookmarkStart w:id="66" w:name="_Toc279848244"/>
      <w:r>
        <w:rPr>
          <w:bCs w:val="0"/>
        </w:rPr>
        <w:t xml:space="preserve">2.3 </w:t>
      </w:r>
      <w:r w:rsidR="00F60929">
        <w:rPr>
          <w:bCs w:val="0"/>
        </w:rPr>
        <w:t>Out</w:t>
      </w:r>
      <w:r w:rsidR="00A37866">
        <w:rPr>
          <w:bCs w:val="0"/>
        </w:rPr>
        <w:t xml:space="preserve">comes achieved: Induced Outputs, </w:t>
      </w:r>
      <w:r w:rsidR="00F60929">
        <w:rPr>
          <w:bCs w:val="0"/>
        </w:rPr>
        <w:t>Outcomes &amp; Impacts</w:t>
      </w:r>
      <w:bookmarkEnd w:id="66"/>
    </w:p>
    <w:p w14:paraId="1C32ECE5" w14:textId="77777777" w:rsidR="00AB13DD" w:rsidRPr="007624EF" w:rsidRDefault="00AB13DD" w:rsidP="007624EF">
      <w:pPr>
        <w:pStyle w:val="BodyText"/>
        <w:numPr>
          <w:ilvl w:val="0"/>
          <w:numId w:val="2"/>
        </w:numPr>
        <w:spacing w:line="360" w:lineRule="auto"/>
        <w:ind w:left="499" w:hanging="357"/>
        <w:rPr>
          <w:rFonts w:ascii="Gill Sans MT" w:hAnsi="Gill Sans MT"/>
          <w:sz w:val="20"/>
          <w:szCs w:val="12"/>
        </w:rPr>
      </w:pPr>
      <w:r w:rsidRPr="007624EF">
        <w:rPr>
          <w:rFonts w:ascii="Gill Sans MT" w:hAnsi="Gill Sans MT"/>
          <w:sz w:val="20"/>
          <w:szCs w:val="12"/>
        </w:rPr>
        <w:t xml:space="preserve">What have been the </w:t>
      </w:r>
      <w:r w:rsidR="007B78E8" w:rsidRPr="001B0479">
        <w:rPr>
          <w:rFonts w:ascii="Gill Sans MT" w:hAnsi="Gill Sans MT"/>
          <w:sz w:val="20"/>
          <w:lang w:val="en-GB"/>
        </w:rPr>
        <w:t>outcomes</w:t>
      </w:r>
      <w:r w:rsidR="007B78E8">
        <w:rPr>
          <w:rStyle w:val="FootnoteReference"/>
          <w:rFonts w:ascii="Gill Sans MT" w:hAnsi="Gill Sans MT"/>
          <w:sz w:val="20"/>
          <w:lang w:val="en-GB"/>
        </w:rPr>
        <w:footnoteReference w:id="26"/>
      </w:r>
      <w:r w:rsidR="007B78E8" w:rsidRPr="001B0479">
        <w:rPr>
          <w:rFonts w:ascii="Gill Sans MT" w:hAnsi="Gill Sans MT"/>
          <w:sz w:val="20"/>
          <w:lang w:val="en-GB"/>
        </w:rPr>
        <w:t xml:space="preserve"> </w:t>
      </w:r>
      <w:r w:rsidRPr="007624EF">
        <w:rPr>
          <w:rFonts w:ascii="Gill Sans MT" w:hAnsi="Gill Sans MT"/>
          <w:sz w:val="20"/>
          <w:szCs w:val="12"/>
        </w:rPr>
        <w:t>achieved through budget support in each of these four countries? We summarise the results identified in the evaluations with regard to Induced Outputs, Outcomes and Impacts.</w:t>
      </w:r>
    </w:p>
    <w:p w14:paraId="68B6C9E2" w14:textId="77777777" w:rsidR="00EC3134" w:rsidRPr="0001612E" w:rsidRDefault="00AB13DD" w:rsidP="00DB4238">
      <w:pPr>
        <w:pStyle w:val="Heading3"/>
      </w:pPr>
      <w:r w:rsidRPr="00AB13DD">
        <w:t>Induced Outputs</w:t>
      </w:r>
    </w:p>
    <w:p w14:paraId="476BC1E3" w14:textId="77777777" w:rsidR="00146C36" w:rsidRDefault="007A0AB1" w:rsidP="007A0AB1">
      <w:pPr>
        <w:pStyle w:val="BodyText"/>
        <w:numPr>
          <w:ilvl w:val="0"/>
          <w:numId w:val="2"/>
        </w:numPr>
        <w:spacing w:line="360" w:lineRule="auto"/>
        <w:ind w:left="499" w:hanging="357"/>
        <w:rPr>
          <w:rFonts w:ascii="Gill Sans MT" w:hAnsi="Gill Sans MT"/>
          <w:sz w:val="20"/>
          <w:szCs w:val="12"/>
        </w:rPr>
      </w:pPr>
      <w:r>
        <w:rPr>
          <w:rFonts w:ascii="Gill Sans MT" w:hAnsi="Gill Sans MT"/>
          <w:sz w:val="20"/>
          <w:szCs w:val="12"/>
        </w:rPr>
        <w:t xml:space="preserve">Regarding </w:t>
      </w:r>
      <w:r w:rsidRPr="00DB6453">
        <w:rPr>
          <w:rFonts w:ascii="Gill Sans MT" w:hAnsi="Gill Sans MT"/>
          <w:b/>
          <w:sz w:val="20"/>
          <w:szCs w:val="12"/>
        </w:rPr>
        <w:t>macroeconomic policy</w:t>
      </w:r>
      <w:r>
        <w:rPr>
          <w:rFonts w:ascii="Gill Sans MT" w:hAnsi="Gill Sans MT"/>
          <w:sz w:val="20"/>
          <w:szCs w:val="12"/>
        </w:rPr>
        <w:t>, we noted above that budget support represented for each of these four countries a budgetary inflow equivalent to 6 – 16 % of public spending</w:t>
      </w:r>
      <w:r w:rsidR="00DB6453">
        <w:rPr>
          <w:rFonts w:ascii="Gill Sans MT" w:hAnsi="Gill Sans MT"/>
          <w:sz w:val="20"/>
          <w:szCs w:val="12"/>
        </w:rPr>
        <w:t xml:space="preserve">. </w:t>
      </w:r>
      <w:r w:rsidR="00146C36">
        <w:rPr>
          <w:rFonts w:ascii="Gill Sans MT" w:hAnsi="Gill Sans MT"/>
          <w:sz w:val="20"/>
          <w:szCs w:val="12"/>
        </w:rPr>
        <w:t xml:space="preserve">With the exception of Mali where a significant proportion of budget support was initially dedicated to the reduction of domestic debt, budget support flows in these countries translated predominantly into increased expenditure. Where a reasonable level of predictability in the value and timing of disbursements can be established – as we have noted </w:t>
      </w:r>
      <w:r w:rsidR="00DB5CDF">
        <w:rPr>
          <w:rFonts w:ascii="Gill Sans MT" w:hAnsi="Gill Sans MT"/>
          <w:sz w:val="20"/>
          <w:szCs w:val="12"/>
        </w:rPr>
        <w:t xml:space="preserve">for these four countries </w:t>
      </w:r>
      <w:r w:rsidR="00146C36">
        <w:rPr>
          <w:rFonts w:ascii="Gill Sans MT" w:hAnsi="Gill Sans MT"/>
          <w:sz w:val="20"/>
          <w:szCs w:val="12"/>
        </w:rPr>
        <w:t xml:space="preserve">above in section 2.2, </w:t>
      </w:r>
      <w:r w:rsidR="00DB5CDF">
        <w:rPr>
          <w:rFonts w:ascii="Gill Sans MT" w:hAnsi="Gill Sans MT"/>
          <w:sz w:val="20"/>
          <w:szCs w:val="12"/>
        </w:rPr>
        <w:t>(</w:t>
      </w:r>
      <w:r w:rsidR="00015D91">
        <w:rPr>
          <w:rFonts w:ascii="Gill Sans MT" w:hAnsi="Gill Sans MT"/>
          <w:sz w:val="20"/>
          <w:szCs w:val="12"/>
        </w:rPr>
        <w:t xml:space="preserve">with some </w:t>
      </w:r>
      <w:r w:rsidR="00146C36">
        <w:rPr>
          <w:rFonts w:ascii="Gill Sans MT" w:hAnsi="Gill Sans MT"/>
          <w:sz w:val="20"/>
          <w:szCs w:val="12"/>
        </w:rPr>
        <w:t>reservations for Mali</w:t>
      </w:r>
      <w:r w:rsidR="00DB5CDF">
        <w:rPr>
          <w:rFonts w:ascii="Gill Sans MT" w:hAnsi="Gill Sans MT"/>
          <w:sz w:val="20"/>
          <w:szCs w:val="12"/>
        </w:rPr>
        <w:t>)</w:t>
      </w:r>
      <w:r w:rsidR="007B78E8">
        <w:rPr>
          <w:rFonts w:ascii="Gill Sans MT" w:hAnsi="Gill Sans MT"/>
          <w:sz w:val="20"/>
          <w:szCs w:val="12"/>
        </w:rPr>
        <w:t xml:space="preserve">, </w:t>
      </w:r>
      <w:r w:rsidR="00146C36">
        <w:rPr>
          <w:rFonts w:ascii="Gill Sans MT" w:hAnsi="Gill Sans MT"/>
          <w:sz w:val="20"/>
          <w:szCs w:val="12"/>
        </w:rPr>
        <w:t>this would seem to be the most common response in Low Income Countries. The cross-sectional analysis included in IOB (201</w:t>
      </w:r>
      <w:r w:rsidR="00911AB6">
        <w:rPr>
          <w:rFonts w:ascii="Gill Sans MT" w:hAnsi="Gill Sans MT"/>
          <w:sz w:val="20"/>
          <w:szCs w:val="12"/>
        </w:rPr>
        <w:t>3) shows that every additional one</w:t>
      </w:r>
      <w:r w:rsidR="00146C36">
        <w:rPr>
          <w:rFonts w:ascii="Gill Sans MT" w:hAnsi="Gill Sans MT"/>
          <w:sz w:val="20"/>
          <w:szCs w:val="12"/>
        </w:rPr>
        <w:t xml:space="preserve"> percentage point of budget support (in % of GDP) leads to an increase in government expenditure of 0.6% of GDP.</w:t>
      </w:r>
    </w:p>
    <w:p w14:paraId="0BF9F2B1" w14:textId="77777777" w:rsidR="00DB4238" w:rsidRDefault="00DB4238" w:rsidP="00DB4238">
      <w:pPr>
        <w:pStyle w:val="BodyText"/>
        <w:numPr>
          <w:ilvl w:val="0"/>
          <w:numId w:val="2"/>
        </w:numPr>
        <w:spacing w:line="360" w:lineRule="auto"/>
        <w:ind w:left="499" w:hanging="357"/>
        <w:rPr>
          <w:rFonts w:ascii="Gill Sans MT" w:hAnsi="Gill Sans MT"/>
          <w:sz w:val="20"/>
          <w:szCs w:val="12"/>
        </w:rPr>
      </w:pPr>
      <w:r>
        <w:rPr>
          <w:rFonts w:ascii="Gill Sans MT" w:hAnsi="Gill Sans MT"/>
          <w:sz w:val="20"/>
          <w:szCs w:val="12"/>
        </w:rPr>
        <w:lastRenderedPageBreak/>
        <w:t xml:space="preserve">What effects did budget support have on the different components of expenditure? Although none of the evaluations model these effects directly, they all provide evidence of budget support being associated with positive changes in expenditure composition. As </w:t>
      </w:r>
      <w:r w:rsidR="00412D3C">
        <w:rPr>
          <w:rFonts w:ascii="Gill Sans MT" w:hAnsi="Gill Sans MT"/>
          <w:sz w:val="20"/>
          <w:szCs w:val="12"/>
        </w:rPr>
        <w:t>Table 7</w:t>
      </w:r>
      <w:r>
        <w:rPr>
          <w:rFonts w:ascii="Gill Sans MT" w:hAnsi="Gill Sans MT"/>
          <w:sz w:val="20"/>
          <w:szCs w:val="12"/>
        </w:rPr>
        <w:t xml:space="preserve"> shows, budget support has contributed to a stabilisation of the fiscal deficit and a reduction in the level of interest payments, as well as increases in the level of domestically financed investments and in overall expenditure allocations to the higher priority sectors. It has also generally been associated with increases in the relative share of salaries in the budget, reflecting the fact that it has commonly supported the expansion in numbers of teachers and health personnel</w:t>
      </w:r>
      <w:r>
        <w:rPr>
          <w:rStyle w:val="FootnoteReference"/>
          <w:rFonts w:ascii="Gill Sans MT" w:hAnsi="Gill Sans MT"/>
          <w:sz w:val="20"/>
          <w:szCs w:val="12"/>
        </w:rPr>
        <w:footnoteReference w:id="27"/>
      </w:r>
      <w:r>
        <w:rPr>
          <w:rFonts w:ascii="Gill Sans MT" w:hAnsi="Gill Sans MT"/>
          <w:sz w:val="20"/>
          <w:szCs w:val="12"/>
        </w:rPr>
        <w:t xml:space="preserve">. </w:t>
      </w:r>
    </w:p>
    <w:p w14:paraId="4733E1B1" w14:textId="77777777" w:rsidR="007A3AB0" w:rsidRDefault="007A3AB0" w:rsidP="007A3AB0">
      <w:pPr>
        <w:pStyle w:val="Caption"/>
        <w:ind w:left="502"/>
        <w:rPr>
          <w:lang w:val="en-GB"/>
        </w:rPr>
      </w:pPr>
      <w:bookmarkStart w:id="67" w:name="_Toc279848287"/>
      <w:r w:rsidRPr="00DB5CDF">
        <w:rPr>
          <w:lang w:val="en-GB"/>
        </w:rPr>
        <w:t xml:space="preserve">Table </w:t>
      </w:r>
      <w:r w:rsidRPr="00DB5CDF">
        <w:rPr>
          <w:lang w:val="en-GB"/>
        </w:rPr>
        <w:fldChar w:fldCharType="begin"/>
      </w:r>
      <w:r w:rsidRPr="00DB5CDF">
        <w:rPr>
          <w:lang w:val="en-GB"/>
        </w:rPr>
        <w:instrText xml:space="preserve"> SEQ Table \* ARABIC </w:instrText>
      </w:r>
      <w:r w:rsidRPr="00DB5CDF">
        <w:rPr>
          <w:lang w:val="en-GB"/>
        </w:rPr>
        <w:fldChar w:fldCharType="separate"/>
      </w:r>
      <w:r w:rsidR="00967582">
        <w:rPr>
          <w:noProof/>
          <w:lang w:val="en-GB"/>
        </w:rPr>
        <w:t>7</w:t>
      </w:r>
      <w:r w:rsidRPr="00DB5CDF">
        <w:rPr>
          <w:lang w:val="en-GB"/>
        </w:rPr>
        <w:fldChar w:fldCharType="end"/>
      </w:r>
      <w:r w:rsidRPr="00DB5CDF">
        <w:rPr>
          <w:lang w:val="en-GB"/>
        </w:rPr>
        <w:t>: Budget support contributions to improved expenditure composition in LICs</w:t>
      </w:r>
      <w:bookmarkEnd w:id="67"/>
    </w:p>
    <w:tbl>
      <w:tblPr>
        <w:tblStyle w:val="TableClassic2"/>
        <w:tblW w:w="0" w:type="auto"/>
        <w:tblLayout w:type="fixed"/>
        <w:tblLook w:val="04A0" w:firstRow="1" w:lastRow="0" w:firstColumn="1" w:lastColumn="0" w:noHBand="0" w:noVBand="1"/>
      </w:tblPr>
      <w:tblGrid>
        <w:gridCol w:w="2376"/>
        <w:gridCol w:w="1537"/>
        <w:gridCol w:w="1537"/>
        <w:gridCol w:w="1537"/>
        <w:gridCol w:w="1538"/>
      </w:tblGrid>
      <w:tr w:rsidR="001E0D7B" w:rsidRPr="002D3221" w14:paraId="13AD8F6F" w14:textId="77777777" w:rsidTr="0080137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76" w:type="dxa"/>
          </w:tcPr>
          <w:p w14:paraId="2C660CCF" w14:textId="77777777" w:rsidR="001E0D7B" w:rsidRPr="002D3221" w:rsidRDefault="00E95A1D" w:rsidP="00C60220">
            <w:pPr>
              <w:rPr>
                <w:rFonts w:ascii="Gill Sans MT" w:hAnsi="Gill Sans MT"/>
                <w:sz w:val="22"/>
                <w:szCs w:val="22"/>
                <w:lang w:val="en-GB"/>
              </w:rPr>
            </w:pPr>
            <w:r w:rsidRPr="002D3221">
              <w:rPr>
                <w:rFonts w:ascii="Gill Sans MT" w:hAnsi="Gill Sans MT"/>
                <w:sz w:val="22"/>
                <w:szCs w:val="22"/>
                <w:lang w:val="en-GB"/>
              </w:rPr>
              <w:t>Key components</w:t>
            </w:r>
            <w:r w:rsidR="00C60220" w:rsidRPr="002D3221">
              <w:rPr>
                <w:rFonts w:ascii="Gill Sans MT" w:hAnsi="Gill Sans MT"/>
                <w:sz w:val="22"/>
                <w:szCs w:val="22"/>
                <w:lang w:val="en-GB"/>
              </w:rPr>
              <w:t xml:space="preserve"> of Public Expenditure</w:t>
            </w:r>
          </w:p>
        </w:tc>
        <w:tc>
          <w:tcPr>
            <w:tcW w:w="1537" w:type="dxa"/>
          </w:tcPr>
          <w:p w14:paraId="62061BF1" w14:textId="77777777" w:rsidR="001E0D7B" w:rsidRPr="002D3221" w:rsidRDefault="001E0D7B" w:rsidP="00C60220">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2D3221">
              <w:rPr>
                <w:rFonts w:ascii="Gill Sans MT" w:hAnsi="Gill Sans MT"/>
                <w:sz w:val="22"/>
                <w:szCs w:val="22"/>
                <w:lang w:val="en-GB"/>
              </w:rPr>
              <w:t>Mali</w:t>
            </w:r>
          </w:p>
          <w:p w14:paraId="1F6AD5FA" w14:textId="77777777" w:rsidR="001E0D7B" w:rsidRPr="002D3221" w:rsidRDefault="001E0D7B" w:rsidP="00C60220">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2D3221">
              <w:rPr>
                <w:rFonts w:ascii="Gill Sans MT" w:hAnsi="Gill Sans MT"/>
                <w:sz w:val="22"/>
                <w:szCs w:val="22"/>
                <w:lang w:val="en-GB"/>
              </w:rPr>
              <w:t>2003-2009</w:t>
            </w:r>
          </w:p>
        </w:tc>
        <w:tc>
          <w:tcPr>
            <w:tcW w:w="1537" w:type="dxa"/>
          </w:tcPr>
          <w:p w14:paraId="609FA119" w14:textId="77777777" w:rsidR="001E0D7B" w:rsidRPr="002D3221" w:rsidRDefault="001E0D7B" w:rsidP="00C60220">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2D3221">
              <w:rPr>
                <w:rFonts w:ascii="Gill Sans MT" w:hAnsi="Gill Sans MT"/>
                <w:sz w:val="22"/>
                <w:szCs w:val="22"/>
                <w:lang w:val="en-GB"/>
              </w:rPr>
              <w:t>Mozambique</w:t>
            </w:r>
          </w:p>
          <w:p w14:paraId="66F42EA5" w14:textId="77777777" w:rsidR="001E0D7B" w:rsidRPr="002D3221" w:rsidRDefault="001E0D7B" w:rsidP="00C60220">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2D3221">
              <w:rPr>
                <w:rFonts w:ascii="Gill Sans MT" w:hAnsi="Gill Sans MT"/>
                <w:sz w:val="22"/>
                <w:szCs w:val="22"/>
                <w:lang w:val="en-GB"/>
              </w:rPr>
              <w:t>2005-2012</w:t>
            </w:r>
          </w:p>
        </w:tc>
        <w:tc>
          <w:tcPr>
            <w:tcW w:w="1537" w:type="dxa"/>
          </w:tcPr>
          <w:p w14:paraId="40AE65BB" w14:textId="77777777" w:rsidR="001E0D7B" w:rsidRPr="002D3221" w:rsidRDefault="001E0D7B" w:rsidP="00C60220">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2D3221">
              <w:rPr>
                <w:rFonts w:ascii="Gill Sans MT" w:hAnsi="Gill Sans MT"/>
                <w:sz w:val="22"/>
                <w:szCs w:val="22"/>
                <w:lang w:val="en-GB"/>
              </w:rPr>
              <w:t>Tanzania</w:t>
            </w:r>
          </w:p>
          <w:p w14:paraId="7D817F16" w14:textId="77777777" w:rsidR="001E0D7B" w:rsidRPr="002D3221" w:rsidRDefault="00744559" w:rsidP="00C60220">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2D3221">
              <w:rPr>
                <w:rFonts w:ascii="Gill Sans MT" w:hAnsi="Gill Sans MT"/>
                <w:sz w:val="22"/>
                <w:szCs w:val="22"/>
                <w:lang w:val="en-GB"/>
              </w:rPr>
              <w:t xml:space="preserve">2005/06 </w:t>
            </w:r>
            <w:r w:rsidR="001E0D7B" w:rsidRPr="002D3221">
              <w:rPr>
                <w:rFonts w:ascii="Gill Sans MT" w:hAnsi="Gill Sans MT"/>
                <w:sz w:val="22"/>
                <w:szCs w:val="22"/>
                <w:lang w:val="en-GB"/>
              </w:rPr>
              <w:t>-2011</w:t>
            </w:r>
            <w:r w:rsidRPr="002D3221">
              <w:rPr>
                <w:rFonts w:ascii="Gill Sans MT" w:hAnsi="Gill Sans MT"/>
                <w:sz w:val="22"/>
                <w:szCs w:val="22"/>
                <w:lang w:val="en-GB"/>
              </w:rPr>
              <w:t>/ 12</w:t>
            </w:r>
          </w:p>
        </w:tc>
        <w:tc>
          <w:tcPr>
            <w:tcW w:w="1538" w:type="dxa"/>
          </w:tcPr>
          <w:p w14:paraId="6BF56C1F" w14:textId="77777777" w:rsidR="001E0D7B" w:rsidRPr="002D3221" w:rsidRDefault="001E0D7B" w:rsidP="00C60220">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2D3221">
              <w:rPr>
                <w:rFonts w:ascii="Gill Sans MT" w:hAnsi="Gill Sans MT"/>
                <w:sz w:val="22"/>
                <w:szCs w:val="22"/>
                <w:lang w:val="en-GB"/>
              </w:rPr>
              <w:t>Zambia</w:t>
            </w:r>
          </w:p>
          <w:p w14:paraId="4141C84A" w14:textId="77777777" w:rsidR="001E0D7B" w:rsidRPr="002D3221" w:rsidRDefault="001E0D7B" w:rsidP="00C60220">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2D3221">
              <w:rPr>
                <w:rFonts w:ascii="Gill Sans MT" w:hAnsi="Gill Sans MT"/>
                <w:sz w:val="22"/>
                <w:szCs w:val="22"/>
                <w:lang w:val="en-GB"/>
              </w:rPr>
              <w:t>2005-2010</w:t>
            </w:r>
          </w:p>
        </w:tc>
      </w:tr>
      <w:tr w:rsidR="00223887" w14:paraId="26C76D1B" w14:textId="77777777" w:rsidTr="0080137D">
        <w:tc>
          <w:tcPr>
            <w:cnfStyle w:val="001000000000" w:firstRow="0" w:lastRow="0" w:firstColumn="1" w:lastColumn="0" w:oddVBand="0" w:evenVBand="0" w:oddHBand="0" w:evenHBand="0" w:firstRowFirstColumn="0" w:firstRowLastColumn="0" w:lastRowFirstColumn="0" w:lastRowLastColumn="0"/>
            <w:tcW w:w="2376" w:type="dxa"/>
            <w:tcBorders>
              <w:top w:val="single" w:sz="6" w:space="0" w:color="000000"/>
              <w:bottom w:val="single" w:sz="4" w:space="0" w:color="auto"/>
            </w:tcBorders>
          </w:tcPr>
          <w:p w14:paraId="046452EB" w14:textId="77777777" w:rsidR="00223887" w:rsidRDefault="00E95A1D" w:rsidP="00C60220">
            <w:pPr>
              <w:rPr>
                <w:rFonts w:ascii="Gill Sans MT" w:hAnsi="Gill Sans MT"/>
                <w:sz w:val="20"/>
                <w:szCs w:val="20"/>
                <w:lang w:val="en-GB"/>
              </w:rPr>
            </w:pPr>
            <w:r>
              <w:rPr>
                <w:rFonts w:ascii="Gill Sans MT" w:hAnsi="Gill Sans MT"/>
                <w:sz w:val="20"/>
                <w:szCs w:val="20"/>
                <w:lang w:val="en-GB"/>
              </w:rPr>
              <w:t>Total E</w:t>
            </w:r>
            <w:r w:rsidR="00223887">
              <w:rPr>
                <w:rFonts w:ascii="Gill Sans MT" w:hAnsi="Gill Sans MT"/>
                <w:sz w:val="20"/>
                <w:szCs w:val="20"/>
                <w:lang w:val="en-GB"/>
              </w:rPr>
              <w:t>xpenditure as % GDP</w:t>
            </w:r>
          </w:p>
        </w:tc>
        <w:tc>
          <w:tcPr>
            <w:tcW w:w="1537" w:type="dxa"/>
            <w:tcBorders>
              <w:top w:val="single" w:sz="6" w:space="0" w:color="000000"/>
              <w:bottom w:val="single" w:sz="4" w:space="0" w:color="auto"/>
            </w:tcBorders>
          </w:tcPr>
          <w:p w14:paraId="17CDC0B0" w14:textId="77777777" w:rsidR="00223887" w:rsidRDefault="009C3565"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No change:</w:t>
            </w:r>
          </w:p>
          <w:p w14:paraId="4B65E612" w14:textId="77777777" w:rsidR="009C3565" w:rsidRPr="00016EEB" w:rsidRDefault="009C3565"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24.9% to 24.1%</w:t>
            </w:r>
          </w:p>
        </w:tc>
        <w:tc>
          <w:tcPr>
            <w:tcW w:w="1537" w:type="dxa"/>
            <w:tcBorders>
              <w:top w:val="single" w:sz="6" w:space="0" w:color="000000"/>
              <w:bottom w:val="single" w:sz="4" w:space="0" w:color="auto"/>
            </w:tcBorders>
          </w:tcPr>
          <w:p w14:paraId="1F381AFB" w14:textId="77777777" w:rsidR="00223887" w:rsidRDefault="00E51C42"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Big increase:</w:t>
            </w:r>
          </w:p>
          <w:p w14:paraId="466FCBE0" w14:textId="77777777" w:rsidR="00E51C42" w:rsidRPr="00016EEB" w:rsidRDefault="00E51C42"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 xml:space="preserve">23.6% to 32.6% </w:t>
            </w:r>
          </w:p>
        </w:tc>
        <w:tc>
          <w:tcPr>
            <w:tcW w:w="1537" w:type="dxa"/>
            <w:tcBorders>
              <w:top w:val="single" w:sz="6" w:space="0" w:color="000000"/>
              <w:bottom w:val="single" w:sz="4" w:space="0" w:color="auto"/>
            </w:tcBorders>
          </w:tcPr>
          <w:p w14:paraId="49ED2F29" w14:textId="77777777" w:rsidR="00223887" w:rsidRDefault="00744559"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 xml:space="preserve">Modest rise: 23% to 26.2% </w:t>
            </w:r>
          </w:p>
          <w:p w14:paraId="2B37091E" w14:textId="77777777" w:rsidR="00744559" w:rsidRDefault="00744559"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p>
        </w:tc>
        <w:tc>
          <w:tcPr>
            <w:tcW w:w="1538" w:type="dxa"/>
            <w:tcBorders>
              <w:top w:val="single" w:sz="6" w:space="0" w:color="000000"/>
              <w:bottom w:val="single" w:sz="4" w:space="0" w:color="auto"/>
            </w:tcBorders>
          </w:tcPr>
          <w:p w14:paraId="796599D7" w14:textId="77777777" w:rsidR="00223887" w:rsidRDefault="00CA795E"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Modest fall:</w:t>
            </w:r>
          </w:p>
          <w:p w14:paraId="49CBB40F" w14:textId="77777777" w:rsidR="00CA795E" w:rsidRPr="00016EEB" w:rsidRDefault="00CA795E"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25.7% to 22.7%</w:t>
            </w:r>
          </w:p>
        </w:tc>
      </w:tr>
      <w:tr w:rsidR="001E0D7B" w14:paraId="56FFD2DC" w14:textId="77777777" w:rsidTr="0080137D">
        <w:tc>
          <w:tcPr>
            <w:cnfStyle w:val="001000000000" w:firstRow="0" w:lastRow="0" w:firstColumn="1" w:lastColumn="0" w:oddVBand="0" w:evenVBand="0" w:oddHBand="0" w:evenHBand="0" w:firstRowFirstColumn="0" w:firstRowLastColumn="0" w:lastRowFirstColumn="0" w:lastRowLastColumn="0"/>
            <w:tcW w:w="2376" w:type="dxa"/>
            <w:tcBorders>
              <w:top w:val="single" w:sz="6" w:space="0" w:color="000000"/>
              <w:bottom w:val="single" w:sz="4" w:space="0" w:color="auto"/>
            </w:tcBorders>
          </w:tcPr>
          <w:p w14:paraId="4BB16D7D" w14:textId="77777777" w:rsidR="00C60220" w:rsidRPr="005E34B9" w:rsidRDefault="00C60220" w:rsidP="00C60220">
            <w:pPr>
              <w:rPr>
                <w:rFonts w:ascii="Gill Sans MT" w:hAnsi="Gill Sans MT"/>
                <w:sz w:val="20"/>
                <w:szCs w:val="20"/>
                <w:lang w:val="en-GB"/>
              </w:rPr>
            </w:pPr>
            <w:r>
              <w:rPr>
                <w:rFonts w:ascii="Gill Sans MT" w:hAnsi="Gill Sans MT"/>
                <w:sz w:val="20"/>
                <w:szCs w:val="20"/>
                <w:lang w:val="en-GB"/>
              </w:rPr>
              <w:t>Fiscal Deficit (after grants)</w:t>
            </w:r>
            <w:r w:rsidR="0080137D">
              <w:rPr>
                <w:rFonts w:ascii="Gill Sans MT" w:hAnsi="Gill Sans MT"/>
                <w:sz w:val="20"/>
                <w:szCs w:val="20"/>
                <w:lang w:val="en-GB"/>
              </w:rPr>
              <w:t xml:space="preserve"> as % GDP</w:t>
            </w:r>
          </w:p>
        </w:tc>
        <w:tc>
          <w:tcPr>
            <w:tcW w:w="1537" w:type="dxa"/>
            <w:tcBorders>
              <w:top w:val="single" w:sz="6" w:space="0" w:color="000000"/>
              <w:bottom w:val="single" w:sz="4" w:space="0" w:color="auto"/>
            </w:tcBorders>
          </w:tcPr>
          <w:p w14:paraId="70C23597" w14:textId="77777777" w:rsidR="001E0D7B" w:rsidRDefault="009C3565"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Stable:</w:t>
            </w:r>
          </w:p>
          <w:p w14:paraId="658ED23F" w14:textId="77777777" w:rsidR="009C3565" w:rsidRPr="00016EEB" w:rsidRDefault="009C3565"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3 % GDP</w:t>
            </w:r>
          </w:p>
        </w:tc>
        <w:tc>
          <w:tcPr>
            <w:tcW w:w="1537" w:type="dxa"/>
            <w:tcBorders>
              <w:top w:val="single" w:sz="6" w:space="0" w:color="000000"/>
              <w:bottom w:val="single" w:sz="4" w:space="0" w:color="auto"/>
            </w:tcBorders>
          </w:tcPr>
          <w:p w14:paraId="3324A669" w14:textId="77777777" w:rsidR="001E0D7B" w:rsidRDefault="00AB6CE5"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Modest rise:</w:t>
            </w:r>
          </w:p>
          <w:p w14:paraId="2010D6B9" w14:textId="77777777" w:rsidR="00AB6CE5" w:rsidRPr="00016EEB" w:rsidRDefault="00AB6CE5"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-2.4% to -4.1%</w:t>
            </w:r>
          </w:p>
        </w:tc>
        <w:tc>
          <w:tcPr>
            <w:tcW w:w="1537" w:type="dxa"/>
            <w:tcBorders>
              <w:top w:val="single" w:sz="6" w:space="0" w:color="000000"/>
              <w:bottom w:val="single" w:sz="4" w:space="0" w:color="auto"/>
            </w:tcBorders>
          </w:tcPr>
          <w:p w14:paraId="410A431C" w14:textId="77777777" w:rsidR="001E0D7B" w:rsidRDefault="00744559"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 xml:space="preserve">Modest fall:      -5.5% to -5.0% </w:t>
            </w:r>
          </w:p>
          <w:p w14:paraId="41BD6316" w14:textId="77777777" w:rsidR="00744559" w:rsidRPr="00016EEB" w:rsidRDefault="00744559"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p>
        </w:tc>
        <w:tc>
          <w:tcPr>
            <w:tcW w:w="1538" w:type="dxa"/>
            <w:tcBorders>
              <w:top w:val="single" w:sz="6" w:space="0" w:color="000000"/>
              <w:bottom w:val="single" w:sz="4" w:space="0" w:color="auto"/>
            </w:tcBorders>
          </w:tcPr>
          <w:p w14:paraId="198F1BA3" w14:textId="77777777" w:rsidR="001E0D7B" w:rsidRDefault="00CA795E"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Stable:</w:t>
            </w:r>
          </w:p>
          <w:p w14:paraId="2223EB1F" w14:textId="77777777" w:rsidR="00CA795E" w:rsidRPr="00016EEB" w:rsidRDefault="00CA795E"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-2.6% to -3.1%</w:t>
            </w:r>
          </w:p>
        </w:tc>
      </w:tr>
      <w:tr w:rsidR="001E0D7B" w14:paraId="6C0E3AC8" w14:textId="77777777" w:rsidTr="0080137D">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bottom w:val="single" w:sz="4" w:space="0" w:color="auto"/>
            </w:tcBorders>
          </w:tcPr>
          <w:p w14:paraId="2F493084" w14:textId="77777777" w:rsidR="001E0D7B" w:rsidRPr="005E34B9" w:rsidRDefault="00E95A1D" w:rsidP="00C60220">
            <w:pPr>
              <w:rPr>
                <w:rFonts w:ascii="Gill Sans MT" w:hAnsi="Gill Sans MT"/>
                <w:sz w:val="20"/>
                <w:szCs w:val="20"/>
                <w:lang w:val="en-GB"/>
              </w:rPr>
            </w:pPr>
            <w:r>
              <w:rPr>
                <w:rFonts w:ascii="Gill Sans MT" w:hAnsi="Gill Sans MT"/>
                <w:sz w:val="20"/>
                <w:szCs w:val="20"/>
                <w:lang w:val="en-GB"/>
              </w:rPr>
              <w:t>I</w:t>
            </w:r>
            <w:r w:rsidR="00C60220">
              <w:rPr>
                <w:rFonts w:ascii="Gill Sans MT" w:hAnsi="Gill Sans MT"/>
                <w:sz w:val="20"/>
                <w:szCs w:val="20"/>
                <w:lang w:val="en-GB"/>
              </w:rPr>
              <w:t xml:space="preserve">nterest payments </w:t>
            </w:r>
            <w:r w:rsidR="00223887">
              <w:rPr>
                <w:rFonts w:ascii="Gill Sans MT" w:hAnsi="Gill Sans MT"/>
                <w:sz w:val="20"/>
                <w:szCs w:val="20"/>
                <w:lang w:val="en-GB"/>
              </w:rPr>
              <w:t xml:space="preserve">as % GDP </w:t>
            </w:r>
          </w:p>
        </w:tc>
        <w:tc>
          <w:tcPr>
            <w:tcW w:w="1537" w:type="dxa"/>
            <w:tcBorders>
              <w:top w:val="single" w:sz="4" w:space="0" w:color="auto"/>
              <w:bottom w:val="single" w:sz="4" w:space="0" w:color="auto"/>
            </w:tcBorders>
          </w:tcPr>
          <w:p w14:paraId="25D715B1" w14:textId="77777777" w:rsidR="001E0D7B" w:rsidRDefault="009C3565"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Big fall:</w:t>
            </w:r>
          </w:p>
          <w:p w14:paraId="4767E3B1" w14:textId="77777777" w:rsidR="009C3565" w:rsidRPr="00016EEB" w:rsidRDefault="009C7331"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2.3% (2002) to 1.1% (2009)</w:t>
            </w:r>
          </w:p>
        </w:tc>
        <w:tc>
          <w:tcPr>
            <w:tcW w:w="1537" w:type="dxa"/>
            <w:tcBorders>
              <w:top w:val="single" w:sz="4" w:space="0" w:color="auto"/>
              <w:bottom w:val="single" w:sz="4" w:space="0" w:color="auto"/>
            </w:tcBorders>
          </w:tcPr>
          <w:p w14:paraId="7796E692" w14:textId="77777777" w:rsidR="001E0D7B" w:rsidRDefault="00AB6CE5"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Modest rise:</w:t>
            </w:r>
          </w:p>
          <w:p w14:paraId="7318771B" w14:textId="77777777" w:rsidR="00AB6CE5" w:rsidRPr="00016EEB" w:rsidRDefault="00AB6CE5"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0.8% to 1.0%</w:t>
            </w:r>
          </w:p>
        </w:tc>
        <w:tc>
          <w:tcPr>
            <w:tcW w:w="1537" w:type="dxa"/>
            <w:tcBorders>
              <w:top w:val="single" w:sz="4" w:space="0" w:color="auto"/>
              <w:bottom w:val="single" w:sz="4" w:space="0" w:color="auto"/>
            </w:tcBorders>
          </w:tcPr>
          <w:p w14:paraId="0C9E419F" w14:textId="77777777" w:rsidR="001E0D7B" w:rsidRDefault="00223887"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Modest f</w:t>
            </w:r>
            <w:r w:rsidR="00744559">
              <w:rPr>
                <w:rFonts w:ascii="Gill Sans MT" w:hAnsi="Gill Sans MT"/>
                <w:sz w:val="20"/>
                <w:szCs w:val="20"/>
                <w:lang w:val="en-GB"/>
              </w:rPr>
              <w:t xml:space="preserve">all: 1.3% to 1.1% </w:t>
            </w:r>
          </w:p>
          <w:p w14:paraId="2E481926" w14:textId="77777777" w:rsidR="00744559" w:rsidRPr="00016EEB" w:rsidRDefault="00744559"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p>
        </w:tc>
        <w:tc>
          <w:tcPr>
            <w:tcW w:w="1538" w:type="dxa"/>
            <w:tcBorders>
              <w:top w:val="single" w:sz="4" w:space="0" w:color="auto"/>
              <w:bottom w:val="single" w:sz="4" w:space="0" w:color="auto"/>
            </w:tcBorders>
          </w:tcPr>
          <w:p w14:paraId="1EF99CF9" w14:textId="77777777" w:rsidR="001E0D7B" w:rsidRDefault="00CA795E"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Big fall:</w:t>
            </w:r>
          </w:p>
          <w:p w14:paraId="6907D1F3" w14:textId="77777777" w:rsidR="00CA795E" w:rsidRPr="00016EEB" w:rsidRDefault="00CA795E"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2.7% to 1.8%</w:t>
            </w:r>
          </w:p>
        </w:tc>
      </w:tr>
      <w:tr w:rsidR="001E0D7B" w14:paraId="6822C9AE" w14:textId="77777777" w:rsidTr="0080137D">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bottom w:val="single" w:sz="4" w:space="0" w:color="auto"/>
            </w:tcBorders>
          </w:tcPr>
          <w:p w14:paraId="78F1ECE2" w14:textId="77777777" w:rsidR="001E0D7B" w:rsidRPr="005E34B9" w:rsidRDefault="00E95A1D" w:rsidP="00C60220">
            <w:pPr>
              <w:rPr>
                <w:rFonts w:ascii="Gill Sans MT" w:hAnsi="Gill Sans MT"/>
                <w:sz w:val="20"/>
                <w:szCs w:val="20"/>
                <w:lang w:val="en-GB"/>
              </w:rPr>
            </w:pPr>
            <w:r>
              <w:rPr>
                <w:rFonts w:ascii="Gill Sans MT" w:hAnsi="Gill Sans MT"/>
                <w:sz w:val="20"/>
                <w:szCs w:val="20"/>
                <w:lang w:val="en-GB"/>
              </w:rPr>
              <w:t>D</w:t>
            </w:r>
            <w:r w:rsidR="00C60220">
              <w:rPr>
                <w:rFonts w:ascii="Gill Sans MT" w:hAnsi="Gill Sans MT"/>
                <w:sz w:val="20"/>
                <w:szCs w:val="20"/>
                <w:lang w:val="en-GB"/>
              </w:rPr>
              <w:t>omestically financed investment</w:t>
            </w:r>
            <w:r w:rsidR="00111F00">
              <w:rPr>
                <w:rFonts w:ascii="Gill Sans MT" w:hAnsi="Gill Sans MT"/>
                <w:sz w:val="20"/>
                <w:szCs w:val="20"/>
                <w:lang w:val="en-GB"/>
              </w:rPr>
              <w:t xml:space="preserve"> as % GDP</w:t>
            </w:r>
          </w:p>
        </w:tc>
        <w:tc>
          <w:tcPr>
            <w:tcW w:w="1537" w:type="dxa"/>
            <w:tcBorders>
              <w:top w:val="single" w:sz="4" w:space="0" w:color="auto"/>
              <w:bottom w:val="single" w:sz="4" w:space="0" w:color="auto"/>
            </w:tcBorders>
          </w:tcPr>
          <w:p w14:paraId="74199F65" w14:textId="77777777" w:rsidR="001E0D7B" w:rsidRDefault="009C7331"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Modest rise:</w:t>
            </w:r>
          </w:p>
          <w:p w14:paraId="1604EB4B" w14:textId="77777777" w:rsidR="001E0D7B" w:rsidRDefault="009C7331"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3.6% to 4.0%</w:t>
            </w:r>
          </w:p>
          <w:p w14:paraId="55C34AA0" w14:textId="77777777" w:rsidR="009C7331" w:rsidRPr="00016EEB" w:rsidRDefault="009C7331"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2007 peak 4.6%</w:t>
            </w:r>
          </w:p>
        </w:tc>
        <w:tc>
          <w:tcPr>
            <w:tcW w:w="1537" w:type="dxa"/>
            <w:tcBorders>
              <w:top w:val="single" w:sz="4" w:space="0" w:color="auto"/>
              <w:bottom w:val="single" w:sz="4" w:space="0" w:color="auto"/>
            </w:tcBorders>
          </w:tcPr>
          <w:p w14:paraId="4012C6AC" w14:textId="77777777" w:rsidR="001E0D7B" w:rsidRDefault="00AB6CE5"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Big increase:</w:t>
            </w:r>
          </w:p>
          <w:p w14:paraId="2B5C9990" w14:textId="77777777" w:rsidR="00AB6CE5" w:rsidRDefault="00AB6CE5"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3.2% to 6.1%</w:t>
            </w:r>
          </w:p>
          <w:p w14:paraId="1A7C046E" w14:textId="77777777" w:rsidR="001E0D7B" w:rsidRPr="00016EEB" w:rsidRDefault="001E0D7B"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p>
        </w:tc>
        <w:tc>
          <w:tcPr>
            <w:tcW w:w="1537" w:type="dxa"/>
            <w:tcBorders>
              <w:top w:val="single" w:sz="4" w:space="0" w:color="auto"/>
              <w:bottom w:val="single" w:sz="4" w:space="0" w:color="auto"/>
            </w:tcBorders>
          </w:tcPr>
          <w:p w14:paraId="22C29EA5" w14:textId="77777777" w:rsidR="001E0D7B" w:rsidRPr="00016EEB" w:rsidRDefault="001C4CFC"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Big increase:</w:t>
            </w:r>
          </w:p>
          <w:p w14:paraId="1F4CD9A3" w14:textId="77777777" w:rsidR="001E0D7B" w:rsidRPr="00016EEB" w:rsidRDefault="00744559"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 xml:space="preserve">1.8% to 4.6% </w:t>
            </w:r>
          </w:p>
        </w:tc>
        <w:tc>
          <w:tcPr>
            <w:tcW w:w="1538" w:type="dxa"/>
            <w:tcBorders>
              <w:top w:val="single" w:sz="4" w:space="0" w:color="auto"/>
              <w:bottom w:val="single" w:sz="4" w:space="0" w:color="auto"/>
            </w:tcBorders>
          </w:tcPr>
          <w:p w14:paraId="624616CF" w14:textId="77777777" w:rsidR="001E0D7B" w:rsidRDefault="00CA795E"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Modest rise:</w:t>
            </w:r>
          </w:p>
          <w:p w14:paraId="35E5DFD0" w14:textId="77777777" w:rsidR="00CA795E" w:rsidRPr="00016EEB" w:rsidRDefault="00CA795E"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1.7% to 2.9%</w:t>
            </w:r>
          </w:p>
          <w:p w14:paraId="4EC7F585" w14:textId="77777777" w:rsidR="001E0D7B" w:rsidRPr="00016EEB" w:rsidRDefault="001E0D7B"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p>
        </w:tc>
      </w:tr>
      <w:tr w:rsidR="001E0D7B" w:rsidRPr="008C51D1" w14:paraId="1694EC33" w14:textId="77777777" w:rsidTr="0080137D">
        <w:tc>
          <w:tcPr>
            <w:cnfStyle w:val="001000000000" w:firstRow="0" w:lastRow="0" w:firstColumn="1" w:lastColumn="0" w:oddVBand="0" w:evenVBand="0" w:oddHBand="0" w:evenHBand="0" w:firstRowFirstColumn="0" w:firstRowLastColumn="0" w:lastRowFirstColumn="0" w:lastRowLastColumn="0"/>
            <w:tcW w:w="2376" w:type="dxa"/>
            <w:tcBorders>
              <w:top w:val="nil"/>
              <w:bottom w:val="single" w:sz="4" w:space="0" w:color="auto"/>
            </w:tcBorders>
          </w:tcPr>
          <w:p w14:paraId="199FF44D" w14:textId="77777777" w:rsidR="001E0D7B" w:rsidRDefault="00E95A1D" w:rsidP="00C60220">
            <w:pPr>
              <w:rPr>
                <w:rFonts w:ascii="Gill Sans MT" w:hAnsi="Gill Sans MT"/>
                <w:sz w:val="20"/>
                <w:szCs w:val="20"/>
                <w:lang w:val="en-GB"/>
              </w:rPr>
            </w:pPr>
            <w:r>
              <w:rPr>
                <w:rFonts w:ascii="Gill Sans MT" w:hAnsi="Gill Sans MT"/>
                <w:sz w:val="20"/>
                <w:szCs w:val="20"/>
                <w:lang w:val="en-GB"/>
              </w:rPr>
              <w:t>Priority Sector Expenditure</w:t>
            </w:r>
            <w:r w:rsidR="009F0636">
              <w:rPr>
                <w:rFonts w:ascii="Gill Sans MT" w:hAnsi="Gill Sans MT"/>
                <w:sz w:val="20"/>
                <w:szCs w:val="20"/>
                <w:lang w:val="en-GB"/>
              </w:rPr>
              <w:t xml:space="preserve"> a) as</w:t>
            </w:r>
            <w:r w:rsidR="00AB6CE5">
              <w:rPr>
                <w:rFonts w:ascii="Gill Sans MT" w:hAnsi="Gill Sans MT"/>
                <w:sz w:val="20"/>
                <w:szCs w:val="20"/>
                <w:lang w:val="en-GB"/>
              </w:rPr>
              <w:t xml:space="preserve"> % GDP; b) as % of total </w:t>
            </w:r>
            <w:r w:rsidR="009F0636">
              <w:rPr>
                <w:rFonts w:ascii="Gill Sans MT" w:hAnsi="Gill Sans MT"/>
                <w:sz w:val="20"/>
                <w:szCs w:val="20"/>
                <w:lang w:val="en-GB"/>
              </w:rPr>
              <w:t>expenditure</w:t>
            </w:r>
          </w:p>
        </w:tc>
        <w:tc>
          <w:tcPr>
            <w:tcW w:w="1537" w:type="dxa"/>
            <w:tcBorders>
              <w:top w:val="nil"/>
              <w:bottom w:val="single" w:sz="4" w:space="0" w:color="auto"/>
            </w:tcBorders>
          </w:tcPr>
          <w:p w14:paraId="286BEA84" w14:textId="77777777" w:rsidR="001E0D7B" w:rsidRDefault="009C7331" w:rsidP="009C7331">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Big increase:</w:t>
            </w:r>
          </w:p>
          <w:p w14:paraId="4F109ACD" w14:textId="77777777" w:rsidR="009C7331" w:rsidRDefault="009C7331" w:rsidP="009C7331">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a) 9.6 to 12.9%</w:t>
            </w:r>
          </w:p>
          <w:p w14:paraId="4B0F83F0" w14:textId="77777777" w:rsidR="009C7331" w:rsidRPr="00016EEB" w:rsidRDefault="009C7331" w:rsidP="009C7331">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b) 39 to 54%</w:t>
            </w:r>
          </w:p>
        </w:tc>
        <w:tc>
          <w:tcPr>
            <w:tcW w:w="1537" w:type="dxa"/>
            <w:tcBorders>
              <w:top w:val="nil"/>
              <w:bottom w:val="single" w:sz="4" w:space="0" w:color="auto"/>
            </w:tcBorders>
          </w:tcPr>
          <w:p w14:paraId="2D456362" w14:textId="77777777" w:rsidR="001E0D7B" w:rsidRDefault="00AB6CE5" w:rsidP="00AB6CE5">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Big increase:</w:t>
            </w:r>
          </w:p>
          <w:p w14:paraId="5A026E3B" w14:textId="77777777" w:rsidR="00AB6CE5" w:rsidRDefault="00AB6CE5" w:rsidP="00AB6CE5">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a) 14.4 to 21.6%</w:t>
            </w:r>
          </w:p>
          <w:p w14:paraId="2A4BC027" w14:textId="77777777" w:rsidR="00AB6CE5" w:rsidRPr="00016EEB" w:rsidRDefault="00AB6CE5" w:rsidP="00AB6CE5">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b) 61 to 67%</w:t>
            </w:r>
          </w:p>
        </w:tc>
        <w:tc>
          <w:tcPr>
            <w:tcW w:w="1537" w:type="dxa"/>
            <w:tcBorders>
              <w:top w:val="nil"/>
              <w:bottom w:val="single" w:sz="4" w:space="0" w:color="auto"/>
            </w:tcBorders>
          </w:tcPr>
          <w:p w14:paraId="37174F2B" w14:textId="77777777" w:rsidR="001E0D7B" w:rsidRDefault="009F0636" w:rsidP="009F0636">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Big increase:</w:t>
            </w:r>
          </w:p>
          <w:p w14:paraId="1444E48A" w14:textId="77777777" w:rsidR="009F0636" w:rsidRDefault="009F0636" w:rsidP="009F0636">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 xml:space="preserve">a) </w:t>
            </w:r>
            <w:r w:rsidR="00744559">
              <w:rPr>
                <w:rFonts w:ascii="Gill Sans MT" w:hAnsi="Gill Sans MT"/>
                <w:sz w:val="20"/>
                <w:szCs w:val="20"/>
                <w:lang w:val="en-GB"/>
              </w:rPr>
              <w:t>8.8 to 13.9%</w:t>
            </w:r>
          </w:p>
          <w:p w14:paraId="32003349" w14:textId="77777777" w:rsidR="00744559" w:rsidRDefault="00AB6CE5" w:rsidP="009F0636">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b) 40 to 53</w:t>
            </w:r>
            <w:r w:rsidR="00744559">
              <w:rPr>
                <w:rFonts w:ascii="Gill Sans MT" w:hAnsi="Gill Sans MT"/>
                <w:sz w:val="20"/>
                <w:szCs w:val="20"/>
                <w:lang w:val="en-GB"/>
              </w:rPr>
              <w:t>%</w:t>
            </w:r>
          </w:p>
          <w:p w14:paraId="4CBC575A" w14:textId="77777777" w:rsidR="009F0636" w:rsidRPr="00016EEB" w:rsidRDefault="009F0636" w:rsidP="009F0636">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p>
        </w:tc>
        <w:tc>
          <w:tcPr>
            <w:tcW w:w="1538" w:type="dxa"/>
            <w:tcBorders>
              <w:top w:val="nil"/>
              <w:bottom w:val="single" w:sz="4" w:space="0" w:color="auto"/>
            </w:tcBorders>
          </w:tcPr>
          <w:p w14:paraId="706FFDBF" w14:textId="77777777" w:rsidR="001E0D7B" w:rsidRDefault="00572ED1"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Big increase:</w:t>
            </w:r>
          </w:p>
          <w:p w14:paraId="1366715D" w14:textId="77777777" w:rsidR="001E0D7B" w:rsidRDefault="00572ED1"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a) 6.1% (2005) to 8.3% (2008);</w:t>
            </w:r>
          </w:p>
          <w:p w14:paraId="5C17C2B1" w14:textId="77777777" w:rsidR="00572ED1" w:rsidRPr="00EA46BD" w:rsidRDefault="00572ED1"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b) 35 to 45%</w:t>
            </w:r>
          </w:p>
        </w:tc>
      </w:tr>
      <w:tr w:rsidR="001E0D7B" w14:paraId="732A9403" w14:textId="77777777" w:rsidTr="0080137D">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tcBorders>
          </w:tcPr>
          <w:p w14:paraId="6A362995" w14:textId="77777777" w:rsidR="001E0D7B" w:rsidRPr="005E34B9" w:rsidRDefault="00E95A1D" w:rsidP="00C60220">
            <w:pPr>
              <w:rPr>
                <w:rFonts w:ascii="Gill Sans MT" w:hAnsi="Gill Sans MT"/>
                <w:sz w:val="20"/>
                <w:szCs w:val="20"/>
                <w:lang w:val="en-GB"/>
              </w:rPr>
            </w:pPr>
            <w:r>
              <w:rPr>
                <w:rFonts w:ascii="Gill Sans MT" w:hAnsi="Gill Sans MT"/>
                <w:sz w:val="20"/>
                <w:szCs w:val="20"/>
                <w:lang w:val="en-GB"/>
              </w:rPr>
              <w:t>Wages &amp; S</w:t>
            </w:r>
            <w:r w:rsidR="00593637">
              <w:rPr>
                <w:rFonts w:ascii="Gill Sans MT" w:hAnsi="Gill Sans MT"/>
                <w:sz w:val="20"/>
                <w:szCs w:val="20"/>
                <w:lang w:val="en-GB"/>
              </w:rPr>
              <w:t>alaries</w:t>
            </w:r>
            <w:r>
              <w:rPr>
                <w:rFonts w:ascii="Gill Sans MT" w:hAnsi="Gill Sans MT"/>
                <w:sz w:val="20"/>
                <w:szCs w:val="20"/>
                <w:lang w:val="en-GB"/>
              </w:rPr>
              <w:t xml:space="preserve"> </w:t>
            </w:r>
            <w:r w:rsidR="00744559">
              <w:rPr>
                <w:rFonts w:ascii="Gill Sans MT" w:hAnsi="Gill Sans MT"/>
                <w:sz w:val="20"/>
                <w:szCs w:val="20"/>
                <w:lang w:val="en-GB"/>
              </w:rPr>
              <w:t>as % GDP.</w:t>
            </w:r>
          </w:p>
        </w:tc>
        <w:tc>
          <w:tcPr>
            <w:tcW w:w="1537" w:type="dxa"/>
            <w:tcBorders>
              <w:top w:val="single" w:sz="4" w:space="0" w:color="auto"/>
            </w:tcBorders>
          </w:tcPr>
          <w:p w14:paraId="3AE616CA" w14:textId="77777777" w:rsidR="001E0D7B" w:rsidRDefault="009C7331"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Modest rise:</w:t>
            </w:r>
          </w:p>
          <w:p w14:paraId="28051F2C" w14:textId="77777777" w:rsidR="009C7331" w:rsidRPr="00016EEB" w:rsidRDefault="009C7331"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4.2% to 4.7%</w:t>
            </w:r>
          </w:p>
        </w:tc>
        <w:tc>
          <w:tcPr>
            <w:tcW w:w="1537" w:type="dxa"/>
            <w:tcBorders>
              <w:top w:val="single" w:sz="4" w:space="0" w:color="auto"/>
            </w:tcBorders>
          </w:tcPr>
          <w:p w14:paraId="6789A204" w14:textId="77777777" w:rsidR="001E0D7B" w:rsidRDefault="00AB6CE5"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Big increase:</w:t>
            </w:r>
          </w:p>
          <w:p w14:paraId="261954C9" w14:textId="77777777" w:rsidR="00AB6CE5" w:rsidRPr="00016EEB" w:rsidRDefault="00AB6CE5"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6.8 to 10.2%</w:t>
            </w:r>
          </w:p>
        </w:tc>
        <w:tc>
          <w:tcPr>
            <w:tcW w:w="1537" w:type="dxa"/>
            <w:tcBorders>
              <w:top w:val="single" w:sz="4" w:space="0" w:color="auto"/>
            </w:tcBorders>
          </w:tcPr>
          <w:p w14:paraId="34D67AFD" w14:textId="77777777" w:rsidR="001E0D7B" w:rsidRDefault="00744559"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Big increase:</w:t>
            </w:r>
          </w:p>
          <w:p w14:paraId="2338F8D4" w14:textId="77777777" w:rsidR="00744559" w:rsidRDefault="00744559"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3.9 to 6.6%</w:t>
            </w:r>
          </w:p>
          <w:p w14:paraId="5BAEAA57" w14:textId="77777777" w:rsidR="00744559" w:rsidRPr="00016EEB" w:rsidRDefault="00744559"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p>
        </w:tc>
        <w:tc>
          <w:tcPr>
            <w:tcW w:w="1538" w:type="dxa"/>
            <w:tcBorders>
              <w:top w:val="single" w:sz="4" w:space="0" w:color="auto"/>
            </w:tcBorders>
          </w:tcPr>
          <w:p w14:paraId="56C9B6D4" w14:textId="77777777" w:rsidR="001E0D7B" w:rsidRDefault="00CA795E"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Modest rise:</w:t>
            </w:r>
          </w:p>
          <w:p w14:paraId="1377BA16" w14:textId="77777777" w:rsidR="00CA795E" w:rsidRPr="00EA46BD" w:rsidRDefault="00CA795E" w:rsidP="00223887">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7.6 to 8.1%</w:t>
            </w:r>
          </w:p>
        </w:tc>
      </w:tr>
    </w:tbl>
    <w:p w14:paraId="437D35DE" w14:textId="77777777" w:rsidR="001E0D7B" w:rsidRPr="00223323" w:rsidRDefault="001E0D7B" w:rsidP="001E0D7B">
      <w:pPr>
        <w:rPr>
          <w:rFonts w:ascii="Gill Sans MT" w:hAnsi="Gill Sans MT"/>
          <w:sz w:val="18"/>
          <w:szCs w:val="18"/>
          <w:lang w:val="en-GB"/>
        </w:rPr>
      </w:pPr>
      <w:r w:rsidRPr="00223323">
        <w:rPr>
          <w:rFonts w:ascii="Gill Sans MT" w:hAnsi="Gill Sans MT"/>
          <w:sz w:val="18"/>
          <w:szCs w:val="18"/>
          <w:u w:val="single"/>
          <w:lang w:val="en-GB"/>
        </w:rPr>
        <w:t xml:space="preserve">Sources: </w:t>
      </w:r>
      <w:r w:rsidR="00572ED1">
        <w:rPr>
          <w:rFonts w:ascii="Gill Sans MT" w:hAnsi="Gill Sans MT"/>
          <w:sz w:val="18"/>
          <w:szCs w:val="18"/>
          <w:lang w:val="en-GB"/>
        </w:rPr>
        <w:t>Evaluation reports</w:t>
      </w:r>
      <w:r w:rsidR="00127AC7">
        <w:rPr>
          <w:rFonts w:ascii="Gill Sans MT" w:hAnsi="Gill Sans MT"/>
          <w:sz w:val="18"/>
          <w:szCs w:val="18"/>
          <w:lang w:val="en-GB"/>
        </w:rPr>
        <w:t xml:space="preserve">: </w:t>
      </w:r>
      <w:r w:rsidR="00572ED1">
        <w:rPr>
          <w:rFonts w:ascii="Gill Sans MT" w:hAnsi="Gill Sans MT"/>
          <w:sz w:val="18"/>
          <w:szCs w:val="18"/>
          <w:lang w:val="en-GB"/>
        </w:rPr>
        <w:t>(Data on poverty-reducing expenditure used for Zambia as “priority sector expenditure”).</w:t>
      </w:r>
    </w:p>
    <w:p w14:paraId="0082BD6A" w14:textId="77777777" w:rsidR="006D287F" w:rsidRPr="00C61E30" w:rsidRDefault="006D287F" w:rsidP="006D287F">
      <w:pPr>
        <w:pStyle w:val="BodyText"/>
        <w:numPr>
          <w:ilvl w:val="0"/>
          <w:numId w:val="2"/>
        </w:numPr>
        <w:spacing w:line="360" w:lineRule="auto"/>
        <w:ind w:left="499" w:hanging="357"/>
        <w:rPr>
          <w:rFonts w:ascii="Gill Sans MT" w:hAnsi="Gill Sans MT"/>
          <w:sz w:val="20"/>
          <w:szCs w:val="12"/>
        </w:rPr>
      </w:pPr>
      <w:r w:rsidRPr="00A95F70">
        <w:rPr>
          <w:rFonts w:ascii="Gill Sans MT" w:hAnsi="Gill Sans MT"/>
          <w:b/>
          <w:sz w:val="20"/>
          <w:szCs w:val="12"/>
        </w:rPr>
        <w:t xml:space="preserve">Especially notable is the contribution of budget support to increased poverty-reducing or priority </w:t>
      </w:r>
      <w:r>
        <w:rPr>
          <w:rFonts w:ascii="Gill Sans MT" w:hAnsi="Gill Sans MT"/>
          <w:b/>
          <w:sz w:val="20"/>
          <w:szCs w:val="12"/>
        </w:rPr>
        <w:t xml:space="preserve">sector </w:t>
      </w:r>
      <w:r w:rsidRPr="00A95F70">
        <w:rPr>
          <w:rFonts w:ascii="Gill Sans MT" w:hAnsi="Gill Sans MT"/>
          <w:b/>
          <w:sz w:val="20"/>
          <w:szCs w:val="12"/>
        </w:rPr>
        <w:t>expenditure</w:t>
      </w:r>
      <w:r>
        <w:rPr>
          <w:rFonts w:ascii="Gill Sans MT" w:hAnsi="Gill Sans MT"/>
          <w:sz w:val="20"/>
          <w:szCs w:val="12"/>
        </w:rPr>
        <w:t xml:space="preserve">. These expenditures are defined slightly differently in each country but invariably include recurrent and investment expenditure on education, health, water, agriculture, roads and social protection. Detailed analyses of expenditure changes in each country evaluation suggest that the primary beneficiaries of budget support funding were education, health and social development in Mali, education and to a lesser extent agriculture and good governance in Mozambique, education and roads in Tanzania and health, education and agriculture in Zambia. The levels of spending attained in these sectors would not have been possible in the absence of budget support; nor is there any evidence of allocations </w:t>
      </w:r>
      <w:r>
        <w:rPr>
          <w:rFonts w:ascii="Gill Sans MT" w:hAnsi="Gill Sans MT"/>
          <w:sz w:val="20"/>
          <w:szCs w:val="12"/>
        </w:rPr>
        <w:lastRenderedPageBreak/>
        <w:t>from tax resources being “crowded out” by budget support, indeed the opposite is the case in Zambia, where there is evidence of additional domestic resources being “crowded in” by budget support. (IOB, 2011; pp. 136-148.)</w:t>
      </w:r>
    </w:p>
    <w:p w14:paraId="35886C60" w14:textId="77777777" w:rsidR="00587C36" w:rsidRPr="00587C36" w:rsidRDefault="00587C36" w:rsidP="007A0AB1">
      <w:pPr>
        <w:pStyle w:val="BodyText"/>
        <w:numPr>
          <w:ilvl w:val="0"/>
          <w:numId w:val="2"/>
        </w:numPr>
        <w:spacing w:line="360" w:lineRule="auto"/>
        <w:ind w:left="499" w:hanging="357"/>
        <w:rPr>
          <w:rFonts w:ascii="Gill Sans MT" w:hAnsi="Gill Sans MT"/>
          <w:sz w:val="20"/>
          <w:szCs w:val="12"/>
        </w:rPr>
      </w:pPr>
      <w:r w:rsidRPr="00160FD1">
        <w:rPr>
          <w:rFonts w:ascii="Gill Sans MT" w:hAnsi="Gill Sans MT"/>
          <w:b/>
          <w:sz w:val="20"/>
          <w:szCs w:val="12"/>
        </w:rPr>
        <w:t>Increased expenditure on health and education generated additional sector outputs,</w:t>
      </w:r>
      <w:r>
        <w:rPr>
          <w:rFonts w:ascii="Gill Sans MT" w:hAnsi="Gill Sans MT"/>
          <w:sz w:val="20"/>
          <w:szCs w:val="12"/>
        </w:rPr>
        <w:t xml:space="preserve"> which were found from the “Step Two” analyses conducted to be closely correlated with sector outcomes.  </w:t>
      </w:r>
      <w:r w:rsidR="00025BDA">
        <w:rPr>
          <w:rFonts w:ascii="Gill Sans MT" w:hAnsi="Gill Sans MT"/>
          <w:sz w:val="20"/>
          <w:szCs w:val="12"/>
        </w:rPr>
        <w:t>For example, in Mali, w</w:t>
      </w:r>
      <w:r w:rsidR="001A698E" w:rsidRPr="008A1D64">
        <w:rPr>
          <w:rFonts w:ascii="Gill Sans MT" w:hAnsi="Gill Sans MT"/>
          <w:sz w:val="20"/>
          <w:szCs w:val="12"/>
        </w:rPr>
        <w:t>ithout the additional funding of SBS and GBS, it would have been impo</w:t>
      </w:r>
      <w:r w:rsidR="00025BDA">
        <w:rPr>
          <w:rFonts w:ascii="Gill Sans MT" w:hAnsi="Gill Sans MT"/>
          <w:sz w:val="20"/>
          <w:szCs w:val="12"/>
        </w:rPr>
        <w:t xml:space="preserve">ssible to generate the education </w:t>
      </w:r>
      <w:r w:rsidR="001A698E" w:rsidRPr="008A1D64">
        <w:rPr>
          <w:rFonts w:ascii="Gill Sans MT" w:hAnsi="Gill Sans MT"/>
          <w:sz w:val="20"/>
          <w:szCs w:val="12"/>
        </w:rPr>
        <w:t>sector outputs (school buildings, teachers and te</w:t>
      </w:r>
      <w:r w:rsidR="00160FD1">
        <w:rPr>
          <w:rFonts w:ascii="Gill Sans MT" w:hAnsi="Gill Sans MT"/>
          <w:sz w:val="20"/>
          <w:szCs w:val="12"/>
        </w:rPr>
        <w:t>xtbooks) correlated with improved outcomes</w:t>
      </w:r>
      <w:r w:rsidR="001A698E" w:rsidRPr="008A1D64">
        <w:rPr>
          <w:rFonts w:ascii="Gill Sans MT" w:hAnsi="Gill Sans MT"/>
          <w:sz w:val="20"/>
          <w:szCs w:val="12"/>
        </w:rPr>
        <w:t>.</w:t>
      </w:r>
      <w:r w:rsidR="00025BDA">
        <w:rPr>
          <w:rFonts w:ascii="Gill Sans MT" w:hAnsi="Gill Sans MT"/>
          <w:sz w:val="20"/>
          <w:szCs w:val="12"/>
        </w:rPr>
        <w:t xml:space="preserve"> </w:t>
      </w:r>
      <w:r w:rsidR="00160FD1" w:rsidRPr="009A6C05">
        <w:rPr>
          <w:rFonts w:ascii="Gill Sans MT" w:hAnsi="Gill Sans MT" w:cs="Century Gothic"/>
          <w:color w:val="000000"/>
          <w:sz w:val="20"/>
          <w:lang w:val="en-US" w:eastAsia="en-GB"/>
        </w:rPr>
        <w:t>GBS</w:t>
      </w:r>
      <w:r w:rsidR="00160FD1">
        <w:rPr>
          <w:rFonts w:ascii="Gill Sans MT" w:hAnsi="Gill Sans MT" w:cs="Century Gothic"/>
          <w:color w:val="000000"/>
          <w:sz w:val="20"/>
          <w:lang w:val="en-US" w:eastAsia="en-GB"/>
        </w:rPr>
        <w:t xml:space="preserve"> </w:t>
      </w:r>
      <w:r w:rsidR="00160FD1" w:rsidRPr="009A6C05">
        <w:rPr>
          <w:rFonts w:ascii="Gill Sans MT" w:hAnsi="Gill Sans MT" w:cs="Century Gothic"/>
          <w:color w:val="000000"/>
          <w:sz w:val="20"/>
          <w:lang w:val="en-US" w:eastAsia="en-GB"/>
        </w:rPr>
        <w:t>and</w:t>
      </w:r>
      <w:r w:rsidR="00160FD1">
        <w:rPr>
          <w:rFonts w:ascii="Gill Sans MT" w:hAnsi="Gill Sans MT" w:cs="Century Gothic"/>
          <w:color w:val="000000"/>
          <w:sz w:val="20"/>
          <w:lang w:val="en-US" w:eastAsia="en-GB"/>
        </w:rPr>
        <w:t xml:space="preserve"> </w:t>
      </w:r>
      <w:r w:rsidR="00160FD1" w:rsidRPr="009A6C05">
        <w:rPr>
          <w:rFonts w:ascii="Gill Sans MT" w:hAnsi="Gill Sans MT" w:cs="Century Gothic"/>
          <w:color w:val="000000"/>
          <w:sz w:val="20"/>
          <w:lang w:val="en-US" w:eastAsia="en-GB"/>
        </w:rPr>
        <w:t>SBS funds contributed in a major w</w:t>
      </w:r>
      <w:r w:rsidR="00160FD1">
        <w:rPr>
          <w:rFonts w:ascii="Gill Sans MT" w:hAnsi="Gill Sans MT" w:cs="Century Gothic"/>
          <w:color w:val="000000"/>
          <w:sz w:val="20"/>
          <w:lang w:val="en-US" w:eastAsia="en-GB"/>
        </w:rPr>
        <w:t xml:space="preserve">ay to the financing of expanded health </w:t>
      </w:r>
      <w:r w:rsidR="00160FD1" w:rsidRPr="009A6C05">
        <w:rPr>
          <w:rFonts w:ascii="Gill Sans MT" w:hAnsi="Gill Sans MT" w:cs="Century Gothic"/>
          <w:color w:val="000000"/>
          <w:sz w:val="20"/>
          <w:lang w:val="en-US" w:eastAsia="en-GB"/>
        </w:rPr>
        <w:t>sector infrastructure and GBS (on its own) to the financing of additional health personnel</w:t>
      </w:r>
      <w:r w:rsidR="00160FD1">
        <w:rPr>
          <w:rFonts w:ascii="Gill Sans MT" w:hAnsi="Gill Sans MT" w:cs="Century Gothic"/>
          <w:color w:val="000000"/>
          <w:sz w:val="20"/>
          <w:lang w:val="en-US" w:eastAsia="en-GB"/>
        </w:rPr>
        <w:t xml:space="preserve">. In Zambia, </w:t>
      </w:r>
      <w:r w:rsidR="00160FD1" w:rsidRPr="000A552E">
        <w:rPr>
          <w:rFonts w:ascii="Gill Sans MT" w:hAnsi="Gill Sans MT"/>
          <w:sz w:val="20"/>
          <w:szCs w:val="12"/>
        </w:rPr>
        <w:t>the budget increases to the health</w:t>
      </w:r>
      <w:r w:rsidR="00160FD1">
        <w:rPr>
          <w:rFonts w:ascii="Gill Sans MT" w:hAnsi="Gill Sans MT"/>
          <w:sz w:val="20"/>
          <w:szCs w:val="12"/>
        </w:rPr>
        <w:t xml:space="preserve"> sector contributed to improved service delivery and especially to improved primary health facilities in urban and rural areas. The number of health workers increased from 12,000 in 2005 to 17,000 in 2010 and the availability of essential drugs improved from 71% to 82%.</w:t>
      </w:r>
    </w:p>
    <w:p w14:paraId="4DB279D6" w14:textId="77777777" w:rsidR="007A7EA2" w:rsidRPr="00587C36" w:rsidRDefault="007A7EA2" w:rsidP="007A0AB1">
      <w:pPr>
        <w:pStyle w:val="BodyText"/>
        <w:numPr>
          <w:ilvl w:val="0"/>
          <w:numId w:val="2"/>
        </w:numPr>
        <w:spacing w:line="360" w:lineRule="auto"/>
        <w:ind w:left="499" w:hanging="357"/>
        <w:rPr>
          <w:rFonts w:ascii="Gill Sans MT" w:hAnsi="Gill Sans MT"/>
          <w:sz w:val="20"/>
          <w:szCs w:val="12"/>
        </w:rPr>
      </w:pPr>
      <w:r w:rsidRPr="00587C36">
        <w:rPr>
          <w:rFonts w:ascii="Gill Sans MT" w:hAnsi="Gill Sans MT"/>
          <w:b/>
          <w:sz w:val="20"/>
          <w:szCs w:val="12"/>
        </w:rPr>
        <w:t>There is no evidence of budget support generating disincentive effects to domestic revenue generation.</w:t>
      </w:r>
      <w:r w:rsidRPr="00587C36">
        <w:rPr>
          <w:rFonts w:ascii="Gill Sans MT" w:hAnsi="Gill Sans MT"/>
          <w:sz w:val="20"/>
          <w:szCs w:val="12"/>
        </w:rPr>
        <w:t xml:space="preserve"> </w:t>
      </w:r>
      <w:r w:rsidR="00B218B7" w:rsidRPr="00587C36">
        <w:rPr>
          <w:rFonts w:ascii="Gill Sans MT" w:hAnsi="Gill Sans MT"/>
          <w:sz w:val="20"/>
          <w:szCs w:val="12"/>
        </w:rPr>
        <w:t xml:space="preserve">This is consistent with the findings of cross-sectional analysis presented in IOB (2012), which show no statistically signficant impact of budget support on tax revenue. </w:t>
      </w:r>
      <w:r w:rsidR="00CD7983" w:rsidRPr="00587C36">
        <w:rPr>
          <w:rFonts w:ascii="Gill Sans MT" w:hAnsi="Gill Sans MT"/>
          <w:sz w:val="20"/>
          <w:szCs w:val="12"/>
        </w:rPr>
        <w:t xml:space="preserve">In each </w:t>
      </w:r>
      <w:r w:rsidR="00B218B7" w:rsidRPr="00587C36">
        <w:rPr>
          <w:rFonts w:ascii="Gill Sans MT" w:hAnsi="Gill Sans MT"/>
          <w:sz w:val="20"/>
          <w:szCs w:val="12"/>
        </w:rPr>
        <w:t>of the four countries</w:t>
      </w:r>
      <w:r w:rsidR="00CD7983" w:rsidRPr="00587C36">
        <w:rPr>
          <w:rFonts w:ascii="Gill Sans MT" w:hAnsi="Gill Sans MT"/>
          <w:sz w:val="20"/>
          <w:szCs w:val="12"/>
        </w:rPr>
        <w:t>, b</w:t>
      </w:r>
      <w:r w:rsidRPr="00587C36">
        <w:rPr>
          <w:rFonts w:ascii="Gill Sans MT" w:hAnsi="Gill Sans MT"/>
          <w:sz w:val="20"/>
          <w:szCs w:val="12"/>
        </w:rPr>
        <w:t xml:space="preserve">udget support has been associated </w:t>
      </w:r>
      <w:r w:rsidR="00CD7983" w:rsidRPr="00587C36">
        <w:rPr>
          <w:rFonts w:ascii="Gill Sans MT" w:hAnsi="Gill Sans MT"/>
          <w:sz w:val="20"/>
          <w:szCs w:val="12"/>
        </w:rPr>
        <w:t xml:space="preserve">with substantial real increases in revenue collections, </w:t>
      </w:r>
      <w:r w:rsidR="00160FD1">
        <w:rPr>
          <w:rFonts w:ascii="Gill Sans MT" w:hAnsi="Gill Sans MT"/>
          <w:sz w:val="20"/>
          <w:szCs w:val="12"/>
        </w:rPr>
        <w:t>and in Mozambique and Tanzania with extensive revenue reforms, which gene</w:t>
      </w:r>
      <w:r w:rsidR="0053292F">
        <w:rPr>
          <w:rFonts w:ascii="Gill Sans MT" w:hAnsi="Gill Sans MT"/>
          <w:sz w:val="20"/>
          <w:szCs w:val="12"/>
        </w:rPr>
        <w:t xml:space="preserve">rated significant increases in </w:t>
      </w:r>
      <w:r w:rsidR="00160FD1" w:rsidRPr="00587C36">
        <w:rPr>
          <w:rFonts w:ascii="Gill Sans MT" w:hAnsi="Gill Sans MT"/>
          <w:sz w:val="20"/>
          <w:szCs w:val="12"/>
        </w:rPr>
        <w:t>the revenue share in GDP</w:t>
      </w:r>
      <w:r w:rsidR="0053292F">
        <w:rPr>
          <w:rFonts w:ascii="Gill Sans MT" w:hAnsi="Gill Sans MT"/>
          <w:sz w:val="20"/>
          <w:szCs w:val="12"/>
        </w:rPr>
        <w:t>.</w:t>
      </w:r>
    </w:p>
    <w:p w14:paraId="52F8F436" w14:textId="77777777" w:rsidR="005A4D78" w:rsidRPr="00EA1242" w:rsidRDefault="008A1D64" w:rsidP="007A0AB1">
      <w:pPr>
        <w:pStyle w:val="BodyText"/>
        <w:numPr>
          <w:ilvl w:val="0"/>
          <w:numId w:val="2"/>
        </w:numPr>
        <w:spacing w:line="360" w:lineRule="auto"/>
        <w:ind w:left="499" w:hanging="357"/>
        <w:rPr>
          <w:rFonts w:ascii="Gill Sans MT" w:hAnsi="Gill Sans MT"/>
          <w:sz w:val="20"/>
          <w:szCs w:val="12"/>
        </w:rPr>
      </w:pPr>
      <w:r w:rsidRPr="008A1D64">
        <w:rPr>
          <w:rFonts w:ascii="Gill Sans MT" w:hAnsi="Gill Sans MT"/>
          <w:b/>
          <w:sz w:val="20"/>
          <w:szCs w:val="12"/>
        </w:rPr>
        <w:t>Improvements in the quality of public finance management</w:t>
      </w:r>
      <w:r w:rsidR="000851AD">
        <w:rPr>
          <w:rFonts w:ascii="Gill Sans MT" w:hAnsi="Gill Sans MT"/>
          <w:b/>
          <w:sz w:val="20"/>
          <w:szCs w:val="12"/>
        </w:rPr>
        <w:t xml:space="preserve"> (PFM) have been recorded</w:t>
      </w:r>
      <w:r w:rsidR="0053292F">
        <w:rPr>
          <w:rFonts w:ascii="Gill Sans MT" w:hAnsi="Gill Sans MT"/>
          <w:b/>
          <w:sz w:val="20"/>
          <w:szCs w:val="12"/>
        </w:rPr>
        <w:t xml:space="preserve"> in </w:t>
      </w:r>
      <w:r w:rsidRPr="008A1D64">
        <w:rPr>
          <w:rFonts w:ascii="Gill Sans MT" w:hAnsi="Gill Sans MT"/>
          <w:b/>
          <w:sz w:val="20"/>
          <w:szCs w:val="12"/>
        </w:rPr>
        <w:t>the four countries.</w:t>
      </w:r>
      <w:r>
        <w:rPr>
          <w:rFonts w:ascii="Gill Sans MT" w:hAnsi="Gill Sans MT"/>
          <w:sz w:val="20"/>
          <w:szCs w:val="12"/>
        </w:rPr>
        <w:t xml:space="preserve"> </w:t>
      </w:r>
      <w:r w:rsidR="000851AD">
        <w:rPr>
          <w:rFonts w:ascii="Gill Sans MT" w:hAnsi="Gill Sans MT"/>
          <w:sz w:val="20"/>
          <w:szCs w:val="12"/>
        </w:rPr>
        <w:t>Improvements are evidenced in the repeat PEFA assessments and also in independen</w:t>
      </w:r>
      <w:r w:rsidR="009414AF">
        <w:rPr>
          <w:rFonts w:ascii="Gill Sans MT" w:hAnsi="Gill Sans MT"/>
          <w:sz w:val="20"/>
          <w:szCs w:val="12"/>
        </w:rPr>
        <w:t>t reports by the IMF Fiscal Aff</w:t>
      </w:r>
      <w:r w:rsidR="000851AD">
        <w:rPr>
          <w:rFonts w:ascii="Gill Sans MT" w:hAnsi="Gill Sans MT"/>
          <w:sz w:val="20"/>
          <w:szCs w:val="12"/>
        </w:rPr>
        <w:t>a</w:t>
      </w:r>
      <w:r w:rsidR="009414AF">
        <w:rPr>
          <w:rFonts w:ascii="Gill Sans MT" w:hAnsi="Gill Sans MT"/>
          <w:sz w:val="20"/>
          <w:szCs w:val="12"/>
        </w:rPr>
        <w:t>i</w:t>
      </w:r>
      <w:r w:rsidR="000851AD">
        <w:rPr>
          <w:rFonts w:ascii="Gill Sans MT" w:hAnsi="Gill Sans MT"/>
          <w:sz w:val="20"/>
          <w:szCs w:val="12"/>
        </w:rPr>
        <w:t xml:space="preserve">rs Department. </w:t>
      </w:r>
      <w:r w:rsidR="000A46A7">
        <w:rPr>
          <w:rFonts w:ascii="Gill Sans MT" w:hAnsi="Gill Sans MT"/>
          <w:sz w:val="20"/>
          <w:szCs w:val="12"/>
        </w:rPr>
        <w:t>The evaluations conclude that the combination of a structured set of PFM reform targets incorporated in the PAF, increased domestic budget funding (enhanced by GBS) and substantial technical assistance has been successful in generating a faster rate of progress in PFM reform than would have been achieved in the abse</w:t>
      </w:r>
      <w:r w:rsidR="000851AD">
        <w:rPr>
          <w:rFonts w:ascii="Gill Sans MT" w:hAnsi="Gill Sans MT"/>
          <w:sz w:val="20"/>
          <w:szCs w:val="12"/>
        </w:rPr>
        <w:t>nce of budget support.</w:t>
      </w:r>
      <w:r w:rsidR="002D3221">
        <w:rPr>
          <w:rFonts w:ascii="Gill Sans MT" w:hAnsi="Gill Sans MT"/>
          <w:sz w:val="20"/>
          <w:szCs w:val="12"/>
        </w:rPr>
        <w:t xml:space="preserve"> This result is consistent with</w:t>
      </w:r>
      <w:r w:rsidR="0053292F">
        <w:rPr>
          <w:rFonts w:ascii="Gill Sans MT" w:hAnsi="Gill Sans MT"/>
          <w:sz w:val="20"/>
          <w:szCs w:val="12"/>
        </w:rPr>
        <w:t xml:space="preserve"> </w:t>
      </w:r>
      <w:r w:rsidR="00FB64C3">
        <w:rPr>
          <w:rFonts w:ascii="Gill Sans MT" w:hAnsi="Gill Sans MT"/>
          <w:sz w:val="20"/>
          <w:szCs w:val="12"/>
        </w:rPr>
        <w:t>De Renzio et al (2010)</w:t>
      </w:r>
      <w:r w:rsidR="006C198A">
        <w:rPr>
          <w:rStyle w:val="FootnoteReference"/>
          <w:rFonts w:ascii="Gill Sans MT" w:hAnsi="Gill Sans MT"/>
          <w:sz w:val="20"/>
          <w:szCs w:val="12"/>
        </w:rPr>
        <w:footnoteReference w:id="28"/>
      </w:r>
      <w:r w:rsidR="0053292F">
        <w:rPr>
          <w:rFonts w:ascii="Gill Sans MT" w:hAnsi="Gill Sans MT"/>
          <w:sz w:val="20"/>
          <w:szCs w:val="12"/>
        </w:rPr>
        <w:t xml:space="preserve">, who </w:t>
      </w:r>
      <w:r w:rsidR="006C198A">
        <w:rPr>
          <w:rFonts w:ascii="Gill Sans MT" w:hAnsi="Gill Sans MT"/>
          <w:sz w:val="20"/>
          <w:szCs w:val="12"/>
        </w:rPr>
        <w:t>in a cross-sectional analysis of PEFA assessments in 100 countries</w:t>
      </w:r>
      <w:r w:rsidR="00EA1242">
        <w:rPr>
          <w:rFonts w:ascii="Gill Sans MT" w:hAnsi="Gill Sans MT"/>
          <w:sz w:val="20"/>
          <w:szCs w:val="12"/>
        </w:rPr>
        <w:t xml:space="preserve"> </w:t>
      </w:r>
      <w:r w:rsidR="0053292F">
        <w:rPr>
          <w:rFonts w:ascii="Gill Sans MT" w:hAnsi="Gill Sans MT"/>
          <w:sz w:val="20"/>
          <w:szCs w:val="12"/>
        </w:rPr>
        <w:t xml:space="preserve">find </w:t>
      </w:r>
      <w:r w:rsidR="00EA1242">
        <w:rPr>
          <w:rFonts w:ascii="Gill Sans MT" w:hAnsi="Gill Sans MT"/>
          <w:sz w:val="20"/>
          <w:szCs w:val="12"/>
        </w:rPr>
        <w:t xml:space="preserve">that the </w:t>
      </w:r>
      <w:r w:rsidR="00EA1242" w:rsidRPr="00DF5566">
        <w:rPr>
          <w:rFonts w:ascii="Gill Sans MT" w:hAnsi="Gill Sans MT"/>
          <w:sz w:val="20"/>
          <w:lang w:val="en-GB"/>
        </w:rPr>
        <w:t>share of total aid provided as</w:t>
      </w:r>
      <w:r w:rsidR="00954208">
        <w:rPr>
          <w:rFonts w:ascii="Gill Sans MT" w:hAnsi="Gill Sans MT"/>
          <w:sz w:val="20"/>
          <w:lang w:val="en-GB"/>
        </w:rPr>
        <w:t xml:space="preserve"> GBS</w:t>
      </w:r>
      <w:r w:rsidR="00EA1242">
        <w:rPr>
          <w:rFonts w:ascii="Gill Sans MT" w:hAnsi="Gill Sans MT"/>
          <w:sz w:val="20"/>
          <w:lang w:val="en-GB"/>
        </w:rPr>
        <w:t xml:space="preserve"> is </w:t>
      </w:r>
      <w:r w:rsidR="00EA1242" w:rsidRPr="00DF5566">
        <w:rPr>
          <w:rFonts w:ascii="Gill Sans MT" w:hAnsi="Gill Sans MT"/>
          <w:sz w:val="20"/>
          <w:lang w:val="en-GB"/>
        </w:rPr>
        <w:t>positively and significantly associated with better PFM quality.</w:t>
      </w:r>
    </w:p>
    <w:p w14:paraId="33BDA3EB" w14:textId="77777777" w:rsidR="00EA1242" w:rsidRDefault="00EA1242" w:rsidP="007A0AB1">
      <w:pPr>
        <w:pStyle w:val="BodyText"/>
        <w:numPr>
          <w:ilvl w:val="0"/>
          <w:numId w:val="2"/>
        </w:numPr>
        <w:spacing w:line="360" w:lineRule="auto"/>
        <w:ind w:left="499" w:hanging="357"/>
        <w:rPr>
          <w:rFonts w:ascii="Gill Sans MT" w:hAnsi="Gill Sans MT"/>
          <w:sz w:val="20"/>
          <w:szCs w:val="12"/>
        </w:rPr>
      </w:pPr>
      <w:r w:rsidRPr="00EA1242">
        <w:rPr>
          <w:rFonts w:ascii="Gill Sans MT" w:hAnsi="Gill Sans MT"/>
          <w:sz w:val="20"/>
          <w:szCs w:val="12"/>
        </w:rPr>
        <w:t>Notwithstanding the favourable progress with PFM reforms identified in each country, the evaluations also sound some warning notes regarding the</w:t>
      </w:r>
      <w:r w:rsidR="002205D0">
        <w:rPr>
          <w:rFonts w:ascii="Gill Sans MT" w:hAnsi="Gill Sans MT"/>
          <w:sz w:val="20"/>
          <w:szCs w:val="12"/>
        </w:rPr>
        <w:t xml:space="preserve"> scope and direction of reforms</w:t>
      </w:r>
      <w:r>
        <w:rPr>
          <w:rFonts w:ascii="Gill Sans MT" w:hAnsi="Gill Sans MT"/>
          <w:sz w:val="20"/>
          <w:szCs w:val="12"/>
        </w:rPr>
        <w:t>:</w:t>
      </w:r>
    </w:p>
    <w:p w14:paraId="0D464238" w14:textId="77777777" w:rsidR="00DE3D13" w:rsidRDefault="00EA1242" w:rsidP="00D81DB3">
      <w:pPr>
        <w:pStyle w:val="BodyText"/>
        <w:numPr>
          <w:ilvl w:val="0"/>
          <w:numId w:val="18"/>
        </w:numPr>
        <w:spacing w:line="360" w:lineRule="auto"/>
        <w:rPr>
          <w:rFonts w:ascii="Gill Sans MT" w:hAnsi="Gill Sans MT"/>
          <w:sz w:val="20"/>
          <w:szCs w:val="12"/>
        </w:rPr>
      </w:pPr>
      <w:r>
        <w:rPr>
          <w:rFonts w:ascii="Gill Sans MT" w:hAnsi="Gill Sans MT"/>
          <w:sz w:val="20"/>
          <w:szCs w:val="12"/>
        </w:rPr>
        <w:t xml:space="preserve">In Mali, the evaluation points to long-standing problems with the processes of treasury management, commitment control, and the preparation of bank reconciliations and management accounts – a linked network of deficiencies, arising from the partial </w:t>
      </w:r>
      <w:r>
        <w:rPr>
          <w:rFonts w:ascii="Gill Sans MT" w:hAnsi="Gill Sans MT"/>
          <w:sz w:val="20"/>
          <w:szCs w:val="12"/>
        </w:rPr>
        <w:lastRenderedPageBreak/>
        <w:t xml:space="preserve">coverage of controls, particularly with regard to </w:t>
      </w:r>
      <w:r w:rsidR="00DE3D13">
        <w:rPr>
          <w:rFonts w:ascii="Gill Sans MT" w:hAnsi="Gill Sans MT"/>
          <w:sz w:val="20"/>
          <w:szCs w:val="12"/>
        </w:rPr>
        <w:t xml:space="preserve">autonomous government agencies, </w:t>
      </w:r>
      <w:r>
        <w:rPr>
          <w:rFonts w:ascii="Gill Sans MT" w:hAnsi="Gill Sans MT"/>
          <w:sz w:val="20"/>
          <w:szCs w:val="12"/>
        </w:rPr>
        <w:t xml:space="preserve">project accounts, </w:t>
      </w:r>
      <w:r w:rsidR="00DE3D13">
        <w:rPr>
          <w:rFonts w:ascii="Gill Sans MT" w:hAnsi="Gill Sans MT"/>
          <w:sz w:val="20"/>
          <w:szCs w:val="12"/>
        </w:rPr>
        <w:t xml:space="preserve">and </w:t>
      </w:r>
      <w:r>
        <w:rPr>
          <w:rFonts w:ascii="Gill Sans MT" w:hAnsi="Gill Sans MT"/>
          <w:sz w:val="20"/>
          <w:szCs w:val="12"/>
        </w:rPr>
        <w:t>facilities for ‘emergency a</w:t>
      </w:r>
      <w:r w:rsidR="00DE3D13">
        <w:rPr>
          <w:rFonts w:ascii="Gill Sans MT" w:hAnsi="Gill Sans MT"/>
          <w:sz w:val="20"/>
          <w:szCs w:val="12"/>
        </w:rPr>
        <w:t xml:space="preserve">uthorisation of expenditure’; </w:t>
      </w:r>
    </w:p>
    <w:p w14:paraId="5B671BA2" w14:textId="77777777" w:rsidR="00EA1242" w:rsidRDefault="00DE3D13" w:rsidP="00D81DB3">
      <w:pPr>
        <w:pStyle w:val="BodyText"/>
        <w:numPr>
          <w:ilvl w:val="0"/>
          <w:numId w:val="18"/>
        </w:numPr>
        <w:spacing w:line="360" w:lineRule="auto"/>
        <w:rPr>
          <w:rFonts w:ascii="Gill Sans MT" w:hAnsi="Gill Sans MT"/>
          <w:sz w:val="20"/>
          <w:szCs w:val="12"/>
        </w:rPr>
      </w:pPr>
      <w:r>
        <w:rPr>
          <w:rFonts w:ascii="Gill Sans MT" w:hAnsi="Gill Sans MT"/>
          <w:sz w:val="20"/>
          <w:szCs w:val="12"/>
        </w:rPr>
        <w:t xml:space="preserve">In Tanzania, a similar set of problems is identified, giving rise to very substantial payment arrears. The evaluation points to the absence in the PFM reform plan of corrective actions to address these problems and the misplaced attention to more sophisticated reforms such as programme-budgeting, the migration to accrual based accounting and the extension of the integrated financial management system to local governments; </w:t>
      </w:r>
    </w:p>
    <w:p w14:paraId="1D9C0606" w14:textId="77777777" w:rsidR="002205D0" w:rsidRDefault="002205D0" w:rsidP="00D81DB3">
      <w:pPr>
        <w:pStyle w:val="BodyText"/>
        <w:numPr>
          <w:ilvl w:val="0"/>
          <w:numId w:val="18"/>
        </w:numPr>
        <w:spacing w:line="360" w:lineRule="auto"/>
        <w:rPr>
          <w:rFonts w:ascii="Gill Sans MT" w:hAnsi="Gill Sans MT"/>
          <w:sz w:val="20"/>
          <w:szCs w:val="12"/>
        </w:rPr>
      </w:pPr>
      <w:r>
        <w:rPr>
          <w:rFonts w:ascii="Gill Sans MT" w:hAnsi="Gill Sans MT"/>
          <w:sz w:val="20"/>
          <w:szCs w:val="12"/>
        </w:rPr>
        <w:t>In Zambia, there have been significant delays with the implementation of the computerised Integrated Financial Management Information System (IFMIS), a key component of the reform programme. The delays are said to be rooted in GRZ’s choice of a highly sophisticated system despite limited implementation capacities.</w:t>
      </w:r>
    </w:p>
    <w:p w14:paraId="059FC470" w14:textId="77777777" w:rsidR="003D5E07" w:rsidRPr="00EF35DD" w:rsidRDefault="009414AF" w:rsidP="00EF35DD">
      <w:pPr>
        <w:pStyle w:val="BodyText"/>
        <w:numPr>
          <w:ilvl w:val="0"/>
          <w:numId w:val="2"/>
        </w:numPr>
        <w:spacing w:line="360" w:lineRule="auto"/>
        <w:ind w:left="499" w:hanging="357"/>
        <w:rPr>
          <w:rFonts w:ascii="Gill Sans MT" w:hAnsi="Gill Sans MT"/>
          <w:sz w:val="20"/>
          <w:szCs w:val="12"/>
        </w:rPr>
      </w:pPr>
      <w:r w:rsidRPr="009414AF">
        <w:rPr>
          <w:rFonts w:ascii="Gill Sans MT" w:hAnsi="Gill Sans MT"/>
          <w:b/>
          <w:sz w:val="20"/>
          <w:szCs w:val="12"/>
        </w:rPr>
        <w:t>Without a step up in the quality of advisory support, the budget support process may prove unable to continue to contribute to successful PFM reform in beneficiary countries.</w:t>
      </w:r>
      <w:r w:rsidRPr="009414AF">
        <w:rPr>
          <w:rFonts w:ascii="Gill Sans MT" w:hAnsi="Gill Sans MT"/>
          <w:sz w:val="20"/>
          <w:szCs w:val="12"/>
        </w:rPr>
        <w:t xml:space="preserve"> </w:t>
      </w:r>
      <w:r>
        <w:rPr>
          <w:rFonts w:ascii="Gill Sans MT" w:hAnsi="Gill Sans MT"/>
          <w:sz w:val="20"/>
          <w:szCs w:val="12"/>
        </w:rPr>
        <w:t>These warning notes are indicative of the inherent difficulty, which the implementation of “second generation” PFM reforms is likely to present for LIC countries, such as these four</w:t>
      </w:r>
      <w:r w:rsidR="00D92A2E">
        <w:rPr>
          <w:rStyle w:val="FootnoteReference"/>
          <w:rFonts w:ascii="Gill Sans MT" w:hAnsi="Gill Sans MT"/>
          <w:sz w:val="20"/>
          <w:szCs w:val="12"/>
        </w:rPr>
        <w:footnoteReference w:id="29"/>
      </w:r>
      <w:r>
        <w:rPr>
          <w:rFonts w:ascii="Gill Sans MT" w:hAnsi="Gill Sans MT"/>
          <w:sz w:val="20"/>
          <w:szCs w:val="12"/>
        </w:rPr>
        <w:t>. This is a challenge which will require a higher quality of advisory support to the implementation process, both in terms of technical assistance and in terms of the policy dialogue around PFM issues.</w:t>
      </w:r>
      <w:r w:rsidR="00D92A2E">
        <w:rPr>
          <w:rFonts w:ascii="Gill Sans MT" w:hAnsi="Gill Sans MT"/>
          <w:sz w:val="20"/>
          <w:szCs w:val="12"/>
        </w:rPr>
        <w:t xml:space="preserve"> </w:t>
      </w:r>
    </w:p>
    <w:p w14:paraId="5D3FAF43" w14:textId="77777777" w:rsidR="009414AF" w:rsidRDefault="00686324" w:rsidP="009414AF">
      <w:pPr>
        <w:pStyle w:val="BodyText"/>
        <w:numPr>
          <w:ilvl w:val="0"/>
          <w:numId w:val="2"/>
        </w:numPr>
        <w:spacing w:line="360" w:lineRule="auto"/>
        <w:ind w:left="499" w:hanging="357"/>
        <w:rPr>
          <w:rFonts w:ascii="Gill Sans MT" w:hAnsi="Gill Sans MT"/>
          <w:sz w:val="20"/>
          <w:szCs w:val="12"/>
        </w:rPr>
      </w:pPr>
      <w:r>
        <w:rPr>
          <w:rFonts w:ascii="Gill Sans MT" w:hAnsi="Gill Sans MT"/>
          <w:sz w:val="20"/>
          <w:szCs w:val="12"/>
        </w:rPr>
        <w:t xml:space="preserve">Whether budget support has or has not induced improvements in </w:t>
      </w:r>
      <w:r w:rsidR="0053292F">
        <w:rPr>
          <w:rFonts w:ascii="Gill Sans MT" w:hAnsi="Gill Sans MT"/>
          <w:sz w:val="20"/>
          <w:szCs w:val="12"/>
        </w:rPr>
        <w:t xml:space="preserve">democratic </w:t>
      </w:r>
      <w:r>
        <w:rPr>
          <w:rFonts w:ascii="Gill Sans MT" w:hAnsi="Gill Sans MT"/>
          <w:sz w:val="20"/>
          <w:szCs w:val="12"/>
        </w:rPr>
        <w:t>governance is a controversial question. As we have noted above in the discussion of mechanisms, the general shift towards a greater use of conditionality and towards more frequent suspensions of payments in response to the dis</w:t>
      </w:r>
      <w:r w:rsidR="0053292F">
        <w:rPr>
          <w:rFonts w:ascii="Gill Sans MT" w:hAnsi="Gill Sans MT"/>
          <w:sz w:val="20"/>
          <w:szCs w:val="12"/>
        </w:rPr>
        <w:t>covery of instances of fraud have</w:t>
      </w:r>
      <w:r>
        <w:rPr>
          <w:rFonts w:ascii="Gill Sans MT" w:hAnsi="Gill Sans MT"/>
          <w:sz w:val="20"/>
          <w:szCs w:val="12"/>
        </w:rPr>
        <w:t xml:space="preserve"> been largely motivated by a perception by budget support providers that governance has not improved fast enough. In fact, the evidence of these four countries s</w:t>
      </w:r>
      <w:r w:rsidR="00BF7897">
        <w:rPr>
          <w:rFonts w:ascii="Gill Sans MT" w:hAnsi="Gill Sans MT"/>
          <w:sz w:val="20"/>
          <w:szCs w:val="12"/>
        </w:rPr>
        <w:t xml:space="preserve">uggests that there have </w:t>
      </w:r>
      <w:r>
        <w:rPr>
          <w:rFonts w:ascii="Gill Sans MT" w:hAnsi="Gill Sans MT"/>
          <w:sz w:val="20"/>
          <w:szCs w:val="12"/>
        </w:rPr>
        <w:t>been improvements</w:t>
      </w:r>
      <w:r w:rsidR="008D7CB9">
        <w:rPr>
          <w:rFonts w:ascii="Gill Sans MT" w:hAnsi="Gill Sans MT"/>
          <w:sz w:val="20"/>
          <w:szCs w:val="12"/>
        </w:rPr>
        <w:t>.</w:t>
      </w:r>
      <w:r>
        <w:rPr>
          <w:rFonts w:ascii="Gill Sans MT" w:hAnsi="Gill Sans MT"/>
          <w:sz w:val="20"/>
          <w:szCs w:val="12"/>
        </w:rPr>
        <w:t xml:space="preserve"> </w:t>
      </w:r>
    </w:p>
    <w:p w14:paraId="6F338E7B" w14:textId="77777777" w:rsidR="009E046A" w:rsidRDefault="009E046A" w:rsidP="009414AF">
      <w:pPr>
        <w:pStyle w:val="BodyText"/>
        <w:numPr>
          <w:ilvl w:val="0"/>
          <w:numId w:val="2"/>
        </w:numPr>
        <w:spacing w:line="360" w:lineRule="auto"/>
        <w:ind w:left="499" w:hanging="357"/>
        <w:rPr>
          <w:rFonts w:ascii="Gill Sans MT" w:hAnsi="Gill Sans MT"/>
          <w:sz w:val="20"/>
          <w:szCs w:val="12"/>
        </w:rPr>
      </w:pPr>
      <w:r w:rsidRPr="009E046A">
        <w:rPr>
          <w:rFonts w:ascii="Gill Sans MT" w:hAnsi="Gill Sans MT"/>
          <w:b/>
          <w:sz w:val="20"/>
          <w:szCs w:val="12"/>
        </w:rPr>
        <w:t>Gains in transparency and accountability may be identified in 3 of the 4 countries</w:t>
      </w:r>
      <w:r>
        <w:rPr>
          <w:rFonts w:ascii="Gill Sans MT" w:hAnsi="Gill Sans MT"/>
          <w:sz w:val="20"/>
          <w:szCs w:val="12"/>
        </w:rPr>
        <w:t>:</w:t>
      </w:r>
    </w:p>
    <w:p w14:paraId="27EDE92A" w14:textId="77777777" w:rsidR="009E046A" w:rsidRDefault="009E046A" w:rsidP="00D81DB3">
      <w:pPr>
        <w:pStyle w:val="BodyText"/>
        <w:numPr>
          <w:ilvl w:val="0"/>
          <w:numId w:val="19"/>
        </w:numPr>
        <w:spacing w:line="360" w:lineRule="auto"/>
        <w:rPr>
          <w:rFonts w:ascii="Gill Sans MT" w:hAnsi="Gill Sans MT"/>
          <w:sz w:val="20"/>
          <w:szCs w:val="12"/>
        </w:rPr>
      </w:pPr>
      <w:r>
        <w:rPr>
          <w:rFonts w:ascii="Gill Sans MT" w:hAnsi="Gill Sans MT"/>
          <w:sz w:val="20"/>
          <w:szCs w:val="12"/>
        </w:rPr>
        <w:t xml:space="preserve">In </w:t>
      </w:r>
      <w:r w:rsidRPr="009E046A">
        <w:rPr>
          <w:rFonts w:ascii="Gill Sans MT" w:hAnsi="Gill Sans MT"/>
          <w:b/>
          <w:sz w:val="20"/>
          <w:szCs w:val="12"/>
        </w:rPr>
        <w:t>Mozambique</w:t>
      </w:r>
      <w:r w:rsidR="00335363">
        <w:rPr>
          <w:rFonts w:ascii="Gill Sans MT" w:hAnsi="Gill Sans MT"/>
          <w:b/>
          <w:sz w:val="20"/>
          <w:szCs w:val="12"/>
        </w:rPr>
        <w:t xml:space="preserve">, </w:t>
      </w:r>
      <w:r w:rsidR="00A151D1" w:rsidRPr="00A151D1">
        <w:rPr>
          <w:rFonts w:ascii="Gill Sans MT" w:hAnsi="Gill Sans MT"/>
          <w:sz w:val="20"/>
          <w:szCs w:val="12"/>
        </w:rPr>
        <w:t>improve</w:t>
      </w:r>
      <w:r w:rsidR="00A151D1">
        <w:rPr>
          <w:rFonts w:ascii="Gill Sans MT" w:hAnsi="Gill Sans MT"/>
          <w:sz w:val="20"/>
          <w:szCs w:val="12"/>
        </w:rPr>
        <w:t>ments were introduced to the quality and accessibility of budget documen</w:t>
      </w:r>
      <w:r w:rsidR="008D7CB9">
        <w:rPr>
          <w:rFonts w:ascii="Gill Sans MT" w:hAnsi="Gill Sans MT"/>
          <w:sz w:val="20"/>
          <w:szCs w:val="12"/>
        </w:rPr>
        <w:t xml:space="preserve">tation, permitting an increased </w:t>
      </w:r>
      <w:r w:rsidR="00A151D1">
        <w:rPr>
          <w:rFonts w:ascii="Gill Sans MT" w:hAnsi="Gill Sans MT"/>
          <w:sz w:val="20"/>
          <w:szCs w:val="12"/>
        </w:rPr>
        <w:t>score on the Open Bud</w:t>
      </w:r>
      <w:r w:rsidR="008B3D3A">
        <w:rPr>
          <w:rFonts w:ascii="Gill Sans MT" w:hAnsi="Gill Sans MT"/>
          <w:sz w:val="20"/>
          <w:szCs w:val="12"/>
        </w:rPr>
        <w:t>get Index (OBI) from 28% in 2008</w:t>
      </w:r>
      <w:r w:rsidR="00A151D1">
        <w:rPr>
          <w:rFonts w:ascii="Gill Sans MT" w:hAnsi="Gill Sans MT"/>
          <w:sz w:val="20"/>
          <w:szCs w:val="12"/>
        </w:rPr>
        <w:t xml:space="preserve"> to 47% in 2012. </w:t>
      </w:r>
      <w:r w:rsidR="008D7CB9">
        <w:rPr>
          <w:rFonts w:ascii="Gill Sans MT" w:hAnsi="Gill Sans MT"/>
          <w:sz w:val="20"/>
          <w:szCs w:val="12"/>
        </w:rPr>
        <w:t>T</w:t>
      </w:r>
      <w:r w:rsidR="000C075C">
        <w:rPr>
          <w:rFonts w:ascii="Gill Sans MT" w:hAnsi="Gill Sans MT"/>
          <w:sz w:val="20"/>
          <w:szCs w:val="12"/>
        </w:rPr>
        <w:t xml:space="preserve">here has </w:t>
      </w:r>
      <w:r w:rsidR="008D7CB9">
        <w:rPr>
          <w:rFonts w:ascii="Gill Sans MT" w:hAnsi="Gill Sans MT"/>
          <w:sz w:val="20"/>
          <w:szCs w:val="12"/>
        </w:rPr>
        <w:t xml:space="preserve">also </w:t>
      </w:r>
      <w:r w:rsidR="000C075C">
        <w:rPr>
          <w:rFonts w:ascii="Gill Sans MT" w:hAnsi="Gill Sans MT"/>
          <w:sz w:val="20"/>
          <w:szCs w:val="12"/>
        </w:rPr>
        <w:t>been a</w:t>
      </w:r>
      <w:r w:rsidR="008D7CB9">
        <w:rPr>
          <w:rFonts w:ascii="Gill Sans MT" w:hAnsi="Gill Sans MT"/>
          <w:sz w:val="20"/>
          <w:szCs w:val="12"/>
        </w:rPr>
        <w:t>n</w:t>
      </w:r>
      <w:r w:rsidR="000C075C">
        <w:rPr>
          <w:rFonts w:ascii="Gill Sans MT" w:hAnsi="Gill Sans MT"/>
          <w:sz w:val="20"/>
          <w:szCs w:val="12"/>
        </w:rPr>
        <w:t xml:space="preserve"> improvement in the work of the </w:t>
      </w:r>
      <w:r w:rsidR="000C075C" w:rsidRPr="000C075C">
        <w:rPr>
          <w:rFonts w:ascii="Gill Sans MT" w:hAnsi="Gill Sans MT"/>
          <w:i/>
          <w:sz w:val="20"/>
          <w:szCs w:val="12"/>
        </w:rPr>
        <w:t>Tribunal Administrativo</w:t>
      </w:r>
      <w:r w:rsidR="000C075C">
        <w:rPr>
          <w:rFonts w:ascii="Gill Sans MT" w:hAnsi="Gill Sans MT"/>
          <w:sz w:val="20"/>
          <w:szCs w:val="12"/>
        </w:rPr>
        <w:t xml:space="preserve"> (the supreme </w:t>
      </w:r>
      <w:r w:rsidR="008D7CB9">
        <w:rPr>
          <w:rFonts w:ascii="Gill Sans MT" w:hAnsi="Gill Sans MT"/>
          <w:sz w:val="20"/>
          <w:szCs w:val="12"/>
        </w:rPr>
        <w:t>audit institution), with a big</w:t>
      </w:r>
      <w:r w:rsidR="000C075C">
        <w:rPr>
          <w:rFonts w:ascii="Gill Sans MT" w:hAnsi="Gill Sans MT"/>
          <w:sz w:val="20"/>
          <w:szCs w:val="12"/>
        </w:rPr>
        <w:t xml:space="preserve"> increase in the number of annual audits (from 29 audits in 2004 to over 400 since 2009) and a conseqent improvement in the PEFA score from D+ in 2006 to C+ in 2011.</w:t>
      </w:r>
    </w:p>
    <w:p w14:paraId="6D16BA0F" w14:textId="77777777" w:rsidR="00F64D4C" w:rsidRDefault="000C075C" w:rsidP="00D81DB3">
      <w:pPr>
        <w:pStyle w:val="BodyText"/>
        <w:numPr>
          <w:ilvl w:val="0"/>
          <w:numId w:val="19"/>
        </w:numPr>
        <w:spacing w:line="360" w:lineRule="auto"/>
        <w:rPr>
          <w:rFonts w:ascii="Gill Sans MT" w:hAnsi="Gill Sans MT"/>
          <w:sz w:val="20"/>
          <w:szCs w:val="12"/>
        </w:rPr>
      </w:pPr>
      <w:r w:rsidRPr="000C075C">
        <w:rPr>
          <w:rFonts w:ascii="Gill Sans MT" w:hAnsi="Gill Sans MT"/>
          <w:b/>
          <w:sz w:val="20"/>
          <w:szCs w:val="12"/>
        </w:rPr>
        <w:t xml:space="preserve">Tanzania </w:t>
      </w:r>
      <w:r w:rsidR="008B3D3A" w:rsidRPr="008B3D3A">
        <w:rPr>
          <w:rFonts w:ascii="Gill Sans MT" w:hAnsi="Gill Sans MT"/>
          <w:sz w:val="20"/>
          <w:szCs w:val="12"/>
        </w:rPr>
        <w:t xml:space="preserve">also achieved improvements in </w:t>
      </w:r>
      <w:r w:rsidR="00F64D4C">
        <w:rPr>
          <w:rFonts w:ascii="Gill Sans MT" w:hAnsi="Gill Sans MT"/>
          <w:sz w:val="20"/>
          <w:szCs w:val="12"/>
        </w:rPr>
        <w:t xml:space="preserve">transparency, with its </w:t>
      </w:r>
      <w:r w:rsidR="008B3D3A" w:rsidRPr="008B3D3A">
        <w:rPr>
          <w:rFonts w:ascii="Gill Sans MT" w:hAnsi="Gill Sans MT"/>
          <w:sz w:val="20"/>
          <w:szCs w:val="12"/>
        </w:rPr>
        <w:t>OBI</w:t>
      </w:r>
      <w:r w:rsidR="008B3D3A">
        <w:rPr>
          <w:rFonts w:ascii="Gill Sans MT" w:hAnsi="Gill Sans MT"/>
          <w:sz w:val="20"/>
          <w:szCs w:val="12"/>
        </w:rPr>
        <w:t xml:space="preserve"> </w:t>
      </w:r>
      <w:r w:rsidR="008D7CB9">
        <w:rPr>
          <w:rFonts w:ascii="Gill Sans MT" w:hAnsi="Gill Sans MT"/>
          <w:sz w:val="20"/>
          <w:szCs w:val="12"/>
        </w:rPr>
        <w:t>score ris</w:t>
      </w:r>
      <w:r w:rsidR="00F64D4C">
        <w:rPr>
          <w:rFonts w:ascii="Gill Sans MT" w:hAnsi="Gill Sans MT"/>
          <w:sz w:val="20"/>
          <w:szCs w:val="12"/>
        </w:rPr>
        <w:t xml:space="preserve">ing from </w:t>
      </w:r>
      <w:r w:rsidR="008B3D3A">
        <w:rPr>
          <w:rFonts w:ascii="Gill Sans MT" w:hAnsi="Gill Sans MT"/>
          <w:sz w:val="20"/>
          <w:szCs w:val="12"/>
        </w:rPr>
        <w:t>36 % in 2008 to 47 % in 2012</w:t>
      </w:r>
      <w:r w:rsidR="00F64D4C">
        <w:rPr>
          <w:rFonts w:ascii="Gill Sans MT" w:hAnsi="Gill Sans MT"/>
          <w:sz w:val="20"/>
          <w:szCs w:val="12"/>
        </w:rPr>
        <w:t>. The quality of p</w:t>
      </w:r>
      <w:r w:rsidR="008B3D3A">
        <w:rPr>
          <w:rFonts w:ascii="Gill Sans MT" w:hAnsi="Gill Sans MT"/>
          <w:sz w:val="20"/>
          <w:szCs w:val="12"/>
        </w:rPr>
        <w:t xml:space="preserve">arliamentary scrutiny of budgets </w:t>
      </w:r>
      <w:r w:rsidR="00F64D4C">
        <w:rPr>
          <w:rFonts w:ascii="Gill Sans MT" w:hAnsi="Gill Sans MT"/>
          <w:sz w:val="20"/>
          <w:szCs w:val="12"/>
        </w:rPr>
        <w:t xml:space="preserve">was also </w:t>
      </w:r>
      <w:r w:rsidR="00F64D4C">
        <w:rPr>
          <w:rFonts w:ascii="Gill Sans MT" w:hAnsi="Gill Sans MT"/>
          <w:sz w:val="20"/>
          <w:szCs w:val="12"/>
        </w:rPr>
        <w:lastRenderedPageBreak/>
        <w:t xml:space="preserve">strengthened and there were major gains </w:t>
      </w:r>
      <w:r w:rsidR="008B3D3A">
        <w:rPr>
          <w:rFonts w:ascii="Gill Sans MT" w:hAnsi="Gill Sans MT"/>
          <w:sz w:val="20"/>
          <w:szCs w:val="12"/>
        </w:rPr>
        <w:t>in the scope</w:t>
      </w:r>
      <w:r w:rsidR="00F64D4C">
        <w:rPr>
          <w:rFonts w:ascii="Gill Sans MT" w:hAnsi="Gill Sans MT"/>
          <w:sz w:val="20"/>
          <w:szCs w:val="12"/>
        </w:rPr>
        <w:t>, timeliness</w:t>
      </w:r>
      <w:r w:rsidR="008B3D3A">
        <w:rPr>
          <w:rFonts w:ascii="Gill Sans MT" w:hAnsi="Gill Sans MT"/>
          <w:sz w:val="20"/>
          <w:szCs w:val="12"/>
        </w:rPr>
        <w:t xml:space="preserve"> and quality of the external audit reports of</w:t>
      </w:r>
      <w:r w:rsidR="00F64D4C">
        <w:rPr>
          <w:rFonts w:ascii="Gill Sans MT" w:hAnsi="Gill Sans MT"/>
          <w:sz w:val="20"/>
          <w:szCs w:val="12"/>
        </w:rPr>
        <w:t xml:space="preserve"> the National Audit Of</w:t>
      </w:r>
      <w:r w:rsidR="008D7CB9">
        <w:rPr>
          <w:rFonts w:ascii="Gill Sans MT" w:hAnsi="Gill Sans MT"/>
          <w:sz w:val="20"/>
          <w:szCs w:val="12"/>
        </w:rPr>
        <w:t>fice (NAO), generating an impro</w:t>
      </w:r>
      <w:r w:rsidR="00F64D4C">
        <w:rPr>
          <w:rFonts w:ascii="Gill Sans MT" w:hAnsi="Gill Sans MT"/>
          <w:sz w:val="20"/>
          <w:szCs w:val="12"/>
        </w:rPr>
        <w:t>vem</w:t>
      </w:r>
      <w:r w:rsidR="008D7CB9">
        <w:rPr>
          <w:rFonts w:ascii="Gill Sans MT" w:hAnsi="Gill Sans MT"/>
          <w:sz w:val="20"/>
          <w:szCs w:val="12"/>
        </w:rPr>
        <w:t>e</w:t>
      </w:r>
      <w:r w:rsidR="00F64D4C">
        <w:rPr>
          <w:rFonts w:ascii="Gill Sans MT" w:hAnsi="Gill Sans MT"/>
          <w:sz w:val="20"/>
          <w:szCs w:val="12"/>
        </w:rPr>
        <w:t>nt in the PEFA score for external audit from D+ in 2006 to B+ in 2010.</w:t>
      </w:r>
    </w:p>
    <w:p w14:paraId="1BECCE6F" w14:textId="77777777" w:rsidR="000C075C" w:rsidRDefault="00000503" w:rsidP="00D81DB3">
      <w:pPr>
        <w:pStyle w:val="BodyText"/>
        <w:numPr>
          <w:ilvl w:val="0"/>
          <w:numId w:val="19"/>
        </w:numPr>
        <w:spacing w:line="360" w:lineRule="auto"/>
        <w:rPr>
          <w:rFonts w:ascii="Gill Sans MT" w:hAnsi="Gill Sans MT"/>
          <w:sz w:val="20"/>
          <w:szCs w:val="12"/>
        </w:rPr>
      </w:pPr>
      <w:r w:rsidRPr="00000503">
        <w:rPr>
          <w:rFonts w:ascii="Gill Sans MT" w:hAnsi="Gill Sans MT"/>
          <w:sz w:val="20"/>
          <w:szCs w:val="12"/>
        </w:rPr>
        <w:t>The</w:t>
      </w:r>
      <w:r>
        <w:rPr>
          <w:rFonts w:ascii="Gill Sans MT" w:hAnsi="Gill Sans MT"/>
          <w:b/>
          <w:sz w:val="20"/>
          <w:szCs w:val="12"/>
        </w:rPr>
        <w:t xml:space="preserve"> Zambia </w:t>
      </w:r>
      <w:r w:rsidRPr="00000503">
        <w:rPr>
          <w:rFonts w:ascii="Gill Sans MT" w:hAnsi="Gill Sans MT"/>
          <w:sz w:val="20"/>
          <w:szCs w:val="12"/>
        </w:rPr>
        <w:t>evaluation</w:t>
      </w:r>
      <w:r w:rsidR="008D7CB9">
        <w:rPr>
          <w:rFonts w:ascii="Gill Sans MT" w:hAnsi="Gill Sans MT"/>
          <w:sz w:val="20"/>
          <w:szCs w:val="12"/>
        </w:rPr>
        <w:t xml:space="preserve"> </w:t>
      </w:r>
      <w:r>
        <w:rPr>
          <w:rFonts w:ascii="Gill Sans MT" w:hAnsi="Gill Sans MT"/>
          <w:sz w:val="20"/>
          <w:szCs w:val="12"/>
        </w:rPr>
        <w:t xml:space="preserve">reports that the strengthening of the </w:t>
      </w:r>
      <w:r w:rsidR="0053292F">
        <w:rPr>
          <w:rFonts w:ascii="Gill Sans MT" w:hAnsi="Gill Sans MT"/>
          <w:sz w:val="20"/>
          <w:szCs w:val="12"/>
        </w:rPr>
        <w:t xml:space="preserve">OAG’s </w:t>
      </w:r>
      <w:r>
        <w:rPr>
          <w:rFonts w:ascii="Gill Sans MT" w:hAnsi="Gill Sans MT"/>
          <w:sz w:val="20"/>
          <w:szCs w:val="12"/>
        </w:rPr>
        <w:t xml:space="preserve">external auditing capacity was one of the more </w:t>
      </w:r>
      <w:r w:rsidR="00EC2838">
        <w:rPr>
          <w:rFonts w:ascii="Gill Sans MT" w:hAnsi="Gill Sans MT"/>
          <w:sz w:val="20"/>
          <w:szCs w:val="12"/>
        </w:rPr>
        <w:t xml:space="preserve">substantial achievements of budget support. </w:t>
      </w:r>
      <w:r w:rsidR="00EB5184">
        <w:rPr>
          <w:rFonts w:ascii="Gill Sans MT" w:hAnsi="Gill Sans MT"/>
          <w:sz w:val="20"/>
          <w:szCs w:val="12"/>
        </w:rPr>
        <w:t>I</w:t>
      </w:r>
      <w:r w:rsidR="00EC2838">
        <w:rPr>
          <w:rFonts w:ascii="Gill Sans MT" w:hAnsi="Gill Sans MT"/>
          <w:sz w:val="20"/>
          <w:szCs w:val="12"/>
        </w:rPr>
        <w:t>mp</w:t>
      </w:r>
      <w:r w:rsidR="0053292F">
        <w:rPr>
          <w:rFonts w:ascii="Gill Sans MT" w:hAnsi="Gill Sans MT"/>
          <w:sz w:val="20"/>
          <w:szCs w:val="12"/>
        </w:rPr>
        <w:t>r</w:t>
      </w:r>
      <w:r w:rsidR="00EC2838">
        <w:rPr>
          <w:rFonts w:ascii="Gill Sans MT" w:hAnsi="Gill Sans MT"/>
          <w:sz w:val="20"/>
          <w:szCs w:val="12"/>
        </w:rPr>
        <w:t>ovements in budget transparency were not, however, attained.</w:t>
      </w:r>
    </w:p>
    <w:p w14:paraId="66B82AE6" w14:textId="77777777" w:rsidR="00EC2838" w:rsidRPr="006347AB" w:rsidRDefault="00EC2838" w:rsidP="00D81DB3">
      <w:pPr>
        <w:pStyle w:val="BodyText"/>
        <w:numPr>
          <w:ilvl w:val="0"/>
          <w:numId w:val="19"/>
        </w:numPr>
        <w:spacing w:line="360" w:lineRule="auto"/>
        <w:rPr>
          <w:rFonts w:ascii="Gill Sans MT" w:hAnsi="Gill Sans MT"/>
          <w:b/>
          <w:sz w:val="20"/>
          <w:szCs w:val="12"/>
        </w:rPr>
      </w:pPr>
      <w:r w:rsidRPr="00EC2838">
        <w:rPr>
          <w:rFonts w:ascii="Gill Sans MT" w:hAnsi="Gill Sans MT"/>
          <w:sz w:val="20"/>
          <w:szCs w:val="12"/>
        </w:rPr>
        <w:t xml:space="preserve">In </w:t>
      </w:r>
      <w:r w:rsidRPr="00EC2838">
        <w:rPr>
          <w:rFonts w:ascii="Gill Sans MT" w:hAnsi="Gill Sans MT"/>
          <w:b/>
          <w:sz w:val="20"/>
          <w:szCs w:val="12"/>
        </w:rPr>
        <w:t>Mali</w:t>
      </w:r>
      <w:r>
        <w:rPr>
          <w:rFonts w:ascii="Gill Sans MT" w:hAnsi="Gill Sans MT"/>
          <w:b/>
          <w:sz w:val="20"/>
          <w:szCs w:val="12"/>
        </w:rPr>
        <w:t xml:space="preserve">, </w:t>
      </w:r>
      <w:r w:rsidRPr="00EC2838">
        <w:rPr>
          <w:rFonts w:ascii="Gill Sans MT" w:hAnsi="Gill Sans MT"/>
          <w:sz w:val="20"/>
          <w:szCs w:val="12"/>
        </w:rPr>
        <w:t>there were no such equivalent gains</w:t>
      </w:r>
      <w:r>
        <w:rPr>
          <w:rFonts w:ascii="Gill Sans MT" w:hAnsi="Gill Sans MT"/>
          <w:sz w:val="20"/>
          <w:szCs w:val="12"/>
        </w:rPr>
        <w:t xml:space="preserve">, essentially because it proved impossible </w:t>
      </w:r>
      <w:r w:rsidR="002D3221">
        <w:rPr>
          <w:rFonts w:ascii="Gill Sans MT" w:hAnsi="Gill Sans MT"/>
          <w:sz w:val="20"/>
          <w:szCs w:val="12"/>
        </w:rPr>
        <w:t>to change the status of the Accounts C</w:t>
      </w:r>
      <w:r w:rsidR="00095F34">
        <w:rPr>
          <w:rFonts w:ascii="Gill Sans MT" w:hAnsi="Gill Sans MT"/>
          <w:sz w:val="20"/>
          <w:szCs w:val="12"/>
        </w:rPr>
        <w:t>hamber of the Supreme Court into a fully fledged Court of Accounts</w:t>
      </w:r>
      <w:r w:rsidR="00603A88">
        <w:rPr>
          <w:rFonts w:ascii="Gill Sans MT" w:hAnsi="Gill Sans MT"/>
          <w:sz w:val="20"/>
          <w:szCs w:val="12"/>
        </w:rPr>
        <w:t xml:space="preserve"> (</w:t>
      </w:r>
      <w:proofErr w:type="spellStart"/>
      <w:r w:rsidR="00603A88" w:rsidRPr="008C51D1">
        <w:rPr>
          <w:rFonts w:ascii="Gill Sans MT" w:hAnsi="Gill Sans MT"/>
          <w:i/>
          <w:sz w:val="20"/>
          <w:szCs w:val="12"/>
          <w:lang w:val="en-GB"/>
        </w:rPr>
        <w:t>Cour</w:t>
      </w:r>
      <w:proofErr w:type="spellEnd"/>
      <w:r w:rsidR="00603A88" w:rsidRPr="008C51D1">
        <w:rPr>
          <w:rFonts w:ascii="Gill Sans MT" w:hAnsi="Gill Sans MT"/>
          <w:i/>
          <w:sz w:val="20"/>
          <w:szCs w:val="12"/>
          <w:lang w:val="en-GB"/>
        </w:rPr>
        <w:t xml:space="preserve"> des </w:t>
      </w:r>
      <w:proofErr w:type="spellStart"/>
      <w:r w:rsidR="00603A88" w:rsidRPr="008C51D1">
        <w:rPr>
          <w:rFonts w:ascii="Gill Sans MT" w:hAnsi="Gill Sans MT"/>
          <w:i/>
          <w:sz w:val="20"/>
          <w:szCs w:val="12"/>
          <w:lang w:val="en-GB"/>
        </w:rPr>
        <w:t>Comptes</w:t>
      </w:r>
      <w:proofErr w:type="spellEnd"/>
      <w:r w:rsidR="00603A88">
        <w:rPr>
          <w:rFonts w:ascii="Gill Sans MT" w:hAnsi="Gill Sans MT"/>
          <w:sz w:val="20"/>
          <w:szCs w:val="12"/>
        </w:rPr>
        <w:t>)</w:t>
      </w:r>
      <w:r w:rsidR="00095F34">
        <w:rPr>
          <w:rFonts w:ascii="Gill Sans MT" w:hAnsi="Gill Sans MT"/>
          <w:sz w:val="20"/>
          <w:szCs w:val="12"/>
        </w:rPr>
        <w:t>. This was in part because this would have required a constitutional change and therefore a referendum but also because the Supreme Court opposed even more modest initiatives to improve its status, such as the provision of budgetary autonomy and the improvement of the judicial status (and ther</w:t>
      </w:r>
      <w:r w:rsidR="00603A88">
        <w:rPr>
          <w:rFonts w:ascii="Gill Sans MT" w:hAnsi="Gill Sans MT"/>
          <w:sz w:val="20"/>
          <w:szCs w:val="12"/>
        </w:rPr>
        <w:t>e</w:t>
      </w:r>
      <w:r w:rsidR="00095F34">
        <w:rPr>
          <w:rFonts w:ascii="Gill Sans MT" w:hAnsi="Gill Sans MT"/>
          <w:sz w:val="20"/>
          <w:szCs w:val="12"/>
        </w:rPr>
        <w:t xml:space="preserve">fore the salaries) of the auditors working in the accounts chamber. </w:t>
      </w:r>
    </w:p>
    <w:p w14:paraId="4252AAB2" w14:textId="77777777" w:rsidR="004D5060" w:rsidRDefault="006347AB" w:rsidP="006347AB">
      <w:pPr>
        <w:pStyle w:val="BodyText"/>
        <w:numPr>
          <w:ilvl w:val="0"/>
          <w:numId w:val="2"/>
        </w:numPr>
        <w:spacing w:line="360" w:lineRule="auto"/>
        <w:ind w:left="499" w:hanging="357"/>
        <w:rPr>
          <w:rFonts w:ascii="Gill Sans MT" w:hAnsi="Gill Sans MT"/>
          <w:sz w:val="20"/>
          <w:szCs w:val="12"/>
        </w:rPr>
      </w:pPr>
      <w:r w:rsidRPr="006347AB">
        <w:rPr>
          <w:rFonts w:ascii="Gill Sans MT" w:hAnsi="Gill Sans MT"/>
          <w:sz w:val="20"/>
          <w:szCs w:val="12"/>
        </w:rPr>
        <w:t xml:space="preserve">The improvements achieved in Mozambique, Tanzania and Zambia were attributed to a combination of substantial technical assistance support to the audit institutions, increases in their budgets (facilitated by GBS) and increased attention to the quality of transparency and oversight within the budget support dialogue. </w:t>
      </w:r>
      <w:r>
        <w:rPr>
          <w:rFonts w:ascii="Gill Sans MT" w:hAnsi="Gill Sans MT"/>
          <w:sz w:val="20"/>
          <w:szCs w:val="12"/>
        </w:rPr>
        <w:t xml:space="preserve"> While technical assistance was quite probably the most important of these inputs, the evaluations lay emphasis on the significance of this combination of inputs</w:t>
      </w:r>
      <w:r w:rsidR="004D5060">
        <w:rPr>
          <w:rFonts w:ascii="Gill Sans MT" w:hAnsi="Gill Sans MT"/>
          <w:sz w:val="20"/>
          <w:szCs w:val="12"/>
        </w:rPr>
        <w:t>, stressing that equivalent gains would not have been obtained through stand-alone technical assistance projects.</w:t>
      </w:r>
    </w:p>
    <w:p w14:paraId="786B5324" w14:textId="77777777" w:rsidR="006347AB" w:rsidRDefault="004D5060" w:rsidP="006347AB">
      <w:pPr>
        <w:pStyle w:val="BodyText"/>
        <w:numPr>
          <w:ilvl w:val="0"/>
          <w:numId w:val="2"/>
        </w:numPr>
        <w:spacing w:line="360" w:lineRule="auto"/>
        <w:ind w:left="499" w:hanging="357"/>
        <w:rPr>
          <w:rFonts w:ascii="Gill Sans MT" w:hAnsi="Gill Sans MT"/>
          <w:sz w:val="20"/>
          <w:szCs w:val="12"/>
        </w:rPr>
      </w:pPr>
      <w:r w:rsidRPr="004D5060">
        <w:rPr>
          <w:rFonts w:ascii="Gill Sans MT" w:hAnsi="Gill Sans MT"/>
          <w:b/>
          <w:sz w:val="20"/>
          <w:szCs w:val="12"/>
        </w:rPr>
        <w:t>Improvements to the legislative and institutional framework for the control of corruption were identified in Mozambique and Tanzania.</w:t>
      </w:r>
      <w:r>
        <w:rPr>
          <w:rFonts w:ascii="Gill Sans MT" w:hAnsi="Gill Sans MT"/>
          <w:sz w:val="20"/>
          <w:szCs w:val="12"/>
        </w:rPr>
        <w:t xml:space="preserve"> The details are as follows:</w:t>
      </w:r>
      <w:r w:rsidR="006347AB">
        <w:rPr>
          <w:rFonts w:ascii="Gill Sans MT" w:hAnsi="Gill Sans MT"/>
          <w:sz w:val="20"/>
          <w:szCs w:val="12"/>
        </w:rPr>
        <w:t xml:space="preserve"> </w:t>
      </w:r>
    </w:p>
    <w:p w14:paraId="48617C2C" w14:textId="77777777" w:rsidR="004D5060" w:rsidRDefault="004D5060" w:rsidP="00D81DB3">
      <w:pPr>
        <w:pStyle w:val="BodyText"/>
        <w:numPr>
          <w:ilvl w:val="0"/>
          <w:numId w:val="20"/>
        </w:numPr>
        <w:spacing w:line="360" w:lineRule="auto"/>
        <w:rPr>
          <w:rFonts w:ascii="Gill Sans MT" w:hAnsi="Gill Sans MT"/>
          <w:sz w:val="20"/>
          <w:szCs w:val="12"/>
        </w:rPr>
      </w:pPr>
      <w:r>
        <w:rPr>
          <w:rFonts w:ascii="Gill Sans MT" w:hAnsi="Gill Sans MT"/>
          <w:sz w:val="20"/>
          <w:szCs w:val="12"/>
        </w:rPr>
        <w:t xml:space="preserve">The </w:t>
      </w:r>
      <w:r w:rsidRPr="004D5060">
        <w:rPr>
          <w:rFonts w:ascii="Gill Sans MT" w:hAnsi="Gill Sans MT"/>
          <w:b/>
          <w:sz w:val="20"/>
          <w:szCs w:val="12"/>
        </w:rPr>
        <w:t>Tanzania</w:t>
      </w:r>
      <w:r>
        <w:rPr>
          <w:rFonts w:ascii="Gill Sans MT" w:hAnsi="Gill Sans MT"/>
          <w:sz w:val="20"/>
          <w:szCs w:val="12"/>
        </w:rPr>
        <w:t xml:space="preserve"> Prevention and Combating of Corruption Act was passed in 2007, which amongst other things </w:t>
      </w:r>
      <w:r w:rsidR="002034AE">
        <w:rPr>
          <w:rFonts w:ascii="Gill Sans MT" w:hAnsi="Gill Sans MT"/>
          <w:sz w:val="20"/>
          <w:szCs w:val="12"/>
        </w:rPr>
        <w:t>stregthened the independence and the powers of the Prevention &amp; Combating of Corruption Bureau (PCCB). The budget of the PCCB was considerably expanded and it also received a modest amount of technical assistance; as a result</w:t>
      </w:r>
      <w:r w:rsidR="00D72A38">
        <w:rPr>
          <w:rFonts w:ascii="Gill Sans MT" w:hAnsi="Gill Sans MT"/>
          <w:sz w:val="20"/>
          <w:szCs w:val="12"/>
        </w:rPr>
        <w:t>, it enlarg</w:t>
      </w:r>
      <w:r w:rsidR="002034AE">
        <w:rPr>
          <w:rFonts w:ascii="Gill Sans MT" w:hAnsi="Gill Sans MT"/>
          <w:sz w:val="20"/>
          <w:szCs w:val="12"/>
        </w:rPr>
        <w:t>ed the scale of its operations, more than doubling the total number of cases prosecuted from 202 in 2004 to 587 in 2010.</w:t>
      </w:r>
    </w:p>
    <w:p w14:paraId="5EE573A2" w14:textId="77777777" w:rsidR="002034AE" w:rsidRPr="006347AB" w:rsidRDefault="002034AE" w:rsidP="00D81DB3">
      <w:pPr>
        <w:pStyle w:val="BodyText"/>
        <w:numPr>
          <w:ilvl w:val="0"/>
          <w:numId w:val="20"/>
        </w:numPr>
        <w:spacing w:line="360" w:lineRule="auto"/>
        <w:rPr>
          <w:rFonts w:ascii="Gill Sans MT" w:hAnsi="Gill Sans MT"/>
          <w:sz w:val="20"/>
          <w:szCs w:val="12"/>
        </w:rPr>
      </w:pPr>
      <w:r w:rsidRPr="002034AE">
        <w:rPr>
          <w:rFonts w:ascii="Gill Sans MT" w:hAnsi="Gill Sans MT"/>
          <w:b/>
          <w:sz w:val="20"/>
          <w:szCs w:val="12"/>
        </w:rPr>
        <w:t>Mozambique</w:t>
      </w:r>
      <w:r>
        <w:rPr>
          <w:rFonts w:ascii="Gill Sans MT" w:hAnsi="Gill Sans MT"/>
          <w:sz w:val="20"/>
          <w:szCs w:val="12"/>
        </w:rPr>
        <w:t xml:space="preserve"> passed its first a</w:t>
      </w:r>
      <w:r w:rsidR="008D7CB9">
        <w:rPr>
          <w:rFonts w:ascii="Gill Sans MT" w:hAnsi="Gill Sans MT"/>
          <w:sz w:val="20"/>
          <w:szCs w:val="12"/>
        </w:rPr>
        <w:t xml:space="preserve">nti-corruption law in 2004. It </w:t>
      </w:r>
      <w:r>
        <w:rPr>
          <w:rFonts w:ascii="Gill Sans MT" w:hAnsi="Gill Sans MT"/>
          <w:sz w:val="20"/>
          <w:szCs w:val="12"/>
        </w:rPr>
        <w:t>was s</w:t>
      </w:r>
      <w:r w:rsidR="008D7CB9">
        <w:rPr>
          <w:rFonts w:ascii="Gill Sans MT" w:hAnsi="Gill Sans MT"/>
          <w:sz w:val="20"/>
          <w:szCs w:val="12"/>
        </w:rPr>
        <w:t>upplemented by a package of 5</w:t>
      </w:r>
      <w:r>
        <w:rPr>
          <w:rFonts w:ascii="Gill Sans MT" w:hAnsi="Gill Sans MT"/>
          <w:sz w:val="20"/>
          <w:szCs w:val="12"/>
        </w:rPr>
        <w:t xml:space="preserve"> additional draft laws submitted to Parliament in 2011, of which 3 were passed into law. The Central </w:t>
      </w:r>
      <w:r w:rsidR="00E2467F">
        <w:rPr>
          <w:rFonts w:ascii="Gill Sans MT" w:hAnsi="Gill Sans MT"/>
          <w:sz w:val="20"/>
          <w:szCs w:val="12"/>
        </w:rPr>
        <w:t xml:space="preserve">Office for Combating Corruption – </w:t>
      </w:r>
      <w:r w:rsidR="00E2467F" w:rsidRPr="00EC1A3E">
        <w:rPr>
          <w:rFonts w:ascii="Gill Sans MT" w:hAnsi="Gill Sans MT"/>
          <w:i/>
          <w:sz w:val="20"/>
          <w:szCs w:val="12"/>
          <w:lang w:val="en-GB"/>
        </w:rPr>
        <w:t>Gabinete Central de Combate a Corrupção</w:t>
      </w:r>
      <w:r w:rsidR="00E2467F" w:rsidRPr="00E2467F">
        <w:rPr>
          <w:rFonts w:ascii="Gill Sans MT" w:hAnsi="Gill Sans MT"/>
          <w:i/>
          <w:sz w:val="20"/>
          <w:szCs w:val="12"/>
        </w:rPr>
        <w:t xml:space="preserve"> (GCCC)</w:t>
      </w:r>
      <w:r w:rsidR="00E2467F">
        <w:rPr>
          <w:rFonts w:ascii="Gill Sans MT" w:hAnsi="Gill Sans MT"/>
          <w:sz w:val="20"/>
          <w:szCs w:val="12"/>
        </w:rPr>
        <w:t xml:space="preserve"> – received a significant increase in budget funding during the evaluation period as well as technical assistance. The number of cases going to court </w:t>
      </w:r>
      <w:r w:rsidR="00B2391F">
        <w:rPr>
          <w:rFonts w:ascii="Gill Sans MT" w:hAnsi="Gill Sans MT"/>
          <w:sz w:val="20"/>
          <w:szCs w:val="12"/>
        </w:rPr>
        <w:t xml:space="preserve">per year increased </w:t>
      </w:r>
      <w:r w:rsidR="00E2467F">
        <w:rPr>
          <w:rFonts w:ascii="Gill Sans MT" w:hAnsi="Gill Sans MT"/>
          <w:sz w:val="20"/>
          <w:szCs w:val="12"/>
        </w:rPr>
        <w:t>from the time of the est</w:t>
      </w:r>
      <w:r w:rsidR="00B2391F">
        <w:rPr>
          <w:rFonts w:ascii="Gill Sans MT" w:hAnsi="Gill Sans MT"/>
          <w:sz w:val="20"/>
          <w:szCs w:val="12"/>
        </w:rPr>
        <w:t>ablishment of the GCCC in 2005 to reach</w:t>
      </w:r>
      <w:r w:rsidR="00E2467F">
        <w:rPr>
          <w:rFonts w:ascii="Gill Sans MT" w:hAnsi="Gill Sans MT"/>
          <w:sz w:val="20"/>
          <w:szCs w:val="12"/>
        </w:rPr>
        <w:t xml:space="preserve"> 88 in 2012. </w:t>
      </w:r>
    </w:p>
    <w:p w14:paraId="2391EAEA" w14:textId="77777777" w:rsidR="007146F6" w:rsidRDefault="00E2467F" w:rsidP="00E2467F">
      <w:pPr>
        <w:pStyle w:val="BodyText"/>
        <w:numPr>
          <w:ilvl w:val="0"/>
          <w:numId w:val="2"/>
        </w:numPr>
        <w:spacing w:line="360" w:lineRule="auto"/>
        <w:ind w:left="499" w:hanging="357"/>
        <w:rPr>
          <w:rFonts w:ascii="Gill Sans MT" w:hAnsi="Gill Sans MT"/>
          <w:sz w:val="20"/>
          <w:szCs w:val="12"/>
        </w:rPr>
      </w:pPr>
      <w:r>
        <w:rPr>
          <w:rFonts w:ascii="Gill Sans MT" w:hAnsi="Gill Sans MT"/>
          <w:sz w:val="20"/>
          <w:szCs w:val="12"/>
        </w:rPr>
        <w:t>In these cases too, t</w:t>
      </w:r>
      <w:r w:rsidRPr="006347AB">
        <w:rPr>
          <w:rFonts w:ascii="Gill Sans MT" w:hAnsi="Gill Sans MT"/>
          <w:sz w:val="20"/>
          <w:szCs w:val="12"/>
        </w:rPr>
        <w:t xml:space="preserve">he improvements achieved were attributed </w:t>
      </w:r>
      <w:r>
        <w:rPr>
          <w:rFonts w:ascii="Gill Sans MT" w:hAnsi="Gill Sans MT"/>
          <w:sz w:val="20"/>
          <w:szCs w:val="12"/>
        </w:rPr>
        <w:t xml:space="preserve">to a combination of </w:t>
      </w:r>
      <w:r w:rsidRPr="006347AB">
        <w:rPr>
          <w:rFonts w:ascii="Gill Sans MT" w:hAnsi="Gill Sans MT"/>
          <w:sz w:val="20"/>
          <w:szCs w:val="12"/>
        </w:rPr>
        <w:t xml:space="preserve">technical assistance, </w:t>
      </w:r>
      <w:r>
        <w:rPr>
          <w:rFonts w:ascii="Gill Sans MT" w:hAnsi="Gill Sans MT"/>
          <w:sz w:val="20"/>
          <w:szCs w:val="12"/>
        </w:rPr>
        <w:t xml:space="preserve">budget </w:t>
      </w:r>
      <w:r w:rsidRPr="006347AB">
        <w:rPr>
          <w:rFonts w:ascii="Gill Sans MT" w:hAnsi="Gill Sans MT"/>
          <w:sz w:val="20"/>
          <w:szCs w:val="12"/>
        </w:rPr>
        <w:t>increase</w:t>
      </w:r>
      <w:r>
        <w:rPr>
          <w:rFonts w:ascii="Gill Sans MT" w:hAnsi="Gill Sans MT"/>
          <w:sz w:val="20"/>
          <w:szCs w:val="12"/>
        </w:rPr>
        <w:t xml:space="preserve">s </w:t>
      </w:r>
      <w:r w:rsidRPr="006347AB">
        <w:rPr>
          <w:rFonts w:ascii="Gill Sans MT" w:hAnsi="Gill Sans MT"/>
          <w:sz w:val="20"/>
          <w:szCs w:val="12"/>
        </w:rPr>
        <w:t>(facilitated by GBS) and increased attention within the budget support dialogue</w:t>
      </w:r>
      <w:r>
        <w:rPr>
          <w:rFonts w:ascii="Gill Sans MT" w:hAnsi="Gill Sans MT"/>
          <w:sz w:val="20"/>
          <w:szCs w:val="12"/>
        </w:rPr>
        <w:t xml:space="preserve">. </w:t>
      </w:r>
      <w:r w:rsidR="00D72A38">
        <w:rPr>
          <w:rFonts w:ascii="Gill Sans MT" w:hAnsi="Gill Sans MT"/>
          <w:sz w:val="20"/>
          <w:szCs w:val="12"/>
        </w:rPr>
        <w:t xml:space="preserve">A </w:t>
      </w:r>
      <w:r>
        <w:rPr>
          <w:rFonts w:ascii="Gill Sans MT" w:hAnsi="Gill Sans MT"/>
          <w:sz w:val="20"/>
          <w:szCs w:val="12"/>
        </w:rPr>
        <w:t xml:space="preserve">High Level Dialogue </w:t>
      </w:r>
      <w:r w:rsidR="00D72A38">
        <w:rPr>
          <w:rFonts w:ascii="Gill Sans MT" w:hAnsi="Gill Sans MT"/>
          <w:sz w:val="20"/>
          <w:szCs w:val="12"/>
        </w:rPr>
        <w:t xml:space="preserve">on corruption </w:t>
      </w:r>
      <w:r>
        <w:rPr>
          <w:rFonts w:ascii="Gill Sans MT" w:hAnsi="Gill Sans MT"/>
          <w:sz w:val="20"/>
          <w:szCs w:val="12"/>
        </w:rPr>
        <w:t xml:space="preserve">was established in Tanzania following </w:t>
      </w:r>
      <w:r>
        <w:rPr>
          <w:rFonts w:ascii="Gill Sans MT" w:hAnsi="Gill Sans MT"/>
          <w:sz w:val="20"/>
          <w:szCs w:val="12"/>
        </w:rPr>
        <w:lastRenderedPageBreak/>
        <w:t>the events of 2008, and a s</w:t>
      </w:r>
      <w:r w:rsidR="00DB4238">
        <w:rPr>
          <w:rFonts w:ascii="Gill Sans MT" w:hAnsi="Gill Sans MT"/>
          <w:sz w:val="20"/>
          <w:szCs w:val="12"/>
        </w:rPr>
        <w:t xml:space="preserve">imilar </w:t>
      </w:r>
      <w:r>
        <w:rPr>
          <w:rFonts w:ascii="Gill Sans MT" w:hAnsi="Gill Sans MT"/>
          <w:sz w:val="20"/>
          <w:szCs w:val="12"/>
        </w:rPr>
        <w:t>committee in Mozambique to follow up the Governance Action Plan agreed in the wake of the suspension of budget support in 2010.</w:t>
      </w:r>
      <w:r w:rsidR="00DB4238">
        <w:rPr>
          <w:rFonts w:ascii="Gill Sans MT" w:hAnsi="Gill Sans MT"/>
          <w:sz w:val="20"/>
          <w:szCs w:val="12"/>
        </w:rPr>
        <w:t xml:space="preserve"> (See Annex 3 for details.)</w:t>
      </w:r>
      <w:r>
        <w:rPr>
          <w:rFonts w:ascii="Gill Sans MT" w:hAnsi="Gill Sans MT"/>
          <w:sz w:val="20"/>
          <w:szCs w:val="12"/>
        </w:rPr>
        <w:t xml:space="preserve"> The evaluations conclude that these committees were able to establish new channels of communication on corruption issues</w:t>
      </w:r>
      <w:r w:rsidR="007146F6">
        <w:rPr>
          <w:rFonts w:ascii="Gill Sans MT" w:hAnsi="Gill Sans MT"/>
          <w:sz w:val="20"/>
          <w:szCs w:val="12"/>
        </w:rPr>
        <w:t xml:space="preserve">, which facilitated the progress made. </w:t>
      </w:r>
    </w:p>
    <w:p w14:paraId="2FEDDD6A" w14:textId="77777777" w:rsidR="00DB4238" w:rsidRDefault="00DB4238" w:rsidP="00DB4238">
      <w:pPr>
        <w:pStyle w:val="BodyText"/>
        <w:numPr>
          <w:ilvl w:val="0"/>
          <w:numId w:val="2"/>
        </w:numPr>
        <w:spacing w:line="360" w:lineRule="auto"/>
        <w:ind w:left="499" w:hanging="357"/>
        <w:rPr>
          <w:rFonts w:ascii="Gill Sans MT" w:hAnsi="Gill Sans MT"/>
          <w:sz w:val="20"/>
          <w:szCs w:val="12"/>
        </w:rPr>
      </w:pPr>
      <w:r w:rsidRPr="007146F6">
        <w:rPr>
          <w:rFonts w:ascii="Gill Sans MT" w:hAnsi="Gill Sans MT"/>
          <w:b/>
          <w:sz w:val="20"/>
          <w:szCs w:val="12"/>
        </w:rPr>
        <w:t>One should not overstate the importance of</w:t>
      </w:r>
      <w:r>
        <w:rPr>
          <w:rFonts w:ascii="Gill Sans MT" w:hAnsi="Gill Sans MT"/>
          <w:b/>
          <w:sz w:val="20"/>
          <w:szCs w:val="12"/>
        </w:rPr>
        <w:t xml:space="preserve"> these improvements: they are first steps and do not constitute a</w:t>
      </w:r>
      <w:r w:rsidRPr="007146F6">
        <w:rPr>
          <w:rFonts w:ascii="Gill Sans MT" w:hAnsi="Gill Sans MT"/>
          <w:b/>
          <w:sz w:val="20"/>
          <w:szCs w:val="12"/>
        </w:rPr>
        <w:t xml:space="preserve"> fundamental change in the quality of gove</w:t>
      </w:r>
      <w:r>
        <w:rPr>
          <w:rFonts w:ascii="Gill Sans MT" w:hAnsi="Gill Sans MT"/>
          <w:b/>
          <w:sz w:val="20"/>
          <w:szCs w:val="12"/>
        </w:rPr>
        <w:t>rnance</w:t>
      </w:r>
      <w:r>
        <w:rPr>
          <w:rFonts w:ascii="Gill Sans MT" w:hAnsi="Gill Sans MT"/>
          <w:sz w:val="20"/>
          <w:szCs w:val="12"/>
        </w:rPr>
        <w:t xml:space="preserve">. Nevertheless, they are important first steps: transparency is no guarantee of improved accountability but it is a necessary condition for its achievement; similarly anti-corruption legislation and institutions are no guarantee that corruption will be controlled but they are again a necessary first step. </w:t>
      </w:r>
    </w:p>
    <w:p w14:paraId="5353ED25" w14:textId="77777777" w:rsidR="00412D3C" w:rsidRDefault="00412D3C" w:rsidP="00412D3C">
      <w:pPr>
        <w:pStyle w:val="BodyText"/>
        <w:numPr>
          <w:ilvl w:val="0"/>
          <w:numId w:val="2"/>
        </w:numPr>
        <w:spacing w:line="360" w:lineRule="auto"/>
        <w:ind w:left="499" w:hanging="357"/>
        <w:rPr>
          <w:rFonts w:ascii="Gill Sans MT" w:hAnsi="Gill Sans MT"/>
          <w:sz w:val="20"/>
          <w:szCs w:val="12"/>
        </w:rPr>
      </w:pPr>
      <w:r>
        <w:rPr>
          <w:rFonts w:ascii="Gill Sans MT" w:hAnsi="Gill Sans MT"/>
          <w:b/>
          <w:sz w:val="20"/>
          <w:szCs w:val="12"/>
        </w:rPr>
        <w:t>T</w:t>
      </w:r>
      <w:r w:rsidRPr="007F2BE8">
        <w:rPr>
          <w:rFonts w:ascii="Gill Sans MT" w:hAnsi="Gill Sans MT"/>
          <w:b/>
          <w:sz w:val="20"/>
          <w:szCs w:val="12"/>
        </w:rPr>
        <w:t>he Worldwide Go</w:t>
      </w:r>
      <w:r>
        <w:rPr>
          <w:rFonts w:ascii="Gill Sans MT" w:hAnsi="Gill Sans MT"/>
          <w:b/>
          <w:sz w:val="20"/>
          <w:szCs w:val="12"/>
        </w:rPr>
        <w:t>vernance Indicators (WGI) point</w:t>
      </w:r>
      <w:r w:rsidRPr="007F2BE8">
        <w:rPr>
          <w:rFonts w:ascii="Gill Sans MT" w:hAnsi="Gill Sans MT"/>
          <w:b/>
          <w:sz w:val="20"/>
          <w:szCs w:val="12"/>
        </w:rPr>
        <w:t>, if anything, to modest improvements in Mozambique, Tanzania and Zambia in the control of corruption an</w:t>
      </w:r>
      <w:r>
        <w:rPr>
          <w:rFonts w:ascii="Gill Sans MT" w:hAnsi="Gill Sans MT"/>
          <w:b/>
          <w:sz w:val="20"/>
          <w:szCs w:val="12"/>
        </w:rPr>
        <w:t>d in voice &amp; accountability</w:t>
      </w:r>
      <w:r w:rsidRPr="007F2BE8">
        <w:rPr>
          <w:rFonts w:ascii="Gill Sans MT" w:hAnsi="Gill Sans MT"/>
          <w:b/>
          <w:sz w:val="20"/>
          <w:szCs w:val="12"/>
        </w:rPr>
        <w:t>.</w:t>
      </w:r>
      <w:r w:rsidR="00C03E17">
        <w:rPr>
          <w:rFonts w:ascii="Gill Sans MT" w:hAnsi="Gill Sans MT"/>
          <w:sz w:val="20"/>
          <w:szCs w:val="12"/>
        </w:rPr>
        <w:t xml:space="preserve"> (See T</w:t>
      </w:r>
      <w:r>
        <w:rPr>
          <w:rFonts w:ascii="Gill Sans MT" w:hAnsi="Gill Sans MT"/>
          <w:sz w:val="20"/>
          <w:szCs w:val="12"/>
        </w:rPr>
        <w:t>able 8</w:t>
      </w:r>
      <w:r w:rsidRPr="007F2BE8">
        <w:rPr>
          <w:rFonts w:ascii="Gill Sans MT" w:hAnsi="Gill Sans MT"/>
          <w:sz w:val="20"/>
          <w:szCs w:val="12"/>
        </w:rPr>
        <w:t>.) Mali is the exception but it represents a special case because the declining perceptions of governance are clearly linked to the decline in peace and security, resulting from the Tuareg unrest in the north of Mali, which had beg</w:t>
      </w:r>
      <w:r>
        <w:rPr>
          <w:rFonts w:ascii="Gill Sans MT" w:hAnsi="Gill Sans MT"/>
          <w:sz w:val="20"/>
          <w:szCs w:val="12"/>
        </w:rPr>
        <w:t>u</w:t>
      </w:r>
      <w:r w:rsidRPr="007F2BE8">
        <w:rPr>
          <w:rFonts w:ascii="Gill Sans MT" w:hAnsi="Gill Sans MT"/>
          <w:sz w:val="20"/>
          <w:szCs w:val="12"/>
        </w:rPr>
        <w:t xml:space="preserve">n to manifest itself from 2009. </w:t>
      </w:r>
      <w:r>
        <w:rPr>
          <w:rFonts w:ascii="Gill Sans MT" w:hAnsi="Gill Sans MT"/>
          <w:sz w:val="20"/>
          <w:szCs w:val="12"/>
        </w:rPr>
        <w:t xml:space="preserve"> Thus</w:t>
      </w:r>
      <w:r w:rsidRPr="007F2BE8">
        <w:rPr>
          <w:rFonts w:ascii="Gill Sans MT" w:hAnsi="Gill Sans MT"/>
          <w:sz w:val="20"/>
          <w:szCs w:val="12"/>
        </w:rPr>
        <w:t>, the balance of evidence from these countries suggests that</w:t>
      </w:r>
      <w:r>
        <w:rPr>
          <w:rFonts w:ascii="Gill Sans MT" w:hAnsi="Gill Sans MT"/>
          <w:sz w:val="20"/>
          <w:szCs w:val="12"/>
        </w:rPr>
        <w:t>,</w:t>
      </w:r>
      <w:r w:rsidRPr="007F2BE8">
        <w:rPr>
          <w:rFonts w:ascii="Gill Sans MT" w:hAnsi="Gill Sans MT"/>
          <w:sz w:val="20"/>
          <w:szCs w:val="12"/>
        </w:rPr>
        <w:t xml:space="preserve"> </w:t>
      </w:r>
      <w:r>
        <w:rPr>
          <w:rFonts w:ascii="Gill Sans MT" w:hAnsi="Gill Sans MT"/>
          <w:sz w:val="20"/>
          <w:szCs w:val="12"/>
        </w:rPr>
        <w:t>even if the improvements fall some way short of being transformational,</w:t>
      </w:r>
      <w:r w:rsidRPr="007F2BE8">
        <w:rPr>
          <w:rFonts w:ascii="Gill Sans MT" w:hAnsi="Gill Sans MT"/>
          <w:sz w:val="20"/>
          <w:szCs w:val="12"/>
        </w:rPr>
        <w:t xml:space="preserve"> budget support is more likely to be associated with an improvement in governance rather than a decl</w:t>
      </w:r>
      <w:r>
        <w:rPr>
          <w:rFonts w:ascii="Gill Sans MT" w:hAnsi="Gill Sans MT"/>
          <w:sz w:val="20"/>
          <w:szCs w:val="12"/>
        </w:rPr>
        <w:t>ine</w:t>
      </w:r>
      <w:r w:rsidRPr="007F2BE8">
        <w:rPr>
          <w:rFonts w:ascii="Gill Sans MT" w:hAnsi="Gill Sans MT"/>
          <w:sz w:val="20"/>
          <w:szCs w:val="12"/>
        </w:rPr>
        <w:t>.</w:t>
      </w:r>
      <w:r>
        <w:rPr>
          <w:rFonts w:ascii="Gill Sans MT" w:hAnsi="Gill Sans MT"/>
          <w:sz w:val="20"/>
          <w:szCs w:val="12"/>
        </w:rPr>
        <w:t xml:space="preserve"> At a wider level, IOB (2012) reports that ‘</w:t>
      </w:r>
      <w:r w:rsidRPr="00F9533C">
        <w:rPr>
          <w:rFonts w:ascii="Gill Sans MT" w:hAnsi="Gill Sans MT"/>
          <w:i/>
          <w:sz w:val="20"/>
          <w:szCs w:val="12"/>
        </w:rPr>
        <w:t>international comparative analysis shows that a positive correlation exists between the amount of budget support received and an improvement in the Kaufmann (WGI) indicators for good governance’</w:t>
      </w:r>
      <w:r>
        <w:rPr>
          <w:rFonts w:ascii="Gill Sans MT" w:hAnsi="Gill Sans MT"/>
          <w:sz w:val="20"/>
          <w:szCs w:val="12"/>
        </w:rPr>
        <w:t xml:space="preserve">. </w:t>
      </w:r>
    </w:p>
    <w:p w14:paraId="55BD82C6" w14:textId="77777777" w:rsidR="00712AA2" w:rsidRDefault="00712AA2" w:rsidP="00712AA2">
      <w:pPr>
        <w:pStyle w:val="Caption"/>
        <w:ind w:left="502"/>
        <w:rPr>
          <w:lang w:val="en-GB"/>
        </w:rPr>
      </w:pPr>
      <w:bookmarkStart w:id="68" w:name="_Toc279848288"/>
      <w:r w:rsidRPr="005118DA">
        <w:rPr>
          <w:lang w:val="en-GB"/>
        </w:rPr>
        <w:t xml:space="preserve">Table </w:t>
      </w:r>
      <w:r w:rsidRPr="005118DA">
        <w:rPr>
          <w:lang w:val="en-GB"/>
        </w:rPr>
        <w:fldChar w:fldCharType="begin"/>
      </w:r>
      <w:r w:rsidRPr="005118DA">
        <w:rPr>
          <w:lang w:val="en-GB"/>
        </w:rPr>
        <w:instrText xml:space="preserve"> SEQ Table \* ARABIC </w:instrText>
      </w:r>
      <w:r w:rsidRPr="005118DA">
        <w:rPr>
          <w:lang w:val="en-GB"/>
        </w:rPr>
        <w:fldChar w:fldCharType="separate"/>
      </w:r>
      <w:r w:rsidR="00967582">
        <w:rPr>
          <w:noProof/>
          <w:lang w:val="en-GB"/>
        </w:rPr>
        <w:t>8</w:t>
      </w:r>
      <w:r w:rsidRPr="005118DA">
        <w:rPr>
          <w:lang w:val="en-GB"/>
        </w:rPr>
        <w:fldChar w:fldCharType="end"/>
      </w:r>
      <w:r w:rsidRPr="005118DA">
        <w:rPr>
          <w:lang w:val="en-GB"/>
        </w:rPr>
        <w:t>: Governance status of the LIC countri</w:t>
      </w:r>
      <w:r>
        <w:rPr>
          <w:lang w:val="en-GB"/>
        </w:rPr>
        <w:t>es, WGI percentile rankings 2010 (showing change in rankings from 2004)</w:t>
      </w:r>
      <w:bookmarkEnd w:id="68"/>
    </w:p>
    <w:tbl>
      <w:tblPr>
        <w:tblStyle w:val="TableClassic2"/>
        <w:tblW w:w="0" w:type="auto"/>
        <w:tblLook w:val="04A0" w:firstRow="1" w:lastRow="0" w:firstColumn="1" w:lastColumn="0" w:noHBand="0" w:noVBand="1"/>
      </w:tblPr>
      <w:tblGrid>
        <w:gridCol w:w="3369"/>
        <w:gridCol w:w="1134"/>
        <w:gridCol w:w="1559"/>
        <w:gridCol w:w="1276"/>
        <w:gridCol w:w="1187"/>
      </w:tblGrid>
      <w:tr w:rsidR="00712AA2" w:rsidRPr="00AD4BA3" w14:paraId="0C4F9AF1" w14:textId="77777777" w:rsidTr="00856F5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69" w:type="dxa"/>
          </w:tcPr>
          <w:p w14:paraId="624EDA11" w14:textId="77777777" w:rsidR="00712AA2" w:rsidRPr="00AD4BA3" w:rsidRDefault="00712AA2" w:rsidP="00856F53">
            <w:pPr>
              <w:rPr>
                <w:rFonts w:ascii="Gill Sans MT" w:hAnsi="Gill Sans MT"/>
                <w:lang w:val="en-GB"/>
              </w:rPr>
            </w:pPr>
            <w:r w:rsidRPr="00AD4BA3">
              <w:rPr>
                <w:rFonts w:ascii="Gill Sans MT" w:hAnsi="Gill Sans MT"/>
                <w:lang w:val="en-GB"/>
              </w:rPr>
              <w:t>WGI Governance dimensions</w:t>
            </w:r>
          </w:p>
        </w:tc>
        <w:tc>
          <w:tcPr>
            <w:tcW w:w="1134" w:type="dxa"/>
          </w:tcPr>
          <w:p w14:paraId="0610ACD9" w14:textId="77777777" w:rsidR="00712AA2" w:rsidRPr="00AD4BA3" w:rsidRDefault="00712AA2" w:rsidP="00712AA2">
            <w:pPr>
              <w:jc w:val="center"/>
              <w:cnfStyle w:val="100000000000" w:firstRow="1" w:lastRow="0" w:firstColumn="0" w:lastColumn="0" w:oddVBand="0" w:evenVBand="0" w:oddHBand="0" w:evenHBand="0" w:firstRowFirstColumn="0" w:firstRowLastColumn="0" w:lastRowFirstColumn="0" w:lastRowLastColumn="0"/>
              <w:rPr>
                <w:rFonts w:ascii="Gill Sans MT" w:hAnsi="Gill Sans MT"/>
                <w:lang w:val="en-GB"/>
              </w:rPr>
            </w:pPr>
            <w:r w:rsidRPr="00AD4BA3">
              <w:rPr>
                <w:rFonts w:ascii="Gill Sans MT" w:hAnsi="Gill Sans MT"/>
                <w:lang w:val="en-GB"/>
              </w:rPr>
              <w:t>Mali</w:t>
            </w:r>
          </w:p>
          <w:p w14:paraId="48C3BF2C" w14:textId="77777777" w:rsidR="00712AA2" w:rsidRPr="00AD4BA3" w:rsidRDefault="00712AA2" w:rsidP="00712AA2">
            <w:pPr>
              <w:jc w:val="center"/>
              <w:cnfStyle w:val="100000000000" w:firstRow="1" w:lastRow="0" w:firstColumn="0" w:lastColumn="0" w:oddVBand="0" w:evenVBand="0" w:oddHBand="0" w:evenHBand="0" w:firstRowFirstColumn="0" w:firstRowLastColumn="0" w:lastRowFirstColumn="0" w:lastRowLastColumn="0"/>
              <w:rPr>
                <w:rFonts w:ascii="Gill Sans MT" w:hAnsi="Gill Sans MT"/>
                <w:lang w:val="en-GB"/>
              </w:rPr>
            </w:pPr>
            <w:r>
              <w:rPr>
                <w:rFonts w:ascii="Gill Sans MT" w:hAnsi="Gill Sans MT"/>
                <w:lang w:val="en-GB"/>
              </w:rPr>
              <w:t>(2010</w:t>
            </w:r>
            <w:r w:rsidRPr="00AD4BA3">
              <w:rPr>
                <w:rFonts w:ascii="Gill Sans MT" w:hAnsi="Gill Sans MT"/>
                <w:lang w:val="en-GB"/>
              </w:rPr>
              <w:t>)</w:t>
            </w:r>
          </w:p>
        </w:tc>
        <w:tc>
          <w:tcPr>
            <w:tcW w:w="1559" w:type="dxa"/>
          </w:tcPr>
          <w:p w14:paraId="1889D99F" w14:textId="77777777" w:rsidR="00712AA2" w:rsidRPr="00AD4BA3" w:rsidRDefault="00712AA2" w:rsidP="00712AA2">
            <w:pPr>
              <w:jc w:val="center"/>
              <w:cnfStyle w:val="100000000000" w:firstRow="1" w:lastRow="0" w:firstColumn="0" w:lastColumn="0" w:oddVBand="0" w:evenVBand="0" w:oddHBand="0" w:evenHBand="0" w:firstRowFirstColumn="0" w:firstRowLastColumn="0" w:lastRowFirstColumn="0" w:lastRowLastColumn="0"/>
              <w:rPr>
                <w:rFonts w:ascii="Gill Sans MT" w:hAnsi="Gill Sans MT"/>
                <w:lang w:val="en-GB"/>
              </w:rPr>
            </w:pPr>
            <w:r w:rsidRPr="00AD4BA3">
              <w:rPr>
                <w:rFonts w:ascii="Gill Sans MT" w:hAnsi="Gill Sans MT"/>
                <w:lang w:val="en-GB"/>
              </w:rPr>
              <w:t>Mozambique</w:t>
            </w:r>
          </w:p>
          <w:p w14:paraId="7B6E6C0B" w14:textId="77777777" w:rsidR="00712AA2" w:rsidRPr="00AD4BA3" w:rsidRDefault="00712AA2" w:rsidP="00712AA2">
            <w:pPr>
              <w:jc w:val="center"/>
              <w:cnfStyle w:val="100000000000" w:firstRow="1" w:lastRow="0" w:firstColumn="0" w:lastColumn="0" w:oddVBand="0" w:evenVBand="0" w:oddHBand="0" w:evenHBand="0" w:firstRowFirstColumn="0" w:firstRowLastColumn="0" w:lastRowFirstColumn="0" w:lastRowLastColumn="0"/>
              <w:rPr>
                <w:rFonts w:ascii="Gill Sans MT" w:hAnsi="Gill Sans MT"/>
                <w:lang w:val="en-GB"/>
              </w:rPr>
            </w:pPr>
            <w:r>
              <w:rPr>
                <w:rFonts w:ascii="Gill Sans MT" w:hAnsi="Gill Sans MT"/>
                <w:lang w:val="en-GB"/>
              </w:rPr>
              <w:t>(2010</w:t>
            </w:r>
            <w:r w:rsidRPr="00AD4BA3">
              <w:rPr>
                <w:rFonts w:ascii="Gill Sans MT" w:hAnsi="Gill Sans MT"/>
                <w:lang w:val="en-GB"/>
              </w:rPr>
              <w:t>)</w:t>
            </w:r>
          </w:p>
        </w:tc>
        <w:tc>
          <w:tcPr>
            <w:tcW w:w="1276" w:type="dxa"/>
          </w:tcPr>
          <w:p w14:paraId="5633E68B" w14:textId="77777777" w:rsidR="00712AA2" w:rsidRPr="00AD4BA3" w:rsidRDefault="00712AA2" w:rsidP="00712AA2">
            <w:pPr>
              <w:jc w:val="center"/>
              <w:cnfStyle w:val="100000000000" w:firstRow="1" w:lastRow="0" w:firstColumn="0" w:lastColumn="0" w:oddVBand="0" w:evenVBand="0" w:oddHBand="0" w:evenHBand="0" w:firstRowFirstColumn="0" w:firstRowLastColumn="0" w:lastRowFirstColumn="0" w:lastRowLastColumn="0"/>
              <w:rPr>
                <w:rFonts w:ascii="Gill Sans MT" w:hAnsi="Gill Sans MT"/>
                <w:lang w:val="en-GB"/>
              </w:rPr>
            </w:pPr>
            <w:r w:rsidRPr="00AD4BA3">
              <w:rPr>
                <w:rFonts w:ascii="Gill Sans MT" w:hAnsi="Gill Sans MT"/>
                <w:lang w:val="en-GB"/>
              </w:rPr>
              <w:t>Tanzania</w:t>
            </w:r>
          </w:p>
          <w:p w14:paraId="202048C7" w14:textId="77777777" w:rsidR="00712AA2" w:rsidRPr="00AD4BA3" w:rsidRDefault="00712AA2" w:rsidP="00712AA2">
            <w:pPr>
              <w:jc w:val="center"/>
              <w:cnfStyle w:val="100000000000" w:firstRow="1" w:lastRow="0" w:firstColumn="0" w:lastColumn="0" w:oddVBand="0" w:evenVBand="0" w:oddHBand="0" w:evenHBand="0" w:firstRowFirstColumn="0" w:firstRowLastColumn="0" w:lastRowFirstColumn="0" w:lastRowLastColumn="0"/>
              <w:rPr>
                <w:rFonts w:ascii="Gill Sans MT" w:hAnsi="Gill Sans MT"/>
                <w:lang w:val="en-GB"/>
              </w:rPr>
            </w:pPr>
            <w:r>
              <w:rPr>
                <w:rFonts w:ascii="Gill Sans MT" w:hAnsi="Gill Sans MT"/>
                <w:lang w:val="en-GB"/>
              </w:rPr>
              <w:t>(2010</w:t>
            </w:r>
            <w:r w:rsidRPr="00AD4BA3">
              <w:rPr>
                <w:rFonts w:ascii="Gill Sans MT" w:hAnsi="Gill Sans MT"/>
                <w:lang w:val="en-GB"/>
              </w:rPr>
              <w:t>)</w:t>
            </w:r>
          </w:p>
        </w:tc>
        <w:tc>
          <w:tcPr>
            <w:tcW w:w="1187" w:type="dxa"/>
          </w:tcPr>
          <w:p w14:paraId="1194AB73" w14:textId="77777777" w:rsidR="00712AA2" w:rsidRPr="00AD4BA3" w:rsidRDefault="00712AA2" w:rsidP="00712AA2">
            <w:pPr>
              <w:jc w:val="center"/>
              <w:cnfStyle w:val="100000000000" w:firstRow="1" w:lastRow="0" w:firstColumn="0" w:lastColumn="0" w:oddVBand="0" w:evenVBand="0" w:oddHBand="0" w:evenHBand="0" w:firstRowFirstColumn="0" w:firstRowLastColumn="0" w:lastRowFirstColumn="0" w:lastRowLastColumn="0"/>
              <w:rPr>
                <w:rFonts w:ascii="Gill Sans MT" w:hAnsi="Gill Sans MT"/>
                <w:lang w:val="en-GB"/>
              </w:rPr>
            </w:pPr>
            <w:r w:rsidRPr="00AD4BA3">
              <w:rPr>
                <w:rFonts w:ascii="Gill Sans MT" w:hAnsi="Gill Sans MT"/>
                <w:lang w:val="en-GB"/>
              </w:rPr>
              <w:t>Zambia</w:t>
            </w:r>
          </w:p>
          <w:p w14:paraId="0F821440" w14:textId="77777777" w:rsidR="00712AA2" w:rsidRPr="00AD4BA3" w:rsidRDefault="00712AA2" w:rsidP="00712AA2">
            <w:pPr>
              <w:jc w:val="center"/>
              <w:cnfStyle w:val="100000000000" w:firstRow="1" w:lastRow="0" w:firstColumn="0" w:lastColumn="0" w:oddVBand="0" w:evenVBand="0" w:oddHBand="0" w:evenHBand="0" w:firstRowFirstColumn="0" w:firstRowLastColumn="0" w:lastRowFirstColumn="0" w:lastRowLastColumn="0"/>
              <w:rPr>
                <w:rFonts w:ascii="Gill Sans MT" w:hAnsi="Gill Sans MT"/>
                <w:lang w:val="en-GB"/>
              </w:rPr>
            </w:pPr>
            <w:r>
              <w:rPr>
                <w:rFonts w:ascii="Gill Sans MT" w:hAnsi="Gill Sans MT"/>
                <w:lang w:val="en-GB"/>
              </w:rPr>
              <w:t>(2010</w:t>
            </w:r>
            <w:r w:rsidRPr="00AD4BA3">
              <w:rPr>
                <w:rFonts w:ascii="Gill Sans MT" w:hAnsi="Gill Sans MT"/>
                <w:lang w:val="en-GB"/>
              </w:rPr>
              <w:t>)</w:t>
            </w:r>
          </w:p>
        </w:tc>
      </w:tr>
      <w:tr w:rsidR="00712AA2" w:rsidRPr="00AD4BA3" w14:paraId="17E10F34" w14:textId="77777777" w:rsidTr="00856F53">
        <w:tc>
          <w:tcPr>
            <w:cnfStyle w:val="001000000000" w:firstRow="0" w:lastRow="0" w:firstColumn="1" w:lastColumn="0" w:oddVBand="0" w:evenVBand="0" w:oddHBand="0" w:evenHBand="0" w:firstRowFirstColumn="0" w:firstRowLastColumn="0" w:lastRowFirstColumn="0" w:lastRowLastColumn="0"/>
            <w:tcW w:w="3369" w:type="dxa"/>
          </w:tcPr>
          <w:p w14:paraId="64F7D229" w14:textId="77777777" w:rsidR="00712AA2" w:rsidRPr="00AD4BA3" w:rsidRDefault="00712AA2" w:rsidP="00856F53">
            <w:pPr>
              <w:spacing w:line="360" w:lineRule="auto"/>
              <w:rPr>
                <w:rFonts w:ascii="Gill Sans MT" w:hAnsi="Gill Sans MT"/>
                <w:sz w:val="22"/>
                <w:szCs w:val="22"/>
                <w:lang w:val="en-GB"/>
              </w:rPr>
            </w:pPr>
            <w:r w:rsidRPr="00AD4BA3">
              <w:rPr>
                <w:rFonts w:ascii="Gill Sans MT" w:hAnsi="Gill Sans MT"/>
                <w:sz w:val="22"/>
                <w:szCs w:val="22"/>
                <w:lang w:val="en-GB"/>
              </w:rPr>
              <w:t>Voice &amp; Accountability</w:t>
            </w:r>
          </w:p>
        </w:tc>
        <w:tc>
          <w:tcPr>
            <w:tcW w:w="1134" w:type="dxa"/>
          </w:tcPr>
          <w:p w14:paraId="12465B18" w14:textId="77777777" w:rsidR="00712AA2" w:rsidRDefault="00856F53" w:rsidP="00856F5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54.0</w:t>
            </w:r>
          </w:p>
          <w:p w14:paraId="30216649" w14:textId="77777777" w:rsidR="00856F53" w:rsidRPr="005E2E28" w:rsidRDefault="00856F53" w:rsidP="00856F53">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i/>
                <w:sz w:val="20"/>
                <w:szCs w:val="20"/>
                <w:lang w:val="en-GB"/>
              </w:rPr>
            </w:pPr>
            <w:r w:rsidRPr="005E2E28">
              <w:rPr>
                <w:rFonts w:ascii="Gill Sans MT" w:hAnsi="Gill Sans MT"/>
                <w:i/>
                <w:sz w:val="20"/>
                <w:szCs w:val="20"/>
                <w:lang w:val="en-GB"/>
              </w:rPr>
              <w:t>(-3.2)</w:t>
            </w:r>
          </w:p>
        </w:tc>
        <w:tc>
          <w:tcPr>
            <w:tcW w:w="1559" w:type="dxa"/>
          </w:tcPr>
          <w:p w14:paraId="0C5DCBB3" w14:textId="77777777" w:rsidR="00712AA2" w:rsidRDefault="005E2E28" w:rsidP="00856F5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45.5</w:t>
            </w:r>
          </w:p>
          <w:p w14:paraId="055C48F4" w14:textId="77777777" w:rsidR="005E2E28" w:rsidRPr="005E2E28" w:rsidRDefault="005E2E28" w:rsidP="005E2E28">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i/>
                <w:sz w:val="22"/>
                <w:szCs w:val="22"/>
                <w:lang w:val="en-GB"/>
              </w:rPr>
            </w:pPr>
            <w:r w:rsidRPr="005E2E28">
              <w:rPr>
                <w:rFonts w:ascii="Gill Sans MT" w:hAnsi="Gill Sans MT"/>
                <w:i/>
                <w:sz w:val="20"/>
                <w:szCs w:val="20"/>
                <w:lang w:val="en-GB"/>
              </w:rPr>
              <w:t>(-1.6</w:t>
            </w:r>
            <w:r w:rsidRPr="005E2E28">
              <w:rPr>
                <w:rFonts w:ascii="Gill Sans MT" w:hAnsi="Gill Sans MT"/>
                <w:i/>
                <w:sz w:val="22"/>
                <w:szCs w:val="22"/>
                <w:lang w:val="en-GB"/>
              </w:rPr>
              <w:t>)</w:t>
            </w:r>
          </w:p>
        </w:tc>
        <w:tc>
          <w:tcPr>
            <w:tcW w:w="1276" w:type="dxa"/>
          </w:tcPr>
          <w:p w14:paraId="40677196" w14:textId="77777777" w:rsidR="00712AA2" w:rsidRDefault="007D44BD" w:rsidP="00856F5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43.6</w:t>
            </w:r>
          </w:p>
          <w:p w14:paraId="5B7D6321" w14:textId="77777777" w:rsidR="007D44BD" w:rsidRPr="00AD4BA3" w:rsidRDefault="007D44BD" w:rsidP="007D44BD">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7D44BD">
              <w:rPr>
                <w:rFonts w:ascii="Gill Sans MT" w:hAnsi="Gill Sans MT"/>
                <w:i/>
                <w:sz w:val="20"/>
                <w:szCs w:val="20"/>
                <w:lang w:val="en-GB"/>
              </w:rPr>
              <w:t>(+9.5)</w:t>
            </w:r>
          </w:p>
        </w:tc>
        <w:tc>
          <w:tcPr>
            <w:tcW w:w="1187" w:type="dxa"/>
          </w:tcPr>
          <w:p w14:paraId="7450C872" w14:textId="77777777" w:rsidR="00712AA2" w:rsidRDefault="007D44BD" w:rsidP="00856F5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39</w:t>
            </w:r>
            <w:r w:rsidR="00712AA2">
              <w:rPr>
                <w:rFonts w:ascii="Gill Sans MT" w:hAnsi="Gill Sans MT"/>
                <w:sz w:val="22"/>
                <w:szCs w:val="22"/>
                <w:lang w:val="en-GB"/>
              </w:rPr>
              <w:t>.</w:t>
            </w:r>
            <w:r>
              <w:rPr>
                <w:rFonts w:ascii="Gill Sans MT" w:hAnsi="Gill Sans MT"/>
                <w:sz w:val="22"/>
                <w:szCs w:val="22"/>
                <w:lang w:val="en-GB"/>
              </w:rPr>
              <w:t>3</w:t>
            </w:r>
          </w:p>
          <w:p w14:paraId="5A26A6FD" w14:textId="77777777" w:rsidR="007D44BD" w:rsidRPr="00AD4BA3" w:rsidRDefault="007D44BD" w:rsidP="007D44BD">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7D44BD">
              <w:rPr>
                <w:rFonts w:ascii="Gill Sans MT" w:hAnsi="Gill Sans MT"/>
                <w:i/>
                <w:sz w:val="20"/>
                <w:szCs w:val="20"/>
                <w:lang w:val="en-GB"/>
              </w:rPr>
              <w:t>(+3.2)</w:t>
            </w:r>
          </w:p>
        </w:tc>
      </w:tr>
      <w:tr w:rsidR="00712AA2" w:rsidRPr="00AD4BA3" w14:paraId="644D1052" w14:textId="77777777" w:rsidTr="00856F53">
        <w:tc>
          <w:tcPr>
            <w:cnfStyle w:val="001000000000" w:firstRow="0" w:lastRow="0" w:firstColumn="1" w:lastColumn="0" w:oddVBand="0" w:evenVBand="0" w:oddHBand="0" w:evenHBand="0" w:firstRowFirstColumn="0" w:firstRowLastColumn="0" w:lastRowFirstColumn="0" w:lastRowLastColumn="0"/>
            <w:tcW w:w="3369" w:type="dxa"/>
          </w:tcPr>
          <w:p w14:paraId="301108D2" w14:textId="77777777" w:rsidR="00712AA2" w:rsidRPr="00AD4BA3" w:rsidRDefault="00712AA2" w:rsidP="00856F53">
            <w:pPr>
              <w:spacing w:line="360" w:lineRule="auto"/>
              <w:rPr>
                <w:rFonts w:ascii="Gill Sans MT" w:hAnsi="Gill Sans MT"/>
                <w:sz w:val="22"/>
                <w:szCs w:val="22"/>
                <w:lang w:val="en-GB"/>
              </w:rPr>
            </w:pPr>
            <w:r w:rsidRPr="00AD4BA3">
              <w:rPr>
                <w:rFonts w:ascii="Gill Sans MT" w:hAnsi="Gill Sans MT"/>
                <w:sz w:val="22"/>
                <w:szCs w:val="22"/>
                <w:lang w:val="en-GB"/>
              </w:rPr>
              <w:t>Rule of Law</w:t>
            </w:r>
          </w:p>
        </w:tc>
        <w:tc>
          <w:tcPr>
            <w:tcW w:w="1134" w:type="dxa"/>
          </w:tcPr>
          <w:p w14:paraId="188C2C58" w14:textId="77777777" w:rsidR="00712AA2" w:rsidRDefault="00856F53" w:rsidP="00856F5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40.3</w:t>
            </w:r>
          </w:p>
          <w:p w14:paraId="548DED75" w14:textId="77777777" w:rsidR="00856F53" w:rsidRPr="005E2E28" w:rsidRDefault="00856F53" w:rsidP="00856F53">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i/>
                <w:sz w:val="20"/>
                <w:szCs w:val="20"/>
                <w:lang w:val="en-GB"/>
              </w:rPr>
            </w:pPr>
            <w:r w:rsidRPr="005E2E28">
              <w:rPr>
                <w:rFonts w:ascii="Gill Sans MT" w:hAnsi="Gill Sans MT"/>
                <w:i/>
                <w:sz w:val="20"/>
                <w:szCs w:val="20"/>
                <w:lang w:val="en-GB"/>
              </w:rPr>
              <w:t>(-7.5)</w:t>
            </w:r>
          </w:p>
        </w:tc>
        <w:tc>
          <w:tcPr>
            <w:tcW w:w="1559" w:type="dxa"/>
          </w:tcPr>
          <w:p w14:paraId="63DB71E6" w14:textId="77777777" w:rsidR="00712AA2" w:rsidRDefault="005E2E28" w:rsidP="00856F5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39.3</w:t>
            </w:r>
          </w:p>
          <w:p w14:paraId="74AD80EF" w14:textId="77777777" w:rsidR="005E2E28" w:rsidRPr="005E2E28" w:rsidRDefault="005E2E28" w:rsidP="005E2E28">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i/>
                <w:sz w:val="20"/>
                <w:szCs w:val="20"/>
                <w:lang w:val="en-GB"/>
              </w:rPr>
            </w:pPr>
            <w:r w:rsidRPr="005E2E28">
              <w:rPr>
                <w:rFonts w:ascii="Gill Sans MT" w:hAnsi="Gill Sans MT"/>
                <w:i/>
                <w:sz w:val="20"/>
                <w:szCs w:val="20"/>
                <w:lang w:val="en-GB"/>
              </w:rPr>
              <w:t>(+6.8)</w:t>
            </w:r>
          </w:p>
        </w:tc>
        <w:tc>
          <w:tcPr>
            <w:tcW w:w="1276" w:type="dxa"/>
          </w:tcPr>
          <w:p w14:paraId="3F383EBF" w14:textId="77777777" w:rsidR="00712AA2" w:rsidRDefault="007D44BD" w:rsidP="00856F5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38.4</w:t>
            </w:r>
          </w:p>
          <w:p w14:paraId="6BCBEAD8" w14:textId="77777777" w:rsidR="007D44BD" w:rsidRPr="00AD4BA3" w:rsidRDefault="007D44BD" w:rsidP="007D44BD">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7D44BD">
              <w:rPr>
                <w:rFonts w:ascii="Gill Sans MT" w:hAnsi="Gill Sans MT"/>
                <w:i/>
                <w:sz w:val="20"/>
                <w:szCs w:val="20"/>
                <w:lang w:val="en-GB"/>
              </w:rPr>
              <w:t>(-4.2)</w:t>
            </w:r>
          </w:p>
        </w:tc>
        <w:tc>
          <w:tcPr>
            <w:tcW w:w="1187" w:type="dxa"/>
          </w:tcPr>
          <w:p w14:paraId="08FD48EC" w14:textId="77777777" w:rsidR="00712AA2" w:rsidRDefault="007D44BD" w:rsidP="00856F5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37.4</w:t>
            </w:r>
          </w:p>
          <w:p w14:paraId="77E3414D" w14:textId="77777777" w:rsidR="007D44BD" w:rsidRPr="00AD4BA3" w:rsidRDefault="007D44BD" w:rsidP="007D44BD">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7D44BD">
              <w:rPr>
                <w:rFonts w:ascii="Gill Sans MT" w:hAnsi="Gill Sans MT"/>
                <w:i/>
                <w:sz w:val="20"/>
                <w:szCs w:val="20"/>
                <w:lang w:val="en-GB"/>
              </w:rPr>
              <w:t>(+1.5)</w:t>
            </w:r>
          </w:p>
        </w:tc>
      </w:tr>
      <w:tr w:rsidR="00712AA2" w:rsidRPr="00AD4BA3" w14:paraId="53D9FB37" w14:textId="77777777" w:rsidTr="00856F53">
        <w:tc>
          <w:tcPr>
            <w:cnfStyle w:val="001000000000" w:firstRow="0" w:lastRow="0" w:firstColumn="1" w:lastColumn="0" w:oddVBand="0" w:evenVBand="0" w:oddHBand="0" w:evenHBand="0" w:firstRowFirstColumn="0" w:firstRowLastColumn="0" w:lastRowFirstColumn="0" w:lastRowLastColumn="0"/>
            <w:tcW w:w="3369" w:type="dxa"/>
          </w:tcPr>
          <w:p w14:paraId="7B78029C" w14:textId="77777777" w:rsidR="00712AA2" w:rsidRPr="00AD4BA3" w:rsidRDefault="00712AA2" w:rsidP="00856F53">
            <w:pPr>
              <w:spacing w:line="360" w:lineRule="auto"/>
              <w:rPr>
                <w:rFonts w:ascii="Gill Sans MT" w:hAnsi="Gill Sans MT"/>
                <w:sz w:val="22"/>
                <w:szCs w:val="22"/>
                <w:lang w:val="en-GB"/>
              </w:rPr>
            </w:pPr>
            <w:r w:rsidRPr="00AD4BA3">
              <w:rPr>
                <w:rFonts w:ascii="Gill Sans MT" w:hAnsi="Gill Sans MT"/>
                <w:sz w:val="22"/>
                <w:szCs w:val="22"/>
                <w:lang w:val="en-GB"/>
              </w:rPr>
              <w:t>Regulatory Quality</w:t>
            </w:r>
          </w:p>
        </w:tc>
        <w:tc>
          <w:tcPr>
            <w:tcW w:w="1134" w:type="dxa"/>
          </w:tcPr>
          <w:p w14:paraId="46091F4B" w14:textId="77777777" w:rsidR="00712AA2" w:rsidRDefault="00856F53" w:rsidP="00856F5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34.9</w:t>
            </w:r>
          </w:p>
          <w:p w14:paraId="67026D90" w14:textId="77777777" w:rsidR="00856F53" w:rsidRPr="005E2E28" w:rsidRDefault="00856F53" w:rsidP="005E2E28">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i/>
                <w:sz w:val="20"/>
                <w:szCs w:val="20"/>
                <w:lang w:val="en-GB"/>
              </w:rPr>
            </w:pPr>
            <w:r w:rsidRPr="005E2E28">
              <w:rPr>
                <w:rFonts w:ascii="Gill Sans MT" w:hAnsi="Gill Sans MT"/>
                <w:i/>
                <w:sz w:val="20"/>
                <w:szCs w:val="20"/>
                <w:lang w:val="en-GB"/>
              </w:rPr>
              <w:t>(-0.4)</w:t>
            </w:r>
          </w:p>
        </w:tc>
        <w:tc>
          <w:tcPr>
            <w:tcW w:w="1559" w:type="dxa"/>
          </w:tcPr>
          <w:p w14:paraId="63322E0A" w14:textId="77777777" w:rsidR="00712AA2" w:rsidRDefault="005E2E28" w:rsidP="00856F5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38.3</w:t>
            </w:r>
          </w:p>
          <w:p w14:paraId="171D11B9" w14:textId="77777777" w:rsidR="005E2E28" w:rsidRPr="005E2E28" w:rsidRDefault="005E2E28" w:rsidP="005E2E28">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i/>
                <w:sz w:val="20"/>
                <w:szCs w:val="20"/>
                <w:lang w:val="en-GB"/>
              </w:rPr>
            </w:pPr>
            <w:r w:rsidRPr="005E2E28">
              <w:rPr>
                <w:rFonts w:ascii="Gill Sans MT" w:hAnsi="Gill Sans MT"/>
                <w:i/>
                <w:sz w:val="20"/>
                <w:szCs w:val="20"/>
                <w:lang w:val="en-GB"/>
              </w:rPr>
              <w:t>(+4.0)</w:t>
            </w:r>
          </w:p>
        </w:tc>
        <w:tc>
          <w:tcPr>
            <w:tcW w:w="1276" w:type="dxa"/>
          </w:tcPr>
          <w:p w14:paraId="513DA2C0" w14:textId="77777777" w:rsidR="00712AA2" w:rsidRDefault="007D44BD" w:rsidP="00856F5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36.8</w:t>
            </w:r>
          </w:p>
          <w:p w14:paraId="44997099" w14:textId="77777777" w:rsidR="007D44BD" w:rsidRPr="00AD4BA3" w:rsidRDefault="007D44BD" w:rsidP="007D44BD">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7D44BD">
              <w:rPr>
                <w:rFonts w:ascii="Gill Sans MT" w:hAnsi="Gill Sans MT"/>
                <w:i/>
                <w:sz w:val="20"/>
                <w:szCs w:val="20"/>
                <w:lang w:val="en-GB"/>
              </w:rPr>
              <w:t>(+0.5)</w:t>
            </w:r>
          </w:p>
        </w:tc>
        <w:tc>
          <w:tcPr>
            <w:tcW w:w="1187" w:type="dxa"/>
          </w:tcPr>
          <w:p w14:paraId="4D81770C" w14:textId="77777777" w:rsidR="00712AA2" w:rsidRDefault="007D44BD" w:rsidP="00856F5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35.4</w:t>
            </w:r>
          </w:p>
          <w:p w14:paraId="7AC0DC8D" w14:textId="77777777" w:rsidR="007D44BD" w:rsidRPr="00AD4BA3" w:rsidRDefault="007D44BD" w:rsidP="007D44BD">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7D44BD">
              <w:rPr>
                <w:rFonts w:ascii="Gill Sans MT" w:hAnsi="Gill Sans MT"/>
                <w:i/>
                <w:sz w:val="20"/>
                <w:szCs w:val="20"/>
                <w:lang w:val="en-GB"/>
              </w:rPr>
              <w:t>(+3.5)</w:t>
            </w:r>
          </w:p>
        </w:tc>
      </w:tr>
      <w:tr w:rsidR="00712AA2" w:rsidRPr="00AD4BA3" w14:paraId="7FF0E0B6" w14:textId="77777777" w:rsidTr="00856F53">
        <w:tc>
          <w:tcPr>
            <w:cnfStyle w:val="001000000000" w:firstRow="0" w:lastRow="0" w:firstColumn="1" w:lastColumn="0" w:oddVBand="0" w:evenVBand="0" w:oddHBand="0" w:evenHBand="0" w:firstRowFirstColumn="0" w:firstRowLastColumn="0" w:lastRowFirstColumn="0" w:lastRowLastColumn="0"/>
            <w:tcW w:w="3369" w:type="dxa"/>
          </w:tcPr>
          <w:p w14:paraId="6C875FB1" w14:textId="77777777" w:rsidR="00712AA2" w:rsidRPr="00AD4BA3" w:rsidRDefault="00712AA2" w:rsidP="00856F53">
            <w:pPr>
              <w:spacing w:line="276" w:lineRule="auto"/>
              <w:rPr>
                <w:rFonts w:ascii="Gill Sans MT" w:hAnsi="Gill Sans MT"/>
                <w:sz w:val="22"/>
                <w:szCs w:val="22"/>
                <w:lang w:val="en-GB"/>
              </w:rPr>
            </w:pPr>
            <w:r w:rsidRPr="00AD4BA3">
              <w:rPr>
                <w:rFonts w:ascii="Gill Sans MT" w:hAnsi="Gill Sans MT"/>
                <w:sz w:val="22"/>
                <w:szCs w:val="22"/>
                <w:lang w:val="en-GB"/>
              </w:rPr>
              <w:t>Political Stability &amp; Absence of Violence/ Terrorism</w:t>
            </w:r>
          </w:p>
        </w:tc>
        <w:tc>
          <w:tcPr>
            <w:tcW w:w="1134" w:type="dxa"/>
          </w:tcPr>
          <w:p w14:paraId="206F0D07" w14:textId="77777777" w:rsidR="00712AA2" w:rsidRDefault="00856F53" w:rsidP="00856F5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37.7</w:t>
            </w:r>
          </w:p>
          <w:p w14:paraId="5F53859B" w14:textId="77777777" w:rsidR="00856F53" w:rsidRPr="005E2E28" w:rsidRDefault="00856F53" w:rsidP="00856F53">
            <w:pPr>
              <w:jc w:val="center"/>
              <w:cnfStyle w:val="000000000000" w:firstRow="0" w:lastRow="0" w:firstColumn="0" w:lastColumn="0" w:oddVBand="0" w:evenVBand="0" w:oddHBand="0" w:evenHBand="0" w:firstRowFirstColumn="0" w:firstRowLastColumn="0" w:lastRowFirstColumn="0" w:lastRowLastColumn="0"/>
              <w:rPr>
                <w:rFonts w:ascii="Gill Sans MT" w:hAnsi="Gill Sans MT"/>
                <w:i/>
                <w:sz w:val="20"/>
                <w:szCs w:val="20"/>
                <w:lang w:val="en-GB"/>
              </w:rPr>
            </w:pPr>
            <w:r w:rsidRPr="005E2E28">
              <w:rPr>
                <w:rFonts w:ascii="Gill Sans MT" w:hAnsi="Gill Sans MT"/>
                <w:i/>
                <w:sz w:val="20"/>
                <w:szCs w:val="20"/>
                <w:lang w:val="en-GB"/>
              </w:rPr>
              <w:t>(-25.3)</w:t>
            </w:r>
          </w:p>
        </w:tc>
        <w:tc>
          <w:tcPr>
            <w:tcW w:w="1559" w:type="dxa"/>
          </w:tcPr>
          <w:p w14:paraId="223970C3" w14:textId="77777777" w:rsidR="00712AA2" w:rsidRDefault="005E2E28" w:rsidP="00856F5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57.1</w:t>
            </w:r>
          </w:p>
          <w:p w14:paraId="10A7C06F" w14:textId="77777777" w:rsidR="005E2E28" w:rsidRPr="005E2E28" w:rsidRDefault="005E2E28" w:rsidP="005E2E28">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i/>
                <w:sz w:val="20"/>
                <w:szCs w:val="20"/>
                <w:lang w:val="en-GB"/>
              </w:rPr>
            </w:pPr>
            <w:r w:rsidRPr="005E2E28">
              <w:rPr>
                <w:rFonts w:ascii="Gill Sans MT" w:hAnsi="Gill Sans MT"/>
                <w:i/>
                <w:sz w:val="20"/>
                <w:szCs w:val="20"/>
                <w:lang w:val="en-GB"/>
              </w:rPr>
              <w:t>(+12.4)</w:t>
            </w:r>
          </w:p>
        </w:tc>
        <w:tc>
          <w:tcPr>
            <w:tcW w:w="1276" w:type="dxa"/>
          </w:tcPr>
          <w:p w14:paraId="0E8E22C4" w14:textId="77777777" w:rsidR="00712AA2" w:rsidRDefault="007D44BD" w:rsidP="00856F5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46.2</w:t>
            </w:r>
          </w:p>
          <w:p w14:paraId="7DD874C5" w14:textId="77777777" w:rsidR="007D44BD" w:rsidRPr="00AD4BA3" w:rsidRDefault="007D44BD" w:rsidP="007D44BD">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7D44BD">
              <w:rPr>
                <w:rFonts w:ascii="Gill Sans MT" w:hAnsi="Gill Sans MT"/>
                <w:i/>
                <w:sz w:val="20"/>
                <w:szCs w:val="20"/>
                <w:lang w:val="en-GB"/>
              </w:rPr>
              <w:t>(+21.7)</w:t>
            </w:r>
          </w:p>
        </w:tc>
        <w:tc>
          <w:tcPr>
            <w:tcW w:w="1187" w:type="dxa"/>
          </w:tcPr>
          <w:p w14:paraId="740492EA" w14:textId="77777777" w:rsidR="00712AA2" w:rsidRDefault="007D44BD" w:rsidP="00856F5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62.3</w:t>
            </w:r>
          </w:p>
          <w:p w14:paraId="6E8503D4" w14:textId="77777777" w:rsidR="007D44BD" w:rsidRPr="00AD4BA3" w:rsidRDefault="007D44BD" w:rsidP="007D44BD">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7D44BD">
              <w:rPr>
                <w:rFonts w:ascii="Gill Sans MT" w:hAnsi="Gill Sans MT"/>
                <w:i/>
                <w:sz w:val="20"/>
                <w:szCs w:val="20"/>
                <w:lang w:val="en-GB"/>
              </w:rPr>
              <w:t>(+10.4)</w:t>
            </w:r>
          </w:p>
        </w:tc>
      </w:tr>
      <w:tr w:rsidR="00712AA2" w:rsidRPr="00AD4BA3" w14:paraId="2CF85473" w14:textId="77777777" w:rsidTr="00856F53">
        <w:tc>
          <w:tcPr>
            <w:cnfStyle w:val="001000000000" w:firstRow="0" w:lastRow="0" w:firstColumn="1" w:lastColumn="0" w:oddVBand="0" w:evenVBand="0" w:oddHBand="0" w:evenHBand="0" w:firstRowFirstColumn="0" w:firstRowLastColumn="0" w:lastRowFirstColumn="0" w:lastRowLastColumn="0"/>
            <w:tcW w:w="3369" w:type="dxa"/>
          </w:tcPr>
          <w:p w14:paraId="56E99A54" w14:textId="77777777" w:rsidR="00712AA2" w:rsidRPr="00AD4BA3" w:rsidRDefault="00712AA2" w:rsidP="00856F53">
            <w:pPr>
              <w:spacing w:line="360" w:lineRule="auto"/>
              <w:rPr>
                <w:rFonts w:ascii="Gill Sans MT" w:hAnsi="Gill Sans MT"/>
                <w:sz w:val="22"/>
                <w:szCs w:val="22"/>
                <w:lang w:val="en-GB"/>
              </w:rPr>
            </w:pPr>
            <w:r w:rsidRPr="00AD4BA3">
              <w:rPr>
                <w:rFonts w:ascii="Gill Sans MT" w:hAnsi="Gill Sans MT"/>
                <w:sz w:val="22"/>
                <w:szCs w:val="22"/>
                <w:lang w:val="en-GB"/>
              </w:rPr>
              <w:t>Government Effectiveness</w:t>
            </w:r>
          </w:p>
        </w:tc>
        <w:tc>
          <w:tcPr>
            <w:tcW w:w="1134" w:type="dxa"/>
          </w:tcPr>
          <w:p w14:paraId="5AD27E3A" w14:textId="77777777" w:rsidR="00712AA2" w:rsidRDefault="00856F53" w:rsidP="00856F5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22.0</w:t>
            </w:r>
          </w:p>
          <w:p w14:paraId="58415E9F" w14:textId="77777777" w:rsidR="00856F53" w:rsidRPr="00856F53" w:rsidRDefault="00856F53" w:rsidP="005E2E28">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i/>
                <w:sz w:val="22"/>
                <w:szCs w:val="22"/>
                <w:lang w:val="en-GB"/>
              </w:rPr>
            </w:pPr>
            <w:r w:rsidRPr="005E2E28">
              <w:rPr>
                <w:rFonts w:ascii="Gill Sans MT" w:hAnsi="Gill Sans MT"/>
                <w:i/>
                <w:sz w:val="20"/>
                <w:szCs w:val="20"/>
                <w:lang w:val="en-GB"/>
              </w:rPr>
              <w:t>(-8.7)</w:t>
            </w:r>
          </w:p>
        </w:tc>
        <w:tc>
          <w:tcPr>
            <w:tcW w:w="1559" w:type="dxa"/>
          </w:tcPr>
          <w:p w14:paraId="5ED7D4A6" w14:textId="77777777" w:rsidR="00712AA2" w:rsidRDefault="005E2E28" w:rsidP="00856F5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34.4</w:t>
            </w:r>
          </w:p>
          <w:p w14:paraId="1905CACF" w14:textId="77777777" w:rsidR="005E2E28" w:rsidRPr="005E2E28" w:rsidRDefault="005E2E28" w:rsidP="005E2E28">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i/>
                <w:sz w:val="22"/>
                <w:szCs w:val="22"/>
                <w:lang w:val="en-GB"/>
              </w:rPr>
            </w:pPr>
            <w:r w:rsidRPr="005E2E28">
              <w:rPr>
                <w:rFonts w:ascii="Gill Sans MT" w:hAnsi="Gill Sans MT"/>
                <w:i/>
                <w:sz w:val="20"/>
                <w:szCs w:val="20"/>
                <w:lang w:val="en-GB"/>
              </w:rPr>
              <w:t>(-1.2</w:t>
            </w:r>
            <w:r w:rsidRPr="005E2E28">
              <w:rPr>
                <w:rFonts w:ascii="Gill Sans MT" w:hAnsi="Gill Sans MT"/>
                <w:i/>
                <w:sz w:val="22"/>
                <w:szCs w:val="22"/>
                <w:lang w:val="en-GB"/>
              </w:rPr>
              <w:t>)</w:t>
            </w:r>
          </w:p>
        </w:tc>
        <w:tc>
          <w:tcPr>
            <w:tcW w:w="1276" w:type="dxa"/>
          </w:tcPr>
          <w:p w14:paraId="0E422D43" w14:textId="77777777" w:rsidR="00712AA2" w:rsidRDefault="007D44BD" w:rsidP="00856F5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33.5</w:t>
            </w:r>
          </w:p>
          <w:p w14:paraId="1BCF1073" w14:textId="77777777" w:rsidR="007D44BD" w:rsidRPr="00AD4BA3" w:rsidRDefault="007D44BD" w:rsidP="007D44BD">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7D44BD">
              <w:rPr>
                <w:rFonts w:ascii="Gill Sans MT" w:hAnsi="Gill Sans MT"/>
                <w:i/>
                <w:sz w:val="20"/>
                <w:szCs w:val="20"/>
                <w:lang w:val="en-GB"/>
              </w:rPr>
              <w:t>(-8.9)</w:t>
            </w:r>
          </w:p>
        </w:tc>
        <w:tc>
          <w:tcPr>
            <w:tcW w:w="1187" w:type="dxa"/>
          </w:tcPr>
          <w:p w14:paraId="71B6CC96" w14:textId="77777777" w:rsidR="00712AA2" w:rsidRDefault="007D44BD" w:rsidP="00856F5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22.5</w:t>
            </w:r>
          </w:p>
          <w:p w14:paraId="0CD39B45" w14:textId="77777777" w:rsidR="007D44BD" w:rsidRPr="00AD4BA3" w:rsidRDefault="007D44BD" w:rsidP="007D44BD">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7D44BD">
              <w:rPr>
                <w:rFonts w:ascii="Gill Sans MT" w:hAnsi="Gill Sans MT"/>
                <w:i/>
                <w:sz w:val="20"/>
                <w:szCs w:val="20"/>
                <w:lang w:val="en-GB"/>
              </w:rPr>
              <w:t>(+2.5)</w:t>
            </w:r>
          </w:p>
        </w:tc>
      </w:tr>
      <w:tr w:rsidR="00712AA2" w:rsidRPr="00AD4BA3" w14:paraId="1331D3F4" w14:textId="77777777" w:rsidTr="00856F53">
        <w:tc>
          <w:tcPr>
            <w:cnfStyle w:val="001000000000" w:firstRow="0" w:lastRow="0" w:firstColumn="1" w:lastColumn="0" w:oddVBand="0" w:evenVBand="0" w:oddHBand="0" w:evenHBand="0" w:firstRowFirstColumn="0" w:firstRowLastColumn="0" w:lastRowFirstColumn="0" w:lastRowLastColumn="0"/>
            <w:tcW w:w="3369" w:type="dxa"/>
          </w:tcPr>
          <w:p w14:paraId="4DCC83F6" w14:textId="77777777" w:rsidR="00712AA2" w:rsidRPr="00AD4BA3" w:rsidRDefault="00712AA2" w:rsidP="00856F53">
            <w:pPr>
              <w:spacing w:line="360" w:lineRule="auto"/>
              <w:rPr>
                <w:rFonts w:ascii="Gill Sans MT" w:hAnsi="Gill Sans MT"/>
                <w:sz w:val="22"/>
                <w:szCs w:val="22"/>
                <w:lang w:val="en-GB"/>
              </w:rPr>
            </w:pPr>
            <w:r w:rsidRPr="00AD4BA3">
              <w:rPr>
                <w:rFonts w:ascii="Gill Sans MT" w:hAnsi="Gill Sans MT"/>
                <w:sz w:val="22"/>
                <w:szCs w:val="22"/>
                <w:lang w:val="en-GB"/>
              </w:rPr>
              <w:t>Control of Corruption</w:t>
            </w:r>
          </w:p>
        </w:tc>
        <w:tc>
          <w:tcPr>
            <w:tcW w:w="1134" w:type="dxa"/>
          </w:tcPr>
          <w:p w14:paraId="39EF5972" w14:textId="77777777" w:rsidR="00712AA2" w:rsidRDefault="00856F53" w:rsidP="00856F5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30.0</w:t>
            </w:r>
          </w:p>
          <w:p w14:paraId="2E474587" w14:textId="77777777" w:rsidR="00856F53" w:rsidRPr="00856F53" w:rsidRDefault="00856F53" w:rsidP="00856F53">
            <w:pPr>
              <w:jc w:val="center"/>
              <w:cnfStyle w:val="000000000000" w:firstRow="0" w:lastRow="0" w:firstColumn="0" w:lastColumn="0" w:oddVBand="0" w:evenVBand="0" w:oddHBand="0" w:evenHBand="0" w:firstRowFirstColumn="0" w:firstRowLastColumn="0" w:lastRowFirstColumn="0" w:lastRowLastColumn="0"/>
              <w:rPr>
                <w:rFonts w:ascii="Gill Sans MT" w:hAnsi="Gill Sans MT"/>
                <w:i/>
                <w:sz w:val="22"/>
                <w:szCs w:val="22"/>
                <w:lang w:val="en-GB"/>
              </w:rPr>
            </w:pPr>
            <w:r w:rsidRPr="005E2E28">
              <w:rPr>
                <w:rFonts w:ascii="Gill Sans MT" w:hAnsi="Gill Sans MT"/>
                <w:i/>
                <w:sz w:val="20"/>
                <w:szCs w:val="20"/>
                <w:lang w:val="en-GB"/>
              </w:rPr>
              <w:t>(-7.6</w:t>
            </w:r>
            <w:r w:rsidRPr="00856F53">
              <w:rPr>
                <w:rFonts w:ascii="Gill Sans MT" w:hAnsi="Gill Sans MT"/>
                <w:i/>
                <w:sz w:val="22"/>
                <w:szCs w:val="22"/>
                <w:lang w:val="en-GB"/>
              </w:rPr>
              <w:t>)</w:t>
            </w:r>
          </w:p>
        </w:tc>
        <w:tc>
          <w:tcPr>
            <w:tcW w:w="1559" w:type="dxa"/>
          </w:tcPr>
          <w:p w14:paraId="7F432115" w14:textId="77777777" w:rsidR="00712AA2" w:rsidRDefault="005E2E28" w:rsidP="00856F5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41.4</w:t>
            </w:r>
          </w:p>
          <w:p w14:paraId="4D59290D" w14:textId="77777777" w:rsidR="005E2E28" w:rsidRPr="005E2E28" w:rsidRDefault="005E2E28" w:rsidP="005E2E28">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i/>
                <w:sz w:val="22"/>
                <w:szCs w:val="22"/>
                <w:lang w:val="en-GB"/>
              </w:rPr>
            </w:pPr>
            <w:r w:rsidRPr="005E2E28">
              <w:rPr>
                <w:rFonts w:ascii="Gill Sans MT" w:hAnsi="Gill Sans MT"/>
                <w:i/>
                <w:sz w:val="20"/>
                <w:szCs w:val="20"/>
                <w:lang w:val="en-GB"/>
              </w:rPr>
              <w:t>(+10.2)</w:t>
            </w:r>
          </w:p>
        </w:tc>
        <w:tc>
          <w:tcPr>
            <w:tcW w:w="1276" w:type="dxa"/>
          </w:tcPr>
          <w:p w14:paraId="7088AC77" w14:textId="77777777" w:rsidR="00712AA2" w:rsidRDefault="007D44BD" w:rsidP="00856F5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34.8</w:t>
            </w:r>
          </w:p>
          <w:p w14:paraId="464D3BC7" w14:textId="77777777" w:rsidR="007D44BD" w:rsidRPr="00AD4BA3" w:rsidRDefault="007D44BD" w:rsidP="007D44BD">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7D44BD">
              <w:rPr>
                <w:rFonts w:ascii="Gill Sans MT" w:hAnsi="Gill Sans MT"/>
                <w:i/>
                <w:sz w:val="20"/>
                <w:szCs w:val="20"/>
                <w:lang w:val="en-GB"/>
              </w:rPr>
              <w:t>(+2.6)</w:t>
            </w:r>
          </w:p>
        </w:tc>
        <w:tc>
          <w:tcPr>
            <w:tcW w:w="1187" w:type="dxa"/>
          </w:tcPr>
          <w:p w14:paraId="1BFB2686" w14:textId="77777777" w:rsidR="00712AA2" w:rsidRDefault="007D44BD" w:rsidP="00856F5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32.9</w:t>
            </w:r>
          </w:p>
          <w:p w14:paraId="0D01A55F" w14:textId="77777777" w:rsidR="007D44BD" w:rsidRPr="00AD4BA3" w:rsidRDefault="007D44BD" w:rsidP="007D44BD">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7D44BD">
              <w:rPr>
                <w:rFonts w:ascii="Gill Sans MT" w:hAnsi="Gill Sans MT"/>
                <w:i/>
                <w:sz w:val="20"/>
                <w:szCs w:val="20"/>
                <w:lang w:val="en-GB"/>
              </w:rPr>
              <w:t>(+6.1)</w:t>
            </w:r>
          </w:p>
        </w:tc>
      </w:tr>
    </w:tbl>
    <w:p w14:paraId="799CF215" w14:textId="77777777" w:rsidR="00F61786" w:rsidRPr="005607C5" w:rsidRDefault="005607C5" w:rsidP="005607C5">
      <w:pPr>
        <w:rPr>
          <w:rFonts w:ascii="Gill Sans MT" w:hAnsi="Gill Sans MT"/>
          <w:sz w:val="18"/>
          <w:szCs w:val="18"/>
          <w:u w:val="single"/>
          <w:lang w:val="en-GB"/>
        </w:rPr>
      </w:pPr>
      <w:r w:rsidRPr="00AD4BA3">
        <w:rPr>
          <w:rFonts w:ascii="Gill Sans MT" w:hAnsi="Gill Sans MT"/>
          <w:sz w:val="18"/>
          <w:szCs w:val="18"/>
          <w:u w:val="single"/>
          <w:lang w:val="en-GB"/>
        </w:rPr>
        <w:t xml:space="preserve">Source: </w:t>
      </w:r>
      <w:r w:rsidRPr="00AD4BA3">
        <w:rPr>
          <w:rFonts w:ascii="Gill Sans MT" w:hAnsi="Gill Sans MT"/>
          <w:sz w:val="18"/>
          <w:szCs w:val="18"/>
          <w:lang w:val="en-GB"/>
        </w:rPr>
        <w:t>World Bank, Worldwide Governance Indicators</w:t>
      </w:r>
    </w:p>
    <w:p w14:paraId="1500038C" w14:textId="77777777" w:rsidR="00EF35DD" w:rsidRPr="007F2BE8" w:rsidRDefault="00EF35DD" w:rsidP="00E2467F">
      <w:pPr>
        <w:pStyle w:val="BodyText"/>
        <w:numPr>
          <w:ilvl w:val="0"/>
          <w:numId w:val="2"/>
        </w:numPr>
        <w:spacing w:line="360" w:lineRule="auto"/>
        <w:ind w:left="499" w:hanging="357"/>
        <w:rPr>
          <w:rFonts w:ascii="Gill Sans MT" w:hAnsi="Gill Sans MT"/>
          <w:sz w:val="20"/>
          <w:szCs w:val="12"/>
        </w:rPr>
      </w:pPr>
      <w:r w:rsidRPr="00C030C9">
        <w:rPr>
          <w:rFonts w:ascii="Gill Sans MT" w:hAnsi="Gill Sans MT"/>
          <w:b/>
          <w:sz w:val="20"/>
          <w:szCs w:val="12"/>
        </w:rPr>
        <w:t>The Mali evaluation also points to progress in decentralisation resulting from the b</w:t>
      </w:r>
      <w:r w:rsidR="00C030C9" w:rsidRPr="00C030C9">
        <w:rPr>
          <w:rFonts w:ascii="Gill Sans MT" w:hAnsi="Gill Sans MT"/>
          <w:b/>
          <w:sz w:val="20"/>
          <w:szCs w:val="12"/>
        </w:rPr>
        <w:t>udget support dialogue</w:t>
      </w:r>
      <w:r w:rsidR="00C030C9">
        <w:rPr>
          <w:rFonts w:ascii="Gill Sans MT" w:hAnsi="Gill Sans MT"/>
          <w:sz w:val="20"/>
          <w:szCs w:val="12"/>
        </w:rPr>
        <w:t xml:space="preserve">. Decentralisation </w:t>
      </w:r>
      <w:r>
        <w:rPr>
          <w:rFonts w:ascii="Gill Sans MT" w:hAnsi="Gill Sans MT"/>
          <w:sz w:val="20"/>
          <w:szCs w:val="12"/>
        </w:rPr>
        <w:t>represented an important part of th</w:t>
      </w:r>
      <w:r w:rsidR="00C030C9">
        <w:rPr>
          <w:rFonts w:ascii="Gill Sans MT" w:hAnsi="Gill Sans MT"/>
          <w:sz w:val="20"/>
          <w:szCs w:val="12"/>
        </w:rPr>
        <w:t xml:space="preserve">e dialogue in </w:t>
      </w:r>
      <w:r w:rsidR="00C030C9">
        <w:rPr>
          <w:rFonts w:ascii="Gill Sans MT" w:hAnsi="Gill Sans MT"/>
          <w:sz w:val="20"/>
          <w:szCs w:val="12"/>
        </w:rPr>
        <w:lastRenderedPageBreak/>
        <w:t xml:space="preserve">Mali and was </w:t>
      </w:r>
      <w:r>
        <w:rPr>
          <w:rFonts w:ascii="Gill Sans MT" w:hAnsi="Gill Sans MT"/>
          <w:sz w:val="20"/>
          <w:szCs w:val="12"/>
        </w:rPr>
        <w:t>the subject both of a dedicated SBS for d</w:t>
      </w:r>
      <w:r w:rsidR="00C030C9">
        <w:rPr>
          <w:rFonts w:ascii="Gill Sans MT" w:hAnsi="Gill Sans MT"/>
          <w:sz w:val="20"/>
          <w:szCs w:val="12"/>
        </w:rPr>
        <w:t>ecentralisation/</w:t>
      </w:r>
      <w:r>
        <w:rPr>
          <w:rFonts w:ascii="Gill Sans MT" w:hAnsi="Gill Sans MT"/>
          <w:sz w:val="20"/>
          <w:szCs w:val="12"/>
        </w:rPr>
        <w:t>public sector reform and of specific conditions within the health and education SBSs regarding</w:t>
      </w:r>
      <w:r w:rsidR="00C030C9">
        <w:rPr>
          <w:rFonts w:ascii="Gill Sans MT" w:hAnsi="Gill Sans MT"/>
          <w:sz w:val="20"/>
          <w:szCs w:val="12"/>
        </w:rPr>
        <w:t xml:space="preserve"> the deconcentration of budget </w:t>
      </w:r>
      <w:r>
        <w:rPr>
          <w:rFonts w:ascii="Gill Sans MT" w:hAnsi="Gill Sans MT"/>
          <w:sz w:val="20"/>
          <w:szCs w:val="12"/>
        </w:rPr>
        <w:t>management re</w:t>
      </w:r>
      <w:r w:rsidR="00C030C9">
        <w:rPr>
          <w:rFonts w:ascii="Gill Sans MT" w:hAnsi="Gill Sans MT"/>
          <w:sz w:val="20"/>
          <w:szCs w:val="12"/>
        </w:rPr>
        <w:t>sponsibilites. Within these sectors, significant progress was made in deconcentration of budgets, despite the initial reticence of the Ministry of Finance, who were concerned by the limited capacities at the regional and local levels. The provision of training in budget management by TA staff procured through the education and health SBSs proved important in overcoming this initial reticence. Progress was also made in allocating an increased proportion of the investment budget to the local governments (</w:t>
      </w:r>
      <w:proofErr w:type="spellStart"/>
      <w:r w:rsidR="00C030C9" w:rsidRPr="008C51D1">
        <w:rPr>
          <w:rFonts w:ascii="Gill Sans MT" w:hAnsi="Gill Sans MT"/>
          <w:i/>
          <w:sz w:val="20"/>
          <w:szCs w:val="12"/>
          <w:lang w:val="en-GB"/>
        </w:rPr>
        <w:t>collectivités</w:t>
      </w:r>
      <w:proofErr w:type="spellEnd"/>
      <w:r w:rsidR="00C030C9" w:rsidRPr="008C51D1">
        <w:rPr>
          <w:rFonts w:ascii="Gill Sans MT" w:hAnsi="Gill Sans MT"/>
          <w:i/>
          <w:sz w:val="20"/>
          <w:szCs w:val="12"/>
          <w:lang w:val="en-GB"/>
        </w:rPr>
        <w:t xml:space="preserve"> </w:t>
      </w:r>
      <w:proofErr w:type="spellStart"/>
      <w:r w:rsidR="00C030C9" w:rsidRPr="008C51D1">
        <w:rPr>
          <w:rFonts w:ascii="Gill Sans MT" w:hAnsi="Gill Sans MT"/>
          <w:i/>
          <w:sz w:val="20"/>
          <w:szCs w:val="12"/>
          <w:lang w:val="en-GB"/>
        </w:rPr>
        <w:t>territoriales</w:t>
      </w:r>
      <w:proofErr w:type="spellEnd"/>
      <w:r w:rsidR="001C0A6C">
        <w:rPr>
          <w:rFonts w:ascii="Gill Sans MT" w:hAnsi="Gill Sans MT"/>
          <w:sz w:val="20"/>
          <w:szCs w:val="12"/>
        </w:rPr>
        <w:t xml:space="preserve">). However, there was no </w:t>
      </w:r>
      <w:r w:rsidR="00C030C9">
        <w:rPr>
          <w:rFonts w:ascii="Gill Sans MT" w:hAnsi="Gill Sans MT"/>
          <w:sz w:val="20"/>
          <w:szCs w:val="12"/>
        </w:rPr>
        <w:t>progress in strengthening the legal and constitutional basis for decentralisation, essentially because there was limited political support for such changes</w:t>
      </w:r>
      <w:r w:rsidR="001C0A6C">
        <w:rPr>
          <w:rFonts w:ascii="Gill Sans MT" w:hAnsi="Gill Sans MT"/>
          <w:sz w:val="20"/>
          <w:szCs w:val="12"/>
        </w:rPr>
        <w:t>,</w:t>
      </w:r>
      <w:r w:rsidR="00C030C9">
        <w:rPr>
          <w:rFonts w:ascii="Gill Sans MT" w:hAnsi="Gill Sans MT"/>
          <w:sz w:val="20"/>
          <w:szCs w:val="12"/>
        </w:rPr>
        <w:t xml:space="preserve"> in the absence of a clear and shared vision for decentralised governance.</w:t>
      </w:r>
    </w:p>
    <w:p w14:paraId="3C94C556" w14:textId="77777777" w:rsidR="008A1D64" w:rsidRPr="008A1D64" w:rsidRDefault="008A1D64" w:rsidP="008A1D64">
      <w:pPr>
        <w:pStyle w:val="Heading3"/>
      </w:pPr>
      <w:r w:rsidRPr="008A1D64">
        <w:t>Outcomes</w:t>
      </w:r>
    </w:p>
    <w:p w14:paraId="326345EA" w14:textId="77777777" w:rsidR="00DF2D38" w:rsidRPr="00DF2D38" w:rsidRDefault="00682BEA" w:rsidP="00DF2D38">
      <w:pPr>
        <w:pStyle w:val="BodyText"/>
        <w:numPr>
          <w:ilvl w:val="0"/>
          <w:numId w:val="2"/>
        </w:numPr>
        <w:spacing w:line="360" w:lineRule="auto"/>
        <w:ind w:left="499" w:hanging="357"/>
        <w:rPr>
          <w:rFonts w:ascii="Gill Sans MT" w:hAnsi="Gill Sans MT"/>
          <w:sz w:val="20"/>
          <w:szCs w:val="12"/>
        </w:rPr>
      </w:pPr>
      <w:r w:rsidRPr="00DF2D38">
        <w:rPr>
          <w:rFonts w:ascii="Gill Sans MT" w:hAnsi="Gill Sans MT"/>
          <w:b/>
          <w:sz w:val="20"/>
          <w:szCs w:val="12"/>
        </w:rPr>
        <w:t xml:space="preserve">In these four countries, </w:t>
      </w:r>
      <w:r w:rsidR="00B978D4">
        <w:rPr>
          <w:rFonts w:ascii="Gill Sans MT" w:hAnsi="Gill Sans MT"/>
          <w:b/>
          <w:sz w:val="20"/>
          <w:szCs w:val="12"/>
        </w:rPr>
        <w:t xml:space="preserve">the </w:t>
      </w:r>
      <w:r w:rsidR="008A1D64" w:rsidRPr="00DF2D38">
        <w:rPr>
          <w:rFonts w:ascii="Gill Sans MT" w:hAnsi="Gill Sans MT"/>
          <w:b/>
          <w:sz w:val="20"/>
          <w:szCs w:val="12"/>
        </w:rPr>
        <w:t>increased public expenditures in the priority sectors</w:t>
      </w:r>
      <w:r w:rsidR="00B978D4">
        <w:rPr>
          <w:rFonts w:ascii="Gill Sans MT" w:hAnsi="Gill Sans MT"/>
          <w:b/>
          <w:sz w:val="20"/>
          <w:szCs w:val="12"/>
        </w:rPr>
        <w:t xml:space="preserve"> made possible by Budget Support </w:t>
      </w:r>
      <w:r w:rsidR="008A1D64" w:rsidRPr="00DF2D38">
        <w:rPr>
          <w:rFonts w:ascii="Gill Sans MT" w:hAnsi="Gill Sans MT"/>
          <w:b/>
          <w:sz w:val="20"/>
          <w:szCs w:val="12"/>
        </w:rPr>
        <w:t>have permitted a significant expansion in the coverage of key social services.</w:t>
      </w:r>
      <w:r w:rsidR="008A1D64" w:rsidRPr="00DF2D38">
        <w:rPr>
          <w:rFonts w:ascii="Gill Sans MT" w:hAnsi="Gill Sans MT"/>
          <w:sz w:val="20"/>
          <w:szCs w:val="12"/>
        </w:rPr>
        <w:t xml:space="preserve"> The primary beneficiary sector has been education, although health coverage also expanded in Mali and Zambia, and roads in Tanzania</w:t>
      </w:r>
      <w:r w:rsidR="00DF2D38" w:rsidRPr="00DF2D38">
        <w:rPr>
          <w:rFonts w:ascii="Gill Sans MT" w:hAnsi="Gill Sans MT"/>
          <w:sz w:val="20"/>
          <w:szCs w:val="12"/>
        </w:rPr>
        <w:t>. Econometric an</w:t>
      </w:r>
      <w:r w:rsidR="00CF16FE">
        <w:rPr>
          <w:rFonts w:ascii="Gill Sans MT" w:hAnsi="Gill Sans MT"/>
          <w:sz w:val="20"/>
          <w:szCs w:val="12"/>
        </w:rPr>
        <w:t>alysis, undertaken under “Step T</w:t>
      </w:r>
      <w:r w:rsidR="00DF2D38" w:rsidRPr="00DF2D38">
        <w:rPr>
          <w:rFonts w:ascii="Gill Sans MT" w:hAnsi="Gill Sans MT"/>
          <w:sz w:val="20"/>
          <w:szCs w:val="12"/>
        </w:rPr>
        <w:t>wo” of the evaluation meth</w:t>
      </w:r>
      <w:r w:rsidR="00B978D4">
        <w:rPr>
          <w:rFonts w:ascii="Gill Sans MT" w:hAnsi="Gill Sans MT"/>
          <w:sz w:val="20"/>
          <w:szCs w:val="12"/>
        </w:rPr>
        <w:t>odology shows a strong</w:t>
      </w:r>
      <w:r w:rsidR="00DF2D38" w:rsidRPr="00DF2D38">
        <w:rPr>
          <w:rFonts w:ascii="Gill Sans MT" w:hAnsi="Gill Sans MT"/>
          <w:sz w:val="20"/>
          <w:szCs w:val="12"/>
        </w:rPr>
        <w:t xml:space="preserve"> </w:t>
      </w:r>
      <w:r w:rsidR="00B978D4">
        <w:rPr>
          <w:rFonts w:ascii="Gill Sans MT" w:hAnsi="Gill Sans MT"/>
          <w:sz w:val="20"/>
          <w:szCs w:val="12"/>
        </w:rPr>
        <w:t xml:space="preserve">causal </w:t>
      </w:r>
      <w:r w:rsidR="000B50D9">
        <w:rPr>
          <w:rFonts w:ascii="Gill Sans MT" w:hAnsi="Gill Sans MT"/>
          <w:sz w:val="20"/>
          <w:szCs w:val="12"/>
        </w:rPr>
        <w:t>relationship between the outcomes</w:t>
      </w:r>
      <w:r w:rsidR="00B978D4">
        <w:rPr>
          <w:rFonts w:ascii="Gill Sans MT" w:hAnsi="Gill Sans MT"/>
          <w:sz w:val="20"/>
          <w:szCs w:val="12"/>
        </w:rPr>
        <w:t xml:space="preserve"> achieved and the investments </w:t>
      </w:r>
      <w:r w:rsidR="00DF2D38" w:rsidRPr="00DF2D38">
        <w:rPr>
          <w:rFonts w:ascii="Gill Sans MT" w:hAnsi="Gill Sans MT"/>
          <w:sz w:val="20"/>
          <w:szCs w:val="12"/>
        </w:rPr>
        <w:t xml:space="preserve">financed by the increase in public expenditure made possible by budget support: </w:t>
      </w:r>
    </w:p>
    <w:p w14:paraId="257DFB66" w14:textId="77777777" w:rsidR="008A1D64" w:rsidRDefault="008A1D64" w:rsidP="00D81DB3">
      <w:pPr>
        <w:pStyle w:val="BodyText"/>
        <w:numPr>
          <w:ilvl w:val="0"/>
          <w:numId w:val="17"/>
        </w:numPr>
        <w:spacing w:line="360" w:lineRule="auto"/>
        <w:rPr>
          <w:rFonts w:ascii="Gill Sans MT" w:hAnsi="Gill Sans MT"/>
          <w:b/>
          <w:sz w:val="20"/>
          <w:szCs w:val="12"/>
        </w:rPr>
      </w:pPr>
      <w:r w:rsidRPr="00B218B7">
        <w:rPr>
          <w:rFonts w:ascii="Gill Sans MT" w:hAnsi="Gill Sans MT"/>
          <w:sz w:val="20"/>
          <w:szCs w:val="12"/>
        </w:rPr>
        <w:t xml:space="preserve">In </w:t>
      </w:r>
      <w:r>
        <w:rPr>
          <w:rFonts w:ascii="Gill Sans MT" w:hAnsi="Gill Sans MT"/>
          <w:b/>
          <w:sz w:val="20"/>
          <w:szCs w:val="12"/>
        </w:rPr>
        <w:t xml:space="preserve">Mali, </w:t>
      </w:r>
      <w:r>
        <w:rPr>
          <w:rFonts w:ascii="Gill Sans MT" w:hAnsi="Gill Sans MT" w:cs="Century Gothic"/>
          <w:color w:val="000000"/>
          <w:sz w:val="20"/>
          <w:lang w:val="en-US" w:eastAsia="en-GB"/>
        </w:rPr>
        <w:t>b</w:t>
      </w:r>
      <w:r w:rsidRPr="009A6C05">
        <w:rPr>
          <w:rFonts w:ascii="Gill Sans MT" w:hAnsi="Gill Sans MT" w:cs="Century Gothic"/>
          <w:color w:val="000000"/>
          <w:sz w:val="20"/>
          <w:lang w:val="en-US" w:eastAsia="en-GB"/>
        </w:rPr>
        <w:t>etween 2002 and 2009,</w:t>
      </w:r>
      <w:r w:rsidR="000E3789">
        <w:rPr>
          <w:rFonts w:ascii="Gill Sans MT" w:hAnsi="Gill Sans MT" w:cs="Century Gothic"/>
          <w:color w:val="000000"/>
          <w:sz w:val="20"/>
          <w:lang w:val="en-US" w:eastAsia="en-GB"/>
        </w:rPr>
        <w:t xml:space="preserve"> </w:t>
      </w:r>
      <w:r w:rsidR="00682BEA" w:rsidRPr="008A1D64">
        <w:rPr>
          <w:rFonts w:ascii="Gill Sans MT" w:hAnsi="Gill Sans MT"/>
          <w:sz w:val="20"/>
          <w:szCs w:val="12"/>
        </w:rPr>
        <w:t>the gross enrolment rate for basic (primary) education rose from 64</w:t>
      </w:r>
      <w:r w:rsidR="000E3789">
        <w:rPr>
          <w:rFonts w:ascii="Gill Sans MT" w:hAnsi="Gill Sans MT"/>
          <w:sz w:val="20"/>
          <w:szCs w:val="12"/>
        </w:rPr>
        <w:t xml:space="preserve">% to 81%, while </w:t>
      </w:r>
      <w:r w:rsidR="00682BEA" w:rsidRPr="008A1D64">
        <w:rPr>
          <w:rFonts w:ascii="Gill Sans MT" w:hAnsi="Gill Sans MT"/>
          <w:sz w:val="20"/>
          <w:szCs w:val="12"/>
        </w:rPr>
        <w:t xml:space="preserve">the repetition rate fell (from 20% to 14%) and the completion rate increased (from 40% to 56%). </w:t>
      </w:r>
      <w:r w:rsidR="00682BEA">
        <w:rPr>
          <w:rFonts w:ascii="Gill Sans MT" w:hAnsi="Gill Sans MT"/>
          <w:sz w:val="20"/>
          <w:szCs w:val="12"/>
        </w:rPr>
        <w:t xml:space="preserve">In the same period, </w:t>
      </w:r>
      <w:r w:rsidR="000E3789">
        <w:rPr>
          <w:rFonts w:ascii="Gill Sans MT" w:hAnsi="Gill Sans MT" w:cs="Century Gothic"/>
          <w:color w:val="000000"/>
          <w:sz w:val="20"/>
          <w:lang w:val="en-US" w:eastAsia="en-GB"/>
        </w:rPr>
        <w:t xml:space="preserve">the majority of health sector </w:t>
      </w:r>
      <w:r w:rsidRPr="009A6C05">
        <w:rPr>
          <w:rFonts w:ascii="Gill Sans MT" w:hAnsi="Gill Sans MT" w:cs="Century Gothic"/>
          <w:color w:val="000000"/>
          <w:sz w:val="20"/>
          <w:lang w:val="en-US" w:eastAsia="en-GB"/>
        </w:rPr>
        <w:t>outcome indicators</w:t>
      </w:r>
      <w:r w:rsidR="000E3789">
        <w:rPr>
          <w:rFonts w:ascii="Gill Sans MT" w:hAnsi="Gill Sans MT" w:cs="Century Gothic"/>
          <w:color w:val="000000"/>
          <w:sz w:val="20"/>
          <w:lang w:val="en-US" w:eastAsia="en-GB"/>
        </w:rPr>
        <w:t xml:space="preserve"> </w:t>
      </w:r>
      <w:r w:rsidR="000B50D9">
        <w:rPr>
          <w:rFonts w:ascii="Gill Sans MT" w:hAnsi="Gill Sans MT" w:cs="Century Gothic"/>
          <w:color w:val="000000"/>
          <w:sz w:val="20"/>
          <w:lang w:val="en-US" w:eastAsia="en-GB"/>
        </w:rPr>
        <w:t xml:space="preserve">improved significantly (e.g. </w:t>
      </w:r>
      <w:proofErr w:type="gramStart"/>
      <w:r w:rsidRPr="009A6C05">
        <w:rPr>
          <w:rFonts w:ascii="Gill Sans MT" w:hAnsi="Gill Sans MT" w:cs="Century Gothic"/>
          <w:color w:val="000000"/>
          <w:sz w:val="20"/>
          <w:lang w:val="en-US" w:eastAsia="en-GB"/>
        </w:rPr>
        <w:t>use</w:t>
      </w:r>
      <w:proofErr w:type="gramEnd"/>
      <w:r w:rsidRPr="009A6C05">
        <w:rPr>
          <w:rFonts w:ascii="Gill Sans MT" w:hAnsi="Gill Sans MT" w:cs="Century Gothic"/>
          <w:color w:val="000000"/>
          <w:sz w:val="20"/>
          <w:lang w:val="en-US" w:eastAsia="en-GB"/>
        </w:rPr>
        <w:t xml:space="preserve"> of </w:t>
      </w:r>
      <w:r w:rsidR="00B12F05" w:rsidRPr="009A6C05">
        <w:rPr>
          <w:rFonts w:ascii="Gill Sans MT" w:hAnsi="Gill Sans MT" w:cs="Century Gothic"/>
          <w:color w:val="000000"/>
          <w:sz w:val="20"/>
          <w:lang w:val="en-US" w:eastAsia="en-GB"/>
        </w:rPr>
        <w:t>antenatal</w:t>
      </w:r>
      <w:r w:rsidRPr="009A6C05">
        <w:rPr>
          <w:rFonts w:ascii="Gill Sans MT" w:hAnsi="Gill Sans MT" w:cs="Century Gothic"/>
          <w:color w:val="000000"/>
          <w:sz w:val="20"/>
          <w:lang w:val="en-US" w:eastAsia="en-GB"/>
        </w:rPr>
        <w:t xml:space="preserve"> services </w:t>
      </w:r>
      <w:r>
        <w:rPr>
          <w:rFonts w:ascii="Gill Sans MT" w:hAnsi="Gill Sans MT" w:cs="Century Gothic"/>
          <w:color w:val="000000"/>
          <w:sz w:val="20"/>
          <w:lang w:val="en-US" w:eastAsia="en-GB"/>
        </w:rPr>
        <w:t>increased from 54</w:t>
      </w:r>
      <w:r w:rsidR="00B12F05" w:rsidRPr="009A6C05">
        <w:rPr>
          <w:rFonts w:ascii="Gill Sans MT" w:hAnsi="Gill Sans MT" w:cs="Century Gothic"/>
          <w:color w:val="000000"/>
          <w:sz w:val="20"/>
          <w:lang w:val="en-US" w:eastAsia="en-GB"/>
        </w:rPr>
        <w:t>%</w:t>
      </w:r>
      <w:r w:rsidR="00B12F05">
        <w:rPr>
          <w:rFonts w:ascii="Gill Sans MT" w:hAnsi="Gill Sans MT" w:cs="Century Gothic"/>
          <w:color w:val="000000"/>
          <w:sz w:val="20"/>
          <w:lang w:val="en-US" w:eastAsia="en-GB"/>
        </w:rPr>
        <w:t xml:space="preserve"> in</w:t>
      </w:r>
      <w:r>
        <w:rPr>
          <w:rFonts w:ascii="Gill Sans MT" w:hAnsi="Gill Sans MT" w:cs="Century Gothic"/>
          <w:color w:val="000000"/>
          <w:sz w:val="20"/>
          <w:lang w:val="en-US" w:eastAsia="en-GB"/>
        </w:rPr>
        <w:t xml:space="preserve"> </w:t>
      </w:r>
      <w:r w:rsidRPr="009A6C05">
        <w:rPr>
          <w:rFonts w:ascii="Gill Sans MT" w:hAnsi="Gill Sans MT" w:cs="Century Gothic"/>
          <w:color w:val="000000"/>
          <w:sz w:val="20"/>
          <w:lang w:val="en-US" w:eastAsia="en-GB"/>
        </w:rPr>
        <w:t>2002</w:t>
      </w:r>
      <w:r>
        <w:rPr>
          <w:rFonts w:ascii="Gill Sans MT" w:hAnsi="Gill Sans MT" w:cs="Century Gothic"/>
          <w:color w:val="000000"/>
          <w:sz w:val="20"/>
          <w:lang w:val="en-US" w:eastAsia="en-GB"/>
        </w:rPr>
        <w:t xml:space="preserve"> </w:t>
      </w:r>
      <w:r w:rsidRPr="009A6C05">
        <w:rPr>
          <w:rFonts w:ascii="Gill Sans MT" w:hAnsi="Gill Sans MT" w:cs="Century Gothic"/>
          <w:color w:val="000000"/>
          <w:sz w:val="20"/>
          <w:lang w:val="en-US" w:eastAsia="en-GB"/>
        </w:rPr>
        <w:t>to</w:t>
      </w:r>
      <w:r>
        <w:rPr>
          <w:rFonts w:ascii="Gill Sans MT" w:hAnsi="Gill Sans MT" w:cs="Century Gothic"/>
          <w:color w:val="000000"/>
          <w:sz w:val="20"/>
          <w:lang w:val="en-US" w:eastAsia="en-GB"/>
        </w:rPr>
        <w:t xml:space="preserve"> </w:t>
      </w:r>
      <w:r w:rsidRPr="009A6C05">
        <w:rPr>
          <w:rFonts w:ascii="Gill Sans MT" w:hAnsi="Gill Sans MT" w:cs="Century Gothic"/>
          <w:color w:val="000000"/>
          <w:sz w:val="20"/>
          <w:lang w:val="en-US" w:eastAsia="en-GB"/>
        </w:rPr>
        <w:t>90%</w:t>
      </w:r>
      <w:r>
        <w:rPr>
          <w:rFonts w:ascii="Gill Sans MT" w:hAnsi="Gill Sans MT" w:cs="Century Gothic"/>
          <w:color w:val="000000"/>
          <w:sz w:val="20"/>
          <w:lang w:val="en-US" w:eastAsia="en-GB"/>
        </w:rPr>
        <w:t xml:space="preserve"> </w:t>
      </w:r>
      <w:r w:rsidRPr="009A6C05">
        <w:rPr>
          <w:rFonts w:ascii="Gill Sans MT" w:hAnsi="Gill Sans MT" w:cs="Century Gothic"/>
          <w:color w:val="000000"/>
          <w:sz w:val="20"/>
          <w:lang w:val="en-US" w:eastAsia="en-GB"/>
        </w:rPr>
        <w:t>in</w:t>
      </w:r>
      <w:r>
        <w:rPr>
          <w:rFonts w:ascii="Gill Sans MT" w:hAnsi="Gill Sans MT" w:cs="Century Gothic"/>
          <w:color w:val="000000"/>
          <w:sz w:val="20"/>
          <w:lang w:val="en-US" w:eastAsia="en-GB"/>
        </w:rPr>
        <w:t xml:space="preserve"> </w:t>
      </w:r>
      <w:r w:rsidRPr="009A6C05">
        <w:rPr>
          <w:rFonts w:ascii="Gill Sans MT" w:hAnsi="Gill Sans MT" w:cs="Century Gothic"/>
          <w:color w:val="000000"/>
          <w:sz w:val="20"/>
          <w:lang w:val="en-US" w:eastAsia="en-GB"/>
        </w:rPr>
        <w:t>2009)</w:t>
      </w:r>
      <w:r>
        <w:rPr>
          <w:rFonts w:ascii="Century Gothic" w:hAnsi="Century Gothic" w:cs="Century Gothic"/>
          <w:color w:val="000000"/>
          <w:sz w:val="21"/>
          <w:szCs w:val="21"/>
          <w:lang w:val="en-US" w:eastAsia="en-GB"/>
        </w:rPr>
        <w:t>.</w:t>
      </w:r>
      <w:r>
        <w:rPr>
          <w:rFonts w:ascii="Gill Sans MT" w:hAnsi="Gill Sans MT"/>
          <w:b/>
          <w:sz w:val="20"/>
          <w:szCs w:val="12"/>
        </w:rPr>
        <w:t xml:space="preserve"> </w:t>
      </w:r>
    </w:p>
    <w:p w14:paraId="6D224647" w14:textId="77777777" w:rsidR="009A54B3" w:rsidRPr="001A518D" w:rsidRDefault="009A54B3" w:rsidP="00D81DB3">
      <w:pPr>
        <w:pStyle w:val="BodyText"/>
        <w:numPr>
          <w:ilvl w:val="0"/>
          <w:numId w:val="17"/>
        </w:numPr>
        <w:spacing w:line="360" w:lineRule="auto"/>
        <w:rPr>
          <w:rFonts w:ascii="Gill Sans MT" w:hAnsi="Gill Sans MT"/>
          <w:b/>
          <w:sz w:val="20"/>
          <w:szCs w:val="12"/>
        </w:rPr>
      </w:pPr>
      <w:r w:rsidRPr="006F2F7D">
        <w:rPr>
          <w:rFonts w:ascii="Gill Sans MT" w:hAnsi="Gill Sans MT"/>
          <w:sz w:val="20"/>
          <w:szCs w:val="12"/>
        </w:rPr>
        <w:t>In</w:t>
      </w:r>
      <w:r>
        <w:rPr>
          <w:rFonts w:ascii="Gill Sans MT" w:hAnsi="Gill Sans MT"/>
          <w:b/>
          <w:sz w:val="20"/>
          <w:szCs w:val="12"/>
        </w:rPr>
        <w:t xml:space="preserve"> Zambia, </w:t>
      </w:r>
      <w:r w:rsidR="000A552E">
        <w:rPr>
          <w:rFonts w:ascii="Gill Sans MT" w:hAnsi="Gill Sans MT"/>
          <w:sz w:val="20"/>
          <w:szCs w:val="12"/>
        </w:rPr>
        <w:t xml:space="preserve">the percentage of immunised </w:t>
      </w:r>
      <w:r w:rsidR="00B06565">
        <w:rPr>
          <w:rFonts w:ascii="Gill Sans MT" w:hAnsi="Gill Sans MT"/>
          <w:sz w:val="20"/>
          <w:szCs w:val="12"/>
        </w:rPr>
        <w:t>children in the worst performing districts improved from 63% to 69%; incidence of tuberculosis, malaria and underweight amongst children were reduced, and infant, child and maternal mortality indicators all improved.</w:t>
      </w:r>
      <w:r w:rsidR="000A552E">
        <w:rPr>
          <w:rFonts w:ascii="Gill Sans MT" w:hAnsi="Gill Sans MT"/>
          <w:sz w:val="20"/>
          <w:szCs w:val="12"/>
        </w:rPr>
        <w:t xml:space="preserve"> </w:t>
      </w:r>
      <w:r w:rsidR="00B06565">
        <w:rPr>
          <w:rFonts w:ascii="Gill Sans MT" w:hAnsi="Gill Sans MT"/>
          <w:sz w:val="20"/>
          <w:szCs w:val="12"/>
        </w:rPr>
        <w:t>Enrolment in primary education (Grades 1-7) increased by more than 80% between 2000 and 2010 (1.6 million to 3 million children), while investments in teachers, school infrastructure, text books and facilities reduced drop-out and repetition, and improved progression and completion rates, with pass rates in grade 7</w:t>
      </w:r>
      <w:r w:rsidR="00C13B6F">
        <w:rPr>
          <w:rFonts w:ascii="Gill Sans MT" w:hAnsi="Gill Sans MT"/>
          <w:sz w:val="20"/>
          <w:szCs w:val="12"/>
        </w:rPr>
        <w:t xml:space="preserve"> rising from 50% in 2000 to 84% in 2010, and grade 9 completion rates from 34% to 50%.</w:t>
      </w:r>
      <w:r w:rsidR="00B06565">
        <w:rPr>
          <w:rFonts w:ascii="Gill Sans MT" w:hAnsi="Gill Sans MT"/>
          <w:sz w:val="20"/>
          <w:szCs w:val="12"/>
        </w:rPr>
        <w:t xml:space="preserve"> </w:t>
      </w:r>
      <w:r w:rsidR="00C13B6F">
        <w:rPr>
          <w:rFonts w:ascii="Gill Sans MT" w:hAnsi="Gill Sans MT"/>
          <w:sz w:val="20"/>
          <w:szCs w:val="12"/>
        </w:rPr>
        <w:t>The gender gap decreased, with parity almost being achieved at the basic level.</w:t>
      </w:r>
    </w:p>
    <w:p w14:paraId="56EF03E8" w14:textId="77777777" w:rsidR="008A1D64" w:rsidRDefault="008A1D64" w:rsidP="00D81DB3">
      <w:pPr>
        <w:pStyle w:val="BodyText"/>
        <w:numPr>
          <w:ilvl w:val="0"/>
          <w:numId w:val="17"/>
        </w:numPr>
        <w:spacing w:line="360" w:lineRule="auto"/>
        <w:rPr>
          <w:rFonts w:ascii="Gill Sans MT" w:hAnsi="Gill Sans MT"/>
          <w:b/>
          <w:sz w:val="20"/>
          <w:szCs w:val="12"/>
        </w:rPr>
      </w:pPr>
      <w:r>
        <w:rPr>
          <w:rFonts w:ascii="Gill Sans MT" w:hAnsi="Gill Sans MT"/>
          <w:sz w:val="20"/>
          <w:szCs w:val="12"/>
        </w:rPr>
        <w:t xml:space="preserve">In </w:t>
      </w:r>
      <w:r w:rsidRPr="00B218B7">
        <w:rPr>
          <w:rFonts w:ascii="Gill Sans MT" w:hAnsi="Gill Sans MT"/>
          <w:b/>
          <w:sz w:val="20"/>
          <w:szCs w:val="12"/>
        </w:rPr>
        <w:t>Mozambique</w:t>
      </w:r>
      <w:r>
        <w:rPr>
          <w:rFonts w:ascii="Gill Sans MT" w:hAnsi="Gill Sans MT"/>
          <w:b/>
          <w:sz w:val="20"/>
          <w:szCs w:val="12"/>
        </w:rPr>
        <w:t xml:space="preserve">, </w:t>
      </w:r>
      <w:r w:rsidR="00C13B6F" w:rsidRPr="00C13B6F">
        <w:rPr>
          <w:rFonts w:ascii="Gill Sans MT" w:hAnsi="Gill Sans MT"/>
          <w:sz w:val="20"/>
          <w:szCs w:val="12"/>
        </w:rPr>
        <w:t>40 %</w:t>
      </w:r>
      <w:r w:rsidR="00C13B6F">
        <w:rPr>
          <w:rFonts w:ascii="Gill Sans MT" w:hAnsi="Gill Sans MT"/>
          <w:sz w:val="20"/>
          <w:szCs w:val="12"/>
        </w:rPr>
        <w:t xml:space="preserve"> more children were in primary school in 2012 as compared with 2004, with the largest gains observed being for poorer households, and the gender gap reducing to some 4% by the close of the period. Meanwhile, pupil numbers </w:t>
      </w:r>
      <w:r w:rsidR="00C13B6F">
        <w:rPr>
          <w:rFonts w:ascii="Gill Sans MT" w:hAnsi="Gill Sans MT"/>
          <w:sz w:val="20"/>
          <w:szCs w:val="12"/>
        </w:rPr>
        <w:lastRenderedPageBreak/>
        <w:t>in secondary school</w:t>
      </w:r>
      <w:r w:rsidR="0018195D">
        <w:rPr>
          <w:rFonts w:ascii="Gill Sans MT" w:hAnsi="Gill Sans MT"/>
          <w:sz w:val="20"/>
          <w:szCs w:val="12"/>
        </w:rPr>
        <w:t xml:space="preserve"> were 65 % higher in 2012 as compared with 2004, with 18% of the relevant age group in secondary schooling as compared with 6% in 2003.</w:t>
      </w:r>
    </w:p>
    <w:p w14:paraId="2A75CDB3" w14:textId="77777777" w:rsidR="008A1D64" w:rsidRPr="00AF358F" w:rsidRDefault="008A1D64" w:rsidP="00D81DB3">
      <w:pPr>
        <w:pStyle w:val="BodyText"/>
        <w:numPr>
          <w:ilvl w:val="0"/>
          <w:numId w:val="17"/>
        </w:numPr>
        <w:spacing w:line="360" w:lineRule="auto"/>
        <w:rPr>
          <w:rFonts w:ascii="Gill Sans MT" w:hAnsi="Gill Sans MT"/>
          <w:b/>
          <w:sz w:val="20"/>
          <w:szCs w:val="12"/>
        </w:rPr>
      </w:pPr>
      <w:r w:rsidRPr="00B218B7">
        <w:rPr>
          <w:rFonts w:ascii="Gill Sans MT" w:hAnsi="Gill Sans MT"/>
          <w:b/>
          <w:sz w:val="20"/>
          <w:szCs w:val="12"/>
        </w:rPr>
        <w:t>Tanzania</w:t>
      </w:r>
      <w:r>
        <w:rPr>
          <w:rFonts w:ascii="Gill Sans MT" w:hAnsi="Gill Sans MT"/>
          <w:sz w:val="20"/>
          <w:szCs w:val="12"/>
        </w:rPr>
        <w:t xml:space="preserve"> had experienced a similar expansion of primary education coverage in an earlier phase of budget support (ODI, 2005). In this phase, budget support helped to retain net prima</w:t>
      </w:r>
      <w:r w:rsidR="003C4772">
        <w:rPr>
          <w:rFonts w:ascii="Gill Sans MT" w:hAnsi="Gill Sans MT"/>
          <w:sz w:val="20"/>
          <w:szCs w:val="12"/>
        </w:rPr>
        <w:t xml:space="preserve">ry enrolments well </w:t>
      </w:r>
      <w:r>
        <w:rPr>
          <w:rFonts w:ascii="Gill Sans MT" w:hAnsi="Gill Sans MT"/>
          <w:sz w:val="20"/>
          <w:szCs w:val="12"/>
        </w:rPr>
        <w:t>above the 90% level, whilst also permitting a major expansion of secondary enrolments</w:t>
      </w:r>
      <w:r w:rsidR="007C0CC1">
        <w:rPr>
          <w:rFonts w:ascii="Gill Sans MT" w:hAnsi="Gill Sans MT"/>
          <w:sz w:val="20"/>
          <w:szCs w:val="12"/>
        </w:rPr>
        <w:t xml:space="preserve">. As a result of the investments in secondary school teachers and facilities, the transition rate from primary to secondary </w:t>
      </w:r>
      <w:r w:rsidR="001A518D">
        <w:rPr>
          <w:rFonts w:ascii="Gill Sans MT" w:hAnsi="Gill Sans MT"/>
          <w:sz w:val="20"/>
          <w:szCs w:val="12"/>
        </w:rPr>
        <w:t xml:space="preserve">education more than doubled from 20% in 2006 to 54% in 2012. </w:t>
      </w:r>
      <w:r>
        <w:rPr>
          <w:rFonts w:ascii="Gill Sans MT" w:hAnsi="Gill Sans MT"/>
          <w:sz w:val="20"/>
          <w:szCs w:val="12"/>
        </w:rPr>
        <w:t>In addition, the roads network was expanded by 14% between 2005 and 2008, while maintaning road conditions at a similar standard</w:t>
      </w:r>
      <w:r w:rsidR="002E5075">
        <w:rPr>
          <w:rStyle w:val="FootnoteReference"/>
          <w:rFonts w:ascii="Gill Sans MT" w:hAnsi="Gill Sans MT"/>
          <w:sz w:val="20"/>
          <w:szCs w:val="12"/>
        </w:rPr>
        <w:footnoteReference w:id="30"/>
      </w:r>
      <w:r>
        <w:rPr>
          <w:rFonts w:ascii="Gill Sans MT" w:hAnsi="Gill Sans MT"/>
          <w:sz w:val="20"/>
          <w:szCs w:val="12"/>
        </w:rPr>
        <w:t>.</w:t>
      </w:r>
    </w:p>
    <w:p w14:paraId="04610D85" w14:textId="77777777" w:rsidR="00AF358F" w:rsidRDefault="00DD21E0" w:rsidP="00DF2D38">
      <w:pPr>
        <w:pStyle w:val="BodyText"/>
        <w:numPr>
          <w:ilvl w:val="0"/>
          <w:numId w:val="2"/>
        </w:numPr>
        <w:spacing w:line="360" w:lineRule="auto"/>
        <w:ind w:left="499" w:hanging="357"/>
        <w:rPr>
          <w:rFonts w:ascii="Gill Sans MT" w:hAnsi="Gill Sans MT"/>
          <w:sz w:val="20"/>
          <w:szCs w:val="12"/>
        </w:rPr>
      </w:pPr>
      <w:r w:rsidRPr="001207D2">
        <w:rPr>
          <w:rFonts w:ascii="Gill Sans MT" w:hAnsi="Gill Sans MT"/>
          <w:b/>
          <w:sz w:val="20"/>
          <w:szCs w:val="12"/>
        </w:rPr>
        <w:t>In some cases</w:t>
      </w:r>
      <w:r w:rsidR="00DF2D38" w:rsidRPr="001207D2">
        <w:rPr>
          <w:rFonts w:ascii="Gill Sans MT" w:hAnsi="Gill Sans MT"/>
          <w:b/>
          <w:sz w:val="20"/>
          <w:szCs w:val="12"/>
        </w:rPr>
        <w:t xml:space="preserve">, the scale of the expansion of primary and secondary </w:t>
      </w:r>
      <w:r w:rsidRPr="001207D2">
        <w:rPr>
          <w:rFonts w:ascii="Gill Sans MT" w:hAnsi="Gill Sans MT"/>
          <w:b/>
          <w:sz w:val="20"/>
          <w:szCs w:val="12"/>
        </w:rPr>
        <w:t xml:space="preserve">education </w:t>
      </w:r>
      <w:r w:rsidR="008B231A">
        <w:rPr>
          <w:rFonts w:ascii="Gill Sans MT" w:hAnsi="Gill Sans MT"/>
          <w:b/>
          <w:sz w:val="20"/>
          <w:szCs w:val="12"/>
        </w:rPr>
        <w:t>meant that quality could not be sustained</w:t>
      </w:r>
      <w:r w:rsidR="00AF358F" w:rsidRPr="001207D2">
        <w:rPr>
          <w:rFonts w:ascii="Gill Sans MT" w:hAnsi="Gill Sans MT"/>
          <w:b/>
          <w:sz w:val="20"/>
          <w:szCs w:val="12"/>
        </w:rPr>
        <w:t>.</w:t>
      </w:r>
      <w:r w:rsidR="00AF358F" w:rsidRPr="00DF2D38">
        <w:rPr>
          <w:rFonts w:ascii="Gill Sans MT" w:hAnsi="Gill Sans MT"/>
          <w:sz w:val="20"/>
          <w:szCs w:val="12"/>
        </w:rPr>
        <w:t xml:space="preserve"> </w:t>
      </w:r>
      <w:r>
        <w:rPr>
          <w:rFonts w:ascii="Gill Sans MT" w:hAnsi="Gill Sans MT"/>
          <w:sz w:val="20"/>
          <w:szCs w:val="12"/>
        </w:rPr>
        <w:t xml:space="preserve">In Tanzania, </w:t>
      </w:r>
      <w:r w:rsidR="00F16691">
        <w:rPr>
          <w:rFonts w:ascii="Gill Sans MT" w:hAnsi="Gill Sans MT"/>
          <w:sz w:val="20"/>
          <w:szCs w:val="12"/>
        </w:rPr>
        <w:t xml:space="preserve">average </w:t>
      </w:r>
      <w:r w:rsidR="001207D2">
        <w:rPr>
          <w:rFonts w:ascii="Gill Sans MT" w:hAnsi="Gill Sans MT"/>
          <w:sz w:val="20"/>
          <w:szCs w:val="12"/>
        </w:rPr>
        <w:t xml:space="preserve">exam </w:t>
      </w:r>
      <w:r w:rsidR="00F16691">
        <w:rPr>
          <w:rFonts w:ascii="Gill Sans MT" w:hAnsi="Gill Sans MT"/>
          <w:sz w:val="20"/>
          <w:szCs w:val="12"/>
        </w:rPr>
        <w:t>pass rates deteriorated at both primary and secondary levels</w:t>
      </w:r>
      <w:r w:rsidR="001207D2">
        <w:rPr>
          <w:rFonts w:ascii="Gill Sans MT" w:hAnsi="Gill Sans MT"/>
          <w:sz w:val="20"/>
          <w:szCs w:val="12"/>
        </w:rPr>
        <w:t>. They began</w:t>
      </w:r>
      <w:r w:rsidR="00F16691">
        <w:rPr>
          <w:rFonts w:ascii="Gill Sans MT" w:hAnsi="Gill Sans MT"/>
          <w:sz w:val="20"/>
          <w:szCs w:val="12"/>
        </w:rPr>
        <w:t xml:space="preserve"> to improve again at the</w:t>
      </w:r>
      <w:r w:rsidR="006D5061">
        <w:rPr>
          <w:rFonts w:ascii="Gill Sans MT" w:hAnsi="Gill Sans MT"/>
          <w:sz w:val="20"/>
          <w:szCs w:val="12"/>
        </w:rPr>
        <w:t xml:space="preserve"> primary level in 2011</w:t>
      </w:r>
      <w:r w:rsidR="001207D2">
        <w:rPr>
          <w:rFonts w:ascii="Gill Sans MT" w:hAnsi="Gill Sans MT"/>
          <w:sz w:val="20"/>
          <w:szCs w:val="12"/>
        </w:rPr>
        <w:t xml:space="preserve"> but </w:t>
      </w:r>
      <w:r w:rsidR="00F16691">
        <w:rPr>
          <w:rFonts w:ascii="Gill Sans MT" w:hAnsi="Gill Sans MT"/>
          <w:sz w:val="20"/>
          <w:szCs w:val="12"/>
        </w:rPr>
        <w:t>secondary school pass rates continue to h</w:t>
      </w:r>
      <w:r w:rsidR="006D5061">
        <w:rPr>
          <w:rFonts w:ascii="Gill Sans MT" w:hAnsi="Gill Sans MT"/>
          <w:sz w:val="20"/>
          <w:szCs w:val="12"/>
        </w:rPr>
        <w:t>over at 10-12%</w:t>
      </w:r>
      <w:r w:rsidR="00F16691">
        <w:rPr>
          <w:rFonts w:ascii="Gill Sans MT" w:hAnsi="Gill Sans MT"/>
          <w:sz w:val="20"/>
          <w:szCs w:val="12"/>
        </w:rPr>
        <w:t>. A significant contributory factor is the fact that</w:t>
      </w:r>
      <w:r w:rsidR="006D5061">
        <w:rPr>
          <w:rFonts w:ascii="Gill Sans MT" w:hAnsi="Gill Sans MT"/>
          <w:sz w:val="20"/>
          <w:szCs w:val="12"/>
        </w:rPr>
        <w:t xml:space="preserve"> </w:t>
      </w:r>
      <w:r w:rsidR="00F16691">
        <w:rPr>
          <w:rFonts w:ascii="Gill Sans MT" w:hAnsi="Gill Sans MT"/>
          <w:sz w:val="20"/>
          <w:szCs w:val="12"/>
        </w:rPr>
        <w:t xml:space="preserve">an increasing number of children of parents with little or no schooling are now attending secondary school. </w:t>
      </w:r>
      <w:r w:rsidR="001207D2">
        <w:rPr>
          <w:rFonts w:ascii="Gill Sans MT" w:hAnsi="Gill Sans MT"/>
          <w:sz w:val="20"/>
          <w:szCs w:val="12"/>
        </w:rPr>
        <w:t>E</w:t>
      </w:r>
      <w:r w:rsidR="00F16691">
        <w:rPr>
          <w:rFonts w:ascii="Gill Sans MT" w:hAnsi="Gill Sans MT"/>
          <w:sz w:val="20"/>
          <w:szCs w:val="12"/>
        </w:rPr>
        <w:t xml:space="preserve">conometric analysis </w:t>
      </w:r>
      <w:r w:rsidR="00CF16FE">
        <w:rPr>
          <w:rFonts w:ascii="Gill Sans MT" w:hAnsi="Gill Sans MT"/>
          <w:sz w:val="20"/>
          <w:szCs w:val="12"/>
        </w:rPr>
        <w:t>shows</w:t>
      </w:r>
      <w:r w:rsidR="006D5061">
        <w:rPr>
          <w:rFonts w:ascii="Gill Sans MT" w:hAnsi="Gill Sans MT"/>
          <w:sz w:val="20"/>
          <w:szCs w:val="12"/>
        </w:rPr>
        <w:t xml:space="preserve"> that parental educatio</w:t>
      </w:r>
      <w:r w:rsidR="00167FE0">
        <w:rPr>
          <w:rFonts w:ascii="Gill Sans MT" w:hAnsi="Gill Sans MT"/>
          <w:sz w:val="20"/>
          <w:szCs w:val="12"/>
        </w:rPr>
        <w:t xml:space="preserve">n levels are a major </w:t>
      </w:r>
      <w:r w:rsidR="006D5061">
        <w:rPr>
          <w:rFonts w:ascii="Gill Sans MT" w:hAnsi="Gill Sans MT"/>
          <w:sz w:val="20"/>
          <w:szCs w:val="12"/>
        </w:rPr>
        <w:t>determinant of performance at the secondary level in Tanzania,</w:t>
      </w:r>
      <w:r w:rsidR="00CF16FE">
        <w:rPr>
          <w:rFonts w:ascii="Gill Sans MT" w:hAnsi="Gill Sans MT"/>
          <w:sz w:val="20"/>
          <w:szCs w:val="12"/>
        </w:rPr>
        <w:t xml:space="preserve"> (ITAD, 2013; pp. 100-104.)</w:t>
      </w:r>
      <w:r w:rsidR="001207D2">
        <w:rPr>
          <w:rFonts w:ascii="Gill Sans MT" w:hAnsi="Gill Sans MT"/>
          <w:sz w:val="20"/>
          <w:szCs w:val="12"/>
        </w:rPr>
        <w:t xml:space="preserve"> </w:t>
      </w:r>
      <w:r w:rsidR="00CF16FE">
        <w:rPr>
          <w:rFonts w:ascii="Gill Sans MT" w:hAnsi="Gill Sans MT"/>
          <w:sz w:val="20"/>
          <w:szCs w:val="12"/>
        </w:rPr>
        <w:t>T</w:t>
      </w:r>
      <w:r w:rsidR="001207D2">
        <w:rPr>
          <w:rFonts w:ascii="Gill Sans MT" w:hAnsi="Gill Sans MT"/>
          <w:sz w:val="20"/>
          <w:szCs w:val="12"/>
        </w:rPr>
        <w:t>herefore, diminishing marginal returns are almost inevitable as system expansion occurs.</w:t>
      </w:r>
      <w:r w:rsidR="006D5061">
        <w:rPr>
          <w:rFonts w:ascii="Gill Sans MT" w:hAnsi="Gill Sans MT"/>
          <w:sz w:val="20"/>
          <w:szCs w:val="12"/>
        </w:rPr>
        <w:t xml:space="preserve"> Nevertheless, </w:t>
      </w:r>
      <w:r w:rsidR="00167FE0">
        <w:rPr>
          <w:rFonts w:ascii="Gill Sans MT" w:hAnsi="Gill Sans MT"/>
          <w:sz w:val="20"/>
          <w:szCs w:val="12"/>
        </w:rPr>
        <w:t>this is an international problem, which many other countrie</w:t>
      </w:r>
      <w:r w:rsidR="00CB06E7">
        <w:rPr>
          <w:rFonts w:ascii="Gill Sans MT" w:hAnsi="Gill Sans MT"/>
          <w:sz w:val="20"/>
          <w:szCs w:val="12"/>
        </w:rPr>
        <w:t>s have experienced in the past; thus, a</w:t>
      </w:r>
      <w:r w:rsidR="00167FE0">
        <w:rPr>
          <w:rFonts w:ascii="Gill Sans MT" w:hAnsi="Gill Sans MT"/>
          <w:sz w:val="20"/>
          <w:szCs w:val="12"/>
        </w:rPr>
        <w:t xml:space="preserve"> constructive policy dialo</w:t>
      </w:r>
      <w:r w:rsidR="00063612">
        <w:rPr>
          <w:rFonts w:ascii="Gill Sans MT" w:hAnsi="Gill Sans MT"/>
          <w:sz w:val="20"/>
          <w:szCs w:val="12"/>
        </w:rPr>
        <w:t xml:space="preserve">gue ought to contribute to solving </w:t>
      </w:r>
      <w:r w:rsidR="00167FE0">
        <w:rPr>
          <w:rFonts w:ascii="Gill Sans MT" w:hAnsi="Gill Sans MT"/>
          <w:sz w:val="20"/>
          <w:szCs w:val="12"/>
        </w:rPr>
        <w:t>such problems</w:t>
      </w:r>
      <w:r w:rsidR="001207D2">
        <w:rPr>
          <w:rFonts w:ascii="Gill Sans MT" w:hAnsi="Gill Sans MT"/>
          <w:sz w:val="20"/>
          <w:szCs w:val="12"/>
        </w:rPr>
        <w:t>.</w:t>
      </w:r>
    </w:p>
    <w:p w14:paraId="1A50515B" w14:textId="77777777" w:rsidR="000069A3" w:rsidRDefault="001207D2" w:rsidP="00887A2A">
      <w:pPr>
        <w:pStyle w:val="BodyText"/>
        <w:numPr>
          <w:ilvl w:val="0"/>
          <w:numId w:val="2"/>
        </w:numPr>
        <w:spacing w:line="360" w:lineRule="auto"/>
        <w:ind w:left="499" w:hanging="357"/>
        <w:rPr>
          <w:rFonts w:ascii="Gill Sans MT" w:hAnsi="Gill Sans MT"/>
          <w:sz w:val="20"/>
          <w:szCs w:val="12"/>
        </w:rPr>
      </w:pPr>
      <w:r w:rsidRPr="00CF16FE">
        <w:rPr>
          <w:rFonts w:ascii="Gill Sans MT" w:hAnsi="Gill Sans MT"/>
          <w:b/>
          <w:sz w:val="20"/>
          <w:szCs w:val="12"/>
        </w:rPr>
        <w:t>In Zambia and Mozambique</w:t>
      </w:r>
      <w:r w:rsidR="000069A3" w:rsidRPr="00CF16FE">
        <w:rPr>
          <w:rFonts w:ascii="Gill Sans MT" w:hAnsi="Gill Sans MT"/>
          <w:b/>
          <w:sz w:val="20"/>
          <w:szCs w:val="12"/>
        </w:rPr>
        <w:t>,</w:t>
      </w:r>
      <w:r w:rsidR="00CF16FE" w:rsidRPr="00CF16FE">
        <w:rPr>
          <w:rFonts w:ascii="Gill Sans MT" w:hAnsi="Gill Sans MT"/>
          <w:b/>
          <w:sz w:val="20"/>
          <w:szCs w:val="12"/>
        </w:rPr>
        <w:t xml:space="preserve"> enhanced </w:t>
      </w:r>
      <w:r w:rsidRPr="00CF16FE">
        <w:rPr>
          <w:rFonts w:ascii="Gill Sans MT" w:hAnsi="Gill Sans MT"/>
          <w:b/>
          <w:sz w:val="20"/>
          <w:szCs w:val="12"/>
        </w:rPr>
        <w:t>agriculture sector</w:t>
      </w:r>
      <w:r w:rsidR="00CF16FE" w:rsidRPr="00CF16FE">
        <w:rPr>
          <w:rFonts w:ascii="Gill Sans MT" w:hAnsi="Gill Sans MT"/>
          <w:b/>
          <w:sz w:val="20"/>
          <w:szCs w:val="12"/>
        </w:rPr>
        <w:t xml:space="preserve"> funding generated </w:t>
      </w:r>
      <w:r w:rsidRPr="00CF16FE">
        <w:rPr>
          <w:rFonts w:ascii="Gill Sans MT" w:hAnsi="Gill Sans MT"/>
          <w:b/>
          <w:sz w:val="20"/>
          <w:szCs w:val="12"/>
        </w:rPr>
        <w:t>disa</w:t>
      </w:r>
      <w:r w:rsidR="00CF16FE" w:rsidRPr="00CF16FE">
        <w:rPr>
          <w:rFonts w:ascii="Gill Sans MT" w:hAnsi="Gill Sans MT"/>
          <w:b/>
          <w:sz w:val="20"/>
          <w:szCs w:val="12"/>
        </w:rPr>
        <w:t xml:space="preserve">ppointing outcomes, </w:t>
      </w:r>
      <w:r w:rsidRPr="00CF16FE">
        <w:rPr>
          <w:rFonts w:ascii="Gill Sans MT" w:hAnsi="Gill Sans MT"/>
          <w:b/>
          <w:sz w:val="20"/>
          <w:szCs w:val="12"/>
        </w:rPr>
        <w:t>as a consequence of inappropriat</w:t>
      </w:r>
      <w:r w:rsidR="00063612">
        <w:rPr>
          <w:rFonts w:ascii="Gill Sans MT" w:hAnsi="Gill Sans MT"/>
          <w:b/>
          <w:sz w:val="20"/>
          <w:szCs w:val="12"/>
        </w:rPr>
        <w:t>e</w:t>
      </w:r>
      <w:r w:rsidR="00167FE0" w:rsidRPr="00CF16FE">
        <w:rPr>
          <w:rFonts w:ascii="Gill Sans MT" w:hAnsi="Gill Sans MT"/>
          <w:b/>
          <w:sz w:val="20"/>
          <w:szCs w:val="12"/>
        </w:rPr>
        <w:t xml:space="preserve"> policies</w:t>
      </w:r>
      <w:r w:rsidR="00167FE0">
        <w:rPr>
          <w:rFonts w:ascii="Gill Sans MT" w:hAnsi="Gill Sans MT"/>
          <w:sz w:val="20"/>
          <w:szCs w:val="12"/>
        </w:rPr>
        <w:t xml:space="preserve">. </w:t>
      </w:r>
      <w:r w:rsidR="00CF16FE">
        <w:rPr>
          <w:rFonts w:ascii="Gill Sans MT" w:hAnsi="Gill Sans MT"/>
          <w:sz w:val="20"/>
          <w:szCs w:val="12"/>
        </w:rPr>
        <w:t>I</w:t>
      </w:r>
      <w:r w:rsidR="009A3779">
        <w:rPr>
          <w:rFonts w:ascii="Gill Sans MT" w:hAnsi="Gill Sans MT"/>
          <w:sz w:val="20"/>
          <w:szCs w:val="12"/>
        </w:rPr>
        <w:t>n both cases</w:t>
      </w:r>
      <w:r w:rsidR="00CF16FE">
        <w:rPr>
          <w:rFonts w:ascii="Gill Sans MT" w:hAnsi="Gill Sans MT"/>
          <w:sz w:val="20"/>
          <w:szCs w:val="12"/>
        </w:rPr>
        <w:t xml:space="preserve">, budget support finance helped to expand funding but </w:t>
      </w:r>
      <w:r w:rsidR="00063612">
        <w:rPr>
          <w:rFonts w:ascii="Gill Sans MT" w:hAnsi="Gill Sans MT"/>
          <w:sz w:val="20"/>
          <w:szCs w:val="12"/>
        </w:rPr>
        <w:t xml:space="preserve">policy dialogue did not </w:t>
      </w:r>
      <w:r w:rsidR="009A3779">
        <w:rPr>
          <w:rFonts w:ascii="Gill Sans MT" w:hAnsi="Gill Sans MT"/>
          <w:sz w:val="20"/>
          <w:szCs w:val="12"/>
        </w:rPr>
        <w:t>generate an agreed set of effective policies.</w:t>
      </w:r>
      <w:r w:rsidR="00CF16FE">
        <w:rPr>
          <w:rFonts w:ascii="Gill Sans MT" w:hAnsi="Gill Sans MT"/>
          <w:sz w:val="20"/>
          <w:szCs w:val="12"/>
        </w:rPr>
        <w:t xml:space="preserve"> E</w:t>
      </w:r>
      <w:r w:rsidR="00887A2A">
        <w:rPr>
          <w:rFonts w:ascii="Gill Sans MT" w:hAnsi="Gill Sans MT"/>
          <w:sz w:val="20"/>
          <w:szCs w:val="12"/>
        </w:rPr>
        <w:t>ffective outcomes require not only enhanced funding but also appropriate policies and the capabili</w:t>
      </w:r>
      <w:r w:rsidR="00063612">
        <w:rPr>
          <w:rFonts w:ascii="Gill Sans MT" w:hAnsi="Gill Sans MT"/>
          <w:sz w:val="20"/>
          <w:szCs w:val="12"/>
        </w:rPr>
        <w:t>ty to implement them</w:t>
      </w:r>
      <w:r w:rsidR="00887A2A">
        <w:rPr>
          <w:rFonts w:ascii="Gill Sans MT" w:hAnsi="Gill Sans MT"/>
          <w:sz w:val="20"/>
          <w:szCs w:val="12"/>
        </w:rPr>
        <w:t>. Outside of the education, health and roads sectors, bu</w:t>
      </w:r>
      <w:r w:rsidR="00063612">
        <w:rPr>
          <w:rFonts w:ascii="Gill Sans MT" w:hAnsi="Gill Sans MT"/>
          <w:sz w:val="20"/>
          <w:szCs w:val="12"/>
        </w:rPr>
        <w:t xml:space="preserve">dget support </w:t>
      </w:r>
      <w:r w:rsidR="00CB06E7">
        <w:rPr>
          <w:rFonts w:ascii="Gill Sans MT" w:hAnsi="Gill Sans MT"/>
          <w:sz w:val="20"/>
          <w:szCs w:val="12"/>
        </w:rPr>
        <w:t xml:space="preserve">in LICs </w:t>
      </w:r>
      <w:r w:rsidR="00063612">
        <w:rPr>
          <w:rFonts w:ascii="Gill Sans MT" w:hAnsi="Gill Sans MT"/>
          <w:sz w:val="20"/>
          <w:szCs w:val="12"/>
        </w:rPr>
        <w:t xml:space="preserve">has struggled </w:t>
      </w:r>
      <w:r w:rsidR="00887A2A">
        <w:rPr>
          <w:rFonts w:ascii="Gill Sans MT" w:hAnsi="Gill Sans MT"/>
          <w:sz w:val="20"/>
          <w:szCs w:val="12"/>
        </w:rPr>
        <w:t>to g</w:t>
      </w:r>
      <w:r w:rsidR="003605F6">
        <w:rPr>
          <w:rFonts w:ascii="Gill Sans MT" w:hAnsi="Gill Sans MT"/>
          <w:sz w:val="20"/>
          <w:szCs w:val="12"/>
        </w:rPr>
        <w:t>enerate these success factors.</w:t>
      </w:r>
      <w:r w:rsidR="00EC3134">
        <w:rPr>
          <w:rFonts w:ascii="Gill Sans MT" w:hAnsi="Gill Sans MT"/>
          <w:sz w:val="20"/>
          <w:szCs w:val="12"/>
        </w:rPr>
        <w:t xml:space="preserve"> </w:t>
      </w:r>
    </w:p>
    <w:p w14:paraId="6968C191" w14:textId="34C05FF5" w:rsidR="006D287F" w:rsidRPr="006D287F" w:rsidRDefault="006D287F" w:rsidP="006D287F">
      <w:pPr>
        <w:pStyle w:val="Heading3"/>
      </w:pPr>
      <w:r w:rsidRPr="003605F6">
        <w:t>Impacts</w:t>
      </w:r>
    </w:p>
    <w:p w14:paraId="6FFD0268" w14:textId="77777777" w:rsidR="006D287F" w:rsidRPr="008B231A" w:rsidRDefault="006D287F" w:rsidP="006D287F">
      <w:pPr>
        <w:pStyle w:val="BodyText"/>
        <w:numPr>
          <w:ilvl w:val="0"/>
          <w:numId w:val="2"/>
        </w:numPr>
        <w:spacing w:line="360" w:lineRule="auto"/>
        <w:ind w:left="499" w:hanging="357"/>
        <w:rPr>
          <w:rFonts w:ascii="Gill Sans MT" w:hAnsi="Gill Sans MT"/>
          <w:sz w:val="20"/>
          <w:szCs w:val="12"/>
        </w:rPr>
      </w:pPr>
      <w:r w:rsidRPr="00E31BBD">
        <w:rPr>
          <w:rFonts w:ascii="Gill Sans MT" w:hAnsi="Gill Sans MT"/>
          <w:b/>
          <w:sz w:val="20"/>
          <w:szCs w:val="12"/>
        </w:rPr>
        <w:t>All four countries recorded high real rates of GDP growth during the evaluation periods</w:t>
      </w:r>
      <w:r>
        <w:rPr>
          <w:rFonts w:ascii="Gill Sans MT" w:hAnsi="Gill Sans MT"/>
          <w:sz w:val="20"/>
          <w:szCs w:val="12"/>
        </w:rPr>
        <w:t xml:space="preserve">. In all cases, growth rates compared well with neighbouring countries, with Mali for example achieving the highest average growth rates in the WAEMU region within the period. In three of the four countries, average growth rates were marginally higher than in the pre-evaluation period, benefitting from the generally more favourable international conditions and in </w:t>
      </w:r>
      <w:r>
        <w:rPr>
          <w:rFonts w:ascii="Gill Sans MT" w:hAnsi="Gill Sans MT"/>
          <w:sz w:val="20"/>
          <w:szCs w:val="12"/>
        </w:rPr>
        <w:lastRenderedPageBreak/>
        <w:t>the case of Zambia, from rising copper prices. In Mozambique, growth rates were essentially unchanged, remaining high by regional standards.</w:t>
      </w:r>
    </w:p>
    <w:p w14:paraId="5A6F2004" w14:textId="77777777" w:rsidR="00412D3C" w:rsidRDefault="00412D3C" w:rsidP="00412D3C">
      <w:pPr>
        <w:pStyle w:val="Caption"/>
        <w:ind w:left="502"/>
        <w:rPr>
          <w:lang w:val="en-GB"/>
        </w:rPr>
      </w:pPr>
      <w:bookmarkStart w:id="69" w:name="_Toc279848289"/>
      <w:r w:rsidRPr="00E31BBD">
        <w:rPr>
          <w:lang w:val="en-GB"/>
        </w:rPr>
        <w:t xml:space="preserve">Table </w:t>
      </w:r>
      <w:r w:rsidRPr="00E31BBD">
        <w:rPr>
          <w:lang w:val="en-GB"/>
        </w:rPr>
        <w:fldChar w:fldCharType="begin"/>
      </w:r>
      <w:r w:rsidRPr="00E31BBD">
        <w:rPr>
          <w:lang w:val="en-GB"/>
        </w:rPr>
        <w:instrText xml:space="preserve"> SEQ Table \* ARABIC </w:instrText>
      </w:r>
      <w:r w:rsidRPr="00E31BBD">
        <w:rPr>
          <w:lang w:val="en-GB"/>
        </w:rPr>
        <w:fldChar w:fldCharType="separate"/>
      </w:r>
      <w:r w:rsidR="00967582">
        <w:rPr>
          <w:noProof/>
          <w:lang w:val="en-GB"/>
        </w:rPr>
        <w:t>9</w:t>
      </w:r>
      <w:r w:rsidRPr="00E31BBD">
        <w:rPr>
          <w:lang w:val="en-GB"/>
        </w:rPr>
        <w:fldChar w:fldCharType="end"/>
      </w:r>
      <w:r>
        <w:rPr>
          <w:lang w:val="en-GB"/>
        </w:rPr>
        <w:t>: Average A</w:t>
      </w:r>
      <w:r w:rsidRPr="00E31BBD">
        <w:rPr>
          <w:lang w:val="en-GB"/>
        </w:rPr>
        <w:t>n</w:t>
      </w:r>
      <w:r>
        <w:rPr>
          <w:lang w:val="en-GB"/>
        </w:rPr>
        <w:t>nual Growth rates in R</w:t>
      </w:r>
      <w:r w:rsidRPr="00E31BBD">
        <w:rPr>
          <w:lang w:val="en-GB"/>
        </w:rPr>
        <w:t xml:space="preserve">eal GDP, 2000 - 2004 and 2005 </w:t>
      </w:r>
      <w:r>
        <w:rPr>
          <w:lang w:val="en-GB"/>
        </w:rPr>
        <w:t>–</w:t>
      </w:r>
      <w:r w:rsidRPr="00E31BBD">
        <w:rPr>
          <w:lang w:val="en-GB"/>
        </w:rPr>
        <w:t xml:space="preserve"> 2010</w:t>
      </w:r>
      <w:bookmarkEnd w:id="69"/>
    </w:p>
    <w:tbl>
      <w:tblPr>
        <w:tblStyle w:val="TableClassic2"/>
        <w:tblW w:w="0" w:type="auto"/>
        <w:tblLook w:val="04A0" w:firstRow="1" w:lastRow="0" w:firstColumn="1" w:lastColumn="0" w:noHBand="0" w:noVBand="1"/>
      </w:tblPr>
      <w:tblGrid>
        <w:gridCol w:w="2518"/>
        <w:gridCol w:w="2268"/>
        <w:gridCol w:w="2268"/>
        <w:gridCol w:w="1471"/>
      </w:tblGrid>
      <w:tr w:rsidR="00412D3C" w14:paraId="490D8DE5" w14:textId="77777777" w:rsidTr="00805E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18" w:type="dxa"/>
          </w:tcPr>
          <w:p w14:paraId="742C1AEF" w14:textId="77777777" w:rsidR="00412D3C" w:rsidRDefault="00412D3C" w:rsidP="00805ED5">
            <w:pPr>
              <w:rPr>
                <w:lang w:val="en-GB"/>
              </w:rPr>
            </w:pPr>
            <w:r>
              <w:rPr>
                <w:lang w:val="en-GB"/>
              </w:rPr>
              <w:t>Real GDP Growth</w:t>
            </w:r>
          </w:p>
        </w:tc>
        <w:tc>
          <w:tcPr>
            <w:tcW w:w="2268" w:type="dxa"/>
          </w:tcPr>
          <w:p w14:paraId="5B1228BA" w14:textId="77777777" w:rsidR="00412D3C" w:rsidRDefault="00412D3C" w:rsidP="00805ED5">
            <w:pPr>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Average 2000-2004</w:t>
            </w:r>
          </w:p>
          <w:p w14:paraId="62B1429B" w14:textId="77777777" w:rsidR="00412D3C" w:rsidRDefault="00412D3C" w:rsidP="00805ED5">
            <w:pPr>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a)</w:t>
            </w:r>
          </w:p>
        </w:tc>
        <w:tc>
          <w:tcPr>
            <w:tcW w:w="2268" w:type="dxa"/>
          </w:tcPr>
          <w:p w14:paraId="455528BF" w14:textId="77777777" w:rsidR="00412D3C" w:rsidRDefault="00412D3C" w:rsidP="00805ED5">
            <w:pPr>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Average 2005 -2010 b)</w:t>
            </w:r>
          </w:p>
        </w:tc>
        <w:tc>
          <w:tcPr>
            <w:tcW w:w="1471" w:type="dxa"/>
          </w:tcPr>
          <w:p w14:paraId="6F090B90" w14:textId="77777777" w:rsidR="00412D3C" w:rsidRDefault="00412D3C" w:rsidP="00805ED5">
            <w:pPr>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Difference b) – a)</w:t>
            </w:r>
          </w:p>
        </w:tc>
      </w:tr>
      <w:tr w:rsidR="00412D3C" w14:paraId="0904DC3A" w14:textId="77777777" w:rsidTr="00805ED5">
        <w:tc>
          <w:tcPr>
            <w:cnfStyle w:val="001000000000" w:firstRow="0" w:lastRow="0" w:firstColumn="1" w:lastColumn="0" w:oddVBand="0" w:evenVBand="0" w:oddHBand="0" w:evenHBand="0" w:firstRowFirstColumn="0" w:firstRowLastColumn="0" w:lastRowFirstColumn="0" w:lastRowLastColumn="0"/>
            <w:tcW w:w="2518" w:type="dxa"/>
          </w:tcPr>
          <w:p w14:paraId="28096A54" w14:textId="77777777" w:rsidR="00412D3C" w:rsidRDefault="00412D3C" w:rsidP="00805ED5">
            <w:pPr>
              <w:spacing w:line="360" w:lineRule="auto"/>
              <w:rPr>
                <w:lang w:val="en-GB"/>
              </w:rPr>
            </w:pPr>
            <w:r>
              <w:rPr>
                <w:lang w:val="en-GB"/>
              </w:rPr>
              <w:t>Mali</w:t>
            </w:r>
          </w:p>
        </w:tc>
        <w:tc>
          <w:tcPr>
            <w:tcW w:w="2268" w:type="dxa"/>
          </w:tcPr>
          <w:p w14:paraId="0C40CDB8" w14:textId="77777777" w:rsidR="00412D3C" w:rsidRPr="005E3742" w:rsidRDefault="00412D3C" w:rsidP="00805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5E3742">
              <w:rPr>
                <w:rFonts w:ascii="Gill Sans MT" w:hAnsi="Gill Sans MT"/>
                <w:sz w:val="22"/>
                <w:szCs w:val="22"/>
                <w:lang w:val="en-GB"/>
              </w:rPr>
              <w:t>4.56%</w:t>
            </w:r>
          </w:p>
        </w:tc>
        <w:tc>
          <w:tcPr>
            <w:tcW w:w="2268" w:type="dxa"/>
          </w:tcPr>
          <w:p w14:paraId="2D20BDF9" w14:textId="77777777" w:rsidR="00412D3C" w:rsidRPr="005E3742" w:rsidRDefault="00412D3C" w:rsidP="00805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5E3742">
              <w:rPr>
                <w:rFonts w:ascii="Gill Sans MT" w:hAnsi="Gill Sans MT"/>
                <w:sz w:val="22"/>
                <w:szCs w:val="22"/>
                <w:lang w:val="en-GB"/>
              </w:rPr>
              <w:t>5.17%</w:t>
            </w:r>
          </w:p>
        </w:tc>
        <w:tc>
          <w:tcPr>
            <w:tcW w:w="1471" w:type="dxa"/>
          </w:tcPr>
          <w:p w14:paraId="5C24C0CA" w14:textId="77777777" w:rsidR="00412D3C" w:rsidRPr="005E3742" w:rsidRDefault="00412D3C" w:rsidP="00805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5E3742">
              <w:rPr>
                <w:rFonts w:ascii="Gill Sans MT" w:hAnsi="Gill Sans MT"/>
                <w:sz w:val="22"/>
                <w:szCs w:val="22"/>
                <w:lang w:val="en-GB"/>
              </w:rPr>
              <w:t>+0.61</w:t>
            </w:r>
          </w:p>
        </w:tc>
      </w:tr>
      <w:tr w:rsidR="00412D3C" w14:paraId="2C900498" w14:textId="77777777" w:rsidTr="00805ED5">
        <w:tc>
          <w:tcPr>
            <w:cnfStyle w:val="001000000000" w:firstRow="0" w:lastRow="0" w:firstColumn="1" w:lastColumn="0" w:oddVBand="0" w:evenVBand="0" w:oddHBand="0" w:evenHBand="0" w:firstRowFirstColumn="0" w:firstRowLastColumn="0" w:lastRowFirstColumn="0" w:lastRowLastColumn="0"/>
            <w:tcW w:w="2518" w:type="dxa"/>
          </w:tcPr>
          <w:p w14:paraId="1A81648E" w14:textId="77777777" w:rsidR="00412D3C" w:rsidRDefault="00412D3C" w:rsidP="00805ED5">
            <w:pPr>
              <w:spacing w:line="360" w:lineRule="auto"/>
              <w:rPr>
                <w:lang w:val="en-GB"/>
              </w:rPr>
            </w:pPr>
            <w:r>
              <w:rPr>
                <w:lang w:val="en-GB"/>
              </w:rPr>
              <w:t>Mozambique</w:t>
            </w:r>
          </w:p>
        </w:tc>
        <w:tc>
          <w:tcPr>
            <w:tcW w:w="2268" w:type="dxa"/>
          </w:tcPr>
          <w:p w14:paraId="70FB5A00" w14:textId="77777777" w:rsidR="00412D3C" w:rsidRPr="005E3742" w:rsidRDefault="00412D3C" w:rsidP="00805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5E3742">
              <w:rPr>
                <w:rFonts w:ascii="Gill Sans MT" w:hAnsi="Gill Sans MT"/>
                <w:sz w:val="22"/>
                <w:szCs w:val="22"/>
                <w:lang w:val="en-GB"/>
              </w:rPr>
              <w:t>7.48%</w:t>
            </w:r>
          </w:p>
        </w:tc>
        <w:tc>
          <w:tcPr>
            <w:tcW w:w="2268" w:type="dxa"/>
          </w:tcPr>
          <w:p w14:paraId="75B8979A" w14:textId="77777777" w:rsidR="00412D3C" w:rsidRPr="005E3742" w:rsidRDefault="00412D3C" w:rsidP="00805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5E3742">
              <w:rPr>
                <w:rFonts w:ascii="Gill Sans MT" w:hAnsi="Gill Sans MT"/>
                <w:sz w:val="22"/>
                <w:szCs w:val="22"/>
                <w:lang w:val="en-GB"/>
              </w:rPr>
              <w:t>7.43%</w:t>
            </w:r>
          </w:p>
        </w:tc>
        <w:tc>
          <w:tcPr>
            <w:tcW w:w="1471" w:type="dxa"/>
          </w:tcPr>
          <w:p w14:paraId="459CD479" w14:textId="77777777" w:rsidR="00412D3C" w:rsidRPr="005E3742" w:rsidRDefault="00412D3C" w:rsidP="00805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5E3742">
              <w:rPr>
                <w:rFonts w:ascii="Gill Sans MT" w:hAnsi="Gill Sans MT"/>
                <w:sz w:val="22"/>
                <w:szCs w:val="22"/>
                <w:lang w:val="en-GB"/>
              </w:rPr>
              <w:t>-0.05</w:t>
            </w:r>
          </w:p>
        </w:tc>
      </w:tr>
      <w:tr w:rsidR="00412D3C" w14:paraId="20BE4EF4" w14:textId="77777777" w:rsidTr="00805ED5">
        <w:tc>
          <w:tcPr>
            <w:cnfStyle w:val="001000000000" w:firstRow="0" w:lastRow="0" w:firstColumn="1" w:lastColumn="0" w:oddVBand="0" w:evenVBand="0" w:oddHBand="0" w:evenHBand="0" w:firstRowFirstColumn="0" w:firstRowLastColumn="0" w:lastRowFirstColumn="0" w:lastRowLastColumn="0"/>
            <w:tcW w:w="2518" w:type="dxa"/>
          </w:tcPr>
          <w:p w14:paraId="2C0CFE82" w14:textId="77777777" w:rsidR="00412D3C" w:rsidRDefault="00412D3C" w:rsidP="00805ED5">
            <w:pPr>
              <w:spacing w:line="360" w:lineRule="auto"/>
              <w:rPr>
                <w:lang w:val="en-GB"/>
              </w:rPr>
            </w:pPr>
            <w:r>
              <w:rPr>
                <w:lang w:val="en-GB"/>
              </w:rPr>
              <w:t>Tanzania</w:t>
            </w:r>
          </w:p>
        </w:tc>
        <w:tc>
          <w:tcPr>
            <w:tcW w:w="2268" w:type="dxa"/>
          </w:tcPr>
          <w:p w14:paraId="098C790D" w14:textId="77777777" w:rsidR="00412D3C" w:rsidRPr="005E3742" w:rsidRDefault="00412D3C" w:rsidP="00805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5E3742">
              <w:rPr>
                <w:rFonts w:ascii="Gill Sans MT" w:hAnsi="Gill Sans MT"/>
                <w:sz w:val="22"/>
                <w:szCs w:val="22"/>
                <w:lang w:val="en-GB"/>
              </w:rPr>
              <w:t>6.56%</w:t>
            </w:r>
          </w:p>
        </w:tc>
        <w:tc>
          <w:tcPr>
            <w:tcW w:w="2268" w:type="dxa"/>
          </w:tcPr>
          <w:p w14:paraId="6D0CA78F" w14:textId="77777777" w:rsidR="00412D3C" w:rsidRPr="005E3742" w:rsidRDefault="00412D3C" w:rsidP="00805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5E3742">
              <w:rPr>
                <w:rFonts w:ascii="Gill Sans MT" w:hAnsi="Gill Sans MT"/>
                <w:sz w:val="22"/>
                <w:szCs w:val="22"/>
                <w:lang w:val="en-GB"/>
              </w:rPr>
              <w:t>6.93%</w:t>
            </w:r>
          </w:p>
        </w:tc>
        <w:tc>
          <w:tcPr>
            <w:tcW w:w="1471" w:type="dxa"/>
          </w:tcPr>
          <w:p w14:paraId="19850FDD" w14:textId="77777777" w:rsidR="00412D3C" w:rsidRPr="005E3742" w:rsidRDefault="00412D3C" w:rsidP="00805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5E3742">
              <w:rPr>
                <w:rFonts w:ascii="Gill Sans MT" w:hAnsi="Gill Sans MT"/>
                <w:sz w:val="22"/>
                <w:szCs w:val="22"/>
                <w:lang w:val="en-GB"/>
              </w:rPr>
              <w:t>+0.37</w:t>
            </w:r>
          </w:p>
        </w:tc>
      </w:tr>
      <w:tr w:rsidR="00412D3C" w14:paraId="1DDE5CCF" w14:textId="77777777" w:rsidTr="00805ED5">
        <w:tc>
          <w:tcPr>
            <w:cnfStyle w:val="001000000000" w:firstRow="0" w:lastRow="0" w:firstColumn="1" w:lastColumn="0" w:oddVBand="0" w:evenVBand="0" w:oddHBand="0" w:evenHBand="0" w:firstRowFirstColumn="0" w:firstRowLastColumn="0" w:lastRowFirstColumn="0" w:lastRowLastColumn="0"/>
            <w:tcW w:w="2518" w:type="dxa"/>
          </w:tcPr>
          <w:p w14:paraId="3FE7ACEC" w14:textId="77777777" w:rsidR="00412D3C" w:rsidRDefault="00412D3C" w:rsidP="00805ED5">
            <w:pPr>
              <w:spacing w:line="360" w:lineRule="auto"/>
              <w:rPr>
                <w:lang w:val="en-GB"/>
              </w:rPr>
            </w:pPr>
            <w:r>
              <w:rPr>
                <w:lang w:val="en-GB"/>
              </w:rPr>
              <w:t>Zambia</w:t>
            </w:r>
          </w:p>
        </w:tc>
        <w:tc>
          <w:tcPr>
            <w:tcW w:w="2268" w:type="dxa"/>
          </w:tcPr>
          <w:p w14:paraId="35E1C21C" w14:textId="77777777" w:rsidR="00412D3C" w:rsidRPr="005E3742" w:rsidRDefault="00412D3C" w:rsidP="00805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5E3742">
              <w:rPr>
                <w:rFonts w:ascii="Gill Sans MT" w:hAnsi="Gill Sans MT"/>
                <w:sz w:val="22"/>
                <w:szCs w:val="22"/>
                <w:lang w:val="en-GB"/>
              </w:rPr>
              <w:t>4.46%</w:t>
            </w:r>
          </w:p>
        </w:tc>
        <w:tc>
          <w:tcPr>
            <w:tcW w:w="2268" w:type="dxa"/>
          </w:tcPr>
          <w:p w14:paraId="30E086FC" w14:textId="77777777" w:rsidR="00412D3C" w:rsidRPr="005E3742" w:rsidRDefault="00412D3C" w:rsidP="00805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5E3742">
              <w:rPr>
                <w:rFonts w:ascii="Gill Sans MT" w:hAnsi="Gill Sans MT"/>
                <w:sz w:val="22"/>
                <w:szCs w:val="22"/>
                <w:lang w:val="en-GB"/>
              </w:rPr>
              <w:t>6.23%</w:t>
            </w:r>
          </w:p>
        </w:tc>
        <w:tc>
          <w:tcPr>
            <w:tcW w:w="1471" w:type="dxa"/>
          </w:tcPr>
          <w:p w14:paraId="30A75115" w14:textId="77777777" w:rsidR="00412D3C" w:rsidRPr="005E3742" w:rsidRDefault="00412D3C" w:rsidP="00805ED5">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5E3742">
              <w:rPr>
                <w:rFonts w:ascii="Gill Sans MT" w:hAnsi="Gill Sans MT"/>
                <w:sz w:val="22"/>
                <w:szCs w:val="22"/>
                <w:lang w:val="en-GB"/>
              </w:rPr>
              <w:t>+1.77</w:t>
            </w:r>
          </w:p>
        </w:tc>
      </w:tr>
    </w:tbl>
    <w:p w14:paraId="769B444B" w14:textId="77777777" w:rsidR="00412D3C" w:rsidRPr="00412D3C" w:rsidRDefault="00412D3C" w:rsidP="00412D3C">
      <w:pPr>
        <w:pStyle w:val="ListParagraph"/>
        <w:ind w:left="502"/>
        <w:rPr>
          <w:rFonts w:ascii="Gill Sans MT" w:hAnsi="Gill Sans MT"/>
          <w:sz w:val="18"/>
          <w:szCs w:val="18"/>
          <w:lang w:val="fr-BE"/>
        </w:rPr>
      </w:pPr>
      <w:r w:rsidRPr="00412D3C">
        <w:rPr>
          <w:rFonts w:ascii="Gill Sans MT" w:hAnsi="Gill Sans MT"/>
          <w:sz w:val="18"/>
          <w:szCs w:val="18"/>
          <w:u w:val="single"/>
          <w:lang w:val="fr-BE"/>
        </w:rPr>
        <w:t>Source</w:t>
      </w:r>
      <w:r w:rsidRPr="00412D3C">
        <w:rPr>
          <w:rFonts w:ascii="Gill Sans MT" w:hAnsi="Gill Sans MT"/>
          <w:sz w:val="18"/>
          <w:szCs w:val="18"/>
          <w:lang w:val="fr-BE"/>
        </w:rPr>
        <w:t>: IMF, Article IV reports.</w:t>
      </w:r>
    </w:p>
    <w:p w14:paraId="05DD9F92" w14:textId="77777777" w:rsidR="00E31BBD" w:rsidRDefault="00375899" w:rsidP="00887A2A">
      <w:pPr>
        <w:pStyle w:val="BodyText"/>
        <w:numPr>
          <w:ilvl w:val="0"/>
          <w:numId w:val="2"/>
        </w:numPr>
        <w:spacing w:line="360" w:lineRule="auto"/>
        <w:ind w:left="499" w:hanging="357"/>
        <w:rPr>
          <w:rFonts w:ascii="Gill Sans MT" w:hAnsi="Gill Sans MT"/>
          <w:b/>
          <w:sz w:val="20"/>
          <w:szCs w:val="12"/>
        </w:rPr>
      </w:pPr>
      <w:r>
        <w:rPr>
          <w:rFonts w:ascii="Gill Sans MT" w:hAnsi="Gill Sans MT"/>
          <w:b/>
          <w:sz w:val="20"/>
          <w:szCs w:val="12"/>
        </w:rPr>
        <w:t>The evaluations assert</w:t>
      </w:r>
      <w:r w:rsidR="00767BD7" w:rsidRPr="00767BD7">
        <w:rPr>
          <w:rFonts w:ascii="Gill Sans MT" w:hAnsi="Gill Sans MT"/>
          <w:b/>
          <w:sz w:val="20"/>
          <w:szCs w:val="12"/>
        </w:rPr>
        <w:t xml:space="preserve"> that budget support contributed to the favourable econ</w:t>
      </w:r>
      <w:r w:rsidR="000514E9">
        <w:rPr>
          <w:rFonts w:ascii="Gill Sans MT" w:hAnsi="Gill Sans MT"/>
          <w:b/>
          <w:sz w:val="20"/>
          <w:szCs w:val="12"/>
        </w:rPr>
        <w:t>omic growth performance in three</w:t>
      </w:r>
      <w:r w:rsidR="00AF1403">
        <w:rPr>
          <w:rFonts w:ascii="Gill Sans MT" w:hAnsi="Gill Sans MT"/>
          <w:b/>
          <w:sz w:val="20"/>
          <w:szCs w:val="12"/>
        </w:rPr>
        <w:t xml:space="preserve"> </w:t>
      </w:r>
      <w:r w:rsidR="00767BD7" w:rsidRPr="00767BD7">
        <w:rPr>
          <w:rFonts w:ascii="Gill Sans MT" w:hAnsi="Gill Sans MT"/>
          <w:b/>
          <w:sz w:val="20"/>
          <w:szCs w:val="12"/>
        </w:rPr>
        <w:t>principal ways:</w:t>
      </w:r>
    </w:p>
    <w:p w14:paraId="223F508C" w14:textId="77777777" w:rsidR="00767BD7" w:rsidRDefault="00AF1403" w:rsidP="00D81DB3">
      <w:pPr>
        <w:pStyle w:val="BodyText"/>
        <w:numPr>
          <w:ilvl w:val="0"/>
          <w:numId w:val="21"/>
        </w:numPr>
        <w:spacing w:line="360" w:lineRule="auto"/>
        <w:rPr>
          <w:rFonts w:ascii="Gill Sans MT" w:hAnsi="Gill Sans MT"/>
          <w:sz w:val="20"/>
          <w:szCs w:val="12"/>
        </w:rPr>
      </w:pPr>
      <w:r w:rsidRPr="00AF1403">
        <w:rPr>
          <w:rFonts w:ascii="Gill Sans MT" w:hAnsi="Gill Sans MT"/>
          <w:sz w:val="20"/>
          <w:szCs w:val="12"/>
        </w:rPr>
        <w:t>Firstly, by facilitating the expansion of government spending</w:t>
      </w:r>
      <w:r>
        <w:rPr>
          <w:rStyle w:val="FootnoteReference"/>
          <w:rFonts w:ascii="Gill Sans MT" w:hAnsi="Gill Sans MT"/>
          <w:sz w:val="20"/>
          <w:szCs w:val="12"/>
        </w:rPr>
        <w:footnoteReference w:id="31"/>
      </w:r>
      <w:r w:rsidRPr="00AF1403">
        <w:rPr>
          <w:rFonts w:ascii="Gill Sans MT" w:hAnsi="Gill Sans MT"/>
          <w:sz w:val="20"/>
          <w:szCs w:val="12"/>
        </w:rPr>
        <w:t>, without a corresponding reduction in private spending (through taxation</w:t>
      </w:r>
      <w:r w:rsidR="000514E9">
        <w:rPr>
          <w:rFonts w:ascii="Gill Sans MT" w:hAnsi="Gill Sans MT"/>
          <w:sz w:val="20"/>
          <w:szCs w:val="12"/>
        </w:rPr>
        <w:t>, or through domestic government borrowing</w:t>
      </w:r>
      <w:r w:rsidR="00375899">
        <w:rPr>
          <w:rFonts w:ascii="Gill Sans MT" w:hAnsi="Gill Sans MT"/>
          <w:sz w:val="20"/>
          <w:szCs w:val="12"/>
        </w:rPr>
        <w:t xml:space="preserve">), </w:t>
      </w:r>
      <w:r w:rsidR="00A87198">
        <w:rPr>
          <w:rFonts w:ascii="Gill Sans MT" w:hAnsi="Gill Sans MT"/>
          <w:sz w:val="20"/>
          <w:szCs w:val="12"/>
        </w:rPr>
        <w:t xml:space="preserve">budget support stimulated domestic </w:t>
      </w:r>
      <w:r w:rsidRPr="00AF1403">
        <w:rPr>
          <w:rFonts w:ascii="Gill Sans MT" w:hAnsi="Gill Sans MT"/>
          <w:sz w:val="20"/>
          <w:szCs w:val="12"/>
        </w:rPr>
        <w:t xml:space="preserve">demand. </w:t>
      </w:r>
    </w:p>
    <w:p w14:paraId="7201E0A6" w14:textId="77777777" w:rsidR="000514E9" w:rsidRDefault="000514E9" w:rsidP="00D81DB3">
      <w:pPr>
        <w:pStyle w:val="BodyText"/>
        <w:numPr>
          <w:ilvl w:val="0"/>
          <w:numId w:val="21"/>
        </w:numPr>
        <w:spacing w:line="360" w:lineRule="auto"/>
        <w:rPr>
          <w:rFonts w:ascii="Gill Sans MT" w:hAnsi="Gill Sans MT"/>
          <w:sz w:val="20"/>
          <w:szCs w:val="12"/>
        </w:rPr>
      </w:pPr>
      <w:r>
        <w:rPr>
          <w:rFonts w:ascii="Gill Sans MT" w:hAnsi="Gill Sans MT"/>
          <w:sz w:val="20"/>
          <w:szCs w:val="12"/>
        </w:rPr>
        <w:t>Secondly, because a high proportion of the increase in</w:t>
      </w:r>
      <w:r w:rsidR="00F26203">
        <w:rPr>
          <w:rFonts w:ascii="Gill Sans MT" w:hAnsi="Gill Sans MT"/>
          <w:sz w:val="20"/>
          <w:szCs w:val="12"/>
        </w:rPr>
        <w:t xml:space="preserve"> government spending was allocat</w:t>
      </w:r>
      <w:r>
        <w:rPr>
          <w:rFonts w:ascii="Gill Sans MT" w:hAnsi="Gill Sans MT"/>
          <w:sz w:val="20"/>
          <w:szCs w:val="12"/>
        </w:rPr>
        <w:t>ed to domestically financed</w:t>
      </w:r>
      <w:r w:rsidR="00966064">
        <w:rPr>
          <w:rFonts w:ascii="Gill Sans MT" w:hAnsi="Gill Sans MT"/>
          <w:sz w:val="20"/>
          <w:szCs w:val="12"/>
        </w:rPr>
        <w:t xml:space="preserve"> </w:t>
      </w:r>
      <w:r w:rsidR="00A87198">
        <w:rPr>
          <w:rFonts w:ascii="Gill Sans MT" w:hAnsi="Gill Sans MT"/>
          <w:sz w:val="20"/>
          <w:szCs w:val="12"/>
        </w:rPr>
        <w:t xml:space="preserve">investment expenditures, this </w:t>
      </w:r>
      <w:r w:rsidR="00375899">
        <w:rPr>
          <w:rFonts w:ascii="Gill Sans MT" w:hAnsi="Gill Sans MT"/>
          <w:sz w:val="20"/>
          <w:szCs w:val="12"/>
        </w:rPr>
        <w:t>contri</w:t>
      </w:r>
      <w:r w:rsidR="002A4680">
        <w:rPr>
          <w:rFonts w:ascii="Gill Sans MT" w:hAnsi="Gill Sans MT"/>
          <w:sz w:val="20"/>
          <w:szCs w:val="12"/>
        </w:rPr>
        <w:t>b</w:t>
      </w:r>
      <w:r w:rsidR="00A87198">
        <w:rPr>
          <w:rFonts w:ascii="Gill Sans MT" w:hAnsi="Gill Sans MT"/>
          <w:sz w:val="20"/>
          <w:szCs w:val="12"/>
        </w:rPr>
        <w:t xml:space="preserve">uted to asset creation and </w:t>
      </w:r>
      <w:r>
        <w:rPr>
          <w:rFonts w:ascii="Gill Sans MT" w:hAnsi="Gill Sans MT"/>
          <w:sz w:val="20"/>
          <w:szCs w:val="12"/>
        </w:rPr>
        <w:t xml:space="preserve">helped to address infrastructure constraints, with a positive effect on productivity. </w:t>
      </w:r>
    </w:p>
    <w:p w14:paraId="4D143FAF" w14:textId="77777777" w:rsidR="00DF5284" w:rsidRDefault="000514E9" w:rsidP="00D81DB3">
      <w:pPr>
        <w:pStyle w:val="BodyText"/>
        <w:numPr>
          <w:ilvl w:val="0"/>
          <w:numId w:val="21"/>
        </w:numPr>
        <w:spacing w:line="360" w:lineRule="auto"/>
        <w:rPr>
          <w:rFonts w:ascii="Gill Sans MT" w:hAnsi="Gill Sans MT"/>
          <w:sz w:val="20"/>
          <w:szCs w:val="12"/>
        </w:rPr>
      </w:pPr>
      <w:r>
        <w:rPr>
          <w:rFonts w:ascii="Gill Sans MT" w:hAnsi="Gill Sans MT"/>
          <w:sz w:val="20"/>
          <w:szCs w:val="12"/>
        </w:rPr>
        <w:t>Thirdly, by permitting higher spending in conjunction with sustainable fiscal def</w:t>
      </w:r>
      <w:r w:rsidR="00A87198">
        <w:rPr>
          <w:rFonts w:ascii="Gill Sans MT" w:hAnsi="Gill Sans MT"/>
          <w:sz w:val="20"/>
          <w:szCs w:val="12"/>
        </w:rPr>
        <w:t xml:space="preserve">icits, budget support </w:t>
      </w:r>
      <w:r>
        <w:rPr>
          <w:rFonts w:ascii="Gill Sans MT" w:hAnsi="Gill Sans MT"/>
          <w:sz w:val="20"/>
          <w:szCs w:val="12"/>
        </w:rPr>
        <w:t xml:space="preserve">contributed to macroeconomic stability and thus to private sector confidence, giving </w:t>
      </w:r>
      <w:r w:rsidR="00966064">
        <w:rPr>
          <w:rFonts w:ascii="Gill Sans MT" w:hAnsi="Gill Sans MT"/>
          <w:sz w:val="20"/>
          <w:szCs w:val="12"/>
        </w:rPr>
        <w:t>a boost to both domestic invest</w:t>
      </w:r>
      <w:r>
        <w:rPr>
          <w:rFonts w:ascii="Gill Sans MT" w:hAnsi="Gill Sans MT"/>
          <w:sz w:val="20"/>
          <w:szCs w:val="12"/>
        </w:rPr>
        <w:t>m</w:t>
      </w:r>
      <w:r w:rsidR="00966064">
        <w:rPr>
          <w:rFonts w:ascii="Gill Sans MT" w:hAnsi="Gill Sans MT"/>
          <w:sz w:val="20"/>
          <w:szCs w:val="12"/>
        </w:rPr>
        <w:t>e</w:t>
      </w:r>
      <w:r>
        <w:rPr>
          <w:rFonts w:ascii="Gill Sans MT" w:hAnsi="Gill Sans MT"/>
          <w:sz w:val="20"/>
          <w:szCs w:val="12"/>
        </w:rPr>
        <w:t xml:space="preserve">nt and foreign direct investment (FDI). </w:t>
      </w:r>
      <w:r w:rsidR="00DF5284">
        <w:rPr>
          <w:rFonts w:ascii="Gill Sans MT" w:hAnsi="Gill Sans MT"/>
          <w:sz w:val="20"/>
          <w:szCs w:val="12"/>
        </w:rPr>
        <w:t>In Mali, a focus group of national businessmen also stated that the existence of o</w:t>
      </w:r>
      <w:r w:rsidR="00966064">
        <w:rPr>
          <w:rFonts w:ascii="Gill Sans MT" w:hAnsi="Gill Sans MT"/>
          <w:sz w:val="20"/>
          <w:szCs w:val="12"/>
        </w:rPr>
        <w:t>ngoing budget support operations</w:t>
      </w:r>
      <w:r w:rsidR="00DF5284">
        <w:rPr>
          <w:rFonts w:ascii="Gill Sans MT" w:hAnsi="Gill Sans MT"/>
          <w:sz w:val="20"/>
          <w:szCs w:val="12"/>
        </w:rPr>
        <w:t xml:space="preserve"> promoted external confidence in the economy, facilitating trading and cross-border financing arrangements.</w:t>
      </w:r>
    </w:p>
    <w:p w14:paraId="1CDBEE53" w14:textId="77777777" w:rsidR="00DF5284" w:rsidRPr="00345CD7" w:rsidRDefault="00DF5284" w:rsidP="00345CD7">
      <w:pPr>
        <w:pStyle w:val="BodyText"/>
        <w:numPr>
          <w:ilvl w:val="0"/>
          <w:numId w:val="2"/>
        </w:numPr>
        <w:spacing w:line="360" w:lineRule="auto"/>
        <w:ind w:left="499" w:hanging="357"/>
        <w:rPr>
          <w:rFonts w:ascii="Gill Sans MT" w:hAnsi="Gill Sans MT"/>
          <w:sz w:val="20"/>
          <w:szCs w:val="12"/>
        </w:rPr>
      </w:pPr>
      <w:r w:rsidRPr="00345CD7">
        <w:rPr>
          <w:rFonts w:ascii="Gill Sans MT" w:hAnsi="Gill Sans MT"/>
          <w:sz w:val="20"/>
          <w:szCs w:val="12"/>
        </w:rPr>
        <w:t>None of the evaluation</w:t>
      </w:r>
      <w:r w:rsidR="00F86BC0">
        <w:rPr>
          <w:rFonts w:ascii="Gill Sans MT" w:hAnsi="Gill Sans MT"/>
          <w:sz w:val="20"/>
          <w:szCs w:val="12"/>
        </w:rPr>
        <w:t>s formally test these relationships</w:t>
      </w:r>
      <w:r w:rsidRPr="00345CD7">
        <w:rPr>
          <w:rFonts w:ascii="Gill Sans MT" w:hAnsi="Gill Sans MT"/>
          <w:sz w:val="20"/>
          <w:szCs w:val="12"/>
        </w:rPr>
        <w:t xml:space="preserve"> through m</w:t>
      </w:r>
      <w:r w:rsidR="00F86BC0">
        <w:rPr>
          <w:rFonts w:ascii="Gill Sans MT" w:hAnsi="Gill Sans MT"/>
          <w:sz w:val="20"/>
          <w:szCs w:val="12"/>
        </w:rPr>
        <w:t xml:space="preserve">acroeconomic modelling or </w:t>
      </w:r>
      <w:r w:rsidRPr="00345CD7">
        <w:rPr>
          <w:rFonts w:ascii="Gill Sans MT" w:hAnsi="Gill Sans MT"/>
          <w:sz w:val="20"/>
          <w:szCs w:val="12"/>
        </w:rPr>
        <w:t>quantitativ</w:t>
      </w:r>
      <w:r w:rsidR="00F86BC0">
        <w:rPr>
          <w:rFonts w:ascii="Gill Sans MT" w:hAnsi="Gill Sans MT"/>
          <w:sz w:val="20"/>
          <w:szCs w:val="12"/>
        </w:rPr>
        <w:t xml:space="preserve">e analysis, relying </w:t>
      </w:r>
      <w:r w:rsidRPr="00345CD7">
        <w:rPr>
          <w:rFonts w:ascii="Gill Sans MT" w:hAnsi="Gill Sans MT"/>
          <w:sz w:val="20"/>
          <w:szCs w:val="12"/>
        </w:rPr>
        <w:t>on a theory-based analysis supported by the testaments of well-informed commentators such as the IMF, the Central Bank and national businessmen. Nevertheless, the macroeconomic phen</w:t>
      </w:r>
      <w:r w:rsidR="00375899" w:rsidRPr="00345CD7">
        <w:rPr>
          <w:rFonts w:ascii="Gill Sans MT" w:hAnsi="Gill Sans MT"/>
          <w:sz w:val="20"/>
          <w:szCs w:val="12"/>
        </w:rPr>
        <w:t xml:space="preserve">omena that might have </w:t>
      </w:r>
      <w:r w:rsidRPr="00345CD7">
        <w:rPr>
          <w:rFonts w:ascii="Gill Sans MT" w:hAnsi="Gill Sans MT"/>
          <w:sz w:val="20"/>
          <w:szCs w:val="12"/>
        </w:rPr>
        <w:t>offset the positive benefits of a foreign exchange inflow through budget support were no</w:t>
      </w:r>
      <w:r w:rsidR="00375899" w:rsidRPr="00345CD7">
        <w:rPr>
          <w:rFonts w:ascii="Gill Sans MT" w:hAnsi="Gill Sans MT"/>
          <w:sz w:val="20"/>
          <w:szCs w:val="12"/>
        </w:rPr>
        <w:t xml:space="preserve">t </w:t>
      </w:r>
      <w:r w:rsidRPr="00345CD7">
        <w:rPr>
          <w:rFonts w:ascii="Gill Sans MT" w:hAnsi="Gill Sans MT"/>
          <w:sz w:val="20"/>
          <w:szCs w:val="12"/>
        </w:rPr>
        <w:t>present, with each country maintaining inflation in single digits, achieving ste</w:t>
      </w:r>
      <w:r w:rsidR="005B5FBF" w:rsidRPr="00345CD7">
        <w:rPr>
          <w:rFonts w:ascii="Gill Sans MT" w:hAnsi="Gill Sans MT"/>
          <w:sz w:val="20"/>
          <w:szCs w:val="12"/>
        </w:rPr>
        <w:t>ad</w:t>
      </w:r>
      <w:r w:rsidRPr="00345CD7">
        <w:rPr>
          <w:rFonts w:ascii="Gill Sans MT" w:hAnsi="Gill Sans MT"/>
          <w:sz w:val="20"/>
          <w:szCs w:val="12"/>
        </w:rPr>
        <w:t>y increases in the ratio of</w:t>
      </w:r>
      <w:r w:rsidR="005B5FBF" w:rsidRPr="00345CD7">
        <w:rPr>
          <w:rFonts w:ascii="Gill Sans MT" w:hAnsi="Gill Sans MT"/>
          <w:sz w:val="20"/>
          <w:szCs w:val="12"/>
        </w:rPr>
        <w:t xml:space="preserve"> private sector c</w:t>
      </w:r>
      <w:r w:rsidR="00B746B6" w:rsidRPr="00345CD7">
        <w:rPr>
          <w:rFonts w:ascii="Gill Sans MT" w:hAnsi="Gill Sans MT"/>
          <w:sz w:val="20"/>
          <w:szCs w:val="12"/>
        </w:rPr>
        <w:t>r</w:t>
      </w:r>
      <w:r w:rsidR="005B5FBF" w:rsidRPr="00345CD7">
        <w:rPr>
          <w:rFonts w:ascii="Gill Sans MT" w:hAnsi="Gill Sans MT"/>
          <w:sz w:val="20"/>
          <w:szCs w:val="12"/>
        </w:rPr>
        <w:t>edit to GDP, and suffering only modest appreciations in the re</w:t>
      </w:r>
      <w:r w:rsidR="00375899" w:rsidRPr="00345CD7">
        <w:rPr>
          <w:rFonts w:ascii="Gill Sans MT" w:hAnsi="Gill Sans MT"/>
          <w:sz w:val="20"/>
          <w:szCs w:val="12"/>
        </w:rPr>
        <w:t>al exchange rate. The</w:t>
      </w:r>
      <w:r w:rsidR="005B5FBF" w:rsidRPr="00345CD7">
        <w:rPr>
          <w:rFonts w:ascii="Gill Sans MT" w:hAnsi="Gill Sans MT"/>
          <w:sz w:val="20"/>
          <w:szCs w:val="12"/>
        </w:rPr>
        <w:t xml:space="preserve"> finding that budget support has a modest positive effect on economic growth is supported by the </w:t>
      </w:r>
      <w:r w:rsidR="005B5FBF" w:rsidRPr="00345CD7">
        <w:rPr>
          <w:rFonts w:ascii="Gill Sans MT" w:hAnsi="Gill Sans MT"/>
          <w:sz w:val="20"/>
          <w:szCs w:val="12"/>
        </w:rPr>
        <w:lastRenderedPageBreak/>
        <w:t>wider literature on aid and growth, on which IOB, 2013 finds that ‘</w:t>
      </w:r>
      <w:r w:rsidR="005B5FBF" w:rsidRPr="00345CD7">
        <w:rPr>
          <w:rFonts w:ascii="Gill Sans MT" w:hAnsi="Gill Sans MT"/>
          <w:i/>
          <w:sz w:val="20"/>
          <w:szCs w:val="12"/>
        </w:rPr>
        <w:t>the most rigorous studies show a positive, long-term effect.</w:t>
      </w:r>
      <w:r w:rsidR="005B5FBF" w:rsidRPr="00345CD7">
        <w:rPr>
          <w:rFonts w:ascii="Gill Sans MT" w:hAnsi="Gill Sans MT"/>
          <w:sz w:val="20"/>
          <w:szCs w:val="12"/>
        </w:rPr>
        <w:t>’</w:t>
      </w:r>
    </w:p>
    <w:p w14:paraId="3C52A026" w14:textId="77777777" w:rsidR="000514E9" w:rsidRDefault="00F26203" w:rsidP="00966064">
      <w:pPr>
        <w:pStyle w:val="BodyText"/>
        <w:numPr>
          <w:ilvl w:val="0"/>
          <w:numId w:val="2"/>
        </w:numPr>
        <w:spacing w:line="360" w:lineRule="auto"/>
        <w:ind w:left="499" w:hanging="357"/>
        <w:rPr>
          <w:rFonts w:ascii="Gill Sans MT" w:hAnsi="Gill Sans MT"/>
          <w:sz w:val="20"/>
          <w:szCs w:val="12"/>
        </w:rPr>
      </w:pPr>
      <w:r>
        <w:rPr>
          <w:rFonts w:ascii="Gill Sans MT" w:hAnsi="Gill Sans MT"/>
          <w:b/>
          <w:sz w:val="20"/>
          <w:szCs w:val="12"/>
        </w:rPr>
        <w:t xml:space="preserve">The evaluations also </w:t>
      </w:r>
      <w:r w:rsidR="005B5FBF" w:rsidRPr="005B5FBF">
        <w:rPr>
          <w:rFonts w:ascii="Gill Sans MT" w:hAnsi="Gill Sans MT"/>
          <w:b/>
          <w:sz w:val="20"/>
          <w:szCs w:val="12"/>
        </w:rPr>
        <w:t>conclude that the effects on growth would have been greater if budget support could have induced more effective government action to improve the business environment and to address infrastructure constraints more effectively</w:t>
      </w:r>
      <w:r w:rsidR="005B5FBF">
        <w:rPr>
          <w:rFonts w:ascii="Gill Sans MT" w:hAnsi="Gill Sans MT"/>
          <w:sz w:val="20"/>
          <w:szCs w:val="12"/>
        </w:rPr>
        <w:t xml:space="preserve">. None of the four countries achieved any significant improvement in Doing Business Indicators or in Global Competitiveness Indicators. </w:t>
      </w:r>
      <w:r w:rsidR="003940F3">
        <w:rPr>
          <w:rFonts w:ascii="Gill Sans MT" w:hAnsi="Gill Sans MT"/>
          <w:sz w:val="20"/>
          <w:szCs w:val="12"/>
        </w:rPr>
        <w:t xml:space="preserve">Private sector focus groups in Tanzania and Mali reported that </w:t>
      </w:r>
      <w:r w:rsidR="0026263C">
        <w:rPr>
          <w:rFonts w:ascii="Gill Sans MT" w:hAnsi="Gill Sans MT"/>
          <w:sz w:val="20"/>
          <w:szCs w:val="12"/>
        </w:rPr>
        <w:t>energy constraints</w:t>
      </w:r>
      <w:r w:rsidR="003940F3" w:rsidRPr="003940F3">
        <w:rPr>
          <w:rFonts w:ascii="Gill Sans MT" w:hAnsi="Gill Sans MT"/>
          <w:sz w:val="20"/>
          <w:szCs w:val="12"/>
        </w:rPr>
        <w:t xml:space="preserve"> </w:t>
      </w:r>
      <w:r w:rsidR="003940F3">
        <w:rPr>
          <w:rFonts w:ascii="Gill Sans MT" w:hAnsi="Gill Sans MT"/>
          <w:sz w:val="20"/>
          <w:szCs w:val="12"/>
        </w:rPr>
        <w:t>were a perennial problem</w:t>
      </w:r>
      <w:r w:rsidR="0026263C">
        <w:rPr>
          <w:rFonts w:ascii="Gill Sans MT" w:hAnsi="Gill Sans MT"/>
          <w:sz w:val="20"/>
          <w:szCs w:val="12"/>
        </w:rPr>
        <w:t xml:space="preserve"> - due both to limited coverage of rural electrification programmes and frequen</w:t>
      </w:r>
      <w:r w:rsidR="003940F3">
        <w:rPr>
          <w:rFonts w:ascii="Gill Sans MT" w:hAnsi="Gill Sans MT"/>
          <w:sz w:val="20"/>
          <w:szCs w:val="12"/>
        </w:rPr>
        <w:t>t power outages in urban areas</w:t>
      </w:r>
      <w:r w:rsidR="0026263C">
        <w:rPr>
          <w:rFonts w:ascii="Gill Sans MT" w:hAnsi="Gill Sans MT"/>
          <w:sz w:val="20"/>
          <w:szCs w:val="12"/>
        </w:rPr>
        <w:t>.</w:t>
      </w:r>
    </w:p>
    <w:p w14:paraId="48D69BE9" w14:textId="77777777" w:rsidR="00966064" w:rsidRPr="0096065B" w:rsidRDefault="0096065B" w:rsidP="00966064">
      <w:pPr>
        <w:pStyle w:val="BodyText"/>
        <w:numPr>
          <w:ilvl w:val="0"/>
          <w:numId w:val="2"/>
        </w:numPr>
        <w:spacing w:line="360" w:lineRule="auto"/>
        <w:ind w:left="499" w:hanging="357"/>
        <w:rPr>
          <w:rFonts w:ascii="Gill Sans MT" w:hAnsi="Gill Sans MT"/>
          <w:sz w:val="20"/>
          <w:szCs w:val="12"/>
        </w:rPr>
      </w:pPr>
      <w:r>
        <w:rPr>
          <w:rFonts w:ascii="Gill Sans MT" w:hAnsi="Gill Sans MT"/>
          <w:b/>
          <w:sz w:val="20"/>
          <w:szCs w:val="12"/>
        </w:rPr>
        <w:t xml:space="preserve">With regard to trends in income poverty, the findings are less favourable, with Mali being the only country to experience a significant reduction during the evaluation period. </w:t>
      </w:r>
      <w:r w:rsidRPr="0096065B">
        <w:rPr>
          <w:rFonts w:ascii="Gill Sans MT" w:hAnsi="Gill Sans MT"/>
          <w:sz w:val="20"/>
          <w:szCs w:val="12"/>
        </w:rPr>
        <w:t>The details are as follows:</w:t>
      </w:r>
      <w:r>
        <w:rPr>
          <w:rFonts w:ascii="Gill Sans MT" w:hAnsi="Gill Sans MT"/>
          <w:b/>
          <w:sz w:val="20"/>
          <w:szCs w:val="12"/>
        </w:rPr>
        <w:t xml:space="preserve"> </w:t>
      </w:r>
    </w:p>
    <w:p w14:paraId="6C2805C5" w14:textId="77777777" w:rsidR="00375899" w:rsidRDefault="00375899" w:rsidP="00D81DB3">
      <w:pPr>
        <w:pStyle w:val="BodyText"/>
        <w:numPr>
          <w:ilvl w:val="0"/>
          <w:numId w:val="22"/>
        </w:numPr>
        <w:spacing w:line="360" w:lineRule="auto"/>
        <w:rPr>
          <w:rFonts w:ascii="Gill Sans MT" w:hAnsi="Gill Sans MT"/>
          <w:sz w:val="20"/>
          <w:szCs w:val="12"/>
        </w:rPr>
      </w:pPr>
      <w:r w:rsidRPr="00375899">
        <w:rPr>
          <w:rFonts w:ascii="Gill Sans MT" w:hAnsi="Gill Sans MT"/>
          <w:sz w:val="20"/>
          <w:szCs w:val="12"/>
        </w:rPr>
        <w:t>In</w:t>
      </w:r>
      <w:r>
        <w:rPr>
          <w:rFonts w:ascii="Gill Sans MT" w:hAnsi="Gill Sans MT"/>
          <w:b/>
          <w:sz w:val="20"/>
          <w:szCs w:val="12"/>
        </w:rPr>
        <w:t xml:space="preserve"> Mozambique, </w:t>
      </w:r>
      <w:r>
        <w:rPr>
          <w:rFonts w:ascii="Gill Sans MT" w:hAnsi="Gill Sans MT"/>
          <w:sz w:val="20"/>
          <w:szCs w:val="12"/>
        </w:rPr>
        <w:t>there was no statistically significant change in poverty between the early and the late 2000s, with 54.1% of the population reported below the poverty line in 2003 and 54.7% in 2009, according to the official poverty figures.</w:t>
      </w:r>
    </w:p>
    <w:p w14:paraId="56724562" w14:textId="77777777" w:rsidR="007D0324" w:rsidRDefault="00375899" w:rsidP="00D81DB3">
      <w:pPr>
        <w:pStyle w:val="BodyText"/>
        <w:numPr>
          <w:ilvl w:val="0"/>
          <w:numId w:val="22"/>
        </w:numPr>
        <w:spacing w:line="360" w:lineRule="auto"/>
        <w:rPr>
          <w:rFonts w:ascii="Gill Sans MT" w:hAnsi="Gill Sans MT"/>
          <w:sz w:val="20"/>
          <w:szCs w:val="12"/>
        </w:rPr>
      </w:pPr>
      <w:r>
        <w:rPr>
          <w:rFonts w:ascii="Gill Sans MT" w:hAnsi="Gill Sans MT"/>
          <w:sz w:val="20"/>
          <w:szCs w:val="12"/>
        </w:rPr>
        <w:t xml:space="preserve">In </w:t>
      </w:r>
      <w:r w:rsidRPr="00375899">
        <w:rPr>
          <w:rFonts w:ascii="Gill Sans MT" w:hAnsi="Gill Sans MT"/>
          <w:b/>
          <w:sz w:val="20"/>
          <w:szCs w:val="12"/>
        </w:rPr>
        <w:t>Tanzania</w:t>
      </w:r>
      <w:r w:rsidR="007D0324">
        <w:rPr>
          <w:rFonts w:ascii="Gill Sans MT" w:hAnsi="Gill Sans MT"/>
          <w:sz w:val="20"/>
          <w:szCs w:val="12"/>
        </w:rPr>
        <w:t>, the 2007 Household Budget Survey estimated that the proportion of the population living below the poverty line decreased from 35.6% in 2001 to 33.3% in 2007, an estimated decline within the boundaries of statistical error.</w:t>
      </w:r>
    </w:p>
    <w:p w14:paraId="78DCB350" w14:textId="77777777" w:rsidR="00C17A8B" w:rsidRDefault="00A24FA5" w:rsidP="00D81DB3">
      <w:pPr>
        <w:pStyle w:val="BodyText"/>
        <w:numPr>
          <w:ilvl w:val="0"/>
          <w:numId w:val="22"/>
        </w:numPr>
        <w:spacing w:line="360" w:lineRule="auto"/>
        <w:rPr>
          <w:rFonts w:ascii="Gill Sans MT" w:hAnsi="Gill Sans MT"/>
          <w:sz w:val="20"/>
          <w:szCs w:val="12"/>
        </w:rPr>
      </w:pPr>
      <w:r>
        <w:rPr>
          <w:rFonts w:ascii="Gill Sans MT" w:hAnsi="Gill Sans MT"/>
          <w:sz w:val="20"/>
          <w:szCs w:val="12"/>
        </w:rPr>
        <w:t xml:space="preserve">In </w:t>
      </w:r>
      <w:r w:rsidRPr="00A24FA5">
        <w:rPr>
          <w:rFonts w:ascii="Gill Sans MT" w:hAnsi="Gill Sans MT"/>
          <w:b/>
          <w:sz w:val="20"/>
          <w:szCs w:val="12"/>
        </w:rPr>
        <w:t>Zambia</w:t>
      </w:r>
      <w:r>
        <w:rPr>
          <w:rFonts w:ascii="Gill Sans MT" w:hAnsi="Gill Sans MT"/>
          <w:b/>
          <w:sz w:val="20"/>
          <w:szCs w:val="12"/>
        </w:rPr>
        <w:t xml:space="preserve">, </w:t>
      </w:r>
      <w:r w:rsidRPr="00A24FA5">
        <w:rPr>
          <w:rFonts w:ascii="Gill Sans MT" w:hAnsi="Gill Sans MT"/>
          <w:sz w:val="20"/>
          <w:szCs w:val="12"/>
        </w:rPr>
        <w:t>according to official statistics the proportion of the population living below the poverty line fell from</w:t>
      </w:r>
      <w:r>
        <w:rPr>
          <w:rFonts w:ascii="Gill Sans MT" w:hAnsi="Gill Sans MT"/>
          <w:b/>
          <w:sz w:val="20"/>
          <w:szCs w:val="12"/>
        </w:rPr>
        <w:t xml:space="preserve"> </w:t>
      </w:r>
      <w:r>
        <w:rPr>
          <w:rFonts w:ascii="Gill Sans MT" w:hAnsi="Gill Sans MT"/>
          <w:sz w:val="20"/>
          <w:szCs w:val="12"/>
        </w:rPr>
        <w:t>73% in 1998 to 68% in 2004 and 64% in 2006. This modest overall change was driven predominantly by reductions in the proportion of the urban population living in poverty, which fell from 56% (1998) to 53% (2004) to 34% in 2006. Rural poverty remained largely unchanged at 83%, 78% and 80% respectively.</w:t>
      </w:r>
    </w:p>
    <w:p w14:paraId="45D807C9" w14:textId="77777777" w:rsidR="0096065B" w:rsidRPr="00C17A8B" w:rsidRDefault="00C17A8B" w:rsidP="00D81DB3">
      <w:pPr>
        <w:pStyle w:val="BodyText"/>
        <w:numPr>
          <w:ilvl w:val="0"/>
          <w:numId w:val="22"/>
        </w:numPr>
        <w:spacing w:line="360" w:lineRule="auto"/>
        <w:rPr>
          <w:rFonts w:ascii="Gill Sans MT" w:hAnsi="Gill Sans MT"/>
          <w:b/>
          <w:sz w:val="20"/>
          <w:szCs w:val="12"/>
        </w:rPr>
      </w:pPr>
      <w:r w:rsidRPr="00C17A8B">
        <w:rPr>
          <w:rFonts w:ascii="Gill Sans MT" w:hAnsi="Gill Sans MT"/>
          <w:b/>
          <w:sz w:val="20"/>
          <w:szCs w:val="12"/>
        </w:rPr>
        <w:t>Mali</w:t>
      </w:r>
      <w:r>
        <w:rPr>
          <w:rFonts w:ascii="Gill Sans MT" w:hAnsi="Gill Sans MT"/>
          <w:b/>
          <w:sz w:val="20"/>
          <w:szCs w:val="12"/>
        </w:rPr>
        <w:t xml:space="preserve"> </w:t>
      </w:r>
      <w:r>
        <w:rPr>
          <w:rFonts w:ascii="Gill Sans MT" w:hAnsi="Gill Sans MT"/>
          <w:sz w:val="20"/>
          <w:szCs w:val="12"/>
        </w:rPr>
        <w:t xml:space="preserve">is the only country which reports significant reductions in income poverty, with official statistics reporting 61% of the population under the poverty line in 2000, declining to 51% in 2005. The World Bank’s WDI estimates a poverty headcount of 43.6 % in 2010 suggesting a continuation of the downward trend </w:t>
      </w:r>
      <w:r w:rsidRPr="00C17A8B">
        <w:rPr>
          <w:rFonts w:ascii="Gill Sans MT" w:hAnsi="Gill Sans MT"/>
          <w:sz w:val="20"/>
          <w:szCs w:val="12"/>
        </w:rPr>
        <w:t xml:space="preserve">reported in the evaluation. </w:t>
      </w:r>
    </w:p>
    <w:p w14:paraId="0BAF9073" w14:textId="77777777" w:rsidR="00C17A8B" w:rsidRDefault="00DC2BCE" w:rsidP="00C17A8B">
      <w:pPr>
        <w:pStyle w:val="BodyText"/>
        <w:numPr>
          <w:ilvl w:val="0"/>
          <w:numId w:val="2"/>
        </w:numPr>
        <w:spacing w:line="360" w:lineRule="auto"/>
        <w:ind w:left="499" w:hanging="357"/>
        <w:rPr>
          <w:rFonts w:ascii="Gill Sans MT" w:hAnsi="Gill Sans MT"/>
          <w:sz w:val="20"/>
          <w:szCs w:val="12"/>
        </w:rPr>
      </w:pPr>
      <w:r>
        <w:rPr>
          <w:rFonts w:ascii="Gill Sans MT" w:hAnsi="Gill Sans MT"/>
          <w:sz w:val="20"/>
          <w:szCs w:val="12"/>
        </w:rPr>
        <w:t xml:space="preserve">The evaluations explain the limited impact on income poverty by reference to three factors. In the first place, the scale of budget support – at </w:t>
      </w:r>
      <w:r w:rsidR="00DA76B7">
        <w:rPr>
          <w:rFonts w:ascii="Gill Sans MT" w:hAnsi="Gill Sans MT"/>
          <w:sz w:val="20"/>
          <w:szCs w:val="12"/>
        </w:rPr>
        <w:t>1.5</w:t>
      </w:r>
      <w:r w:rsidR="00162951">
        <w:rPr>
          <w:rFonts w:ascii="Gill Sans MT" w:hAnsi="Gill Sans MT"/>
          <w:sz w:val="20"/>
          <w:szCs w:val="12"/>
        </w:rPr>
        <w:t>%</w:t>
      </w:r>
      <w:r w:rsidR="00DA76B7">
        <w:rPr>
          <w:rFonts w:ascii="Gill Sans MT" w:hAnsi="Gill Sans MT"/>
          <w:sz w:val="20"/>
          <w:szCs w:val="12"/>
        </w:rPr>
        <w:t xml:space="preserve"> to 4.5 % of GDP, although important, was still too modest to expect a significant short-term impact on poverty. Secondly, the bulk of increased public spending facilitated by budget support was directed to increased social sector spending, which might be expected to have a longer term impact on poverty but limited immediate effects on income growth or employment. Thirdly, none of the four countries </w:t>
      </w:r>
      <w:r w:rsidR="00631648">
        <w:rPr>
          <w:rFonts w:ascii="Gill Sans MT" w:hAnsi="Gill Sans MT"/>
          <w:sz w:val="20"/>
          <w:szCs w:val="12"/>
        </w:rPr>
        <w:t xml:space="preserve">followed a detailed set of public policies aimed at reducing income poverty. All had poverty reduction strategies but these were more in the nature of aspirational plans rather than </w:t>
      </w:r>
      <w:r w:rsidR="00605B16">
        <w:rPr>
          <w:rFonts w:ascii="Gill Sans MT" w:hAnsi="Gill Sans MT"/>
          <w:sz w:val="20"/>
          <w:szCs w:val="12"/>
        </w:rPr>
        <w:t xml:space="preserve">true </w:t>
      </w:r>
      <w:r w:rsidR="00605B16">
        <w:rPr>
          <w:rFonts w:ascii="Gill Sans MT" w:hAnsi="Gill Sans MT"/>
          <w:sz w:val="20"/>
          <w:szCs w:val="12"/>
        </w:rPr>
        <w:lastRenderedPageBreak/>
        <w:t>strategies</w:t>
      </w:r>
      <w:r w:rsidR="00631648">
        <w:rPr>
          <w:rFonts w:ascii="Gill Sans MT" w:hAnsi="Gill Sans MT"/>
          <w:sz w:val="20"/>
          <w:szCs w:val="12"/>
        </w:rPr>
        <w:t>. In particular, none of the four countries followed a coherent agriculture development strategy, aimed at accelerating agricultural growth and improving rural incomes.</w:t>
      </w:r>
    </w:p>
    <w:p w14:paraId="69454ADD" w14:textId="77777777" w:rsidR="00412D3C" w:rsidRPr="00412D3C" w:rsidRDefault="00412D3C" w:rsidP="00412D3C">
      <w:pPr>
        <w:pStyle w:val="BodyText"/>
        <w:numPr>
          <w:ilvl w:val="0"/>
          <w:numId w:val="2"/>
        </w:numPr>
        <w:spacing w:line="360" w:lineRule="auto"/>
        <w:ind w:left="499" w:hanging="357"/>
        <w:rPr>
          <w:rFonts w:ascii="Gill Sans MT" w:hAnsi="Gill Sans MT"/>
          <w:sz w:val="20"/>
          <w:szCs w:val="12"/>
        </w:rPr>
      </w:pPr>
      <w:r w:rsidRPr="002B253E">
        <w:rPr>
          <w:rFonts w:ascii="Gill Sans MT" w:hAnsi="Gill Sans MT"/>
          <w:b/>
          <w:sz w:val="20"/>
          <w:szCs w:val="12"/>
        </w:rPr>
        <w:t>Budget support did however have a significant effect on the reduction of non-income poverty and the improvement of social welfare</w:t>
      </w:r>
      <w:r w:rsidRPr="002B253E">
        <w:rPr>
          <w:rFonts w:ascii="Gill Sans MT" w:hAnsi="Gill Sans MT"/>
          <w:sz w:val="20"/>
          <w:szCs w:val="12"/>
        </w:rPr>
        <w:t>. This was directly related to the major gains achieved in the coverage of education and health services. The importance of these changes should not be underestimated : from a situation in the late 1990s, where universal primary education (UPE) was but a distant dream, Tanzania, Mozambique and Zambia are all now close to achieving and sustaining UPE, whilst also extending secondary education dramatically, so that it is no longer the preserve of a privileged 10% of the population. Mali is at an earlier stage in its development path but the gains made during the evaluation period were also transformational. As a consequence, each country has achieved significant improvements in the Human Development Index (HDI) during the evaluation period.</w:t>
      </w:r>
      <w:r>
        <w:rPr>
          <w:rFonts w:ascii="Gill Sans MT" w:hAnsi="Gill Sans MT"/>
          <w:sz w:val="20"/>
          <w:szCs w:val="12"/>
        </w:rPr>
        <w:t xml:space="preserve"> (Table 10</w:t>
      </w:r>
      <w:r w:rsidRPr="002B253E">
        <w:rPr>
          <w:rFonts w:ascii="Gill Sans MT" w:hAnsi="Gill Sans MT"/>
          <w:sz w:val="20"/>
          <w:szCs w:val="12"/>
        </w:rPr>
        <w:t>).</w:t>
      </w:r>
    </w:p>
    <w:p w14:paraId="2255FE3E" w14:textId="77777777" w:rsidR="00A81D81" w:rsidRDefault="00A81D81" w:rsidP="00A81D81">
      <w:pPr>
        <w:pStyle w:val="Caption"/>
        <w:jc w:val="center"/>
        <w:rPr>
          <w:lang w:val="en-GB"/>
        </w:rPr>
      </w:pPr>
      <w:bookmarkStart w:id="70" w:name="_Toc279848290"/>
      <w:r w:rsidRPr="00A81D81">
        <w:rPr>
          <w:lang w:val="en-GB"/>
        </w:rPr>
        <w:t xml:space="preserve">Table </w:t>
      </w:r>
      <w:r w:rsidRPr="00A81D81">
        <w:rPr>
          <w:lang w:val="en-GB"/>
        </w:rPr>
        <w:fldChar w:fldCharType="begin"/>
      </w:r>
      <w:r w:rsidRPr="00A81D81">
        <w:rPr>
          <w:lang w:val="en-GB"/>
        </w:rPr>
        <w:instrText xml:space="preserve"> SEQ Table \* ARABIC </w:instrText>
      </w:r>
      <w:r w:rsidRPr="00A81D81">
        <w:rPr>
          <w:lang w:val="en-GB"/>
        </w:rPr>
        <w:fldChar w:fldCharType="separate"/>
      </w:r>
      <w:r w:rsidR="00967582">
        <w:rPr>
          <w:noProof/>
          <w:lang w:val="en-GB"/>
        </w:rPr>
        <w:t>10</w:t>
      </w:r>
      <w:r w:rsidRPr="00A81D81">
        <w:rPr>
          <w:lang w:val="en-GB"/>
        </w:rPr>
        <w:fldChar w:fldCharType="end"/>
      </w:r>
      <w:r w:rsidRPr="00A81D81">
        <w:rPr>
          <w:lang w:val="en-GB"/>
        </w:rPr>
        <w:t xml:space="preserve">: Improvements in the Human Development Index, 2004 </w:t>
      </w:r>
      <w:r w:rsidR="00DD1FE2">
        <w:rPr>
          <w:lang w:val="en-GB"/>
        </w:rPr>
        <w:t>–</w:t>
      </w:r>
      <w:r w:rsidRPr="00A81D81">
        <w:rPr>
          <w:lang w:val="en-GB"/>
        </w:rPr>
        <w:t xml:space="preserve"> 2010</w:t>
      </w:r>
      <w:bookmarkEnd w:id="70"/>
    </w:p>
    <w:tbl>
      <w:tblPr>
        <w:tblStyle w:val="TableClassic2"/>
        <w:tblW w:w="0" w:type="auto"/>
        <w:tblLook w:val="04A0" w:firstRow="1" w:lastRow="0" w:firstColumn="1" w:lastColumn="0" w:noHBand="0" w:noVBand="1"/>
      </w:tblPr>
      <w:tblGrid>
        <w:gridCol w:w="3085"/>
        <w:gridCol w:w="1701"/>
        <w:gridCol w:w="2268"/>
        <w:gridCol w:w="1471"/>
      </w:tblGrid>
      <w:tr w:rsidR="00DD1FE2" w14:paraId="57211FD2" w14:textId="77777777" w:rsidTr="00DD1FE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85" w:type="dxa"/>
          </w:tcPr>
          <w:p w14:paraId="580750F6" w14:textId="77777777" w:rsidR="00DD1FE2" w:rsidRDefault="00DD1FE2" w:rsidP="007F53B6">
            <w:pPr>
              <w:rPr>
                <w:lang w:val="en-GB"/>
              </w:rPr>
            </w:pPr>
            <w:r>
              <w:rPr>
                <w:lang w:val="en-GB"/>
              </w:rPr>
              <w:t>UN Human Development Index (HDI)</w:t>
            </w:r>
          </w:p>
        </w:tc>
        <w:tc>
          <w:tcPr>
            <w:tcW w:w="1701" w:type="dxa"/>
          </w:tcPr>
          <w:p w14:paraId="2BB9CF4D" w14:textId="77777777" w:rsidR="00DD1FE2" w:rsidRDefault="00DD1FE2" w:rsidP="007F53B6">
            <w:pPr>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2004</w:t>
            </w:r>
          </w:p>
          <w:p w14:paraId="12527FF6" w14:textId="77777777" w:rsidR="00DD1FE2" w:rsidRDefault="00DD1FE2" w:rsidP="007F53B6">
            <w:pPr>
              <w:jc w:val="center"/>
              <w:cnfStyle w:val="100000000000" w:firstRow="1" w:lastRow="0" w:firstColumn="0" w:lastColumn="0" w:oddVBand="0" w:evenVBand="0" w:oddHBand="0" w:evenHBand="0" w:firstRowFirstColumn="0" w:firstRowLastColumn="0" w:lastRowFirstColumn="0" w:lastRowLastColumn="0"/>
              <w:rPr>
                <w:lang w:val="en-GB"/>
              </w:rPr>
            </w:pPr>
          </w:p>
        </w:tc>
        <w:tc>
          <w:tcPr>
            <w:tcW w:w="2268" w:type="dxa"/>
          </w:tcPr>
          <w:p w14:paraId="0203C2AF" w14:textId="77777777" w:rsidR="00DD1FE2" w:rsidRDefault="00DD1FE2" w:rsidP="007F53B6">
            <w:pPr>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2011</w:t>
            </w:r>
          </w:p>
        </w:tc>
        <w:tc>
          <w:tcPr>
            <w:tcW w:w="1471" w:type="dxa"/>
          </w:tcPr>
          <w:p w14:paraId="65505D88" w14:textId="77777777" w:rsidR="00DD1FE2" w:rsidRDefault="00DD1FE2" w:rsidP="007F53B6">
            <w:pPr>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Percentage Change</w:t>
            </w:r>
          </w:p>
        </w:tc>
      </w:tr>
      <w:tr w:rsidR="00DD1FE2" w14:paraId="66DFFAB1" w14:textId="77777777" w:rsidTr="00DD1FE2">
        <w:tc>
          <w:tcPr>
            <w:cnfStyle w:val="001000000000" w:firstRow="0" w:lastRow="0" w:firstColumn="1" w:lastColumn="0" w:oddVBand="0" w:evenVBand="0" w:oddHBand="0" w:evenHBand="0" w:firstRowFirstColumn="0" w:firstRowLastColumn="0" w:lastRowFirstColumn="0" w:lastRowLastColumn="0"/>
            <w:tcW w:w="3085" w:type="dxa"/>
          </w:tcPr>
          <w:p w14:paraId="2CCE9DF9" w14:textId="77777777" w:rsidR="00DD1FE2" w:rsidRDefault="00DD1FE2" w:rsidP="007F53B6">
            <w:pPr>
              <w:spacing w:line="360" w:lineRule="auto"/>
              <w:rPr>
                <w:lang w:val="en-GB"/>
              </w:rPr>
            </w:pPr>
            <w:r>
              <w:rPr>
                <w:lang w:val="en-GB"/>
              </w:rPr>
              <w:t>Mali</w:t>
            </w:r>
          </w:p>
        </w:tc>
        <w:tc>
          <w:tcPr>
            <w:tcW w:w="1701" w:type="dxa"/>
          </w:tcPr>
          <w:p w14:paraId="0D8F1567" w14:textId="77777777" w:rsidR="00DD1FE2" w:rsidRDefault="002A4680" w:rsidP="002A4680">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0.36</w:t>
            </w:r>
          </w:p>
          <w:p w14:paraId="4534CFE2" w14:textId="77777777" w:rsidR="002A4680" w:rsidRPr="005E3742" w:rsidRDefault="002A4680" w:rsidP="007F53B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(2003)</w:t>
            </w:r>
          </w:p>
        </w:tc>
        <w:tc>
          <w:tcPr>
            <w:tcW w:w="2268" w:type="dxa"/>
          </w:tcPr>
          <w:p w14:paraId="1617E52D" w14:textId="77777777" w:rsidR="00DD1FE2" w:rsidRDefault="002A4680" w:rsidP="002A4680">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0.40</w:t>
            </w:r>
          </w:p>
          <w:p w14:paraId="2DBF9B2F" w14:textId="77777777" w:rsidR="002A4680" w:rsidRPr="005E3742" w:rsidRDefault="002A4680" w:rsidP="007F53B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(2010)</w:t>
            </w:r>
          </w:p>
        </w:tc>
        <w:tc>
          <w:tcPr>
            <w:tcW w:w="1471" w:type="dxa"/>
          </w:tcPr>
          <w:p w14:paraId="2AB11784" w14:textId="77777777" w:rsidR="00DD1FE2" w:rsidRPr="005E3742" w:rsidRDefault="002A4680" w:rsidP="007F53B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+11%</w:t>
            </w:r>
          </w:p>
        </w:tc>
      </w:tr>
      <w:tr w:rsidR="00DD1FE2" w14:paraId="0A28BF90" w14:textId="77777777" w:rsidTr="00DD1FE2">
        <w:tc>
          <w:tcPr>
            <w:cnfStyle w:val="001000000000" w:firstRow="0" w:lastRow="0" w:firstColumn="1" w:lastColumn="0" w:oddVBand="0" w:evenVBand="0" w:oddHBand="0" w:evenHBand="0" w:firstRowFirstColumn="0" w:firstRowLastColumn="0" w:lastRowFirstColumn="0" w:lastRowLastColumn="0"/>
            <w:tcW w:w="3085" w:type="dxa"/>
          </w:tcPr>
          <w:p w14:paraId="39A14D0A" w14:textId="77777777" w:rsidR="00DD1FE2" w:rsidRDefault="00DD1FE2" w:rsidP="007F53B6">
            <w:pPr>
              <w:spacing w:line="360" w:lineRule="auto"/>
              <w:rPr>
                <w:lang w:val="en-GB"/>
              </w:rPr>
            </w:pPr>
            <w:r>
              <w:rPr>
                <w:lang w:val="en-GB"/>
              </w:rPr>
              <w:t>Mozambique</w:t>
            </w:r>
          </w:p>
        </w:tc>
        <w:tc>
          <w:tcPr>
            <w:tcW w:w="1701" w:type="dxa"/>
          </w:tcPr>
          <w:p w14:paraId="7C155252" w14:textId="77777777" w:rsidR="00DD1FE2" w:rsidRPr="005E3742" w:rsidRDefault="002A4680" w:rsidP="007F53B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0.34</w:t>
            </w:r>
          </w:p>
        </w:tc>
        <w:tc>
          <w:tcPr>
            <w:tcW w:w="2268" w:type="dxa"/>
          </w:tcPr>
          <w:p w14:paraId="5903FDE3" w14:textId="77777777" w:rsidR="00DD1FE2" w:rsidRPr="005E3742" w:rsidRDefault="002A4680" w:rsidP="007F53B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0.38</w:t>
            </w:r>
          </w:p>
        </w:tc>
        <w:tc>
          <w:tcPr>
            <w:tcW w:w="1471" w:type="dxa"/>
          </w:tcPr>
          <w:p w14:paraId="092FCF1A" w14:textId="77777777" w:rsidR="00DD1FE2" w:rsidRPr="005E3742" w:rsidRDefault="002A4680" w:rsidP="007F53B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+12%</w:t>
            </w:r>
          </w:p>
        </w:tc>
      </w:tr>
      <w:tr w:rsidR="00DD1FE2" w14:paraId="1760EF14" w14:textId="77777777" w:rsidTr="00DD1FE2">
        <w:tc>
          <w:tcPr>
            <w:cnfStyle w:val="001000000000" w:firstRow="0" w:lastRow="0" w:firstColumn="1" w:lastColumn="0" w:oddVBand="0" w:evenVBand="0" w:oddHBand="0" w:evenHBand="0" w:firstRowFirstColumn="0" w:firstRowLastColumn="0" w:lastRowFirstColumn="0" w:lastRowLastColumn="0"/>
            <w:tcW w:w="3085" w:type="dxa"/>
          </w:tcPr>
          <w:p w14:paraId="5849A3BE" w14:textId="77777777" w:rsidR="00DD1FE2" w:rsidRDefault="00DD1FE2" w:rsidP="007F53B6">
            <w:pPr>
              <w:spacing w:line="360" w:lineRule="auto"/>
              <w:rPr>
                <w:lang w:val="en-GB"/>
              </w:rPr>
            </w:pPr>
            <w:r>
              <w:rPr>
                <w:lang w:val="en-GB"/>
              </w:rPr>
              <w:t>Tanzania</w:t>
            </w:r>
          </w:p>
        </w:tc>
        <w:tc>
          <w:tcPr>
            <w:tcW w:w="1701" w:type="dxa"/>
          </w:tcPr>
          <w:p w14:paraId="1C1BA537" w14:textId="77777777" w:rsidR="00DD1FE2" w:rsidRPr="005E3742" w:rsidRDefault="002A4680" w:rsidP="007F53B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0.42</w:t>
            </w:r>
          </w:p>
        </w:tc>
        <w:tc>
          <w:tcPr>
            <w:tcW w:w="2268" w:type="dxa"/>
          </w:tcPr>
          <w:p w14:paraId="6B9DE5C0" w14:textId="77777777" w:rsidR="00DD1FE2" w:rsidRPr="005E3742" w:rsidRDefault="002A4680" w:rsidP="007F53B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0.48</w:t>
            </w:r>
          </w:p>
        </w:tc>
        <w:tc>
          <w:tcPr>
            <w:tcW w:w="1471" w:type="dxa"/>
          </w:tcPr>
          <w:p w14:paraId="2383EE7D" w14:textId="77777777" w:rsidR="00DD1FE2" w:rsidRPr="005E3742" w:rsidRDefault="002A4680" w:rsidP="007F53B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+14%</w:t>
            </w:r>
          </w:p>
        </w:tc>
      </w:tr>
      <w:tr w:rsidR="00DD1FE2" w14:paraId="440A8453" w14:textId="77777777" w:rsidTr="00DD1FE2">
        <w:tc>
          <w:tcPr>
            <w:cnfStyle w:val="001000000000" w:firstRow="0" w:lastRow="0" w:firstColumn="1" w:lastColumn="0" w:oddVBand="0" w:evenVBand="0" w:oddHBand="0" w:evenHBand="0" w:firstRowFirstColumn="0" w:firstRowLastColumn="0" w:lastRowFirstColumn="0" w:lastRowLastColumn="0"/>
            <w:tcW w:w="3085" w:type="dxa"/>
          </w:tcPr>
          <w:p w14:paraId="7CC0988C" w14:textId="77777777" w:rsidR="00DD1FE2" w:rsidRDefault="00DD1FE2" w:rsidP="007F53B6">
            <w:pPr>
              <w:spacing w:line="360" w:lineRule="auto"/>
              <w:rPr>
                <w:lang w:val="en-GB"/>
              </w:rPr>
            </w:pPr>
            <w:r>
              <w:rPr>
                <w:lang w:val="en-GB"/>
              </w:rPr>
              <w:t>Zambia</w:t>
            </w:r>
          </w:p>
        </w:tc>
        <w:tc>
          <w:tcPr>
            <w:tcW w:w="1701" w:type="dxa"/>
          </w:tcPr>
          <w:p w14:paraId="03A91B3D" w14:textId="77777777" w:rsidR="00DD1FE2" w:rsidRPr="005E3742" w:rsidRDefault="002A4680" w:rsidP="007F53B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0.47</w:t>
            </w:r>
          </w:p>
        </w:tc>
        <w:tc>
          <w:tcPr>
            <w:tcW w:w="2268" w:type="dxa"/>
          </w:tcPr>
          <w:p w14:paraId="0986A7B0" w14:textId="77777777" w:rsidR="00DD1FE2" w:rsidRPr="005E3742" w:rsidRDefault="002A4680" w:rsidP="007F53B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0.53</w:t>
            </w:r>
          </w:p>
        </w:tc>
        <w:tc>
          <w:tcPr>
            <w:tcW w:w="1471" w:type="dxa"/>
          </w:tcPr>
          <w:p w14:paraId="0DDBCB14" w14:textId="77777777" w:rsidR="00DD1FE2" w:rsidRPr="005E3742" w:rsidRDefault="002A4680" w:rsidP="007F53B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+13%</w:t>
            </w:r>
          </w:p>
        </w:tc>
      </w:tr>
      <w:tr w:rsidR="00DD1FE2" w14:paraId="36C39AB4" w14:textId="77777777" w:rsidTr="00DD1FE2">
        <w:tc>
          <w:tcPr>
            <w:cnfStyle w:val="001000000000" w:firstRow="0" w:lastRow="0" w:firstColumn="1" w:lastColumn="0" w:oddVBand="0" w:evenVBand="0" w:oddHBand="0" w:evenHBand="0" w:firstRowFirstColumn="0" w:firstRowLastColumn="0" w:lastRowFirstColumn="0" w:lastRowLastColumn="0"/>
            <w:tcW w:w="3085" w:type="dxa"/>
          </w:tcPr>
          <w:p w14:paraId="6283379F" w14:textId="77777777" w:rsidR="00DD1FE2" w:rsidRDefault="00DD1FE2" w:rsidP="007F53B6">
            <w:pPr>
              <w:spacing w:line="360" w:lineRule="auto"/>
              <w:rPr>
                <w:lang w:val="en-GB"/>
              </w:rPr>
            </w:pPr>
            <w:r>
              <w:rPr>
                <w:lang w:val="en-GB"/>
              </w:rPr>
              <w:t>Sub-Saharan Africa</w:t>
            </w:r>
          </w:p>
        </w:tc>
        <w:tc>
          <w:tcPr>
            <w:tcW w:w="1701" w:type="dxa"/>
          </w:tcPr>
          <w:p w14:paraId="5EF9B5F0" w14:textId="77777777" w:rsidR="00DD1FE2" w:rsidRPr="005E3742" w:rsidRDefault="002A4680" w:rsidP="007F53B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0.45</w:t>
            </w:r>
          </w:p>
        </w:tc>
        <w:tc>
          <w:tcPr>
            <w:tcW w:w="2268" w:type="dxa"/>
          </w:tcPr>
          <w:p w14:paraId="2CC59699" w14:textId="77777777" w:rsidR="00DD1FE2" w:rsidRPr="005E3742" w:rsidRDefault="002A4680" w:rsidP="007F53B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0.49</w:t>
            </w:r>
          </w:p>
        </w:tc>
        <w:tc>
          <w:tcPr>
            <w:tcW w:w="1471" w:type="dxa"/>
          </w:tcPr>
          <w:p w14:paraId="332F4054" w14:textId="77777777" w:rsidR="00DD1FE2" w:rsidRPr="005E3742" w:rsidRDefault="002A4680" w:rsidP="007F53B6">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+10%</w:t>
            </w:r>
          </w:p>
        </w:tc>
      </w:tr>
    </w:tbl>
    <w:p w14:paraId="0912AA1C" w14:textId="77777777" w:rsidR="00DD1FE2" w:rsidRDefault="00DD1FE2" w:rsidP="00DD1FE2">
      <w:pPr>
        <w:rPr>
          <w:rFonts w:ascii="Gill Sans MT" w:hAnsi="Gill Sans MT"/>
          <w:sz w:val="18"/>
          <w:szCs w:val="18"/>
          <w:lang w:val="en-GB"/>
        </w:rPr>
      </w:pPr>
      <w:r w:rsidRPr="005E3742">
        <w:rPr>
          <w:rFonts w:ascii="Gill Sans MT" w:hAnsi="Gill Sans MT"/>
          <w:sz w:val="18"/>
          <w:szCs w:val="18"/>
          <w:u w:val="single"/>
          <w:lang w:val="en-GB"/>
        </w:rPr>
        <w:t>Source</w:t>
      </w:r>
      <w:r>
        <w:rPr>
          <w:rFonts w:ascii="Gill Sans MT" w:hAnsi="Gill Sans MT"/>
          <w:sz w:val="18"/>
          <w:szCs w:val="18"/>
          <w:lang w:val="en-GB"/>
        </w:rPr>
        <w:t>: United Nations, Human Development Index, 2013</w:t>
      </w:r>
      <w:r w:rsidRPr="005E3742">
        <w:rPr>
          <w:rFonts w:ascii="Gill Sans MT" w:hAnsi="Gill Sans MT"/>
          <w:sz w:val="18"/>
          <w:szCs w:val="18"/>
          <w:lang w:val="en-GB"/>
        </w:rPr>
        <w:t>.</w:t>
      </w:r>
    </w:p>
    <w:p w14:paraId="2C14A8EC" w14:textId="77777777" w:rsidR="00412D3C" w:rsidRPr="005E3742" w:rsidRDefault="00412D3C" w:rsidP="00DD1FE2">
      <w:pPr>
        <w:rPr>
          <w:rFonts w:ascii="Gill Sans MT" w:hAnsi="Gill Sans MT"/>
          <w:sz w:val="18"/>
          <w:szCs w:val="18"/>
          <w:lang w:val="en-GB"/>
        </w:rPr>
      </w:pPr>
    </w:p>
    <w:p w14:paraId="2FA13AC8" w14:textId="77777777" w:rsidR="00C641E0" w:rsidRPr="007A37DB" w:rsidRDefault="00B56E6C" w:rsidP="007A37DB">
      <w:pPr>
        <w:pStyle w:val="Heading2"/>
        <w:rPr>
          <w:bCs w:val="0"/>
        </w:rPr>
      </w:pPr>
      <w:bookmarkStart w:id="71" w:name="_Toc279848245"/>
      <w:r>
        <w:rPr>
          <w:bCs w:val="0"/>
        </w:rPr>
        <w:t xml:space="preserve">2.4 </w:t>
      </w:r>
      <w:r w:rsidR="00F60929">
        <w:rPr>
          <w:bCs w:val="0"/>
        </w:rPr>
        <w:t>Conclusions</w:t>
      </w:r>
      <w:r w:rsidR="003F2369">
        <w:rPr>
          <w:bCs w:val="0"/>
        </w:rPr>
        <w:t xml:space="preserve"> on the experience of budget support in LICs</w:t>
      </w:r>
      <w:bookmarkEnd w:id="71"/>
    </w:p>
    <w:p w14:paraId="5758C45A" w14:textId="77777777" w:rsidR="007A37DB" w:rsidRPr="007A37DB" w:rsidRDefault="003F2369" w:rsidP="00C641E0">
      <w:pPr>
        <w:pStyle w:val="BodyText"/>
        <w:numPr>
          <w:ilvl w:val="0"/>
          <w:numId w:val="2"/>
        </w:numPr>
        <w:spacing w:line="360" w:lineRule="auto"/>
        <w:ind w:left="499" w:hanging="357"/>
        <w:rPr>
          <w:rFonts w:ascii="Gill Sans MT" w:hAnsi="Gill Sans MT"/>
          <w:sz w:val="20"/>
          <w:szCs w:val="12"/>
        </w:rPr>
      </w:pPr>
      <w:r>
        <w:rPr>
          <w:rFonts w:ascii="Gill Sans MT" w:hAnsi="Gill Sans MT"/>
          <w:sz w:val="20"/>
          <w:szCs w:val="12"/>
        </w:rPr>
        <w:t>In this section we summarise our overall conclusions regarding the outcomes of budget support in Mali, Mozambique, Tanzania and Zambia and their relationship to the context and the mechanisms. Fro</w:t>
      </w:r>
      <w:r w:rsidR="00F519F1">
        <w:rPr>
          <w:rFonts w:ascii="Gill Sans MT" w:hAnsi="Gill Sans MT"/>
          <w:sz w:val="20"/>
          <w:szCs w:val="12"/>
        </w:rPr>
        <w:t>m this analysis, we derive two</w:t>
      </w:r>
      <w:r>
        <w:rPr>
          <w:rFonts w:ascii="Gill Sans MT" w:hAnsi="Gill Sans MT"/>
          <w:sz w:val="20"/>
          <w:szCs w:val="12"/>
        </w:rPr>
        <w:t xml:space="preserve"> hypotheses, which we will test in Chapter 3 against the experience of budget support in Morocco, South Africa and Tunisia. </w:t>
      </w:r>
    </w:p>
    <w:p w14:paraId="0371854B" w14:textId="77777777" w:rsidR="00C641E0" w:rsidRPr="00C641E0" w:rsidRDefault="00C641E0" w:rsidP="00C641E0">
      <w:pPr>
        <w:pStyle w:val="Heading3"/>
      </w:pPr>
      <w:r w:rsidRPr="00A801B3">
        <w:t>Some significant achievements…</w:t>
      </w:r>
    </w:p>
    <w:p w14:paraId="3513447F" w14:textId="77777777" w:rsidR="00BF48DB" w:rsidRPr="00147472" w:rsidRDefault="00262E75" w:rsidP="007A37DB">
      <w:pPr>
        <w:pStyle w:val="BodyText"/>
        <w:numPr>
          <w:ilvl w:val="0"/>
          <w:numId w:val="2"/>
        </w:numPr>
        <w:spacing w:line="360" w:lineRule="auto"/>
        <w:ind w:left="499" w:hanging="357"/>
        <w:rPr>
          <w:rFonts w:ascii="Gill Sans MT" w:hAnsi="Gill Sans MT"/>
          <w:sz w:val="20"/>
          <w:szCs w:val="12"/>
        </w:rPr>
      </w:pPr>
      <w:r w:rsidRPr="007A37DB">
        <w:rPr>
          <w:rFonts w:ascii="Gill Sans MT" w:hAnsi="Gill Sans MT"/>
          <w:b/>
          <w:sz w:val="20"/>
          <w:szCs w:val="12"/>
        </w:rPr>
        <w:t>The expa</w:t>
      </w:r>
      <w:r w:rsidR="00B01998">
        <w:rPr>
          <w:rFonts w:ascii="Gill Sans MT" w:hAnsi="Gill Sans MT"/>
          <w:b/>
          <w:sz w:val="20"/>
          <w:szCs w:val="12"/>
        </w:rPr>
        <w:t>nsion of social service utilisation</w:t>
      </w:r>
      <w:r w:rsidRPr="007A37DB">
        <w:rPr>
          <w:rFonts w:ascii="Gill Sans MT" w:hAnsi="Gill Sans MT"/>
          <w:b/>
          <w:sz w:val="20"/>
          <w:szCs w:val="12"/>
        </w:rPr>
        <w:t xml:space="preserve"> has been the principal outcom</w:t>
      </w:r>
      <w:r w:rsidR="00147472" w:rsidRPr="007A37DB">
        <w:rPr>
          <w:rFonts w:ascii="Gill Sans MT" w:hAnsi="Gill Sans MT"/>
          <w:b/>
          <w:sz w:val="20"/>
          <w:szCs w:val="12"/>
        </w:rPr>
        <w:t>e</w:t>
      </w:r>
      <w:r w:rsidRPr="007A37DB">
        <w:rPr>
          <w:rFonts w:ascii="Gill Sans MT" w:hAnsi="Gill Sans MT"/>
          <w:b/>
          <w:sz w:val="20"/>
          <w:szCs w:val="12"/>
        </w:rPr>
        <w:t xml:space="preserve"> achieved through budget support in these four LICs</w:t>
      </w:r>
      <w:r w:rsidRPr="007A37DB">
        <w:rPr>
          <w:rFonts w:ascii="Gill Sans MT" w:hAnsi="Gill Sans MT"/>
          <w:sz w:val="20"/>
          <w:szCs w:val="12"/>
        </w:rPr>
        <w:t>.</w:t>
      </w:r>
      <w:r w:rsidRPr="00147472">
        <w:rPr>
          <w:rFonts w:ascii="Gill Sans MT" w:hAnsi="Gill Sans MT"/>
          <w:sz w:val="20"/>
          <w:szCs w:val="12"/>
        </w:rPr>
        <w:t xml:space="preserve"> There has been a major expansion of education coverage, as a result of which Mozambique, Tanzania and Zambia</w:t>
      </w:r>
      <w:r w:rsidR="00147472" w:rsidRPr="00147472">
        <w:rPr>
          <w:rFonts w:ascii="Gill Sans MT" w:hAnsi="Gill Sans MT"/>
          <w:sz w:val="20"/>
          <w:szCs w:val="12"/>
        </w:rPr>
        <w:t xml:space="preserve"> are now close to achieving sustained universal primary enrolment, while also substantially increasing access to secondary schooling. Mali has also made big steps in this direction, while simultaneosuly improving the coverage of health care services, as too has Zambia. The coverage of the national road network was also significantly extended in Zambia and Tanzania</w:t>
      </w:r>
      <w:r w:rsidR="00147472">
        <w:rPr>
          <w:rFonts w:ascii="Gill Sans MT" w:hAnsi="Gill Sans MT"/>
          <w:sz w:val="20"/>
          <w:szCs w:val="12"/>
        </w:rPr>
        <w:t xml:space="preserve">. The improved coverage of services </w:t>
      </w:r>
      <w:r w:rsidR="00831CB8">
        <w:rPr>
          <w:rFonts w:ascii="Gill Sans MT" w:hAnsi="Gill Sans MT"/>
          <w:sz w:val="20"/>
          <w:szCs w:val="12"/>
        </w:rPr>
        <w:t xml:space="preserve">resulted from </w:t>
      </w:r>
      <w:r w:rsidR="00147472">
        <w:rPr>
          <w:rFonts w:ascii="Gill Sans MT" w:hAnsi="Gill Sans MT"/>
          <w:sz w:val="20"/>
          <w:szCs w:val="12"/>
        </w:rPr>
        <w:t xml:space="preserve">the increased public spending on priority sectors, made possible by </w:t>
      </w:r>
      <w:r w:rsidR="00147472">
        <w:rPr>
          <w:rFonts w:ascii="Gill Sans MT" w:hAnsi="Gill Sans MT"/>
          <w:sz w:val="20"/>
          <w:szCs w:val="12"/>
        </w:rPr>
        <w:lastRenderedPageBreak/>
        <w:t>budget support funding, which in addition was able to “crowd in” an increased percentage of domestic resources for these sectors.</w:t>
      </w:r>
    </w:p>
    <w:p w14:paraId="3F378318" w14:textId="77777777" w:rsidR="00831CB8" w:rsidRDefault="00831CB8" w:rsidP="007A37DB">
      <w:pPr>
        <w:pStyle w:val="BodyText"/>
        <w:numPr>
          <w:ilvl w:val="0"/>
          <w:numId w:val="2"/>
        </w:numPr>
        <w:spacing w:line="360" w:lineRule="auto"/>
        <w:ind w:left="499" w:hanging="357"/>
        <w:rPr>
          <w:rFonts w:ascii="Gill Sans MT" w:hAnsi="Gill Sans MT"/>
          <w:sz w:val="20"/>
          <w:szCs w:val="12"/>
        </w:rPr>
      </w:pPr>
      <w:r w:rsidRPr="007A37DB">
        <w:rPr>
          <w:rFonts w:ascii="Gill Sans MT" w:hAnsi="Gill Sans MT"/>
          <w:sz w:val="20"/>
          <w:szCs w:val="12"/>
        </w:rPr>
        <w:t>In addition to this major achievement, there were also important gains in other areas</w:t>
      </w:r>
      <w:r>
        <w:rPr>
          <w:rFonts w:ascii="Gill Sans MT" w:hAnsi="Gill Sans MT"/>
          <w:sz w:val="20"/>
          <w:szCs w:val="12"/>
        </w:rPr>
        <w:t xml:space="preserve">: </w:t>
      </w:r>
    </w:p>
    <w:p w14:paraId="4FAD0A15" w14:textId="77777777" w:rsidR="00831CB8" w:rsidRPr="00831CB8" w:rsidRDefault="00300943" w:rsidP="00D81DB3">
      <w:pPr>
        <w:pStyle w:val="BodyText"/>
        <w:numPr>
          <w:ilvl w:val="0"/>
          <w:numId w:val="23"/>
        </w:numPr>
        <w:spacing w:line="360" w:lineRule="auto"/>
        <w:rPr>
          <w:rFonts w:ascii="Gill Sans MT" w:hAnsi="Gill Sans MT"/>
          <w:sz w:val="20"/>
          <w:szCs w:val="12"/>
        </w:rPr>
      </w:pPr>
      <w:r>
        <w:rPr>
          <w:rFonts w:ascii="Gill Sans MT" w:hAnsi="Gill Sans MT"/>
          <w:sz w:val="20"/>
          <w:szCs w:val="12"/>
        </w:rPr>
        <w:t xml:space="preserve">At the </w:t>
      </w:r>
      <w:r w:rsidR="00831CB8" w:rsidRPr="00831CB8">
        <w:rPr>
          <w:rFonts w:ascii="Gill Sans MT" w:hAnsi="Gill Sans MT"/>
          <w:sz w:val="20"/>
          <w:szCs w:val="12"/>
        </w:rPr>
        <w:t>output level, budget support contributed to improvements in public finance management, as well as to more modest improvements in transparency, in the quality of oversight by supreme audit institutions, and in the legal and institutional framework for combating corruption.</w:t>
      </w:r>
    </w:p>
    <w:p w14:paraId="3C68A3B7" w14:textId="77777777" w:rsidR="00147472" w:rsidRDefault="004C6D52" w:rsidP="00D81DB3">
      <w:pPr>
        <w:pStyle w:val="BodyText"/>
        <w:numPr>
          <w:ilvl w:val="0"/>
          <w:numId w:val="23"/>
        </w:numPr>
        <w:spacing w:line="360" w:lineRule="auto"/>
        <w:rPr>
          <w:rFonts w:ascii="Gill Sans MT" w:hAnsi="Gill Sans MT"/>
          <w:sz w:val="20"/>
          <w:szCs w:val="12"/>
        </w:rPr>
      </w:pPr>
      <w:r>
        <w:rPr>
          <w:rFonts w:ascii="Gill Sans MT" w:hAnsi="Gill Sans MT"/>
          <w:sz w:val="20"/>
          <w:szCs w:val="12"/>
        </w:rPr>
        <w:t xml:space="preserve">At the impact level, budget support funds made possible higher levels of domestic investment, while lowering debt servicing costs and helping to keep fiscal deficits at a sustainble level. All of these effects have contributed to the high growth levels achieved in the four countries, although the drivers of growth lay elsewhere and the commitment to prudent macroeconomic management was already well established. </w:t>
      </w:r>
    </w:p>
    <w:p w14:paraId="155D8664" w14:textId="77777777" w:rsidR="004C6D52" w:rsidRDefault="004C6D52" w:rsidP="00D81DB3">
      <w:pPr>
        <w:pStyle w:val="BodyText"/>
        <w:numPr>
          <w:ilvl w:val="0"/>
          <w:numId w:val="23"/>
        </w:numPr>
        <w:spacing w:line="360" w:lineRule="auto"/>
        <w:rPr>
          <w:rFonts w:ascii="Gill Sans MT" w:hAnsi="Gill Sans MT"/>
          <w:sz w:val="20"/>
          <w:szCs w:val="12"/>
        </w:rPr>
      </w:pPr>
      <w:r w:rsidRPr="00831CB8">
        <w:rPr>
          <w:rFonts w:ascii="Gill Sans MT" w:hAnsi="Gill Sans MT"/>
          <w:sz w:val="20"/>
          <w:szCs w:val="12"/>
        </w:rPr>
        <w:t>With the exception of Mali, faster growth did not translate into greater reductions in income poverty</w:t>
      </w:r>
      <w:r w:rsidR="00036CDB">
        <w:rPr>
          <w:rFonts w:ascii="Gill Sans MT" w:hAnsi="Gill Sans MT"/>
          <w:sz w:val="20"/>
          <w:szCs w:val="12"/>
        </w:rPr>
        <w:t xml:space="preserve"> within the evaluation period</w:t>
      </w:r>
      <w:r w:rsidRPr="00831CB8">
        <w:rPr>
          <w:rFonts w:ascii="Gill Sans MT" w:hAnsi="Gill Sans MT"/>
          <w:sz w:val="20"/>
          <w:szCs w:val="12"/>
        </w:rPr>
        <w:t xml:space="preserve">, although improved service delivery did </w:t>
      </w:r>
      <w:r w:rsidR="00B01998">
        <w:rPr>
          <w:rFonts w:ascii="Gill Sans MT" w:hAnsi="Gill Sans MT"/>
          <w:sz w:val="20"/>
          <w:szCs w:val="12"/>
        </w:rPr>
        <w:t xml:space="preserve">bring gains in social welfare. </w:t>
      </w:r>
      <w:r w:rsidRPr="00831CB8">
        <w:rPr>
          <w:rFonts w:ascii="Gill Sans MT" w:hAnsi="Gill Sans MT"/>
          <w:sz w:val="20"/>
          <w:szCs w:val="12"/>
        </w:rPr>
        <w:t>These were reflected in key measures of non-income poverty, such as literacy and enrolment levels, life expectancy and the UN Human Development Index.</w:t>
      </w:r>
    </w:p>
    <w:p w14:paraId="3FF954D0" w14:textId="77777777" w:rsidR="00C641E0" w:rsidRDefault="00831042" w:rsidP="007A37DB">
      <w:pPr>
        <w:pStyle w:val="BodyText"/>
        <w:numPr>
          <w:ilvl w:val="0"/>
          <w:numId w:val="2"/>
        </w:numPr>
        <w:spacing w:line="360" w:lineRule="auto"/>
        <w:ind w:left="499" w:hanging="357"/>
        <w:rPr>
          <w:rFonts w:ascii="Gill Sans MT" w:hAnsi="Gill Sans MT"/>
          <w:sz w:val="20"/>
          <w:szCs w:val="12"/>
        </w:rPr>
      </w:pPr>
      <w:r w:rsidRPr="007A37DB">
        <w:rPr>
          <w:rFonts w:ascii="Gill Sans MT" w:hAnsi="Gill Sans MT"/>
          <w:sz w:val="20"/>
          <w:szCs w:val="12"/>
        </w:rPr>
        <w:t>In Mozambique, Tanzania and Zambia there are grounds for confidence that these gains can be sustained</w:t>
      </w:r>
      <w:r>
        <w:rPr>
          <w:rFonts w:ascii="Gill Sans MT" w:hAnsi="Gill Sans MT"/>
          <w:sz w:val="20"/>
          <w:szCs w:val="12"/>
        </w:rPr>
        <w:t>. Domestic revenue collections have grown significantly and are now able to replace the funding previously provided through budget support; the delivery systems for these expanded services are all operating within the rules and structures of the respective public sector administrations, without depending on salary top-ups and external TA. National mechanisms of oversight of these services and programmes are in place, working through supreme audit institutions, parliament and its committees</w:t>
      </w:r>
      <w:r w:rsidR="00C641E0">
        <w:rPr>
          <w:rFonts w:ascii="Gill Sans MT" w:hAnsi="Gill Sans MT"/>
          <w:sz w:val="20"/>
          <w:szCs w:val="12"/>
        </w:rPr>
        <w:t>,</w:t>
      </w:r>
      <w:r>
        <w:rPr>
          <w:rFonts w:ascii="Gill Sans MT" w:hAnsi="Gill Sans MT"/>
          <w:sz w:val="20"/>
          <w:szCs w:val="12"/>
        </w:rPr>
        <w:t xml:space="preserve"> and the existing frameworks for wider citizen participation. </w:t>
      </w:r>
    </w:p>
    <w:p w14:paraId="5B378907" w14:textId="77777777" w:rsidR="00831042" w:rsidRPr="00C641E0" w:rsidRDefault="008C3467" w:rsidP="007A37DB">
      <w:pPr>
        <w:pStyle w:val="BodyText"/>
        <w:numPr>
          <w:ilvl w:val="0"/>
          <w:numId w:val="2"/>
        </w:numPr>
        <w:spacing w:line="360" w:lineRule="auto"/>
        <w:ind w:left="499" w:hanging="357"/>
        <w:rPr>
          <w:rFonts w:ascii="Gill Sans MT" w:hAnsi="Gill Sans MT"/>
          <w:sz w:val="20"/>
          <w:szCs w:val="12"/>
        </w:rPr>
      </w:pPr>
      <w:r>
        <w:rPr>
          <w:rFonts w:ascii="Gill Sans MT" w:hAnsi="Gill Sans MT"/>
          <w:sz w:val="20"/>
          <w:szCs w:val="12"/>
        </w:rPr>
        <w:t>T</w:t>
      </w:r>
      <w:r w:rsidR="00831042">
        <w:rPr>
          <w:rFonts w:ascii="Gill Sans MT" w:hAnsi="Gill Sans MT"/>
          <w:sz w:val="20"/>
          <w:szCs w:val="12"/>
        </w:rPr>
        <w:t xml:space="preserve">he gains achieved in Mali have to a degree been threatened by the </w:t>
      </w:r>
      <w:r w:rsidR="00831042" w:rsidRPr="007A37DB">
        <w:rPr>
          <w:rFonts w:ascii="Gill Sans MT" w:hAnsi="Gill Sans MT"/>
          <w:sz w:val="20"/>
          <w:szCs w:val="12"/>
        </w:rPr>
        <w:t>coup d’état</w:t>
      </w:r>
      <w:r w:rsidR="00831042">
        <w:rPr>
          <w:rFonts w:ascii="Gill Sans MT" w:hAnsi="Gill Sans MT"/>
          <w:sz w:val="20"/>
          <w:szCs w:val="12"/>
        </w:rPr>
        <w:t xml:space="preserve"> and the ensuing turbulence</w:t>
      </w:r>
      <w:r w:rsidR="00C641E0">
        <w:rPr>
          <w:rFonts w:ascii="Gill Sans MT" w:hAnsi="Gill Sans MT"/>
          <w:sz w:val="20"/>
          <w:szCs w:val="12"/>
        </w:rPr>
        <w:t xml:space="preserve">. Yet, </w:t>
      </w:r>
      <w:r w:rsidR="00831042">
        <w:rPr>
          <w:rFonts w:ascii="Gill Sans MT" w:hAnsi="Gill Sans MT"/>
          <w:sz w:val="20"/>
          <w:szCs w:val="12"/>
        </w:rPr>
        <w:t>with the restoration of democracy</w:t>
      </w:r>
      <w:r w:rsidR="00C641E0">
        <w:rPr>
          <w:rFonts w:ascii="Gill Sans MT" w:hAnsi="Gill Sans MT"/>
          <w:sz w:val="20"/>
          <w:szCs w:val="12"/>
        </w:rPr>
        <w:t xml:space="preserve"> and the return to normality, observers are confident that the structures of service delivery and public administration will be quickly re-established, building on the gains achieved during the evaluation period. </w:t>
      </w:r>
    </w:p>
    <w:p w14:paraId="7C90A6BC" w14:textId="77777777" w:rsidR="00831CB8" w:rsidRDefault="00831CB8" w:rsidP="007A37DB">
      <w:pPr>
        <w:pStyle w:val="BodyText"/>
        <w:numPr>
          <w:ilvl w:val="0"/>
          <w:numId w:val="2"/>
        </w:numPr>
        <w:spacing w:line="360" w:lineRule="auto"/>
        <w:ind w:left="499" w:hanging="357"/>
        <w:rPr>
          <w:rFonts w:ascii="Gill Sans MT" w:hAnsi="Gill Sans MT"/>
          <w:sz w:val="20"/>
          <w:szCs w:val="12"/>
        </w:rPr>
      </w:pPr>
      <w:r w:rsidRPr="003F2369">
        <w:rPr>
          <w:rFonts w:ascii="Gill Sans MT" w:hAnsi="Gill Sans MT"/>
          <w:b/>
          <w:sz w:val="20"/>
          <w:szCs w:val="12"/>
        </w:rPr>
        <w:t>Overall, this adds up to an impressive balance sheet, particularly given the starting context.</w:t>
      </w:r>
      <w:r w:rsidRPr="00C641E0">
        <w:rPr>
          <w:rFonts w:ascii="Gill Sans MT" w:hAnsi="Gill Sans MT"/>
          <w:sz w:val="20"/>
          <w:szCs w:val="12"/>
        </w:rPr>
        <w:t xml:space="preserve"> These are all low inc</w:t>
      </w:r>
      <w:r w:rsidR="00D73471">
        <w:rPr>
          <w:rFonts w:ascii="Gill Sans MT" w:hAnsi="Gill Sans MT"/>
          <w:sz w:val="20"/>
          <w:szCs w:val="12"/>
        </w:rPr>
        <w:t xml:space="preserve">ome countries with </w:t>
      </w:r>
      <w:r w:rsidRPr="00C641E0">
        <w:rPr>
          <w:rFonts w:ascii="Gill Sans MT" w:hAnsi="Gill Sans MT"/>
          <w:sz w:val="20"/>
          <w:szCs w:val="12"/>
        </w:rPr>
        <w:t>capacity constraints and human resource limitations. They</w:t>
      </w:r>
      <w:r w:rsidR="00D73471">
        <w:rPr>
          <w:rFonts w:ascii="Gill Sans MT" w:hAnsi="Gill Sans MT"/>
          <w:sz w:val="20"/>
          <w:szCs w:val="12"/>
        </w:rPr>
        <w:t xml:space="preserve"> all suffer from substantial</w:t>
      </w:r>
      <w:r w:rsidRPr="00C641E0">
        <w:rPr>
          <w:rFonts w:ascii="Gill Sans MT" w:hAnsi="Gill Sans MT"/>
          <w:sz w:val="20"/>
          <w:szCs w:val="12"/>
        </w:rPr>
        <w:t xml:space="preserve"> deficiencies in governance</w:t>
      </w:r>
      <w:r w:rsidR="00C641E0">
        <w:rPr>
          <w:rFonts w:ascii="Gill Sans MT" w:hAnsi="Gill Sans MT"/>
          <w:sz w:val="20"/>
          <w:szCs w:val="12"/>
        </w:rPr>
        <w:t xml:space="preserve">. Indeed, during the evaluation period, disbursements were suspended in Mozambique due to electoral irregularities and in Tanzania, Zambia and Mozambique due to corruption scandals. </w:t>
      </w:r>
      <w:r w:rsidR="00B0772E">
        <w:rPr>
          <w:rFonts w:ascii="Gill Sans MT" w:hAnsi="Gill Sans MT"/>
          <w:sz w:val="20"/>
          <w:szCs w:val="12"/>
        </w:rPr>
        <w:t>Despite these set-backs, progress continued to be made and significant outcomes were achieved.</w:t>
      </w:r>
    </w:p>
    <w:p w14:paraId="5459684A" w14:textId="77777777" w:rsidR="00D73471" w:rsidRPr="00D73471" w:rsidRDefault="00D73471" w:rsidP="00D73471">
      <w:pPr>
        <w:pStyle w:val="Heading3"/>
      </w:pPr>
      <w:r w:rsidRPr="00D73471">
        <w:lastRenderedPageBreak/>
        <w:t>Yet, some missed opportunities…</w:t>
      </w:r>
    </w:p>
    <w:p w14:paraId="0502D19A" w14:textId="77777777" w:rsidR="0077001B" w:rsidRPr="00162951" w:rsidRDefault="0077001B" w:rsidP="007A37DB">
      <w:pPr>
        <w:pStyle w:val="BodyText"/>
        <w:numPr>
          <w:ilvl w:val="0"/>
          <w:numId w:val="2"/>
        </w:numPr>
        <w:spacing w:line="360" w:lineRule="auto"/>
        <w:ind w:left="499" w:hanging="357"/>
        <w:rPr>
          <w:rFonts w:ascii="Gill Sans MT" w:hAnsi="Gill Sans MT"/>
          <w:sz w:val="20"/>
          <w:szCs w:val="12"/>
        </w:rPr>
      </w:pPr>
      <w:r w:rsidRPr="003F2369">
        <w:rPr>
          <w:rFonts w:ascii="Gill Sans MT" w:hAnsi="Gill Sans MT"/>
          <w:b/>
          <w:sz w:val="20"/>
          <w:szCs w:val="12"/>
        </w:rPr>
        <w:t xml:space="preserve">The </w:t>
      </w:r>
      <w:r w:rsidR="008C3467">
        <w:rPr>
          <w:rFonts w:ascii="Gill Sans MT" w:hAnsi="Gill Sans MT"/>
          <w:b/>
          <w:sz w:val="20"/>
          <w:szCs w:val="12"/>
        </w:rPr>
        <w:t xml:space="preserve">inability of the </w:t>
      </w:r>
      <w:r w:rsidRPr="003F2369">
        <w:rPr>
          <w:rFonts w:ascii="Gill Sans MT" w:hAnsi="Gill Sans MT"/>
          <w:b/>
          <w:sz w:val="20"/>
          <w:szCs w:val="12"/>
        </w:rPr>
        <w:t>budget support dialogue to generate a focused</w:t>
      </w:r>
      <w:r w:rsidR="00036CDB">
        <w:rPr>
          <w:rFonts w:ascii="Gill Sans MT" w:hAnsi="Gill Sans MT"/>
          <w:b/>
          <w:sz w:val="20"/>
          <w:szCs w:val="12"/>
        </w:rPr>
        <w:t xml:space="preserve"> and realistic</w:t>
      </w:r>
      <w:r w:rsidRPr="003F2369">
        <w:rPr>
          <w:rFonts w:ascii="Gill Sans MT" w:hAnsi="Gill Sans MT"/>
          <w:b/>
          <w:sz w:val="20"/>
          <w:szCs w:val="12"/>
        </w:rPr>
        <w:t xml:space="preserve"> programme of actions to reduce in</w:t>
      </w:r>
      <w:r w:rsidR="008C3467">
        <w:rPr>
          <w:rFonts w:ascii="Gill Sans MT" w:hAnsi="Gill Sans MT"/>
          <w:b/>
          <w:sz w:val="20"/>
          <w:szCs w:val="12"/>
        </w:rPr>
        <w:t xml:space="preserve">come poverty was perhaps </w:t>
      </w:r>
      <w:r w:rsidR="00815791">
        <w:rPr>
          <w:rFonts w:ascii="Gill Sans MT" w:hAnsi="Gill Sans MT"/>
          <w:b/>
          <w:sz w:val="20"/>
          <w:szCs w:val="12"/>
        </w:rPr>
        <w:t>the major shortcoming</w:t>
      </w:r>
      <w:r w:rsidRPr="003F2369">
        <w:rPr>
          <w:rFonts w:ascii="Gill Sans MT" w:hAnsi="Gill Sans MT"/>
          <w:b/>
          <w:sz w:val="20"/>
          <w:szCs w:val="12"/>
        </w:rPr>
        <w:t xml:space="preserve"> of the instrument.</w:t>
      </w:r>
      <w:r w:rsidRPr="00162951">
        <w:rPr>
          <w:rFonts w:ascii="Gill Sans MT" w:hAnsi="Gill Sans MT"/>
          <w:sz w:val="20"/>
          <w:szCs w:val="12"/>
        </w:rPr>
        <w:t xml:space="preserve"> </w:t>
      </w:r>
      <w:r w:rsidR="00093B43">
        <w:rPr>
          <w:rFonts w:ascii="Gill Sans MT" w:hAnsi="Gill Sans MT"/>
          <w:sz w:val="20"/>
          <w:szCs w:val="12"/>
        </w:rPr>
        <w:t xml:space="preserve">A large part of the explanantion lies in the fact that </w:t>
      </w:r>
      <w:r w:rsidR="00D1304C">
        <w:rPr>
          <w:rFonts w:ascii="Gill Sans MT" w:hAnsi="Gill Sans MT"/>
          <w:sz w:val="20"/>
          <w:szCs w:val="12"/>
        </w:rPr>
        <w:t>none of the countries followed a detailed set of public policies aimed at reducing income poverty. All had poverty reduction strategies but these were more in the nature of aspirational plans rather than true strategies built on analysis of the microfounda</w:t>
      </w:r>
      <w:r w:rsidR="00093B43">
        <w:rPr>
          <w:rFonts w:ascii="Gill Sans MT" w:hAnsi="Gill Sans MT"/>
          <w:sz w:val="20"/>
          <w:szCs w:val="12"/>
        </w:rPr>
        <w:t xml:space="preserve">tions of balanced growth. In addition, </w:t>
      </w:r>
      <w:r w:rsidR="00D1304C">
        <w:rPr>
          <w:rFonts w:ascii="Gill Sans MT" w:hAnsi="Gill Sans MT"/>
          <w:sz w:val="20"/>
          <w:szCs w:val="12"/>
        </w:rPr>
        <w:t>on the part of the donors, there was</w:t>
      </w:r>
      <w:r w:rsidR="00D1304C" w:rsidRPr="00162951">
        <w:rPr>
          <w:rFonts w:ascii="Gill Sans MT" w:hAnsi="Gill Sans MT"/>
          <w:sz w:val="20"/>
          <w:szCs w:val="12"/>
        </w:rPr>
        <w:t xml:space="preserve"> </w:t>
      </w:r>
      <w:r w:rsidR="00D1304C">
        <w:rPr>
          <w:rFonts w:ascii="Gill Sans MT" w:hAnsi="Gill Sans MT"/>
          <w:sz w:val="20"/>
          <w:szCs w:val="12"/>
        </w:rPr>
        <w:t xml:space="preserve">a lack of appreciation </w:t>
      </w:r>
      <w:r w:rsidRPr="00162951">
        <w:rPr>
          <w:rFonts w:ascii="Gill Sans MT" w:hAnsi="Gill Sans MT"/>
          <w:sz w:val="20"/>
          <w:szCs w:val="12"/>
        </w:rPr>
        <w:t>of the scale of the challenge of poverty reduction. In the late 1990s and</w:t>
      </w:r>
      <w:r w:rsidR="00162951" w:rsidRPr="00162951">
        <w:rPr>
          <w:rFonts w:ascii="Gill Sans MT" w:hAnsi="Gill Sans MT"/>
          <w:sz w:val="20"/>
          <w:szCs w:val="12"/>
        </w:rPr>
        <w:t xml:space="preserve"> early 2000s, a number of </w:t>
      </w:r>
      <w:r w:rsidRPr="00162951">
        <w:rPr>
          <w:rFonts w:ascii="Gill Sans MT" w:hAnsi="Gill Sans MT"/>
          <w:sz w:val="20"/>
          <w:szCs w:val="12"/>
        </w:rPr>
        <w:t>LIC</w:t>
      </w:r>
      <w:r w:rsidR="00D1304C">
        <w:rPr>
          <w:rFonts w:ascii="Gill Sans MT" w:hAnsi="Gill Sans MT"/>
          <w:sz w:val="20"/>
          <w:szCs w:val="12"/>
        </w:rPr>
        <w:t xml:space="preserve">s had achieved sharp </w:t>
      </w:r>
      <w:r w:rsidRPr="00162951">
        <w:rPr>
          <w:rFonts w:ascii="Gill Sans MT" w:hAnsi="Gill Sans MT"/>
          <w:sz w:val="20"/>
          <w:szCs w:val="12"/>
        </w:rPr>
        <w:t xml:space="preserve">reductions in income poverty, simply by sustaining high levels of economic growth – the poverty headcount in Mozambique, for example, fell by 15 percentage points between 1996 and 2003, lifting 3 million people out of poverty.  </w:t>
      </w:r>
      <w:r w:rsidR="00162951" w:rsidRPr="00162951">
        <w:rPr>
          <w:rFonts w:ascii="Gill Sans MT" w:hAnsi="Gill Sans MT"/>
          <w:sz w:val="20"/>
          <w:szCs w:val="12"/>
        </w:rPr>
        <w:t>Therefore, there was</w:t>
      </w:r>
      <w:r w:rsidRPr="00162951">
        <w:rPr>
          <w:rFonts w:ascii="Gill Sans MT" w:hAnsi="Gill Sans MT"/>
          <w:sz w:val="20"/>
          <w:szCs w:val="12"/>
        </w:rPr>
        <w:t xml:space="preserve">, perhaps, an implicit belief that poverty reduction through “trickle-down” would continue. </w:t>
      </w:r>
      <w:r w:rsidR="00162951" w:rsidRPr="00162951">
        <w:rPr>
          <w:rFonts w:ascii="Gill Sans MT" w:hAnsi="Gill Sans MT"/>
          <w:sz w:val="20"/>
          <w:szCs w:val="12"/>
        </w:rPr>
        <w:t>In Mali, it did to a deg</w:t>
      </w:r>
      <w:r w:rsidR="00D1304C">
        <w:rPr>
          <w:rFonts w:ascii="Gill Sans MT" w:hAnsi="Gill Sans MT"/>
          <w:sz w:val="20"/>
          <w:szCs w:val="12"/>
        </w:rPr>
        <w:t xml:space="preserve">ree but in the other countries </w:t>
      </w:r>
      <w:r w:rsidR="00162951" w:rsidRPr="00162951">
        <w:rPr>
          <w:rFonts w:ascii="Gill Sans MT" w:hAnsi="Gill Sans MT"/>
          <w:sz w:val="20"/>
          <w:szCs w:val="12"/>
        </w:rPr>
        <w:t>more deliberate public policy initiative</w:t>
      </w:r>
      <w:r w:rsidR="007A0E24">
        <w:rPr>
          <w:rFonts w:ascii="Gill Sans MT" w:hAnsi="Gill Sans MT"/>
          <w:sz w:val="20"/>
          <w:szCs w:val="12"/>
        </w:rPr>
        <w:t>s were needed to reduce income poverty</w:t>
      </w:r>
      <w:r w:rsidR="00162951" w:rsidRPr="00162951">
        <w:rPr>
          <w:rFonts w:ascii="Gill Sans MT" w:hAnsi="Gill Sans MT"/>
          <w:sz w:val="20"/>
          <w:szCs w:val="12"/>
        </w:rPr>
        <w:t>.</w:t>
      </w:r>
    </w:p>
    <w:p w14:paraId="582FB7F1" w14:textId="77777777" w:rsidR="00162951" w:rsidRDefault="00854997" w:rsidP="007A37DB">
      <w:pPr>
        <w:pStyle w:val="BodyText"/>
        <w:numPr>
          <w:ilvl w:val="0"/>
          <w:numId w:val="2"/>
        </w:numPr>
        <w:spacing w:line="360" w:lineRule="auto"/>
        <w:ind w:left="499" w:hanging="357"/>
        <w:rPr>
          <w:rFonts w:ascii="Gill Sans MT" w:hAnsi="Gill Sans MT"/>
          <w:sz w:val="20"/>
          <w:szCs w:val="12"/>
        </w:rPr>
      </w:pPr>
      <w:r>
        <w:rPr>
          <w:rFonts w:ascii="Gill Sans MT" w:hAnsi="Gill Sans MT"/>
          <w:sz w:val="20"/>
          <w:szCs w:val="12"/>
        </w:rPr>
        <w:t>The question to be addressed is w</w:t>
      </w:r>
      <w:r w:rsidR="00162951">
        <w:rPr>
          <w:rFonts w:ascii="Gill Sans MT" w:hAnsi="Gill Sans MT"/>
          <w:sz w:val="20"/>
          <w:szCs w:val="12"/>
        </w:rPr>
        <w:t xml:space="preserve">hy was the policy dialogue unable to address this problem? Why were there not more analyses and more ideas forthcoming about how to improve the effectiveness of poverty reduction strategies? </w:t>
      </w:r>
      <w:r w:rsidR="00346187">
        <w:rPr>
          <w:rFonts w:ascii="Gill Sans MT" w:hAnsi="Gill Sans MT"/>
          <w:sz w:val="20"/>
          <w:szCs w:val="12"/>
        </w:rPr>
        <w:t>Does t</w:t>
      </w:r>
      <w:r w:rsidR="00162951">
        <w:rPr>
          <w:rFonts w:ascii="Gill Sans MT" w:hAnsi="Gill Sans MT"/>
          <w:sz w:val="20"/>
          <w:szCs w:val="12"/>
        </w:rPr>
        <w:t>he lac</w:t>
      </w:r>
      <w:r w:rsidR="00346187">
        <w:rPr>
          <w:rFonts w:ascii="Gill Sans MT" w:hAnsi="Gill Sans MT"/>
          <w:sz w:val="20"/>
          <w:szCs w:val="12"/>
        </w:rPr>
        <w:t>k of success in this area point</w:t>
      </w:r>
      <w:r w:rsidR="00162951">
        <w:rPr>
          <w:rFonts w:ascii="Gill Sans MT" w:hAnsi="Gill Sans MT"/>
          <w:sz w:val="20"/>
          <w:szCs w:val="12"/>
        </w:rPr>
        <w:t xml:space="preserve"> to a we</w:t>
      </w:r>
      <w:r w:rsidR="0068014F">
        <w:rPr>
          <w:rFonts w:ascii="Gill Sans MT" w:hAnsi="Gill Sans MT"/>
          <w:sz w:val="20"/>
          <w:szCs w:val="12"/>
        </w:rPr>
        <w:t>akness in the budget support mechani</w:t>
      </w:r>
      <w:r w:rsidR="00346187">
        <w:rPr>
          <w:rFonts w:ascii="Gill Sans MT" w:hAnsi="Gill Sans MT"/>
          <w:sz w:val="20"/>
          <w:szCs w:val="12"/>
        </w:rPr>
        <w:t>sm, which might be corr</w:t>
      </w:r>
      <w:r w:rsidR="00291DD2">
        <w:rPr>
          <w:rFonts w:ascii="Gill Sans MT" w:hAnsi="Gill Sans MT"/>
          <w:sz w:val="20"/>
          <w:szCs w:val="12"/>
        </w:rPr>
        <w:t>ec</w:t>
      </w:r>
      <w:r w:rsidR="00346187">
        <w:rPr>
          <w:rFonts w:ascii="Gill Sans MT" w:hAnsi="Gill Sans MT"/>
          <w:sz w:val="20"/>
          <w:szCs w:val="12"/>
        </w:rPr>
        <w:t>ted, or does it point to the inherent limits of the instrument in LIC contexts?</w:t>
      </w:r>
    </w:p>
    <w:p w14:paraId="39B07ED4" w14:textId="77777777" w:rsidR="00346187" w:rsidRPr="00346187" w:rsidRDefault="00346187" w:rsidP="00346187">
      <w:pPr>
        <w:pStyle w:val="Heading3"/>
      </w:pPr>
      <w:r w:rsidRPr="00346187">
        <w:t>Factors constraining success: context?</w:t>
      </w:r>
    </w:p>
    <w:p w14:paraId="42FE6288" w14:textId="77777777" w:rsidR="009A17CB" w:rsidRPr="007A37DB" w:rsidRDefault="00291DD2" w:rsidP="007A37DB">
      <w:pPr>
        <w:pStyle w:val="BodyText"/>
        <w:numPr>
          <w:ilvl w:val="0"/>
          <w:numId w:val="2"/>
        </w:numPr>
        <w:spacing w:line="360" w:lineRule="auto"/>
        <w:ind w:left="499" w:hanging="357"/>
        <w:rPr>
          <w:rFonts w:ascii="Gill Sans MT" w:hAnsi="Gill Sans MT"/>
          <w:sz w:val="20"/>
          <w:szCs w:val="12"/>
        </w:rPr>
      </w:pPr>
      <w:r w:rsidRPr="007A37DB">
        <w:rPr>
          <w:rFonts w:ascii="Gill Sans MT" w:hAnsi="Gill Sans MT"/>
          <w:sz w:val="20"/>
          <w:szCs w:val="12"/>
        </w:rPr>
        <w:t>In these countries, what prevented the budget</w:t>
      </w:r>
      <w:r w:rsidR="0025281B" w:rsidRPr="007A37DB">
        <w:rPr>
          <w:rFonts w:ascii="Gill Sans MT" w:hAnsi="Gill Sans MT"/>
          <w:sz w:val="20"/>
          <w:szCs w:val="12"/>
        </w:rPr>
        <w:t xml:space="preserve"> support process from achieving positive ou</w:t>
      </w:r>
      <w:r w:rsidR="00821C65" w:rsidRPr="007A37DB">
        <w:rPr>
          <w:rFonts w:ascii="Gill Sans MT" w:hAnsi="Gill Sans MT"/>
          <w:sz w:val="20"/>
          <w:szCs w:val="12"/>
        </w:rPr>
        <w:t>tcomes in agriculture, infrastructure, energy, pri</w:t>
      </w:r>
      <w:r w:rsidR="0025281B" w:rsidRPr="007A37DB">
        <w:rPr>
          <w:rFonts w:ascii="Gill Sans MT" w:hAnsi="Gill Sans MT"/>
          <w:sz w:val="20"/>
          <w:szCs w:val="12"/>
        </w:rPr>
        <w:t>v</w:t>
      </w:r>
      <w:r w:rsidR="00821C65" w:rsidRPr="007A37DB">
        <w:rPr>
          <w:rFonts w:ascii="Gill Sans MT" w:hAnsi="Gill Sans MT"/>
          <w:sz w:val="20"/>
          <w:szCs w:val="12"/>
        </w:rPr>
        <w:t>a</w:t>
      </w:r>
      <w:r w:rsidR="0025281B" w:rsidRPr="007A37DB">
        <w:rPr>
          <w:rFonts w:ascii="Gill Sans MT" w:hAnsi="Gill Sans MT"/>
          <w:sz w:val="20"/>
          <w:szCs w:val="12"/>
        </w:rPr>
        <w:t xml:space="preserve">te sector development or other sectors more directly linked to income poverty reduction? </w:t>
      </w:r>
      <w:r w:rsidRPr="007A37DB">
        <w:rPr>
          <w:rFonts w:ascii="Gill Sans MT" w:hAnsi="Gill Sans MT"/>
          <w:sz w:val="20"/>
          <w:szCs w:val="12"/>
        </w:rPr>
        <w:t xml:space="preserve"> </w:t>
      </w:r>
      <w:r w:rsidR="009A17CB" w:rsidRPr="007A37DB">
        <w:rPr>
          <w:rFonts w:ascii="Gill Sans MT" w:hAnsi="Gill Sans MT"/>
          <w:sz w:val="20"/>
          <w:szCs w:val="12"/>
        </w:rPr>
        <w:t>The Zambia evaluation concludes that in order to achieve positive sector outcomes from budget support funding, two conditions must hold (IOB, 2011, p.18):</w:t>
      </w:r>
    </w:p>
    <w:p w14:paraId="3416DB3E" w14:textId="77777777" w:rsidR="009A17CB" w:rsidRPr="0045687E" w:rsidRDefault="009A17CB" w:rsidP="00D81DB3">
      <w:pPr>
        <w:pStyle w:val="BodyText"/>
        <w:numPr>
          <w:ilvl w:val="0"/>
          <w:numId w:val="24"/>
        </w:numPr>
        <w:spacing w:line="360" w:lineRule="auto"/>
        <w:rPr>
          <w:rFonts w:ascii="Gill Sans MT" w:hAnsi="Gill Sans MT"/>
          <w:i/>
          <w:sz w:val="20"/>
          <w:szCs w:val="12"/>
          <w:lang w:val="en-GB"/>
        </w:rPr>
      </w:pPr>
      <w:r w:rsidRPr="0045687E">
        <w:rPr>
          <w:rFonts w:ascii="Gill Sans MT" w:hAnsi="Gill Sans MT"/>
          <w:sz w:val="20"/>
          <w:szCs w:val="12"/>
          <w:lang w:val="en-GB"/>
        </w:rPr>
        <w:t>‘</w:t>
      </w:r>
      <w:r w:rsidRPr="0045687E">
        <w:rPr>
          <w:rFonts w:ascii="Gill Sans MT" w:hAnsi="Gill Sans MT"/>
          <w:i/>
          <w:sz w:val="20"/>
          <w:szCs w:val="12"/>
          <w:lang w:val="en-GB"/>
        </w:rPr>
        <w:t>First, sectors of interest must be supported by strong government ownership.’</w:t>
      </w:r>
    </w:p>
    <w:p w14:paraId="6BE59936" w14:textId="77777777" w:rsidR="009A17CB" w:rsidRPr="0045687E" w:rsidRDefault="009A17CB" w:rsidP="00D81DB3">
      <w:pPr>
        <w:pStyle w:val="BodyText"/>
        <w:numPr>
          <w:ilvl w:val="0"/>
          <w:numId w:val="24"/>
        </w:numPr>
        <w:spacing w:line="360" w:lineRule="auto"/>
        <w:rPr>
          <w:rFonts w:ascii="Gill Sans MT" w:hAnsi="Gill Sans MT"/>
          <w:i/>
          <w:sz w:val="20"/>
          <w:szCs w:val="12"/>
          <w:lang w:val="en-GB"/>
        </w:rPr>
      </w:pPr>
      <w:r w:rsidRPr="0045687E">
        <w:rPr>
          <w:rFonts w:ascii="Gill Sans MT" w:hAnsi="Gill Sans MT"/>
          <w:i/>
          <w:sz w:val="20"/>
          <w:szCs w:val="12"/>
          <w:lang w:val="en-GB"/>
        </w:rPr>
        <w:t>‘Second, government policies and the objectives of cooperating partners must be aligned.’</w:t>
      </w:r>
    </w:p>
    <w:p w14:paraId="62339597" w14:textId="77777777" w:rsidR="00496CDA" w:rsidRPr="007A37DB" w:rsidRDefault="009A17CB" w:rsidP="007A37DB">
      <w:pPr>
        <w:pStyle w:val="BodyText"/>
        <w:numPr>
          <w:ilvl w:val="0"/>
          <w:numId w:val="2"/>
        </w:numPr>
        <w:spacing w:line="360" w:lineRule="auto"/>
        <w:ind w:left="499" w:hanging="357"/>
        <w:rPr>
          <w:rFonts w:ascii="Gill Sans MT" w:hAnsi="Gill Sans MT"/>
          <w:sz w:val="20"/>
          <w:szCs w:val="12"/>
        </w:rPr>
      </w:pPr>
      <w:r w:rsidRPr="007A37DB">
        <w:rPr>
          <w:rFonts w:ascii="Gill Sans MT" w:hAnsi="Gill Sans MT"/>
          <w:sz w:val="20"/>
          <w:szCs w:val="12"/>
        </w:rPr>
        <w:t>Clearly, the context is important</w:t>
      </w:r>
      <w:r w:rsidR="009D39E9" w:rsidRPr="007A37DB">
        <w:rPr>
          <w:rFonts w:ascii="Gill Sans MT" w:hAnsi="Gill Sans MT"/>
          <w:sz w:val="20"/>
          <w:szCs w:val="12"/>
        </w:rPr>
        <w:t xml:space="preserve"> for o</w:t>
      </w:r>
      <w:r w:rsidRPr="007A37DB">
        <w:rPr>
          <w:rFonts w:ascii="Gill Sans MT" w:hAnsi="Gill Sans MT"/>
          <w:sz w:val="20"/>
          <w:szCs w:val="12"/>
        </w:rPr>
        <w:t>wnership</w:t>
      </w:r>
      <w:r w:rsidR="009D39E9" w:rsidRPr="007A37DB">
        <w:rPr>
          <w:rFonts w:ascii="Gill Sans MT" w:hAnsi="Gill Sans MT"/>
          <w:sz w:val="20"/>
          <w:szCs w:val="12"/>
        </w:rPr>
        <w:t xml:space="preserve">, which </w:t>
      </w:r>
      <w:r w:rsidRPr="007A37DB">
        <w:rPr>
          <w:rFonts w:ascii="Gill Sans MT" w:hAnsi="Gill Sans MT"/>
          <w:sz w:val="20"/>
          <w:szCs w:val="12"/>
        </w:rPr>
        <w:t>must ultimately be driven by political interests</w:t>
      </w:r>
      <w:r w:rsidR="009D39E9" w:rsidRPr="007A37DB">
        <w:rPr>
          <w:rFonts w:ascii="Gill Sans MT" w:hAnsi="Gill Sans MT"/>
          <w:sz w:val="20"/>
          <w:szCs w:val="12"/>
        </w:rPr>
        <w:t>. P</w:t>
      </w:r>
      <w:r w:rsidRPr="007A37DB">
        <w:rPr>
          <w:rFonts w:ascii="Gill Sans MT" w:hAnsi="Gill Sans MT"/>
          <w:sz w:val="20"/>
          <w:szCs w:val="12"/>
        </w:rPr>
        <w:t>olitical lead</w:t>
      </w:r>
      <w:r w:rsidR="00291DD2" w:rsidRPr="007A37DB">
        <w:rPr>
          <w:rFonts w:ascii="Gill Sans MT" w:hAnsi="Gill Sans MT"/>
          <w:sz w:val="20"/>
          <w:szCs w:val="12"/>
        </w:rPr>
        <w:t xml:space="preserve">ers will naturally be </w:t>
      </w:r>
      <w:r w:rsidRPr="007A37DB">
        <w:rPr>
          <w:rFonts w:ascii="Gill Sans MT" w:hAnsi="Gill Sans MT"/>
          <w:sz w:val="20"/>
          <w:szCs w:val="12"/>
        </w:rPr>
        <w:t>interested in public policies and programmes, which can win votes</w:t>
      </w:r>
      <w:r w:rsidR="00854997">
        <w:rPr>
          <w:rFonts w:ascii="Gill Sans MT" w:hAnsi="Gill Sans MT"/>
          <w:sz w:val="20"/>
          <w:szCs w:val="12"/>
        </w:rPr>
        <w:t xml:space="preserve">, and they may also </w:t>
      </w:r>
      <w:r w:rsidR="004C029B">
        <w:rPr>
          <w:rFonts w:ascii="Gill Sans MT" w:hAnsi="Gill Sans MT"/>
          <w:sz w:val="20"/>
          <w:szCs w:val="12"/>
        </w:rPr>
        <w:t xml:space="preserve">have </w:t>
      </w:r>
      <w:r w:rsidR="00854997">
        <w:rPr>
          <w:rFonts w:ascii="Gill Sans MT" w:hAnsi="Gill Sans MT"/>
          <w:sz w:val="20"/>
          <w:szCs w:val="12"/>
        </w:rPr>
        <w:t>more pernicious</w:t>
      </w:r>
      <w:r w:rsidR="004C029B">
        <w:rPr>
          <w:rFonts w:ascii="Gill Sans MT" w:hAnsi="Gill Sans MT"/>
          <w:sz w:val="20"/>
          <w:szCs w:val="12"/>
        </w:rPr>
        <w:t>,</w:t>
      </w:r>
      <w:r w:rsidR="00854997">
        <w:rPr>
          <w:rFonts w:ascii="Gill Sans MT" w:hAnsi="Gill Sans MT"/>
          <w:sz w:val="20"/>
          <w:szCs w:val="12"/>
        </w:rPr>
        <w:t xml:space="preserve"> vested interests</w:t>
      </w:r>
      <w:r w:rsidRPr="007A37DB">
        <w:rPr>
          <w:rFonts w:ascii="Gill Sans MT" w:hAnsi="Gill Sans MT"/>
          <w:sz w:val="20"/>
          <w:szCs w:val="12"/>
        </w:rPr>
        <w:t>. This</w:t>
      </w:r>
      <w:r w:rsidR="009B524A" w:rsidRPr="007A37DB">
        <w:rPr>
          <w:rFonts w:ascii="Gill Sans MT" w:hAnsi="Gill Sans MT"/>
          <w:sz w:val="20"/>
          <w:szCs w:val="12"/>
        </w:rPr>
        <w:t xml:space="preserve"> may </w:t>
      </w:r>
      <w:r w:rsidRPr="007A37DB">
        <w:rPr>
          <w:rFonts w:ascii="Gill Sans MT" w:hAnsi="Gill Sans MT"/>
          <w:sz w:val="20"/>
          <w:szCs w:val="12"/>
        </w:rPr>
        <w:t>exclude an inte</w:t>
      </w:r>
      <w:r w:rsidR="00F37BE1" w:rsidRPr="007A37DB">
        <w:rPr>
          <w:rFonts w:ascii="Gill Sans MT" w:hAnsi="Gill Sans MT"/>
          <w:sz w:val="20"/>
          <w:szCs w:val="12"/>
        </w:rPr>
        <w:t>rest in complicated policies, which are difficult to “sell” to the electorate</w:t>
      </w:r>
      <w:r w:rsidR="002E696D" w:rsidRPr="007A37DB">
        <w:rPr>
          <w:rFonts w:ascii="Gill Sans MT" w:hAnsi="Gill Sans MT"/>
          <w:sz w:val="20"/>
          <w:szCs w:val="12"/>
        </w:rPr>
        <w:t xml:space="preserve"> </w:t>
      </w:r>
      <w:r w:rsidR="004C029B">
        <w:rPr>
          <w:rFonts w:ascii="Gill Sans MT" w:hAnsi="Gill Sans MT"/>
          <w:sz w:val="20"/>
          <w:szCs w:val="12"/>
        </w:rPr>
        <w:t xml:space="preserve">or in policies which run counter to those vested interests </w:t>
      </w:r>
      <w:r w:rsidR="002E696D" w:rsidRPr="007A37DB">
        <w:rPr>
          <w:rFonts w:ascii="Gill Sans MT" w:hAnsi="Gill Sans MT"/>
          <w:sz w:val="20"/>
          <w:szCs w:val="12"/>
        </w:rPr>
        <w:t xml:space="preserve">but it is nevertheless likely to include a long list of public policy actions, related to social services, employment generation and income growth.  </w:t>
      </w:r>
    </w:p>
    <w:p w14:paraId="6FFEAE20" w14:textId="77777777" w:rsidR="001549E8" w:rsidRPr="007A37DB" w:rsidRDefault="002E696D" w:rsidP="007A37DB">
      <w:pPr>
        <w:pStyle w:val="BodyText"/>
        <w:numPr>
          <w:ilvl w:val="0"/>
          <w:numId w:val="2"/>
        </w:numPr>
        <w:spacing w:line="360" w:lineRule="auto"/>
        <w:ind w:left="499" w:hanging="357"/>
        <w:rPr>
          <w:rFonts w:ascii="Gill Sans MT" w:hAnsi="Gill Sans MT"/>
          <w:sz w:val="20"/>
          <w:szCs w:val="12"/>
        </w:rPr>
      </w:pPr>
      <w:r w:rsidRPr="007A37DB">
        <w:rPr>
          <w:rFonts w:ascii="Gill Sans MT" w:hAnsi="Gill Sans MT"/>
          <w:sz w:val="20"/>
          <w:szCs w:val="12"/>
        </w:rPr>
        <w:t xml:space="preserve">Secondly, ownership demands that </w:t>
      </w:r>
      <w:r w:rsidR="0045687E" w:rsidRPr="007A37DB">
        <w:rPr>
          <w:rFonts w:ascii="Gill Sans MT" w:hAnsi="Gill Sans MT"/>
          <w:sz w:val="20"/>
          <w:szCs w:val="12"/>
        </w:rPr>
        <w:t>government must play the lead role in policy development</w:t>
      </w:r>
      <w:r w:rsidRPr="007A37DB">
        <w:rPr>
          <w:rFonts w:ascii="Gill Sans MT" w:hAnsi="Gill Sans MT"/>
          <w:sz w:val="20"/>
          <w:szCs w:val="12"/>
        </w:rPr>
        <w:t xml:space="preserve">. Although it is possible to draw on </w:t>
      </w:r>
      <w:r w:rsidR="00DB7E95">
        <w:rPr>
          <w:rFonts w:ascii="Gill Sans MT" w:hAnsi="Gill Sans MT"/>
          <w:sz w:val="20"/>
          <w:szCs w:val="12"/>
        </w:rPr>
        <w:t xml:space="preserve">technical advice from outside of government, </w:t>
      </w:r>
      <w:r w:rsidR="00496CDA" w:rsidRPr="007A37DB">
        <w:rPr>
          <w:rFonts w:ascii="Gill Sans MT" w:hAnsi="Gill Sans MT"/>
          <w:sz w:val="20"/>
          <w:szCs w:val="12"/>
        </w:rPr>
        <w:t xml:space="preserve">ultimately the capacity for leadership and coordination from within government will prove a </w:t>
      </w:r>
      <w:r w:rsidR="00496CDA" w:rsidRPr="007A37DB">
        <w:rPr>
          <w:rFonts w:ascii="Gill Sans MT" w:hAnsi="Gill Sans MT"/>
          <w:sz w:val="20"/>
          <w:szCs w:val="12"/>
        </w:rPr>
        <w:lastRenderedPageBreak/>
        <w:t xml:space="preserve">binding constraint. </w:t>
      </w:r>
      <w:r w:rsidR="00821C65" w:rsidRPr="007A37DB">
        <w:rPr>
          <w:rFonts w:ascii="Gill Sans MT" w:hAnsi="Gill Sans MT"/>
          <w:sz w:val="20"/>
          <w:szCs w:val="12"/>
        </w:rPr>
        <w:t xml:space="preserve">How many policy development processes can an LIC government expect to lead </w:t>
      </w:r>
      <w:r w:rsidR="0045687E" w:rsidRPr="007A37DB">
        <w:rPr>
          <w:rFonts w:ascii="Gill Sans MT" w:hAnsi="Gill Sans MT"/>
          <w:sz w:val="20"/>
          <w:szCs w:val="12"/>
        </w:rPr>
        <w:t>simultaneously</w:t>
      </w:r>
      <w:r w:rsidR="00821C65" w:rsidRPr="007A37DB">
        <w:rPr>
          <w:rFonts w:ascii="Gill Sans MT" w:hAnsi="Gill Sans MT"/>
          <w:sz w:val="20"/>
          <w:szCs w:val="12"/>
        </w:rPr>
        <w:t>? I</w:t>
      </w:r>
      <w:r w:rsidR="00496CDA" w:rsidRPr="007A37DB">
        <w:rPr>
          <w:rFonts w:ascii="Gill Sans MT" w:hAnsi="Gill Sans MT"/>
          <w:sz w:val="20"/>
          <w:szCs w:val="12"/>
        </w:rPr>
        <w:t>n adopting the “Big Fast Results” approach to policy development, previously applied in Malaysia and Indonesia, the President’s Office in Tanzania chose to limit its attention to six sectors</w:t>
      </w:r>
      <w:r w:rsidR="003F2369">
        <w:rPr>
          <w:rStyle w:val="FootnoteReference"/>
          <w:rFonts w:ascii="Gill Sans MT" w:hAnsi="Gill Sans MT"/>
          <w:sz w:val="20"/>
          <w:szCs w:val="12"/>
        </w:rPr>
        <w:footnoteReference w:id="32"/>
      </w:r>
      <w:r w:rsidR="001549E8" w:rsidRPr="007A37DB">
        <w:rPr>
          <w:rFonts w:ascii="Gill Sans MT" w:hAnsi="Gill Sans MT"/>
          <w:sz w:val="20"/>
          <w:szCs w:val="12"/>
        </w:rPr>
        <w:t>.</w:t>
      </w:r>
      <w:r w:rsidR="00496CDA" w:rsidRPr="007A37DB">
        <w:rPr>
          <w:rFonts w:ascii="Gill Sans MT" w:hAnsi="Gill Sans MT"/>
          <w:sz w:val="20"/>
          <w:szCs w:val="12"/>
        </w:rPr>
        <w:t xml:space="preserve"> </w:t>
      </w:r>
      <w:r w:rsidR="004C029B">
        <w:rPr>
          <w:rFonts w:ascii="Gill Sans MT" w:hAnsi="Gill Sans MT"/>
          <w:sz w:val="20"/>
          <w:szCs w:val="12"/>
        </w:rPr>
        <w:t xml:space="preserve">This seems at first sight </w:t>
      </w:r>
      <w:r w:rsidR="00EB34FF" w:rsidRPr="007A37DB">
        <w:rPr>
          <w:rFonts w:ascii="Gill Sans MT" w:hAnsi="Gill Sans MT"/>
          <w:sz w:val="20"/>
          <w:szCs w:val="12"/>
        </w:rPr>
        <w:t>a small number</w:t>
      </w:r>
      <w:r w:rsidR="00DB7E95">
        <w:rPr>
          <w:rFonts w:ascii="Gill Sans MT" w:hAnsi="Gill Sans MT"/>
          <w:sz w:val="20"/>
          <w:szCs w:val="12"/>
        </w:rPr>
        <w:t>;</w:t>
      </w:r>
      <w:r w:rsidR="0045687E" w:rsidRPr="007A37DB">
        <w:rPr>
          <w:rFonts w:ascii="Gill Sans MT" w:hAnsi="Gill Sans MT"/>
          <w:sz w:val="20"/>
          <w:szCs w:val="12"/>
        </w:rPr>
        <w:t xml:space="preserve"> </w:t>
      </w:r>
      <w:r w:rsidR="00DB7E95">
        <w:rPr>
          <w:rFonts w:ascii="Gill Sans MT" w:hAnsi="Gill Sans MT"/>
          <w:sz w:val="20"/>
          <w:szCs w:val="12"/>
        </w:rPr>
        <w:t>y</w:t>
      </w:r>
      <w:r w:rsidR="00EB34FF" w:rsidRPr="007A37DB">
        <w:rPr>
          <w:rFonts w:ascii="Gill Sans MT" w:hAnsi="Gill Sans MT"/>
          <w:sz w:val="20"/>
          <w:szCs w:val="12"/>
        </w:rPr>
        <w:t xml:space="preserve">et, </w:t>
      </w:r>
      <w:r w:rsidR="0025281B" w:rsidRPr="007A37DB">
        <w:rPr>
          <w:rFonts w:ascii="Gill Sans MT" w:hAnsi="Gill Sans MT"/>
          <w:sz w:val="20"/>
          <w:szCs w:val="12"/>
        </w:rPr>
        <w:t>six sectors already represents a wider scope for productive partnership than was achieved in any of these countries</w:t>
      </w:r>
      <w:r w:rsidR="00EB34FF" w:rsidRPr="007A37DB">
        <w:rPr>
          <w:rFonts w:ascii="Gill Sans MT" w:hAnsi="Gill Sans MT"/>
          <w:sz w:val="20"/>
          <w:szCs w:val="12"/>
        </w:rPr>
        <w:t>, where successful partnership was generally limited to education, and in some cases heal</w:t>
      </w:r>
      <w:r w:rsidR="000E5674">
        <w:rPr>
          <w:rFonts w:ascii="Gill Sans MT" w:hAnsi="Gill Sans MT"/>
          <w:sz w:val="20"/>
          <w:szCs w:val="12"/>
        </w:rPr>
        <w:t xml:space="preserve">th or roads, as well as PFM, </w:t>
      </w:r>
      <w:r w:rsidR="00EB34FF" w:rsidRPr="007A37DB">
        <w:rPr>
          <w:rFonts w:ascii="Gill Sans MT" w:hAnsi="Gill Sans MT"/>
          <w:sz w:val="20"/>
          <w:szCs w:val="12"/>
        </w:rPr>
        <w:t>macroeconomic management</w:t>
      </w:r>
      <w:r w:rsidR="000E5674">
        <w:rPr>
          <w:rFonts w:ascii="Gill Sans MT" w:hAnsi="Gill Sans MT"/>
          <w:sz w:val="20"/>
          <w:szCs w:val="12"/>
        </w:rPr>
        <w:t xml:space="preserve"> and certain aspects of governance</w:t>
      </w:r>
      <w:r w:rsidR="00DB7E95">
        <w:rPr>
          <w:rFonts w:ascii="Gill Sans MT" w:hAnsi="Gill Sans MT"/>
          <w:sz w:val="20"/>
          <w:szCs w:val="12"/>
        </w:rPr>
        <w:t xml:space="preserve">. The </w:t>
      </w:r>
      <w:r w:rsidR="00DB7E95" w:rsidRPr="00DB7E95">
        <w:rPr>
          <w:rFonts w:ascii="Gill Sans MT" w:hAnsi="Gill Sans MT"/>
          <w:sz w:val="20"/>
          <w:szCs w:val="12"/>
        </w:rPr>
        <w:t>PAFs in each of these countries chose to address more than six sectors or thematic areas: 10-12 in Zambia, Mozambique and Tanzania and 8 in Mali, which possibly as a result was characterised by the most harmonious and productive policy dialogue of the four.</w:t>
      </w:r>
      <w:r w:rsidR="0025281B" w:rsidRPr="007A37DB">
        <w:rPr>
          <w:rFonts w:ascii="Gill Sans MT" w:hAnsi="Gill Sans MT"/>
          <w:sz w:val="20"/>
          <w:szCs w:val="12"/>
        </w:rPr>
        <w:t xml:space="preserve"> </w:t>
      </w:r>
      <w:r w:rsidR="00DB7E95">
        <w:rPr>
          <w:rFonts w:ascii="Gill Sans MT" w:hAnsi="Gill Sans MT"/>
          <w:sz w:val="20"/>
          <w:szCs w:val="12"/>
        </w:rPr>
        <w:t xml:space="preserve"> Thus, a lack of focus in the policy dialogue appears to have been part of the problem.</w:t>
      </w:r>
    </w:p>
    <w:p w14:paraId="186AED86" w14:textId="77777777" w:rsidR="005866F8" w:rsidRPr="007A37DB" w:rsidRDefault="005708A8" w:rsidP="007A37DB">
      <w:pPr>
        <w:pStyle w:val="BodyText"/>
        <w:numPr>
          <w:ilvl w:val="0"/>
          <w:numId w:val="2"/>
        </w:numPr>
        <w:spacing w:line="360" w:lineRule="auto"/>
        <w:ind w:left="499" w:hanging="357"/>
        <w:rPr>
          <w:rFonts w:ascii="Gill Sans MT" w:hAnsi="Gill Sans MT"/>
          <w:sz w:val="20"/>
          <w:szCs w:val="12"/>
        </w:rPr>
      </w:pPr>
      <w:r w:rsidRPr="007A37DB">
        <w:rPr>
          <w:rFonts w:ascii="Gill Sans MT" w:hAnsi="Gill Sans MT"/>
          <w:sz w:val="20"/>
          <w:szCs w:val="12"/>
        </w:rPr>
        <w:t xml:space="preserve">Context may also place a limit on the extent to which alignment of interests between Development Partners and Government proves possible. </w:t>
      </w:r>
      <w:r w:rsidR="009D39E9" w:rsidRPr="007A37DB">
        <w:rPr>
          <w:rFonts w:ascii="Gill Sans MT" w:hAnsi="Gill Sans MT"/>
          <w:sz w:val="20"/>
          <w:szCs w:val="12"/>
        </w:rPr>
        <w:t>There would appear to be two significant factors in this respect:  t</w:t>
      </w:r>
      <w:r w:rsidRPr="007A37DB">
        <w:rPr>
          <w:rFonts w:ascii="Gill Sans MT" w:hAnsi="Gill Sans MT"/>
          <w:sz w:val="20"/>
          <w:szCs w:val="12"/>
        </w:rPr>
        <w:t xml:space="preserve">he number of partners involved </w:t>
      </w:r>
      <w:r w:rsidR="009D39E9" w:rsidRPr="007A37DB">
        <w:rPr>
          <w:rFonts w:ascii="Gill Sans MT" w:hAnsi="Gill Sans MT"/>
          <w:sz w:val="20"/>
          <w:szCs w:val="12"/>
        </w:rPr>
        <w:t>and the quality of donor</w:t>
      </w:r>
      <w:r w:rsidR="00CB23EE">
        <w:rPr>
          <w:rFonts w:ascii="Gill Sans MT" w:hAnsi="Gill Sans MT"/>
          <w:sz w:val="20"/>
          <w:szCs w:val="12"/>
        </w:rPr>
        <w:t>-donor</w:t>
      </w:r>
      <w:r w:rsidR="009D39E9" w:rsidRPr="007A37DB">
        <w:rPr>
          <w:rFonts w:ascii="Gill Sans MT" w:hAnsi="Gill Sans MT"/>
          <w:sz w:val="20"/>
          <w:szCs w:val="12"/>
        </w:rPr>
        <w:t xml:space="preserve"> relations. On </w:t>
      </w:r>
      <w:r w:rsidR="00CB23EE">
        <w:rPr>
          <w:rFonts w:ascii="Gill Sans MT" w:hAnsi="Gill Sans MT"/>
          <w:sz w:val="20"/>
          <w:szCs w:val="12"/>
        </w:rPr>
        <w:t>the issue of numbers</w:t>
      </w:r>
      <w:r w:rsidR="009D39E9" w:rsidRPr="007A37DB">
        <w:rPr>
          <w:rFonts w:ascii="Gill Sans MT" w:hAnsi="Gill Sans MT"/>
          <w:sz w:val="20"/>
          <w:szCs w:val="12"/>
        </w:rPr>
        <w:t xml:space="preserve">, </w:t>
      </w:r>
      <w:r w:rsidRPr="007A37DB">
        <w:rPr>
          <w:rFonts w:ascii="Gill Sans MT" w:hAnsi="Gill Sans MT"/>
          <w:sz w:val="20"/>
          <w:szCs w:val="12"/>
        </w:rPr>
        <w:t>it seems more than a coincidence</w:t>
      </w:r>
      <w:r w:rsidR="00B8271E" w:rsidRPr="007A37DB">
        <w:rPr>
          <w:rFonts w:ascii="Gill Sans MT" w:hAnsi="Gill Sans MT"/>
          <w:sz w:val="20"/>
          <w:szCs w:val="12"/>
        </w:rPr>
        <w:t xml:space="preserve">, that Mali with 10 budget support partners enjoyed better dialogue than Mozambique with 19 or Tanzania with 14. However, the nine partners in Zambia still struggled to achieve harmonised positions amongst themselves and to align with government outside of health, education and PFM. </w:t>
      </w:r>
    </w:p>
    <w:p w14:paraId="5926F6BC" w14:textId="77777777" w:rsidR="004565F1" w:rsidRDefault="001549E8" w:rsidP="007A37DB">
      <w:pPr>
        <w:pStyle w:val="BodyText"/>
        <w:numPr>
          <w:ilvl w:val="0"/>
          <w:numId w:val="2"/>
        </w:numPr>
        <w:spacing w:line="360" w:lineRule="auto"/>
        <w:ind w:left="499" w:hanging="357"/>
        <w:rPr>
          <w:rFonts w:ascii="Gill Sans MT" w:hAnsi="Gill Sans MT"/>
          <w:sz w:val="20"/>
          <w:szCs w:val="12"/>
        </w:rPr>
      </w:pPr>
      <w:r w:rsidRPr="007A37DB">
        <w:rPr>
          <w:rFonts w:ascii="Gill Sans MT" w:hAnsi="Gill Sans MT"/>
          <w:sz w:val="20"/>
          <w:szCs w:val="12"/>
        </w:rPr>
        <w:t>This suggests that the quality of donor relations with government and the quality of intra-donor relations may in fact represent more significant constraints than has previously been thought. Mali again benefitted from good donor</w:t>
      </w:r>
      <w:r w:rsidR="00CB23EE">
        <w:rPr>
          <w:rFonts w:ascii="Gill Sans MT" w:hAnsi="Gill Sans MT"/>
          <w:sz w:val="20"/>
          <w:szCs w:val="12"/>
        </w:rPr>
        <w:t xml:space="preserve">-government </w:t>
      </w:r>
      <w:r w:rsidRPr="007A37DB">
        <w:rPr>
          <w:rFonts w:ascii="Gill Sans MT" w:hAnsi="Gill Sans MT"/>
          <w:sz w:val="20"/>
          <w:szCs w:val="12"/>
        </w:rPr>
        <w:t xml:space="preserve">relations, whereas </w:t>
      </w:r>
      <w:r w:rsidR="00291DD2" w:rsidRPr="007A37DB">
        <w:rPr>
          <w:rFonts w:ascii="Gill Sans MT" w:hAnsi="Gill Sans MT"/>
          <w:sz w:val="20"/>
          <w:szCs w:val="12"/>
        </w:rPr>
        <w:t xml:space="preserve">in Zambia Tanzania and Mozambique, they deteriorated quickly following governance and corruption concerns and remained poor for a long time subsequently. </w:t>
      </w:r>
    </w:p>
    <w:p w14:paraId="46D467F5" w14:textId="77777777" w:rsidR="00291DD2" w:rsidRDefault="004565F1" w:rsidP="007A37DB">
      <w:pPr>
        <w:pStyle w:val="BodyText"/>
        <w:numPr>
          <w:ilvl w:val="0"/>
          <w:numId w:val="2"/>
        </w:numPr>
        <w:spacing w:line="360" w:lineRule="auto"/>
        <w:ind w:left="499" w:hanging="357"/>
        <w:rPr>
          <w:rFonts w:ascii="Gill Sans MT" w:hAnsi="Gill Sans MT"/>
          <w:sz w:val="20"/>
          <w:szCs w:val="12"/>
        </w:rPr>
      </w:pPr>
      <w:r>
        <w:rPr>
          <w:rFonts w:ascii="Gill Sans MT" w:hAnsi="Gill Sans MT"/>
          <w:b/>
          <w:sz w:val="20"/>
          <w:szCs w:val="12"/>
        </w:rPr>
        <w:t xml:space="preserve">A first hypothesis </w:t>
      </w:r>
      <w:r w:rsidRPr="003F2369">
        <w:rPr>
          <w:rFonts w:ascii="Gill Sans MT" w:hAnsi="Gill Sans MT"/>
          <w:b/>
          <w:sz w:val="20"/>
          <w:szCs w:val="12"/>
        </w:rPr>
        <w:t>is that</w:t>
      </w:r>
      <w:r w:rsidR="0002140C">
        <w:rPr>
          <w:rFonts w:ascii="Gill Sans MT" w:hAnsi="Gill Sans MT"/>
          <w:b/>
          <w:sz w:val="20"/>
          <w:szCs w:val="12"/>
        </w:rPr>
        <w:t xml:space="preserve"> there must be trust and confidence within donor-government relations</w:t>
      </w:r>
      <w:r>
        <w:rPr>
          <w:rFonts w:ascii="Gill Sans MT" w:hAnsi="Gill Sans MT"/>
          <w:b/>
          <w:sz w:val="20"/>
          <w:szCs w:val="12"/>
        </w:rPr>
        <w:t xml:space="preserve"> for a </w:t>
      </w:r>
      <w:r w:rsidRPr="003F2369">
        <w:rPr>
          <w:rFonts w:ascii="Gill Sans MT" w:hAnsi="Gill Sans MT"/>
          <w:b/>
          <w:sz w:val="20"/>
          <w:szCs w:val="12"/>
        </w:rPr>
        <w:t>successful policy dialogue and successful sector outcomes</w:t>
      </w:r>
      <w:r>
        <w:rPr>
          <w:rFonts w:ascii="Gill Sans MT" w:hAnsi="Gill Sans MT"/>
          <w:b/>
          <w:sz w:val="20"/>
          <w:szCs w:val="12"/>
        </w:rPr>
        <w:t xml:space="preserve">. </w:t>
      </w:r>
      <w:r w:rsidR="001A36AB" w:rsidRPr="007A37DB">
        <w:rPr>
          <w:rFonts w:ascii="Gill Sans MT" w:hAnsi="Gill Sans MT"/>
          <w:sz w:val="20"/>
          <w:szCs w:val="12"/>
        </w:rPr>
        <w:t>The evidence from these countries suggests</w:t>
      </w:r>
      <w:r w:rsidR="00775F3F">
        <w:rPr>
          <w:rFonts w:ascii="Gill Sans MT" w:hAnsi="Gill Sans MT"/>
          <w:sz w:val="20"/>
          <w:szCs w:val="12"/>
        </w:rPr>
        <w:t xml:space="preserve"> that once trust is lost, it will not be restored automatically</w:t>
      </w:r>
      <w:r w:rsidR="001A36AB" w:rsidRPr="007A37DB">
        <w:rPr>
          <w:rFonts w:ascii="Gill Sans MT" w:hAnsi="Gill Sans MT"/>
          <w:sz w:val="20"/>
          <w:szCs w:val="12"/>
        </w:rPr>
        <w:t xml:space="preserve">: deliberate efforts are needed, probably involving outside agents </w:t>
      </w:r>
      <w:r w:rsidR="00775F3F">
        <w:rPr>
          <w:rFonts w:ascii="Gill Sans MT" w:hAnsi="Gill Sans MT"/>
          <w:sz w:val="20"/>
          <w:szCs w:val="12"/>
        </w:rPr>
        <w:t>such as</w:t>
      </w:r>
      <w:r w:rsidR="00775F3F" w:rsidRPr="007A37DB">
        <w:rPr>
          <w:rFonts w:ascii="Gill Sans MT" w:hAnsi="Gill Sans MT"/>
          <w:sz w:val="20"/>
          <w:szCs w:val="12"/>
        </w:rPr>
        <w:t xml:space="preserve"> outside facilitators or resource persons</w:t>
      </w:r>
      <w:r w:rsidR="00775F3F">
        <w:rPr>
          <w:rFonts w:ascii="Gill Sans MT" w:hAnsi="Gill Sans MT"/>
          <w:sz w:val="20"/>
          <w:szCs w:val="12"/>
        </w:rPr>
        <w:t>, who may be</w:t>
      </w:r>
      <w:r w:rsidR="001A36AB" w:rsidRPr="007A37DB">
        <w:rPr>
          <w:rFonts w:ascii="Gill Sans MT" w:hAnsi="Gill Sans MT"/>
          <w:sz w:val="20"/>
          <w:szCs w:val="12"/>
        </w:rPr>
        <w:t xml:space="preserve"> in a position to take a more objective or more “arm’s l</w:t>
      </w:r>
      <w:r w:rsidR="00775F3F">
        <w:rPr>
          <w:rFonts w:ascii="Gill Sans MT" w:hAnsi="Gill Sans MT"/>
          <w:sz w:val="20"/>
          <w:szCs w:val="12"/>
        </w:rPr>
        <w:t>ength” viewpoint</w:t>
      </w:r>
      <w:r w:rsidR="003F2369">
        <w:rPr>
          <w:rStyle w:val="FootnoteReference"/>
          <w:rFonts w:ascii="Gill Sans MT" w:hAnsi="Gill Sans MT"/>
          <w:sz w:val="20"/>
          <w:szCs w:val="12"/>
        </w:rPr>
        <w:footnoteReference w:id="33"/>
      </w:r>
      <w:r w:rsidR="00775F3F">
        <w:rPr>
          <w:rFonts w:ascii="Gill Sans MT" w:hAnsi="Gill Sans MT"/>
          <w:sz w:val="20"/>
          <w:szCs w:val="12"/>
        </w:rPr>
        <w:t>.</w:t>
      </w:r>
      <w:r w:rsidR="00884682" w:rsidRPr="007A37DB">
        <w:rPr>
          <w:rFonts w:ascii="Gill Sans MT" w:hAnsi="Gill Sans MT"/>
          <w:sz w:val="20"/>
          <w:szCs w:val="12"/>
        </w:rPr>
        <w:t xml:space="preserve"> </w:t>
      </w:r>
      <w:r w:rsidRPr="004565F1">
        <w:rPr>
          <w:rFonts w:ascii="Gill Sans MT" w:hAnsi="Gill Sans MT"/>
          <w:sz w:val="20"/>
          <w:szCs w:val="12"/>
        </w:rPr>
        <w:t xml:space="preserve">If donor-government </w:t>
      </w:r>
      <w:r w:rsidR="00884682" w:rsidRPr="004565F1">
        <w:rPr>
          <w:rFonts w:ascii="Gill Sans MT" w:hAnsi="Gill Sans MT"/>
          <w:sz w:val="20"/>
          <w:szCs w:val="12"/>
        </w:rPr>
        <w:t xml:space="preserve"> </w:t>
      </w:r>
      <w:r w:rsidRPr="004565F1">
        <w:rPr>
          <w:rFonts w:ascii="Gill Sans MT" w:hAnsi="Gill Sans MT"/>
          <w:sz w:val="20"/>
          <w:szCs w:val="12"/>
        </w:rPr>
        <w:t>relations are poor</w:t>
      </w:r>
      <w:r>
        <w:rPr>
          <w:rFonts w:ascii="Gill Sans MT" w:hAnsi="Gill Sans MT"/>
          <w:sz w:val="20"/>
          <w:szCs w:val="12"/>
        </w:rPr>
        <w:t xml:space="preserve"> at the outset and this </w:t>
      </w:r>
      <w:r w:rsidRPr="004565F1">
        <w:rPr>
          <w:rFonts w:ascii="Gill Sans MT" w:hAnsi="Gill Sans MT"/>
          <w:sz w:val="20"/>
          <w:szCs w:val="12"/>
        </w:rPr>
        <w:t xml:space="preserve">is </w:t>
      </w:r>
      <w:r w:rsidR="00D965B7" w:rsidRPr="004565F1">
        <w:rPr>
          <w:rFonts w:ascii="Gill Sans MT" w:hAnsi="Gill Sans MT"/>
          <w:sz w:val="20"/>
          <w:szCs w:val="12"/>
        </w:rPr>
        <w:t>not deliberately and systematically addressed</w:t>
      </w:r>
      <w:r>
        <w:rPr>
          <w:rFonts w:ascii="Gill Sans MT" w:hAnsi="Gill Sans MT"/>
          <w:sz w:val="20"/>
          <w:szCs w:val="12"/>
        </w:rPr>
        <w:t>, it</w:t>
      </w:r>
      <w:r w:rsidRPr="004565F1">
        <w:rPr>
          <w:rFonts w:ascii="Gill Sans MT" w:hAnsi="Gill Sans MT"/>
          <w:sz w:val="20"/>
          <w:szCs w:val="12"/>
        </w:rPr>
        <w:t xml:space="preserve"> </w:t>
      </w:r>
      <w:r w:rsidR="0029236A" w:rsidRPr="004565F1">
        <w:rPr>
          <w:rFonts w:ascii="Gill Sans MT" w:hAnsi="Gill Sans MT"/>
          <w:sz w:val="20"/>
          <w:szCs w:val="12"/>
        </w:rPr>
        <w:t>is likely</w:t>
      </w:r>
      <w:r w:rsidR="00D965B7" w:rsidRPr="004565F1">
        <w:rPr>
          <w:rFonts w:ascii="Gill Sans MT" w:hAnsi="Gill Sans MT"/>
          <w:sz w:val="20"/>
          <w:szCs w:val="12"/>
        </w:rPr>
        <w:t xml:space="preserve"> </w:t>
      </w:r>
      <w:r w:rsidR="0029236A" w:rsidRPr="004565F1">
        <w:rPr>
          <w:rFonts w:ascii="Gill Sans MT" w:hAnsi="Gill Sans MT"/>
          <w:sz w:val="20"/>
          <w:szCs w:val="12"/>
        </w:rPr>
        <w:t xml:space="preserve">to </w:t>
      </w:r>
      <w:r w:rsidR="00D965B7" w:rsidRPr="004565F1">
        <w:rPr>
          <w:rFonts w:ascii="Gill Sans MT" w:hAnsi="Gill Sans MT"/>
          <w:sz w:val="20"/>
          <w:szCs w:val="12"/>
        </w:rPr>
        <w:t xml:space="preserve">prove to be a binding constraint on the scope of successful policy dialogue. </w:t>
      </w:r>
    </w:p>
    <w:p w14:paraId="5DA4FDCA" w14:textId="77777777" w:rsidR="00821C65" w:rsidRPr="00891C52" w:rsidRDefault="00821C65" w:rsidP="00891C52">
      <w:pPr>
        <w:pStyle w:val="Heading3"/>
      </w:pPr>
      <w:r w:rsidRPr="00891C52">
        <w:lastRenderedPageBreak/>
        <w:t>Or mechanisms?</w:t>
      </w:r>
    </w:p>
    <w:p w14:paraId="1DA91BC8" w14:textId="77777777" w:rsidR="00DF1605" w:rsidRPr="007A37DB" w:rsidRDefault="00D965B7" w:rsidP="004C029B">
      <w:pPr>
        <w:pStyle w:val="BodyText"/>
        <w:numPr>
          <w:ilvl w:val="0"/>
          <w:numId w:val="2"/>
        </w:numPr>
        <w:spacing w:line="360" w:lineRule="auto"/>
        <w:ind w:left="499" w:hanging="357"/>
        <w:rPr>
          <w:rFonts w:ascii="Gill Sans MT" w:hAnsi="Gill Sans MT"/>
          <w:sz w:val="20"/>
          <w:szCs w:val="12"/>
        </w:rPr>
      </w:pPr>
      <w:r w:rsidRPr="007A37DB">
        <w:rPr>
          <w:rFonts w:ascii="Gill Sans MT" w:hAnsi="Gill Sans MT"/>
          <w:sz w:val="20"/>
          <w:szCs w:val="12"/>
        </w:rPr>
        <w:t xml:space="preserve">How effective were the budget support mechanisms? </w:t>
      </w:r>
      <w:r w:rsidR="001A4879">
        <w:rPr>
          <w:rFonts w:ascii="Gill Sans MT" w:hAnsi="Gill Sans MT"/>
          <w:sz w:val="20"/>
          <w:szCs w:val="12"/>
        </w:rPr>
        <w:t xml:space="preserve">Our analysis </w:t>
      </w:r>
      <w:r w:rsidR="004C029B">
        <w:rPr>
          <w:rFonts w:ascii="Gill Sans MT" w:hAnsi="Gill Sans MT"/>
          <w:sz w:val="20"/>
          <w:szCs w:val="12"/>
        </w:rPr>
        <w:t xml:space="preserve">above pointed to several </w:t>
      </w:r>
      <w:r w:rsidR="00FC6E9F" w:rsidRPr="007A37DB">
        <w:rPr>
          <w:rFonts w:ascii="Gill Sans MT" w:hAnsi="Gill Sans MT"/>
          <w:sz w:val="20"/>
          <w:szCs w:val="12"/>
        </w:rPr>
        <w:t>areas, where a reasonable degree of operational e</w:t>
      </w:r>
      <w:r w:rsidR="004C029B">
        <w:rPr>
          <w:rFonts w:ascii="Gill Sans MT" w:hAnsi="Gill Sans MT"/>
          <w:sz w:val="20"/>
          <w:szCs w:val="12"/>
        </w:rPr>
        <w:t xml:space="preserve">fficiency has been attained but also to </w:t>
      </w:r>
      <w:r w:rsidR="00FC6E9F" w:rsidRPr="007A37DB">
        <w:rPr>
          <w:rFonts w:ascii="Gill Sans MT" w:hAnsi="Gill Sans MT"/>
          <w:sz w:val="20"/>
          <w:szCs w:val="12"/>
        </w:rPr>
        <w:t>two rather dee</w:t>
      </w:r>
      <w:r w:rsidR="00DB7E95">
        <w:rPr>
          <w:rFonts w:ascii="Gill Sans MT" w:hAnsi="Gill Sans MT"/>
          <w:sz w:val="20"/>
          <w:szCs w:val="12"/>
        </w:rPr>
        <w:t>p fault-lines, where processes we</w:t>
      </w:r>
      <w:r w:rsidR="00FC6E9F" w:rsidRPr="007A37DB">
        <w:rPr>
          <w:rFonts w:ascii="Gill Sans MT" w:hAnsi="Gill Sans MT"/>
          <w:sz w:val="20"/>
          <w:szCs w:val="12"/>
        </w:rPr>
        <w:t>re not working adequately:</w:t>
      </w:r>
    </w:p>
    <w:p w14:paraId="7B9B829F" w14:textId="77777777" w:rsidR="00162951" w:rsidRPr="000E5674" w:rsidRDefault="00FC6E9F" w:rsidP="00D81DB3">
      <w:pPr>
        <w:pStyle w:val="BodyText"/>
        <w:numPr>
          <w:ilvl w:val="0"/>
          <w:numId w:val="25"/>
        </w:numPr>
        <w:spacing w:line="360" w:lineRule="auto"/>
        <w:rPr>
          <w:rFonts w:ascii="Gill Sans MT" w:hAnsi="Gill Sans MT"/>
          <w:sz w:val="20"/>
          <w:szCs w:val="12"/>
          <w:lang w:val="en-GB"/>
        </w:rPr>
      </w:pPr>
      <w:r w:rsidRPr="000E5674">
        <w:rPr>
          <w:rFonts w:ascii="Gill Sans MT" w:hAnsi="Gill Sans MT"/>
          <w:sz w:val="20"/>
          <w:szCs w:val="12"/>
          <w:lang w:val="en-GB"/>
        </w:rPr>
        <w:t>Following an initial ‘learning and adaptation period’, budget support has broadly succeeded in establishing mechanisms to ensure predictability in disbursements. This relates both to the overall level of disbursements relative to budgeted commitments and to the timing of disbursements within year.</w:t>
      </w:r>
    </w:p>
    <w:p w14:paraId="17EF0C18" w14:textId="77777777" w:rsidR="00B864A6" w:rsidRPr="000E5674" w:rsidRDefault="00FC6E9F" w:rsidP="00D81DB3">
      <w:pPr>
        <w:pStyle w:val="BodyText"/>
        <w:numPr>
          <w:ilvl w:val="0"/>
          <w:numId w:val="25"/>
        </w:numPr>
        <w:spacing w:line="360" w:lineRule="auto"/>
        <w:rPr>
          <w:rFonts w:ascii="Gill Sans MT" w:hAnsi="Gill Sans MT"/>
          <w:sz w:val="20"/>
          <w:szCs w:val="12"/>
          <w:lang w:val="en-GB"/>
        </w:rPr>
      </w:pPr>
      <w:r w:rsidRPr="000E5674">
        <w:rPr>
          <w:rFonts w:ascii="Gill Sans MT" w:hAnsi="Gill Sans MT"/>
          <w:sz w:val="20"/>
          <w:szCs w:val="12"/>
          <w:lang w:val="en-GB"/>
        </w:rPr>
        <w:t>Harmonised</w:t>
      </w:r>
      <w:r w:rsidR="00B864A6" w:rsidRPr="000E5674">
        <w:rPr>
          <w:rFonts w:ascii="Gill Sans MT" w:hAnsi="Gill Sans MT"/>
          <w:sz w:val="20"/>
          <w:szCs w:val="12"/>
          <w:lang w:val="en-GB"/>
        </w:rPr>
        <w:t xml:space="preserve"> processes have been established for managing the </w:t>
      </w:r>
      <w:r w:rsidRPr="000E5674">
        <w:rPr>
          <w:rFonts w:ascii="Gill Sans MT" w:hAnsi="Gill Sans MT"/>
          <w:sz w:val="20"/>
          <w:szCs w:val="12"/>
          <w:lang w:val="en-GB"/>
        </w:rPr>
        <w:t>annual assessment</w:t>
      </w:r>
      <w:r w:rsidR="00B864A6" w:rsidRPr="000E5674">
        <w:rPr>
          <w:rFonts w:ascii="Gill Sans MT" w:hAnsi="Gill Sans MT"/>
          <w:sz w:val="20"/>
          <w:szCs w:val="12"/>
          <w:lang w:val="en-GB"/>
        </w:rPr>
        <w:t xml:space="preserve"> of progress and for coordinating disbursement decision-making.  Considering some of the underlying differences in the perceived objectives of budget support of the different Development Partners, this is a significant achievement.</w:t>
      </w:r>
    </w:p>
    <w:p w14:paraId="48AFB1C9" w14:textId="77777777" w:rsidR="004C029B" w:rsidRPr="000E5674" w:rsidRDefault="004C029B" w:rsidP="00D81DB3">
      <w:pPr>
        <w:pStyle w:val="BodyText"/>
        <w:numPr>
          <w:ilvl w:val="0"/>
          <w:numId w:val="25"/>
        </w:numPr>
        <w:spacing w:line="360" w:lineRule="auto"/>
        <w:rPr>
          <w:rFonts w:ascii="Gill Sans MT" w:hAnsi="Gill Sans MT"/>
          <w:sz w:val="20"/>
          <w:szCs w:val="12"/>
          <w:lang w:val="en-GB"/>
        </w:rPr>
      </w:pPr>
      <w:r w:rsidRPr="000E5674">
        <w:rPr>
          <w:rFonts w:ascii="Gill Sans MT" w:hAnsi="Gill Sans MT"/>
          <w:sz w:val="20"/>
          <w:szCs w:val="12"/>
          <w:lang w:val="en-GB"/>
        </w:rPr>
        <w:t>Budget support has generally succeeded in boosting the resources available for discretionary expenditure, without generating disincentive effects for domestic revenue generation</w:t>
      </w:r>
      <w:r w:rsidR="009F13F1" w:rsidRPr="000E5674">
        <w:rPr>
          <w:rFonts w:ascii="Gill Sans MT" w:hAnsi="Gill Sans MT"/>
          <w:sz w:val="20"/>
          <w:szCs w:val="12"/>
          <w:lang w:val="en-GB"/>
        </w:rPr>
        <w:t>.</w:t>
      </w:r>
    </w:p>
    <w:p w14:paraId="17444749" w14:textId="77777777" w:rsidR="009F13F1" w:rsidRPr="000E5674" w:rsidRDefault="009F13F1" w:rsidP="00D81DB3">
      <w:pPr>
        <w:pStyle w:val="BodyText"/>
        <w:numPr>
          <w:ilvl w:val="0"/>
          <w:numId w:val="25"/>
        </w:numPr>
        <w:spacing w:line="360" w:lineRule="auto"/>
        <w:rPr>
          <w:rFonts w:ascii="Gill Sans MT" w:hAnsi="Gill Sans MT"/>
          <w:sz w:val="20"/>
          <w:szCs w:val="12"/>
          <w:lang w:val="en-GB"/>
        </w:rPr>
      </w:pPr>
      <w:r w:rsidRPr="000E5674">
        <w:rPr>
          <w:rFonts w:ascii="Gill Sans MT" w:hAnsi="Gill Sans MT"/>
          <w:sz w:val="20"/>
          <w:szCs w:val="12"/>
          <w:lang w:val="en-GB"/>
        </w:rPr>
        <w:t>It has also succeeded in channelling those additional resources towards priority sectors, and moreover has helped to crowd-in additional domestic funding for priority sectors.</w:t>
      </w:r>
    </w:p>
    <w:p w14:paraId="316F7823" w14:textId="77777777" w:rsidR="00B864A6" w:rsidRPr="000E5674" w:rsidRDefault="00B864A6" w:rsidP="00D81DB3">
      <w:pPr>
        <w:pStyle w:val="BodyText"/>
        <w:numPr>
          <w:ilvl w:val="0"/>
          <w:numId w:val="25"/>
        </w:numPr>
        <w:spacing w:line="360" w:lineRule="auto"/>
        <w:rPr>
          <w:rFonts w:ascii="Gill Sans MT" w:hAnsi="Gill Sans MT"/>
          <w:sz w:val="20"/>
          <w:szCs w:val="12"/>
          <w:lang w:val="en-GB"/>
        </w:rPr>
      </w:pPr>
      <w:r w:rsidRPr="000E5674">
        <w:rPr>
          <w:rFonts w:ascii="Gill Sans MT" w:hAnsi="Gill Sans MT"/>
          <w:sz w:val="20"/>
          <w:szCs w:val="12"/>
          <w:lang w:val="en-GB"/>
        </w:rPr>
        <w:t>The two big “fault-lines” relate t</w:t>
      </w:r>
      <w:r w:rsidR="00775F3F">
        <w:rPr>
          <w:rFonts w:ascii="Gill Sans MT" w:hAnsi="Gill Sans MT"/>
          <w:sz w:val="20"/>
          <w:szCs w:val="12"/>
          <w:lang w:val="en-GB"/>
        </w:rPr>
        <w:t xml:space="preserve">o the policy dialogue </w:t>
      </w:r>
      <w:r w:rsidRPr="000E5674">
        <w:rPr>
          <w:rFonts w:ascii="Gill Sans MT" w:hAnsi="Gill Sans MT"/>
          <w:sz w:val="20"/>
          <w:szCs w:val="12"/>
          <w:lang w:val="en-GB"/>
        </w:rPr>
        <w:t>and the process of defining and monitoring underlying principles and responding to suspected breaches of the principles.</w:t>
      </w:r>
    </w:p>
    <w:p w14:paraId="1C60AE89" w14:textId="77777777" w:rsidR="00FC748D" w:rsidRPr="007A37DB" w:rsidRDefault="00775F3F" w:rsidP="007A37DB">
      <w:pPr>
        <w:pStyle w:val="BodyText"/>
        <w:numPr>
          <w:ilvl w:val="0"/>
          <w:numId w:val="2"/>
        </w:numPr>
        <w:spacing w:line="360" w:lineRule="auto"/>
        <w:ind w:left="499" w:hanging="357"/>
        <w:rPr>
          <w:rFonts w:ascii="Gill Sans MT" w:hAnsi="Gill Sans MT"/>
          <w:sz w:val="20"/>
          <w:szCs w:val="12"/>
        </w:rPr>
      </w:pPr>
      <w:r>
        <w:rPr>
          <w:rFonts w:ascii="Gill Sans MT" w:hAnsi="Gill Sans MT"/>
          <w:sz w:val="20"/>
          <w:szCs w:val="12"/>
        </w:rPr>
        <w:t xml:space="preserve">The </w:t>
      </w:r>
      <w:r w:rsidR="00DD15B7" w:rsidRPr="007A37DB">
        <w:rPr>
          <w:rFonts w:ascii="Gill Sans MT" w:hAnsi="Gill Sans MT"/>
          <w:sz w:val="20"/>
          <w:szCs w:val="12"/>
        </w:rPr>
        <w:t xml:space="preserve">policy dialogue was perhaps especially poor in Tanzania </w:t>
      </w:r>
      <w:r w:rsidR="00C72082" w:rsidRPr="007A37DB">
        <w:rPr>
          <w:rFonts w:ascii="Gill Sans MT" w:hAnsi="Gill Sans MT"/>
          <w:sz w:val="20"/>
          <w:szCs w:val="12"/>
        </w:rPr>
        <w:t xml:space="preserve">post 2008 </w:t>
      </w:r>
      <w:r w:rsidR="00681C0C" w:rsidRPr="007A37DB">
        <w:rPr>
          <w:rFonts w:ascii="Gill Sans MT" w:hAnsi="Gill Sans MT"/>
          <w:sz w:val="20"/>
          <w:szCs w:val="12"/>
        </w:rPr>
        <w:t>but many of the concern</w:t>
      </w:r>
      <w:r w:rsidR="00DD15B7" w:rsidRPr="007A37DB">
        <w:rPr>
          <w:rFonts w:ascii="Gill Sans MT" w:hAnsi="Gill Sans MT"/>
          <w:sz w:val="20"/>
          <w:szCs w:val="12"/>
        </w:rPr>
        <w:t>s identified there were also pr</w:t>
      </w:r>
      <w:r w:rsidR="00C72082" w:rsidRPr="007A37DB">
        <w:rPr>
          <w:rFonts w:ascii="Gill Sans MT" w:hAnsi="Gill Sans MT"/>
          <w:sz w:val="20"/>
          <w:szCs w:val="12"/>
        </w:rPr>
        <w:t xml:space="preserve">esent in Zambia and Mozambique, albeit to a lesser extent. </w:t>
      </w:r>
      <w:r w:rsidR="005B5235" w:rsidRPr="007A37DB">
        <w:rPr>
          <w:rFonts w:ascii="Gill Sans MT" w:hAnsi="Gill Sans MT"/>
          <w:sz w:val="20"/>
          <w:szCs w:val="12"/>
        </w:rPr>
        <w:t>At the root of the problem</w:t>
      </w:r>
      <w:r w:rsidR="00D4744E" w:rsidRPr="007A37DB">
        <w:rPr>
          <w:rFonts w:ascii="Gill Sans MT" w:hAnsi="Gill Sans MT"/>
          <w:sz w:val="20"/>
          <w:szCs w:val="12"/>
        </w:rPr>
        <w:t xml:space="preserve"> lies the fact that </w:t>
      </w:r>
      <w:r w:rsidR="00836EAE" w:rsidRPr="007A37DB">
        <w:rPr>
          <w:rFonts w:ascii="Gill Sans MT" w:hAnsi="Gill Sans MT"/>
          <w:sz w:val="20"/>
          <w:szCs w:val="12"/>
        </w:rPr>
        <w:t>the dialogue framework has a dual function: on the one hand it monitors progress with reforms and service delivery process</w:t>
      </w:r>
      <w:r w:rsidR="001A75CF" w:rsidRPr="007A37DB">
        <w:rPr>
          <w:rFonts w:ascii="Gill Sans MT" w:hAnsi="Gill Sans MT"/>
          <w:sz w:val="20"/>
          <w:szCs w:val="12"/>
        </w:rPr>
        <w:t xml:space="preserve">es, as a way of assessing </w:t>
      </w:r>
      <w:r>
        <w:rPr>
          <w:rFonts w:ascii="Gill Sans MT" w:hAnsi="Gill Sans MT"/>
          <w:sz w:val="20"/>
          <w:szCs w:val="12"/>
        </w:rPr>
        <w:t>eligibility for disbursements</w:t>
      </w:r>
      <w:r w:rsidR="00836EAE" w:rsidRPr="007A37DB">
        <w:rPr>
          <w:rFonts w:ascii="Gill Sans MT" w:hAnsi="Gill Sans MT"/>
          <w:sz w:val="20"/>
          <w:szCs w:val="12"/>
        </w:rPr>
        <w:t>, and secondly, it p</w:t>
      </w:r>
      <w:r w:rsidR="009E75D5" w:rsidRPr="007A37DB">
        <w:rPr>
          <w:rFonts w:ascii="Gill Sans MT" w:hAnsi="Gill Sans MT"/>
          <w:sz w:val="20"/>
          <w:szCs w:val="12"/>
        </w:rPr>
        <w:t>rovides a framework for forward-</w:t>
      </w:r>
      <w:r w:rsidR="00836EAE" w:rsidRPr="007A37DB">
        <w:rPr>
          <w:rFonts w:ascii="Gill Sans MT" w:hAnsi="Gill Sans MT"/>
          <w:sz w:val="20"/>
          <w:szCs w:val="12"/>
        </w:rPr>
        <w:t>lo</w:t>
      </w:r>
      <w:r w:rsidR="009E75D5" w:rsidRPr="007A37DB">
        <w:rPr>
          <w:rFonts w:ascii="Gill Sans MT" w:hAnsi="Gill Sans MT"/>
          <w:sz w:val="20"/>
          <w:szCs w:val="12"/>
        </w:rPr>
        <w:t>o</w:t>
      </w:r>
      <w:r w:rsidR="00836EAE" w:rsidRPr="007A37DB">
        <w:rPr>
          <w:rFonts w:ascii="Gill Sans MT" w:hAnsi="Gill Sans MT"/>
          <w:sz w:val="20"/>
          <w:szCs w:val="12"/>
        </w:rPr>
        <w:t xml:space="preserve">king discussions aimed at </w:t>
      </w:r>
      <w:r w:rsidR="00D4744E" w:rsidRPr="007A37DB">
        <w:rPr>
          <w:rFonts w:ascii="Gill Sans MT" w:hAnsi="Gill Sans MT"/>
          <w:sz w:val="20"/>
          <w:szCs w:val="12"/>
        </w:rPr>
        <w:t>strategic problem-solving</w:t>
      </w:r>
      <w:r w:rsidR="00836EAE" w:rsidRPr="007A37DB">
        <w:rPr>
          <w:rFonts w:ascii="Gill Sans MT" w:hAnsi="Gill Sans MT"/>
          <w:sz w:val="20"/>
          <w:szCs w:val="12"/>
        </w:rPr>
        <w:t xml:space="preserve">. </w:t>
      </w:r>
    </w:p>
    <w:p w14:paraId="44146CC0" w14:textId="77777777" w:rsidR="007E2AC6" w:rsidRPr="007A37DB" w:rsidRDefault="009F13F1" w:rsidP="007A37DB">
      <w:pPr>
        <w:pStyle w:val="BodyText"/>
        <w:numPr>
          <w:ilvl w:val="0"/>
          <w:numId w:val="2"/>
        </w:numPr>
        <w:spacing w:line="360" w:lineRule="auto"/>
        <w:ind w:left="499" w:hanging="357"/>
        <w:rPr>
          <w:rFonts w:ascii="Gill Sans MT" w:hAnsi="Gill Sans MT"/>
          <w:sz w:val="20"/>
          <w:szCs w:val="12"/>
        </w:rPr>
      </w:pPr>
      <w:r>
        <w:rPr>
          <w:rFonts w:ascii="Gill Sans MT" w:hAnsi="Gill Sans MT"/>
          <w:sz w:val="20"/>
          <w:szCs w:val="12"/>
        </w:rPr>
        <w:t xml:space="preserve">However, </w:t>
      </w:r>
      <w:r w:rsidR="00836EAE" w:rsidRPr="007A37DB">
        <w:rPr>
          <w:rFonts w:ascii="Gill Sans MT" w:hAnsi="Gill Sans MT"/>
          <w:sz w:val="20"/>
          <w:szCs w:val="12"/>
        </w:rPr>
        <w:t xml:space="preserve">a problem-solving </w:t>
      </w:r>
      <w:r w:rsidR="00D4744E" w:rsidRPr="007A37DB">
        <w:rPr>
          <w:rFonts w:ascii="Gill Sans MT" w:hAnsi="Gill Sans MT"/>
          <w:sz w:val="20"/>
          <w:szCs w:val="12"/>
        </w:rPr>
        <w:t xml:space="preserve">dialogue must be based on partnership and trust: </w:t>
      </w:r>
      <w:r w:rsidR="00681C0C" w:rsidRPr="007A37DB">
        <w:rPr>
          <w:rFonts w:ascii="Gill Sans MT" w:hAnsi="Gill Sans MT"/>
          <w:sz w:val="20"/>
          <w:szCs w:val="12"/>
        </w:rPr>
        <w:t xml:space="preserve">the </w:t>
      </w:r>
      <w:r w:rsidR="0045687E" w:rsidRPr="007A37DB">
        <w:rPr>
          <w:rFonts w:ascii="Gill Sans MT" w:hAnsi="Gill Sans MT"/>
          <w:sz w:val="20"/>
          <w:szCs w:val="12"/>
        </w:rPr>
        <w:t>experience</w:t>
      </w:r>
      <w:r w:rsidR="00681C0C" w:rsidRPr="007A37DB">
        <w:rPr>
          <w:rFonts w:ascii="Gill Sans MT" w:hAnsi="Gill Sans MT"/>
          <w:sz w:val="20"/>
          <w:szCs w:val="12"/>
        </w:rPr>
        <w:t xml:space="preserve"> of Tanzania sugge</w:t>
      </w:r>
      <w:r w:rsidR="001A75CF" w:rsidRPr="007A37DB">
        <w:rPr>
          <w:rFonts w:ascii="Gill Sans MT" w:hAnsi="Gill Sans MT"/>
          <w:sz w:val="20"/>
          <w:szCs w:val="12"/>
        </w:rPr>
        <w:t>s</w:t>
      </w:r>
      <w:r w:rsidR="00681C0C" w:rsidRPr="007A37DB">
        <w:rPr>
          <w:rFonts w:ascii="Gill Sans MT" w:hAnsi="Gill Sans MT"/>
          <w:sz w:val="20"/>
          <w:szCs w:val="12"/>
        </w:rPr>
        <w:t xml:space="preserve">ts that </w:t>
      </w:r>
      <w:r w:rsidR="001A75CF" w:rsidRPr="007A37DB">
        <w:rPr>
          <w:rFonts w:ascii="Gill Sans MT" w:hAnsi="Gill Sans MT"/>
          <w:sz w:val="20"/>
          <w:szCs w:val="12"/>
        </w:rPr>
        <w:t>once the trus</w:t>
      </w:r>
      <w:r w:rsidR="009E75D5" w:rsidRPr="007A37DB">
        <w:rPr>
          <w:rFonts w:ascii="Gill Sans MT" w:hAnsi="Gill Sans MT"/>
          <w:sz w:val="20"/>
          <w:szCs w:val="12"/>
        </w:rPr>
        <w:t>t is diminished</w:t>
      </w:r>
      <w:r w:rsidR="001A75CF" w:rsidRPr="007A37DB">
        <w:rPr>
          <w:rFonts w:ascii="Gill Sans MT" w:hAnsi="Gill Sans MT"/>
          <w:sz w:val="20"/>
          <w:szCs w:val="12"/>
        </w:rPr>
        <w:t>,</w:t>
      </w:r>
      <w:r w:rsidR="00836EAE" w:rsidRPr="007A37DB">
        <w:rPr>
          <w:rFonts w:ascii="Gill Sans MT" w:hAnsi="Gill Sans MT"/>
          <w:sz w:val="20"/>
          <w:szCs w:val="12"/>
        </w:rPr>
        <w:t xml:space="preserve"> the space for a</w:t>
      </w:r>
      <w:r w:rsidR="00D4744E" w:rsidRPr="007A37DB">
        <w:rPr>
          <w:rFonts w:ascii="Gill Sans MT" w:hAnsi="Gill Sans MT"/>
          <w:sz w:val="20"/>
          <w:szCs w:val="12"/>
        </w:rPr>
        <w:t xml:space="preserve"> constructi</w:t>
      </w:r>
      <w:r w:rsidR="0035731B" w:rsidRPr="007A37DB">
        <w:rPr>
          <w:rFonts w:ascii="Gill Sans MT" w:hAnsi="Gill Sans MT"/>
          <w:sz w:val="20"/>
          <w:szCs w:val="12"/>
        </w:rPr>
        <w:t xml:space="preserve">ve process of shared problem </w:t>
      </w:r>
      <w:r w:rsidR="00D4744E" w:rsidRPr="007A37DB">
        <w:rPr>
          <w:rFonts w:ascii="Gill Sans MT" w:hAnsi="Gill Sans MT"/>
          <w:sz w:val="20"/>
          <w:szCs w:val="12"/>
        </w:rPr>
        <w:t>solving</w:t>
      </w:r>
      <w:r w:rsidR="00FC748D" w:rsidRPr="007A37DB">
        <w:rPr>
          <w:rFonts w:ascii="Gill Sans MT" w:hAnsi="Gill Sans MT"/>
          <w:sz w:val="20"/>
          <w:szCs w:val="12"/>
        </w:rPr>
        <w:t xml:space="preserve"> </w:t>
      </w:r>
      <w:r w:rsidR="001A75CF" w:rsidRPr="007A37DB">
        <w:rPr>
          <w:rFonts w:ascii="Gill Sans MT" w:hAnsi="Gill Sans MT"/>
          <w:sz w:val="20"/>
          <w:szCs w:val="12"/>
        </w:rPr>
        <w:t>is lik</w:t>
      </w:r>
      <w:r w:rsidR="009E75D5" w:rsidRPr="007A37DB">
        <w:rPr>
          <w:rFonts w:ascii="Gill Sans MT" w:hAnsi="Gill Sans MT"/>
          <w:sz w:val="20"/>
          <w:szCs w:val="12"/>
        </w:rPr>
        <w:t>el</w:t>
      </w:r>
      <w:r w:rsidR="001A75CF" w:rsidRPr="007A37DB">
        <w:rPr>
          <w:rFonts w:ascii="Gill Sans MT" w:hAnsi="Gill Sans MT"/>
          <w:sz w:val="20"/>
          <w:szCs w:val="12"/>
        </w:rPr>
        <w:t>y to be whittled away</w:t>
      </w:r>
      <w:r w:rsidR="00D4744E" w:rsidRPr="007A37DB">
        <w:rPr>
          <w:rFonts w:ascii="Gill Sans MT" w:hAnsi="Gill Sans MT"/>
          <w:sz w:val="20"/>
          <w:szCs w:val="12"/>
        </w:rPr>
        <w:t xml:space="preserve">. </w:t>
      </w:r>
      <w:r w:rsidR="00FC748D" w:rsidRPr="007A37DB">
        <w:rPr>
          <w:rFonts w:ascii="Gill Sans MT" w:hAnsi="Gill Sans MT"/>
          <w:sz w:val="20"/>
          <w:szCs w:val="12"/>
        </w:rPr>
        <w:t>This is not an inevitable process – the policy dialogue in Mali survived several major disagreements, while still remaining productive; a constructive dialogue over EITI membership took place in Mozambique at a time when there were serious disagreements over governance issues</w:t>
      </w:r>
      <w:r>
        <w:rPr>
          <w:rFonts w:ascii="Gill Sans MT" w:hAnsi="Gill Sans MT"/>
          <w:sz w:val="20"/>
          <w:szCs w:val="12"/>
        </w:rPr>
        <w:t>;</w:t>
      </w:r>
      <w:r w:rsidR="00FC748D" w:rsidRPr="007A37DB">
        <w:rPr>
          <w:rFonts w:ascii="Gill Sans MT" w:hAnsi="Gill Sans MT"/>
          <w:sz w:val="20"/>
          <w:szCs w:val="12"/>
        </w:rPr>
        <w:t xml:space="preserve"> </w:t>
      </w:r>
      <w:r w:rsidR="004C48B7" w:rsidRPr="007A37DB">
        <w:rPr>
          <w:rFonts w:ascii="Gill Sans MT" w:hAnsi="Gill Sans MT"/>
          <w:sz w:val="20"/>
          <w:szCs w:val="12"/>
        </w:rPr>
        <w:t>yet, it seems clear that the space for strategic, problem-solving dialogue needs to be explicitly protected.</w:t>
      </w:r>
    </w:p>
    <w:p w14:paraId="5E9CD751" w14:textId="77777777" w:rsidR="004C48B7" w:rsidRPr="007A37DB" w:rsidRDefault="004C48B7" w:rsidP="007A37DB">
      <w:pPr>
        <w:pStyle w:val="BodyText"/>
        <w:numPr>
          <w:ilvl w:val="0"/>
          <w:numId w:val="2"/>
        </w:numPr>
        <w:spacing w:line="360" w:lineRule="auto"/>
        <w:ind w:left="499" w:hanging="357"/>
        <w:rPr>
          <w:rFonts w:ascii="Gill Sans MT" w:hAnsi="Gill Sans MT"/>
          <w:sz w:val="20"/>
          <w:szCs w:val="12"/>
        </w:rPr>
      </w:pPr>
      <w:r w:rsidRPr="003F2369">
        <w:rPr>
          <w:rFonts w:ascii="Gill Sans MT" w:hAnsi="Gill Sans MT"/>
          <w:b/>
          <w:sz w:val="20"/>
          <w:szCs w:val="12"/>
        </w:rPr>
        <w:t xml:space="preserve">Our second hypothesis, then, is that the </w:t>
      </w:r>
      <w:r w:rsidR="005D0C5C" w:rsidRPr="003F2369">
        <w:rPr>
          <w:rFonts w:ascii="Gill Sans MT" w:hAnsi="Gill Sans MT"/>
          <w:b/>
          <w:sz w:val="20"/>
          <w:szCs w:val="12"/>
        </w:rPr>
        <w:t xml:space="preserve">policy </w:t>
      </w:r>
      <w:r w:rsidRPr="003F2369">
        <w:rPr>
          <w:rFonts w:ascii="Gill Sans MT" w:hAnsi="Gill Sans MT"/>
          <w:b/>
          <w:sz w:val="20"/>
          <w:szCs w:val="12"/>
        </w:rPr>
        <w:t>dialogue mec</w:t>
      </w:r>
      <w:r w:rsidR="00D62A1E">
        <w:rPr>
          <w:rFonts w:ascii="Gill Sans MT" w:hAnsi="Gill Sans MT"/>
          <w:b/>
          <w:sz w:val="20"/>
          <w:szCs w:val="12"/>
        </w:rPr>
        <w:t>hanism requires explicit measures</w:t>
      </w:r>
      <w:r w:rsidRPr="003F2369">
        <w:rPr>
          <w:rFonts w:ascii="Gill Sans MT" w:hAnsi="Gill Sans MT"/>
          <w:b/>
          <w:sz w:val="20"/>
          <w:szCs w:val="12"/>
        </w:rPr>
        <w:t xml:space="preserve"> to protect the space for strategic, problem-solving dialogue.</w:t>
      </w:r>
      <w:r w:rsidRPr="007A37DB">
        <w:rPr>
          <w:rFonts w:ascii="Gill Sans MT" w:hAnsi="Gill Sans MT"/>
          <w:sz w:val="20"/>
          <w:szCs w:val="12"/>
        </w:rPr>
        <w:t xml:space="preserve"> </w:t>
      </w:r>
      <w:r w:rsidR="00D62A1E">
        <w:rPr>
          <w:rFonts w:ascii="Gill Sans MT" w:hAnsi="Gill Sans MT"/>
          <w:sz w:val="20"/>
          <w:szCs w:val="12"/>
        </w:rPr>
        <w:t>These measures</w:t>
      </w:r>
      <w:r w:rsidR="005D0C5C" w:rsidRPr="007A37DB">
        <w:rPr>
          <w:rFonts w:ascii="Gill Sans MT" w:hAnsi="Gill Sans MT"/>
          <w:sz w:val="20"/>
          <w:szCs w:val="12"/>
        </w:rPr>
        <w:t xml:space="preserve"> might take different forms</w:t>
      </w:r>
      <w:r w:rsidR="0066799E" w:rsidRPr="007A37DB">
        <w:rPr>
          <w:rFonts w:ascii="Gill Sans MT" w:hAnsi="Gill Sans MT"/>
          <w:sz w:val="20"/>
          <w:szCs w:val="12"/>
        </w:rPr>
        <w:t>: steps to separate the forum for progress monitoring from the forum for forward-thinking dia</w:t>
      </w:r>
      <w:r w:rsidR="0045687E" w:rsidRPr="007A37DB">
        <w:rPr>
          <w:rFonts w:ascii="Gill Sans MT" w:hAnsi="Gill Sans MT"/>
          <w:sz w:val="20"/>
          <w:szCs w:val="12"/>
        </w:rPr>
        <w:t xml:space="preserve">logue, the deliberate introduction of </w:t>
      </w:r>
      <w:r w:rsidR="0066799E" w:rsidRPr="007A37DB">
        <w:rPr>
          <w:rFonts w:ascii="Gill Sans MT" w:hAnsi="Gill Sans MT"/>
          <w:sz w:val="20"/>
          <w:szCs w:val="12"/>
        </w:rPr>
        <w:t xml:space="preserve">new </w:t>
      </w:r>
      <w:r w:rsidR="0066799E" w:rsidRPr="007A37DB">
        <w:rPr>
          <w:rFonts w:ascii="Gill Sans MT" w:hAnsi="Gill Sans MT"/>
          <w:sz w:val="20"/>
          <w:szCs w:val="12"/>
        </w:rPr>
        <w:lastRenderedPageBreak/>
        <w:t xml:space="preserve">external actors, such as academics or subject specialists, into certain problem-solving discussions. The </w:t>
      </w:r>
      <w:r w:rsidR="0045687E" w:rsidRPr="007A37DB">
        <w:rPr>
          <w:rFonts w:ascii="Gill Sans MT" w:hAnsi="Gill Sans MT"/>
          <w:sz w:val="20"/>
          <w:szCs w:val="12"/>
        </w:rPr>
        <w:t xml:space="preserve">Mali, </w:t>
      </w:r>
      <w:r w:rsidR="0066799E" w:rsidRPr="007A37DB">
        <w:rPr>
          <w:rFonts w:ascii="Gill Sans MT" w:hAnsi="Gill Sans MT"/>
          <w:sz w:val="20"/>
          <w:szCs w:val="12"/>
        </w:rPr>
        <w:t>Tanzania</w:t>
      </w:r>
      <w:r w:rsidR="0045687E" w:rsidRPr="007A37DB">
        <w:rPr>
          <w:rFonts w:ascii="Gill Sans MT" w:hAnsi="Gill Sans MT"/>
          <w:sz w:val="20"/>
          <w:szCs w:val="12"/>
        </w:rPr>
        <w:t xml:space="preserve"> and Mozambique evaluations all</w:t>
      </w:r>
      <w:r w:rsidR="0066799E" w:rsidRPr="007A37DB">
        <w:rPr>
          <w:rFonts w:ascii="Gill Sans MT" w:hAnsi="Gill Sans MT"/>
          <w:sz w:val="20"/>
          <w:szCs w:val="12"/>
        </w:rPr>
        <w:t xml:space="preserve"> recommend structured programmes of research and evaluation of specific sector policy iss</w:t>
      </w:r>
      <w:r w:rsidR="0045687E" w:rsidRPr="007A37DB">
        <w:rPr>
          <w:rFonts w:ascii="Gill Sans MT" w:hAnsi="Gill Sans MT"/>
          <w:sz w:val="20"/>
          <w:szCs w:val="12"/>
        </w:rPr>
        <w:t>ues to feed the dialogue. T</w:t>
      </w:r>
      <w:r w:rsidR="0066799E" w:rsidRPr="007A37DB">
        <w:rPr>
          <w:rFonts w:ascii="Gill Sans MT" w:hAnsi="Gill Sans MT"/>
          <w:sz w:val="20"/>
          <w:szCs w:val="12"/>
        </w:rPr>
        <w:t>here must also be an explicit consciousness that budget support needs to be a partnership</w:t>
      </w:r>
      <w:r w:rsidR="0045687E" w:rsidRPr="007A37DB">
        <w:rPr>
          <w:rFonts w:ascii="Gill Sans MT" w:hAnsi="Gill Sans MT"/>
          <w:sz w:val="20"/>
          <w:szCs w:val="12"/>
        </w:rPr>
        <w:t xml:space="preserve"> and that this requires an appropriate code of conduct on both sides</w:t>
      </w:r>
      <w:r w:rsidR="00BC6B52">
        <w:rPr>
          <w:rStyle w:val="FootnoteReference"/>
          <w:rFonts w:ascii="Gill Sans MT" w:hAnsi="Gill Sans MT"/>
          <w:sz w:val="20"/>
          <w:szCs w:val="12"/>
        </w:rPr>
        <w:footnoteReference w:id="34"/>
      </w:r>
      <w:r w:rsidR="0045687E" w:rsidRPr="007A37DB">
        <w:rPr>
          <w:rFonts w:ascii="Gill Sans MT" w:hAnsi="Gill Sans MT"/>
          <w:sz w:val="20"/>
          <w:szCs w:val="12"/>
        </w:rPr>
        <w:t>.</w:t>
      </w:r>
    </w:p>
    <w:p w14:paraId="41FD28E6" w14:textId="77777777" w:rsidR="00F92C0B" w:rsidRDefault="007272CC" w:rsidP="007A37DB">
      <w:pPr>
        <w:pStyle w:val="BodyText"/>
        <w:numPr>
          <w:ilvl w:val="0"/>
          <w:numId w:val="2"/>
        </w:numPr>
        <w:spacing w:line="360" w:lineRule="auto"/>
        <w:ind w:left="499" w:hanging="357"/>
        <w:rPr>
          <w:rFonts w:ascii="Gill Sans MT" w:hAnsi="Gill Sans MT"/>
          <w:sz w:val="20"/>
          <w:szCs w:val="12"/>
        </w:rPr>
      </w:pPr>
      <w:r w:rsidRPr="007272CC">
        <w:rPr>
          <w:rFonts w:ascii="Gill Sans MT" w:hAnsi="Gill Sans MT"/>
          <w:b/>
          <w:sz w:val="20"/>
          <w:szCs w:val="12"/>
        </w:rPr>
        <w:t xml:space="preserve">One of the necessary measures would be a clarification of the definition and application of   </w:t>
      </w:r>
      <w:r w:rsidR="003E6A8D" w:rsidRPr="007272CC">
        <w:rPr>
          <w:rFonts w:ascii="Gill Sans MT" w:hAnsi="Gill Sans MT"/>
          <w:b/>
          <w:sz w:val="20"/>
          <w:szCs w:val="12"/>
        </w:rPr>
        <w:t>underlying principles</w:t>
      </w:r>
      <w:r>
        <w:rPr>
          <w:rFonts w:ascii="Gill Sans MT" w:hAnsi="Gill Sans MT"/>
          <w:sz w:val="20"/>
          <w:szCs w:val="12"/>
        </w:rPr>
        <w:t>. T</w:t>
      </w:r>
      <w:r w:rsidR="00FD5C3C">
        <w:rPr>
          <w:rFonts w:ascii="Gill Sans MT" w:hAnsi="Gill Sans MT"/>
          <w:sz w:val="20"/>
          <w:szCs w:val="12"/>
        </w:rPr>
        <w:t xml:space="preserve">he cases of Mozambique and Zambia, in particular, demonstrate that there are significantly different perceptions among budget support providers over when it is or is not legitimate to suspend budget support on suspicion that underlying principles have been breached. </w:t>
      </w:r>
      <w:r w:rsidR="007A0E24" w:rsidRPr="007A37DB">
        <w:rPr>
          <w:rFonts w:ascii="Gill Sans MT" w:hAnsi="Gill Sans MT"/>
          <w:sz w:val="20"/>
          <w:szCs w:val="12"/>
        </w:rPr>
        <w:t>The Budget Support MoU</w:t>
      </w:r>
      <w:r w:rsidR="009E5BCD" w:rsidRPr="007A37DB">
        <w:rPr>
          <w:rFonts w:ascii="Gill Sans MT" w:hAnsi="Gill Sans MT"/>
          <w:sz w:val="20"/>
          <w:szCs w:val="12"/>
        </w:rPr>
        <w:t>s</w:t>
      </w:r>
      <w:r w:rsidR="007A0E24" w:rsidRPr="007A37DB">
        <w:rPr>
          <w:rFonts w:ascii="Gill Sans MT" w:hAnsi="Gill Sans MT"/>
          <w:sz w:val="20"/>
          <w:szCs w:val="12"/>
        </w:rPr>
        <w:t xml:space="preserve"> define underlying principles as ‘critical to the continuation of the budget support partnership’, suggesting that </w:t>
      </w:r>
      <w:r w:rsidR="007A0E24" w:rsidRPr="007D27FE">
        <w:rPr>
          <w:rFonts w:ascii="Gill Sans MT" w:hAnsi="Gill Sans MT"/>
          <w:sz w:val="20"/>
          <w:szCs w:val="12"/>
        </w:rPr>
        <w:t>disbursements should only be suspended in extreme circumstances, because the guarantee of a predictable flow of resources is fundamen</w:t>
      </w:r>
      <w:r w:rsidR="007A0E24">
        <w:rPr>
          <w:rFonts w:ascii="Gill Sans MT" w:hAnsi="Gill Sans MT"/>
          <w:sz w:val="20"/>
          <w:szCs w:val="12"/>
        </w:rPr>
        <w:t>tal to the partnership</w:t>
      </w:r>
      <w:r w:rsidR="009E5BCD">
        <w:rPr>
          <w:rFonts w:ascii="Gill Sans MT" w:hAnsi="Gill Sans MT"/>
          <w:sz w:val="20"/>
          <w:szCs w:val="12"/>
        </w:rPr>
        <w:t xml:space="preserve">. </w:t>
      </w:r>
    </w:p>
    <w:p w14:paraId="2816DDAB" w14:textId="77777777" w:rsidR="00B864A6" w:rsidRDefault="009E5BCD" w:rsidP="007A37DB">
      <w:pPr>
        <w:pStyle w:val="BodyText"/>
        <w:numPr>
          <w:ilvl w:val="0"/>
          <w:numId w:val="2"/>
        </w:numPr>
        <w:spacing w:line="360" w:lineRule="auto"/>
        <w:ind w:left="499" w:hanging="357"/>
        <w:rPr>
          <w:rFonts w:ascii="Gill Sans MT" w:hAnsi="Gill Sans MT"/>
          <w:sz w:val="20"/>
          <w:szCs w:val="12"/>
        </w:rPr>
      </w:pPr>
      <w:r>
        <w:rPr>
          <w:rFonts w:ascii="Gill Sans MT" w:hAnsi="Gill Sans MT"/>
          <w:sz w:val="20"/>
          <w:szCs w:val="12"/>
        </w:rPr>
        <w:t xml:space="preserve">Under this definition, the suspensions following the EPA and Richmond scandals in Tanzania in 2008 and the electoral irregularities in Mozambique in 2009/ 2010 were </w:t>
      </w:r>
      <w:r w:rsidR="00A11EA6">
        <w:rPr>
          <w:rFonts w:ascii="Gill Sans MT" w:hAnsi="Gill Sans MT"/>
          <w:sz w:val="20"/>
          <w:szCs w:val="12"/>
        </w:rPr>
        <w:t xml:space="preserve">considered </w:t>
      </w:r>
      <w:r>
        <w:rPr>
          <w:rFonts w:ascii="Gill Sans MT" w:hAnsi="Gill Sans MT"/>
          <w:sz w:val="20"/>
          <w:szCs w:val="12"/>
        </w:rPr>
        <w:t>legitimate</w:t>
      </w:r>
      <w:r w:rsidR="00A11EA6">
        <w:rPr>
          <w:rFonts w:ascii="Gill Sans MT" w:hAnsi="Gill Sans MT"/>
          <w:sz w:val="20"/>
          <w:szCs w:val="12"/>
        </w:rPr>
        <w:t xml:space="preserve"> (by the evaluation teams)</w:t>
      </w:r>
      <w:r>
        <w:rPr>
          <w:rFonts w:ascii="Gill Sans MT" w:hAnsi="Gill Sans MT"/>
          <w:sz w:val="20"/>
          <w:szCs w:val="12"/>
        </w:rPr>
        <w:t xml:space="preserve"> and, indeed, were accepted as such by the partner governments. However, the suspensions in Zambia in 2010 and in Mozambique in 2011 and 2012 due to the discovery of fraud in the health and education sectors were not</w:t>
      </w:r>
      <w:r w:rsidR="00A11EA6">
        <w:rPr>
          <w:rFonts w:ascii="Gill Sans MT" w:hAnsi="Gill Sans MT"/>
          <w:sz w:val="20"/>
          <w:szCs w:val="12"/>
        </w:rPr>
        <w:t xml:space="preserve"> considered by the evaluation teams to have been consistent with the criteria in the MoUs</w:t>
      </w:r>
      <w:r>
        <w:rPr>
          <w:rFonts w:ascii="Gill Sans MT" w:hAnsi="Gill Sans MT"/>
          <w:sz w:val="20"/>
          <w:szCs w:val="12"/>
        </w:rPr>
        <w:t xml:space="preserve">. These latter </w:t>
      </w:r>
      <w:r w:rsidR="00F92C0B">
        <w:rPr>
          <w:rFonts w:ascii="Gill Sans MT" w:hAnsi="Gill Sans MT"/>
          <w:sz w:val="20"/>
          <w:szCs w:val="12"/>
        </w:rPr>
        <w:t xml:space="preserve">suspensions were justified </w:t>
      </w:r>
      <w:r>
        <w:rPr>
          <w:rFonts w:ascii="Gill Sans MT" w:hAnsi="Gill Sans MT"/>
          <w:sz w:val="20"/>
          <w:szCs w:val="12"/>
        </w:rPr>
        <w:t>as methods of</w:t>
      </w:r>
      <w:r w:rsidR="00A11EA6">
        <w:rPr>
          <w:rFonts w:ascii="Gill Sans MT" w:hAnsi="Gill Sans MT"/>
          <w:sz w:val="20"/>
          <w:szCs w:val="12"/>
        </w:rPr>
        <w:t xml:space="preserve"> putting pressure on government</w:t>
      </w:r>
      <w:r>
        <w:rPr>
          <w:rFonts w:ascii="Gill Sans MT" w:hAnsi="Gill Sans MT"/>
          <w:sz w:val="20"/>
          <w:szCs w:val="12"/>
        </w:rPr>
        <w:t xml:space="preserve"> not only to move faster to take corrective actions over these events but to be more generally active in the fight against corruption.  In short, these suspensions were used as a mechanism of policy leverage.</w:t>
      </w:r>
    </w:p>
    <w:p w14:paraId="1042A1FF" w14:textId="77777777" w:rsidR="0070793A" w:rsidRDefault="00A11EA6" w:rsidP="007A37DB">
      <w:pPr>
        <w:pStyle w:val="BodyText"/>
        <w:numPr>
          <w:ilvl w:val="0"/>
          <w:numId w:val="2"/>
        </w:numPr>
        <w:spacing w:line="360" w:lineRule="auto"/>
        <w:ind w:left="499" w:hanging="357"/>
        <w:rPr>
          <w:rFonts w:ascii="Gill Sans MT" w:hAnsi="Gill Sans MT"/>
          <w:sz w:val="20"/>
          <w:szCs w:val="12"/>
        </w:rPr>
      </w:pPr>
      <w:r>
        <w:rPr>
          <w:rFonts w:ascii="Gill Sans MT" w:hAnsi="Gill Sans MT"/>
          <w:b/>
          <w:sz w:val="20"/>
          <w:szCs w:val="12"/>
        </w:rPr>
        <w:t>The exper</w:t>
      </w:r>
      <w:r w:rsidR="007272CC">
        <w:rPr>
          <w:rFonts w:ascii="Gill Sans MT" w:hAnsi="Gill Sans MT"/>
          <w:b/>
          <w:sz w:val="20"/>
          <w:szCs w:val="12"/>
        </w:rPr>
        <w:t>i</w:t>
      </w:r>
      <w:r>
        <w:rPr>
          <w:rFonts w:ascii="Gill Sans MT" w:hAnsi="Gill Sans MT"/>
          <w:b/>
          <w:sz w:val="20"/>
          <w:szCs w:val="12"/>
        </w:rPr>
        <w:t>e</w:t>
      </w:r>
      <w:r w:rsidR="007272CC">
        <w:rPr>
          <w:rFonts w:ascii="Gill Sans MT" w:hAnsi="Gill Sans MT"/>
          <w:b/>
          <w:sz w:val="20"/>
          <w:szCs w:val="12"/>
        </w:rPr>
        <w:t>nce of these LICs sugge</w:t>
      </w:r>
      <w:r>
        <w:rPr>
          <w:rFonts w:ascii="Gill Sans MT" w:hAnsi="Gill Sans MT"/>
          <w:b/>
          <w:sz w:val="20"/>
          <w:szCs w:val="12"/>
        </w:rPr>
        <w:t>s</w:t>
      </w:r>
      <w:r w:rsidR="007272CC">
        <w:rPr>
          <w:rFonts w:ascii="Gill Sans MT" w:hAnsi="Gill Sans MT"/>
          <w:b/>
          <w:sz w:val="20"/>
          <w:szCs w:val="12"/>
        </w:rPr>
        <w:t xml:space="preserve">ts that </w:t>
      </w:r>
      <w:r w:rsidR="003256D4" w:rsidRPr="00BC6B52">
        <w:rPr>
          <w:rFonts w:ascii="Gill Sans MT" w:hAnsi="Gill Sans MT"/>
          <w:b/>
          <w:sz w:val="20"/>
          <w:szCs w:val="12"/>
        </w:rPr>
        <w:t>repeated attempts to use policy levera</w:t>
      </w:r>
      <w:r w:rsidR="007272CC">
        <w:rPr>
          <w:rFonts w:ascii="Gill Sans MT" w:hAnsi="Gill Sans MT"/>
          <w:b/>
          <w:sz w:val="20"/>
          <w:szCs w:val="12"/>
        </w:rPr>
        <w:t>ge will undermine the effectiveness</w:t>
      </w:r>
      <w:r w:rsidR="003256D4" w:rsidRPr="00BC6B52">
        <w:rPr>
          <w:rFonts w:ascii="Gill Sans MT" w:hAnsi="Gill Sans MT"/>
          <w:b/>
          <w:sz w:val="20"/>
          <w:szCs w:val="12"/>
        </w:rPr>
        <w:t xml:space="preserve"> of budget support as a financing tool and as a mechanism of policy dialogue.</w:t>
      </w:r>
      <w:r w:rsidR="003256D4">
        <w:rPr>
          <w:rFonts w:ascii="Gill Sans MT" w:hAnsi="Gill Sans MT"/>
          <w:sz w:val="20"/>
          <w:szCs w:val="12"/>
        </w:rPr>
        <w:t xml:space="preserve"> Development Partners may have legitimate doubts over the commitment of a partner government to the fight against corruption or to other underlying principles; yet, if those doubts are well founded, threats to suspend budget support (p</w:t>
      </w:r>
      <w:r w:rsidR="0070793A">
        <w:rPr>
          <w:rFonts w:ascii="Gill Sans MT" w:hAnsi="Gill Sans MT"/>
          <w:sz w:val="20"/>
          <w:szCs w:val="12"/>
        </w:rPr>
        <w:t>olicy leverage) will not generate sustainable change in the behaviour of the partner government – many years of research on structural adjustment and on budget support have proven this. The only solution in such a context is to stop budget support altogether and use other methods of development cooperation – probably working outside of  g</w:t>
      </w:r>
      <w:r w:rsidR="007272CC">
        <w:rPr>
          <w:rFonts w:ascii="Gill Sans MT" w:hAnsi="Gill Sans MT"/>
          <w:sz w:val="20"/>
          <w:szCs w:val="12"/>
        </w:rPr>
        <w:t>overnment. If, however, the context</w:t>
      </w:r>
      <w:r w:rsidR="0070793A">
        <w:rPr>
          <w:rFonts w:ascii="Gill Sans MT" w:hAnsi="Gill Sans MT"/>
          <w:sz w:val="20"/>
          <w:szCs w:val="12"/>
        </w:rPr>
        <w:t xml:space="preserve"> is considered sufficient for public spending to </w:t>
      </w:r>
      <w:r w:rsidR="007272CC">
        <w:rPr>
          <w:rFonts w:ascii="Gill Sans MT" w:hAnsi="Gill Sans MT"/>
          <w:sz w:val="20"/>
          <w:szCs w:val="12"/>
        </w:rPr>
        <w:t xml:space="preserve">allow </w:t>
      </w:r>
      <w:r w:rsidR="0070793A">
        <w:rPr>
          <w:rFonts w:ascii="Gill Sans MT" w:hAnsi="Gill Sans MT"/>
          <w:sz w:val="20"/>
          <w:szCs w:val="12"/>
        </w:rPr>
        <w:t>for services to be delivered, then there is a basis for partnership and a basis for achieving important outcomes through budget support, as has been demonstarted in the cases of Mali, Mozambique, Tanzania and Zambia.</w:t>
      </w:r>
    </w:p>
    <w:p w14:paraId="674D61F1" w14:textId="77777777" w:rsidR="003F273C" w:rsidRDefault="003F273C" w:rsidP="00924B03">
      <w:pPr>
        <w:pStyle w:val="BodyText"/>
        <w:numPr>
          <w:ilvl w:val="0"/>
          <w:numId w:val="0"/>
        </w:numPr>
        <w:spacing w:line="360" w:lineRule="auto"/>
        <w:ind w:left="499"/>
        <w:rPr>
          <w:rFonts w:ascii="Gill Sans MT" w:hAnsi="Gill Sans MT"/>
          <w:sz w:val="20"/>
          <w:szCs w:val="12"/>
        </w:rPr>
      </w:pPr>
    </w:p>
    <w:p w14:paraId="1EB33E22" w14:textId="77777777" w:rsidR="003F273C" w:rsidRDefault="003F273C" w:rsidP="00690F52">
      <w:pPr>
        <w:autoSpaceDE w:val="0"/>
        <w:autoSpaceDN w:val="0"/>
        <w:adjustRightInd w:val="0"/>
        <w:ind w:left="720" w:hanging="720"/>
        <w:rPr>
          <w:rFonts w:ascii="Gill Sans MT" w:eastAsia="PMingLiU" w:hAnsi="Gill Sans MT" w:cs="Arial"/>
          <w:sz w:val="20"/>
          <w:szCs w:val="20"/>
          <w:lang w:val="en-GB" w:eastAsia="zh-CN"/>
        </w:rPr>
        <w:sectPr w:rsidR="003F273C" w:rsidSect="00713B82">
          <w:pgSz w:w="11909" w:h="16834" w:code="9"/>
          <w:pgMar w:top="1440" w:right="1800" w:bottom="1440" w:left="1800" w:header="720" w:footer="720" w:gutter="0"/>
          <w:cols w:space="720"/>
          <w:docGrid w:linePitch="360"/>
        </w:sectPr>
      </w:pPr>
    </w:p>
    <w:p w14:paraId="5D636130" w14:textId="77777777" w:rsidR="00DB0726" w:rsidRPr="00372CF5" w:rsidRDefault="00DB0726" w:rsidP="00DB0726">
      <w:pPr>
        <w:pStyle w:val="Heading1"/>
      </w:pPr>
      <w:bookmarkStart w:id="72" w:name="_Toc270144535"/>
      <w:bookmarkStart w:id="73" w:name="_Toc279848246"/>
      <w:r>
        <w:lastRenderedPageBreak/>
        <w:t xml:space="preserve">3. </w:t>
      </w:r>
      <w:r w:rsidRPr="00372CF5">
        <w:t xml:space="preserve"> </w:t>
      </w:r>
      <w:r>
        <w:t>Budget Support to Middle Income Countries</w:t>
      </w:r>
      <w:bookmarkEnd w:id="72"/>
      <w:bookmarkEnd w:id="73"/>
    </w:p>
    <w:p w14:paraId="4894492D" w14:textId="77777777" w:rsidR="00DB0726" w:rsidRPr="00E677F3" w:rsidRDefault="00DB0726" w:rsidP="00DB0726">
      <w:pPr>
        <w:pStyle w:val="BodyText"/>
        <w:numPr>
          <w:ilvl w:val="0"/>
          <w:numId w:val="2"/>
        </w:numPr>
        <w:spacing w:line="360" w:lineRule="auto"/>
        <w:rPr>
          <w:rFonts w:ascii="Gill Sans MT" w:hAnsi="Gill Sans MT"/>
          <w:sz w:val="20"/>
          <w:lang w:val="en-GB"/>
        </w:rPr>
      </w:pPr>
      <w:r>
        <w:rPr>
          <w:rFonts w:ascii="Gill Sans MT" w:hAnsi="Gill Sans MT"/>
          <w:sz w:val="20"/>
          <w:lang w:val="en-GB"/>
        </w:rPr>
        <w:t>This Chapter analyses the findings and conclusions of the three evaluations relating to Middle Income Countries – Morocco, South Africa and Tunisia. It is presented in four sub-sections, following the same structure as Chapter 2. The f</w:t>
      </w:r>
      <w:r w:rsidR="00257EE6">
        <w:rPr>
          <w:rFonts w:ascii="Gill Sans MT" w:hAnsi="Gill Sans MT"/>
          <w:sz w:val="20"/>
          <w:lang w:val="en-GB"/>
        </w:rPr>
        <w:t>irst three consider</w:t>
      </w:r>
      <w:r w:rsidR="00924B03">
        <w:rPr>
          <w:rFonts w:ascii="Gill Sans MT" w:hAnsi="Gill Sans MT"/>
          <w:sz w:val="20"/>
          <w:lang w:val="en-GB"/>
        </w:rPr>
        <w:t xml:space="preserve"> </w:t>
      </w:r>
      <w:r>
        <w:rPr>
          <w:rFonts w:ascii="Gill Sans MT" w:hAnsi="Gill Sans MT"/>
          <w:sz w:val="20"/>
          <w:lang w:val="en-GB"/>
        </w:rPr>
        <w:t>the Context (C) in which budget support has been provided, the Mechanisms (M) utilised for its provision, and the main Outcomes (O)</w:t>
      </w:r>
      <w:r w:rsidR="00DB63D2">
        <w:rPr>
          <w:rFonts w:ascii="Gill Sans MT" w:hAnsi="Gill Sans MT"/>
          <w:sz w:val="20"/>
          <w:lang w:val="en-GB"/>
        </w:rPr>
        <w:t xml:space="preserve"> achieved. A final section </w:t>
      </w:r>
      <w:r>
        <w:rPr>
          <w:rFonts w:ascii="Gill Sans MT" w:hAnsi="Gill Sans MT"/>
          <w:sz w:val="20"/>
          <w:lang w:val="en-GB"/>
        </w:rPr>
        <w:t>examines these C-M-O combina</w:t>
      </w:r>
      <w:r w:rsidR="00DB63D2">
        <w:rPr>
          <w:rFonts w:ascii="Gill Sans MT" w:hAnsi="Gill Sans MT"/>
          <w:sz w:val="20"/>
          <w:lang w:val="en-GB"/>
        </w:rPr>
        <w:t xml:space="preserve">tions together in order to </w:t>
      </w:r>
      <w:r w:rsidR="00924B03">
        <w:rPr>
          <w:rFonts w:ascii="Gill Sans MT" w:hAnsi="Gill Sans MT"/>
          <w:sz w:val="20"/>
          <w:lang w:val="en-GB"/>
        </w:rPr>
        <w:t xml:space="preserve">derive </w:t>
      </w:r>
      <w:r>
        <w:rPr>
          <w:rFonts w:ascii="Gill Sans MT" w:hAnsi="Gill Sans MT"/>
          <w:sz w:val="20"/>
          <w:lang w:val="en-GB"/>
        </w:rPr>
        <w:t>some hypotheses regarding the effects of budget support in Middle Income Countries</w:t>
      </w:r>
      <w:r w:rsidR="00B7749A">
        <w:rPr>
          <w:rFonts w:ascii="Gill Sans MT" w:hAnsi="Gill Sans MT"/>
          <w:sz w:val="20"/>
          <w:lang w:val="en-GB"/>
        </w:rPr>
        <w:t>. We also test whether our two</w:t>
      </w:r>
      <w:r>
        <w:rPr>
          <w:rFonts w:ascii="Gill Sans MT" w:hAnsi="Gill Sans MT"/>
          <w:sz w:val="20"/>
          <w:lang w:val="en-GB"/>
        </w:rPr>
        <w:t xml:space="preserve"> LIC hypotheses are applicable in the MIC context.</w:t>
      </w:r>
    </w:p>
    <w:p w14:paraId="7BC81BE9" w14:textId="77777777" w:rsidR="00DB0726" w:rsidRDefault="00DB0726" w:rsidP="00D81DB3">
      <w:pPr>
        <w:pStyle w:val="Heading2"/>
        <w:numPr>
          <w:ilvl w:val="1"/>
          <w:numId w:val="26"/>
        </w:numPr>
        <w:spacing w:before="120" w:after="120"/>
        <w:rPr>
          <w:bCs w:val="0"/>
        </w:rPr>
      </w:pPr>
      <w:bookmarkStart w:id="74" w:name="_Toc270144536"/>
      <w:bookmarkStart w:id="75" w:name="_Toc279848247"/>
      <w:r>
        <w:rPr>
          <w:bCs w:val="0"/>
        </w:rPr>
        <w:t>The context for Budget Support</w:t>
      </w:r>
      <w:bookmarkEnd w:id="74"/>
      <w:r>
        <w:rPr>
          <w:bCs w:val="0"/>
        </w:rPr>
        <w:t xml:space="preserve"> in the MICs</w:t>
      </w:r>
      <w:bookmarkEnd w:id="75"/>
      <w:r>
        <w:rPr>
          <w:bCs w:val="0"/>
        </w:rPr>
        <w:t xml:space="preserve"> </w:t>
      </w:r>
    </w:p>
    <w:p w14:paraId="46E3AE4F" w14:textId="77777777" w:rsidR="00DB0726" w:rsidRDefault="00DB0726" w:rsidP="00DB0726">
      <w:pPr>
        <w:pStyle w:val="BodyText"/>
        <w:numPr>
          <w:ilvl w:val="0"/>
          <w:numId w:val="2"/>
        </w:numPr>
        <w:spacing w:line="360" w:lineRule="auto"/>
        <w:rPr>
          <w:rFonts w:ascii="Gill Sans MT" w:hAnsi="Gill Sans MT"/>
          <w:sz w:val="20"/>
          <w:lang w:val="en-GB"/>
        </w:rPr>
      </w:pPr>
      <w:r>
        <w:rPr>
          <w:rFonts w:ascii="Gill Sans MT" w:hAnsi="Gill Sans MT"/>
          <w:sz w:val="20"/>
          <w:lang w:val="en-GB"/>
        </w:rPr>
        <w:t>Here, we examine the context for bu</w:t>
      </w:r>
      <w:r w:rsidR="00924B03">
        <w:rPr>
          <w:rFonts w:ascii="Gill Sans MT" w:hAnsi="Gill Sans MT"/>
          <w:sz w:val="20"/>
          <w:lang w:val="en-GB"/>
        </w:rPr>
        <w:t xml:space="preserve">dget support in </w:t>
      </w:r>
      <w:r>
        <w:rPr>
          <w:rFonts w:ascii="Gill Sans MT" w:hAnsi="Gill Sans MT"/>
          <w:sz w:val="20"/>
          <w:lang w:val="en-GB"/>
        </w:rPr>
        <w:t>the three countries, based on an analysis of data relating to (</w:t>
      </w:r>
      <w:proofErr w:type="spellStart"/>
      <w:r>
        <w:rPr>
          <w:rFonts w:ascii="Gill Sans MT" w:hAnsi="Gill Sans MT"/>
          <w:sz w:val="20"/>
          <w:lang w:val="en-GB"/>
        </w:rPr>
        <w:t>i</w:t>
      </w:r>
      <w:proofErr w:type="spellEnd"/>
      <w:r>
        <w:rPr>
          <w:rFonts w:ascii="Gill Sans MT" w:hAnsi="Gill Sans MT"/>
          <w:sz w:val="20"/>
          <w:lang w:val="en-GB"/>
        </w:rPr>
        <w:t>) economic and social indicators, (ii) governance indicat</w:t>
      </w:r>
      <w:r w:rsidR="008F4690">
        <w:rPr>
          <w:rFonts w:ascii="Gill Sans MT" w:hAnsi="Gill Sans MT"/>
          <w:sz w:val="20"/>
          <w:lang w:val="en-GB"/>
        </w:rPr>
        <w:t xml:space="preserve">ors, (iii) </w:t>
      </w:r>
      <w:r w:rsidR="00B7749A">
        <w:rPr>
          <w:rFonts w:ascii="Gill Sans MT" w:hAnsi="Gill Sans MT"/>
          <w:sz w:val="20"/>
          <w:lang w:val="en-GB"/>
        </w:rPr>
        <w:t xml:space="preserve">the </w:t>
      </w:r>
      <w:r w:rsidR="008F4690">
        <w:rPr>
          <w:rFonts w:ascii="Gill Sans MT" w:hAnsi="Gill Sans MT"/>
          <w:sz w:val="20"/>
          <w:lang w:val="en-GB"/>
        </w:rPr>
        <w:t>political framework</w:t>
      </w:r>
      <w:r>
        <w:rPr>
          <w:rFonts w:ascii="Gill Sans MT" w:hAnsi="Gill Sans MT"/>
          <w:sz w:val="20"/>
          <w:lang w:val="en-GB"/>
        </w:rPr>
        <w:t xml:space="preserve">, and </w:t>
      </w:r>
      <w:proofErr w:type="gramStart"/>
      <w:r>
        <w:rPr>
          <w:rFonts w:ascii="Gill Sans MT" w:hAnsi="Gill Sans MT"/>
          <w:sz w:val="20"/>
          <w:lang w:val="en-GB"/>
        </w:rPr>
        <w:t>(iv) the</w:t>
      </w:r>
      <w:proofErr w:type="gramEnd"/>
      <w:r>
        <w:rPr>
          <w:rFonts w:ascii="Gill Sans MT" w:hAnsi="Gill Sans MT"/>
          <w:sz w:val="20"/>
          <w:lang w:val="en-GB"/>
        </w:rPr>
        <w:t xml:space="preserve"> nature of aid relations. </w:t>
      </w:r>
      <w:r w:rsidR="00B7749A">
        <w:rPr>
          <w:rFonts w:ascii="Gill Sans MT" w:hAnsi="Gill Sans MT"/>
          <w:sz w:val="20"/>
          <w:lang w:val="en-GB"/>
        </w:rPr>
        <w:t>We take 2000 as the reference year</w:t>
      </w:r>
      <w:r w:rsidR="00424B40">
        <w:rPr>
          <w:rFonts w:ascii="Gill Sans MT" w:hAnsi="Gill Sans MT"/>
          <w:sz w:val="20"/>
          <w:lang w:val="en-GB"/>
        </w:rPr>
        <w:t>, reflecting the context at the start of the evaluation period.</w:t>
      </w:r>
    </w:p>
    <w:p w14:paraId="27A2DF7F" w14:textId="77777777" w:rsidR="00DB0726" w:rsidRDefault="00DB0726" w:rsidP="00DB0726">
      <w:pPr>
        <w:pStyle w:val="Heading3"/>
      </w:pPr>
      <w:r>
        <w:t>Economic &amp; Social indicators</w:t>
      </w:r>
    </w:p>
    <w:p w14:paraId="2E64D9F6" w14:textId="77777777" w:rsidR="00B7749A" w:rsidRDefault="00B7749A" w:rsidP="00924B03">
      <w:pPr>
        <w:pStyle w:val="Caption"/>
        <w:jc w:val="center"/>
        <w:rPr>
          <w:lang w:val="en-GB"/>
        </w:rPr>
      </w:pPr>
    </w:p>
    <w:p w14:paraId="6E0A8F80" w14:textId="77777777" w:rsidR="00DB0726" w:rsidRPr="00924B03" w:rsidRDefault="00924B03" w:rsidP="00924B03">
      <w:pPr>
        <w:pStyle w:val="Caption"/>
        <w:jc w:val="center"/>
        <w:rPr>
          <w:lang w:val="en-GB"/>
        </w:rPr>
      </w:pPr>
      <w:bookmarkStart w:id="76" w:name="_Toc279848291"/>
      <w:r w:rsidRPr="00924B03">
        <w:rPr>
          <w:lang w:val="en-GB"/>
        </w:rPr>
        <w:t xml:space="preserve">Table </w:t>
      </w:r>
      <w:r w:rsidRPr="00924B03">
        <w:rPr>
          <w:lang w:val="en-GB"/>
        </w:rPr>
        <w:fldChar w:fldCharType="begin"/>
      </w:r>
      <w:r w:rsidRPr="00924B03">
        <w:rPr>
          <w:lang w:val="en-GB"/>
        </w:rPr>
        <w:instrText xml:space="preserve"> SEQ Table \* ARABIC </w:instrText>
      </w:r>
      <w:r w:rsidRPr="00924B03">
        <w:rPr>
          <w:lang w:val="en-GB"/>
        </w:rPr>
        <w:fldChar w:fldCharType="separate"/>
      </w:r>
      <w:r w:rsidR="00967582">
        <w:rPr>
          <w:noProof/>
          <w:lang w:val="en-GB"/>
        </w:rPr>
        <w:t>11</w:t>
      </w:r>
      <w:r w:rsidRPr="00924B03">
        <w:rPr>
          <w:lang w:val="en-GB"/>
        </w:rPr>
        <w:fldChar w:fldCharType="end"/>
      </w:r>
      <w:r w:rsidR="00DB0726" w:rsidRPr="00924B03">
        <w:rPr>
          <w:lang w:val="en-GB"/>
        </w:rPr>
        <w:t>: Economic and Social Indicators for the Middle Income Countries, 200</w:t>
      </w:r>
      <w:r w:rsidR="00B7749A">
        <w:rPr>
          <w:lang w:val="en-GB"/>
        </w:rPr>
        <w:t>0</w:t>
      </w:r>
      <w:bookmarkEnd w:id="76"/>
    </w:p>
    <w:p w14:paraId="2630193D" w14:textId="3CCCD4BC" w:rsidR="00DB0726" w:rsidRDefault="00B255F4" w:rsidP="00DB0726">
      <w:pPr>
        <w:rPr>
          <w:lang w:val="en-GB"/>
        </w:rPr>
      </w:pPr>
      <w:r>
        <w:rPr>
          <w:noProof/>
          <w:lang w:val="en-US"/>
        </w:rPr>
        <w:drawing>
          <wp:inline distT="0" distB="0" distL="0" distR="0" wp14:anchorId="54CF3E1D" wp14:editId="51146E69">
            <wp:extent cx="5562600" cy="2971800"/>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62975" cy="2972000"/>
                    </a:xfrm>
                    <a:prstGeom prst="rect">
                      <a:avLst/>
                    </a:prstGeom>
                    <a:noFill/>
                    <a:ln>
                      <a:noFill/>
                    </a:ln>
                  </pic:spPr>
                </pic:pic>
              </a:graphicData>
            </a:graphic>
          </wp:inline>
        </w:drawing>
      </w:r>
    </w:p>
    <w:p w14:paraId="1E44F6D4" w14:textId="77777777" w:rsidR="00DB0726" w:rsidRPr="00881946" w:rsidRDefault="00DB0726" w:rsidP="00DB0726">
      <w:pPr>
        <w:rPr>
          <w:rFonts w:ascii="Gill Sans MT" w:hAnsi="Gill Sans MT"/>
          <w:sz w:val="18"/>
          <w:szCs w:val="18"/>
          <w:lang w:val="en-GB"/>
        </w:rPr>
      </w:pPr>
      <w:r w:rsidRPr="00881946">
        <w:rPr>
          <w:rFonts w:ascii="Gill Sans MT" w:hAnsi="Gill Sans MT"/>
          <w:sz w:val="18"/>
          <w:szCs w:val="18"/>
          <w:u w:val="single"/>
          <w:lang w:val="en-GB"/>
        </w:rPr>
        <w:t>Sources</w:t>
      </w:r>
      <w:r w:rsidRPr="00881946">
        <w:rPr>
          <w:rFonts w:ascii="Gill Sans MT" w:hAnsi="Gill Sans MT"/>
          <w:sz w:val="18"/>
          <w:szCs w:val="18"/>
          <w:lang w:val="en-GB"/>
        </w:rPr>
        <w:t>: World Bank, World Development Indicators; United Nations, Human Development Index</w:t>
      </w:r>
      <w:r>
        <w:rPr>
          <w:rFonts w:ascii="Gill Sans MT" w:hAnsi="Gill Sans MT"/>
          <w:sz w:val="18"/>
          <w:szCs w:val="18"/>
          <w:lang w:val="en-GB"/>
        </w:rPr>
        <w:t>.</w:t>
      </w:r>
      <w:r w:rsidRPr="00881946">
        <w:rPr>
          <w:rFonts w:ascii="Gill Sans MT" w:hAnsi="Gill Sans MT"/>
          <w:sz w:val="18"/>
          <w:szCs w:val="18"/>
          <w:lang w:val="en-GB"/>
        </w:rPr>
        <w:t xml:space="preserve"> </w:t>
      </w:r>
    </w:p>
    <w:p w14:paraId="56BDE94C" w14:textId="201CBAB2" w:rsidR="00DB0726" w:rsidRPr="00026DE5" w:rsidRDefault="00583AEB" w:rsidP="00DB0726">
      <w:pPr>
        <w:pStyle w:val="BodyText"/>
        <w:numPr>
          <w:ilvl w:val="0"/>
          <w:numId w:val="2"/>
        </w:numPr>
        <w:spacing w:line="360" w:lineRule="auto"/>
        <w:rPr>
          <w:rFonts w:ascii="Gill Sans MT" w:hAnsi="Gill Sans MT"/>
          <w:sz w:val="20"/>
          <w:lang w:val="en-GB"/>
        </w:rPr>
      </w:pPr>
      <w:r>
        <w:rPr>
          <w:rFonts w:ascii="Gill Sans MT" w:hAnsi="Gill Sans MT"/>
          <w:sz w:val="20"/>
          <w:lang w:val="en-GB"/>
        </w:rPr>
        <w:t>I</w:t>
      </w:r>
      <w:r w:rsidR="00A25C25">
        <w:rPr>
          <w:rFonts w:ascii="Gill Sans MT" w:hAnsi="Gill Sans MT"/>
          <w:sz w:val="20"/>
          <w:lang w:val="en-GB"/>
        </w:rPr>
        <w:t>n 2000</w:t>
      </w:r>
      <w:r w:rsidR="00DB0726">
        <w:rPr>
          <w:rFonts w:ascii="Gill Sans MT" w:hAnsi="Gill Sans MT"/>
          <w:sz w:val="20"/>
          <w:lang w:val="en-GB"/>
        </w:rPr>
        <w:t>, Morocco, Tunisia and South Africa all had p</w:t>
      </w:r>
      <w:r>
        <w:rPr>
          <w:rFonts w:ascii="Gill Sans MT" w:hAnsi="Gill Sans MT"/>
          <w:sz w:val="20"/>
          <w:lang w:val="en-GB"/>
        </w:rPr>
        <w:t xml:space="preserve">er capita incomes </w:t>
      </w:r>
      <w:r w:rsidR="00DB0726">
        <w:rPr>
          <w:rFonts w:ascii="Gill Sans MT" w:hAnsi="Gill Sans MT"/>
          <w:sz w:val="20"/>
          <w:lang w:val="en-GB"/>
        </w:rPr>
        <w:t>above the average for Lower Middle</w:t>
      </w:r>
      <w:r w:rsidR="00321402">
        <w:rPr>
          <w:rFonts w:ascii="Gill Sans MT" w:hAnsi="Gill Sans MT"/>
          <w:sz w:val="20"/>
          <w:lang w:val="en-GB"/>
        </w:rPr>
        <w:t xml:space="preserve"> Income Countries (LMIC)</w:t>
      </w:r>
      <w:r w:rsidR="00DB0726">
        <w:rPr>
          <w:rFonts w:ascii="Gill Sans MT" w:hAnsi="Gill Sans MT"/>
          <w:sz w:val="20"/>
          <w:lang w:val="en-GB"/>
        </w:rPr>
        <w:t>. Their HDI scores, poverty headcoun</w:t>
      </w:r>
      <w:r>
        <w:rPr>
          <w:rFonts w:ascii="Gill Sans MT" w:hAnsi="Gill Sans MT"/>
          <w:sz w:val="20"/>
          <w:lang w:val="en-GB"/>
        </w:rPr>
        <w:t xml:space="preserve">t ratios and most </w:t>
      </w:r>
      <w:r w:rsidR="00DB0726">
        <w:rPr>
          <w:rFonts w:ascii="Gill Sans MT" w:hAnsi="Gill Sans MT"/>
          <w:sz w:val="20"/>
          <w:lang w:val="en-GB"/>
        </w:rPr>
        <w:t>social indicators were also better than the LMIC average but with some</w:t>
      </w:r>
      <w:r w:rsidR="00F86BC0">
        <w:rPr>
          <w:rFonts w:ascii="Gill Sans MT" w:hAnsi="Gill Sans MT"/>
          <w:sz w:val="20"/>
          <w:lang w:val="en-GB"/>
        </w:rPr>
        <w:t xml:space="preserve"> striking exceptions. U</w:t>
      </w:r>
      <w:r w:rsidR="00DB0726">
        <w:rPr>
          <w:rFonts w:ascii="Gill Sans MT" w:hAnsi="Gill Sans MT"/>
          <w:sz w:val="20"/>
          <w:lang w:val="en-GB"/>
        </w:rPr>
        <w:t>nempl</w:t>
      </w:r>
      <w:r w:rsidR="00321402">
        <w:rPr>
          <w:rFonts w:ascii="Gill Sans MT" w:hAnsi="Gill Sans MT"/>
          <w:sz w:val="20"/>
          <w:lang w:val="en-GB"/>
        </w:rPr>
        <w:t xml:space="preserve">oyment rates were </w:t>
      </w:r>
      <w:r w:rsidR="00DB0726">
        <w:rPr>
          <w:rFonts w:ascii="Gill Sans MT" w:hAnsi="Gill Sans MT"/>
          <w:sz w:val="20"/>
          <w:lang w:val="en-GB"/>
        </w:rPr>
        <w:t>above the LMI</w:t>
      </w:r>
      <w:r w:rsidR="00A25C25">
        <w:rPr>
          <w:rFonts w:ascii="Gill Sans MT" w:hAnsi="Gill Sans MT"/>
          <w:sz w:val="20"/>
          <w:lang w:val="en-GB"/>
        </w:rPr>
        <w:t>C average in all 3 countries</w:t>
      </w:r>
      <w:r w:rsidR="00321402">
        <w:rPr>
          <w:rFonts w:ascii="Gill Sans MT" w:hAnsi="Gill Sans MT"/>
          <w:sz w:val="20"/>
          <w:lang w:val="en-GB"/>
        </w:rPr>
        <w:t xml:space="preserve">; literacy rates were </w:t>
      </w:r>
      <w:r w:rsidR="00DB0726">
        <w:rPr>
          <w:rFonts w:ascii="Gill Sans MT" w:hAnsi="Gill Sans MT"/>
          <w:sz w:val="20"/>
          <w:lang w:val="en-GB"/>
        </w:rPr>
        <w:t>lower than the average in Mor</w:t>
      </w:r>
      <w:r w:rsidR="00321402">
        <w:rPr>
          <w:rFonts w:ascii="Gill Sans MT" w:hAnsi="Gill Sans MT"/>
          <w:sz w:val="20"/>
          <w:lang w:val="en-GB"/>
        </w:rPr>
        <w:t xml:space="preserve">occo; and life expectancy </w:t>
      </w:r>
      <w:r w:rsidR="00DB0726">
        <w:rPr>
          <w:rFonts w:ascii="Gill Sans MT" w:hAnsi="Gill Sans MT"/>
          <w:sz w:val="20"/>
          <w:lang w:val="en-GB"/>
        </w:rPr>
        <w:t>lower than the average in</w:t>
      </w:r>
      <w:r w:rsidR="00321402">
        <w:rPr>
          <w:rFonts w:ascii="Gill Sans MT" w:hAnsi="Gill Sans MT"/>
          <w:sz w:val="20"/>
          <w:lang w:val="en-GB"/>
        </w:rPr>
        <w:t xml:space="preserve"> South Africa, </w:t>
      </w:r>
      <w:r w:rsidR="00DB0726">
        <w:rPr>
          <w:rFonts w:ascii="Gill Sans MT" w:hAnsi="Gill Sans MT"/>
          <w:sz w:val="20"/>
          <w:lang w:val="en-GB"/>
        </w:rPr>
        <w:t xml:space="preserve">reflecting its </w:t>
      </w:r>
      <w:r w:rsidR="00DB0726" w:rsidRPr="00026DE5">
        <w:rPr>
          <w:rFonts w:ascii="Gill Sans MT" w:hAnsi="Gill Sans MT"/>
          <w:sz w:val="20"/>
          <w:lang w:val="en-GB"/>
        </w:rPr>
        <w:t xml:space="preserve">higher levels of incidence of HIV-AIDS. </w:t>
      </w:r>
      <w:r w:rsidR="00DB0726">
        <w:rPr>
          <w:rFonts w:ascii="Gill Sans MT" w:hAnsi="Gill Sans MT"/>
          <w:sz w:val="20"/>
          <w:lang w:val="en-GB"/>
        </w:rPr>
        <w:t xml:space="preserve">In short, </w:t>
      </w:r>
      <w:r w:rsidR="00CF3DCD">
        <w:rPr>
          <w:rFonts w:ascii="Gill Sans MT" w:hAnsi="Gill Sans MT"/>
          <w:sz w:val="20"/>
          <w:lang w:val="en-GB"/>
        </w:rPr>
        <w:t>in 2000</w:t>
      </w:r>
      <w:r w:rsidR="00DB0726">
        <w:rPr>
          <w:rFonts w:ascii="Gill Sans MT" w:hAnsi="Gill Sans MT"/>
          <w:sz w:val="20"/>
          <w:lang w:val="en-GB"/>
        </w:rPr>
        <w:t xml:space="preserve">, these were all firmly established as </w:t>
      </w:r>
      <w:proofErr w:type="gramStart"/>
      <w:r w:rsidR="00DB0726">
        <w:rPr>
          <w:rFonts w:ascii="Gill Sans MT" w:hAnsi="Gill Sans MT"/>
          <w:sz w:val="20"/>
          <w:lang w:val="en-GB"/>
        </w:rPr>
        <w:t>middle income</w:t>
      </w:r>
      <w:proofErr w:type="gramEnd"/>
      <w:r w:rsidR="00DB0726">
        <w:rPr>
          <w:rFonts w:ascii="Gill Sans MT" w:hAnsi="Gill Sans MT"/>
          <w:sz w:val="20"/>
          <w:lang w:val="en-GB"/>
        </w:rPr>
        <w:t xml:space="preserve"> countries but still dealing w</w:t>
      </w:r>
      <w:r>
        <w:rPr>
          <w:rFonts w:ascii="Gill Sans MT" w:hAnsi="Gill Sans MT"/>
          <w:sz w:val="20"/>
          <w:lang w:val="en-GB"/>
        </w:rPr>
        <w:t>ith significant social problems</w:t>
      </w:r>
      <w:r w:rsidR="00DB0726">
        <w:rPr>
          <w:rFonts w:ascii="Gill Sans MT" w:hAnsi="Gill Sans MT"/>
          <w:sz w:val="20"/>
          <w:lang w:val="en-GB"/>
        </w:rPr>
        <w:t>.</w:t>
      </w:r>
    </w:p>
    <w:p w14:paraId="4EABF0FC" w14:textId="77777777" w:rsidR="00DB0726" w:rsidRPr="00BE2160" w:rsidRDefault="00DB0726" w:rsidP="00DB0726">
      <w:pPr>
        <w:pStyle w:val="Heading3"/>
      </w:pPr>
      <w:r>
        <w:lastRenderedPageBreak/>
        <w:t>Governance indicators</w:t>
      </w:r>
    </w:p>
    <w:p w14:paraId="3548CE5C" w14:textId="77777777" w:rsidR="00DB0726" w:rsidRPr="00507D1A" w:rsidRDefault="00DB0726" w:rsidP="00DB0726">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Just as for the LICs, our categorisation of the governance context is based on an analysis of the data generated by the World Bank’s Worldwide Governance Indicators (WGI)</w:t>
      </w:r>
      <w:r>
        <w:rPr>
          <w:rStyle w:val="FootnoteReference"/>
          <w:rFonts w:ascii="Gill Sans MT" w:hAnsi="Gill Sans MT"/>
          <w:sz w:val="20"/>
          <w:lang w:val="en-GB"/>
        </w:rPr>
        <w:footnoteReference w:id="35"/>
      </w:r>
      <w:r w:rsidR="00B72562">
        <w:rPr>
          <w:rFonts w:ascii="Gill Sans MT" w:hAnsi="Gill Sans MT"/>
          <w:sz w:val="20"/>
          <w:lang w:val="en-GB"/>
        </w:rPr>
        <w:t xml:space="preserve">. Table 12 </w:t>
      </w:r>
      <w:r w:rsidRPr="00507D1A">
        <w:rPr>
          <w:rFonts w:ascii="Gill Sans MT" w:hAnsi="Gill Sans MT"/>
          <w:sz w:val="20"/>
          <w:lang w:val="en-GB"/>
        </w:rPr>
        <w:t xml:space="preserve">shows the </w:t>
      </w:r>
      <w:r>
        <w:rPr>
          <w:rFonts w:ascii="Gill Sans MT" w:hAnsi="Gill Sans MT"/>
          <w:sz w:val="20"/>
          <w:lang w:val="en-GB"/>
        </w:rPr>
        <w:t>percentile rankings for the three</w:t>
      </w:r>
      <w:r w:rsidRPr="00507D1A">
        <w:rPr>
          <w:rFonts w:ascii="Gill Sans MT" w:hAnsi="Gill Sans MT"/>
          <w:sz w:val="20"/>
          <w:lang w:val="en-GB"/>
        </w:rPr>
        <w:t xml:space="preserve"> countries. </w:t>
      </w:r>
      <w:r>
        <w:rPr>
          <w:rFonts w:ascii="Gill Sans MT" w:hAnsi="Gill Sans MT"/>
          <w:sz w:val="20"/>
          <w:lang w:val="en-GB"/>
        </w:rPr>
        <w:t>Following the approach in Chapter 2, we have used a colour scheme to highlight where there are statistically significant differences in the rankings</w:t>
      </w:r>
      <w:r>
        <w:rPr>
          <w:rStyle w:val="FootnoteReference"/>
          <w:rFonts w:ascii="Gill Sans MT" w:hAnsi="Gill Sans MT"/>
          <w:sz w:val="20"/>
          <w:lang w:val="en-GB"/>
        </w:rPr>
        <w:footnoteReference w:id="36"/>
      </w:r>
      <w:r>
        <w:rPr>
          <w:rFonts w:ascii="Gill Sans MT" w:hAnsi="Gill Sans MT"/>
          <w:sz w:val="20"/>
          <w:lang w:val="en-GB"/>
        </w:rPr>
        <w:t>.</w:t>
      </w:r>
    </w:p>
    <w:p w14:paraId="45217EF5" w14:textId="77777777" w:rsidR="00DB0726" w:rsidRDefault="00DB0726" w:rsidP="00DB0726">
      <w:pPr>
        <w:pStyle w:val="Caption"/>
        <w:jc w:val="center"/>
        <w:rPr>
          <w:lang w:val="en-GB"/>
        </w:rPr>
      </w:pPr>
      <w:bookmarkStart w:id="77" w:name="_Toc279848292"/>
      <w:r w:rsidRPr="005118DA">
        <w:rPr>
          <w:lang w:val="en-GB"/>
        </w:rPr>
        <w:t xml:space="preserve">Table </w:t>
      </w:r>
      <w:r w:rsidRPr="005118DA">
        <w:rPr>
          <w:lang w:val="en-GB"/>
        </w:rPr>
        <w:fldChar w:fldCharType="begin"/>
      </w:r>
      <w:r w:rsidRPr="005118DA">
        <w:rPr>
          <w:lang w:val="en-GB"/>
        </w:rPr>
        <w:instrText xml:space="preserve"> SEQ Table \* ARABIC </w:instrText>
      </w:r>
      <w:r w:rsidRPr="005118DA">
        <w:rPr>
          <w:lang w:val="en-GB"/>
        </w:rPr>
        <w:fldChar w:fldCharType="separate"/>
      </w:r>
      <w:r w:rsidR="00967582">
        <w:rPr>
          <w:noProof/>
          <w:lang w:val="en-GB"/>
        </w:rPr>
        <w:t>12</w:t>
      </w:r>
      <w:r w:rsidRPr="005118DA">
        <w:rPr>
          <w:lang w:val="en-GB"/>
        </w:rPr>
        <w:fldChar w:fldCharType="end"/>
      </w:r>
      <w:r>
        <w:rPr>
          <w:lang w:val="en-GB"/>
        </w:rPr>
        <w:t>: Governance status of the M</w:t>
      </w:r>
      <w:r w:rsidRPr="005118DA">
        <w:rPr>
          <w:lang w:val="en-GB"/>
        </w:rPr>
        <w:t xml:space="preserve">IC countries, </w:t>
      </w:r>
      <w:r>
        <w:rPr>
          <w:lang w:val="en-GB"/>
        </w:rPr>
        <w:t>reflecting significant differences</w:t>
      </w:r>
      <w:bookmarkEnd w:id="77"/>
      <w:r>
        <w:rPr>
          <w:lang w:val="en-GB"/>
        </w:rPr>
        <w:t xml:space="preserve"> </w:t>
      </w:r>
    </w:p>
    <w:p w14:paraId="3110472F" w14:textId="77777777" w:rsidR="00DB0726" w:rsidRDefault="00DB0726" w:rsidP="00DB0726">
      <w:pPr>
        <w:pStyle w:val="Caption"/>
        <w:jc w:val="center"/>
        <w:rPr>
          <w:lang w:val="en-GB"/>
        </w:rPr>
      </w:pPr>
      <w:r>
        <w:rPr>
          <w:lang w:val="en-GB"/>
        </w:rPr>
        <w:t>(</w:t>
      </w:r>
      <w:r w:rsidRPr="005118DA">
        <w:rPr>
          <w:lang w:val="en-GB"/>
        </w:rPr>
        <w:t>WGI percentile rankings 200</w:t>
      </w:r>
      <w:r>
        <w:rPr>
          <w:lang w:val="en-GB"/>
        </w:rPr>
        <w:t>0),</w:t>
      </w:r>
    </w:p>
    <w:tbl>
      <w:tblPr>
        <w:tblStyle w:val="TableClassic2"/>
        <w:tblW w:w="8472" w:type="dxa"/>
        <w:tblLook w:val="04A0" w:firstRow="1" w:lastRow="0" w:firstColumn="1" w:lastColumn="0" w:noHBand="0" w:noVBand="1"/>
      </w:tblPr>
      <w:tblGrid>
        <w:gridCol w:w="3652"/>
        <w:gridCol w:w="1606"/>
        <w:gridCol w:w="1607"/>
        <w:gridCol w:w="1607"/>
      </w:tblGrid>
      <w:tr w:rsidR="00DB0726" w:rsidRPr="00AD4BA3" w14:paraId="07D8069A" w14:textId="77777777" w:rsidTr="00924B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52" w:type="dxa"/>
          </w:tcPr>
          <w:p w14:paraId="5887A92B" w14:textId="77777777" w:rsidR="00DB0726" w:rsidRPr="00AD4BA3" w:rsidRDefault="00DB0726" w:rsidP="00924B03">
            <w:pPr>
              <w:rPr>
                <w:rFonts w:ascii="Gill Sans MT" w:hAnsi="Gill Sans MT"/>
                <w:lang w:val="en-GB"/>
              </w:rPr>
            </w:pPr>
            <w:r w:rsidRPr="00AD4BA3">
              <w:rPr>
                <w:rFonts w:ascii="Gill Sans MT" w:hAnsi="Gill Sans MT"/>
                <w:lang w:val="en-GB"/>
              </w:rPr>
              <w:t>WGI Governance dimensions</w:t>
            </w:r>
            <w:r>
              <w:rPr>
                <w:rFonts w:ascii="Gill Sans MT" w:hAnsi="Gill Sans MT"/>
                <w:lang w:val="en-GB"/>
              </w:rPr>
              <w:t xml:space="preserve"> (percentile rankings)</w:t>
            </w:r>
          </w:p>
        </w:tc>
        <w:tc>
          <w:tcPr>
            <w:tcW w:w="1606" w:type="dxa"/>
            <w:tcBorders>
              <w:bottom w:val="single" w:sz="4" w:space="0" w:color="auto"/>
            </w:tcBorders>
          </w:tcPr>
          <w:p w14:paraId="6771C151" w14:textId="77777777" w:rsidR="00DB0726" w:rsidRPr="00AD4BA3" w:rsidRDefault="00DB0726" w:rsidP="00924B03">
            <w:pPr>
              <w:jc w:val="center"/>
              <w:cnfStyle w:val="100000000000" w:firstRow="1" w:lastRow="0" w:firstColumn="0" w:lastColumn="0" w:oddVBand="0" w:evenVBand="0" w:oddHBand="0" w:evenHBand="0" w:firstRowFirstColumn="0" w:firstRowLastColumn="0" w:lastRowFirstColumn="0" w:lastRowLastColumn="0"/>
              <w:rPr>
                <w:rFonts w:ascii="Gill Sans MT" w:hAnsi="Gill Sans MT"/>
                <w:lang w:val="en-GB"/>
              </w:rPr>
            </w:pPr>
            <w:r>
              <w:rPr>
                <w:rFonts w:ascii="Gill Sans MT" w:hAnsi="Gill Sans MT"/>
                <w:lang w:val="en-GB"/>
              </w:rPr>
              <w:t>Morocco</w:t>
            </w:r>
          </w:p>
          <w:p w14:paraId="12123372" w14:textId="77777777" w:rsidR="00DB0726" w:rsidRPr="00AD4BA3" w:rsidRDefault="00DB0726" w:rsidP="00924B03">
            <w:pPr>
              <w:jc w:val="center"/>
              <w:cnfStyle w:val="100000000000" w:firstRow="1" w:lastRow="0" w:firstColumn="0" w:lastColumn="0" w:oddVBand="0" w:evenVBand="0" w:oddHBand="0" w:evenHBand="0" w:firstRowFirstColumn="0" w:firstRowLastColumn="0" w:lastRowFirstColumn="0" w:lastRowLastColumn="0"/>
              <w:rPr>
                <w:rFonts w:ascii="Gill Sans MT" w:hAnsi="Gill Sans MT"/>
                <w:lang w:val="en-GB"/>
              </w:rPr>
            </w:pPr>
            <w:r>
              <w:rPr>
                <w:rFonts w:ascii="Gill Sans MT" w:hAnsi="Gill Sans MT"/>
                <w:lang w:val="en-GB"/>
              </w:rPr>
              <w:t>(2000</w:t>
            </w:r>
            <w:r w:rsidRPr="00AD4BA3">
              <w:rPr>
                <w:rFonts w:ascii="Gill Sans MT" w:hAnsi="Gill Sans MT"/>
                <w:lang w:val="en-GB"/>
              </w:rPr>
              <w:t>)</w:t>
            </w:r>
          </w:p>
        </w:tc>
        <w:tc>
          <w:tcPr>
            <w:tcW w:w="1607" w:type="dxa"/>
            <w:tcBorders>
              <w:bottom w:val="single" w:sz="4" w:space="0" w:color="auto"/>
            </w:tcBorders>
          </w:tcPr>
          <w:p w14:paraId="5F4C48EB" w14:textId="77777777" w:rsidR="00DB0726" w:rsidRPr="00AD4BA3" w:rsidRDefault="00DB0726" w:rsidP="00924B03">
            <w:pPr>
              <w:jc w:val="center"/>
              <w:cnfStyle w:val="100000000000" w:firstRow="1" w:lastRow="0" w:firstColumn="0" w:lastColumn="0" w:oddVBand="0" w:evenVBand="0" w:oddHBand="0" w:evenHBand="0" w:firstRowFirstColumn="0" w:firstRowLastColumn="0" w:lastRowFirstColumn="0" w:lastRowLastColumn="0"/>
              <w:rPr>
                <w:rFonts w:ascii="Gill Sans MT" w:hAnsi="Gill Sans MT"/>
                <w:lang w:val="en-GB"/>
              </w:rPr>
            </w:pPr>
            <w:r>
              <w:rPr>
                <w:rFonts w:ascii="Gill Sans MT" w:hAnsi="Gill Sans MT"/>
                <w:lang w:val="en-GB"/>
              </w:rPr>
              <w:t>South Africa</w:t>
            </w:r>
          </w:p>
          <w:p w14:paraId="0C965B88" w14:textId="77777777" w:rsidR="00DB0726" w:rsidRPr="00AD4BA3" w:rsidRDefault="00DB0726" w:rsidP="00924B03">
            <w:pPr>
              <w:jc w:val="center"/>
              <w:cnfStyle w:val="100000000000" w:firstRow="1" w:lastRow="0" w:firstColumn="0" w:lastColumn="0" w:oddVBand="0" w:evenVBand="0" w:oddHBand="0" w:evenHBand="0" w:firstRowFirstColumn="0" w:firstRowLastColumn="0" w:lastRowFirstColumn="0" w:lastRowLastColumn="0"/>
              <w:rPr>
                <w:rFonts w:ascii="Gill Sans MT" w:hAnsi="Gill Sans MT"/>
                <w:lang w:val="en-GB"/>
              </w:rPr>
            </w:pPr>
            <w:r>
              <w:rPr>
                <w:rFonts w:ascii="Gill Sans MT" w:hAnsi="Gill Sans MT"/>
                <w:lang w:val="en-GB"/>
              </w:rPr>
              <w:t>(2000</w:t>
            </w:r>
            <w:r w:rsidRPr="00AD4BA3">
              <w:rPr>
                <w:rFonts w:ascii="Gill Sans MT" w:hAnsi="Gill Sans MT"/>
                <w:lang w:val="en-GB"/>
              </w:rPr>
              <w:t>)</w:t>
            </w:r>
          </w:p>
        </w:tc>
        <w:tc>
          <w:tcPr>
            <w:tcW w:w="1607" w:type="dxa"/>
            <w:tcBorders>
              <w:bottom w:val="single" w:sz="4" w:space="0" w:color="auto"/>
            </w:tcBorders>
          </w:tcPr>
          <w:p w14:paraId="7F42230E" w14:textId="77777777" w:rsidR="00DB0726" w:rsidRPr="00AD4BA3" w:rsidRDefault="00DB0726" w:rsidP="00924B03">
            <w:pPr>
              <w:jc w:val="center"/>
              <w:cnfStyle w:val="100000000000" w:firstRow="1" w:lastRow="0" w:firstColumn="0" w:lastColumn="0" w:oddVBand="0" w:evenVBand="0" w:oddHBand="0" w:evenHBand="0" w:firstRowFirstColumn="0" w:firstRowLastColumn="0" w:lastRowFirstColumn="0" w:lastRowLastColumn="0"/>
              <w:rPr>
                <w:rFonts w:ascii="Gill Sans MT" w:hAnsi="Gill Sans MT"/>
                <w:lang w:val="en-GB"/>
              </w:rPr>
            </w:pPr>
            <w:r>
              <w:rPr>
                <w:rFonts w:ascii="Gill Sans MT" w:hAnsi="Gill Sans MT"/>
                <w:lang w:val="en-GB"/>
              </w:rPr>
              <w:t>Tunis</w:t>
            </w:r>
            <w:r w:rsidRPr="00AD4BA3">
              <w:rPr>
                <w:rFonts w:ascii="Gill Sans MT" w:hAnsi="Gill Sans MT"/>
                <w:lang w:val="en-GB"/>
              </w:rPr>
              <w:t>ia</w:t>
            </w:r>
          </w:p>
          <w:p w14:paraId="2747C833" w14:textId="77777777" w:rsidR="00DB0726" w:rsidRPr="00AD4BA3" w:rsidRDefault="00DB0726" w:rsidP="00924B03">
            <w:pPr>
              <w:jc w:val="center"/>
              <w:cnfStyle w:val="100000000000" w:firstRow="1" w:lastRow="0" w:firstColumn="0" w:lastColumn="0" w:oddVBand="0" w:evenVBand="0" w:oddHBand="0" w:evenHBand="0" w:firstRowFirstColumn="0" w:firstRowLastColumn="0" w:lastRowFirstColumn="0" w:lastRowLastColumn="0"/>
              <w:rPr>
                <w:rFonts w:ascii="Gill Sans MT" w:hAnsi="Gill Sans MT"/>
                <w:lang w:val="en-GB"/>
              </w:rPr>
            </w:pPr>
            <w:r>
              <w:rPr>
                <w:rFonts w:ascii="Gill Sans MT" w:hAnsi="Gill Sans MT"/>
                <w:lang w:val="en-GB"/>
              </w:rPr>
              <w:t>(2000</w:t>
            </w:r>
            <w:r w:rsidRPr="00AD4BA3">
              <w:rPr>
                <w:rFonts w:ascii="Gill Sans MT" w:hAnsi="Gill Sans MT"/>
                <w:lang w:val="en-GB"/>
              </w:rPr>
              <w:t>)</w:t>
            </w:r>
          </w:p>
        </w:tc>
      </w:tr>
      <w:tr w:rsidR="00DB0726" w:rsidRPr="00AD4BA3" w14:paraId="6529B1C5" w14:textId="77777777" w:rsidTr="00924B03">
        <w:tc>
          <w:tcPr>
            <w:cnfStyle w:val="001000000000" w:firstRow="0" w:lastRow="0" w:firstColumn="1" w:lastColumn="0" w:oddVBand="0" w:evenVBand="0" w:oddHBand="0" w:evenHBand="0" w:firstRowFirstColumn="0" w:firstRowLastColumn="0" w:lastRowFirstColumn="0" w:lastRowLastColumn="0"/>
            <w:tcW w:w="3652" w:type="dxa"/>
            <w:tcBorders>
              <w:right w:val="single" w:sz="4" w:space="0" w:color="auto"/>
            </w:tcBorders>
          </w:tcPr>
          <w:p w14:paraId="0581ECA9" w14:textId="77777777" w:rsidR="00DB0726" w:rsidRPr="00AD4BA3" w:rsidRDefault="00DB0726" w:rsidP="00924B03">
            <w:pPr>
              <w:spacing w:line="360" w:lineRule="auto"/>
              <w:rPr>
                <w:rFonts w:ascii="Gill Sans MT" w:hAnsi="Gill Sans MT"/>
                <w:sz w:val="22"/>
                <w:szCs w:val="22"/>
                <w:lang w:val="en-GB"/>
              </w:rPr>
            </w:pPr>
            <w:r w:rsidRPr="00AD4BA3">
              <w:rPr>
                <w:rFonts w:ascii="Gill Sans MT" w:hAnsi="Gill Sans MT"/>
                <w:sz w:val="22"/>
                <w:szCs w:val="22"/>
                <w:lang w:val="en-GB"/>
              </w:rPr>
              <w:t>Voice &amp; Accountability</w:t>
            </w:r>
          </w:p>
        </w:tc>
        <w:tc>
          <w:tcPr>
            <w:tcW w:w="1606" w:type="dxa"/>
            <w:tcBorders>
              <w:top w:val="single" w:sz="4" w:space="0" w:color="auto"/>
              <w:left w:val="single" w:sz="4" w:space="0" w:color="auto"/>
              <w:bottom w:val="single" w:sz="4" w:space="0" w:color="auto"/>
              <w:right w:val="single" w:sz="4" w:space="0" w:color="auto"/>
            </w:tcBorders>
            <w:shd w:val="clear" w:color="auto" w:fill="FF6600"/>
          </w:tcPr>
          <w:p w14:paraId="6460B109" w14:textId="77777777" w:rsidR="00DB0726" w:rsidRPr="00AD4BA3"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33.7</w:t>
            </w:r>
          </w:p>
        </w:tc>
        <w:tc>
          <w:tcPr>
            <w:tcW w:w="1607" w:type="dxa"/>
            <w:tcBorders>
              <w:top w:val="single" w:sz="4" w:space="0" w:color="auto"/>
              <w:left w:val="single" w:sz="4" w:space="0" w:color="auto"/>
              <w:bottom w:val="single" w:sz="4" w:space="0" w:color="auto"/>
              <w:right w:val="single" w:sz="4" w:space="0" w:color="auto"/>
            </w:tcBorders>
            <w:shd w:val="clear" w:color="auto" w:fill="CCFFCC"/>
          </w:tcPr>
          <w:p w14:paraId="6C749576" w14:textId="77777777" w:rsidR="00DB0726" w:rsidRPr="00AD4BA3"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70.2</w:t>
            </w:r>
          </w:p>
        </w:tc>
        <w:tc>
          <w:tcPr>
            <w:tcW w:w="1607" w:type="dxa"/>
            <w:tcBorders>
              <w:top w:val="single" w:sz="4" w:space="0" w:color="auto"/>
              <w:left w:val="single" w:sz="4" w:space="0" w:color="auto"/>
              <w:bottom w:val="single" w:sz="4" w:space="0" w:color="auto"/>
              <w:right w:val="single" w:sz="4" w:space="0" w:color="auto"/>
            </w:tcBorders>
            <w:shd w:val="clear" w:color="auto" w:fill="FF6600"/>
          </w:tcPr>
          <w:p w14:paraId="4F96BEFC" w14:textId="77777777" w:rsidR="00DB0726" w:rsidRPr="00AD4BA3"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28.4</w:t>
            </w:r>
          </w:p>
        </w:tc>
      </w:tr>
      <w:tr w:rsidR="00DB0726" w:rsidRPr="00AD4BA3" w14:paraId="15E119B2" w14:textId="77777777" w:rsidTr="00924B03">
        <w:tc>
          <w:tcPr>
            <w:cnfStyle w:val="001000000000" w:firstRow="0" w:lastRow="0" w:firstColumn="1" w:lastColumn="0" w:oddVBand="0" w:evenVBand="0" w:oddHBand="0" w:evenHBand="0" w:firstRowFirstColumn="0" w:firstRowLastColumn="0" w:lastRowFirstColumn="0" w:lastRowLastColumn="0"/>
            <w:tcW w:w="3652" w:type="dxa"/>
            <w:tcBorders>
              <w:right w:val="single" w:sz="4" w:space="0" w:color="auto"/>
            </w:tcBorders>
          </w:tcPr>
          <w:p w14:paraId="0B95C5CF" w14:textId="77777777" w:rsidR="00DB0726" w:rsidRPr="00AD4BA3" w:rsidRDefault="00DB0726" w:rsidP="00924B03">
            <w:pPr>
              <w:spacing w:line="360" w:lineRule="auto"/>
              <w:rPr>
                <w:rFonts w:ascii="Gill Sans MT" w:hAnsi="Gill Sans MT"/>
                <w:sz w:val="22"/>
                <w:szCs w:val="22"/>
                <w:lang w:val="en-GB"/>
              </w:rPr>
            </w:pPr>
            <w:r w:rsidRPr="00AD4BA3">
              <w:rPr>
                <w:rFonts w:ascii="Gill Sans MT" w:hAnsi="Gill Sans MT"/>
                <w:sz w:val="22"/>
                <w:szCs w:val="22"/>
                <w:lang w:val="en-GB"/>
              </w:rPr>
              <w:t>Rule of Law</w:t>
            </w:r>
          </w:p>
        </w:tc>
        <w:tc>
          <w:tcPr>
            <w:tcW w:w="1606" w:type="dxa"/>
            <w:tcBorders>
              <w:top w:val="single" w:sz="4" w:space="0" w:color="auto"/>
              <w:left w:val="single" w:sz="4" w:space="0" w:color="auto"/>
              <w:bottom w:val="single" w:sz="4" w:space="0" w:color="auto"/>
              <w:right w:val="single" w:sz="4" w:space="0" w:color="auto"/>
            </w:tcBorders>
            <w:shd w:val="clear" w:color="auto" w:fill="FF6600"/>
          </w:tcPr>
          <w:p w14:paraId="0BD2579D" w14:textId="77777777" w:rsidR="00DB0726" w:rsidRPr="00AD4BA3"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56.0</w:t>
            </w:r>
          </w:p>
        </w:tc>
        <w:tc>
          <w:tcPr>
            <w:tcW w:w="1607" w:type="dxa"/>
            <w:tcBorders>
              <w:top w:val="single" w:sz="4" w:space="0" w:color="auto"/>
              <w:left w:val="single" w:sz="4" w:space="0" w:color="auto"/>
              <w:bottom w:val="single" w:sz="4" w:space="0" w:color="auto"/>
              <w:right w:val="single" w:sz="4" w:space="0" w:color="auto"/>
            </w:tcBorders>
            <w:shd w:val="clear" w:color="auto" w:fill="FF6600"/>
          </w:tcPr>
          <w:p w14:paraId="1F77EB78" w14:textId="77777777" w:rsidR="00DB0726" w:rsidRPr="00AD4BA3"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55.0</w:t>
            </w:r>
          </w:p>
        </w:tc>
        <w:tc>
          <w:tcPr>
            <w:tcW w:w="1607" w:type="dxa"/>
            <w:tcBorders>
              <w:top w:val="single" w:sz="4" w:space="0" w:color="auto"/>
              <w:left w:val="single" w:sz="4" w:space="0" w:color="auto"/>
              <w:bottom w:val="single" w:sz="4" w:space="0" w:color="auto"/>
              <w:right w:val="single" w:sz="4" w:space="0" w:color="auto"/>
            </w:tcBorders>
            <w:shd w:val="clear" w:color="auto" w:fill="FF6600"/>
          </w:tcPr>
          <w:p w14:paraId="56910E5E" w14:textId="77777777" w:rsidR="00DB0726" w:rsidRPr="00AD4BA3"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47.4</w:t>
            </w:r>
          </w:p>
        </w:tc>
      </w:tr>
      <w:tr w:rsidR="00DB0726" w:rsidRPr="00AD4BA3" w14:paraId="0F1908A0" w14:textId="77777777" w:rsidTr="00924B03">
        <w:tc>
          <w:tcPr>
            <w:cnfStyle w:val="001000000000" w:firstRow="0" w:lastRow="0" w:firstColumn="1" w:lastColumn="0" w:oddVBand="0" w:evenVBand="0" w:oddHBand="0" w:evenHBand="0" w:firstRowFirstColumn="0" w:firstRowLastColumn="0" w:lastRowFirstColumn="0" w:lastRowLastColumn="0"/>
            <w:tcW w:w="3652" w:type="dxa"/>
            <w:tcBorders>
              <w:right w:val="single" w:sz="4" w:space="0" w:color="auto"/>
            </w:tcBorders>
          </w:tcPr>
          <w:p w14:paraId="77A38A91" w14:textId="77777777" w:rsidR="00DB0726" w:rsidRPr="00AD4BA3" w:rsidRDefault="00DB0726" w:rsidP="00924B03">
            <w:pPr>
              <w:spacing w:line="360" w:lineRule="auto"/>
              <w:rPr>
                <w:rFonts w:ascii="Gill Sans MT" w:hAnsi="Gill Sans MT"/>
                <w:sz w:val="22"/>
                <w:szCs w:val="22"/>
                <w:lang w:val="en-GB"/>
              </w:rPr>
            </w:pPr>
            <w:r w:rsidRPr="00AD4BA3">
              <w:rPr>
                <w:rFonts w:ascii="Gill Sans MT" w:hAnsi="Gill Sans MT"/>
                <w:sz w:val="22"/>
                <w:szCs w:val="22"/>
                <w:lang w:val="en-GB"/>
              </w:rPr>
              <w:t>Regulatory Quality</w:t>
            </w:r>
          </w:p>
        </w:tc>
        <w:tc>
          <w:tcPr>
            <w:tcW w:w="1606" w:type="dxa"/>
            <w:tcBorders>
              <w:top w:val="single" w:sz="4" w:space="0" w:color="auto"/>
              <w:left w:val="single" w:sz="4" w:space="0" w:color="auto"/>
              <w:bottom w:val="single" w:sz="4" w:space="0" w:color="auto"/>
              <w:right w:val="single" w:sz="4" w:space="0" w:color="auto"/>
            </w:tcBorders>
            <w:shd w:val="clear" w:color="auto" w:fill="FF6600"/>
          </w:tcPr>
          <w:p w14:paraId="5807D2C3" w14:textId="77777777" w:rsidR="00DB0726" w:rsidRPr="00AD4BA3"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52.5</w:t>
            </w:r>
          </w:p>
        </w:tc>
        <w:tc>
          <w:tcPr>
            <w:tcW w:w="1607" w:type="dxa"/>
            <w:tcBorders>
              <w:top w:val="single" w:sz="4" w:space="0" w:color="auto"/>
              <w:left w:val="single" w:sz="4" w:space="0" w:color="auto"/>
              <w:bottom w:val="single" w:sz="4" w:space="0" w:color="auto"/>
              <w:right w:val="single" w:sz="4" w:space="0" w:color="auto"/>
            </w:tcBorders>
            <w:shd w:val="clear" w:color="auto" w:fill="CCFFCC"/>
          </w:tcPr>
          <w:p w14:paraId="3F2D66DF" w14:textId="77777777" w:rsidR="00DB0726" w:rsidRPr="00AD4BA3"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64.7</w:t>
            </w:r>
          </w:p>
        </w:tc>
        <w:tc>
          <w:tcPr>
            <w:tcW w:w="1607" w:type="dxa"/>
            <w:tcBorders>
              <w:top w:val="single" w:sz="4" w:space="0" w:color="auto"/>
              <w:left w:val="single" w:sz="4" w:space="0" w:color="auto"/>
              <w:bottom w:val="single" w:sz="4" w:space="0" w:color="auto"/>
              <w:right w:val="single" w:sz="4" w:space="0" w:color="auto"/>
            </w:tcBorders>
            <w:shd w:val="clear" w:color="auto" w:fill="FF6600"/>
          </w:tcPr>
          <w:p w14:paraId="4BD03F4B" w14:textId="77777777" w:rsidR="00DB0726" w:rsidRPr="00AD4BA3"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52.0</w:t>
            </w:r>
          </w:p>
        </w:tc>
      </w:tr>
      <w:tr w:rsidR="00DB0726" w:rsidRPr="00AD4BA3" w14:paraId="1D965739" w14:textId="77777777" w:rsidTr="00924B03">
        <w:tc>
          <w:tcPr>
            <w:cnfStyle w:val="001000000000" w:firstRow="0" w:lastRow="0" w:firstColumn="1" w:lastColumn="0" w:oddVBand="0" w:evenVBand="0" w:oddHBand="0" w:evenHBand="0" w:firstRowFirstColumn="0" w:firstRowLastColumn="0" w:lastRowFirstColumn="0" w:lastRowLastColumn="0"/>
            <w:tcW w:w="3652" w:type="dxa"/>
            <w:tcBorders>
              <w:right w:val="single" w:sz="4" w:space="0" w:color="auto"/>
            </w:tcBorders>
          </w:tcPr>
          <w:p w14:paraId="4E6C9693" w14:textId="77777777" w:rsidR="00DB0726" w:rsidRPr="00AD4BA3" w:rsidRDefault="00DB0726" w:rsidP="00924B03">
            <w:pPr>
              <w:spacing w:line="276" w:lineRule="auto"/>
              <w:rPr>
                <w:rFonts w:ascii="Gill Sans MT" w:hAnsi="Gill Sans MT"/>
                <w:sz w:val="22"/>
                <w:szCs w:val="22"/>
                <w:lang w:val="en-GB"/>
              </w:rPr>
            </w:pPr>
            <w:r w:rsidRPr="00AD4BA3">
              <w:rPr>
                <w:rFonts w:ascii="Gill Sans MT" w:hAnsi="Gill Sans MT"/>
                <w:sz w:val="22"/>
                <w:szCs w:val="22"/>
                <w:lang w:val="en-GB"/>
              </w:rPr>
              <w:t>Political Stability &amp; Absence of Violence/ Terrorism</w:t>
            </w:r>
          </w:p>
        </w:tc>
        <w:tc>
          <w:tcPr>
            <w:tcW w:w="1606" w:type="dxa"/>
            <w:tcBorders>
              <w:top w:val="single" w:sz="4" w:space="0" w:color="auto"/>
              <w:left w:val="single" w:sz="4" w:space="0" w:color="auto"/>
              <w:bottom w:val="single" w:sz="4" w:space="0" w:color="auto"/>
              <w:right w:val="single" w:sz="4" w:space="0" w:color="auto"/>
            </w:tcBorders>
            <w:shd w:val="clear" w:color="auto" w:fill="FF6600"/>
          </w:tcPr>
          <w:p w14:paraId="36D964F0" w14:textId="77777777" w:rsidR="00DB0726" w:rsidRPr="00AD4BA3"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38.5</w:t>
            </w:r>
          </w:p>
        </w:tc>
        <w:tc>
          <w:tcPr>
            <w:tcW w:w="1607" w:type="dxa"/>
            <w:tcBorders>
              <w:top w:val="single" w:sz="4" w:space="0" w:color="auto"/>
              <w:left w:val="single" w:sz="4" w:space="0" w:color="auto"/>
              <w:bottom w:val="single" w:sz="4" w:space="0" w:color="auto"/>
              <w:right w:val="single" w:sz="4" w:space="0" w:color="auto"/>
            </w:tcBorders>
            <w:shd w:val="clear" w:color="auto" w:fill="FF6600"/>
          </w:tcPr>
          <w:p w14:paraId="4D02155E" w14:textId="77777777" w:rsidR="00DB0726" w:rsidRPr="00AD4BA3"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35.6</w:t>
            </w:r>
          </w:p>
        </w:tc>
        <w:tc>
          <w:tcPr>
            <w:tcW w:w="1607" w:type="dxa"/>
            <w:tcBorders>
              <w:top w:val="single" w:sz="4" w:space="0" w:color="auto"/>
              <w:left w:val="single" w:sz="4" w:space="0" w:color="auto"/>
              <w:bottom w:val="single" w:sz="4" w:space="0" w:color="auto"/>
              <w:right w:val="single" w:sz="4" w:space="0" w:color="auto"/>
            </w:tcBorders>
            <w:shd w:val="clear" w:color="auto" w:fill="CCFFCC"/>
          </w:tcPr>
          <w:p w14:paraId="63FA8A3E" w14:textId="77777777" w:rsidR="00DB0726" w:rsidRPr="00AD4BA3"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56.7</w:t>
            </w:r>
          </w:p>
        </w:tc>
      </w:tr>
      <w:tr w:rsidR="00DB0726" w:rsidRPr="00AD4BA3" w14:paraId="2F3E330E" w14:textId="77777777" w:rsidTr="00924B03">
        <w:tc>
          <w:tcPr>
            <w:cnfStyle w:val="001000000000" w:firstRow="0" w:lastRow="0" w:firstColumn="1" w:lastColumn="0" w:oddVBand="0" w:evenVBand="0" w:oddHBand="0" w:evenHBand="0" w:firstRowFirstColumn="0" w:firstRowLastColumn="0" w:lastRowFirstColumn="0" w:lastRowLastColumn="0"/>
            <w:tcW w:w="3652" w:type="dxa"/>
            <w:tcBorders>
              <w:right w:val="single" w:sz="4" w:space="0" w:color="auto"/>
            </w:tcBorders>
          </w:tcPr>
          <w:p w14:paraId="2B9CF25C" w14:textId="77777777" w:rsidR="00DB0726" w:rsidRPr="00AD4BA3" w:rsidRDefault="00DB0726" w:rsidP="00924B03">
            <w:pPr>
              <w:spacing w:line="360" w:lineRule="auto"/>
              <w:rPr>
                <w:rFonts w:ascii="Gill Sans MT" w:hAnsi="Gill Sans MT"/>
                <w:sz w:val="22"/>
                <w:szCs w:val="22"/>
                <w:lang w:val="en-GB"/>
              </w:rPr>
            </w:pPr>
            <w:r w:rsidRPr="00AD4BA3">
              <w:rPr>
                <w:rFonts w:ascii="Gill Sans MT" w:hAnsi="Gill Sans MT"/>
                <w:sz w:val="22"/>
                <w:szCs w:val="22"/>
                <w:lang w:val="en-GB"/>
              </w:rPr>
              <w:t>Government Effectiveness</w:t>
            </w:r>
          </w:p>
        </w:tc>
        <w:tc>
          <w:tcPr>
            <w:tcW w:w="1606" w:type="dxa"/>
            <w:tcBorders>
              <w:top w:val="single" w:sz="4" w:space="0" w:color="auto"/>
              <w:left w:val="single" w:sz="4" w:space="0" w:color="auto"/>
              <w:bottom w:val="single" w:sz="4" w:space="0" w:color="auto"/>
              <w:right w:val="single" w:sz="4" w:space="0" w:color="auto"/>
            </w:tcBorders>
            <w:shd w:val="clear" w:color="auto" w:fill="FF6600"/>
          </w:tcPr>
          <w:p w14:paraId="3F0A864B" w14:textId="77777777" w:rsidR="00DB0726" w:rsidRPr="00AD4BA3"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54.6</w:t>
            </w:r>
          </w:p>
        </w:tc>
        <w:tc>
          <w:tcPr>
            <w:tcW w:w="1607" w:type="dxa"/>
            <w:tcBorders>
              <w:top w:val="single" w:sz="4" w:space="0" w:color="auto"/>
              <w:left w:val="single" w:sz="4" w:space="0" w:color="auto"/>
              <w:bottom w:val="single" w:sz="4" w:space="0" w:color="auto"/>
              <w:right w:val="single" w:sz="4" w:space="0" w:color="auto"/>
            </w:tcBorders>
            <w:shd w:val="clear" w:color="auto" w:fill="CCFFCC"/>
          </w:tcPr>
          <w:p w14:paraId="11CEC10B" w14:textId="77777777" w:rsidR="00DB0726" w:rsidRPr="00AD4BA3"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75.6</w:t>
            </w:r>
          </w:p>
        </w:tc>
        <w:tc>
          <w:tcPr>
            <w:tcW w:w="1607" w:type="dxa"/>
            <w:tcBorders>
              <w:top w:val="single" w:sz="4" w:space="0" w:color="auto"/>
              <w:left w:val="single" w:sz="4" w:space="0" w:color="auto"/>
              <w:bottom w:val="single" w:sz="4" w:space="0" w:color="auto"/>
              <w:right w:val="single" w:sz="4" w:space="0" w:color="auto"/>
            </w:tcBorders>
            <w:shd w:val="clear" w:color="auto" w:fill="CCFFCC"/>
          </w:tcPr>
          <w:p w14:paraId="43D075A6" w14:textId="77777777" w:rsidR="00DB0726" w:rsidRPr="00AD4BA3"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71.2</w:t>
            </w:r>
          </w:p>
        </w:tc>
      </w:tr>
      <w:tr w:rsidR="00DB0726" w:rsidRPr="00AD4BA3" w14:paraId="5C918F9B" w14:textId="77777777" w:rsidTr="00924B03">
        <w:tc>
          <w:tcPr>
            <w:cnfStyle w:val="001000000000" w:firstRow="0" w:lastRow="0" w:firstColumn="1" w:lastColumn="0" w:oddVBand="0" w:evenVBand="0" w:oddHBand="0" w:evenHBand="0" w:firstRowFirstColumn="0" w:firstRowLastColumn="0" w:lastRowFirstColumn="0" w:lastRowLastColumn="0"/>
            <w:tcW w:w="3652" w:type="dxa"/>
            <w:tcBorders>
              <w:right w:val="single" w:sz="4" w:space="0" w:color="auto"/>
            </w:tcBorders>
          </w:tcPr>
          <w:p w14:paraId="00395A16" w14:textId="77777777" w:rsidR="00DB0726" w:rsidRPr="00AD4BA3" w:rsidRDefault="00DB0726" w:rsidP="00924B03">
            <w:pPr>
              <w:spacing w:line="360" w:lineRule="auto"/>
              <w:rPr>
                <w:rFonts w:ascii="Gill Sans MT" w:hAnsi="Gill Sans MT"/>
                <w:sz w:val="22"/>
                <w:szCs w:val="22"/>
                <w:lang w:val="en-GB"/>
              </w:rPr>
            </w:pPr>
            <w:r w:rsidRPr="00AD4BA3">
              <w:rPr>
                <w:rFonts w:ascii="Gill Sans MT" w:hAnsi="Gill Sans MT"/>
                <w:sz w:val="22"/>
                <w:szCs w:val="22"/>
                <w:lang w:val="en-GB"/>
              </w:rPr>
              <w:t>Control of Corruption</w:t>
            </w:r>
          </w:p>
        </w:tc>
        <w:tc>
          <w:tcPr>
            <w:tcW w:w="1606" w:type="dxa"/>
            <w:tcBorders>
              <w:top w:val="single" w:sz="4" w:space="0" w:color="auto"/>
              <w:left w:val="single" w:sz="4" w:space="0" w:color="auto"/>
              <w:bottom w:val="single" w:sz="4" w:space="0" w:color="auto"/>
              <w:right w:val="single" w:sz="4" w:space="0" w:color="auto"/>
            </w:tcBorders>
            <w:shd w:val="clear" w:color="auto" w:fill="FF6600"/>
          </w:tcPr>
          <w:p w14:paraId="3341A1BC" w14:textId="77777777" w:rsidR="00DB0726" w:rsidRPr="00AD4BA3"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59.0</w:t>
            </w:r>
          </w:p>
        </w:tc>
        <w:tc>
          <w:tcPr>
            <w:tcW w:w="1607" w:type="dxa"/>
            <w:tcBorders>
              <w:top w:val="single" w:sz="4" w:space="0" w:color="auto"/>
              <w:left w:val="single" w:sz="4" w:space="0" w:color="auto"/>
              <w:bottom w:val="single" w:sz="4" w:space="0" w:color="auto"/>
              <w:right w:val="single" w:sz="4" w:space="0" w:color="auto"/>
            </w:tcBorders>
            <w:shd w:val="clear" w:color="auto" w:fill="CCFFCC"/>
          </w:tcPr>
          <w:p w14:paraId="77E6756C" w14:textId="77777777" w:rsidR="00DB0726" w:rsidRPr="00AD4BA3"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73.2</w:t>
            </w:r>
          </w:p>
        </w:tc>
        <w:tc>
          <w:tcPr>
            <w:tcW w:w="1607" w:type="dxa"/>
            <w:tcBorders>
              <w:top w:val="single" w:sz="4" w:space="0" w:color="auto"/>
              <w:left w:val="single" w:sz="4" w:space="0" w:color="auto"/>
              <w:bottom w:val="single" w:sz="4" w:space="0" w:color="auto"/>
              <w:right w:val="single" w:sz="4" w:space="0" w:color="auto"/>
            </w:tcBorders>
            <w:shd w:val="clear" w:color="auto" w:fill="FF6600"/>
          </w:tcPr>
          <w:p w14:paraId="5F33AD70" w14:textId="77777777" w:rsidR="00DB0726" w:rsidRPr="00AD4BA3"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59.0</w:t>
            </w:r>
          </w:p>
        </w:tc>
      </w:tr>
    </w:tbl>
    <w:p w14:paraId="573F190E" w14:textId="77777777" w:rsidR="00DB0726" w:rsidRDefault="00DB0726" w:rsidP="00DB0726">
      <w:pPr>
        <w:rPr>
          <w:rFonts w:ascii="Gill Sans MT" w:hAnsi="Gill Sans MT"/>
          <w:sz w:val="18"/>
          <w:szCs w:val="18"/>
          <w:u w:val="single"/>
          <w:lang w:val="en-GB"/>
        </w:rPr>
      </w:pPr>
    </w:p>
    <w:p w14:paraId="2AB10F92" w14:textId="77777777" w:rsidR="00DB0726" w:rsidRPr="0088648F" w:rsidRDefault="00DB0726" w:rsidP="00DB0726">
      <w:pPr>
        <w:rPr>
          <w:rFonts w:ascii="Gill Sans MT" w:hAnsi="Gill Sans MT"/>
          <w:sz w:val="18"/>
          <w:szCs w:val="18"/>
          <w:u w:val="single"/>
          <w:lang w:val="en-GB"/>
        </w:rPr>
      </w:pPr>
      <w:r w:rsidRPr="00AD4BA3">
        <w:rPr>
          <w:rFonts w:ascii="Gill Sans MT" w:hAnsi="Gill Sans MT"/>
          <w:sz w:val="18"/>
          <w:szCs w:val="18"/>
          <w:u w:val="single"/>
          <w:lang w:val="en-GB"/>
        </w:rPr>
        <w:t xml:space="preserve">Source: </w:t>
      </w:r>
      <w:r w:rsidRPr="00AD4BA3">
        <w:rPr>
          <w:rFonts w:ascii="Gill Sans MT" w:hAnsi="Gill Sans MT"/>
          <w:sz w:val="18"/>
          <w:szCs w:val="18"/>
          <w:lang w:val="en-GB"/>
        </w:rPr>
        <w:t>World Bank, Worldwide Governance Indicators</w:t>
      </w:r>
    </w:p>
    <w:p w14:paraId="65AF1394" w14:textId="77777777" w:rsidR="00DB0726" w:rsidRDefault="00DB0726" w:rsidP="00DB0726">
      <w:pPr>
        <w:pStyle w:val="BodyText"/>
        <w:numPr>
          <w:ilvl w:val="0"/>
          <w:numId w:val="2"/>
        </w:numPr>
        <w:spacing w:line="360" w:lineRule="auto"/>
        <w:rPr>
          <w:rFonts w:ascii="Gill Sans MT" w:hAnsi="Gill Sans MT"/>
          <w:sz w:val="20"/>
          <w:lang w:val="en-GB"/>
        </w:rPr>
      </w:pPr>
      <w:r>
        <w:rPr>
          <w:rFonts w:ascii="Gill Sans MT" w:hAnsi="Gill Sans MT"/>
          <w:sz w:val="20"/>
          <w:lang w:val="en-GB"/>
        </w:rPr>
        <w:t xml:space="preserve">In 2000 the three countries were </w:t>
      </w:r>
      <w:r w:rsidRPr="00507D1A">
        <w:rPr>
          <w:rFonts w:ascii="Gill Sans MT" w:hAnsi="Gill Sans MT"/>
          <w:sz w:val="20"/>
          <w:lang w:val="en-GB"/>
        </w:rPr>
        <w:t xml:space="preserve">situated </w:t>
      </w:r>
      <w:r>
        <w:rPr>
          <w:rFonts w:ascii="Gill Sans MT" w:hAnsi="Gill Sans MT"/>
          <w:sz w:val="20"/>
          <w:lang w:val="en-GB"/>
        </w:rPr>
        <w:t xml:space="preserve">essentially </w:t>
      </w:r>
      <w:r w:rsidRPr="00507D1A">
        <w:rPr>
          <w:rFonts w:ascii="Gill Sans MT" w:hAnsi="Gill Sans MT"/>
          <w:sz w:val="20"/>
          <w:lang w:val="en-GB"/>
        </w:rPr>
        <w:t>wit</w:t>
      </w:r>
      <w:r>
        <w:rPr>
          <w:rFonts w:ascii="Gill Sans MT" w:hAnsi="Gill Sans MT"/>
          <w:sz w:val="20"/>
          <w:lang w:val="en-GB"/>
        </w:rPr>
        <w:t xml:space="preserve">hin the third </w:t>
      </w:r>
      <w:r w:rsidRPr="00507D1A">
        <w:rPr>
          <w:rFonts w:ascii="Gill Sans MT" w:hAnsi="Gill Sans MT"/>
          <w:sz w:val="20"/>
          <w:lang w:val="en-GB"/>
        </w:rPr>
        <w:t>quartile of the 200 pl</w:t>
      </w:r>
      <w:r>
        <w:rPr>
          <w:rFonts w:ascii="Gill Sans MT" w:hAnsi="Gill Sans MT"/>
          <w:sz w:val="20"/>
          <w:lang w:val="en-GB"/>
        </w:rPr>
        <w:t>us countries covered by the WGI. So</w:t>
      </w:r>
      <w:r w:rsidR="00B17B94">
        <w:rPr>
          <w:rFonts w:ascii="Gill Sans MT" w:hAnsi="Gill Sans MT"/>
          <w:sz w:val="20"/>
          <w:lang w:val="en-GB"/>
        </w:rPr>
        <w:t xml:space="preserve">uth Africa scored </w:t>
      </w:r>
      <w:r>
        <w:rPr>
          <w:rFonts w:ascii="Gill Sans MT" w:hAnsi="Gill Sans MT"/>
          <w:sz w:val="20"/>
          <w:lang w:val="en-GB"/>
        </w:rPr>
        <w:t>better than Morocco and Tunisia across most dimensions of governance but had a relatively low score for ‘political stability/ absence of violence’, as also did Moroc</w:t>
      </w:r>
      <w:r w:rsidR="00B17B94">
        <w:rPr>
          <w:rFonts w:ascii="Gill Sans MT" w:hAnsi="Gill Sans MT"/>
          <w:sz w:val="20"/>
          <w:lang w:val="en-GB"/>
        </w:rPr>
        <w:t xml:space="preserve">co.  Reflecting the </w:t>
      </w:r>
      <w:r>
        <w:rPr>
          <w:rFonts w:ascii="Gill Sans MT" w:hAnsi="Gill Sans MT"/>
          <w:sz w:val="20"/>
          <w:lang w:val="en-GB"/>
        </w:rPr>
        <w:t>restrictions on democratic rights and freedom of the press</w:t>
      </w:r>
      <w:r w:rsidR="00924B03">
        <w:rPr>
          <w:rFonts w:ascii="Gill Sans MT" w:hAnsi="Gill Sans MT"/>
          <w:sz w:val="20"/>
          <w:lang w:val="en-GB"/>
        </w:rPr>
        <w:t>,</w:t>
      </w:r>
      <w:r>
        <w:rPr>
          <w:rFonts w:ascii="Gill Sans MT" w:hAnsi="Gill Sans MT"/>
          <w:sz w:val="20"/>
          <w:lang w:val="en-GB"/>
        </w:rPr>
        <w:t xml:space="preserve"> which then existed, </w:t>
      </w:r>
      <w:r w:rsidR="00B17B94">
        <w:rPr>
          <w:rFonts w:ascii="Gill Sans MT" w:hAnsi="Gill Sans MT"/>
          <w:sz w:val="20"/>
          <w:lang w:val="en-GB"/>
        </w:rPr>
        <w:t xml:space="preserve">Tunisia and Morocco scored </w:t>
      </w:r>
      <w:r>
        <w:rPr>
          <w:rFonts w:ascii="Gill Sans MT" w:hAnsi="Gill Sans MT"/>
          <w:sz w:val="20"/>
          <w:lang w:val="en-GB"/>
        </w:rPr>
        <w:t>poorly for ‘voice and accountability’, with their estimated levels ranking lower than the four countries</w:t>
      </w:r>
      <w:r w:rsidR="008F4690">
        <w:rPr>
          <w:rFonts w:ascii="Gill Sans MT" w:hAnsi="Gill Sans MT"/>
          <w:sz w:val="20"/>
          <w:lang w:val="en-GB"/>
        </w:rPr>
        <w:t xml:space="preserve"> in our LIC sample.</w:t>
      </w:r>
      <w:r>
        <w:rPr>
          <w:rFonts w:ascii="Gill Sans MT" w:hAnsi="Gill Sans MT"/>
          <w:sz w:val="20"/>
          <w:lang w:val="en-GB"/>
        </w:rPr>
        <w:t xml:space="preserve"> </w:t>
      </w:r>
    </w:p>
    <w:p w14:paraId="088EEFCF" w14:textId="77777777" w:rsidR="00DB0726" w:rsidRPr="00BE2160" w:rsidRDefault="008F4690" w:rsidP="00DB0726">
      <w:pPr>
        <w:pStyle w:val="Heading3"/>
      </w:pPr>
      <w:r>
        <w:t>The political framework</w:t>
      </w:r>
    </w:p>
    <w:p w14:paraId="6E927FE9" w14:textId="77777777" w:rsidR="00DB0726" w:rsidRPr="00AC55BA" w:rsidRDefault="00DB0726" w:rsidP="00DB0726">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The estimates of voice and accountability presented above already give a strong indication of the nature of the political systems in these countries but, as we noted in Chapter 2, there are aspects, which are not well addressed by the WGI governance scores. </w:t>
      </w:r>
      <w:r w:rsidRPr="00AC55BA">
        <w:rPr>
          <w:rFonts w:ascii="Gill Sans MT" w:hAnsi="Gill Sans MT"/>
          <w:sz w:val="20"/>
          <w:lang w:val="en-GB"/>
        </w:rPr>
        <w:t xml:space="preserve">Specifically, to what extent did Morocco, Tunisia and South Africa combine consistency in leadership with </w:t>
      </w:r>
      <w:r w:rsidRPr="00AC55BA">
        <w:rPr>
          <w:rFonts w:ascii="Gill Sans MT" w:hAnsi="Gill Sans MT"/>
          <w:sz w:val="20"/>
          <w:lang w:val="en-GB"/>
        </w:rPr>
        <w:lastRenderedPageBreak/>
        <w:t>accountability and attentiveness to voters’ needs</w:t>
      </w:r>
      <w:r w:rsidR="00B17B94">
        <w:rPr>
          <w:rStyle w:val="FootnoteReference"/>
          <w:rFonts w:ascii="Gill Sans MT" w:hAnsi="Gill Sans MT"/>
          <w:sz w:val="20"/>
          <w:lang w:val="en-GB"/>
        </w:rPr>
        <w:footnoteReference w:id="37"/>
      </w:r>
      <w:r w:rsidRPr="00AC55BA">
        <w:rPr>
          <w:rFonts w:ascii="Gill Sans MT" w:hAnsi="Gill Sans MT"/>
          <w:sz w:val="20"/>
          <w:lang w:val="en-GB"/>
        </w:rPr>
        <w:t>? We do not have clear-cut indicators but there are some facts about these countries which are clearly relevant in this respect:</w:t>
      </w:r>
    </w:p>
    <w:p w14:paraId="0541F1D4" w14:textId="77777777" w:rsidR="00DB0726" w:rsidRDefault="00DB0726" w:rsidP="00D81DB3">
      <w:pPr>
        <w:pStyle w:val="BodyText"/>
        <w:numPr>
          <w:ilvl w:val="0"/>
          <w:numId w:val="10"/>
        </w:numPr>
        <w:spacing w:line="360" w:lineRule="auto"/>
        <w:rPr>
          <w:rFonts w:ascii="Gill Sans MT" w:hAnsi="Gill Sans MT"/>
          <w:sz w:val="20"/>
          <w:lang w:val="en-GB"/>
        </w:rPr>
      </w:pPr>
      <w:r w:rsidRPr="006A1DCB">
        <w:rPr>
          <w:rFonts w:ascii="Gill Sans MT" w:hAnsi="Gill Sans MT"/>
          <w:b/>
          <w:sz w:val="20"/>
          <w:lang w:val="en-GB"/>
        </w:rPr>
        <w:t>South Africa</w:t>
      </w:r>
      <w:r w:rsidRPr="00D3069C">
        <w:rPr>
          <w:rFonts w:ascii="Gill Sans MT" w:hAnsi="Gill Sans MT"/>
          <w:sz w:val="20"/>
          <w:lang w:val="en-GB"/>
        </w:rPr>
        <w:t xml:space="preserve"> is a parliamentary represen</w:t>
      </w:r>
      <w:r w:rsidR="006A1DCB">
        <w:rPr>
          <w:rFonts w:ascii="Gill Sans MT" w:hAnsi="Gill Sans MT"/>
          <w:sz w:val="20"/>
          <w:lang w:val="en-GB"/>
        </w:rPr>
        <w:t>tative democracy, in which the P</w:t>
      </w:r>
      <w:r w:rsidRPr="00D3069C">
        <w:rPr>
          <w:rFonts w:ascii="Gill Sans MT" w:hAnsi="Gill Sans MT"/>
          <w:sz w:val="20"/>
          <w:lang w:val="en-GB"/>
        </w:rPr>
        <w:t xml:space="preserve">resident serves as head of state and head of government in the same manner as prime ministers in other nations. </w:t>
      </w:r>
      <w:r w:rsidRPr="006A7D9A">
        <w:rPr>
          <w:rFonts w:ascii="Gill Sans MT" w:hAnsi="Gill Sans MT"/>
          <w:sz w:val="20"/>
          <w:lang w:val="en-GB"/>
        </w:rPr>
        <w:t xml:space="preserve">Following the end of apartheid and the first open, multi-party elections in 1994, the ANC (African National Congress) </w:t>
      </w:r>
      <w:r w:rsidRPr="00D3069C">
        <w:rPr>
          <w:rFonts w:ascii="Gill Sans MT" w:hAnsi="Gill Sans MT"/>
          <w:sz w:val="20"/>
          <w:lang w:val="en-GB"/>
        </w:rPr>
        <w:t xml:space="preserve">have consistently won the majority of the popular votes both for the national legislature and the 9 provincial legislatures (although Western Cape was won by the Democratic Alliance in 2009.) This helped to develop experience within the new post-apartheid bureaucracy and has established consistency in the conduct of social and economic policy, with several leading ministers remaining in government for long periods, most notably Trevor Manuel, who has been a government minister from 1994 to 2014, most of this period as Minister of Finance. </w:t>
      </w:r>
    </w:p>
    <w:p w14:paraId="4DE6FFF2" w14:textId="77777777" w:rsidR="00F86BC0" w:rsidRDefault="00DB0726" w:rsidP="00D81DB3">
      <w:pPr>
        <w:pStyle w:val="BodyText"/>
        <w:numPr>
          <w:ilvl w:val="0"/>
          <w:numId w:val="10"/>
        </w:numPr>
        <w:spacing w:line="360" w:lineRule="auto"/>
        <w:rPr>
          <w:rFonts w:ascii="Gill Sans MT" w:hAnsi="Gill Sans MT"/>
          <w:sz w:val="20"/>
          <w:lang w:val="en-GB"/>
        </w:rPr>
      </w:pPr>
      <w:r w:rsidRPr="00D3069C">
        <w:rPr>
          <w:rFonts w:ascii="Gill Sans MT" w:hAnsi="Gill Sans MT"/>
          <w:sz w:val="20"/>
          <w:lang w:val="en-GB"/>
        </w:rPr>
        <w:t>Although S</w:t>
      </w:r>
      <w:r w:rsidR="006A0E5A">
        <w:rPr>
          <w:rFonts w:ascii="Gill Sans MT" w:hAnsi="Gill Sans MT"/>
          <w:sz w:val="20"/>
          <w:lang w:val="en-GB"/>
        </w:rPr>
        <w:t xml:space="preserve">outh </w:t>
      </w:r>
      <w:r w:rsidRPr="00D3069C">
        <w:rPr>
          <w:rFonts w:ascii="Gill Sans MT" w:hAnsi="Gill Sans MT"/>
          <w:sz w:val="20"/>
          <w:lang w:val="en-GB"/>
        </w:rPr>
        <w:t>A</w:t>
      </w:r>
      <w:r w:rsidR="006A0E5A">
        <w:rPr>
          <w:rFonts w:ascii="Gill Sans MT" w:hAnsi="Gill Sans MT"/>
          <w:sz w:val="20"/>
          <w:lang w:val="en-GB"/>
        </w:rPr>
        <w:t>frica</w:t>
      </w:r>
      <w:r w:rsidRPr="00D3069C">
        <w:rPr>
          <w:rFonts w:ascii="Gill Sans MT" w:hAnsi="Gill Sans MT"/>
          <w:sz w:val="20"/>
          <w:lang w:val="en-GB"/>
        </w:rPr>
        <w:t xml:space="preserve"> has a strong constitution that foresees a division of powers,</w:t>
      </w:r>
      <w:r w:rsidRPr="006A7D9A">
        <w:rPr>
          <w:rFonts w:ascii="Gill Sans MT" w:hAnsi="Gill Sans MT"/>
          <w:sz w:val="20"/>
          <w:lang w:val="en-GB"/>
        </w:rPr>
        <w:t xml:space="preserve"> has a </w:t>
      </w:r>
      <w:r w:rsidRPr="00D3069C">
        <w:rPr>
          <w:rFonts w:ascii="Gill Sans MT" w:hAnsi="Gill Sans MT"/>
          <w:sz w:val="20"/>
          <w:lang w:val="en-GB"/>
        </w:rPr>
        <w:t>related bill of rights and a two-term limitation on the period of the Presidency, the absence of any al</w:t>
      </w:r>
      <w:r w:rsidR="00B17B94">
        <w:rPr>
          <w:rFonts w:ascii="Gill Sans MT" w:hAnsi="Gill Sans MT"/>
          <w:sz w:val="20"/>
          <w:lang w:val="en-GB"/>
        </w:rPr>
        <w:t>ternation of government for over</w:t>
      </w:r>
      <w:r w:rsidRPr="00D3069C">
        <w:rPr>
          <w:rFonts w:ascii="Gill Sans MT" w:hAnsi="Gill Sans MT"/>
          <w:sz w:val="20"/>
          <w:lang w:val="en-GB"/>
        </w:rPr>
        <w:t xml:space="preserve"> 20 years and the dominance of the ANC </w:t>
      </w:r>
      <w:r w:rsidR="00B17B94">
        <w:rPr>
          <w:rFonts w:ascii="Gill Sans MT" w:hAnsi="Gill Sans MT"/>
          <w:sz w:val="20"/>
          <w:lang w:val="en-GB"/>
        </w:rPr>
        <w:t xml:space="preserve">represents a </w:t>
      </w:r>
      <w:r w:rsidRPr="00D3069C">
        <w:rPr>
          <w:rFonts w:ascii="Gill Sans MT" w:hAnsi="Gill Sans MT"/>
          <w:sz w:val="20"/>
          <w:lang w:val="en-GB"/>
        </w:rPr>
        <w:t>threat to accountability and the system of checks and balances. The top leaders of the ANC decide on government posts and have been in the pos</w:t>
      </w:r>
      <w:r w:rsidR="00B17B94">
        <w:rPr>
          <w:rFonts w:ascii="Gill Sans MT" w:hAnsi="Gill Sans MT"/>
          <w:sz w:val="20"/>
          <w:lang w:val="en-GB"/>
        </w:rPr>
        <w:t xml:space="preserve">ition to put into place loyal </w:t>
      </w:r>
      <w:r w:rsidRPr="00D3069C">
        <w:rPr>
          <w:rFonts w:ascii="Gill Sans MT" w:hAnsi="Gill Sans MT"/>
          <w:sz w:val="20"/>
          <w:lang w:val="en-GB"/>
        </w:rPr>
        <w:t xml:space="preserve">personnel in all major agencies and institutions such as </w:t>
      </w:r>
      <w:r w:rsidR="006A1DCB">
        <w:rPr>
          <w:rFonts w:ascii="Gill Sans MT" w:hAnsi="Gill Sans MT"/>
          <w:sz w:val="20"/>
          <w:lang w:val="en-GB"/>
        </w:rPr>
        <w:t xml:space="preserve">the </w:t>
      </w:r>
      <w:r w:rsidRPr="00D3069C">
        <w:rPr>
          <w:rFonts w:ascii="Gill Sans MT" w:hAnsi="Gill Sans MT"/>
          <w:sz w:val="20"/>
          <w:lang w:val="en-GB"/>
        </w:rPr>
        <w:t xml:space="preserve">intelligence service, police and army and also </w:t>
      </w:r>
      <w:r w:rsidR="00B17B94">
        <w:rPr>
          <w:rFonts w:ascii="Gill Sans MT" w:hAnsi="Gill Sans MT"/>
          <w:sz w:val="20"/>
          <w:lang w:val="en-GB"/>
        </w:rPr>
        <w:t xml:space="preserve">the </w:t>
      </w:r>
      <w:r w:rsidRPr="00D3069C">
        <w:rPr>
          <w:rFonts w:ascii="Gill Sans MT" w:hAnsi="Gill Sans MT"/>
          <w:sz w:val="20"/>
          <w:lang w:val="en-GB"/>
        </w:rPr>
        <w:t xml:space="preserve">judicial services. </w:t>
      </w:r>
      <w:r w:rsidRPr="006A7D9A">
        <w:rPr>
          <w:rFonts w:ascii="Gill Sans MT" w:hAnsi="Gill Sans MT"/>
          <w:sz w:val="20"/>
          <w:lang w:val="en-GB"/>
        </w:rPr>
        <w:t>However, altho</w:t>
      </w:r>
      <w:r w:rsidR="00B17B94">
        <w:rPr>
          <w:rFonts w:ascii="Gill Sans MT" w:hAnsi="Gill Sans MT"/>
          <w:sz w:val="20"/>
          <w:lang w:val="en-GB"/>
        </w:rPr>
        <w:t>ugh the opposition is f</w:t>
      </w:r>
      <w:r w:rsidRPr="006A7D9A">
        <w:rPr>
          <w:rFonts w:ascii="Gill Sans MT" w:hAnsi="Gill Sans MT"/>
          <w:sz w:val="20"/>
          <w:lang w:val="en-GB"/>
        </w:rPr>
        <w:t xml:space="preserve">ragmented, it </w:t>
      </w:r>
      <w:r w:rsidRPr="00D3069C">
        <w:rPr>
          <w:rFonts w:ascii="Gill Sans MT" w:hAnsi="Gill Sans MT"/>
          <w:sz w:val="20"/>
          <w:lang w:val="en-GB"/>
        </w:rPr>
        <w:t>has been incr</w:t>
      </w:r>
      <w:r w:rsidR="00B17B94">
        <w:rPr>
          <w:rFonts w:ascii="Gill Sans MT" w:hAnsi="Gill Sans MT"/>
          <w:sz w:val="20"/>
          <w:lang w:val="en-GB"/>
        </w:rPr>
        <w:t xml:space="preserve">easing, and </w:t>
      </w:r>
      <w:r w:rsidRPr="00D3069C">
        <w:rPr>
          <w:rFonts w:ascii="Gill Sans MT" w:hAnsi="Gill Sans MT"/>
          <w:sz w:val="20"/>
          <w:lang w:val="en-GB"/>
        </w:rPr>
        <w:t xml:space="preserve">the </w:t>
      </w:r>
      <w:r w:rsidR="00B17B94">
        <w:rPr>
          <w:rFonts w:ascii="Gill Sans MT" w:hAnsi="Gill Sans MT"/>
          <w:sz w:val="20"/>
          <w:lang w:val="en-GB"/>
        </w:rPr>
        <w:t xml:space="preserve">increasing differentiation of the </w:t>
      </w:r>
      <w:r w:rsidRPr="00D3069C">
        <w:rPr>
          <w:rFonts w:ascii="Gill Sans MT" w:hAnsi="Gill Sans MT"/>
          <w:sz w:val="20"/>
          <w:lang w:val="en-GB"/>
        </w:rPr>
        <w:t xml:space="preserve">factions within the ANC (Trade Unions, Communist Party and Youth League besides the 'historical' ANC party) </w:t>
      </w:r>
      <w:r w:rsidR="00F84F03">
        <w:rPr>
          <w:rFonts w:ascii="Gill Sans MT" w:hAnsi="Gill Sans MT"/>
          <w:sz w:val="20"/>
          <w:lang w:val="en-GB"/>
        </w:rPr>
        <w:t xml:space="preserve">has generated a degree of internal accountability and </w:t>
      </w:r>
      <w:r w:rsidRPr="00D030FC">
        <w:rPr>
          <w:rFonts w:ascii="Gill Sans MT" w:hAnsi="Gill Sans MT"/>
          <w:sz w:val="20"/>
          <w:lang w:val="en-GB"/>
        </w:rPr>
        <w:t>may lead to important political changes</w:t>
      </w:r>
      <w:r>
        <w:rPr>
          <w:rFonts w:ascii="Gill Sans MT" w:hAnsi="Gill Sans MT"/>
          <w:sz w:val="20"/>
          <w:lang w:val="en-GB"/>
        </w:rPr>
        <w:t xml:space="preserve"> in the future</w:t>
      </w:r>
      <w:r w:rsidR="006A1DCB">
        <w:rPr>
          <w:rFonts w:ascii="Gill Sans MT" w:hAnsi="Gill Sans MT"/>
          <w:sz w:val="20"/>
          <w:lang w:val="en-GB"/>
        </w:rPr>
        <w:t>.</w:t>
      </w:r>
      <w:r w:rsidRPr="00D3069C">
        <w:rPr>
          <w:rFonts w:ascii="Gill Sans MT" w:hAnsi="Gill Sans MT"/>
          <w:sz w:val="20"/>
          <w:lang w:val="en-GB"/>
        </w:rPr>
        <w:t xml:space="preserve"> </w:t>
      </w:r>
    </w:p>
    <w:p w14:paraId="31F5CE04" w14:textId="77777777" w:rsidR="00DB0726" w:rsidRPr="00AC55BA" w:rsidRDefault="00DB0726" w:rsidP="00D81DB3">
      <w:pPr>
        <w:pStyle w:val="BodyText"/>
        <w:numPr>
          <w:ilvl w:val="0"/>
          <w:numId w:val="10"/>
        </w:numPr>
        <w:spacing w:line="360" w:lineRule="auto"/>
        <w:rPr>
          <w:rFonts w:ascii="Gill Sans MT" w:hAnsi="Gill Sans MT"/>
          <w:sz w:val="20"/>
          <w:lang w:val="en-GB"/>
        </w:rPr>
      </w:pPr>
      <w:r w:rsidRPr="00F86BC0">
        <w:rPr>
          <w:rFonts w:ascii="Gill Sans MT" w:hAnsi="Gill Sans MT"/>
          <w:sz w:val="20"/>
          <w:lang w:val="en-GB"/>
        </w:rPr>
        <w:t>From 1956 to 2011,</w:t>
      </w:r>
      <w:r>
        <w:rPr>
          <w:rFonts w:ascii="Gill Sans MT" w:hAnsi="Gill Sans MT"/>
          <w:b/>
          <w:sz w:val="20"/>
          <w:lang w:val="en-GB"/>
        </w:rPr>
        <w:t xml:space="preserve"> Tu</w:t>
      </w:r>
      <w:r w:rsidRPr="00B56465">
        <w:rPr>
          <w:rFonts w:ascii="Gill Sans MT" w:hAnsi="Gill Sans MT"/>
          <w:b/>
          <w:sz w:val="20"/>
          <w:lang w:val="en-GB"/>
        </w:rPr>
        <w:t>ni</w:t>
      </w:r>
      <w:r>
        <w:rPr>
          <w:rFonts w:ascii="Gill Sans MT" w:hAnsi="Gill Sans MT"/>
          <w:b/>
          <w:sz w:val="20"/>
          <w:lang w:val="en-GB"/>
        </w:rPr>
        <w:t xml:space="preserve">sia </w:t>
      </w:r>
      <w:r w:rsidRPr="00F86BC0">
        <w:rPr>
          <w:rFonts w:ascii="Gill Sans MT" w:hAnsi="Gill Sans MT"/>
          <w:sz w:val="20"/>
          <w:lang w:val="en-GB"/>
        </w:rPr>
        <w:t xml:space="preserve">operated as a de facto single party state, with political power controlled by the secular Constitutional Democratic Rally (RCD). </w:t>
      </w:r>
      <w:proofErr w:type="spellStart"/>
      <w:r w:rsidRPr="00F86BC0">
        <w:rPr>
          <w:rFonts w:ascii="Gill Sans MT" w:hAnsi="Gill Sans MT"/>
          <w:sz w:val="20"/>
          <w:lang w:val="en-GB"/>
        </w:rPr>
        <w:t>Habib</w:t>
      </w:r>
      <w:proofErr w:type="spellEnd"/>
      <w:r w:rsidRPr="00F86BC0">
        <w:rPr>
          <w:rFonts w:ascii="Gill Sans MT" w:hAnsi="Gill Sans MT"/>
          <w:sz w:val="20"/>
          <w:lang w:val="en-GB"/>
        </w:rPr>
        <w:t xml:space="preserve"> </w:t>
      </w:r>
      <w:proofErr w:type="spellStart"/>
      <w:r w:rsidRPr="00F86BC0">
        <w:rPr>
          <w:rFonts w:ascii="Gill Sans MT" w:hAnsi="Gill Sans MT"/>
          <w:sz w:val="20"/>
          <w:lang w:val="en-GB"/>
        </w:rPr>
        <w:t>Bourguiba</w:t>
      </w:r>
      <w:proofErr w:type="spellEnd"/>
      <w:r w:rsidRPr="00F86BC0">
        <w:rPr>
          <w:rFonts w:ascii="Gill Sans MT" w:hAnsi="Gill Sans MT"/>
          <w:sz w:val="20"/>
          <w:lang w:val="en-GB"/>
        </w:rPr>
        <w:t xml:space="preserve">, having led Tunisia to Independence in 1956, put an end to the monarchy and established himself as President from 1957. Although he had a strong modernising agenda, based around a secular state and a neutral foreign policy, as well as the active promotion of gender equality, he also promoted a cult of personality around himself and remained as president until 1987, when he was (peacefully) deposed by his successor, </w:t>
      </w:r>
      <w:proofErr w:type="spellStart"/>
      <w:r w:rsidRPr="00F86BC0">
        <w:rPr>
          <w:rFonts w:ascii="Gill Sans MT" w:hAnsi="Gill Sans MT"/>
          <w:sz w:val="20"/>
          <w:lang w:val="en-GB"/>
        </w:rPr>
        <w:t>Zine</w:t>
      </w:r>
      <w:proofErr w:type="spellEnd"/>
      <w:r w:rsidRPr="00F86BC0">
        <w:rPr>
          <w:rFonts w:ascii="Gill Sans MT" w:hAnsi="Gill Sans MT"/>
          <w:sz w:val="20"/>
          <w:lang w:val="en-GB"/>
        </w:rPr>
        <w:t xml:space="preserve"> El </w:t>
      </w:r>
      <w:proofErr w:type="spellStart"/>
      <w:r w:rsidRPr="00F86BC0">
        <w:rPr>
          <w:rFonts w:ascii="Gill Sans MT" w:hAnsi="Gill Sans MT"/>
          <w:sz w:val="20"/>
          <w:lang w:val="en-GB"/>
        </w:rPr>
        <w:t>Abidine</w:t>
      </w:r>
      <w:proofErr w:type="spellEnd"/>
      <w:r w:rsidRPr="00F86BC0">
        <w:rPr>
          <w:rFonts w:ascii="Gill Sans MT" w:hAnsi="Gill Sans MT"/>
          <w:sz w:val="20"/>
          <w:lang w:val="en-GB"/>
        </w:rPr>
        <w:t xml:space="preserve"> Ben Ali. Initially, Ben Ali promised an opening up of democratic spaces, and allowed opposition parties to be established but through a combination of restrictive rules and electoral manipulation, he was able to remain in power until 2011. The Ben Ali regime was criticised by Amnesty International for restriction of basic human rights, for suppression of human rights organisations and for </w:t>
      </w:r>
      <w:r w:rsidRPr="00F86BC0">
        <w:rPr>
          <w:rFonts w:ascii="Gill Sans MT" w:hAnsi="Gill Sans MT"/>
          <w:sz w:val="20"/>
          <w:lang w:val="en-GB"/>
        </w:rPr>
        <w:lastRenderedPageBreak/>
        <w:t xml:space="preserve">imposing controls on press freedom. However, Ben Ali introduced economic reforms, which served to increase growth and foreign investment. Moreover, his pro-Western foreign policy and his success in suppressing violent Islamist extremists moderated Western criticism of the slow pace of improvement in democratic practices. Internal opposition eventually erupted into a national uprising in 2011, forcing Ben Ali to seek exile in Saudi Arabia and paving the way for the introduction of multi-party democracy. The Tunisian revolution was the first of the “Arab Spring” uprisings. </w:t>
      </w:r>
    </w:p>
    <w:p w14:paraId="3DED46E5" w14:textId="77777777" w:rsidR="00DB0726" w:rsidRDefault="00DB0726" w:rsidP="00D81DB3">
      <w:pPr>
        <w:pStyle w:val="BodyText"/>
        <w:numPr>
          <w:ilvl w:val="0"/>
          <w:numId w:val="10"/>
        </w:numPr>
        <w:spacing w:line="360" w:lineRule="auto"/>
        <w:rPr>
          <w:rFonts w:ascii="Gill Sans MT" w:hAnsi="Gill Sans MT"/>
          <w:sz w:val="20"/>
          <w:lang w:val="en-GB"/>
        </w:rPr>
      </w:pPr>
      <w:r>
        <w:rPr>
          <w:rFonts w:ascii="Gill Sans MT" w:hAnsi="Gill Sans MT"/>
          <w:b/>
          <w:sz w:val="20"/>
          <w:lang w:val="en-GB"/>
        </w:rPr>
        <w:t>Morocco</w:t>
      </w:r>
      <w:r>
        <w:rPr>
          <w:rFonts w:ascii="Gill Sans MT" w:hAnsi="Gill Sans MT"/>
          <w:sz w:val="20"/>
          <w:lang w:val="en-GB"/>
        </w:rPr>
        <w:t xml:space="preserve"> is a parliamentary constitutional monarchy but, t</w:t>
      </w:r>
      <w:r w:rsidRPr="00AB2D8A">
        <w:rPr>
          <w:rFonts w:ascii="Gill Sans MT" w:hAnsi="Gill Sans MT"/>
          <w:sz w:val="20"/>
          <w:lang w:val="en-GB"/>
        </w:rPr>
        <w:t>hroughout the evaluation period</w:t>
      </w:r>
      <w:r>
        <w:rPr>
          <w:rFonts w:ascii="Gill Sans MT" w:hAnsi="Gill Sans MT"/>
          <w:sz w:val="20"/>
          <w:lang w:val="en-GB"/>
        </w:rPr>
        <w:t>, it operated within a constitutional framework which granted substantial powers to the king</w:t>
      </w:r>
      <w:r>
        <w:rPr>
          <w:rStyle w:val="FootnoteReference"/>
          <w:rFonts w:ascii="Gill Sans MT" w:hAnsi="Gill Sans MT"/>
          <w:sz w:val="20"/>
          <w:lang w:val="en-GB"/>
        </w:rPr>
        <w:footnoteReference w:id="38"/>
      </w:r>
      <w:r>
        <w:rPr>
          <w:rFonts w:ascii="Gill Sans MT" w:hAnsi="Gill Sans MT"/>
          <w:sz w:val="20"/>
          <w:lang w:val="en-GB"/>
        </w:rPr>
        <w:t>, both as the secular political leader of the nation and as the “Commander of the Faithful”, being a direct descendant of the Prophet Mohammed.  In 1996, a bi-cameral parliament was established, following the 1992 amendment of the Constitution. Under these arrangements, the King presided over the Council of Ministers and appointed a Prime Minister from the party leaders elected to parliament. The King also appointed the members of government on the recommendations of the Prime Minister. The arrangement was described as one in which the King ‘not only reigned but also governed’ (AfDB/ OECD, 2008</w:t>
      </w:r>
      <w:r>
        <w:rPr>
          <w:rStyle w:val="FootnoteReference"/>
          <w:rFonts w:ascii="Gill Sans MT" w:hAnsi="Gill Sans MT"/>
          <w:sz w:val="20"/>
          <w:lang w:val="en-GB"/>
        </w:rPr>
        <w:footnoteReference w:id="39"/>
      </w:r>
      <w:r>
        <w:rPr>
          <w:rFonts w:ascii="Gill Sans MT" w:hAnsi="Gill Sans MT"/>
          <w:sz w:val="20"/>
          <w:lang w:val="en-GB"/>
        </w:rPr>
        <w:t>). This consistency of leadership may perhaps have facilitated the implementation of the agenda of trade liberalisation and economic reform supported by budget support. Nevertheless, following the 2011 “Arab spring” uprising in Tunisia, Egypt and other countries, there were also public demonstrations against King Mohammed VI in Mo</w:t>
      </w:r>
      <w:r w:rsidR="006A1DCB">
        <w:rPr>
          <w:rFonts w:ascii="Gill Sans MT" w:hAnsi="Gill Sans MT"/>
          <w:sz w:val="20"/>
          <w:lang w:val="en-GB"/>
        </w:rPr>
        <w:t xml:space="preserve">rocco. This prompted </w:t>
      </w:r>
      <w:r>
        <w:rPr>
          <w:rFonts w:ascii="Gill Sans MT" w:hAnsi="Gill Sans MT"/>
          <w:sz w:val="20"/>
          <w:lang w:val="en-GB"/>
        </w:rPr>
        <w:t xml:space="preserve">constitutional changes, including a strengthening of the powers of parliament, clarification of the constitutional mandates of certain judicial and anti-corruption bodies, and introduction of decentralised governance through elected local governments. </w:t>
      </w:r>
    </w:p>
    <w:p w14:paraId="52C5980E" w14:textId="77777777" w:rsidR="00DB0726" w:rsidRPr="00BE2160" w:rsidRDefault="00DB0726" w:rsidP="00DB0726">
      <w:pPr>
        <w:pStyle w:val="Heading3"/>
      </w:pPr>
      <w:r>
        <w:t>The nature of Aid relations</w:t>
      </w:r>
    </w:p>
    <w:p w14:paraId="01673B43" w14:textId="77777777" w:rsidR="006A1DCB" w:rsidRDefault="006A1DCB" w:rsidP="006A1DCB">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As may be seen from Table 13</w:t>
      </w:r>
      <w:r w:rsidR="00DB0726">
        <w:rPr>
          <w:rFonts w:ascii="Gill Sans MT" w:hAnsi="Gill Sans MT"/>
          <w:sz w:val="20"/>
          <w:lang w:val="en-GB"/>
        </w:rPr>
        <w:t>, these are clearly not aid dependent countries. Estimates of Official Development Assistance (ODA) presented in the evaluations amount to 2% of GDP or less. Interestingly, a significant proportion of this in each country is provided as budget support, which is in each case the modality preferred by the government. Given the limited role of ODA, it is not surprising that none of these countries has developed a formal “Joint Assistance Strategy” as a harmonised framework to manage aid.</w:t>
      </w:r>
    </w:p>
    <w:p w14:paraId="70593B93" w14:textId="77777777" w:rsidR="008F4690" w:rsidRPr="00375612" w:rsidRDefault="008F4690" w:rsidP="008F4690">
      <w:pPr>
        <w:pStyle w:val="BodyText"/>
        <w:numPr>
          <w:ilvl w:val="0"/>
          <w:numId w:val="2"/>
        </w:numPr>
        <w:spacing w:line="360" w:lineRule="auto"/>
        <w:ind w:left="499" w:hanging="357"/>
        <w:rPr>
          <w:rFonts w:ascii="Gill Sans MT" w:hAnsi="Gill Sans MT"/>
          <w:b/>
          <w:sz w:val="20"/>
          <w:lang w:val="en-GB"/>
        </w:rPr>
      </w:pPr>
      <w:r w:rsidRPr="008D298E">
        <w:rPr>
          <w:rFonts w:ascii="Gill Sans MT" w:hAnsi="Gill Sans MT"/>
          <w:b/>
          <w:sz w:val="20"/>
          <w:lang w:val="en-GB"/>
        </w:rPr>
        <w:t>In Mor</w:t>
      </w:r>
      <w:r>
        <w:rPr>
          <w:rFonts w:ascii="Gill Sans MT" w:hAnsi="Gill Sans MT"/>
          <w:b/>
          <w:sz w:val="20"/>
          <w:lang w:val="en-GB"/>
        </w:rPr>
        <w:t xml:space="preserve">occo and Tunisia, the </w:t>
      </w:r>
      <w:proofErr w:type="gramStart"/>
      <w:r>
        <w:rPr>
          <w:rFonts w:ascii="Gill Sans MT" w:hAnsi="Gill Sans MT"/>
          <w:b/>
          <w:sz w:val="20"/>
          <w:lang w:val="en-GB"/>
        </w:rPr>
        <w:t>f</w:t>
      </w:r>
      <w:r w:rsidRPr="008D298E">
        <w:rPr>
          <w:rFonts w:ascii="Gill Sans MT" w:hAnsi="Gill Sans MT"/>
          <w:b/>
          <w:sz w:val="20"/>
          <w:lang w:val="en-GB"/>
        </w:rPr>
        <w:t>ramework for the management of development cooperation with the E</w:t>
      </w:r>
      <w:r>
        <w:rPr>
          <w:rFonts w:ascii="Gill Sans MT" w:hAnsi="Gill Sans MT"/>
          <w:b/>
          <w:sz w:val="20"/>
          <w:lang w:val="en-GB"/>
        </w:rPr>
        <w:t xml:space="preserve">uropean </w:t>
      </w:r>
      <w:r w:rsidRPr="008D298E">
        <w:rPr>
          <w:rFonts w:ascii="Gill Sans MT" w:hAnsi="Gill Sans MT"/>
          <w:b/>
          <w:sz w:val="20"/>
          <w:lang w:val="en-GB"/>
        </w:rPr>
        <w:t>U</w:t>
      </w:r>
      <w:r>
        <w:rPr>
          <w:rFonts w:ascii="Gill Sans MT" w:hAnsi="Gill Sans MT"/>
          <w:b/>
          <w:sz w:val="20"/>
          <w:lang w:val="en-GB"/>
        </w:rPr>
        <w:t>nion</w:t>
      </w:r>
      <w:r w:rsidRPr="008D298E">
        <w:rPr>
          <w:rFonts w:ascii="Gill Sans MT" w:hAnsi="Gill Sans MT"/>
          <w:b/>
          <w:sz w:val="20"/>
          <w:lang w:val="en-GB"/>
        </w:rPr>
        <w:t xml:space="preserve"> </w:t>
      </w:r>
      <w:r>
        <w:rPr>
          <w:rFonts w:ascii="Gill Sans MT" w:hAnsi="Gill Sans MT"/>
          <w:b/>
          <w:sz w:val="20"/>
          <w:lang w:val="en-GB"/>
        </w:rPr>
        <w:t xml:space="preserve">and its Member States </w:t>
      </w:r>
      <w:r w:rsidRPr="008D298E">
        <w:rPr>
          <w:rFonts w:ascii="Gill Sans MT" w:hAnsi="Gill Sans MT"/>
          <w:b/>
          <w:sz w:val="20"/>
          <w:lang w:val="en-GB"/>
        </w:rPr>
        <w:t>is provided by the Association Agreement (AA), signed as part of the Barcelona Process</w:t>
      </w:r>
      <w:proofErr w:type="gramEnd"/>
      <w:r w:rsidRPr="008D298E">
        <w:rPr>
          <w:rFonts w:ascii="Gill Sans MT" w:hAnsi="Gill Sans MT"/>
          <w:b/>
          <w:sz w:val="20"/>
          <w:lang w:val="en-GB"/>
        </w:rPr>
        <w:t xml:space="preserve">. </w:t>
      </w:r>
      <w:r>
        <w:rPr>
          <w:rFonts w:ascii="Gill Sans MT" w:hAnsi="Gill Sans MT"/>
          <w:sz w:val="20"/>
          <w:lang w:val="en-GB"/>
        </w:rPr>
        <w:t xml:space="preserve">In 1995, </w:t>
      </w:r>
      <w:r>
        <w:rPr>
          <w:rFonts w:ascii="Gill Sans MT" w:hAnsi="Gill Sans MT"/>
          <w:sz w:val="20"/>
          <w:lang w:val="en-GB"/>
        </w:rPr>
        <w:lastRenderedPageBreak/>
        <w:t>Tunisia became the first country within the region to sign an Association Agreement and in the same year it joined the WTO. This coincided with a shift in national economic policy towards liberalisation of the domestic market and competitive integration within the world economy. The AA ‘</w:t>
      </w:r>
      <w:r w:rsidRPr="00375612">
        <w:rPr>
          <w:rFonts w:ascii="Gill Sans MT" w:hAnsi="Gill Sans MT"/>
          <w:i/>
          <w:sz w:val="20"/>
          <w:lang w:val="en-GB"/>
        </w:rPr>
        <w:t>represented an excellent opportunity to make this leap forward. It allowed the country to embark on competitive integration, accompanied by a strong international partnership, i</w:t>
      </w:r>
      <w:r>
        <w:rPr>
          <w:rFonts w:ascii="Gill Sans MT" w:hAnsi="Gill Sans MT"/>
          <w:i/>
          <w:sz w:val="20"/>
          <w:lang w:val="en-GB"/>
        </w:rPr>
        <w:t xml:space="preserve">nvolving political </w:t>
      </w:r>
      <w:r w:rsidRPr="00375612">
        <w:rPr>
          <w:rFonts w:ascii="Gill Sans MT" w:hAnsi="Gill Sans MT"/>
          <w:i/>
          <w:sz w:val="20"/>
          <w:lang w:val="en-GB"/>
        </w:rPr>
        <w:t>agreements, financial support and access to appropriate standards and technologies’</w:t>
      </w:r>
      <w:r>
        <w:rPr>
          <w:rFonts w:ascii="Gill Sans MT" w:hAnsi="Gill Sans MT"/>
          <w:sz w:val="20"/>
          <w:lang w:val="en-GB"/>
        </w:rPr>
        <w:t>. (DRN, 2011) It is the AA and the related WTO processes that provided the wider framework for policy dialogue under budget support in both Morocco and Tunisia.</w:t>
      </w:r>
      <w:r w:rsidR="0005027C">
        <w:rPr>
          <w:rFonts w:ascii="Gill Sans MT" w:hAnsi="Gill Sans MT"/>
          <w:sz w:val="20"/>
          <w:lang w:val="en-GB"/>
        </w:rPr>
        <w:t xml:space="preserve"> Morocco reached Advanced Status in 2013, the first country within the region to do so.</w:t>
      </w:r>
    </w:p>
    <w:p w14:paraId="2A4F6620" w14:textId="77777777" w:rsidR="006A1DCB" w:rsidRDefault="006A1DCB" w:rsidP="006A1DCB">
      <w:pPr>
        <w:pStyle w:val="Caption"/>
        <w:ind w:left="502"/>
        <w:jc w:val="center"/>
        <w:rPr>
          <w:lang w:val="en-GB"/>
        </w:rPr>
      </w:pPr>
      <w:bookmarkStart w:id="78" w:name="_Toc279848293"/>
      <w:r w:rsidRPr="00617EF1">
        <w:rPr>
          <w:lang w:val="en-GB"/>
        </w:rPr>
        <w:t xml:space="preserve">Table </w:t>
      </w:r>
      <w:r w:rsidRPr="00617EF1">
        <w:rPr>
          <w:lang w:val="en-GB"/>
        </w:rPr>
        <w:fldChar w:fldCharType="begin"/>
      </w:r>
      <w:r w:rsidRPr="00617EF1">
        <w:rPr>
          <w:lang w:val="en-GB"/>
        </w:rPr>
        <w:instrText xml:space="preserve"> SEQ Table \* ARABIC </w:instrText>
      </w:r>
      <w:r w:rsidRPr="00617EF1">
        <w:rPr>
          <w:lang w:val="en-GB"/>
        </w:rPr>
        <w:fldChar w:fldCharType="separate"/>
      </w:r>
      <w:r w:rsidR="00967582">
        <w:rPr>
          <w:noProof/>
          <w:lang w:val="en-GB"/>
        </w:rPr>
        <w:t>13</w:t>
      </w:r>
      <w:r w:rsidRPr="00617EF1">
        <w:rPr>
          <w:lang w:val="en-GB"/>
        </w:rPr>
        <w:fldChar w:fldCharType="end"/>
      </w:r>
      <w:r w:rsidRPr="00617EF1">
        <w:rPr>
          <w:lang w:val="en-GB"/>
        </w:rPr>
        <w:t xml:space="preserve">: The </w:t>
      </w:r>
      <w:r>
        <w:rPr>
          <w:lang w:val="en-GB"/>
        </w:rPr>
        <w:t>Nature of Aid Relations in the 3 recipient M</w:t>
      </w:r>
      <w:r w:rsidRPr="00617EF1">
        <w:rPr>
          <w:lang w:val="en-GB"/>
        </w:rPr>
        <w:t>ICs – key variables</w:t>
      </w:r>
      <w:bookmarkEnd w:id="78"/>
    </w:p>
    <w:tbl>
      <w:tblPr>
        <w:tblStyle w:val="TableClassic2"/>
        <w:tblW w:w="0" w:type="auto"/>
        <w:tblInd w:w="720" w:type="dxa"/>
        <w:tblLayout w:type="fixed"/>
        <w:tblLook w:val="04A0" w:firstRow="1" w:lastRow="0" w:firstColumn="1" w:lastColumn="0" w:noHBand="0" w:noVBand="1"/>
      </w:tblPr>
      <w:tblGrid>
        <w:gridCol w:w="3369"/>
        <w:gridCol w:w="1340"/>
        <w:gridCol w:w="1341"/>
        <w:gridCol w:w="1341"/>
      </w:tblGrid>
      <w:tr w:rsidR="006A1DCB" w:rsidRPr="005E34B9" w14:paraId="204332D6" w14:textId="77777777" w:rsidTr="006A1DC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69" w:type="dxa"/>
          </w:tcPr>
          <w:p w14:paraId="430D920C" w14:textId="77777777" w:rsidR="006A1DCB" w:rsidRPr="005E34B9" w:rsidRDefault="006A1DCB" w:rsidP="00A72C30">
            <w:pPr>
              <w:rPr>
                <w:rFonts w:ascii="Gill Sans MT" w:hAnsi="Gill Sans MT"/>
                <w:sz w:val="22"/>
                <w:szCs w:val="22"/>
                <w:lang w:val="en-GB"/>
              </w:rPr>
            </w:pPr>
          </w:p>
        </w:tc>
        <w:tc>
          <w:tcPr>
            <w:tcW w:w="1340" w:type="dxa"/>
          </w:tcPr>
          <w:p w14:paraId="7AA8A794" w14:textId="77777777" w:rsidR="006A1DCB" w:rsidRPr="005E34B9" w:rsidRDefault="006A1DCB" w:rsidP="00A72C30">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Morocco</w:t>
            </w:r>
          </w:p>
          <w:p w14:paraId="3331D513" w14:textId="77777777" w:rsidR="006A1DCB" w:rsidRPr="005E34B9" w:rsidRDefault="006A1DCB" w:rsidP="00A72C30">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5E34B9">
              <w:rPr>
                <w:rFonts w:ascii="Gill Sans MT" w:hAnsi="Gill Sans MT"/>
                <w:sz w:val="22"/>
                <w:szCs w:val="22"/>
                <w:lang w:val="en-GB"/>
              </w:rPr>
              <w:t>(2005-2012)</w:t>
            </w:r>
          </w:p>
        </w:tc>
        <w:tc>
          <w:tcPr>
            <w:tcW w:w="1341" w:type="dxa"/>
          </w:tcPr>
          <w:p w14:paraId="19C7FA91" w14:textId="77777777" w:rsidR="006A1DCB" w:rsidRPr="005E34B9" w:rsidRDefault="006A1DCB" w:rsidP="00A72C30">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South Africa</w:t>
            </w:r>
          </w:p>
          <w:p w14:paraId="27E45D27" w14:textId="77777777" w:rsidR="006A1DCB" w:rsidRPr="005E34B9" w:rsidRDefault="006A1DCB" w:rsidP="00A72C30">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(2000</w:t>
            </w:r>
            <w:r w:rsidRPr="005E34B9">
              <w:rPr>
                <w:rFonts w:ascii="Gill Sans MT" w:hAnsi="Gill Sans MT"/>
                <w:sz w:val="22"/>
                <w:szCs w:val="22"/>
                <w:lang w:val="en-GB"/>
              </w:rPr>
              <w:t>-2011)</w:t>
            </w:r>
          </w:p>
        </w:tc>
        <w:tc>
          <w:tcPr>
            <w:tcW w:w="1341" w:type="dxa"/>
          </w:tcPr>
          <w:p w14:paraId="7ED657CA" w14:textId="77777777" w:rsidR="006A1DCB" w:rsidRPr="005E34B9" w:rsidRDefault="006A1DCB" w:rsidP="00A72C30">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Tunisia</w:t>
            </w:r>
          </w:p>
          <w:p w14:paraId="7FF2CA2E" w14:textId="77777777" w:rsidR="006A1DCB" w:rsidRPr="005E34B9" w:rsidRDefault="006A1DCB" w:rsidP="00A72C30">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(1996-2008</w:t>
            </w:r>
            <w:r w:rsidRPr="005E34B9">
              <w:rPr>
                <w:rFonts w:ascii="Gill Sans MT" w:hAnsi="Gill Sans MT"/>
                <w:sz w:val="22"/>
                <w:szCs w:val="22"/>
                <w:lang w:val="en-GB"/>
              </w:rPr>
              <w:t>)</w:t>
            </w:r>
          </w:p>
        </w:tc>
      </w:tr>
      <w:tr w:rsidR="006A1DCB" w14:paraId="7C574014" w14:textId="77777777" w:rsidTr="006A1DCB">
        <w:tc>
          <w:tcPr>
            <w:cnfStyle w:val="001000000000" w:firstRow="0" w:lastRow="0" w:firstColumn="1" w:lastColumn="0" w:oddVBand="0" w:evenVBand="0" w:oddHBand="0" w:evenHBand="0" w:firstRowFirstColumn="0" w:firstRowLastColumn="0" w:lastRowFirstColumn="0" w:lastRowLastColumn="0"/>
            <w:tcW w:w="3369" w:type="dxa"/>
          </w:tcPr>
          <w:p w14:paraId="4D01F36A" w14:textId="77777777" w:rsidR="006A1DCB" w:rsidRPr="005E34B9" w:rsidRDefault="006A1DCB" w:rsidP="00A72C30">
            <w:pPr>
              <w:spacing w:line="360" w:lineRule="auto"/>
              <w:rPr>
                <w:rFonts w:ascii="Gill Sans MT" w:hAnsi="Gill Sans MT"/>
                <w:sz w:val="20"/>
                <w:szCs w:val="20"/>
                <w:lang w:val="en-GB"/>
              </w:rPr>
            </w:pPr>
            <w:r w:rsidRPr="005E34B9">
              <w:rPr>
                <w:rFonts w:ascii="Gill Sans MT" w:hAnsi="Gill Sans MT"/>
                <w:sz w:val="20"/>
                <w:szCs w:val="20"/>
                <w:lang w:val="en-GB"/>
              </w:rPr>
              <w:t>ODA as % GDP</w:t>
            </w:r>
            <w:r>
              <w:rPr>
                <w:rFonts w:ascii="Gill Sans MT" w:hAnsi="Gill Sans MT"/>
                <w:sz w:val="20"/>
                <w:szCs w:val="20"/>
                <w:lang w:val="en-GB"/>
              </w:rPr>
              <w:t xml:space="preserve"> (period average) </w:t>
            </w:r>
          </w:p>
        </w:tc>
        <w:tc>
          <w:tcPr>
            <w:tcW w:w="1340" w:type="dxa"/>
          </w:tcPr>
          <w:p w14:paraId="5EE401C6" w14:textId="77777777" w:rsidR="006A1DCB" w:rsidRPr="000F0C16" w:rsidRDefault="006A1DCB" w:rsidP="00A72C30">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1.6%</w:t>
            </w:r>
          </w:p>
        </w:tc>
        <w:tc>
          <w:tcPr>
            <w:tcW w:w="1341" w:type="dxa"/>
          </w:tcPr>
          <w:p w14:paraId="6C24E1B8" w14:textId="77777777" w:rsidR="006A1DCB" w:rsidRPr="000F0C16" w:rsidRDefault="006A1DCB" w:rsidP="00A72C30">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0.3%</w:t>
            </w:r>
          </w:p>
        </w:tc>
        <w:tc>
          <w:tcPr>
            <w:tcW w:w="1341" w:type="dxa"/>
          </w:tcPr>
          <w:p w14:paraId="5DF4330C" w14:textId="77777777" w:rsidR="006A1DCB" w:rsidRPr="000F0C16" w:rsidRDefault="006A1DCB" w:rsidP="00A72C30">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2.0%</w:t>
            </w:r>
          </w:p>
        </w:tc>
      </w:tr>
      <w:tr w:rsidR="006A1DCB" w14:paraId="762EBE0C" w14:textId="77777777" w:rsidTr="006A1DCB">
        <w:tc>
          <w:tcPr>
            <w:cnfStyle w:val="001000000000" w:firstRow="0" w:lastRow="0" w:firstColumn="1" w:lastColumn="0" w:oddVBand="0" w:evenVBand="0" w:oddHBand="0" w:evenHBand="0" w:firstRowFirstColumn="0" w:firstRowLastColumn="0" w:lastRowFirstColumn="0" w:lastRowLastColumn="0"/>
            <w:tcW w:w="3369" w:type="dxa"/>
          </w:tcPr>
          <w:p w14:paraId="3A422E9C" w14:textId="77777777" w:rsidR="006A1DCB" w:rsidRPr="005E34B9" w:rsidRDefault="006A1DCB" w:rsidP="00A72C30">
            <w:pPr>
              <w:rPr>
                <w:rFonts w:ascii="Gill Sans MT" w:hAnsi="Gill Sans MT"/>
                <w:sz w:val="20"/>
                <w:szCs w:val="20"/>
                <w:lang w:val="en-GB"/>
              </w:rPr>
            </w:pPr>
            <w:r w:rsidRPr="005E34B9">
              <w:rPr>
                <w:rFonts w:ascii="Gill Sans MT" w:hAnsi="Gill Sans MT"/>
                <w:sz w:val="20"/>
                <w:szCs w:val="20"/>
                <w:lang w:val="en-GB"/>
              </w:rPr>
              <w:t>Budget Support as %</w:t>
            </w:r>
            <w:r>
              <w:rPr>
                <w:rFonts w:ascii="Gill Sans MT" w:hAnsi="Gill Sans MT"/>
                <w:sz w:val="20"/>
                <w:szCs w:val="20"/>
                <w:lang w:val="en-GB"/>
              </w:rPr>
              <w:t xml:space="preserve"> </w:t>
            </w:r>
            <w:r w:rsidRPr="005E34B9">
              <w:rPr>
                <w:rFonts w:ascii="Gill Sans MT" w:hAnsi="Gill Sans MT"/>
                <w:sz w:val="20"/>
                <w:szCs w:val="20"/>
                <w:lang w:val="en-GB"/>
              </w:rPr>
              <w:t>ODA</w:t>
            </w:r>
            <w:r>
              <w:rPr>
                <w:rFonts w:ascii="Gill Sans MT" w:hAnsi="Gill Sans MT"/>
                <w:sz w:val="20"/>
                <w:szCs w:val="20"/>
                <w:lang w:val="en-GB"/>
              </w:rPr>
              <w:t xml:space="preserve"> (period average)</w:t>
            </w:r>
          </w:p>
        </w:tc>
        <w:tc>
          <w:tcPr>
            <w:tcW w:w="1340" w:type="dxa"/>
          </w:tcPr>
          <w:p w14:paraId="1802ED84" w14:textId="77777777" w:rsidR="006A1DCB" w:rsidRPr="000F0C16" w:rsidRDefault="006A1DCB" w:rsidP="00A72C30">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43.0%</w:t>
            </w:r>
          </w:p>
        </w:tc>
        <w:tc>
          <w:tcPr>
            <w:tcW w:w="1341" w:type="dxa"/>
          </w:tcPr>
          <w:p w14:paraId="435EA86F" w14:textId="77777777" w:rsidR="006A1DCB" w:rsidRPr="000F0C16" w:rsidRDefault="006A1DCB" w:rsidP="00A72C30">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23.0%</w:t>
            </w:r>
          </w:p>
        </w:tc>
        <w:tc>
          <w:tcPr>
            <w:tcW w:w="1341" w:type="dxa"/>
          </w:tcPr>
          <w:p w14:paraId="21708F1B" w14:textId="77777777" w:rsidR="006A1DCB" w:rsidRPr="000F0C16" w:rsidRDefault="006A1DCB" w:rsidP="00A72C30">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32.0%</w:t>
            </w:r>
          </w:p>
        </w:tc>
      </w:tr>
      <w:tr w:rsidR="006A1DCB" w14:paraId="206C60FE" w14:textId="77777777" w:rsidTr="006A1DCB">
        <w:tc>
          <w:tcPr>
            <w:cnfStyle w:val="001000000000" w:firstRow="0" w:lastRow="0" w:firstColumn="1" w:lastColumn="0" w:oddVBand="0" w:evenVBand="0" w:oddHBand="0" w:evenHBand="0" w:firstRowFirstColumn="0" w:firstRowLastColumn="0" w:lastRowFirstColumn="0" w:lastRowLastColumn="0"/>
            <w:tcW w:w="3369" w:type="dxa"/>
          </w:tcPr>
          <w:p w14:paraId="7A3DB7E2" w14:textId="77777777" w:rsidR="006A1DCB" w:rsidRPr="005E34B9" w:rsidRDefault="006A1DCB" w:rsidP="00A72C30">
            <w:pPr>
              <w:spacing w:line="360" w:lineRule="auto"/>
              <w:rPr>
                <w:rFonts w:ascii="Gill Sans MT" w:hAnsi="Gill Sans MT"/>
                <w:sz w:val="20"/>
                <w:szCs w:val="20"/>
                <w:lang w:val="en-GB"/>
              </w:rPr>
            </w:pPr>
            <w:r w:rsidRPr="005E34B9">
              <w:rPr>
                <w:rFonts w:ascii="Gill Sans MT" w:hAnsi="Gill Sans MT"/>
                <w:sz w:val="20"/>
                <w:szCs w:val="20"/>
                <w:lang w:val="en-GB"/>
              </w:rPr>
              <w:t>Joint Assistance Framework</w:t>
            </w:r>
            <w:r>
              <w:rPr>
                <w:rFonts w:ascii="Gill Sans MT" w:hAnsi="Gill Sans MT"/>
                <w:sz w:val="20"/>
                <w:szCs w:val="20"/>
                <w:lang w:val="en-GB"/>
              </w:rPr>
              <w:t xml:space="preserve"> </w:t>
            </w:r>
          </w:p>
        </w:tc>
        <w:tc>
          <w:tcPr>
            <w:tcW w:w="1340" w:type="dxa"/>
          </w:tcPr>
          <w:p w14:paraId="2CC45E1A" w14:textId="77777777" w:rsidR="006A1DCB" w:rsidRPr="000F0C16" w:rsidRDefault="006A1DCB" w:rsidP="00A72C30">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No</w:t>
            </w:r>
          </w:p>
        </w:tc>
        <w:tc>
          <w:tcPr>
            <w:tcW w:w="1341" w:type="dxa"/>
          </w:tcPr>
          <w:p w14:paraId="045ACECF" w14:textId="77777777" w:rsidR="006A1DCB" w:rsidRPr="000F0C16" w:rsidRDefault="006A1DCB" w:rsidP="00A72C30">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No</w:t>
            </w:r>
          </w:p>
        </w:tc>
        <w:tc>
          <w:tcPr>
            <w:tcW w:w="1341" w:type="dxa"/>
          </w:tcPr>
          <w:p w14:paraId="2ABC99FE" w14:textId="77777777" w:rsidR="006A1DCB" w:rsidRPr="000F0C16" w:rsidRDefault="006A1DCB" w:rsidP="00A72C30">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No</w:t>
            </w:r>
          </w:p>
        </w:tc>
      </w:tr>
      <w:tr w:rsidR="006A1DCB" w14:paraId="0F8E485B" w14:textId="77777777" w:rsidTr="006A1DCB">
        <w:tc>
          <w:tcPr>
            <w:cnfStyle w:val="001000000000" w:firstRow="0" w:lastRow="0" w:firstColumn="1" w:lastColumn="0" w:oddVBand="0" w:evenVBand="0" w:oddHBand="0" w:evenHBand="0" w:firstRowFirstColumn="0" w:firstRowLastColumn="0" w:lastRowFirstColumn="0" w:lastRowLastColumn="0"/>
            <w:tcW w:w="3369" w:type="dxa"/>
          </w:tcPr>
          <w:p w14:paraId="78D1C131" w14:textId="77777777" w:rsidR="006A1DCB" w:rsidRPr="005E34B9" w:rsidRDefault="006A1DCB" w:rsidP="00A72C30">
            <w:pPr>
              <w:spacing w:line="360" w:lineRule="auto"/>
              <w:rPr>
                <w:rFonts w:ascii="Gill Sans MT" w:hAnsi="Gill Sans MT"/>
                <w:sz w:val="20"/>
                <w:szCs w:val="20"/>
                <w:lang w:val="en-GB"/>
              </w:rPr>
            </w:pPr>
            <w:r>
              <w:rPr>
                <w:rFonts w:ascii="Gill Sans MT" w:hAnsi="Gill Sans MT"/>
                <w:sz w:val="20"/>
                <w:szCs w:val="20"/>
                <w:lang w:val="en-GB"/>
              </w:rPr>
              <w:t>Trade &amp; Cooperation Agreement</w:t>
            </w:r>
          </w:p>
        </w:tc>
        <w:tc>
          <w:tcPr>
            <w:tcW w:w="1340" w:type="dxa"/>
          </w:tcPr>
          <w:p w14:paraId="21ED7B99" w14:textId="77777777" w:rsidR="006A1DCB" w:rsidRDefault="006A1DCB" w:rsidP="00A72C30">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Yes: AA</w:t>
            </w:r>
          </w:p>
        </w:tc>
        <w:tc>
          <w:tcPr>
            <w:tcW w:w="1341" w:type="dxa"/>
          </w:tcPr>
          <w:p w14:paraId="2EAB6DBB" w14:textId="77777777" w:rsidR="006A1DCB" w:rsidRDefault="006A1DCB" w:rsidP="00A72C30">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Yes: TDCA</w:t>
            </w:r>
          </w:p>
        </w:tc>
        <w:tc>
          <w:tcPr>
            <w:tcW w:w="1341" w:type="dxa"/>
          </w:tcPr>
          <w:p w14:paraId="019D6DEA" w14:textId="77777777" w:rsidR="006A1DCB" w:rsidRDefault="006A1DCB" w:rsidP="00A72C30">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Yes: AA</w:t>
            </w:r>
          </w:p>
        </w:tc>
      </w:tr>
      <w:tr w:rsidR="006A1DCB" w14:paraId="07D72942" w14:textId="77777777" w:rsidTr="006A1DCB">
        <w:tc>
          <w:tcPr>
            <w:cnfStyle w:val="001000000000" w:firstRow="0" w:lastRow="0" w:firstColumn="1" w:lastColumn="0" w:oddVBand="0" w:evenVBand="0" w:oddHBand="0" w:evenHBand="0" w:firstRowFirstColumn="0" w:firstRowLastColumn="0" w:lastRowFirstColumn="0" w:lastRowLastColumn="0"/>
            <w:tcW w:w="3369" w:type="dxa"/>
          </w:tcPr>
          <w:p w14:paraId="607A9430" w14:textId="77777777" w:rsidR="006A1DCB" w:rsidRPr="005E34B9" w:rsidRDefault="006A1DCB" w:rsidP="00A72C30">
            <w:pPr>
              <w:rPr>
                <w:rFonts w:ascii="Gill Sans MT" w:hAnsi="Gill Sans MT"/>
                <w:sz w:val="20"/>
                <w:szCs w:val="20"/>
                <w:lang w:val="en-GB"/>
              </w:rPr>
            </w:pPr>
            <w:r w:rsidRPr="005E34B9">
              <w:rPr>
                <w:rFonts w:ascii="Gill Sans MT" w:hAnsi="Gill Sans MT"/>
                <w:sz w:val="20"/>
                <w:szCs w:val="20"/>
                <w:lang w:val="en-GB"/>
              </w:rPr>
              <w:t>Degree of tension in Aid Relations</w:t>
            </w:r>
          </w:p>
        </w:tc>
        <w:tc>
          <w:tcPr>
            <w:tcW w:w="1340" w:type="dxa"/>
          </w:tcPr>
          <w:p w14:paraId="5993E591" w14:textId="77777777" w:rsidR="006A1DCB" w:rsidRPr="000F0C16" w:rsidRDefault="006A1DCB" w:rsidP="00502890">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Low</w:t>
            </w:r>
            <w:r w:rsidR="00502890">
              <w:rPr>
                <w:rFonts w:ascii="Gill Sans MT" w:hAnsi="Gill Sans MT"/>
                <w:sz w:val="22"/>
                <w:szCs w:val="22"/>
                <w:lang w:val="en-GB"/>
              </w:rPr>
              <w:t>-Medium</w:t>
            </w:r>
          </w:p>
        </w:tc>
        <w:tc>
          <w:tcPr>
            <w:tcW w:w="1341" w:type="dxa"/>
          </w:tcPr>
          <w:p w14:paraId="19DAD208" w14:textId="77777777" w:rsidR="006A1DCB" w:rsidRPr="000F0C16" w:rsidRDefault="006A1DCB" w:rsidP="00A72C30">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Low</w:t>
            </w:r>
          </w:p>
        </w:tc>
        <w:tc>
          <w:tcPr>
            <w:tcW w:w="1341" w:type="dxa"/>
          </w:tcPr>
          <w:p w14:paraId="7AB83506" w14:textId="77777777" w:rsidR="006A1DCB" w:rsidRPr="000F0C16" w:rsidRDefault="006A1DCB" w:rsidP="00A72C30">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Low</w:t>
            </w:r>
          </w:p>
        </w:tc>
      </w:tr>
    </w:tbl>
    <w:p w14:paraId="6456890A" w14:textId="77777777" w:rsidR="006A1DCB" w:rsidRPr="006A1DCB" w:rsidRDefault="006A1DCB" w:rsidP="006A1DCB">
      <w:pPr>
        <w:pStyle w:val="ListParagraph"/>
        <w:ind w:left="502"/>
        <w:rPr>
          <w:rFonts w:ascii="Gill Sans MT" w:hAnsi="Gill Sans MT"/>
          <w:sz w:val="18"/>
          <w:szCs w:val="18"/>
          <w:u w:val="single"/>
          <w:lang w:val="en-GB"/>
        </w:rPr>
      </w:pPr>
    </w:p>
    <w:p w14:paraId="66D42A15" w14:textId="77777777" w:rsidR="006A1DCB" w:rsidRPr="006A1DCB" w:rsidRDefault="006A1DCB" w:rsidP="006A1DCB">
      <w:pPr>
        <w:pStyle w:val="ListParagraph"/>
        <w:ind w:left="502"/>
        <w:rPr>
          <w:rFonts w:ascii="Gill Sans MT" w:hAnsi="Gill Sans MT"/>
          <w:sz w:val="18"/>
          <w:szCs w:val="18"/>
          <w:lang w:val="en-GB"/>
        </w:rPr>
      </w:pPr>
      <w:r w:rsidRPr="006A1DCB">
        <w:rPr>
          <w:rFonts w:ascii="Gill Sans MT" w:hAnsi="Gill Sans MT"/>
          <w:sz w:val="18"/>
          <w:szCs w:val="18"/>
          <w:u w:val="single"/>
          <w:lang w:val="en-GB"/>
        </w:rPr>
        <w:t>Sources:</w:t>
      </w:r>
      <w:r w:rsidRPr="006A1DCB">
        <w:rPr>
          <w:rFonts w:ascii="Gill Sans MT" w:hAnsi="Gill Sans MT"/>
          <w:sz w:val="18"/>
          <w:szCs w:val="18"/>
          <w:lang w:val="en-GB"/>
        </w:rPr>
        <w:t xml:space="preserve">  Data from Evaluation reports, with degree of tension in aid relations interpreted by author from in</w:t>
      </w:r>
      <w:r w:rsidR="008F4690">
        <w:rPr>
          <w:rFonts w:ascii="Gill Sans MT" w:hAnsi="Gill Sans MT"/>
          <w:sz w:val="18"/>
          <w:szCs w:val="18"/>
          <w:lang w:val="en-GB"/>
        </w:rPr>
        <w:t>formation in Evaluation reports, based on common criteria for LIC and MIC countries.</w:t>
      </w:r>
    </w:p>
    <w:p w14:paraId="745F6595" w14:textId="77777777" w:rsidR="00DB0726" w:rsidRDefault="00DB0726" w:rsidP="00DB0726">
      <w:pPr>
        <w:pStyle w:val="BodyText"/>
        <w:numPr>
          <w:ilvl w:val="0"/>
          <w:numId w:val="2"/>
        </w:numPr>
        <w:spacing w:line="360" w:lineRule="auto"/>
        <w:ind w:left="499" w:hanging="357"/>
        <w:rPr>
          <w:rFonts w:ascii="Gill Sans MT" w:hAnsi="Gill Sans MT"/>
          <w:sz w:val="20"/>
          <w:lang w:val="en-GB"/>
        </w:rPr>
      </w:pPr>
      <w:r>
        <w:rPr>
          <w:rFonts w:ascii="Gill Sans MT" w:hAnsi="Gill Sans MT"/>
          <w:b/>
          <w:sz w:val="20"/>
          <w:lang w:val="en-GB"/>
        </w:rPr>
        <w:t xml:space="preserve">The Trade &amp; Development Cooperation Agreement (TDCA) ratified in 2004 </w:t>
      </w:r>
      <w:r w:rsidR="004B50F3">
        <w:rPr>
          <w:rFonts w:ascii="Gill Sans MT" w:hAnsi="Gill Sans MT"/>
          <w:b/>
          <w:sz w:val="20"/>
          <w:lang w:val="en-GB"/>
        </w:rPr>
        <w:t>provided a comparable</w:t>
      </w:r>
      <w:r>
        <w:rPr>
          <w:rFonts w:ascii="Gill Sans MT" w:hAnsi="Gill Sans MT"/>
          <w:b/>
          <w:sz w:val="20"/>
          <w:lang w:val="en-GB"/>
        </w:rPr>
        <w:t xml:space="preserve"> framework for South Africa. </w:t>
      </w:r>
      <w:r w:rsidRPr="00A27BEA">
        <w:rPr>
          <w:rFonts w:ascii="Gill Sans MT" w:hAnsi="Gill Sans MT"/>
          <w:sz w:val="20"/>
          <w:lang w:val="en-GB"/>
        </w:rPr>
        <w:t>The Agreement</w:t>
      </w:r>
      <w:r>
        <w:rPr>
          <w:rFonts w:ascii="Gill Sans MT" w:hAnsi="Gill Sans MT"/>
          <w:sz w:val="20"/>
          <w:lang w:val="en-GB"/>
        </w:rPr>
        <w:t xml:space="preserve"> provides the legal framework for relations between South Africa and the EU. It was designed to strengthen cooperation and to permit the pursuit of a number of common objectives, including supporting SA in its economic and social transition process, promoting SA’s integration in the Southern African and the World economy, and expanding and liberalising trade in goods, services and capital between the parties.</w:t>
      </w:r>
    </w:p>
    <w:p w14:paraId="0AC8EBEF" w14:textId="77777777" w:rsidR="00DB0726" w:rsidRPr="00372CF5" w:rsidRDefault="00DB0726" w:rsidP="00D81DB3">
      <w:pPr>
        <w:pStyle w:val="Heading2"/>
        <w:numPr>
          <w:ilvl w:val="1"/>
          <w:numId w:val="26"/>
        </w:numPr>
        <w:spacing w:before="120" w:after="120"/>
        <w:rPr>
          <w:bCs w:val="0"/>
        </w:rPr>
      </w:pPr>
      <w:bookmarkStart w:id="79" w:name="_Toc279848248"/>
      <w:r>
        <w:rPr>
          <w:bCs w:val="0"/>
        </w:rPr>
        <w:t>The mechanisms for implementation of budget support</w:t>
      </w:r>
      <w:bookmarkEnd w:id="79"/>
    </w:p>
    <w:p w14:paraId="590FEB64" w14:textId="77777777" w:rsidR="00DB0726" w:rsidRDefault="00DB0726" w:rsidP="00DB0726">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Following the same structure as for the LIC countries, we here examine the mechanisms for implementation of budget support in Morocco, South Africa and Tunisia. This is based on an analysis of (</w:t>
      </w:r>
      <w:proofErr w:type="spellStart"/>
      <w:r>
        <w:rPr>
          <w:rFonts w:ascii="Gill Sans MT" w:hAnsi="Gill Sans MT"/>
          <w:sz w:val="20"/>
          <w:lang w:val="en-GB"/>
        </w:rPr>
        <w:t>i</w:t>
      </w:r>
      <w:proofErr w:type="spellEnd"/>
      <w:r>
        <w:rPr>
          <w:rFonts w:ascii="Gill Sans MT" w:hAnsi="Gill Sans MT"/>
          <w:sz w:val="20"/>
          <w:lang w:val="en-GB"/>
        </w:rPr>
        <w:t>) the inputs provided and (ii) the quality of the implementation frameworks.</w:t>
      </w:r>
    </w:p>
    <w:p w14:paraId="52C644AD" w14:textId="77777777" w:rsidR="00DB0726" w:rsidRDefault="00A72C30" w:rsidP="00C766A0">
      <w:pPr>
        <w:pStyle w:val="Heading3"/>
      </w:pPr>
      <w:r>
        <w:t>(</w:t>
      </w:r>
      <w:proofErr w:type="spellStart"/>
      <w:r>
        <w:t>i</w:t>
      </w:r>
      <w:proofErr w:type="spellEnd"/>
      <w:r>
        <w:t xml:space="preserve">) </w:t>
      </w:r>
      <w:r w:rsidR="00DB0726" w:rsidRPr="009A2ABE">
        <w:t>The scale and nature of budget support inputs</w:t>
      </w:r>
    </w:p>
    <w:p w14:paraId="1B458986" w14:textId="77777777" w:rsidR="001E7ABC" w:rsidRDefault="001E7ABC" w:rsidP="001E7ABC">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Table 14 presents an overview of the budget support inputs provided in these three countries. Again, there are important similarities but also some significant differences: </w:t>
      </w:r>
    </w:p>
    <w:p w14:paraId="55B9AA00" w14:textId="77777777" w:rsidR="001E7ABC" w:rsidRDefault="001E7ABC" w:rsidP="001E7ABC">
      <w:pPr>
        <w:pStyle w:val="BodyText"/>
        <w:numPr>
          <w:ilvl w:val="0"/>
          <w:numId w:val="12"/>
        </w:numPr>
        <w:spacing w:line="360" w:lineRule="auto"/>
        <w:rPr>
          <w:rFonts w:ascii="Gill Sans MT" w:hAnsi="Gill Sans MT"/>
          <w:sz w:val="20"/>
          <w:lang w:val="en-GB"/>
        </w:rPr>
      </w:pPr>
      <w:r>
        <w:rPr>
          <w:rFonts w:ascii="Gill Sans MT" w:hAnsi="Gill Sans MT"/>
          <w:sz w:val="20"/>
          <w:lang w:val="en-GB"/>
        </w:rPr>
        <w:t xml:space="preserve">The scale of budget support is minor both relative to total public expenditure and relative to GDP in each country but in absolute values the level of disbursements is, in </w:t>
      </w:r>
      <w:r>
        <w:rPr>
          <w:rFonts w:ascii="Gill Sans MT" w:hAnsi="Gill Sans MT"/>
          <w:sz w:val="20"/>
          <w:lang w:val="en-GB"/>
        </w:rPr>
        <w:lastRenderedPageBreak/>
        <w:t>South Africa and Tunisia, only marginally lower than in the LICs, and in Morocco higher than all countr</w:t>
      </w:r>
      <w:r w:rsidR="00805ED5">
        <w:rPr>
          <w:rFonts w:ascii="Gill Sans MT" w:hAnsi="Gill Sans MT"/>
          <w:sz w:val="20"/>
          <w:lang w:val="en-GB"/>
        </w:rPr>
        <w:t>ies except Tanzania (See T</w:t>
      </w:r>
      <w:r>
        <w:rPr>
          <w:rFonts w:ascii="Gill Sans MT" w:hAnsi="Gill Sans MT"/>
          <w:sz w:val="20"/>
          <w:lang w:val="en-GB"/>
        </w:rPr>
        <w:t xml:space="preserve">able 1 for comparison.) </w:t>
      </w:r>
    </w:p>
    <w:p w14:paraId="4EBBB769" w14:textId="77777777" w:rsidR="001E7ABC" w:rsidRPr="00647C5C" w:rsidRDefault="001E7ABC" w:rsidP="001E7ABC">
      <w:pPr>
        <w:pStyle w:val="BodyText"/>
        <w:numPr>
          <w:ilvl w:val="0"/>
          <w:numId w:val="12"/>
        </w:numPr>
        <w:spacing w:line="360" w:lineRule="auto"/>
        <w:rPr>
          <w:rFonts w:ascii="Gill Sans MT" w:hAnsi="Gill Sans MT"/>
          <w:sz w:val="20"/>
          <w:lang w:val="en-GB"/>
        </w:rPr>
      </w:pPr>
      <w:r>
        <w:rPr>
          <w:rFonts w:ascii="Gill Sans MT" w:hAnsi="Gill Sans MT"/>
          <w:sz w:val="20"/>
          <w:lang w:val="en-GB"/>
        </w:rPr>
        <w:t xml:space="preserve">Sector Budget Support is the predominant modality, with GBS only present in Tunisia. The SBS operations cover a very wide range of sectors and thematic areas. In Morocco, several of the SBS operations are in fact directed to sub-sectors. </w:t>
      </w:r>
    </w:p>
    <w:p w14:paraId="12782930" w14:textId="77777777" w:rsidR="001E7ABC" w:rsidRPr="001E7ABC" w:rsidRDefault="001E7ABC" w:rsidP="001E7ABC">
      <w:pPr>
        <w:pStyle w:val="BodyText"/>
        <w:numPr>
          <w:ilvl w:val="0"/>
          <w:numId w:val="12"/>
        </w:numPr>
        <w:spacing w:line="360" w:lineRule="auto"/>
        <w:rPr>
          <w:rFonts w:ascii="Gill Sans MT" w:hAnsi="Gill Sans MT"/>
          <w:sz w:val="20"/>
          <w:lang w:val="en-GB"/>
        </w:rPr>
      </w:pPr>
      <w:r>
        <w:rPr>
          <w:rFonts w:ascii="Gill Sans MT" w:hAnsi="Gill Sans MT"/>
          <w:sz w:val="20"/>
          <w:lang w:val="en-GB"/>
        </w:rPr>
        <w:t>There are variable/performance tranches in each country. The evaluations do not present precise estimates of t</w:t>
      </w:r>
      <w:r w:rsidR="0005027C">
        <w:rPr>
          <w:rFonts w:ascii="Gill Sans MT" w:hAnsi="Gill Sans MT"/>
          <w:sz w:val="20"/>
          <w:lang w:val="en-GB"/>
        </w:rPr>
        <w:t xml:space="preserve">heir value but they have essentially the same significance as in </w:t>
      </w:r>
      <w:r w:rsidR="00396546">
        <w:rPr>
          <w:rFonts w:ascii="Gill Sans MT" w:hAnsi="Gill Sans MT"/>
          <w:sz w:val="20"/>
          <w:lang w:val="en-GB"/>
        </w:rPr>
        <w:t>the LICs, representing no more than 20 % of disbursements</w:t>
      </w:r>
      <w:r>
        <w:rPr>
          <w:rFonts w:ascii="Gill Sans MT" w:hAnsi="Gill Sans MT"/>
          <w:sz w:val="20"/>
          <w:lang w:val="en-GB"/>
        </w:rPr>
        <w:t>.</w:t>
      </w:r>
    </w:p>
    <w:p w14:paraId="26D0DB73" w14:textId="77777777" w:rsidR="00DB0726" w:rsidRDefault="00DB0726" w:rsidP="001E7ABC">
      <w:pPr>
        <w:pStyle w:val="Caption"/>
        <w:jc w:val="center"/>
        <w:rPr>
          <w:lang w:val="en-GB"/>
        </w:rPr>
      </w:pPr>
      <w:bookmarkStart w:id="80" w:name="_Toc279848294"/>
      <w:r w:rsidRPr="00B329B5">
        <w:rPr>
          <w:lang w:val="en-GB"/>
        </w:rPr>
        <w:t xml:space="preserve">Table </w:t>
      </w:r>
      <w:r w:rsidRPr="00B329B5">
        <w:rPr>
          <w:lang w:val="en-GB"/>
        </w:rPr>
        <w:fldChar w:fldCharType="begin"/>
      </w:r>
      <w:r w:rsidRPr="00B329B5">
        <w:rPr>
          <w:lang w:val="en-GB"/>
        </w:rPr>
        <w:instrText xml:space="preserve"> SEQ Table \* ARABIC </w:instrText>
      </w:r>
      <w:r w:rsidRPr="00B329B5">
        <w:rPr>
          <w:lang w:val="en-GB"/>
        </w:rPr>
        <w:fldChar w:fldCharType="separate"/>
      </w:r>
      <w:r w:rsidR="00967582">
        <w:rPr>
          <w:noProof/>
          <w:lang w:val="en-GB"/>
        </w:rPr>
        <w:t>14</w:t>
      </w:r>
      <w:r w:rsidRPr="00B329B5">
        <w:rPr>
          <w:lang w:val="en-GB"/>
        </w:rPr>
        <w:fldChar w:fldCharType="end"/>
      </w:r>
      <w:r w:rsidRPr="00B329B5">
        <w:rPr>
          <w:lang w:val="en-GB"/>
        </w:rPr>
        <w:t xml:space="preserve"> -The Mechanisms of budget sup</w:t>
      </w:r>
      <w:r>
        <w:rPr>
          <w:lang w:val="en-GB"/>
        </w:rPr>
        <w:t>p</w:t>
      </w:r>
      <w:r w:rsidR="00A72C30">
        <w:rPr>
          <w:lang w:val="en-GB"/>
        </w:rPr>
        <w:t>ort in MICs: (</w:t>
      </w:r>
      <w:proofErr w:type="spellStart"/>
      <w:r w:rsidR="00A72C30">
        <w:rPr>
          <w:lang w:val="en-GB"/>
        </w:rPr>
        <w:t>i</w:t>
      </w:r>
      <w:proofErr w:type="spellEnd"/>
      <w:r w:rsidR="00A72C30">
        <w:rPr>
          <w:lang w:val="en-GB"/>
        </w:rPr>
        <w:t>) Inputs</w:t>
      </w:r>
      <w:bookmarkEnd w:id="80"/>
    </w:p>
    <w:tbl>
      <w:tblPr>
        <w:tblStyle w:val="TableClassic2"/>
        <w:tblW w:w="0" w:type="auto"/>
        <w:tblLayout w:type="fixed"/>
        <w:tblLook w:val="04A0" w:firstRow="1" w:lastRow="0" w:firstColumn="1" w:lastColumn="0" w:noHBand="0" w:noVBand="1"/>
      </w:tblPr>
      <w:tblGrid>
        <w:gridCol w:w="2802"/>
        <w:gridCol w:w="1842"/>
        <w:gridCol w:w="1843"/>
        <w:gridCol w:w="1843"/>
      </w:tblGrid>
      <w:tr w:rsidR="00DB0726" w:rsidRPr="005E34B9" w14:paraId="5FAF6450" w14:textId="77777777" w:rsidTr="00924B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02" w:type="dxa"/>
          </w:tcPr>
          <w:p w14:paraId="357F896B" w14:textId="77777777" w:rsidR="00DB0726" w:rsidRPr="00DB285D" w:rsidRDefault="00DB0726" w:rsidP="00924B03">
            <w:pPr>
              <w:rPr>
                <w:rFonts w:ascii="Gill Sans MT" w:hAnsi="Gill Sans MT"/>
                <w:b w:val="0"/>
                <w:sz w:val="22"/>
                <w:szCs w:val="22"/>
                <w:lang w:val="en-GB"/>
              </w:rPr>
            </w:pPr>
            <w:r w:rsidRPr="00DB285D">
              <w:rPr>
                <w:rFonts w:ascii="Gill Sans MT" w:hAnsi="Gill Sans MT"/>
                <w:b w:val="0"/>
                <w:sz w:val="22"/>
                <w:szCs w:val="22"/>
                <w:lang w:val="en-GB"/>
              </w:rPr>
              <w:t>Budget Support Inputs provided (annual averages)</w:t>
            </w:r>
          </w:p>
        </w:tc>
        <w:tc>
          <w:tcPr>
            <w:tcW w:w="1842" w:type="dxa"/>
          </w:tcPr>
          <w:p w14:paraId="78C7A203" w14:textId="77777777" w:rsidR="00DB0726" w:rsidRPr="005E34B9" w:rsidRDefault="00DB0726" w:rsidP="00924B03">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Morocco</w:t>
            </w:r>
          </w:p>
          <w:p w14:paraId="1D9F4C9F" w14:textId="77777777" w:rsidR="00DB0726" w:rsidRPr="005E34B9" w:rsidRDefault="00DB0726" w:rsidP="00924B03">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sidRPr="005E34B9">
              <w:rPr>
                <w:rFonts w:ascii="Gill Sans MT" w:hAnsi="Gill Sans MT"/>
                <w:sz w:val="22"/>
                <w:szCs w:val="22"/>
                <w:lang w:val="en-GB"/>
              </w:rPr>
              <w:t>(2005-2012)</w:t>
            </w:r>
          </w:p>
        </w:tc>
        <w:tc>
          <w:tcPr>
            <w:tcW w:w="1843" w:type="dxa"/>
          </w:tcPr>
          <w:p w14:paraId="034B293C" w14:textId="77777777" w:rsidR="00DB0726" w:rsidRPr="005E34B9" w:rsidRDefault="00DB0726" w:rsidP="00924B03">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South Africa</w:t>
            </w:r>
          </w:p>
          <w:p w14:paraId="7579A27C" w14:textId="77777777" w:rsidR="00DB0726" w:rsidRPr="005E34B9" w:rsidRDefault="00DB0726" w:rsidP="00924B03">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(2000</w:t>
            </w:r>
            <w:r w:rsidRPr="005E34B9">
              <w:rPr>
                <w:rFonts w:ascii="Gill Sans MT" w:hAnsi="Gill Sans MT"/>
                <w:sz w:val="22"/>
                <w:szCs w:val="22"/>
                <w:lang w:val="en-GB"/>
              </w:rPr>
              <w:t>-2011)</w:t>
            </w:r>
          </w:p>
        </w:tc>
        <w:tc>
          <w:tcPr>
            <w:tcW w:w="1843" w:type="dxa"/>
          </w:tcPr>
          <w:p w14:paraId="565B5806" w14:textId="77777777" w:rsidR="00DB0726" w:rsidRPr="005E34B9" w:rsidRDefault="00DB0726" w:rsidP="00924B03">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Tunisia</w:t>
            </w:r>
            <w:r>
              <w:rPr>
                <w:rStyle w:val="FootnoteReference"/>
                <w:rFonts w:ascii="Gill Sans MT" w:hAnsi="Gill Sans MT"/>
                <w:sz w:val="22"/>
                <w:szCs w:val="22"/>
                <w:lang w:val="en-GB"/>
              </w:rPr>
              <w:footnoteReference w:id="40"/>
            </w:r>
          </w:p>
          <w:p w14:paraId="094CBB05" w14:textId="77777777" w:rsidR="00DB0726" w:rsidRPr="005E34B9" w:rsidRDefault="00DB0726" w:rsidP="00924B03">
            <w:pPr>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lang w:val="en-GB"/>
              </w:rPr>
            </w:pPr>
            <w:r>
              <w:rPr>
                <w:rFonts w:ascii="Gill Sans MT" w:hAnsi="Gill Sans MT"/>
                <w:sz w:val="22"/>
                <w:szCs w:val="22"/>
                <w:lang w:val="en-GB"/>
              </w:rPr>
              <w:t>(1996-2008</w:t>
            </w:r>
            <w:r w:rsidRPr="005E34B9">
              <w:rPr>
                <w:rFonts w:ascii="Gill Sans MT" w:hAnsi="Gill Sans MT"/>
                <w:sz w:val="22"/>
                <w:szCs w:val="22"/>
                <w:lang w:val="en-GB"/>
              </w:rPr>
              <w:t>)</w:t>
            </w:r>
          </w:p>
        </w:tc>
      </w:tr>
      <w:tr w:rsidR="00DB0726" w14:paraId="3BAC16EA" w14:textId="77777777" w:rsidTr="00924B03">
        <w:tc>
          <w:tcPr>
            <w:cnfStyle w:val="001000000000" w:firstRow="0" w:lastRow="0" w:firstColumn="1" w:lastColumn="0" w:oddVBand="0" w:evenVBand="0" w:oddHBand="0" w:evenHBand="0" w:firstRowFirstColumn="0" w:firstRowLastColumn="0" w:lastRowFirstColumn="0" w:lastRowLastColumn="0"/>
            <w:tcW w:w="2802" w:type="dxa"/>
          </w:tcPr>
          <w:p w14:paraId="66A8456D" w14:textId="77777777" w:rsidR="00DB0726" w:rsidRPr="005E34B9" w:rsidRDefault="00DB0726" w:rsidP="00924B03">
            <w:pPr>
              <w:rPr>
                <w:rFonts w:ascii="Gill Sans MT" w:hAnsi="Gill Sans MT"/>
                <w:sz w:val="20"/>
                <w:szCs w:val="20"/>
                <w:lang w:val="en-GB"/>
              </w:rPr>
            </w:pPr>
            <w:r>
              <w:rPr>
                <w:rFonts w:ascii="Gill Sans MT" w:hAnsi="Gill Sans MT"/>
                <w:sz w:val="20"/>
                <w:szCs w:val="20"/>
                <w:lang w:val="en-GB"/>
              </w:rPr>
              <w:t>BS disbursements (US$ m)</w:t>
            </w:r>
          </w:p>
        </w:tc>
        <w:tc>
          <w:tcPr>
            <w:tcW w:w="1842" w:type="dxa"/>
          </w:tcPr>
          <w:p w14:paraId="607C43CF" w14:textId="77777777" w:rsidR="00DB0726" w:rsidRPr="00016EEB"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599</w:t>
            </w:r>
          </w:p>
        </w:tc>
        <w:tc>
          <w:tcPr>
            <w:tcW w:w="1843" w:type="dxa"/>
          </w:tcPr>
          <w:p w14:paraId="1A42348B" w14:textId="77777777" w:rsidR="00DB0726" w:rsidRPr="00016EEB"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166</w:t>
            </w:r>
          </w:p>
        </w:tc>
        <w:tc>
          <w:tcPr>
            <w:tcW w:w="1843" w:type="dxa"/>
          </w:tcPr>
          <w:p w14:paraId="78E671E3" w14:textId="77777777" w:rsidR="00DB0726" w:rsidRPr="00016EEB"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65</w:t>
            </w:r>
          </w:p>
        </w:tc>
      </w:tr>
      <w:tr w:rsidR="00DB0726" w14:paraId="38730722" w14:textId="77777777" w:rsidTr="00924B03">
        <w:tc>
          <w:tcPr>
            <w:cnfStyle w:val="001000000000" w:firstRow="0" w:lastRow="0" w:firstColumn="1" w:lastColumn="0" w:oddVBand="0" w:evenVBand="0" w:oddHBand="0" w:evenHBand="0" w:firstRowFirstColumn="0" w:firstRowLastColumn="0" w:lastRowFirstColumn="0" w:lastRowLastColumn="0"/>
            <w:tcW w:w="2802" w:type="dxa"/>
            <w:tcBorders>
              <w:bottom w:val="nil"/>
            </w:tcBorders>
          </w:tcPr>
          <w:p w14:paraId="53F7D5D0" w14:textId="77777777" w:rsidR="00DB0726" w:rsidRPr="005E34B9" w:rsidRDefault="00DB0726" w:rsidP="00924B03">
            <w:pPr>
              <w:rPr>
                <w:rFonts w:ascii="Gill Sans MT" w:hAnsi="Gill Sans MT"/>
                <w:sz w:val="20"/>
                <w:szCs w:val="20"/>
                <w:lang w:val="en-GB"/>
              </w:rPr>
            </w:pPr>
            <w:r>
              <w:rPr>
                <w:rFonts w:ascii="Gill Sans MT" w:hAnsi="Gill Sans MT"/>
                <w:sz w:val="20"/>
                <w:szCs w:val="20"/>
                <w:lang w:val="en-GB"/>
              </w:rPr>
              <w:t>BS</w:t>
            </w:r>
            <w:r w:rsidRPr="005E34B9">
              <w:rPr>
                <w:rFonts w:ascii="Gill Sans MT" w:hAnsi="Gill Sans MT"/>
                <w:sz w:val="20"/>
                <w:szCs w:val="20"/>
                <w:lang w:val="en-GB"/>
              </w:rPr>
              <w:t xml:space="preserve"> as %</w:t>
            </w:r>
            <w:r>
              <w:rPr>
                <w:rFonts w:ascii="Gill Sans MT" w:hAnsi="Gill Sans MT"/>
                <w:sz w:val="20"/>
                <w:szCs w:val="20"/>
                <w:lang w:val="en-GB"/>
              </w:rPr>
              <w:t xml:space="preserve"> GDP </w:t>
            </w:r>
          </w:p>
        </w:tc>
        <w:tc>
          <w:tcPr>
            <w:tcW w:w="1842" w:type="dxa"/>
            <w:tcBorders>
              <w:bottom w:val="nil"/>
            </w:tcBorders>
          </w:tcPr>
          <w:p w14:paraId="65D27F5A" w14:textId="77777777" w:rsidR="00DB0726" w:rsidRPr="00016EEB"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2"/>
                <w:szCs w:val="22"/>
                <w:lang w:val="en-GB"/>
              </w:rPr>
              <w:t>0.7 %</w:t>
            </w:r>
          </w:p>
        </w:tc>
        <w:tc>
          <w:tcPr>
            <w:tcW w:w="1843" w:type="dxa"/>
            <w:tcBorders>
              <w:bottom w:val="nil"/>
            </w:tcBorders>
          </w:tcPr>
          <w:p w14:paraId="576C8406" w14:textId="77777777" w:rsidR="00DB0726" w:rsidRPr="00016EEB"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2"/>
                <w:szCs w:val="22"/>
                <w:lang w:val="en-GB"/>
              </w:rPr>
              <w:t>0.07 %</w:t>
            </w:r>
          </w:p>
        </w:tc>
        <w:tc>
          <w:tcPr>
            <w:tcW w:w="1843" w:type="dxa"/>
            <w:tcBorders>
              <w:bottom w:val="nil"/>
            </w:tcBorders>
          </w:tcPr>
          <w:p w14:paraId="7911BC55" w14:textId="77777777" w:rsidR="00DB0726" w:rsidRPr="00016EEB"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2"/>
                <w:szCs w:val="22"/>
                <w:lang w:val="en-GB"/>
              </w:rPr>
              <w:t>0.4 %</w:t>
            </w:r>
          </w:p>
        </w:tc>
      </w:tr>
      <w:tr w:rsidR="00DB0726" w14:paraId="480AD53F" w14:textId="77777777" w:rsidTr="00924B03">
        <w:tc>
          <w:tcPr>
            <w:cnfStyle w:val="001000000000" w:firstRow="0" w:lastRow="0" w:firstColumn="1" w:lastColumn="0" w:oddVBand="0" w:evenVBand="0" w:oddHBand="0" w:evenHBand="0" w:firstRowFirstColumn="0" w:firstRowLastColumn="0" w:lastRowFirstColumn="0" w:lastRowLastColumn="0"/>
            <w:tcW w:w="2802" w:type="dxa"/>
            <w:tcBorders>
              <w:top w:val="nil"/>
              <w:bottom w:val="single" w:sz="4" w:space="0" w:color="auto"/>
            </w:tcBorders>
          </w:tcPr>
          <w:p w14:paraId="2FE57FBD" w14:textId="77777777" w:rsidR="00DB0726" w:rsidRPr="005E34B9" w:rsidRDefault="00DB0726" w:rsidP="00924B03">
            <w:pPr>
              <w:rPr>
                <w:rFonts w:ascii="Gill Sans MT" w:hAnsi="Gill Sans MT"/>
                <w:sz w:val="20"/>
                <w:szCs w:val="20"/>
                <w:lang w:val="en-GB"/>
              </w:rPr>
            </w:pPr>
            <w:r>
              <w:rPr>
                <w:rFonts w:ascii="Gill Sans MT" w:hAnsi="Gill Sans MT"/>
                <w:sz w:val="20"/>
                <w:szCs w:val="20"/>
                <w:lang w:val="en-GB"/>
              </w:rPr>
              <w:t>BS as % Total expenditure</w:t>
            </w:r>
          </w:p>
        </w:tc>
        <w:tc>
          <w:tcPr>
            <w:tcW w:w="1842" w:type="dxa"/>
            <w:tcBorders>
              <w:top w:val="nil"/>
              <w:bottom w:val="single" w:sz="4" w:space="0" w:color="auto"/>
            </w:tcBorders>
          </w:tcPr>
          <w:p w14:paraId="12624E14" w14:textId="77777777" w:rsidR="00DB0726" w:rsidRPr="00016EEB"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 xml:space="preserve">2.3 </w:t>
            </w:r>
            <w:r w:rsidRPr="00016EEB">
              <w:rPr>
                <w:rFonts w:ascii="Gill Sans MT" w:hAnsi="Gill Sans MT"/>
                <w:sz w:val="20"/>
                <w:szCs w:val="20"/>
                <w:lang w:val="en-GB"/>
              </w:rPr>
              <w:t>%</w:t>
            </w:r>
          </w:p>
        </w:tc>
        <w:tc>
          <w:tcPr>
            <w:tcW w:w="1843" w:type="dxa"/>
            <w:tcBorders>
              <w:top w:val="nil"/>
              <w:bottom w:val="single" w:sz="4" w:space="0" w:color="auto"/>
            </w:tcBorders>
          </w:tcPr>
          <w:p w14:paraId="605A15A1" w14:textId="77777777" w:rsidR="00DB0726" w:rsidRPr="00016EEB"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 xml:space="preserve">0.3 </w:t>
            </w:r>
            <w:r w:rsidRPr="00016EEB">
              <w:rPr>
                <w:rFonts w:ascii="Gill Sans MT" w:hAnsi="Gill Sans MT"/>
                <w:sz w:val="20"/>
                <w:szCs w:val="20"/>
                <w:lang w:val="en-GB"/>
              </w:rPr>
              <w:t>%</w:t>
            </w:r>
          </w:p>
        </w:tc>
        <w:tc>
          <w:tcPr>
            <w:tcW w:w="1843" w:type="dxa"/>
            <w:tcBorders>
              <w:top w:val="nil"/>
              <w:bottom w:val="single" w:sz="4" w:space="0" w:color="auto"/>
            </w:tcBorders>
          </w:tcPr>
          <w:p w14:paraId="7AFC9C73" w14:textId="77777777" w:rsidR="00DB0726" w:rsidRPr="00016EEB"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 xml:space="preserve">1.4 </w:t>
            </w:r>
            <w:r w:rsidRPr="00016EEB">
              <w:rPr>
                <w:rFonts w:ascii="Gill Sans MT" w:hAnsi="Gill Sans MT"/>
                <w:sz w:val="20"/>
                <w:szCs w:val="20"/>
                <w:lang w:val="en-GB"/>
              </w:rPr>
              <w:t>%</w:t>
            </w:r>
          </w:p>
        </w:tc>
      </w:tr>
      <w:tr w:rsidR="00DB0726" w14:paraId="02D55528" w14:textId="77777777" w:rsidTr="00924B03">
        <w:tc>
          <w:tcPr>
            <w:cnfStyle w:val="001000000000" w:firstRow="0" w:lastRow="0" w:firstColumn="1" w:lastColumn="0" w:oddVBand="0" w:evenVBand="0" w:oddHBand="0" w:evenHBand="0" w:firstRowFirstColumn="0" w:firstRowLastColumn="0" w:lastRowFirstColumn="0" w:lastRowLastColumn="0"/>
            <w:tcW w:w="2802" w:type="dxa"/>
            <w:tcBorders>
              <w:top w:val="single" w:sz="4" w:space="0" w:color="auto"/>
              <w:bottom w:val="single" w:sz="4" w:space="0" w:color="auto"/>
            </w:tcBorders>
          </w:tcPr>
          <w:p w14:paraId="62A3BA43" w14:textId="77777777" w:rsidR="00DB0726" w:rsidRPr="005E34B9" w:rsidRDefault="00DB0726" w:rsidP="00924B03">
            <w:pPr>
              <w:rPr>
                <w:rFonts w:ascii="Gill Sans MT" w:hAnsi="Gill Sans MT"/>
                <w:sz w:val="20"/>
                <w:szCs w:val="20"/>
                <w:lang w:val="en-GB"/>
              </w:rPr>
            </w:pPr>
            <w:r>
              <w:rPr>
                <w:rFonts w:ascii="Gill Sans MT" w:hAnsi="Gill Sans MT"/>
                <w:sz w:val="20"/>
                <w:szCs w:val="20"/>
                <w:lang w:val="en-GB"/>
              </w:rPr>
              <w:t xml:space="preserve">Number of BS Providers </w:t>
            </w:r>
          </w:p>
        </w:tc>
        <w:tc>
          <w:tcPr>
            <w:tcW w:w="1842" w:type="dxa"/>
            <w:tcBorders>
              <w:top w:val="single" w:sz="4" w:space="0" w:color="auto"/>
              <w:bottom w:val="single" w:sz="4" w:space="0" w:color="auto"/>
            </w:tcBorders>
          </w:tcPr>
          <w:p w14:paraId="3E2D7727" w14:textId="77777777" w:rsidR="00DB0726"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7</w:t>
            </w:r>
          </w:p>
          <w:p w14:paraId="7140F2B3" w14:textId="77777777" w:rsidR="00DB0726" w:rsidRPr="00016EEB" w:rsidRDefault="00DB0726" w:rsidP="00924B0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3 bilateral (AFD, AECID, KfW)</w:t>
            </w:r>
            <w:proofErr w:type="gramStart"/>
            <w:r>
              <w:rPr>
                <w:rFonts w:ascii="Gill Sans MT" w:hAnsi="Gill Sans MT"/>
                <w:sz w:val="20"/>
                <w:szCs w:val="20"/>
                <w:lang w:val="en-GB"/>
              </w:rPr>
              <w:t>;  4</w:t>
            </w:r>
            <w:proofErr w:type="gramEnd"/>
            <w:r>
              <w:rPr>
                <w:rFonts w:ascii="Gill Sans MT" w:hAnsi="Gill Sans MT"/>
                <w:sz w:val="20"/>
                <w:szCs w:val="20"/>
                <w:lang w:val="en-GB"/>
              </w:rPr>
              <w:t xml:space="preserve"> multilateral (AfDB, EIB, EU, WB)</w:t>
            </w:r>
          </w:p>
        </w:tc>
        <w:tc>
          <w:tcPr>
            <w:tcW w:w="1843" w:type="dxa"/>
            <w:tcBorders>
              <w:top w:val="single" w:sz="4" w:space="0" w:color="auto"/>
              <w:bottom w:val="single" w:sz="4" w:space="0" w:color="auto"/>
            </w:tcBorders>
          </w:tcPr>
          <w:p w14:paraId="63ABAD91" w14:textId="77777777" w:rsidR="00DB0726" w:rsidRPr="00016EEB"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1</w:t>
            </w:r>
          </w:p>
          <w:p w14:paraId="4C2E8D49" w14:textId="77777777" w:rsidR="00DB0726" w:rsidRPr="00016EEB" w:rsidRDefault="00DB0726" w:rsidP="00924B0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EU</w:t>
            </w:r>
          </w:p>
        </w:tc>
        <w:tc>
          <w:tcPr>
            <w:tcW w:w="1843" w:type="dxa"/>
            <w:tcBorders>
              <w:top w:val="single" w:sz="4" w:space="0" w:color="auto"/>
              <w:bottom w:val="single" w:sz="4" w:space="0" w:color="auto"/>
            </w:tcBorders>
          </w:tcPr>
          <w:p w14:paraId="30EEFBCB" w14:textId="77777777" w:rsidR="00DB0726" w:rsidRPr="00016EEB"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3</w:t>
            </w:r>
          </w:p>
          <w:p w14:paraId="5B3E5F27" w14:textId="77777777" w:rsidR="00DB0726" w:rsidRPr="00016EEB" w:rsidRDefault="00DB0726" w:rsidP="00924B0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AfDB, EU &amp; WB</w:t>
            </w:r>
          </w:p>
        </w:tc>
      </w:tr>
      <w:tr w:rsidR="00DB0726" w:rsidRPr="008C51D1" w14:paraId="544BE571" w14:textId="77777777" w:rsidTr="00924B03">
        <w:tc>
          <w:tcPr>
            <w:cnfStyle w:val="001000000000" w:firstRow="0" w:lastRow="0" w:firstColumn="1" w:lastColumn="0" w:oddVBand="0" w:evenVBand="0" w:oddHBand="0" w:evenHBand="0" w:firstRowFirstColumn="0" w:firstRowLastColumn="0" w:lastRowFirstColumn="0" w:lastRowLastColumn="0"/>
            <w:tcW w:w="2802" w:type="dxa"/>
            <w:tcBorders>
              <w:top w:val="single" w:sz="4" w:space="0" w:color="auto"/>
              <w:bottom w:val="nil"/>
            </w:tcBorders>
          </w:tcPr>
          <w:p w14:paraId="4D3087EB" w14:textId="77777777" w:rsidR="00DB0726" w:rsidRPr="005E34B9" w:rsidRDefault="00DB0726" w:rsidP="00924B03">
            <w:pPr>
              <w:spacing w:line="360" w:lineRule="auto"/>
              <w:rPr>
                <w:rFonts w:ascii="Gill Sans MT" w:hAnsi="Gill Sans MT"/>
                <w:sz w:val="20"/>
                <w:szCs w:val="20"/>
                <w:lang w:val="en-GB"/>
              </w:rPr>
            </w:pPr>
            <w:r>
              <w:rPr>
                <w:rFonts w:ascii="Gill Sans MT" w:hAnsi="Gill Sans MT"/>
                <w:sz w:val="20"/>
                <w:szCs w:val="20"/>
                <w:lang w:val="en-GB"/>
              </w:rPr>
              <w:t>GBS/ SBS balance</w:t>
            </w:r>
          </w:p>
        </w:tc>
        <w:tc>
          <w:tcPr>
            <w:tcW w:w="1842" w:type="dxa"/>
            <w:tcBorders>
              <w:top w:val="single" w:sz="4" w:space="0" w:color="auto"/>
              <w:bottom w:val="nil"/>
            </w:tcBorders>
          </w:tcPr>
          <w:p w14:paraId="59DB188A" w14:textId="77777777" w:rsidR="00DB0726" w:rsidRDefault="00DB0726" w:rsidP="00924B0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100% SBS</w:t>
            </w:r>
          </w:p>
          <w:p w14:paraId="454952A1" w14:textId="77777777" w:rsidR="00DB0726" w:rsidRDefault="00DB0726" w:rsidP="00924B0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p>
          <w:p w14:paraId="28F3C4EE" w14:textId="77777777" w:rsidR="00DB0726" w:rsidRPr="00016EEB" w:rsidRDefault="008F4690" w:rsidP="00924B0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Financial Sector, Public Governance</w:t>
            </w:r>
            <w:r w:rsidR="00DB0726">
              <w:rPr>
                <w:rFonts w:ascii="Gill Sans MT" w:hAnsi="Gill Sans MT"/>
                <w:sz w:val="20"/>
                <w:szCs w:val="20"/>
                <w:lang w:val="en-GB"/>
              </w:rPr>
              <w:t>, Educ., Health, Water, Housing, Agriculture, Transport, Energy, +1 multi-</w:t>
            </w:r>
            <w:proofErr w:type="gramStart"/>
            <w:r w:rsidR="00DB0726">
              <w:rPr>
                <w:rFonts w:ascii="Gill Sans MT" w:hAnsi="Gill Sans MT"/>
                <w:sz w:val="20"/>
                <w:szCs w:val="20"/>
                <w:lang w:val="en-GB"/>
              </w:rPr>
              <w:t xml:space="preserve">sectoral  </w:t>
            </w:r>
            <w:proofErr w:type="gramEnd"/>
          </w:p>
        </w:tc>
        <w:tc>
          <w:tcPr>
            <w:tcW w:w="1843" w:type="dxa"/>
            <w:tcBorders>
              <w:top w:val="single" w:sz="4" w:space="0" w:color="auto"/>
              <w:bottom w:val="nil"/>
            </w:tcBorders>
          </w:tcPr>
          <w:p w14:paraId="2AD69B28" w14:textId="77777777" w:rsidR="00DB0726" w:rsidRDefault="00DB0726" w:rsidP="00924B0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100% SBS</w:t>
            </w:r>
          </w:p>
          <w:p w14:paraId="060B05F5" w14:textId="77777777" w:rsidR="00DB0726" w:rsidRDefault="00DB0726" w:rsidP="00924B0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p>
          <w:p w14:paraId="6FF032DC" w14:textId="77777777" w:rsidR="00DB0726" w:rsidRPr="00016EEB" w:rsidRDefault="00DB0726" w:rsidP="00924B0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 xml:space="preserve">Employment &amp; Private Sector </w:t>
            </w:r>
            <w:proofErr w:type="spellStart"/>
            <w:r>
              <w:rPr>
                <w:rFonts w:ascii="Gill Sans MT" w:hAnsi="Gill Sans MT"/>
                <w:sz w:val="20"/>
                <w:szCs w:val="20"/>
                <w:lang w:val="en-GB"/>
              </w:rPr>
              <w:t>Devpt</w:t>
            </w:r>
            <w:proofErr w:type="spellEnd"/>
            <w:proofErr w:type="gramStart"/>
            <w:r>
              <w:rPr>
                <w:rFonts w:ascii="Gill Sans MT" w:hAnsi="Gill Sans MT"/>
                <w:sz w:val="20"/>
                <w:szCs w:val="20"/>
                <w:lang w:val="en-GB"/>
              </w:rPr>
              <w:t>.,</w:t>
            </w:r>
            <w:proofErr w:type="gramEnd"/>
            <w:r>
              <w:rPr>
                <w:rFonts w:ascii="Gill Sans MT" w:hAnsi="Gill Sans MT"/>
                <w:sz w:val="20"/>
                <w:szCs w:val="20"/>
                <w:lang w:val="en-GB"/>
              </w:rPr>
              <w:t xml:space="preserve"> Water, Health, Education, Governance, Urban Renewal</w:t>
            </w:r>
          </w:p>
        </w:tc>
        <w:tc>
          <w:tcPr>
            <w:tcW w:w="1843" w:type="dxa"/>
            <w:tcBorders>
              <w:top w:val="single" w:sz="4" w:space="0" w:color="auto"/>
              <w:bottom w:val="nil"/>
            </w:tcBorders>
          </w:tcPr>
          <w:p w14:paraId="6CDC1E3A" w14:textId="77777777" w:rsidR="00DB0726" w:rsidRPr="00EA46BD" w:rsidRDefault="00DB0726" w:rsidP="00924B0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63</w:t>
            </w:r>
            <w:r w:rsidRPr="00EA46BD">
              <w:rPr>
                <w:rFonts w:ascii="Gill Sans MT" w:hAnsi="Gill Sans MT"/>
                <w:sz w:val="20"/>
                <w:szCs w:val="20"/>
                <w:lang w:val="en-GB"/>
              </w:rPr>
              <w:t>%</w:t>
            </w:r>
            <w:r>
              <w:rPr>
                <w:rFonts w:ascii="Gill Sans MT" w:hAnsi="Gill Sans MT"/>
                <w:sz w:val="20"/>
                <w:szCs w:val="20"/>
                <w:lang w:val="en-GB"/>
              </w:rPr>
              <w:t xml:space="preserve"> GBS; 37% SBS</w:t>
            </w:r>
          </w:p>
          <w:p w14:paraId="53807E19" w14:textId="77777777" w:rsidR="00DB0726" w:rsidRDefault="00DB0726" w:rsidP="00924B0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p>
          <w:p w14:paraId="037255A2" w14:textId="77777777" w:rsidR="00DB0726" w:rsidRPr="00EA46BD" w:rsidRDefault="00DB0726" w:rsidP="00924B0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sidRPr="00EA46BD">
              <w:rPr>
                <w:rFonts w:ascii="Gill Sans MT" w:hAnsi="Gill Sans MT"/>
                <w:sz w:val="20"/>
                <w:szCs w:val="20"/>
                <w:lang w:val="en-GB"/>
              </w:rPr>
              <w:t>S</w:t>
            </w:r>
            <w:r w:rsidR="00396546">
              <w:rPr>
                <w:rFonts w:ascii="Gill Sans MT" w:hAnsi="Gill Sans MT"/>
                <w:sz w:val="20"/>
                <w:szCs w:val="20"/>
                <w:lang w:val="en-GB"/>
              </w:rPr>
              <w:t>BS: Secondary &amp; Higher Education</w:t>
            </w:r>
            <w:r>
              <w:rPr>
                <w:rFonts w:ascii="Gill Sans MT" w:hAnsi="Gill Sans MT"/>
                <w:sz w:val="20"/>
                <w:szCs w:val="20"/>
                <w:lang w:val="en-GB"/>
              </w:rPr>
              <w:t xml:space="preserve"> Vocational Training</w:t>
            </w:r>
          </w:p>
        </w:tc>
      </w:tr>
      <w:tr w:rsidR="00DB0726" w14:paraId="1B2D6E1D" w14:textId="77777777" w:rsidTr="00924B03">
        <w:tc>
          <w:tcPr>
            <w:cnfStyle w:val="001000000000" w:firstRow="0" w:lastRow="0" w:firstColumn="1" w:lastColumn="0" w:oddVBand="0" w:evenVBand="0" w:oddHBand="0" w:evenHBand="0" w:firstRowFirstColumn="0" w:firstRowLastColumn="0" w:lastRowFirstColumn="0" w:lastRowLastColumn="0"/>
            <w:tcW w:w="2802" w:type="dxa"/>
            <w:tcBorders>
              <w:top w:val="nil"/>
              <w:bottom w:val="single" w:sz="4" w:space="0" w:color="auto"/>
            </w:tcBorders>
          </w:tcPr>
          <w:p w14:paraId="7EAE05BA" w14:textId="77777777" w:rsidR="00DB0726" w:rsidRDefault="00DB0726" w:rsidP="00924B03">
            <w:pPr>
              <w:rPr>
                <w:rFonts w:ascii="Gill Sans MT" w:hAnsi="Gill Sans MT"/>
                <w:sz w:val="20"/>
                <w:szCs w:val="20"/>
                <w:lang w:val="en-GB"/>
              </w:rPr>
            </w:pPr>
            <w:r>
              <w:rPr>
                <w:rFonts w:ascii="Gill Sans MT" w:hAnsi="Gill Sans MT"/>
                <w:sz w:val="20"/>
                <w:szCs w:val="20"/>
                <w:lang w:val="en-GB"/>
              </w:rPr>
              <w:t>Use of Variable/ Performance tranches</w:t>
            </w:r>
          </w:p>
        </w:tc>
        <w:tc>
          <w:tcPr>
            <w:tcW w:w="1842" w:type="dxa"/>
            <w:tcBorders>
              <w:top w:val="nil"/>
              <w:bottom w:val="single" w:sz="4" w:space="0" w:color="auto"/>
            </w:tcBorders>
          </w:tcPr>
          <w:p w14:paraId="751E9D10" w14:textId="77777777" w:rsidR="00DB0726" w:rsidRDefault="00DB0726" w:rsidP="00924B0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p>
          <w:p w14:paraId="327C6F9E" w14:textId="77777777" w:rsidR="00DB0726" w:rsidRPr="00016EEB" w:rsidRDefault="00DB0726" w:rsidP="00924B0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Yes</w:t>
            </w:r>
          </w:p>
        </w:tc>
        <w:tc>
          <w:tcPr>
            <w:tcW w:w="1843" w:type="dxa"/>
            <w:tcBorders>
              <w:top w:val="nil"/>
              <w:bottom w:val="single" w:sz="4" w:space="0" w:color="auto"/>
            </w:tcBorders>
          </w:tcPr>
          <w:p w14:paraId="6AD2BD2A" w14:textId="77777777" w:rsidR="00DB0726" w:rsidRDefault="00DB0726" w:rsidP="00924B0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p>
          <w:p w14:paraId="31AFDA03" w14:textId="77777777" w:rsidR="00DB0726" w:rsidRPr="00016EEB" w:rsidRDefault="00DB0726" w:rsidP="00924B0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Yes</w:t>
            </w:r>
          </w:p>
        </w:tc>
        <w:tc>
          <w:tcPr>
            <w:tcW w:w="1843" w:type="dxa"/>
            <w:tcBorders>
              <w:top w:val="nil"/>
              <w:bottom w:val="single" w:sz="4" w:space="0" w:color="auto"/>
            </w:tcBorders>
          </w:tcPr>
          <w:p w14:paraId="424B7257" w14:textId="77777777" w:rsidR="00DB0726" w:rsidRDefault="00DB0726" w:rsidP="00924B0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p>
          <w:p w14:paraId="636E57DC" w14:textId="77777777" w:rsidR="00DB0726" w:rsidRPr="00EA46BD" w:rsidRDefault="00DB0726" w:rsidP="00924B0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Yes</w:t>
            </w:r>
          </w:p>
        </w:tc>
      </w:tr>
      <w:tr w:rsidR="00DB0726" w14:paraId="69094D96" w14:textId="77777777" w:rsidTr="00924B03">
        <w:tc>
          <w:tcPr>
            <w:cnfStyle w:val="001000000000" w:firstRow="0" w:lastRow="0" w:firstColumn="1" w:lastColumn="0" w:oddVBand="0" w:evenVBand="0" w:oddHBand="0" w:evenHBand="0" w:firstRowFirstColumn="0" w:firstRowLastColumn="0" w:lastRowFirstColumn="0" w:lastRowLastColumn="0"/>
            <w:tcW w:w="2802" w:type="dxa"/>
            <w:tcBorders>
              <w:top w:val="single" w:sz="4" w:space="0" w:color="auto"/>
            </w:tcBorders>
          </w:tcPr>
          <w:p w14:paraId="38E6042F" w14:textId="77777777" w:rsidR="00DB0726" w:rsidRPr="005E34B9" w:rsidRDefault="00DB0726" w:rsidP="00924B03">
            <w:pPr>
              <w:rPr>
                <w:rFonts w:ascii="Gill Sans MT" w:hAnsi="Gill Sans MT"/>
                <w:sz w:val="20"/>
                <w:szCs w:val="20"/>
                <w:lang w:val="en-GB"/>
              </w:rPr>
            </w:pPr>
            <w:r>
              <w:rPr>
                <w:rFonts w:ascii="Gill Sans MT" w:hAnsi="Gill Sans MT"/>
                <w:sz w:val="20"/>
                <w:szCs w:val="20"/>
                <w:lang w:val="en-GB"/>
              </w:rPr>
              <w:t>Technical Assistance/ capacity-building</w:t>
            </w:r>
          </w:p>
        </w:tc>
        <w:tc>
          <w:tcPr>
            <w:tcW w:w="1842" w:type="dxa"/>
            <w:tcBorders>
              <w:top w:val="single" w:sz="4" w:space="0" w:color="auto"/>
            </w:tcBorders>
          </w:tcPr>
          <w:p w14:paraId="6B3B5B02" w14:textId="77777777" w:rsidR="00DB0726" w:rsidRPr="00016EEB" w:rsidRDefault="00DB0726" w:rsidP="00924B03">
            <w:pPr>
              <w:spacing w:line="360"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Yes</w:t>
            </w:r>
          </w:p>
        </w:tc>
        <w:tc>
          <w:tcPr>
            <w:tcW w:w="1843" w:type="dxa"/>
            <w:tcBorders>
              <w:top w:val="single" w:sz="4" w:space="0" w:color="auto"/>
            </w:tcBorders>
          </w:tcPr>
          <w:p w14:paraId="5F1F570F" w14:textId="77777777" w:rsidR="00DB0726" w:rsidRPr="00016EEB" w:rsidRDefault="00DB0726" w:rsidP="00924B0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 xml:space="preserve">Yes but </w:t>
            </w:r>
            <w:r w:rsidR="000C1020">
              <w:rPr>
                <w:rFonts w:ascii="Gill Sans MT" w:hAnsi="Gill Sans MT"/>
                <w:sz w:val="20"/>
                <w:szCs w:val="20"/>
                <w:lang w:val="en-GB"/>
              </w:rPr>
              <w:t xml:space="preserve">more </w:t>
            </w:r>
            <w:r>
              <w:rPr>
                <w:rFonts w:ascii="Gill Sans MT" w:hAnsi="Gill Sans MT"/>
                <w:sz w:val="20"/>
                <w:szCs w:val="20"/>
                <w:lang w:val="en-GB"/>
              </w:rPr>
              <w:t>limited</w:t>
            </w:r>
          </w:p>
        </w:tc>
        <w:tc>
          <w:tcPr>
            <w:tcW w:w="1843" w:type="dxa"/>
            <w:tcBorders>
              <w:top w:val="single" w:sz="4" w:space="0" w:color="auto"/>
            </w:tcBorders>
          </w:tcPr>
          <w:p w14:paraId="505BB3B0" w14:textId="77777777" w:rsidR="00DB0726" w:rsidRPr="00EA46BD" w:rsidRDefault="00DB0726" w:rsidP="00924B03">
            <w:pPr>
              <w:jc w:val="cente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lang w:val="en-GB"/>
              </w:rPr>
            </w:pPr>
            <w:r>
              <w:rPr>
                <w:rFonts w:ascii="Gill Sans MT" w:hAnsi="Gill Sans MT"/>
                <w:sz w:val="20"/>
                <w:szCs w:val="20"/>
                <w:lang w:val="en-GB"/>
              </w:rPr>
              <w:t>Yes</w:t>
            </w:r>
          </w:p>
        </w:tc>
      </w:tr>
    </w:tbl>
    <w:p w14:paraId="24F26DDA" w14:textId="77777777" w:rsidR="00DB0726" w:rsidRPr="00223323" w:rsidRDefault="00DB0726" w:rsidP="00DB0726">
      <w:pPr>
        <w:rPr>
          <w:rFonts w:ascii="Gill Sans MT" w:hAnsi="Gill Sans MT"/>
          <w:sz w:val="18"/>
          <w:szCs w:val="18"/>
          <w:lang w:val="en-GB"/>
        </w:rPr>
      </w:pPr>
      <w:r w:rsidRPr="00223323">
        <w:rPr>
          <w:rFonts w:ascii="Gill Sans MT" w:hAnsi="Gill Sans MT"/>
          <w:sz w:val="18"/>
          <w:szCs w:val="18"/>
          <w:u w:val="single"/>
          <w:lang w:val="en-GB"/>
        </w:rPr>
        <w:t xml:space="preserve">Sources: </w:t>
      </w:r>
      <w:r>
        <w:rPr>
          <w:rFonts w:ascii="Gill Sans MT" w:hAnsi="Gill Sans MT"/>
          <w:sz w:val="18"/>
          <w:szCs w:val="18"/>
          <w:lang w:val="en-GB"/>
        </w:rPr>
        <w:t>Evaluation Reports.</w:t>
      </w:r>
    </w:p>
    <w:p w14:paraId="036D0F6D" w14:textId="00246E31" w:rsidR="00DB0726" w:rsidRDefault="00DB0726" w:rsidP="00DB0726">
      <w:pPr>
        <w:pStyle w:val="BodyText"/>
        <w:numPr>
          <w:ilvl w:val="0"/>
          <w:numId w:val="2"/>
        </w:numPr>
        <w:spacing w:line="360" w:lineRule="auto"/>
        <w:ind w:left="499" w:hanging="357"/>
        <w:rPr>
          <w:rFonts w:ascii="Gill Sans MT" w:hAnsi="Gill Sans MT"/>
          <w:sz w:val="20"/>
          <w:lang w:val="en-GB"/>
        </w:rPr>
      </w:pPr>
      <w:r w:rsidRPr="00924FE1">
        <w:rPr>
          <w:rFonts w:ascii="Gill Sans MT" w:hAnsi="Gill Sans MT"/>
          <w:b/>
          <w:sz w:val="20"/>
          <w:lang w:val="en-GB"/>
        </w:rPr>
        <w:t>It is not really possible to speak of an “MIC model” for budget support</w:t>
      </w:r>
      <w:r>
        <w:rPr>
          <w:rFonts w:ascii="Gill Sans MT" w:hAnsi="Gill Sans MT"/>
          <w:sz w:val="20"/>
          <w:lang w:val="en-GB"/>
        </w:rPr>
        <w:t>. Whereas the LIC budget support arrangements tend to have a number of common features, the specific design</w:t>
      </w:r>
      <w:r w:rsidR="00A751F4">
        <w:rPr>
          <w:rFonts w:ascii="Gill Sans MT" w:hAnsi="Gill Sans MT"/>
          <w:sz w:val="20"/>
          <w:lang w:val="en-GB"/>
        </w:rPr>
        <w:t>s</w:t>
      </w:r>
      <w:r>
        <w:rPr>
          <w:rFonts w:ascii="Gill Sans MT" w:hAnsi="Gill Sans MT"/>
          <w:sz w:val="20"/>
          <w:lang w:val="en-GB"/>
        </w:rPr>
        <w:t xml:space="preserve"> of the budget </w:t>
      </w:r>
      <w:r w:rsidR="00A751F4">
        <w:rPr>
          <w:rFonts w:ascii="Gill Sans MT" w:hAnsi="Gill Sans MT"/>
          <w:sz w:val="20"/>
          <w:lang w:val="en-GB"/>
        </w:rPr>
        <w:t>support arrangements in these three MIC countries were</w:t>
      </w:r>
      <w:r>
        <w:rPr>
          <w:rFonts w:ascii="Gill Sans MT" w:hAnsi="Gill Sans MT"/>
          <w:sz w:val="20"/>
          <w:lang w:val="en-GB"/>
        </w:rPr>
        <w:t xml:space="preserve"> unique: </w:t>
      </w:r>
    </w:p>
    <w:p w14:paraId="09F58A2A" w14:textId="77777777" w:rsidR="00DB0726" w:rsidRDefault="00DB0726" w:rsidP="00D81DB3">
      <w:pPr>
        <w:pStyle w:val="BodyText"/>
        <w:numPr>
          <w:ilvl w:val="0"/>
          <w:numId w:val="30"/>
        </w:numPr>
        <w:spacing w:line="360" w:lineRule="auto"/>
        <w:rPr>
          <w:rFonts w:ascii="Gill Sans MT" w:hAnsi="Gill Sans MT"/>
          <w:sz w:val="20"/>
          <w:lang w:val="en-GB"/>
        </w:rPr>
      </w:pPr>
      <w:r>
        <w:rPr>
          <w:rFonts w:ascii="Gill Sans MT" w:hAnsi="Gill Sans MT"/>
          <w:sz w:val="20"/>
          <w:lang w:val="en-GB"/>
        </w:rPr>
        <w:t xml:space="preserve">In </w:t>
      </w:r>
      <w:r w:rsidRPr="00304A94">
        <w:rPr>
          <w:rFonts w:ascii="Gill Sans MT" w:hAnsi="Gill Sans MT"/>
          <w:b/>
          <w:sz w:val="20"/>
          <w:lang w:val="en-GB"/>
        </w:rPr>
        <w:t>Morocco</w:t>
      </w:r>
      <w:r>
        <w:rPr>
          <w:rFonts w:ascii="Gill Sans MT" w:hAnsi="Gill Sans MT"/>
          <w:sz w:val="20"/>
          <w:lang w:val="en-GB"/>
        </w:rPr>
        <w:t>, there were 54 budget support operations during the evaluation period (2005-2012), provided by 7 Development Partners (DPs) covering 8 sectors, the themat</w:t>
      </w:r>
      <w:r w:rsidR="00805ED5">
        <w:rPr>
          <w:rFonts w:ascii="Gill Sans MT" w:hAnsi="Gill Sans MT"/>
          <w:sz w:val="20"/>
          <w:lang w:val="en-GB"/>
        </w:rPr>
        <w:t>ic area of Public Governance</w:t>
      </w:r>
      <w:r>
        <w:rPr>
          <w:rFonts w:ascii="Gill Sans MT" w:hAnsi="Gill Sans MT"/>
          <w:sz w:val="20"/>
          <w:lang w:val="en-GB"/>
        </w:rPr>
        <w:t xml:space="preserve"> </w:t>
      </w:r>
      <w:r w:rsidRPr="008C51D1">
        <w:rPr>
          <w:rFonts w:ascii="Gill Sans MT" w:hAnsi="Gill Sans MT"/>
          <w:sz w:val="20"/>
          <w:lang w:val="en-GB"/>
        </w:rPr>
        <w:t>(</w:t>
      </w:r>
      <w:r w:rsidRPr="008C51D1">
        <w:rPr>
          <w:rFonts w:ascii="Gill Sans MT" w:hAnsi="Gill Sans MT"/>
          <w:i/>
          <w:sz w:val="20"/>
          <w:lang w:val="en-GB"/>
        </w:rPr>
        <w:t xml:space="preserve">la </w:t>
      </w:r>
      <w:proofErr w:type="spellStart"/>
      <w:r w:rsidRPr="008C51D1">
        <w:rPr>
          <w:rFonts w:ascii="Gill Sans MT" w:hAnsi="Gill Sans MT"/>
          <w:i/>
          <w:sz w:val="20"/>
          <w:lang w:val="en-GB"/>
        </w:rPr>
        <w:t>gouvernance</w:t>
      </w:r>
      <w:proofErr w:type="spellEnd"/>
      <w:r w:rsidRPr="008C51D1">
        <w:rPr>
          <w:rFonts w:ascii="Gill Sans MT" w:hAnsi="Gill Sans MT"/>
          <w:i/>
          <w:sz w:val="20"/>
          <w:lang w:val="en-GB"/>
        </w:rPr>
        <w:t xml:space="preserve"> </w:t>
      </w:r>
      <w:proofErr w:type="spellStart"/>
      <w:r w:rsidRPr="008C51D1">
        <w:rPr>
          <w:rFonts w:ascii="Gill Sans MT" w:hAnsi="Gill Sans MT"/>
          <w:i/>
          <w:sz w:val="20"/>
          <w:lang w:val="en-GB"/>
        </w:rPr>
        <w:t>publique</w:t>
      </w:r>
      <w:proofErr w:type="spellEnd"/>
      <w:r w:rsidR="00805ED5" w:rsidRPr="008C51D1">
        <w:rPr>
          <w:rFonts w:ascii="Gill Sans MT" w:hAnsi="Gill Sans MT"/>
          <w:i/>
          <w:sz w:val="20"/>
          <w:lang w:val="en-GB"/>
        </w:rPr>
        <w:t xml:space="preserve"> – </w:t>
      </w:r>
      <w:r w:rsidR="00805ED5" w:rsidRPr="00805ED5">
        <w:rPr>
          <w:rFonts w:ascii="Gill Sans MT" w:hAnsi="Gill Sans MT"/>
          <w:sz w:val="20"/>
          <w:lang w:val="en-GB"/>
        </w:rPr>
        <w:t>including Public Administration. PFM and Fiscal reform</w:t>
      </w:r>
      <w:r w:rsidRPr="008C51D1">
        <w:rPr>
          <w:rFonts w:ascii="Gill Sans MT" w:hAnsi="Gill Sans MT"/>
          <w:sz w:val="20"/>
          <w:lang w:val="en-GB"/>
        </w:rPr>
        <w:t>),</w:t>
      </w:r>
      <w:r w:rsidR="00396546">
        <w:rPr>
          <w:rFonts w:ascii="Gill Sans MT" w:hAnsi="Gill Sans MT"/>
          <w:sz w:val="20"/>
          <w:lang w:val="en-GB"/>
        </w:rPr>
        <w:t xml:space="preserve"> and one multi-sectoral operation</w:t>
      </w:r>
      <w:r>
        <w:rPr>
          <w:rFonts w:ascii="Gill Sans MT" w:hAnsi="Gill Sans MT"/>
          <w:sz w:val="20"/>
          <w:lang w:val="en-GB"/>
        </w:rPr>
        <w:t xml:space="preserve">. </w:t>
      </w:r>
      <w:r w:rsidR="000C2BD0">
        <w:rPr>
          <w:rFonts w:ascii="Gill Sans MT" w:hAnsi="Gill Sans MT"/>
          <w:sz w:val="20"/>
          <w:lang w:val="en-GB"/>
        </w:rPr>
        <w:t>There are unified matrices of disbursement conditions and a joint process of assessment and monitoring for the SBS operations for the Finance Sector, Public G</w:t>
      </w:r>
      <w:r w:rsidR="00396546">
        <w:rPr>
          <w:rFonts w:ascii="Gill Sans MT" w:hAnsi="Gill Sans MT"/>
          <w:sz w:val="20"/>
          <w:lang w:val="en-GB"/>
        </w:rPr>
        <w:t xml:space="preserve">overnance, Health </w:t>
      </w:r>
      <w:r w:rsidR="00396546">
        <w:rPr>
          <w:rFonts w:ascii="Gill Sans MT" w:hAnsi="Gill Sans MT"/>
          <w:sz w:val="20"/>
          <w:lang w:val="en-GB"/>
        </w:rPr>
        <w:lastRenderedPageBreak/>
        <w:t>and Education, which represent nearly 80% of disbursements</w:t>
      </w:r>
      <w:r w:rsidR="000C2BD0">
        <w:rPr>
          <w:rFonts w:ascii="Gill Sans MT" w:hAnsi="Gill Sans MT"/>
          <w:sz w:val="20"/>
          <w:lang w:val="en-GB"/>
        </w:rPr>
        <w:t xml:space="preserve"> The Health and Education SBS include outcome targets linked to variable tranches. In the other sectors, the focus is predominantly on the reform of legal, regulatory and organisational frameworks and the disbursement conditions are process conditions related to specific steps in the sequence of reform of these frameworks. </w:t>
      </w:r>
    </w:p>
    <w:p w14:paraId="2BC21E43" w14:textId="77777777" w:rsidR="00DB0726" w:rsidRDefault="00DB0726" w:rsidP="00D81DB3">
      <w:pPr>
        <w:pStyle w:val="BodyText"/>
        <w:numPr>
          <w:ilvl w:val="0"/>
          <w:numId w:val="30"/>
        </w:numPr>
        <w:spacing w:line="360" w:lineRule="auto"/>
        <w:rPr>
          <w:rFonts w:ascii="Gill Sans MT" w:hAnsi="Gill Sans MT"/>
          <w:sz w:val="20"/>
          <w:lang w:val="en-GB"/>
        </w:rPr>
      </w:pPr>
      <w:r>
        <w:rPr>
          <w:rFonts w:ascii="Gill Sans MT" w:hAnsi="Gill Sans MT"/>
          <w:sz w:val="20"/>
          <w:lang w:val="en-GB"/>
        </w:rPr>
        <w:t xml:space="preserve">In </w:t>
      </w:r>
      <w:r w:rsidRPr="0076426B">
        <w:rPr>
          <w:rFonts w:ascii="Gill Sans MT" w:hAnsi="Gill Sans MT"/>
          <w:b/>
          <w:sz w:val="20"/>
          <w:lang w:val="en-GB"/>
        </w:rPr>
        <w:t>South Africa</w:t>
      </w:r>
      <w:r>
        <w:rPr>
          <w:rFonts w:ascii="Gill Sans MT" w:hAnsi="Gill Sans MT"/>
          <w:sz w:val="20"/>
          <w:lang w:val="en-GB"/>
        </w:rPr>
        <w:t xml:space="preserve">, all SBS funds are paid into the Reconstruction &amp; Development Programme (RDP) Fund, which is a fund managed by the Ministry of Finance outside of the normal budget procedure and then channelled to the appropriate executing departments and agencies. The </w:t>
      </w:r>
      <w:proofErr w:type="gramStart"/>
      <w:r>
        <w:rPr>
          <w:rFonts w:ascii="Gill Sans MT" w:hAnsi="Gill Sans MT"/>
          <w:sz w:val="20"/>
          <w:lang w:val="en-GB"/>
        </w:rPr>
        <w:t>specific use of Budget Support funds is decided by the government through proposals from the Minister of Finance to the Cabinet</w:t>
      </w:r>
      <w:proofErr w:type="gramEnd"/>
      <w:r>
        <w:rPr>
          <w:rFonts w:ascii="Gill Sans MT" w:hAnsi="Gill Sans MT"/>
          <w:sz w:val="20"/>
          <w:lang w:val="en-GB"/>
        </w:rPr>
        <w:t>. The use of Budget Support funds is therefore 'on Treasury' but not voted upon by Parliament. It is, however, audited by the Auditor General, and annual financial statements and annual audits are submitted to Parliament in addition to being made available to the general public. The purpose of the RDP Fund is firstly to avoid any potential problems of cash management which might result from the use of aid funds to finance items included in the Budget, in the event of late disbursements from DPs; and secondly to provide the potential to  “top up” the budgets of spending agencies undertaking innovatory activities. During the evaluation period, the RDP Fund has been used specifically to finance innovations in service delivery processes, which might help to increase the impact of public spending on poverty and inequality.</w:t>
      </w:r>
    </w:p>
    <w:p w14:paraId="510FC23C" w14:textId="77777777" w:rsidR="00DB0726" w:rsidRDefault="00DB0726" w:rsidP="00D81DB3">
      <w:pPr>
        <w:pStyle w:val="BodyText"/>
        <w:numPr>
          <w:ilvl w:val="0"/>
          <w:numId w:val="30"/>
        </w:numPr>
        <w:spacing w:line="360" w:lineRule="auto"/>
        <w:rPr>
          <w:rFonts w:ascii="Gill Sans MT" w:hAnsi="Gill Sans MT"/>
          <w:sz w:val="20"/>
          <w:lang w:val="en-GB"/>
        </w:rPr>
      </w:pPr>
      <w:r>
        <w:rPr>
          <w:rFonts w:ascii="Gill Sans MT" w:hAnsi="Gill Sans MT"/>
          <w:sz w:val="20"/>
          <w:lang w:val="en-GB"/>
        </w:rPr>
        <w:t xml:space="preserve">The budget support programme in </w:t>
      </w:r>
      <w:r w:rsidRPr="0076426B">
        <w:rPr>
          <w:rFonts w:ascii="Gill Sans MT" w:hAnsi="Gill Sans MT"/>
          <w:b/>
          <w:sz w:val="20"/>
          <w:lang w:val="en-GB"/>
        </w:rPr>
        <w:t>Tunisia</w:t>
      </w:r>
      <w:r>
        <w:rPr>
          <w:rFonts w:ascii="Gill Sans MT" w:hAnsi="Gill Sans MT"/>
          <w:sz w:val="20"/>
          <w:lang w:val="en-GB"/>
        </w:rPr>
        <w:t xml:space="preserve"> comes closest to the model of budget support commonly utilised in LICs. It involves a mix of SBS for Higher Education and Vocational Training provided exclusively by the EU, and GBS provided jointly between the African Development Bank, the EU and the World Bank to support policy and institutional reforms linked to the national strategy of de-regulation and market liberalisation.  SBS involves a mix of fixed tranches and variable tranches linked primarily to outcomes, while GBS includes fixed and variable tranches</w:t>
      </w:r>
      <w:r w:rsidR="000C2BD0">
        <w:rPr>
          <w:rFonts w:ascii="Gill Sans MT" w:hAnsi="Gill Sans MT"/>
          <w:sz w:val="20"/>
          <w:lang w:val="en-GB"/>
        </w:rPr>
        <w:t xml:space="preserve">, as well as </w:t>
      </w:r>
      <w:r w:rsidR="000C1020">
        <w:rPr>
          <w:rFonts w:ascii="Gill Sans MT" w:hAnsi="Gill Sans MT"/>
          <w:sz w:val="20"/>
          <w:lang w:val="en-GB"/>
        </w:rPr>
        <w:t xml:space="preserve">“floating </w:t>
      </w:r>
      <w:r w:rsidR="000C2BD0">
        <w:rPr>
          <w:rFonts w:ascii="Gill Sans MT" w:hAnsi="Gill Sans MT"/>
          <w:sz w:val="20"/>
          <w:lang w:val="en-GB"/>
        </w:rPr>
        <w:t>tranches</w:t>
      </w:r>
      <w:r w:rsidR="000C1020">
        <w:rPr>
          <w:rFonts w:ascii="Gill Sans MT" w:hAnsi="Gill Sans MT"/>
          <w:sz w:val="20"/>
          <w:lang w:val="en-GB"/>
        </w:rPr>
        <w:t>”</w:t>
      </w:r>
      <w:r>
        <w:rPr>
          <w:rFonts w:ascii="Gill Sans MT" w:hAnsi="Gill Sans MT"/>
          <w:sz w:val="20"/>
          <w:lang w:val="en-GB"/>
        </w:rPr>
        <w:t xml:space="preserve"> (from the AfDB and WB) linked to process conditions, related to the reform timeline. </w:t>
      </w:r>
    </w:p>
    <w:p w14:paraId="649B6617" w14:textId="77777777" w:rsidR="00DB0726" w:rsidRDefault="00DB0726" w:rsidP="00DB0726">
      <w:pPr>
        <w:pStyle w:val="BodyText"/>
        <w:numPr>
          <w:ilvl w:val="0"/>
          <w:numId w:val="2"/>
        </w:numPr>
        <w:spacing w:line="360" w:lineRule="auto"/>
        <w:ind w:left="499" w:hanging="357"/>
        <w:rPr>
          <w:rFonts w:ascii="Gill Sans MT" w:hAnsi="Gill Sans MT"/>
          <w:sz w:val="20"/>
          <w:lang w:val="en-GB"/>
        </w:rPr>
      </w:pPr>
      <w:r w:rsidRPr="00DF7A6A">
        <w:rPr>
          <w:rFonts w:ascii="Gill Sans MT" w:hAnsi="Gill Sans MT"/>
          <w:b/>
          <w:sz w:val="20"/>
          <w:lang w:val="en-GB"/>
        </w:rPr>
        <w:t>Technic</w:t>
      </w:r>
      <w:r w:rsidR="00396546">
        <w:rPr>
          <w:rFonts w:ascii="Gill Sans MT" w:hAnsi="Gill Sans MT"/>
          <w:b/>
          <w:sz w:val="20"/>
          <w:lang w:val="en-GB"/>
        </w:rPr>
        <w:t>al assistance/ capacity development</w:t>
      </w:r>
      <w:r w:rsidRPr="00DF7A6A">
        <w:rPr>
          <w:rFonts w:ascii="Gill Sans MT" w:hAnsi="Gill Sans MT"/>
          <w:b/>
          <w:sz w:val="20"/>
          <w:lang w:val="en-GB"/>
        </w:rPr>
        <w:t xml:space="preserve"> inputs are provided in each country</w:t>
      </w:r>
      <w:r>
        <w:rPr>
          <w:rFonts w:ascii="Gill Sans MT" w:hAnsi="Gill Sans MT"/>
          <w:sz w:val="20"/>
          <w:lang w:val="en-GB"/>
        </w:rPr>
        <w:t>. In Tunisia and Morocco, a good proportion of this is integrated directly into the budget support financing agreements. In addition to classic advisory and capacity building support, it also provides for analytical studies and preparatory inputs linked to the design of reforms, and for support to the monitoring of disbursement conditions. In Sou</w:t>
      </w:r>
      <w:r w:rsidR="000C1020">
        <w:rPr>
          <w:rFonts w:ascii="Gill Sans MT" w:hAnsi="Gill Sans MT"/>
          <w:sz w:val="20"/>
          <w:lang w:val="en-GB"/>
        </w:rPr>
        <w:t xml:space="preserve">th Africa, </w:t>
      </w:r>
      <w:r w:rsidR="000C1020" w:rsidRPr="000C1020">
        <w:rPr>
          <w:rFonts w:ascii="Gill Sans MT" w:hAnsi="Gill Sans MT"/>
          <w:sz w:val="20"/>
          <w:lang w:val="en-GB"/>
        </w:rPr>
        <w:t>technical assistance (namely national expertise) is widely provided as a support to the implementation of the innovative programmes and, in some cases, as an accompanying parallel measure linked to the TDCA</w:t>
      </w:r>
      <w:r w:rsidR="000C1020" w:rsidRPr="004C37A3">
        <w:rPr>
          <w:rFonts w:ascii="Gill Sans MT" w:hAnsi="Gill Sans MT"/>
          <w:sz w:val="20"/>
          <w:lang w:val="en-GB"/>
        </w:rPr>
        <w:t xml:space="preserve"> </w:t>
      </w:r>
      <w:r w:rsidR="000C1020">
        <w:rPr>
          <w:rFonts w:ascii="Gill Sans MT" w:hAnsi="Gill Sans MT"/>
          <w:sz w:val="20"/>
          <w:lang w:val="en-GB"/>
        </w:rPr>
        <w:t xml:space="preserve">partnership framework. In the latter case, international TA is used </w:t>
      </w:r>
      <w:r>
        <w:rPr>
          <w:rFonts w:ascii="Gill Sans MT" w:hAnsi="Gill Sans MT"/>
          <w:sz w:val="20"/>
          <w:lang w:val="en-GB"/>
        </w:rPr>
        <w:t>but</w:t>
      </w:r>
      <w:r w:rsidR="000C1020">
        <w:rPr>
          <w:rFonts w:ascii="Gill Sans MT" w:hAnsi="Gill Sans MT"/>
          <w:sz w:val="20"/>
          <w:lang w:val="en-GB"/>
        </w:rPr>
        <w:t xml:space="preserve"> generally </w:t>
      </w:r>
      <w:r>
        <w:rPr>
          <w:rFonts w:ascii="Gill Sans MT" w:hAnsi="Gill Sans MT"/>
          <w:sz w:val="20"/>
          <w:lang w:val="en-GB"/>
        </w:rPr>
        <w:t xml:space="preserve">rather </w:t>
      </w:r>
      <w:r>
        <w:rPr>
          <w:rFonts w:ascii="Gill Sans MT" w:hAnsi="Gill Sans MT"/>
          <w:sz w:val="20"/>
          <w:lang w:val="en-GB"/>
        </w:rPr>
        <w:lastRenderedPageBreak/>
        <w:t xml:space="preserve">less than in Tunisia and Morocco. </w:t>
      </w:r>
      <w:r w:rsidR="00396546">
        <w:rPr>
          <w:rFonts w:ascii="Gill Sans MT" w:hAnsi="Gill Sans MT"/>
          <w:sz w:val="20"/>
          <w:lang w:val="en-GB"/>
        </w:rPr>
        <w:t xml:space="preserve">Overall, the relative importance of TA/ CD inputs is significantly greater in the MICs. </w:t>
      </w:r>
    </w:p>
    <w:p w14:paraId="38A86895" w14:textId="77777777" w:rsidR="00DB0726" w:rsidRDefault="00924B03" w:rsidP="00DB0726">
      <w:pPr>
        <w:pStyle w:val="Heading3"/>
      </w:pPr>
      <w:r>
        <w:t xml:space="preserve">(ii) </w:t>
      </w:r>
      <w:r w:rsidR="00DB0726">
        <w:t xml:space="preserve">Quality of implementation frameworks: a) Predictable financing </w:t>
      </w:r>
    </w:p>
    <w:p w14:paraId="2FC0E902" w14:textId="77777777" w:rsidR="00DB0726" w:rsidRDefault="00DB0726" w:rsidP="00DB0726">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We stressed in Chapter 2 the importance of predictable disbursements for budget support in LI</w:t>
      </w:r>
      <w:r w:rsidR="00116B38">
        <w:rPr>
          <w:rFonts w:ascii="Gill Sans MT" w:hAnsi="Gill Sans MT"/>
          <w:sz w:val="20"/>
          <w:lang w:val="en-GB"/>
        </w:rPr>
        <w:t xml:space="preserve">Cs. This is especially </w:t>
      </w:r>
      <w:r>
        <w:rPr>
          <w:rFonts w:ascii="Gill Sans MT" w:hAnsi="Gill Sans MT"/>
          <w:sz w:val="20"/>
          <w:lang w:val="en-GB"/>
        </w:rPr>
        <w:t>because of the relative scale of budget support fu</w:t>
      </w:r>
      <w:r w:rsidR="00DF7A6A">
        <w:rPr>
          <w:rFonts w:ascii="Gill Sans MT" w:hAnsi="Gill Sans MT"/>
          <w:sz w:val="20"/>
          <w:lang w:val="en-GB"/>
        </w:rPr>
        <w:t xml:space="preserve">nding in LICs and </w:t>
      </w:r>
      <w:r w:rsidR="00116B38">
        <w:rPr>
          <w:rFonts w:ascii="Gill Sans MT" w:hAnsi="Gill Sans MT"/>
          <w:sz w:val="20"/>
          <w:lang w:val="en-GB"/>
        </w:rPr>
        <w:t xml:space="preserve">because for </w:t>
      </w:r>
      <w:r>
        <w:rPr>
          <w:rFonts w:ascii="Gill Sans MT" w:hAnsi="Gill Sans MT"/>
          <w:sz w:val="20"/>
          <w:lang w:val="en-GB"/>
        </w:rPr>
        <w:t>many LICs the range of financing opti</w:t>
      </w:r>
      <w:r w:rsidR="00116B38">
        <w:rPr>
          <w:rFonts w:ascii="Gill Sans MT" w:hAnsi="Gill Sans MT"/>
          <w:sz w:val="20"/>
          <w:lang w:val="en-GB"/>
        </w:rPr>
        <w:t xml:space="preserve">ons available </w:t>
      </w:r>
      <w:r>
        <w:rPr>
          <w:rFonts w:ascii="Gill Sans MT" w:hAnsi="Gill Sans MT"/>
          <w:sz w:val="20"/>
          <w:lang w:val="en-GB"/>
        </w:rPr>
        <w:t>to cover cash shortfalls during budget execu</w:t>
      </w:r>
      <w:r w:rsidR="00396546">
        <w:rPr>
          <w:rFonts w:ascii="Gill Sans MT" w:hAnsi="Gill Sans MT"/>
          <w:sz w:val="20"/>
          <w:lang w:val="en-GB"/>
        </w:rPr>
        <w:t>tion is limited.</w:t>
      </w:r>
      <w:r>
        <w:rPr>
          <w:rFonts w:ascii="Gill Sans MT" w:hAnsi="Gill Sans MT"/>
          <w:sz w:val="20"/>
          <w:lang w:val="en-GB"/>
        </w:rPr>
        <w:t xml:space="preserve"> In MICs, these concerns are of much less relevance.</w:t>
      </w:r>
    </w:p>
    <w:p w14:paraId="16B7B324" w14:textId="77777777" w:rsidR="00DB0726" w:rsidRDefault="00DB0726" w:rsidP="00DB0726">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In the three MICs, total annual disbursements are relatively consistent with the projected value of disbursements, and are generally reported to show a higher level of predictability than other modalities. The timing of disbursements within year tends to be rather more variable but for the reasons outlined above, this has not proven to be a significant problem.</w:t>
      </w:r>
    </w:p>
    <w:p w14:paraId="20603583" w14:textId="77777777" w:rsidR="00DB0726" w:rsidRPr="00A01668" w:rsidRDefault="00924B03" w:rsidP="00DB0726">
      <w:pPr>
        <w:pStyle w:val="Heading3"/>
      </w:pPr>
      <w:r>
        <w:t xml:space="preserve">(ii) </w:t>
      </w:r>
      <w:r w:rsidR="00DB0726">
        <w:t xml:space="preserve">Implementation frameworks: b) Harmonised delivery structures </w:t>
      </w:r>
    </w:p>
    <w:p w14:paraId="25F1965E" w14:textId="77777777" w:rsidR="00DB0726" w:rsidRDefault="00DB0726" w:rsidP="00DB0726">
      <w:pPr>
        <w:pStyle w:val="BodyText"/>
        <w:numPr>
          <w:ilvl w:val="0"/>
          <w:numId w:val="2"/>
        </w:numPr>
        <w:spacing w:line="360" w:lineRule="auto"/>
        <w:ind w:left="499" w:hanging="357"/>
        <w:rPr>
          <w:rFonts w:ascii="Gill Sans MT" w:hAnsi="Gill Sans MT"/>
          <w:sz w:val="20"/>
          <w:lang w:val="en-GB"/>
        </w:rPr>
      </w:pPr>
      <w:r w:rsidRPr="007B4DF5">
        <w:rPr>
          <w:rFonts w:ascii="Gill Sans MT" w:hAnsi="Gill Sans MT"/>
          <w:b/>
          <w:sz w:val="20"/>
          <w:lang w:val="en-GB"/>
        </w:rPr>
        <w:t>In general, the degree of attention devoted to the task of harmonising budget support delivery processes across providers is less in the MICs than in the LICs.</w:t>
      </w:r>
      <w:r>
        <w:rPr>
          <w:rFonts w:ascii="Gill Sans MT" w:hAnsi="Gill Sans MT"/>
          <w:sz w:val="20"/>
          <w:lang w:val="en-GB"/>
        </w:rPr>
        <w:t xml:space="preserve"> This is in part because there are </w:t>
      </w:r>
      <w:r w:rsidR="00B12F05">
        <w:rPr>
          <w:rFonts w:ascii="Gill Sans MT" w:hAnsi="Gill Sans MT"/>
          <w:sz w:val="20"/>
          <w:lang w:val="en-GB"/>
        </w:rPr>
        <w:t>fewer</w:t>
      </w:r>
      <w:r>
        <w:rPr>
          <w:rFonts w:ascii="Gill Sans MT" w:hAnsi="Gill Sans MT"/>
          <w:sz w:val="20"/>
          <w:lang w:val="en-GB"/>
        </w:rPr>
        <w:t xml:space="preserve"> providers and therefore the need for harmonisati</w:t>
      </w:r>
      <w:r w:rsidR="007B4DF5">
        <w:rPr>
          <w:rFonts w:ascii="Gill Sans MT" w:hAnsi="Gill Sans MT"/>
          <w:sz w:val="20"/>
          <w:lang w:val="en-GB"/>
        </w:rPr>
        <w:t>on is not so urgently perceived;</w:t>
      </w:r>
      <w:r>
        <w:rPr>
          <w:rFonts w:ascii="Gill Sans MT" w:hAnsi="Gill Sans MT"/>
          <w:sz w:val="20"/>
          <w:lang w:val="en-GB"/>
        </w:rPr>
        <w:t xml:space="preserve"> and in part it is because budget support is not generally conceived as a programme of support to a single unified national development strategy but rather as a method of supporting discrete reforms</w:t>
      </w:r>
      <w:r w:rsidR="00520500">
        <w:rPr>
          <w:rFonts w:ascii="Gill Sans MT" w:hAnsi="Gill Sans MT"/>
          <w:sz w:val="20"/>
          <w:lang w:val="en-GB"/>
        </w:rPr>
        <w:t xml:space="preserve"> in different sectors</w:t>
      </w:r>
      <w:r>
        <w:rPr>
          <w:rFonts w:ascii="Gill Sans MT" w:hAnsi="Gill Sans MT"/>
          <w:sz w:val="20"/>
          <w:lang w:val="en-GB"/>
        </w:rPr>
        <w:t>.</w:t>
      </w:r>
      <w:r w:rsidR="00520500">
        <w:rPr>
          <w:rFonts w:ascii="Gill Sans MT" w:hAnsi="Gill Sans MT"/>
          <w:sz w:val="20"/>
          <w:lang w:val="en-GB"/>
        </w:rPr>
        <w:t xml:space="preserve"> </w:t>
      </w:r>
      <w:r w:rsidR="00065008">
        <w:rPr>
          <w:rFonts w:ascii="Gill Sans MT" w:hAnsi="Gill Sans MT"/>
          <w:sz w:val="20"/>
          <w:lang w:val="en-GB"/>
        </w:rPr>
        <w:t xml:space="preserve">The demand from Government therefore tends to be for discrete SBS operations rather than for unified design and assessment processes coordinated across the different operations. </w:t>
      </w:r>
    </w:p>
    <w:p w14:paraId="40225B55" w14:textId="77777777" w:rsidR="00DB0726" w:rsidRDefault="00DB0726" w:rsidP="00DB0726">
      <w:pPr>
        <w:pStyle w:val="BodyText"/>
        <w:numPr>
          <w:ilvl w:val="0"/>
          <w:numId w:val="2"/>
        </w:numPr>
        <w:spacing w:line="360" w:lineRule="auto"/>
        <w:ind w:left="499" w:hanging="357"/>
        <w:rPr>
          <w:rFonts w:ascii="Gill Sans MT" w:hAnsi="Gill Sans MT"/>
          <w:sz w:val="20"/>
          <w:lang w:val="en-GB"/>
        </w:rPr>
      </w:pPr>
      <w:r w:rsidRPr="007B4DF5">
        <w:rPr>
          <w:rFonts w:ascii="Gill Sans MT" w:hAnsi="Gill Sans MT"/>
          <w:sz w:val="20"/>
          <w:lang w:val="en-GB"/>
        </w:rPr>
        <w:t>Bud</w:t>
      </w:r>
      <w:r w:rsidR="00D47139">
        <w:rPr>
          <w:rFonts w:ascii="Gill Sans MT" w:hAnsi="Gill Sans MT"/>
          <w:sz w:val="20"/>
          <w:lang w:val="en-GB"/>
        </w:rPr>
        <w:t xml:space="preserve">get support in Morocco reflects this more limited scope of </w:t>
      </w:r>
      <w:r w:rsidRPr="007B4DF5">
        <w:rPr>
          <w:rFonts w:ascii="Gill Sans MT" w:hAnsi="Gill Sans MT"/>
          <w:sz w:val="20"/>
          <w:lang w:val="en-GB"/>
        </w:rPr>
        <w:t>harmonisation.</w:t>
      </w:r>
      <w:r>
        <w:rPr>
          <w:rFonts w:ascii="Gill Sans MT" w:hAnsi="Gill Sans MT"/>
          <w:sz w:val="20"/>
          <w:lang w:val="en-GB"/>
        </w:rPr>
        <w:t xml:space="preserve"> Fully harmonised matrices of disbursement conditions exist only for the SBSs in the </w:t>
      </w:r>
      <w:proofErr w:type="gramStart"/>
      <w:r>
        <w:rPr>
          <w:rFonts w:ascii="Gill Sans MT" w:hAnsi="Gill Sans MT"/>
          <w:sz w:val="20"/>
          <w:lang w:val="en-GB"/>
        </w:rPr>
        <w:t>Financial</w:t>
      </w:r>
      <w:proofErr w:type="gramEnd"/>
      <w:r w:rsidR="00520500">
        <w:rPr>
          <w:rFonts w:ascii="Gill Sans MT" w:hAnsi="Gill Sans MT"/>
          <w:sz w:val="20"/>
          <w:lang w:val="en-GB"/>
        </w:rPr>
        <w:t xml:space="preserve"> sector and Public Governance</w:t>
      </w:r>
      <w:r>
        <w:rPr>
          <w:rStyle w:val="FootnoteReference"/>
          <w:rFonts w:ascii="Gill Sans MT" w:hAnsi="Gill Sans MT"/>
          <w:sz w:val="20"/>
          <w:lang w:val="en-GB"/>
        </w:rPr>
        <w:footnoteReference w:id="41"/>
      </w:r>
      <w:r>
        <w:rPr>
          <w:rFonts w:ascii="Gill Sans MT" w:hAnsi="Gill Sans MT"/>
          <w:sz w:val="20"/>
          <w:lang w:val="en-GB"/>
        </w:rPr>
        <w:t>, which also have a framework for joint preparation and monitoring missions. In education and health, there is a history of cooperation between DPs so that the different SBS programmes are broadly coherent with each other and with the national sector strategy. However, reflecting the fragmented management structures for these sectors, the disbursement conditions, dialogue structures and technical assistance for the individual SBS operations are focused on specific sub-sectors, programmes or regions. In other sectors, the SBS arrangements are effectively stand-alone operations managed independently from one anot</w:t>
      </w:r>
      <w:r w:rsidR="00ED7844">
        <w:rPr>
          <w:rFonts w:ascii="Gill Sans MT" w:hAnsi="Gill Sans MT"/>
          <w:sz w:val="20"/>
          <w:lang w:val="en-GB"/>
        </w:rPr>
        <w:t xml:space="preserve">her.  The evaluation recommends that donors should put in place common frameworks for the </w:t>
      </w:r>
      <w:r w:rsidR="00DF7A6A">
        <w:rPr>
          <w:rFonts w:ascii="Gill Sans MT" w:hAnsi="Gill Sans MT"/>
          <w:sz w:val="20"/>
          <w:lang w:val="en-GB"/>
        </w:rPr>
        <w:t>full programme cycle (</w:t>
      </w:r>
      <w:r w:rsidR="00DC7A78">
        <w:rPr>
          <w:rFonts w:ascii="Gill Sans MT" w:hAnsi="Gill Sans MT"/>
          <w:sz w:val="20"/>
          <w:lang w:val="en-GB"/>
        </w:rPr>
        <w:t xml:space="preserve">design, </w:t>
      </w:r>
      <w:r w:rsidR="00ED7844">
        <w:rPr>
          <w:rFonts w:ascii="Gill Sans MT" w:hAnsi="Gill Sans MT"/>
          <w:sz w:val="20"/>
          <w:lang w:val="en-GB"/>
        </w:rPr>
        <w:t>management</w:t>
      </w:r>
      <w:r w:rsidR="00DF7A6A">
        <w:rPr>
          <w:rFonts w:ascii="Gill Sans MT" w:hAnsi="Gill Sans MT"/>
          <w:sz w:val="20"/>
          <w:lang w:val="en-GB"/>
        </w:rPr>
        <w:t xml:space="preserve">, </w:t>
      </w:r>
      <w:r w:rsidR="00DC7A78">
        <w:rPr>
          <w:rFonts w:ascii="Gill Sans MT" w:hAnsi="Gill Sans MT"/>
          <w:sz w:val="20"/>
          <w:lang w:val="en-GB"/>
        </w:rPr>
        <w:t>monitoring</w:t>
      </w:r>
      <w:r w:rsidR="00DF7A6A">
        <w:rPr>
          <w:rFonts w:ascii="Gill Sans MT" w:hAnsi="Gill Sans MT"/>
          <w:sz w:val="20"/>
          <w:lang w:val="en-GB"/>
        </w:rPr>
        <w:t xml:space="preserve">, evaluation) </w:t>
      </w:r>
      <w:r w:rsidR="00DC7A78">
        <w:rPr>
          <w:rFonts w:ascii="Gill Sans MT" w:hAnsi="Gill Sans MT"/>
          <w:sz w:val="20"/>
          <w:lang w:val="en-GB"/>
        </w:rPr>
        <w:t xml:space="preserve">of SBS operations; it also </w:t>
      </w:r>
      <w:r>
        <w:rPr>
          <w:rFonts w:ascii="Gill Sans MT" w:hAnsi="Gill Sans MT"/>
          <w:sz w:val="20"/>
          <w:lang w:val="en-GB"/>
        </w:rPr>
        <w:t>recommends putting a stop to</w:t>
      </w:r>
      <w:r w:rsidR="00DF7A6A">
        <w:rPr>
          <w:rFonts w:ascii="Gill Sans MT" w:hAnsi="Gill Sans MT"/>
          <w:sz w:val="20"/>
          <w:lang w:val="en-GB"/>
        </w:rPr>
        <w:t xml:space="preserve"> “sub-sectoral budget support”.</w:t>
      </w:r>
    </w:p>
    <w:p w14:paraId="011694CA" w14:textId="77777777" w:rsidR="00DB0726" w:rsidRDefault="00DB0726" w:rsidP="00DB0726">
      <w:pPr>
        <w:pStyle w:val="BodyText"/>
        <w:numPr>
          <w:ilvl w:val="0"/>
          <w:numId w:val="2"/>
        </w:numPr>
        <w:spacing w:line="360" w:lineRule="auto"/>
        <w:ind w:left="499" w:hanging="357"/>
        <w:rPr>
          <w:rFonts w:ascii="Gill Sans MT" w:hAnsi="Gill Sans MT"/>
          <w:sz w:val="20"/>
          <w:lang w:val="en-GB"/>
        </w:rPr>
      </w:pPr>
      <w:r w:rsidRPr="00EC00E0">
        <w:rPr>
          <w:rFonts w:ascii="Gill Sans MT" w:hAnsi="Gill Sans MT"/>
          <w:sz w:val="20"/>
          <w:lang w:val="en-GB"/>
        </w:rPr>
        <w:t>In Tunisia, a more harmonised framework has been established focused around the national programme of structural reforms to liberalise the economy and promote trade.</w:t>
      </w:r>
      <w:r>
        <w:rPr>
          <w:rFonts w:ascii="Gill Sans MT" w:hAnsi="Gill Sans MT"/>
          <w:sz w:val="20"/>
          <w:lang w:val="en-GB"/>
        </w:rPr>
        <w:t xml:space="preserve"> The framework for delivery of GBS is fully harmonised between the three providers, and this has served to </w:t>
      </w:r>
      <w:r>
        <w:rPr>
          <w:rFonts w:ascii="Gill Sans MT" w:hAnsi="Gill Sans MT"/>
          <w:sz w:val="20"/>
          <w:lang w:val="en-GB"/>
        </w:rPr>
        <w:lastRenderedPageBreak/>
        <w:t xml:space="preserve">reduce transaction costs considerably. The quality of coordination at the sector level is less strong however. The EU provide the only SBS arrangements in </w:t>
      </w:r>
      <w:r w:rsidR="005C23FD">
        <w:rPr>
          <w:rFonts w:ascii="Gill Sans MT" w:hAnsi="Gill Sans MT"/>
          <w:sz w:val="20"/>
          <w:lang w:val="en-GB"/>
        </w:rPr>
        <w:t xml:space="preserve">Secondary &amp; </w:t>
      </w:r>
      <w:r>
        <w:rPr>
          <w:rFonts w:ascii="Gill Sans MT" w:hAnsi="Gill Sans MT"/>
          <w:sz w:val="20"/>
          <w:lang w:val="en-GB"/>
        </w:rPr>
        <w:t>Higher Education and Vocational Training but the sector frameworks to coordinate these SBSs with interventions financed through project and common basket f</w:t>
      </w:r>
      <w:r w:rsidR="005F6163">
        <w:rPr>
          <w:rFonts w:ascii="Gill Sans MT" w:hAnsi="Gill Sans MT"/>
          <w:sz w:val="20"/>
          <w:lang w:val="en-GB"/>
        </w:rPr>
        <w:t xml:space="preserve">unds are </w:t>
      </w:r>
      <w:r w:rsidR="00481D54">
        <w:rPr>
          <w:rFonts w:ascii="Gill Sans MT" w:hAnsi="Gill Sans MT"/>
          <w:sz w:val="20"/>
          <w:lang w:val="en-GB"/>
        </w:rPr>
        <w:t xml:space="preserve">reported </w:t>
      </w:r>
      <w:r w:rsidR="005F6163">
        <w:rPr>
          <w:rFonts w:ascii="Gill Sans MT" w:hAnsi="Gill Sans MT"/>
          <w:sz w:val="20"/>
          <w:lang w:val="en-GB"/>
        </w:rPr>
        <w:t xml:space="preserve">not </w:t>
      </w:r>
      <w:r w:rsidR="00481D54">
        <w:rPr>
          <w:rFonts w:ascii="Gill Sans MT" w:hAnsi="Gill Sans MT"/>
          <w:sz w:val="20"/>
          <w:lang w:val="en-GB"/>
        </w:rPr>
        <w:t xml:space="preserve">to be </w:t>
      </w:r>
      <w:r w:rsidR="005F6163">
        <w:rPr>
          <w:rFonts w:ascii="Gill Sans MT" w:hAnsi="Gill Sans MT"/>
          <w:sz w:val="20"/>
          <w:lang w:val="en-GB"/>
        </w:rPr>
        <w:t>working efficiently</w:t>
      </w:r>
      <w:r w:rsidR="005C23FD">
        <w:rPr>
          <w:rFonts w:ascii="Gill Sans MT" w:hAnsi="Gill Sans MT"/>
          <w:sz w:val="20"/>
          <w:lang w:val="en-GB"/>
        </w:rPr>
        <w:t xml:space="preserve">, </w:t>
      </w:r>
      <w:r w:rsidR="005C23FD" w:rsidRPr="005C23FD">
        <w:rPr>
          <w:rFonts w:ascii="Gill Sans MT" w:hAnsi="Gill Sans MT"/>
          <w:sz w:val="20"/>
          <w:lang w:val="en-GB"/>
        </w:rPr>
        <w:t>as t</w:t>
      </w:r>
      <w:r w:rsidR="00561D29">
        <w:rPr>
          <w:rFonts w:ascii="Gill Sans MT" w:hAnsi="Gill Sans MT"/>
          <w:sz w:val="20"/>
          <w:lang w:val="en-GB"/>
        </w:rPr>
        <w:t xml:space="preserve">he government does not </w:t>
      </w:r>
      <w:r w:rsidR="005C23FD" w:rsidRPr="005C23FD">
        <w:rPr>
          <w:rFonts w:ascii="Gill Sans MT" w:hAnsi="Gill Sans MT"/>
          <w:sz w:val="20"/>
          <w:lang w:val="en-GB"/>
        </w:rPr>
        <w:t>promote sector dialogue among the partners</w:t>
      </w:r>
      <w:r w:rsidR="005C23FD">
        <w:rPr>
          <w:rFonts w:ascii="Gill Sans MT" w:hAnsi="Gill Sans MT"/>
          <w:sz w:val="20"/>
          <w:lang w:val="en-GB"/>
        </w:rPr>
        <w:t>.</w:t>
      </w:r>
    </w:p>
    <w:p w14:paraId="5A56B2BE" w14:textId="77777777" w:rsidR="00DB0726" w:rsidRDefault="00DB0726" w:rsidP="00DB0726">
      <w:pPr>
        <w:pStyle w:val="BodyText"/>
        <w:numPr>
          <w:ilvl w:val="0"/>
          <w:numId w:val="2"/>
        </w:numPr>
        <w:spacing w:line="360" w:lineRule="auto"/>
        <w:ind w:left="499" w:hanging="357"/>
        <w:rPr>
          <w:rFonts w:ascii="Gill Sans MT" w:hAnsi="Gill Sans MT"/>
          <w:sz w:val="20"/>
          <w:lang w:val="en-GB"/>
        </w:rPr>
      </w:pPr>
      <w:r w:rsidRPr="00561D29">
        <w:rPr>
          <w:rFonts w:ascii="Gill Sans MT" w:hAnsi="Gill Sans MT"/>
          <w:sz w:val="20"/>
          <w:lang w:val="en-GB"/>
        </w:rPr>
        <w:t>In South Africa, the government initiative to use the Reconstruction &amp; Development Programme (RDP) Fund as the means by which to channel budget s</w:t>
      </w:r>
      <w:r w:rsidR="00065008" w:rsidRPr="00561D29">
        <w:rPr>
          <w:rFonts w:ascii="Gill Sans MT" w:hAnsi="Gill Sans MT"/>
          <w:sz w:val="20"/>
          <w:lang w:val="en-GB"/>
        </w:rPr>
        <w:t>upport and other aid has largely</w:t>
      </w:r>
      <w:r w:rsidRPr="00561D29">
        <w:rPr>
          <w:rFonts w:ascii="Gill Sans MT" w:hAnsi="Gill Sans MT"/>
          <w:sz w:val="20"/>
          <w:lang w:val="en-GB"/>
        </w:rPr>
        <w:t xml:space="preserve"> solved the harmonisation problem.</w:t>
      </w:r>
      <w:r>
        <w:rPr>
          <w:rFonts w:ascii="Gill Sans MT" w:hAnsi="Gill Sans MT"/>
          <w:b/>
          <w:sz w:val="20"/>
          <w:lang w:val="en-GB"/>
        </w:rPr>
        <w:t xml:space="preserve"> </w:t>
      </w:r>
      <w:r w:rsidR="007B4DF5">
        <w:rPr>
          <w:rFonts w:ascii="Gill Sans MT" w:hAnsi="Gill Sans MT"/>
          <w:sz w:val="20"/>
          <w:lang w:val="en-GB"/>
        </w:rPr>
        <w:t>The fact that the EU is the only budget support provider considerably simplifies harmonisation across SBS operations. A</w:t>
      </w:r>
      <w:r w:rsidRPr="00542A50">
        <w:rPr>
          <w:rFonts w:ascii="Gill Sans MT" w:hAnsi="Gill Sans MT"/>
          <w:sz w:val="20"/>
          <w:lang w:val="en-GB"/>
        </w:rPr>
        <w:t xml:space="preserve"> small number o</w:t>
      </w:r>
      <w:r w:rsidR="007B4DF5">
        <w:rPr>
          <w:rFonts w:ascii="Gill Sans MT" w:hAnsi="Gill Sans MT"/>
          <w:sz w:val="20"/>
          <w:lang w:val="en-GB"/>
        </w:rPr>
        <w:t xml:space="preserve">f technical assistance </w:t>
      </w:r>
      <w:r w:rsidRPr="00542A50">
        <w:rPr>
          <w:rFonts w:ascii="Gill Sans MT" w:hAnsi="Gill Sans MT"/>
          <w:sz w:val="20"/>
          <w:lang w:val="en-GB"/>
        </w:rPr>
        <w:t>and o</w:t>
      </w:r>
      <w:r>
        <w:rPr>
          <w:rFonts w:ascii="Gill Sans MT" w:hAnsi="Gill Sans MT"/>
          <w:sz w:val="20"/>
          <w:lang w:val="en-GB"/>
        </w:rPr>
        <w:t>w</w:t>
      </w:r>
      <w:r w:rsidR="007B4DF5">
        <w:rPr>
          <w:rFonts w:ascii="Gill Sans MT" w:hAnsi="Gill Sans MT"/>
          <w:sz w:val="20"/>
          <w:lang w:val="en-GB"/>
        </w:rPr>
        <w:t xml:space="preserve">n-managed development projects remain </w:t>
      </w:r>
      <w:r w:rsidRPr="00542A50">
        <w:rPr>
          <w:rFonts w:ascii="Gill Sans MT" w:hAnsi="Gill Sans MT"/>
          <w:sz w:val="20"/>
          <w:lang w:val="en-GB"/>
        </w:rPr>
        <w:t xml:space="preserve">outside of </w:t>
      </w:r>
      <w:r w:rsidR="007B4DF5">
        <w:rPr>
          <w:rFonts w:ascii="Gill Sans MT" w:hAnsi="Gill Sans MT"/>
          <w:sz w:val="20"/>
          <w:lang w:val="en-GB"/>
        </w:rPr>
        <w:t>the RDP f</w:t>
      </w:r>
      <w:r w:rsidRPr="00542A50">
        <w:rPr>
          <w:rFonts w:ascii="Gill Sans MT" w:hAnsi="Gill Sans MT"/>
          <w:sz w:val="20"/>
          <w:lang w:val="en-GB"/>
        </w:rPr>
        <w:t xml:space="preserve">ramework </w:t>
      </w:r>
      <w:r>
        <w:rPr>
          <w:rFonts w:ascii="Gill Sans MT" w:hAnsi="Gill Sans MT"/>
          <w:sz w:val="20"/>
          <w:lang w:val="en-GB"/>
        </w:rPr>
        <w:t>but they rep</w:t>
      </w:r>
      <w:r w:rsidR="00065008">
        <w:rPr>
          <w:rFonts w:ascii="Gill Sans MT" w:hAnsi="Gill Sans MT"/>
          <w:sz w:val="20"/>
          <w:lang w:val="en-GB"/>
        </w:rPr>
        <w:t>resent a minority of total ODA.</w:t>
      </w:r>
      <w:r w:rsidR="007B4DF5">
        <w:rPr>
          <w:rFonts w:ascii="Gill Sans MT" w:hAnsi="Gill Sans MT"/>
          <w:sz w:val="20"/>
          <w:lang w:val="en-GB"/>
        </w:rPr>
        <w:t xml:space="preserve"> </w:t>
      </w:r>
    </w:p>
    <w:p w14:paraId="4B14070E" w14:textId="77777777" w:rsidR="00DB0726" w:rsidRDefault="00924B03" w:rsidP="00DB0726">
      <w:pPr>
        <w:pStyle w:val="Heading3"/>
      </w:pPr>
      <w:r>
        <w:t xml:space="preserve">(ii) </w:t>
      </w:r>
      <w:r w:rsidR="00DB0726">
        <w:t xml:space="preserve">Implementation frameworks: c) the framework for policy dialogue </w:t>
      </w:r>
    </w:p>
    <w:p w14:paraId="5A5F75D5" w14:textId="77777777" w:rsidR="00DB0726" w:rsidRDefault="00DB0726" w:rsidP="00DB0726">
      <w:pPr>
        <w:pStyle w:val="BodyText"/>
        <w:numPr>
          <w:ilvl w:val="0"/>
          <w:numId w:val="2"/>
        </w:numPr>
        <w:spacing w:line="360" w:lineRule="auto"/>
        <w:ind w:left="499" w:hanging="357"/>
        <w:rPr>
          <w:rFonts w:ascii="Gill Sans MT" w:hAnsi="Gill Sans MT"/>
          <w:sz w:val="20"/>
          <w:lang w:val="en-GB"/>
        </w:rPr>
      </w:pPr>
      <w:r w:rsidRPr="00094E96">
        <w:rPr>
          <w:rFonts w:ascii="Gill Sans MT" w:hAnsi="Gill Sans MT"/>
          <w:sz w:val="20"/>
          <w:lang w:val="en-GB"/>
        </w:rPr>
        <w:t>As we noted in Chapter 2, the opportunity for constructive policy dialogue between government and the budget support providers is perceived as one of the critical advantages of the modality. How may we assess the quality of the mechanisms created for this purpose in the MICs? The experience of the three countries is in fact quite varied:</w:t>
      </w:r>
    </w:p>
    <w:p w14:paraId="1B384CBD" w14:textId="77777777" w:rsidR="00911D12" w:rsidRPr="00F746C7" w:rsidRDefault="00DB0726" w:rsidP="00D81DB3">
      <w:pPr>
        <w:pStyle w:val="BodyText"/>
        <w:numPr>
          <w:ilvl w:val="0"/>
          <w:numId w:val="31"/>
        </w:numPr>
        <w:spacing w:line="360" w:lineRule="auto"/>
        <w:rPr>
          <w:rFonts w:ascii="Gill Sans MT" w:hAnsi="Gill Sans MT"/>
          <w:sz w:val="20"/>
          <w:lang w:val="en-GB"/>
        </w:rPr>
      </w:pPr>
      <w:r w:rsidRPr="00553381">
        <w:rPr>
          <w:rFonts w:ascii="Gill Sans MT" w:hAnsi="Gill Sans MT"/>
          <w:b/>
          <w:sz w:val="20"/>
          <w:lang w:val="en-GB"/>
        </w:rPr>
        <w:t>Tunisia</w:t>
      </w:r>
      <w:r>
        <w:rPr>
          <w:rFonts w:ascii="Gill Sans MT" w:hAnsi="Gill Sans MT"/>
          <w:sz w:val="20"/>
          <w:lang w:val="en-GB"/>
        </w:rPr>
        <w:t xml:space="preserve"> provides an excellent example of a comprehensive framework for policy dialogue</w:t>
      </w:r>
      <w:r w:rsidR="00314CF8">
        <w:rPr>
          <w:rFonts w:ascii="Gill Sans MT" w:hAnsi="Gill Sans MT"/>
          <w:sz w:val="20"/>
          <w:lang w:val="en-GB"/>
        </w:rPr>
        <w:t xml:space="preserve"> within the GBS arrangements, but displays weaker structures for SBS. GBS dialogue</w:t>
      </w:r>
      <w:r>
        <w:rPr>
          <w:rFonts w:ascii="Gill Sans MT" w:hAnsi="Gill Sans MT"/>
          <w:sz w:val="20"/>
          <w:lang w:val="en-GB"/>
        </w:rPr>
        <w:t xml:space="preserve"> is linked to the long-term partnership established through the Association Agreement between the EU and Tunisia, which has created a </w:t>
      </w:r>
      <w:r w:rsidRPr="000C3D3B">
        <w:rPr>
          <w:rFonts w:ascii="Gill Sans MT" w:hAnsi="Gill Sans MT"/>
          <w:i/>
          <w:sz w:val="20"/>
          <w:lang w:val="en-GB"/>
        </w:rPr>
        <w:t>‘framework of strategic coherence within which international technical and financial cooperation has taken place</w:t>
      </w:r>
      <w:r>
        <w:rPr>
          <w:rFonts w:ascii="Gill Sans MT" w:hAnsi="Gill Sans MT"/>
          <w:sz w:val="20"/>
          <w:lang w:val="en-GB"/>
        </w:rPr>
        <w:t xml:space="preserve">’. (DRN, 2011) Institutionalised dialogue frameworks at the level of the AA have permitted high-level discussion of the scope and objectives of the national programme of reforms, while </w:t>
      </w:r>
      <w:r w:rsidR="00314CF8">
        <w:rPr>
          <w:rFonts w:ascii="Gill Sans MT" w:hAnsi="Gill Sans MT"/>
          <w:sz w:val="20"/>
          <w:lang w:val="en-GB"/>
        </w:rPr>
        <w:t xml:space="preserve">GBS </w:t>
      </w:r>
      <w:r>
        <w:rPr>
          <w:rFonts w:ascii="Gill Sans MT" w:hAnsi="Gill Sans MT"/>
          <w:sz w:val="20"/>
          <w:lang w:val="en-GB"/>
        </w:rPr>
        <w:t xml:space="preserve">dialogue structures have permitted discussion of the details and sequencing of the specific measures required for each reform. These latter discussions have culminated in agreed matrices of actions and targets to be </w:t>
      </w:r>
      <w:r w:rsidR="00314CF8">
        <w:rPr>
          <w:rFonts w:ascii="Gill Sans MT" w:hAnsi="Gill Sans MT"/>
          <w:sz w:val="20"/>
          <w:lang w:val="en-GB"/>
        </w:rPr>
        <w:t xml:space="preserve">achieved, creating a </w:t>
      </w:r>
      <w:r>
        <w:rPr>
          <w:rFonts w:ascii="Gill Sans MT" w:hAnsi="Gill Sans MT"/>
          <w:sz w:val="20"/>
          <w:lang w:val="en-GB"/>
        </w:rPr>
        <w:t xml:space="preserve">framework for the monitoring of progress, while at the same time providing a mechanism of external discipline that has helped the government to overcome resistance to change. In </w:t>
      </w:r>
      <w:r w:rsidRPr="00911D12">
        <w:rPr>
          <w:rFonts w:ascii="Gill Sans MT" w:hAnsi="Gill Sans MT"/>
          <w:sz w:val="20"/>
          <w:lang w:val="en-GB"/>
        </w:rPr>
        <w:t xml:space="preserve">addition, technical assistance inputs have been provided to assist with the design and monitoring of these matrices, and also to undertake background studies to feed into </w:t>
      </w:r>
      <w:r w:rsidRPr="00F746C7">
        <w:rPr>
          <w:rFonts w:ascii="Gill Sans MT" w:hAnsi="Gill Sans MT"/>
          <w:sz w:val="20"/>
          <w:lang w:val="en-GB"/>
        </w:rPr>
        <w:t>and animate the policy discussions.</w:t>
      </w:r>
      <w:r w:rsidR="00F746C7" w:rsidRPr="00F746C7">
        <w:rPr>
          <w:rFonts w:ascii="Gill Sans MT" w:hAnsi="Gill Sans MT"/>
          <w:sz w:val="20"/>
          <w:lang w:val="en-GB"/>
        </w:rPr>
        <w:t xml:space="preserve"> In the education sector</w:t>
      </w:r>
      <w:r w:rsidR="00F746C7">
        <w:rPr>
          <w:rFonts w:ascii="Gill Sans MT" w:hAnsi="Gill Sans MT"/>
          <w:sz w:val="20"/>
          <w:lang w:val="en-GB"/>
        </w:rPr>
        <w:t>,</w:t>
      </w:r>
      <w:r w:rsidR="00F746C7" w:rsidRPr="00F746C7">
        <w:rPr>
          <w:rFonts w:ascii="Gill Sans MT" w:hAnsi="Gill Sans MT"/>
          <w:sz w:val="20"/>
          <w:lang w:val="en-GB"/>
        </w:rPr>
        <w:t xml:space="preserve"> however</w:t>
      </w:r>
      <w:r w:rsidR="00F746C7">
        <w:rPr>
          <w:rFonts w:ascii="Gill Sans MT" w:hAnsi="Gill Sans MT"/>
          <w:sz w:val="20"/>
          <w:lang w:val="en-GB"/>
        </w:rPr>
        <w:t>,</w:t>
      </w:r>
      <w:r w:rsidR="00F746C7" w:rsidRPr="00F746C7">
        <w:rPr>
          <w:rFonts w:ascii="Gill Sans MT" w:hAnsi="Gill Sans MT"/>
          <w:sz w:val="20"/>
          <w:lang w:val="en-GB"/>
        </w:rPr>
        <w:t xml:space="preserve"> the </w:t>
      </w:r>
      <w:r w:rsidR="00314CF8">
        <w:rPr>
          <w:rFonts w:ascii="Gill Sans MT" w:hAnsi="Gill Sans MT"/>
          <w:sz w:val="20"/>
          <w:lang w:val="en-GB"/>
        </w:rPr>
        <w:t xml:space="preserve">SBS </w:t>
      </w:r>
      <w:r w:rsidR="00F746C7" w:rsidRPr="00F746C7">
        <w:rPr>
          <w:rFonts w:ascii="Gill Sans MT" w:hAnsi="Gill Sans MT"/>
          <w:sz w:val="20"/>
          <w:lang w:val="en-GB"/>
        </w:rPr>
        <w:t xml:space="preserve">dialogue </w:t>
      </w:r>
      <w:r w:rsidR="003046AB">
        <w:rPr>
          <w:rFonts w:ascii="Gill Sans MT" w:hAnsi="Gill Sans MT"/>
          <w:sz w:val="20"/>
          <w:lang w:val="en-GB"/>
        </w:rPr>
        <w:t xml:space="preserve">has been limited </w:t>
      </w:r>
      <w:r w:rsidR="00F746C7" w:rsidRPr="00F746C7">
        <w:rPr>
          <w:rFonts w:ascii="Gill Sans MT" w:hAnsi="Gill Sans MT"/>
          <w:sz w:val="20"/>
          <w:lang w:val="en-GB"/>
        </w:rPr>
        <w:t>to specific technical issues, such as the inclusion of the MTEF in the s</w:t>
      </w:r>
      <w:r w:rsidR="003046AB">
        <w:rPr>
          <w:rFonts w:ascii="Gill Sans MT" w:hAnsi="Gill Sans MT"/>
          <w:sz w:val="20"/>
          <w:lang w:val="en-GB"/>
        </w:rPr>
        <w:t xml:space="preserve">ectoral budgeting process, and has not given attention to </w:t>
      </w:r>
      <w:r w:rsidR="00F746C7" w:rsidRPr="00F746C7">
        <w:rPr>
          <w:rFonts w:ascii="Gill Sans MT" w:hAnsi="Gill Sans MT"/>
          <w:sz w:val="20"/>
          <w:lang w:val="en-GB"/>
        </w:rPr>
        <w:t>the objectives and modalities of sector reform.</w:t>
      </w:r>
      <w:r w:rsidRPr="00F746C7">
        <w:rPr>
          <w:rFonts w:ascii="Gill Sans MT" w:hAnsi="Gill Sans MT"/>
          <w:sz w:val="20"/>
          <w:lang w:val="en-GB"/>
        </w:rPr>
        <w:t xml:space="preserve"> </w:t>
      </w:r>
    </w:p>
    <w:p w14:paraId="59E4B8C3" w14:textId="77777777" w:rsidR="00DB0726" w:rsidRPr="00911D12" w:rsidRDefault="00DB0726" w:rsidP="00D81DB3">
      <w:pPr>
        <w:pStyle w:val="BodyText"/>
        <w:numPr>
          <w:ilvl w:val="0"/>
          <w:numId w:val="31"/>
        </w:numPr>
        <w:spacing w:line="360" w:lineRule="auto"/>
        <w:rPr>
          <w:rFonts w:ascii="Gill Sans MT" w:hAnsi="Gill Sans MT"/>
          <w:sz w:val="20"/>
          <w:lang w:val="en-GB"/>
        </w:rPr>
      </w:pPr>
      <w:r w:rsidRPr="00911D12">
        <w:rPr>
          <w:rFonts w:ascii="Gill Sans MT" w:hAnsi="Gill Sans MT"/>
          <w:sz w:val="20"/>
          <w:lang w:val="en-GB"/>
        </w:rPr>
        <w:t>In principle, it should have been possible for</w:t>
      </w:r>
      <w:r w:rsidRPr="00911D12">
        <w:rPr>
          <w:rFonts w:ascii="Gill Sans MT" w:hAnsi="Gill Sans MT"/>
          <w:b/>
          <w:sz w:val="20"/>
          <w:lang w:val="en-GB"/>
        </w:rPr>
        <w:t xml:space="preserve"> Morocco </w:t>
      </w:r>
      <w:r w:rsidRPr="00911D12">
        <w:rPr>
          <w:rFonts w:ascii="Gill Sans MT" w:hAnsi="Gill Sans MT"/>
          <w:sz w:val="20"/>
          <w:lang w:val="en-GB"/>
        </w:rPr>
        <w:t>to adopt a similar framework to that of Tunisia</w:t>
      </w:r>
      <w:r w:rsidR="00314CF8">
        <w:rPr>
          <w:rFonts w:ascii="Gill Sans MT" w:hAnsi="Gill Sans MT"/>
          <w:sz w:val="20"/>
          <w:lang w:val="en-GB"/>
        </w:rPr>
        <w:t xml:space="preserve"> but this was complicated by the exclusive use of SBS rather than GBS arrangements</w:t>
      </w:r>
      <w:r w:rsidRPr="00911D12">
        <w:rPr>
          <w:rFonts w:ascii="Gill Sans MT" w:hAnsi="Gill Sans MT"/>
          <w:sz w:val="20"/>
          <w:lang w:val="en-GB"/>
        </w:rPr>
        <w:t xml:space="preserve">.  Morocco also signed an Association Agreement with the EU in 1996 </w:t>
      </w:r>
      <w:r w:rsidRPr="00911D12">
        <w:rPr>
          <w:rFonts w:ascii="Gill Sans MT" w:hAnsi="Gill Sans MT"/>
          <w:sz w:val="20"/>
          <w:lang w:val="en-GB"/>
        </w:rPr>
        <w:lastRenderedPageBreak/>
        <w:t>and thereafter launched a set of reforms to liberalise the economy, promote trade integration and modernise the regulatory framework. However, the strategic discussions that take place in the framework of the AA are less closely linked t</w:t>
      </w:r>
      <w:r w:rsidR="00314CF8">
        <w:rPr>
          <w:rFonts w:ascii="Gill Sans MT" w:hAnsi="Gill Sans MT"/>
          <w:sz w:val="20"/>
          <w:lang w:val="en-GB"/>
        </w:rPr>
        <w:t xml:space="preserve">o the SBS </w:t>
      </w:r>
      <w:r w:rsidRPr="00911D12">
        <w:rPr>
          <w:rFonts w:ascii="Gill Sans MT" w:hAnsi="Gill Sans MT"/>
          <w:sz w:val="20"/>
          <w:lang w:val="en-GB"/>
        </w:rPr>
        <w:t>dialogue, whic</w:t>
      </w:r>
      <w:r w:rsidR="00D72769">
        <w:rPr>
          <w:rFonts w:ascii="Gill Sans MT" w:hAnsi="Gill Sans MT"/>
          <w:sz w:val="20"/>
          <w:lang w:val="en-GB"/>
        </w:rPr>
        <w:t xml:space="preserve">h is focused </w:t>
      </w:r>
      <w:r w:rsidR="00181CC7" w:rsidRPr="00911D12">
        <w:rPr>
          <w:rFonts w:ascii="Gill Sans MT" w:hAnsi="Gill Sans MT"/>
          <w:sz w:val="20"/>
          <w:lang w:val="en-GB"/>
        </w:rPr>
        <w:t xml:space="preserve">predominantly </w:t>
      </w:r>
      <w:r w:rsidRPr="00911D12">
        <w:rPr>
          <w:rFonts w:ascii="Gill Sans MT" w:hAnsi="Gill Sans MT"/>
          <w:sz w:val="20"/>
          <w:lang w:val="en-GB"/>
        </w:rPr>
        <w:t xml:space="preserve">on the operational requirements for implementing </w:t>
      </w:r>
      <w:r w:rsidR="00D72769">
        <w:rPr>
          <w:rFonts w:ascii="Gill Sans MT" w:hAnsi="Gill Sans MT"/>
          <w:sz w:val="20"/>
          <w:lang w:val="en-GB"/>
        </w:rPr>
        <w:t>reforms</w:t>
      </w:r>
      <w:r w:rsidRPr="00911D12">
        <w:rPr>
          <w:rFonts w:ascii="Gill Sans MT" w:hAnsi="Gill Sans MT"/>
          <w:sz w:val="20"/>
          <w:lang w:val="en-GB"/>
        </w:rPr>
        <w:t xml:space="preserve">. In common with Tunisia, budget support dialogue has helped to generate agreed matrices of actions and targets to be achieved, as well as a framework for the monitoring of progress and a structure of external discipline to facilitate implementation. However, the substance and end result of these </w:t>
      </w:r>
      <w:r w:rsidR="00D72769">
        <w:rPr>
          <w:rFonts w:ascii="Gill Sans MT" w:hAnsi="Gill Sans MT"/>
          <w:sz w:val="20"/>
          <w:lang w:val="en-GB"/>
        </w:rPr>
        <w:t xml:space="preserve">tax and </w:t>
      </w:r>
      <w:r w:rsidRPr="00911D12">
        <w:rPr>
          <w:rFonts w:ascii="Gill Sans MT" w:hAnsi="Gill Sans MT"/>
          <w:sz w:val="20"/>
          <w:lang w:val="en-GB"/>
        </w:rPr>
        <w:t xml:space="preserve">regulatory reforms does not </w:t>
      </w:r>
      <w:r w:rsidR="00314CF8">
        <w:rPr>
          <w:rFonts w:ascii="Gill Sans MT" w:hAnsi="Gill Sans MT"/>
          <w:sz w:val="20"/>
          <w:lang w:val="en-GB"/>
        </w:rPr>
        <w:t xml:space="preserve">form part of the </w:t>
      </w:r>
      <w:r w:rsidRPr="00911D12">
        <w:rPr>
          <w:rFonts w:ascii="Gill Sans MT" w:hAnsi="Gill Sans MT"/>
          <w:sz w:val="20"/>
          <w:lang w:val="en-GB"/>
        </w:rPr>
        <w:t xml:space="preserve">dialogue: strategic objectives are decided and monitored within government </w:t>
      </w:r>
      <w:r w:rsidR="00314CF8">
        <w:rPr>
          <w:rFonts w:ascii="Gill Sans MT" w:hAnsi="Gill Sans MT"/>
          <w:sz w:val="20"/>
          <w:lang w:val="en-GB"/>
        </w:rPr>
        <w:t xml:space="preserve">itself, with the SBS </w:t>
      </w:r>
      <w:r w:rsidRPr="00911D12">
        <w:rPr>
          <w:rFonts w:ascii="Gill Sans MT" w:hAnsi="Gill Sans MT"/>
          <w:sz w:val="20"/>
          <w:lang w:val="en-GB"/>
        </w:rPr>
        <w:t>dialogue essentially</w:t>
      </w:r>
      <w:r w:rsidR="00FD03E4">
        <w:rPr>
          <w:rFonts w:ascii="Gill Sans MT" w:hAnsi="Gill Sans MT"/>
          <w:sz w:val="20"/>
          <w:lang w:val="en-GB"/>
        </w:rPr>
        <w:t xml:space="preserve"> focused on the design of the operational milestones within the reform process</w:t>
      </w:r>
      <w:r w:rsidR="006A3122">
        <w:rPr>
          <w:rFonts w:ascii="Gill Sans MT" w:hAnsi="Gill Sans MT"/>
          <w:sz w:val="20"/>
          <w:lang w:val="en-GB"/>
        </w:rPr>
        <w:t>.</w:t>
      </w:r>
    </w:p>
    <w:p w14:paraId="36910355" w14:textId="77777777" w:rsidR="00DB0726" w:rsidRDefault="00DB0726" w:rsidP="00D81DB3">
      <w:pPr>
        <w:pStyle w:val="BodyText"/>
        <w:numPr>
          <w:ilvl w:val="0"/>
          <w:numId w:val="31"/>
        </w:numPr>
        <w:spacing w:line="360" w:lineRule="auto"/>
        <w:rPr>
          <w:rFonts w:ascii="Gill Sans MT" w:hAnsi="Gill Sans MT"/>
          <w:sz w:val="20"/>
          <w:lang w:val="en-GB"/>
        </w:rPr>
      </w:pPr>
      <w:r w:rsidRPr="001D0471">
        <w:rPr>
          <w:rFonts w:ascii="Gill Sans MT" w:hAnsi="Gill Sans MT"/>
          <w:b/>
          <w:sz w:val="20"/>
          <w:lang w:val="en-GB"/>
        </w:rPr>
        <w:t>South Africa</w:t>
      </w:r>
      <w:r w:rsidR="00314CF8">
        <w:rPr>
          <w:rFonts w:ascii="Gill Sans MT" w:hAnsi="Gill Sans MT"/>
          <w:sz w:val="20"/>
          <w:lang w:val="en-GB"/>
        </w:rPr>
        <w:t xml:space="preserve"> also has an SBS </w:t>
      </w:r>
      <w:r>
        <w:rPr>
          <w:rFonts w:ascii="Gill Sans MT" w:hAnsi="Gill Sans MT"/>
          <w:sz w:val="20"/>
          <w:lang w:val="en-GB"/>
        </w:rPr>
        <w:t>dial</w:t>
      </w:r>
      <w:r w:rsidR="00911D12">
        <w:rPr>
          <w:rFonts w:ascii="Gill Sans MT" w:hAnsi="Gill Sans MT"/>
          <w:sz w:val="20"/>
          <w:lang w:val="en-GB"/>
        </w:rPr>
        <w:t xml:space="preserve">ogue, which has been focused predominantly on </w:t>
      </w:r>
      <w:r w:rsidR="00FD03E4">
        <w:rPr>
          <w:rFonts w:ascii="Gill Sans MT" w:hAnsi="Gill Sans MT"/>
          <w:sz w:val="20"/>
          <w:lang w:val="en-GB"/>
        </w:rPr>
        <w:t xml:space="preserve">programme-level </w:t>
      </w:r>
      <w:r w:rsidR="005D58F9">
        <w:rPr>
          <w:rFonts w:ascii="Gill Sans MT" w:hAnsi="Gill Sans MT"/>
          <w:sz w:val="20"/>
          <w:lang w:val="en-GB"/>
        </w:rPr>
        <w:t>issues</w:t>
      </w:r>
      <w:r>
        <w:rPr>
          <w:rFonts w:ascii="Gill Sans MT" w:hAnsi="Gill Sans MT"/>
          <w:sz w:val="20"/>
          <w:lang w:val="en-GB"/>
        </w:rPr>
        <w:t xml:space="preserve">. The Government of South Africa (GoSA) has chosen to use budget support </w:t>
      </w:r>
      <w:r w:rsidR="00617068">
        <w:rPr>
          <w:rFonts w:ascii="Gill Sans MT" w:hAnsi="Gill Sans MT"/>
          <w:sz w:val="20"/>
          <w:lang w:val="en-GB"/>
        </w:rPr>
        <w:t>to provide additional financing for the piloting of innovations in service delivery</w:t>
      </w:r>
      <w:r>
        <w:rPr>
          <w:rFonts w:ascii="Gill Sans MT" w:hAnsi="Gill Sans MT"/>
          <w:sz w:val="20"/>
          <w:lang w:val="en-GB"/>
        </w:rPr>
        <w:t xml:space="preserve">, aimed at </w:t>
      </w:r>
      <w:r w:rsidR="00EA4827">
        <w:rPr>
          <w:rFonts w:ascii="Gill Sans MT" w:hAnsi="Gill Sans MT"/>
          <w:sz w:val="20"/>
          <w:lang w:val="en-GB"/>
        </w:rPr>
        <w:t xml:space="preserve">raising transparency and public participation and </w:t>
      </w:r>
      <w:r>
        <w:rPr>
          <w:rFonts w:ascii="Gill Sans MT" w:hAnsi="Gill Sans MT"/>
          <w:sz w:val="20"/>
          <w:lang w:val="en-GB"/>
        </w:rPr>
        <w:t>improving the impact of public servic</w:t>
      </w:r>
      <w:r w:rsidR="00EA4827">
        <w:rPr>
          <w:rFonts w:ascii="Gill Sans MT" w:hAnsi="Gill Sans MT"/>
          <w:sz w:val="20"/>
          <w:lang w:val="en-GB"/>
        </w:rPr>
        <w:t>es on poverty and inequality</w:t>
      </w:r>
      <w:r>
        <w:rPr>
          <w:rFonts w:ascii="Gill Sans MT" w:hAnsi="Gill Sans MT"/>
          <w:sz w:val="20"/>
          <w:lang w:val="en-GB"/>
        </w:rPr>
        <w:t xml:space="preserve">. Dialogue around those areas is welcomed but </w:t>
      </w:r>
      <w:r w:rsidR="00EA4827">
        <w:rPr>
          <w:rFonts w:ascii="Gill Sans MT" w:hAnsi="Gill Sans MT"/>
          <w:sz w:val="20"/>
          <w:lang w:val="en-GB"/>
        </w:rPr>
        <w:t xml:space="preserve">the choice of which programmes </w:t>
      </w:r>
      <w:r>
        <w:rPr>
          <w:rFonts w:ascii="Gill Sans MT" w:hAnsi="Gill Sans MT"/>
          <w:sz w:val="20"/>
          <w:lang w:val="en-GB"/>
        </w:rPr>
        <w:t>to finance is made by GoSA and the design of the subsequent strategies to scale up policy experimentation and innovations is also decided within GoSA. Thus, budget support has served to enhance a South African-owned process of policy exp</w:t>
      </w:r>
      <w:r w:rsidR="00911D12">
        <w:rPr>
          <w:rFonts w:ascii="Gill Sans MT" w:hAnsi="Gill Sans MT"/>
          <w:sz w:val="20"/>
          <w:lang w:val="en-GB"/>
        </w:rPr>
        <w:t>erimentation and innovation, but, given the policy capacities of the GoSA, the need for policy dialogue with budget support partners is quite limited. In various cases, it has ‘</w:t>
      </w:r>
      <w:r w:rsidR="00911D12" w:rsidRPr="00C555C8">
        <w:rPr>
          <w:rFonts w:ascii="Gill Sans MT" w:hAnsi="Gill Sans MT"/>
          <w:i/>
          <w:sz w:val="20"/>
          <w:lang w:val="en-GB"/>
        </w:rPr>
        <w:t>helped shape and/or integrate innovative aspects within policy design</w:t>
      </w:r>
      <w:r w:rsidR="00EC00E0">
        <w:rPr>
          <w:rFonts w:ascii="Gill Sans MT" w:hAnsi="Gill Sans MT"/>
          <w:sz w:val="20"/>
          <w:lang w:val="en-GB"/>
        </w:rPr>
        <w:t>’ (Particip, 2014) but dialogue r</w:t>
      </w:r>
      <w:r w:rsidR="00911D12">
        <w:rPr>
          <w:rFonts w:ascii="Gill Sans MT" w:hAnsi="Gill Sans MT"/>
          <w:sz w:val="20"/>
          <w:lang w:val="en-GB"/>
        </w:rPr>
        <w:t>emains essentially at the programme level, rather than at the level of sectoral or national strategies.</w:t>
      </w:r>
      <w:r w:rsidR="00864910">
        <w:rPr>
          <w:rFonts w:ascii="Gill Sans MT" w:hAnsi="Gill Sans MT"/>
          <w:sz w:val="20"/>
          <w:lang w:val="en-GB"/>
        </w:rPr>
        <w:t xml:space="preserve"> </w:t>
      </w:r>
    </w:p>
    <w:p w14:paraId="74399C55" w14:textId="77777777" w:rsidR="00DB0726" w:rsidRPr="006A3122" w:rsidRDefault="00D80D40" w:rsidP="006A3122">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In the</w:t>
      </w:r>
      <w:r w:rsidR="00DB0726" w:rsidRPr="00507C5D">
        <w:rPr>
          <w:rFonts w:ascii="Gill Sans MT" w:hAnsi="Gill Sans MT"/>
          <w:sz w:val="20"/>
          <w:lang w:val="en-GB"/>
        </w:rPr>
        <w:t xml:space="preserve"> conte</w:t>
      </w:r>
      <w:r>
        <w:rPr>
          <w:rFonts w:ascii="Gill Sans MT" w:hAnsi="Gill Sans MT"/>
          <w:sz w:val="20"/>
          <w:lang w:val="en-GB"/>
        </w:rPr>
        <w:t xml:space="preserve">xt of the </w:t>
      </w:r>
      <w:r w:rsidR="00DB0726" w:rsidRPr="00507C5D">
        <w:rPr>
          <w:rFonts w:ascii="Gill Sans MT" w:hAnsi="Gill Sans MT"/>
          <w:sz w:val="20"/>
          <w:lang w:val="en-GB"/>
        </w:rPr>
        <w:t xml:space="preserve">TDCA </w:t>
      </w:r>
      <w:r>
        <w:rPr>
          <w:rFonts w:ascii="Gill Sans MT" w:hAnsi="Gill Sans MT"/>
          <w:sz w:val="20"/>
          <w:lang w:val="en-GB"/>
        </w:rPr>
        <w:t xml:space="preserve">and the EU-SA Strategic Partnership, a Dialogue Facility </w:t>
      </w:r>
      <w:r w:rsidR="00DB0726" w:rsidRPr="00507C5D">
        <w:rPr>
          <w:rFonts w:ascii="Gill Sans MT" w:hAnsi="Gill Sans MT"/>
          <w:sz w:val="20"/>
          <w:lang w:val="en-GB"/>
        </w:rPr>
        <w:t>has be</w:t>
      </w:r>
      <w:r>
        <w:rPr>
          <w:rFonts w:ascii="Gill Sans MT" w:hAnsi="Gill Sans MT"/>
          <w:sz w:val="20"/>
          <w:lang w:val="en-GB"/>
        </w:rPr>
        <w:t xml:space="preserve">en established in South Africa, in order to facilitate a wider strategic dialogue. It provides not only for the financing of </w:t>
      </w:r>
      <w:r w:rsidR="006A3122">
        <w:rPr>
          <w:rFonts w:ascii="Gill Sans MT" w:hAnsi="Gill Sans MT"/>
          <w:sz w:val="20"/>
          <w:lang w:val="en-GB"/>
        </w:rPr>
        <w:t xml:space="preserve">short </w:t>
      </w:r>
      <w:r w:rsidR="00DB0726" w:rsidRPr="00507C5D">
        <w:rPr>
          <w:rFonts w:ascii="Gill Sans MT" w:hAnsi="Gill Sans MT"/>
          <w:sz w:val="20"/>
          <w:lang w:val="en-GB"/>
        </w:rPr>
        <w:t xml:space="preserve">and medium term expertise for conferences, workshops, studies, specific sector meetings and events, but also </w:t>
      </w:r>
      <w:r>
        <w:rPr>
          <w:rFonts w:ascii="Gill Sans MT" w:hAnsi="Gill Sans MT"/>
          <w:sz w:val="20"/>
          <w:lang w:val="en-GB"/>
        </w:rPr>
        <w:t xml:space="preserve">for </w:t>
      </w:r>
      <w:r w:rsidR="00DB0726" w:rsidRPr="00507C5D">
        <w:rPr>
          <w:rFonts w:ascii="Gill Sans MT" w:hAnsi="Gill Sans MT"/>
          <w:sz w:val="20"/>
          <w:lang w:val="en-GB"/>
        </w:rPr>
        <w:t>exploratory missions</w:t>
      </w:r>
      <w:r w:rsidR="0075736F">
        <w:rPr>
          <w:rFonts w:ascii="Gill Sans MT" w:hAnsi="Gill Sans MT"/>
          <w:sz w:val="20"/>
          <w:lang w:val="en-GB"/>
        </w:rPr>
        <w:t xml:space="preserve"> from and to South Africa</w:t>
      </w:r>
      <w:r w:rsidR="00DB0726" w:rsidRPr="00507C5D">
        <w:rPr>
          <w:rFonts w:ascii="Gill Sans MT" w:hAnsi="Gill Sans MT"/>
          <w:sz w:val="20"/>
          <w:lang w:val="en-GB"/>
        </w:rPr>
        <w:t>.</w:t>
      </w:r>
      <w:r w:rsidRPr="00D80D40">
        <w:rPr>
          <w:rFonts w:ascii="Gill Sans MT" w:hAnsi="Gill Sans MT"/>
          <w:sz w:val="20"/>
          <w:lang w:val="en-GB"/>
        </w:rPr>
        <w:t xml:space="preserve"> </w:t>
      </w:r>
      <w:r w:rsidRPr="00507C5D">
        <w:rPr>
          <w:rFonts w:ascii="Gill Sans MT" w:hAnsi="Gill Sans MT"/>
          <w:sz w:val="20"/>
          <w:lang w:val="en-GB"/>
        </w:rPr>
        <w:t>Such a facility h</w:t>
      </w:r>
      <w:r w:rsidR="006A3122">
        <w:rPr>
          <w:rFonts w:ascii="Gill Sans MT" w:hAnsi="Gill Sans MT"/>
          <w:sz w:val="20"/>
          <w:lang w:val="en-GB"/>
        </w:rPr>
        <w:t>as a real potential to enhance policy d</w:t>
      </w:r>
      <w:r w:rsidRPr="00507C5D">
        <w:rPr>
          <w:rFonts w:ascii="Gill Sans MT" w:hAnsi="Gill Sans MT"/>
          <w:sz w:val="20"/>
          <w:lang w:val="en-GB"/>
        </w:rPr>
        <w:t>ialogue</w:t>
      </w:r>
      <w:r w:rsidR="006A3122">
        <w:rPr>
          <w:rFonts w:ascii="Gill Sans MT" w:hAnsi="Gill Sans MT"/>
          <w:sz w:val="20"/>
          <w:lang w:val="en-GB"/>
        </w:rPr>
        <w:t xml:space="preserve"> and in the latter years of the evaluation, it has started to be better used in some of the sector programmes. </w:t>
      </w:r>
    </w:p>
    <w:p w14:paraId="612F5B84" w14:textId="77777777" w:rsidR="00DB0726" w:rsidRPr="006E18A8" w:rsidRDefault="00924B03" w:rsidP="00DB0726">
      <w:pPr>
        <w:pStyle w:val="Heading3"/>
      </w:pPr>
      <w:r>
        <w:t xml:space="preserve">(ii) </w:t>
      </w:r>
      <w:r w:rsidR="00DB0726">
        <w:t xml:space="preserve">Implementation frameworks: d) the “underlying principles” </w:t>
      </w:r>
    </w:p>
    <w:p w14:paraId="70D6D3DB" w14:textId="77777777" w:rsidR="00DB0726" w:rsidRPr="00094E96" w:rsidRDefault="006C2341" w:rsidP="00DB0726">
      <w:pPr>
        <w:pStyle w:val="BodyText"/>
        <w:numPr>
          <w:ilvl w:val="0"/>
          <w:numId w:val="2"/>
        </w:numPr>
        <w:spacing w:line="360" w:lineRule="auto"/>
        <w:ind w:left="499" w:hanging="357"/>
        <w:rPr>
          <w:rFonts w:ascii="Gill Sans MT" w:hAnsi="Gill Sans MT"/>
          <w:sz w:val="20"/>
          <w:lang w:val="en-GB"/>
        </w:rPr>
      </w:pPr>
      <w:r>
        <w:rPr>
          <w:rFonts w:ascii="Gill Sans MT" w:hAnsi="Gill Sans MT"/>
          <w:b/>
          <w:sz w:val="20"/>
          <w:lang w:val="en-GB"/>
        </w:rPr>
        <w:t xml:space="preserve">The problem of the application of </w:t>
      </w:r>
      <w:r w:rsidR="00DB0726" w:rsidRPr="00626EFB">
        <w:rPr>
          <w:rFonts w:ascii="Gill Sans MT" w:hAnsi="Gill Sans MT"/>
          <w:b/>
          <w:sz w:val="20"/>
          <w:lang w:val="en-GB"/>
        </w:rPr>
        <w:t xml:space="preserve">underlying principles has not presented </w:t>
      </w:r>
      <w:r w:rsidR="003439C8">
        <w:rPr>
          <w:rFonts w:ascii="Gill Sans MT" w:hAnsi="Gill Sans MT"/>
          <w:b/>
          <w:sz w:val="20"/>
          <w:lang w:val="en-GB"/>
        </w:rPr>
        <w:t>itself in these three countries</w:t>
      </w:r>
      <w:r w:rsidR="00DB0726" w:rsidRPr="00626EFB">
        <w:rPr>
          <w:rFonts w:ascii="Gill Sans MT" w:hAnsi="Gill Sans MT"/>
          <w:b/>
          <w:sz w:val="20"/>
          <w:lang w:val="en-GB"/>
        </w:rPr>
        <w:t>.</w:t>
      </w:r>
      <w:r w:rsidR="00DB0726">
        <w:rPr>
          <w:rFonts w:ascii="Gill Sans MT" w:hAnsi="Gill Sans MT"/>
          <w:sz w:val="20"/>
          <w:lang w:val="en-GB"/>
        </w:rPr>
        <w:t xml:space="preserve"> </w:t>
      </w:r>
      <w:r>
        <w:rPr>
          <w:rFonts w:ascii="Gill Sans MT" w:hAnsi="Gill Sans MT"/>
          <w:sz w:val="20"/>
          <w:lang w:val="en-GB"/>
        </w:rPr>
        <w:t>At the time of the evaluation, t</w:t>
      </w:r>
      <w:r w:rsidR="00DB0726">
        <w:rPr>
          <w:rFonts w:ascii="Gill Sans MT" w:hAnsi="Gill Sans MT"/>
          <w:sz w:val="20"/>
          <w:lang w:val="en-GB"/>
        </w:rPr>
        <w:t xml:space="preserve">he policy of the European </w:t>
      </w:r>
      <w:r>
        <w:rPr>
          <w:rFonts w:ascii="Gill Sans MT" w:hAnsi="Gill Sans MT"/>
          <w:sz w:val="20"/>
          <w:lang w:val="en-GB"/>
        </w:rPr>
        <w:t>Union on budget support required</w:t>
      </w:r>
      <w:r w:rsidR="00DB0726">
        <w:rPr>
          <w:rFonts w:ascii="Gill Sans MT" w:hAnsi="Gill Sans MT"/>
          <w:sz w:val="20"/>
          <w:lang w:val="en-GB"/>
        </w:rPr>
        <w:t xml:space="preserve"> that there should be an assessment of eligibility conditions prior to the initiation of budget support and annually at the time of disbursement. The World Bank an</w:t>
      </w:r>
      <w:r>
        <w:rPr>
          <w:rFonts w:ascii="Gill Sans MT" w:hAnsi="Gill Sans MT"/>
          <w:sz w:val="20"/>
          <w:lang w:val="en-GB"/>
        </w:rPr>
        <w:t>d the African Development Bank we</w:t>
      </w:r>
      <w:r w:rsidR="00DB0726">
        <w:rPr>
          <w:rFonts w:ascii="Gill Sans MT" w:hAnsi="Gill Sans MT"/>
          <w:sz w:val="20"/>
          <w:lang w:val="en-GB"/>
        </w:rPr>
        <w:t xml:space="preserve">re also required to justify the use of budget support against a </w:t>
      </w:r>
      <w:r>
        <w:rPr>
          <w:rFonts w:ascii="Gill Sans MT" w:hAnsi="Gill Sans MT"/>
          <w:sz w:val="20"/>
          <w:lang w:val="en-GB"/>
        </w:rPr>
        <w:t xml:space="preserve">set of criteria, </w:t>
      </w:r>
      <w:r w:rsidR="00DB0726">
        <w:rPr>
          <w:rFonts w:ascii="Gill Sans MT" w:hAnsi="Gill Sans MT"/>
          <w:sz w:val="20"/>
          <w:lang w:val="en-GB"/>
        </w:rPr>
        <w:t>similar to the EU’s ‘eligibility conditions’. This s</w:t>
      </w:r>
      <w:r>
        <w:rPr>
          <w:rFonts w:ascii="Gill Sans MT" w:hAnsi="Gill Sans MT"/>
          <w:sz w:val="20"/>
          <w:lang w:val="en-GB"/>
        </w:rPr>
        <w:t>et of conditions wa</w:t>
      </w:r>
      <w:r w:rsidR="00DB0726">
        <w:rPr>
          <w:rFonts w:ascii="Gill Sans MT" w:hAnsi="Gill Sans MT"/>
          <w:sz w:val="20"/>
          <w:lang w:val="en-GB"/>
        </w:rPr>
        <w:t xml:space="preserve">s less demanding </w:t>
      </w:r>
      <w:r w:rsidR="00DB0726">
        <w:rPr>
          <w:rFonts w:ascii="Gill Sans MT" w:hAnsi="Gill Sans MT"/>
          <w:sz w:val="20"/>
          <w:lang w:val="en-GB"/>
        </w:rPr>
        <w:lastRenderedPageBreak/>
        <w:t xml:space="preserve">than the more broadly framed ‘underlying principles’, </w:t>
      </w:r>
      <w:r>
        <w:rPr>
          <w:rFonts w:ascii="Gill Sans MT" w:hAnsi="Gill Sans MT"/>
          <w:sz w:val="20"/>
          <w:lang w:val="en-GB"/>
        </w:rPr>
        <w:t xml:space="preserve">incorporated in the Memoranda of Understanding of the </w:t>
      </w:r>
      <w:r w:rsidR="00DB0726">
        <w:rPr>
          <w:rFonts w:ascii="Gill Sans MT" w:hAnsi="Gill Sans MT"/>
          <w:sz w:val="20"/>
          <w:lang w:val="en-GB"/>
        </w:rPr>
        <w:t xml:space="preserve">budget support programmes in </w:t>
      </w:r>
      <w:r>
        <w:rPr>
          <w:rFonts w:ascii="Gill Sans MT" w:hAnsi="Gill Sans MT"/>
          <w:sz w:val="20"/>
          <w:lang w:val="en-GB"/>
        </w:rPr>
        <w:t xml:space="preserve">the four </w:t>
      </w:r>
      <w:r w:rsidR="00DB0726">
        <w:rPr>
          <w:rFonts w:ascii="Gill Sans MT" w:hAnsi="Gill Sans MT"/>
          <w:sz w:val="20"/>
          <w:lang w:val="en-GB"/>
        </w:rPr>
        <w:t xml:space="preserve">LICs. </w:t>
      </w:r>
    </w:p>
    <w:p w14:paraId="7C8A70E4" w14:textId="77777777" w:rsidR="00DB0726" w:rsidRPr="00372CF5" w:rsidRDefault="00DB0726" w:rsidP="00D81DB3">
      <w:pPr>
        <w:pStyle w:val="Heading2"/>
        <w:numPr>
          <w:ilvl w:val="1"/>
          <w:numId w:val="26"/>
        </w:numPr>
        <w:spacing w:before="120" w:after="120"/>
        <w:rPr>
          <w:bCs w:val="0"/>
        </w:rPr>
      </w:pPr>
      <w:bookmarkStart w:id="81" w:name="_Toc270144538"/>
      <w:bookmarkStart w:id="82" w:name="_Toc279848249"/>
      <w:r>
        <w:rPr>
          <w:bCs w:val="0"/>
        </w:rPr>
        <w:t>Out</w:t>
      </w:r>
      <w:r w:rsidR="004C0FEA">
        <w:rPr>
          <w:bCs w:val="0"/>
        </w:rPr>
        <w:t xml:space="preserve">comes achieved: Induced Outputs, Outcomes and </w:t>
      </w:r>
      <w:r>
        <w:rPr>
          <w:bCs w:val="0"/>
        </w:rPr>
        <w:t>Impacts</w:t>
      </w:r>
      <w:bookmarkEnd w:id="81"/>
      <w:bookmarkEnd w:id="82"/>
    </w:p>
    <w:p w14:paraId="6619D03D" w14:textId="77777777" w:rsidR="00DB0726" w:rsidRDefault="00DB0726" w:rsidP="00DB0726">
      <w:pPr>
        <w:pStyle w:val="BodyText"/>
        <w:numPr>
          <w:ilvl w:val="0"/>
          <w:numId w:val="2"/>
        </w:numPr>
        <w:spacing w:line="360" w:lineRule="auto"/>
        <w:ind w:left="499" w:hanging="357"/>
        <w:rPr>
          <w:rFonts w:ascii="Gill Sans MT" w:hAnsi="Gill Sans MT"/>
          <w:sz w:val="20"/>
          <w:lang w:val="en-GB"/>
        </w:rPr>
      </w:pPr>
      <w:r w:rsidRPr="001B0479">
        <w:rPr>
          <w:rFonts w:ascii="Gill Sans MT" w:hAnsi="Gill Sans MT"/>
          <w:sz w:val="20"/>
          <w:lang w:val="en-GB"/>
        </w:rPr>
        <w:t>What have been the outcomes</w:t>
      </w:r>
      <w:r w:rsidR="00B60534">
        <w:rPr>
          <w:rStyle w:val="FootnoteReference"/>
          <w:rFonts w:ascii="Gill Sans MT" w:hAnsi="Gill Sans MT"/>
          <w:sz w:val="20"/>
          <w:lang w:val="en-GB"/>
        </w:rPr>
        <w:footnoteReference w:id="42"/>
      </w:r>
      <w:r w:rsidRPr="001B0479">
        <w:rPr>
          <w:rFonts w:ascii="Gill Sans MT" w:hAnsi="Gill Sans MT"/>
          <w:sz w:val="20"/>
          <w:lang w:val="en-GB"/>
        </w:rPr>
        <w:t xml:space="preserve"> achieved through budg</w:t>
      </w:r>
      <w:r>
        <w:rPr>
          <w:rFonts w:ascii="Gill Sans MT" w:hAnsi="Gill Sans MT"/>
          <w:sz w:val="20"/>
          <w:lang w:val="en-GB"/>
        </w:rPr>
        <w:t>et support in Morocco, South Africa and Tunisia</w:t>
      </w:r>
      <w:r w:rsidRPr="001B0479">
        <w:rPr>
          <w:rFonts w:ascii="Gill Sans MT" w:hAnsi="Gill Sans MT"/>
          <w:sz w:val="20"/>
          <w:lang w:val="en-GB"/>
        </w:rPr>
        <w:t>? We summarise the results identified in the evaluations with regard to Induced Outputs, Outcomes and Impacts.</w:t>
      </w:r>
    </w:p>
    <w:p w14:paraId="0756A648" w14:textId="77777777" w:rsidR="00DB0726" w:rsidRPr="00AB13DD" w:rsidRDefault="00DB0726" w:rsidP="00DB0726">
      <w:pPr>
        <w:pStyle w:val="Heading3"/>
      </w:pPr>
      <w:r w:rsidRPr="00AB13DD">
        <w:t>Induced Outputs</w:t>
      </w:r>
    </w:p>
    <w:p w14:paraId="2235BDC6" w14:textId="77777777" w:rsidR="00DB0726" w:rsidRPr="001B0479" w:rsidRDefault="00DB0726" w:rsidP="00DB0726">
      <w:pPr>
        <w:pStyle w:val="BodyText"/>
        <w:numPr>
          <w:ilvl w:val="0"/>
          <w:numId w:val="2"/>
        </w:numPr>
        <w:spacing w:line="360" w:lineRule="auto"/>
        <w:ind w:left="499" w:hanging="357"/>
        <w:rPr>
          <w:rFonts w:ascii="Gill Sans MT" w:hAnsi="Gill Sans MT"/>
          <w:sz w:val="20"/>
          <w:lang w:val="en-GB"/>
        </w:rPr>
      </w:pPr>
      <w:r w:rsidRPr="001B0479">
        <w:rPr>
          <w:rFonts w:ascii="Gill Sans MT" w:hAnsi="Gill Sans MT"/>
          <w:sz w:val="20"/>
          <w:lang w:val="en-GB"/>
        </w:rPr>
        <w:t xml:space="preserve"> We consider first </w:t>
      </w:r>
      <w:r>
        <w:rPr>
          <w:rFonts w:ascii="Gill Sans MT" w:hAnsi="Gill Sans MT"/>
          <w:sz w:val="20"/>
          <w:lang w:val="en-GB"/>
        </w:rPr>
        <w:t xml:space="preserve">the “Induced Outputs” - </w:t>
      </w:r>
      <w:r w:rsidRPr="001B0479">
        <w:rPr>
          <w:rFonts w:ascii="Gill Sans MT" w:hAnsi="Gill Sans MT"/>
          <w:sz w:val="20"/>
          <w:lang w:val="en-GB"/>
        </w:rPr>
        <w:t>the changes in public policy, public spending and service delivery processes, to which the budget support processes are judged to have</w:t>
      </w:r>
      <w:r>
        <w:rPr>
          <w:rFonts w:ascii="Gill Sans MT" w:hAnsi="Gill Sans MT"/>
          <w:sz w:val="20"/>
          <w:lang w:val="en-GB"/>
        </w:rPr>
        <w:t xml:space="preserve"> contributed. We briefly examine </w:t>
      </w:r>
      <w:r w:rsidRPr="001B0479">
        <w:rPr>
          <w:rFonts w:ascii="Gill Sans MT" w:hAnsi="Gill Sans MT"/>
          <w:sz w:val="20"/>
          <w:lang w:val="en-GB"/>
        </w:rPr>
        <w:t>t</w:t>
      </w:r>
      <w:r>
        <w:rPr>
          <w:rFonts w:ascii="Gill Sans MT" w:hAnsi="Gill Sans MT"/>
          <w:sz w:val="20"/>
          <w:lang w:val="en-GB"/>
        </w:rPr>
        <w:t xml:space="preserve">he changes related </w:t>
      </w:r>
      <w:r w:rsidRPr="001B0479">
        <w:rPr>
          <w:rFonts w:ascii="Gill Sans MT" w:hAnsi="Gill Sans MT"/>
          <w:sz w:val="20"/>
          <w:lang w:val="en-GB"/>
        </w:rPr>
        <w:t>to macroeconomic management</w:t>
      </w:r>
      <w:r>
        <w:rPr>
          <w:rFonts w:ascii="Gill Sans MT" w:hAnsi="Gill Sans MT"/>
          <w:sz w:val="20"/>
          <w:lang w:val="en-GB"/>
        </w:rPr>
        <w:t xml:space="preserve">, </w:t>
      </w:r>
      <w:r w:rsidRPr="001B0479">
        <w:rPr>
          <w:rFonts w:ascii="Gill Sans MT" w:hAnsi="Gill Sans MT"/>
          <w:sz w:val="20"/>
          <w:lang w:val="en-GB"/>
        </w:rPr>
        <w:t>pub</w:t>
      </w:r>
      <w:r>
        <w:rPr>
          <w:rFonts w:ascii="Gill Sans MT" w:hAnsi="Gill Sans MT"/>
          <w:sz w:val="20"/>
          <w:lang w:val="en-GB"/>
        </w:rPr>
        <w:t xml:space="preserve">lic expenditure allocations, </w:t>
      </w:r>
      <w:r w:rsidRPr="001B0479">
        <w:rPr>
          <w:rFonts w:ascii="Gill Sans MT" w:hAnsi="Gill Sans MT"/>
          <w:sz w:val="20"/>
          <w:lang w:val="en-GB"/>
        </w:rPr>
        <w:t>public f</w:t>
      </w:r>
      <w:r>
        <w:rPr>
          <w:rFonts w:ascii="Gill Sans MT" w:hAnsi="Gill Sans MT"/>
          <w:sz w:val="20"/>
          <w:lang w:val="en-GB"/>
        </w:rPr>
        <w:t xml:space="preserve">inance management (PFM), and good governance, before focusing on the primary area where results have been achieved, namely in public sector policies and in the reform of legal, regulatory and institutional structures. </w:t>
      </w:r>
    </w:p>
    <w:p w14:paraId="02BE0F74" w14:textId="77777777" w:rsidR="00DB0726" w:rsidRPr="001B0479" w:rsidRDefault="00DB0726" w:rsidP="00DB0726">
      <w:pPr>
        <w:pStyle w:val="BodyText"/>
        <w:numPr>
          <w:ilvl w:val="0"/>
          <w:numId w:val="2"/>
        </w:numPr>
        <w:spacing w:line="360" w:lineRule="auto"/>
        <w:ind w:left="499" w:hanging="357"/>
        <w:rPr>
          <w:rFonts w:ascii="Gill Sans MT" w:hAnsi="Gill Sans MT"/>
          <w:sz w:val="20"/>
          <w:lang w:val="en-GB"/>
        </w:rPr>
      </w:pPr>
      <w:r w:rsidRPr="003C3302">
        <w:rPr>
          <w:rFonts w:ascii="Gill Sans MT" w:hAnsi="Gill Sans MT"/>
          <w:b/>
          <w:sz w:val="20"/>
          <w:lang w:val="en-GB"/>
        </w:rPr>
        <w:t>Given the small scale of the operations relative to GDP and public spending, the immediate “flow of funds” effects of budget support on the macro-economy were insignificant.</w:t>
      </w:r>
      <w:r>
        <w:rPr>
          <w:rFonts w:ascii="Gill Sans MT" w:hAnsi="Gill Sans MT"/>
          <w:sz w:val="20"/>
          <w:lang w:val="en-GB"/>
        </w:rPr>
        <w:t xml:space="preserve"> W</w:t>
      </w:r>
      <w:r w:rsidRPr="001B0479">
        <w:rPr>
          <w:rFonts w:ascii="Gill Sans MT" w:hAnsi="Gill Sans MT"/>
          <w:sz w:val="20"/>
          <w:lang w:val="en-GB"/>
        </w:rPr>
        <w:t>e noted above that bud</w:t>
      </w:r>
      <w:r>
        <w:rPr>
          <w:rFonts w:ascii="Gill Sans MT" w:hAnsi="Gill Sans MT"/>
          <w:sz w:val="20"/>
          <w:lang w:val="en-GB"/>
        </w:rPr>
        <w:t xml:space="preserve">get support represented </w:t>
      </w:r>
      <w:r w:rsidRPr="001B0479">
        <w:rPr>
          <w:rFonts w:ascii="Gill Sans MT" w:hAnsi="Gill Sans MT"/>
          <w:sz w:val="20"/>
          <w:lang w:val="en-GB"/>
        </w:rPr>
        <w:t xml:space="preserve">a </w:t>
      </w:r>
      <w:r>
        <w:rPr>
          <w:rFonts w:ascii="Gill Sans MT" w:hAnsi="Gill Sans MT"/>
          <w:sz w:val="20"/>
          <w:lang w:val="en-GB"/>
        </w:rPr>
        <w:t>budgetary inflow equivalent to 0.3% to 2.3</w:t>
      </w:r>
      <w:r w:rsidRPr="001B0479">
        <w:rPr>
          <w:rFonts w:ascii="Gill Sans MT" w:hAnsi="Gill Sans MT"/>
          <w:sz w:val="20"/>
          <w:lang w:val="en-GB"/>
        </w:rPr>
        <w:t>% of pu</w:t>
      </w:r>
      <w:r>
        <w:rPr>
          <w:rFonts w:ascii="Gill Sans MT" w:hAnsi="Gill Sans MT"/>
          <w:sz w:val="20"/>
          <w:lang w:val="en-GB"/>
        </w:rPr>
        <w:t xml:space="preserve">blic spending, with South Africa at the lower end of this scale, and Tunisia and Morocco towards the higher end. For South Africa, this represented less than 0.1% of GDP and for Tunisia and Morocco a maximum of 1% GDP. </w:t>
      </w:r>
      <w:r w:rsidR="00322092">
        <w:rPr>
          <w:rFonts w:ascii="Gill Sans MT" w:hAnsi="Gill Sans MT"/>
          <w:sz w:val="20"/>
          <w:lang w:val="en-GB"/>
        </w:rPr>
        <w:t xml:space="preserve"> In the latter cases, the evaluations concluded that such a flow would have provided increased flexibility in budgetary and treasury management – something </w:t>
      </w:r>
      <w:proofErr w:type="gramStart"/>
      <w:r w:rsidR="00322092">
        <w:rPr>
          <w:rFonts w:ascii="Gill Sans MT" w:hAnsi="Gill Sans MT"/>
          <w:sz w:val="20"/>
          <w:lang w:val="en-GB"/>
        </w:rPr>
        <w:t>which</w:t>
      </w:r>
      <w:proofErr w:type="gramEnd"/>
      <w:r w:rsidR="00322092">
        <w:rPr>
          <w:rFonts w:ascii="Gill Sans MT" w:hAnsi="Gill Sans MT"/>
          <w:sz w:val="20"/>
          <w:lang w:val="en-GB"/>
        </w:rPr>
        <w:t xml:space="preserve"> would have been reflected in reduced levels of payment arrears, and possibly in lower levels of issuance of Treasury Bills. </w:t>
      </w:r>
    </w:p>
    <w:p w14:paraId="5063834C" w14:textId="77777777" w:rsidR="00DB0726" w:rsidRDefault="00DB0726" w:rsidP="00DB0726">
      <w:pPr>
        <w:pStyle w:val="BodyText"/>
        <w:numPr>
          <w:ilvl w:val="0"/>
          <w:numId w:val="2"/>
        </w:numPr>
        <w:spacing w:line="360" w:lineRule="auto"/>
        <w:ind w:left="499" w:hanging="357"/>
        <w:rPr>
          <w:rFonts w:ascii="Gill Sans MT" w:hAnsi="Gill Sans MT"/>
          <w:sz w:val="20"/>
          <w:lang w:val="en-GB"/>
        </w:rPr>
      </w:pPr>
      <w:r w:rsidRPr="001A026E">
        <w:rPr>
          <w:rFonts w:ascii="Gill Sans MT" w:hAnsi="Gill Sans MT"/>
          <w:sz w:val="20"/>
          <w:lang w:val="en-GB"/>
        </w:rPr>
        <w:t>In Tunisia, the reforms supported by budget support have contributed directly to the process of competitive transformation, which the country undertook over 1996 – 2008, culminating in the establishment of the Free Trade Area</w:t>
      </w:r>
      <w:r>
        <w:rPr>
          <w:rFonts w:ascii="Gill Sans MT" w:hAnsi="Gill Sans MT"/>
          <w:sz w:val="20"/>
          <w:lang w:val="en-GB"/>
        </w:rPr>
        <w:t>.  Over this period, Tunisia made ‘</w:t>
      </w:r>
      <w:r w:rsidRPr="003C3302">
        <w:rPr>
          <w:rFonts w:ascii="Gill Sans MT" w:hAnsi="Gill Sans MT"/>
          <w:i/>
          <w:sz w:val="20"/>
          <w:lang w:val="en-GB"/>
        </w:rPr>
        <w:t>very significant progress in terms of economic growth and stability, social well being and training of human capital</w:t>
      </w:r>
      <w:r w:rsidRPr="001A026E">
        <w:rPr>
          <w:rFonts w:ascii="Gill Sans MT" w:hAnsi="Gill Sans MT"/>
          <w:sz w:val="20"/>
          <w:lang w:val="en-GB"/>
        </w:rPr>
        <w:t>’</w:t>
      </w:r>
      <w:r>
        <w:rPr>
          <w:rFonts w:ascii="Gill Sans MT" w:hAnsi="Gill Sans MT"/>
          <w:sz w:val="20"/>
          <w:lang w:val="en-GB"/>
        </w:rPr>
        <w:t>.  Specifically, GBS contributed to the implementation of tax reform and tariff dismantling, and therefore to the positive results in terms of foreign trade. GBS also helped to improve economic governance and legality in business, although the standards achieve</w:t>
      </w:r>
      <w:r w:rsidR="00A06AC8">
        <w:rPr>
          <w:rFonts w:ascii="Gill Sans MT" w:hAnsi="Gill Sans MT"/>
          <w:sz w:val="20"/>
          <w:lang w:val="en-GB"/>
        </w:rPr>
        <w:t>d we</w:t>
      </w:r>
      <w:r w:rsidR="00891DB9">
        <w:rPr>
          <w:rFonts w:ascii="Gill Sans MT" w:hAnsi="Gill Sans MT"/>
          <w:sz w:val="20"/>
          <w:lang w:val="en-GB"/>
        </w:rPr>
        <w:t>re not</w:t>
      </w:r>
      <w:r>
        <w:rPr>
          <w:rFonts w:ascii="Gill Sans MT" w:hAnsi="Gill Sans MT"/>
          <w:sz w:val="20"/>
          <w:lang w:val="en-GB"/>
        </w:rPr>
        <w:t xml:space="preserve"> sufficient </w:t>
      </w:r>
      <w:r w:rsidR="00A06AC8">
        <w:rPr>
          <w:rFonts w:ascii="Gill Sans MT" w:hAnsi="Gill Sans MT"/>
          <w:sz w:val="20"/>
          <w:lang w:val="en-GB"/>
        </w:rPr>
        <w:t xml:space="preserve">to attract the foreign investment necessary </w:t>
      </w:r>
      <w:r>
        <w:rPr>
          <w:rFonts w:ascii="Gill Sans MT" w:hAnsi="Gill Sans MT"/>
          <w:sz w:val="20"/>
          <w:lang w:val="en-GB"/>
        </w:rPr>
        <w:t>to permit the desired degree of integration of national businesses into the international economy.</w:t>
      </w:r>
    </w:p>
    <w:p w14:paraId="14B0D042" w14:textId="77777777" w:rsidR="00DB0726" w:rsidRDefault="00DB0726" w:rsidP="00DB0726">
      <w:pPr>
        <w:pStyle w:val="BodyText"/>
        <w:numPr>
          <w:ilvl w:val="0"/>
          <w:numId w:val="2"/>
        </w:numPr>
        <w:spacing w:line="360" w:lineRule="auto"/>
        <w:ind w:left="499" w:hanging="357"/>
        <w:rPr>
          <w:rFonts w:ascii="Gill Sans MT" w:hAnsi="Gill Sans MT"/>
          <w:sz w:val="20"/>
          <w:lang w:val="en-GB"/>
        </w:rPr>
      </w:pPr>
      <w:r w:rsidRPr="000C1E33">
        <w:rPr>
          <w:rFonts w:ascii="Gill Sans MT" w:hAnsi="Gill Sans MT"/>
          <w:sz w:val="20"/>
          <w:lang w:val="en-GB"/>
        </w:rPr>
        <w:t>In</w:t>
      </w:r>
      <w:r>
        <w:rPr>
          <w:rFonts w:ascii="Gill Sans MT" w:hAnsi="Gill Sans MT"/>
          <w:sz w:val="20"/>
          <w:lang w:val="en-GB"/>
        </w:rPr>
        <w:t xml:space="preserve"> Morocco too, budget support c</w:t>
      </w:r>
      <w:r w:rsidR="00013301">
        <w:rPr>
          <w:rFonts w:ascii="Gill Sans MT" w:hAnsi="Gill Sans MT"/>
          <w:sz w:val="20"/>
          <w:lang w:val="en-GB"/>
        </w:rPr>
        <w:t>ontributed to reforms</w:t>
      </w:r>
      <w:r>
        <w:rPr>
          <w:rFonts w:ascii="Gill Sans MT" w:hAnsi="Gill Sans MT"/>
          <w:sz w:val="20"/>
          <w:lang w:val="en-GB"/>
        </w:rPr>
        <w:t xml:space="preserve"> </w:t>
      </w:r>
      <w:r w:rsidR="001F31B0">
        <w:rPr>
          <w:rFonts w:ascii="Gill Sans MT" w:hAnsi="Gill Sans MT"/>
          <w:sz w:val="20"/>
          <w:lang w:val="en-GB"/>
        </w:rPr>
        <w:t>in the tax system</w:t>
      </w:r>
      <w:r w:rsidR="00013301">
        <w:rPr>
          <w:rFonts w:ascii="Gill Sans MT" w:hAnsi="Gill Sans MT"/>
          <w:sz w:val="20"/>
          <w:lang w:val="en-GB"/>
        </w:rPr>
        <w:t xml:space="preserve">, which served to improve </w:t>
      </w:r>
      <w:r w:rsidR="001F31B0">
        <w:rPr>
          <w:rFonts w:ascii="Gill Sans MT" w:hAnsi="Gill Sans MT"/>
          <w:sz w:val="20"/>
          <w:lang w:val="en-GB"/>
        </w:rPr>
        <w:t xml:space="preserve">domestic resource mobilisation. It also supported improvements </w:t>
      </w:r>
      <w:r>
        <w:rPr>
          <w:rFonts w:ascii="Gill Sans MT" w:hAnsi="Gill Sans MT"/>
          <w:sz w:val="20"/>
          <w:lang w:val="en-GB"/>
        </w:rPr>
        <w:t xml:space="preserve">in the legal and regulatory framework for the financial sector and for the private sector more broadly and thus </w:t>
      </w:r>
      <w:r>
        <w:rPr>
          <w:rFonts w:ascii="Gill Sans MT" w:hAnsi="Gill Sans MT"/>
          <w:sz w:val="20"/>
          <w:lang w:val="en-GB"/>
        </w:rPr>
        <w:lastRenderedPageBreak/>
        <w:t>would also have had a positive effect on the dynamism of the economy. However, a criticism made in the evaluation is that the focus on the end result of reforms was not always present; thus, while apparently important reforms were facilitated by budget support, it is not yet clear how these regulatory and institutional changes hav</w:t>
      </w:r>
      <w:r w:rsidR="00013301">
        <w:rPr>
          <w:rFonts w:ascii="Gill Sans MT" w:hAnsi="Gill Sans MT"/>
          <w:sz w:val="20"/>
          <w:lang w:val="en-GB"/>
        </w:rPr>
        <w:t>e affected the macro-economy</w:t>
      </w:r>
      <w:r>
        <w:rPr>
          <w:rFonts w:ascii="Gill Sans MT" w:hAnsi="Gill Sans MT"/>
          <w:sz w:val="20"/>
          <w:lang w:val="en-GB"/>
        </w:rPr>
        <w:t>. The report emphasises the need for closer attention to final results both in the design of reforms and in the accompanying processes of monitoring and evaluation.</w:t>
      </w:r>
    </w:p>
    <w:p w14:paraId="5E322FB1" w14:textId="77777777" w:rsidR="00DB0726" w:rsidRPr="001C144C" w:rsidRDefault="00DB0726" w:rsidP="001C144C">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In South Africa, the focus of support was more at the programme level – specifically in promoting innovation in the design of different types of service delivery programme. </w:t>
      </w:r>
      <w:r w:rsidR="0008370E">
        <w:rPr>
          <w:rFonts w:ascii="Gill Sans MT" w:hAnsi="Gill Sans MT"/>
          <w:sz w:val="20"/>
          <w:lang w:val="en-GB"/>
        </w:rPr>
        <w:t xml:space="preserve">Many of these have now been scaled up, mainstreamed into policy and adopted as national programmes, notably with regard to water &amp; sanitation, primary health care, access to justice and employment promotion. This has had positive effects on the effectiveness of expenditures but has not generated specific effects at the macroeconomic level. </w:t>
      </w:r>
    </w:p>
    <w:p w14:paraId="465C9096" w14:textId="77777777" w:rsidR="00A665CB" w:rsidRDefault="00DB0726" w:rsidP="00DB0726">
      <w:pPr>
        <w:pStyle w:val="BodyText"/>
        <w:numPr>
          <w:ilvl w:val="0"/>
          <w:numId w:val="2"/>
        </w:numPr>
        <w:spacing w:line="360" w:lineRule="auto"/>
        <w:ind w:left="499" w:hanging="357"/>
        <w:rPr>
          <w:rFonts w:ascii="Gill Sans MT" w:hAnsi="Gill Sans MT"/>
          <w:sz w:val="20"/>
          <w:lang w:val="en-GB"/>
        </w:rPr>
      </w:pPr>
      <w:r w:rsidRPr="0012483F">
        <w:rPr>
          <w:rFonts w:ascii="Gill Sans MT" w:hAnsi="Gill Sans MT"/>
          <w:b/>
          <w:sz w:val="20"/>
          <w:lang w:val="en-GB"/>
        </w:rPr>
        <w:t xml:space="preserve">With regard to </w:t>
      </w:r>
      <w:r w:rsidR="007D6A3E">
        <w:rPr>
          <w:rFonts w:ascii="Gill Sans MT" w:hAnsi="Gill Sans MT"/>
          <w:b/>
          <w:sz w:val="20"/>
          <w:lang w:val="en-GB"/>
        </w:rPr>
        <w:t>public expenditure allocations</w:t>
      </w:r>
      <w:r w:rsidR="00717DBE">
        <w:rPr>
          <w:rFonts w:ascii="Gill Sans MT" w:hAnsi="Gill Sans MT"/>
          <w:b/>
          <w:sz w:val="20"/>
          <w:lang w:val="en-GB"/>
        </w:rPr>
        <w:t xml:space="preserve">, </w:t>
      </w:r>
      <w:r w:rsidR="007D6A3E">
        <w:rPr>
          <w:rFonts w:ascii="Gill Sans MT" w:hAnsi="Gill Sans MT"/>
          <w:b/>
          <w:sz w:val="20"/>
          <w:lang w:val="en-GB"/>
        </w:rPr>
        <w:t xml:space="preserve">budget support </w:t>
      </w:r>
      <w:r w:rsidR="00717DBE">
        <w:rPr>
          <w:rFonts w:ascii="Gill Sans MT" w:hAnsi="Gill Sans MT"/>
          <w:b/>
          <w:sz w:val="20"/>
          <w:lang w:val="en-GB"/>
        </w:rPr>
        <w:t xml:space="preserve">did not </w:t>
      </w:r>
      <w:r w:rsidRPr="006A7D9A">
        <w:rPr>
          <w:rFonts w:ascii="Gill Sans MT" w:hAnsi="Gill Sans MT"/>
          <w:b/>
          <w:sz w:val="20"/>
          <w:lang w:val="en-GB"/>
        </w:rPr>
        <w:t>ge</w:t>
      </w:r>
      <w:r w:rsidR="001B56AA">
        <w:rPr>
          <w:rFonts w:ascii="Gill Sans MT" w:hAnsi="Gill Sans MT"/>
          <w:b/>
          <w:sz w:val="20"/>
          <w:lang w:val="en-GB"/>
        </w:rPr>
        <w:t xml:space="preserve">nerate significant </w:t>
      </w:r>
      <w:r w:rsidRPr="006A7D9A">
        <w:rPr>
          <w:rFonts w:ascii="Gill Sans MT" w:hAnsi="Gill Sans MT"/>
          <w:b/>
          <w:sz w:val="20"/>
          <w:lang w:val="en-GB"/>
        </w:rPr>
        <w:t>changes in the structure of expenditure</w:t>
      </w:r>
      <w:r w:rsidR="0008370E">
        <w:rPr>
          <w:rFonts w:ascii="Gill Sans MT" w:hAnsi="Gill Sans MT"/>
          <w:b/>
          <w:sz w:val="20"/>
          <w:lang w:val="en-GB"/>
        </w:rPr>
        <w:t xml:space="preserve"> in the MICs</w:t>
      </w:r>
      <w:r w:rsidRPr="006A7D9A">
        <w:rPr>
          <w:rFonts w:ascii="Gill Sans MT" w:hAnsi="Gill Sans MT"/>
          <w:sz w:val="20"/>
          <w:lang w:val="en-GB"/>
        </w:rPr>
        <w:t xml:space="preserve">. </w:t>
      </w:r>
      <w:r w:rsidR="00362A94">
        <w:rPr>
          <w:rFonts w:ascii="Gill Sans MT" w:hAnsi="Gill Sans MT"/>
          <w:sz w:val="20"/>
          <w:lang w:val="en-GB"/>
        </w:rPr>
        <w:t>Given</w:t>
      </w:r>
      <w:r w:rsidR="007D6A3E" w:rsidRPr="007D6A3E">
        <w:rPr>
          <w:rFonts w:ascii="Gill Sans MT" w:hAnsi="Gill Sans MT"/>
          <w:sz w:val="20"/>
          <w:lang w:val="en-GB"/>
        </w:rPr>
        <w:t xml:space="preserve"> the small scale of the operations</w:t>
      </w:r>
      <w:r w:rsidR="007D6A3E">
        <w:rPr>
          <w:rFonts w:ascii="Gill Sans MT" w:hAnsi="Gill Sans MT"/>
          <w:sz w:val="20"/>
          <w:lang w:val="en-GB"/>
        </w:rPr>
        <w:t>, s</w:t>
      </w:r>
      <w:r w:rsidR="001B56AA">
        <w:rPr>
          <w:rFonts w:ascii="Gill Sans MT" w:hAnsi="Gill Sans MT"/>
          <w:sz w:val="20"/>
          <w:lang w:val="en-GB"/>
        </w:rPr>
        <w:t>uch changes would only have been possible through expenditure restructuring measures introduced by the partner g</w:t>
      </w:r>
      <w:r w:rsidR="00362A94">
        <w:rPr>
          <w:rFonts w:ascii="Gill Sans MT" w:hAnsi="Gill Sans MT"/>
          <w:sz w:val="20"/>
          <w:lang w:val="en-GB"/>
        </w:rPr>
        <w:t>overnments</w:t>
      </w:r>
      <w:r w:rsidR="001B56AA">
        <w:rPr>
          <w:rFonts w:ascii="Gill Sans MT" w:hAnsi="Gill Sans MT"/>
          <w:sz w:val="20"/>
          <w:lang w:val="en-GB"/>
        </w:rPr>
        <w:t>.</w:t>
      </w:r>
      <w:r w:rsidR="005A3460" w:rsidRPr="005A3460">
        <w:rPr>
          <w:rFonts w:ascii="Gill Sans MT" w:hAnsi="Gill Sans MT"/>
          <w:sz w:val="20"/>
          <w:lang w:val="en-GB"/>
        </w:rPr>
        <w:t xml:space="preserve"> </w:t>
      </w:r>
      <w:r w:rsidR="005A3460">
        <w:rPr>
          <w:rFonts w:ascii="Gill Sans MT" w:hAnsi="Gill Sans MT"/>
          <w:sz w:val="20"/>
          <w:lang w:val="en-GB"/>
        </w:rPr>
        <w:t>In South Africa, the policy innovations introduced through the RDP covered a number of sectors and did not imply any shifts in sector shares at the aggregate level.</w:t>
      </w:r>
      <w:r w:rsidR="00362A94">
        <w:rPr>
          <w:rFonts w:ascii="Gill Sans MT" w:hAnsi="Gill Sans MT"/>
          <w:sz w:val="20"/>
          <w:lang w:val="en-GB"/>
        </w:rPr>
        <w:t xml:space="preserve"> However, given the prevailing budgetary restrictions, budget support did serve to finance programmes</w:t>
      </w:r>
      <w:r w:rsidR="001B56AA">
        <w:rPr>
          <w:rFonts w:ascii="Gill Sans MT" w:hAnsi="Gill Sans MT"/>
          <w:sz w:val="20"/>
          <w:lang w:val="en-GB"/>
        </w:rPr>
        <w:t xml:space="preserve"> </w:t>
      </w:r>
      <w:r w:rsidR="00362A94">
        <w:rPr>
          <w:rFonts w:ascii="Gill Sans MT" w:hAnsi="Gill Sans MT"/>
          <w:sz w:val="20"/>
          <w:lang w:val="en-GB"/>
        </w:rPr>
        <w:t xml:space="preserve">through the RDP that would not otherwise have been funded at the time. </w:t>
      </w:r>
      <w:r w:rsidR="00A665CB">
        <w:rPr>
          <w:rFonts w:ascii="Gill Sans MT" w:hAnsi="Gill Sans MT"/>
          <w:sz w:val="20"/>
          <w:lang w:val="en-GB"/>
        </w:rPr>
        <w:t xml:space="preserve">In Morocco, </w:t>
      </w:r>
      <w:r w:rsidR="007D6A3E">
        <w:rPr>
          <w:rFonts w:ascii="Gill Sans MT" w:hAnsi="Gill Sans MT"/>
          <w:sz w:val="20"/>
          <w:lang w:val="en-GB"/>
        </w:rPr>
        <w:t xml:space="preserve">sector shares remained broadly stable but, within education, </w:t>
      </w:r>
      <w:r w:rsidR="00A665CB">
        <w:rPr>
          <w:rFonts w:ascii="Gill Sans MT" w:hAnsi="Gill Sans MT"/>
          <w:sz w:val="20"/>
          <w:lang w:val="en-GB"/>
        </w:rPr>
        <w:t>the sub-sectors of non-formal education and adult literacy did receive net budget increases, as a c</w:t>
      </w:r>
      <w:r w:rsidR="007D6A3E">
        <w:rPr>
          <w:rFonts w:ascii="Gill Sans MT" w:hAnsi="Gill Sans MT"/>
          <w:sz w:val="20"/>
          <w:lang w:val="en-GB"/>
        </w:rPr>
        <w:t>onsequence of budget support</w:t>
      </w:r>
      <w:r w:rsidR="00A665CB">
        <w:rPr>
          <w:rFonts w:ascii="Gill Sans MT" w:hAnsi="Gill Sans MT"/>
          <w:sz w:val="20"/>
          <w:lang w:val="en-GB"/>
        </w:rPr>
        <w:t xml:space="preserve">. </w:t>
      </w:r>
      <w:r w:rsidR="005A3460">
        <w:rPr>
          <w:rFonts w:ascii="Gill Sans MT" w:hAnsi="Gill Sans MT"/>
          <w:sz w:val="20"/>
          <w:lang w:val="en-GB"/>
        </w:rPr>
        <w:t xml:space="preserve"> </w:t>
      </w:r>
    </w:p>
    <w:p w14:paraId="6823AAEC" w14:textId="77777777" w:rsidR="00785C9B" w:rsidRDefault="00A665CB" w:rsidP="00DB0726">
      <w:pPr>
        <w:pStyle w:val="BodyText"/>
        <w:numPr>
          <w:ilvl w:val="0"/>
          <w:numId w:val="2"/>
        </w:numPr>
        <w:spacing w:line="360" w:lineRule="auto"/>
        <w:ind w:left="499" w:hanging="357"/>
        <w:rPr>
          <w:rFonts w:ascii="Gill Sans MT" w:hAnsi="Gill Sans MT"/>
          <w:sz w:val="20"/>
          <w:lang w:val="en-GB"/>
        </w:rPr>
      </w:pPr>
      <w:r>
        <w:rPr>
          <w:rFonts w:ascii="Gill Sans MT" w:hAnsi="Gill Sans MT"/>
          <w:b/>
          <w:sz w:val="20"/>
          <w:lang w:val="en-GB"/>
        </w:rPr>
        <w:t xml:space="preserve">In Morocco and Tunisia, </w:t>
      </w:r>
      <w:r w:rsidR="00DB0726" w:rsidRPr="0012483F">
        <w:rPr>
          <w:rFonts w:ascii="Gill Sans MT" w:hAnsi="Gill Sans MT"/>
          <w:b/>
          <w:sz w:val="20"/>
          <w:lang w:val="en-GB"/>
        </w:rPr>
        <w:t xml:space="preserve">Public Finance Management (PFM) reforms </w:t>
      </w:r>
      <w:r>
        <w:rPr>
          <w:rFonts w:ascii="Gill Sans MT" w:hAnsi="Gill Sans MT"/>
          <w:b/>
          <w:sz w:val="20"/>
          <w:lang w:val="en-GB"/>
        </w:rPr>
        <w:t xml:space="preserve">were </w:t>
      </w:r>
      <w:r w:rsidR="00DB0726" w:rsidRPr="0012483F">
        <w:rPr>
          <w:rFonts w:ascii="Gill Sans MT" w:hAnsi="Gill Sans MT"/>
          <w:b/>
          <w:sz w:val="20"/>
          <w:lang w:val="en-GB"/>
        </w:rPr>
        <w:t>an aspect of the bud</w:t>
      </w:r>
      <w:r>
        <w:rPr>
          <w:rFonts w:ascii="Gill Sans MT" w:hAnsi="Gill Sans MT"/>
          <w:b/>
          <w:sz w:val="20"/>
          <w:lang w:val="en-GB"/>
        </w:rPr>
        <w:t>get su</w:t>
      </w:r>
      <w:r w:rsidR="00785C9B">
        <w:rPr>
          <w:rFonts w:ascii="Gill Sans MT" w:hAnsi="Gill Sans MT"/>
          <w:b/>
          <w:sz w:val="20"/>
          <w:lang w:val="en-GB"/>
        </w:rPr>
        <w:t xml:space="preserve">pport agenda but had more </w:t>
      </w:r>
      <w:r>
        <w:rPr>
          <w:rFonts w:ascii="Gill Sans MT" w:hAnsi="Gill Sans MT"/>
          <w:b/>
          <w:sz w:val="20"/>
          <w:lang w:val="en-GB"/>
        </w:rPr>
        <w:t>modest objectives</w:t>
      </w:r>
      <w:r w:rsidR="00785C9B">
        <w:rPr>
          <w:rFonts w:ascii="Gill Sans MT" w:hAnsi="Gill Sans MT"/>
          <w:b/>
          <w:sz w:val="20"/>
          <w:lang w:val="en-GB"/>
        </w:rPr>
        <w:t xml:space="preserve"> than in the LIC programmes</w:t>
      </w:r>
      <w:r w:rsidR="00DB0726" w:rsidRPr="00785C9B">
        <w:rPr>
          <w:rFonts w:ascii="Gill Sans MT" w:hAnsi="Gill Sans MT"/>
          <w:sz w:val="20"/>
          <w:lang w:val="en-GB"/>
        </w:rPr>
        <w:t>. In Tunisia,</w:t>
      </w:r>
      <w:r w:rsidR="00DB0726" w:rsidRPr="006A7D9A">
        <w:rPr>
          <w:rFonts w:ascii="Gill Sans MT" w:hAnsi="Gill Sans MT"/>
          <w:sz w:val="20"/>
          <w:lang w:val="en-GB"/>
        </w:rPr>
        <w:t xml:space="preserve"> support was provided to the development of a Medium Term Expenditure Framework. In Morocco, support was provided to the </w:t>
      </w:r>
      <w:r w:rsidR="00291282">
        <w:rPr>
          <w:rFonts w:ascii="Gill Sans MT" w:hAnsi="Gill Sans MT"/>
          <w:sz w:val="20"/>
          <w:lang w:val="en-GB"/>
        </w:rPr>
        <w:t xml:space="preserve">reform of tax systems, </w:t>
      </w:r>
      <w:r w:rsidR="00C40093">
        <w:rPr>
          <w:rFonts w:ascii="Gill Sans MT" w:hAnsi="Gill Sans MT"/>
          <w:sz w:val="20"/>
          <w:lang w:val="en-GB"/>
        </w:rPr>
        <w:t xml:space="preserve">in particular </w:t>
      </w:r>
      <w:r w:rsidR="00291282">
        <w:rPr>
          <w:rFonts w:ascii="Gill Sans MT" w:hAnsi="Gill Sans MT"/>
          <w:sz w:val="20"/>
          <w:lang w:val="en-GB"/>
        </w:rPr>
        <w:t>VAT</w:t>
      </w:r>
      <w:r w:rsidR="00C40093">
        <w:rPr>
          <w:rFonts w:ascii="Gill Sans MT" w:hAnsi="Gill Sans MT"/>
          <w:sz w:val="20"/>
          <w:lang w:val="en-GB"/>
        </w:rPr>
        <w:t xml:space="preserve">, and also to the development of a new Public Finance Law, and to improvements in the presentation of expenditure estimates. There was also wider support across sectors to the </w:t>
      </w:r>
      <w:r w:rsidR="00DB0726" w:rsidRPr="006A7D9A">
        <w:rPr>
          <w:rFonts w:ascii="Gill Sans MT" w:hAnsi="Gill Sans MT"/>
          <w:sz w:val="20"/>
          <w:lang w:val="en-GB"/>
        </w:rPr>
        <w:t>introduction of performance management concepts and techniques</w:t>
      </w:r>
      <w:r w:rsidR="00C40093">
        <w:rPr>
          <w:rFonts w:ascii="Gill Sans MT" w:hAnsi="Gill Sans MT"/>
          <w:sz w:val="20"/>
          <w:lang w:val="en-GB"/>
        </w:rPr>
        <w:t xml:space="preserve">. Nevertheless, </w:t>
      </w:r>
      <w:r w:rsidR="00DB0726" w:rsidRPr="006A7D9A">
        <w:rPr>
          <w:rFonts w:ascii="Gill Sans MT" w:hAnsi="Gill Sans MT"/>
          <w:sz w:val="20"/>
          <w:lang w:val="en-GB"/>
        </w:rPr>
        <w:t xml:space="preserve">the wider context of PFM – how effectively resources were being allocated, whether the budget could be made more strategic or not – were not aspects of the dialogue. </w:t>
      </w:r>
    </w:p>
    <w:p w14:paraId="3B61172C" w14:textId="77777777" w:rsidR="00DB0726" w:rsidRPr="006A7D9A" w:rsidRDefault="00DB0726" w:rsidP="00DB0726">
      <w:pPr>
        <w:pStyle w:val="BodyText"/>
        <w:numPr>
          <w:ilvl w:val="0"/>
          <w:numId w:val="2"/>
        </w:numPr>
        <w:spacing w:line="360" w:lineRule="auto"/>
        <w:ind w:left="499" w:hanging="357"/>
        <w:rPr>
          <w:rFonts w:ascii="Gill Sans MT" w:hAnsi="Gill Sans MT"/>
          <w:sz w:val="20"/>
          <w:lang w:val="en-GB"/>
        </w:rPr>
      </w:pPr>
      <w:r w:rsidRPr="006A7D9A">
        <w:rPr>
          <w:rFonts w:ascii="Gill Sans MT" w:hAnsi="Gill Sans MT"/>
          <w:sz w:val="20"/>
          <w:lang w:val="en-GB"/>
        </w:rPr>
        <w:t>It should be said that in each of these countries, and most especially in South Africa, PFM systems are strong</w:t>
      </w:r>
      <w:r w:rsidR="00E6714B">
        <w:rPr>
          <w:rFonts w:ascii="Gill Sans MT" w:hAnsi="Gill Sans MT"/>
          <w:sz w:val="20"/>
          <w:lang w:val="en-GB"/>
        </w:rPr>
        <w:t>er</w:t>
      </w:r>
      <w:r w:rsidRPr="006A7D9A">
        <w:rPr>
          <w:rFonts w:ascii="Gill Sans MT" w:hAnsi="Gill Sans MT"/>
          <w:sz w:val="20"/>
          <w:lang w:val="en-GB"/>
        </w:rPr>
        <w:t xml:space="preserve"> </w:t>
      </w:r>
      <w:r w:rsidR="00E6714B" w:rsidRPr="006A7D9A">
        <w:rPr>
          <w:rFonts w:ascii="Gill Sans MT" w:hAnsi="Gill Sans MT"/>
          <w:sz w:val="20"/>
          <w:lang w:val="en-GB"/>
        </w:rPr>
        <w:t>than in the LICs</w:t>
      </w:r>
      <w:r w:rsidRPr="006A7D9A">
        <w:rPr>
          <w:rFonts w:ascii="Gill Sans MT" w:hAnsi="Gill Sans MT"/>
          <w:sz w:val="20"/>
          <w:lang w:val="en-GB"/>
        </w:rPr>
        <w:t xml:space="preserve">. </w:t>
      </w:r>
      <w:r w:rsidR="00373D1C">
        <w:rPr>
          <w:rFonts w:ascii="Gill Sans MT" w:hAnsi="Gill Sans MT"/>
          <w:sz w:val="20"/>
          <w:lang w:val="en-GB"/>
        </w:rPr>
        <w:t xml:space="preserve">However, even in South Africa, there are significant weaknesses at the sub-national level, and </w:t>
      </w:r>
      <w:r w:rsidRPr="006A7D9A">
        <w:rPr>
          <w:rFonts w:ascii="Gill Sans MT" w:hAnsi="Gill Sans MT"/>
          <w:sz w:val="20"/>
          <w:lang w:val="en-GB"/>
        </w:rPr>
        <w:t xml:space="preserve">in Tunisia and Morocco, PFM systems remain some way below the standards of the OECD countries. An upgrading of PFM systems would certainly facilitate the more effective implementation of public policy and the limited attention to this area </w:t>
      </w:r>
      <w:r w:rsidR="00E6714B">
        <w:rPr>
          <w:rFonts w:ascii="Gill Sans MT" w:hAnsi="Gill Sans MT"/>
          <w:sz w:val="20"/>
          <w:lang w:val="en-GB"/>
        </w:rPr>
        <w:t xml:space="preserve">within the budget support dialogue </w:t>
      </w:r>
      <w:r w:rsidRPr="006A7D9A">
        <w:rPr>
          <w:rFonts w:ascii="Gill Sans MT" w:hAnsi="Gill Sans MT"/>
          <w:sz w:val="20"/>
          <w:lang w:val="en-GB"/>
        </w:rPr>
        <w:t>represents a missed opportunity.</w:t>
      </w:r>
    </w:p>
    <w:p w14:paraId="16C2BAFE" w14:textId="77777777" w:rsidR="000B3138" w:rsidRDefault="00DB0726" w:rsidP="00DB0726">
      <w:pPr>
        <w:pStyle w:val="BodyText"/>
        <w:numPr>
          <w:ilvl w:val="0"/>
          <w:numId w:val="2"/>
        </w:numPr>
        <w:spacing w:line="360" w:lineRule="auto"/>
        <w:ind w:left="499" w:hanging="357"/>
        <w:rPr>
          <w:rFonts w:ascii="Gill Sans MT" w:hAnsi="Gill Sans MT"/>
          <w:sz w:val="20"/>
          <w:lang w:val="en-GB"/>
        </w:rPr>
      </w:pPr>
      <w:r w:rsidRPr="00DE55BC">
        <w:rPr>
          <w:rFonts w:ascii="Gill Sans MT" w:hAnsi="Gill Sans MT"/>
          <w:sz w:val="20"/>
          <w:lang w:val="en-GB"/>
        </w:rPr>
        <w:lastRenderedPageBreak/>
        <w:t xml:space="preserve"> </w:t>
      </w:r>
      <w:r w:rsidR="000B3138">
        <w:rPr>
          <w:rFonts w:ascii="Gill Sans MT" w:hAnsi="Gill Sans MT"/>
          <w:b/>
          <w:sz w:val="20"/>
          <w:lang w:val="en-GB"/>
        </w:rPr>
        <w:t>I</w:t>
      </w:r>
      <w:r w:rsidR="00006FF7">
        <w:rPr>
          <w:rFonts w:ascii="Gill Sans MT" w:hAnsi="Gill Sans MT"/>
          <w:b/>
          <w:sz w:val="20"/>
          <w:lang w:val="en-GB"/>
        </w:rPr>
        <w:t xml:space="preserve">mprovements </w:t>
      </w:r>
      <w:r w:rsidR="000B3138">
        <w:rPr>
          <w:rFonts w:ascii="Gill Sans MT" w:hAnsi="Gill Sans MT"/>
          <w:b/>
          <w:sz w:val="20"/>
          <w:lang w:val="en-GB"/>
        </w:rPr>
        <w:t xml:space="preserve">to democratic governance </w:t>
      </w:r>
      <w:r w:rsidR="00362A94">
        <w:rPr>
          <w:rFonts w:ascii="Gill Sans MT" w:hAnsi="Gill Sans MT"/>
          <w:b/>
          <w:sz w:val="20"/>
          <w:lang w:val="en-GB"/>
        </w:rPr>
        <w:t xml:space="preserve">represented only a modest </w:t>
      </w:r>
      <w:r w:rsidRPr="003C3302">
        <w:rPr>
          <w:rFonts w:ascii="Gill Sans MT" w:hAnsi="Gill Sans MT"/>
          <w:b/>
          <w:sz w:val="20"/>
          <w:lang w:val="en-GB"/>
        </w:rPr>
        <w:t>part of the bu</w:t>
      </w:r>
      <w:r w:rsidR="00006FF7">
        <w:rPr>
          <w:rFonts w:ascii="Gill Sans MT" w:hAnsi="Gill Sans MT"/>
          <w:b/>
          <w:sz w:val="20"/>
          <w:lang w:val="en-GB"/>
        </w:rPr>
        <w:t>dget support agenda in the MICs</w:t>
      </w:r>
      <w:r w:rsidR="00362A94">
        <w:rPr>
          <w:rFonts w:ascii="Gill Sans MT" w:hAnsi="Gill Sans MT"/>
          <w:b/>
          <w:sz w:val="20"/>
          <w:lang w:val="en-GB"/>
        </w:rPr>
        <w:t>, addressing only specific issues for which the governments sought assistance</w:t>
      </w:r>
      <w:r w:rsidR="00006FF7">
        <w:rPr>
          <w:rFonts w:ascii="Gill Sans MT" w:hAnsi="Gill Sans MT"/>
          <w:b/>
          <w:sz w:val="20"/>
          <w:lang w:val="en-GB"/>
        </w:rPr>
        <w:t xml:space="preserve">. </w:t>
      </w:r>
      <w:r w:rsidR="00006FF7" w:rsidRPr="00006FF7">
        <w:rPr>
          <w:rFonts w:ascii="Gill Sans MT" w:hAnsi="Gill Sans MT"/>
          <w:sz w:val="20"/>
          <w:lang w:val="en-GB"/>
        </w:rPr>
        <w:t xml:space="preserve">In South Africa, there were </w:t>
      </w:r>
      <w:r w:rsidRPr="00006FF7">
        <w:rPr>
          <w:rFonts w:ascii="Gill Sans MT" w:hAnsi="Gill Sans MT"/>
          <w:sz w:val="20"/>
          <w:lang w:val="en-GB"/>
        </w:rPr>
        <w:t xml:space="preserve">programmes </w:t>
      </w:r>
      <w:r w:rsidR="00006FF7" w:rsidRPr="00006FF7">
        <w:rPr>
          <w:rFonts w:ascii="Gill Sans MT" w:hAnsi="Gill Sans MT"/>
          <w:sz w:val="20"/>
          <w:lang w:val="en-GB"/>
        </w:rPr>
        <w:t xml:space="preserve">focused </w:t>
      </w:r>
      <w:r w:rsidRPr="00006FF7">
        <w:rPr>
          <w:rFonts w:ascii="Gill Sans MT" w:hAnsi="Gill Sans MT"/>
          <w:sz w:val="20"/>
          <w:lang w:val="en-GB"/>
        </w:rPr>
        <w:t xml:space="preserve">on </w:t>
      </w:r>
      <w:r w:rsidR="00006FF7" w:rsidRPr="00006FF7">
        <w:rPr>
          <w:rFonts w:ascii="Gill Sans MT" w:hAnsi="Gill Sans MT"/>
          <w:sz w:val="20"/>
          <w:lang w:val="en-GB"/>
        </w:rPr>
        <w:t>access to j</w:t>
      </w:r>
      <w:r w:rsidRPr="00006FF7">
        <w:rPr>
          <w:rFonts w:ascii="Gill Sans MT" w:hAnsi="Gill Sans MT"/>
          <w:sz w:val="20"/>
          <w:lang w:val="en-GB"/>
        </w:rPr>
        <w:t xml:space="preserve">ustice and </w:t>
      </w:r>
      <w:r w:rsidR="00006FF7" w:rsidRPr="00006FF7">
        <w:rPr>
          <w:rFonts w:ascii="Gill Sans MT" w:hAnsi="Gill Sans MT"/>
          <w:sz w:val="20"/>
          <w:lang w:val="en-GB"/>
        </w:rPr>
        <w:t xml:space="preserve">on </w:t>
      </w:r>
      <w:r w:rsidR="000B3138">
        <w:rPr>
          <w:rFonts w:ascii="Gill Sans MT" w:hAnsi="Gill Sans MT"/>
          <w:sz w:val="20"/>
          <w:lang w:val="en-GB"/>
        </w:rPr>
        <w:t xml:space="preserve">strengthening of provincial </w:t>
      </w:r>
      <w:r w:rsidR="00006FF7" w:rsidRPr="00006FF7">
        <w:rPr>
          <w:rFonts w:ascii="Gill Sans MT" w:hAnsi="Gill Sans MT"/>
          <w:sz w:val="20"/>
          <w:lang w:val="en-GB"/>
        </w:rPr>
        <w:t>l</w:t>
      </w:r>
      <w:r w:rsidRPr="00006FF7">
        <w:rPr>
          <w:rFonts w:ascii="Gill Sans MT" w:hAnsi="Gill Sans MT"/>
          <w:sz w:val="20"/>
          <w:lang w:val="en-GB"/>
        </w:rPr>
        <w:t>e</w:t>
      </w:r>
      <w:r w:rsidR="00362A94">
        <w:rPr>
          <w:rFonts w:ascii="Gill Sans MT" w:hAnsi="Gill Sans MT"/>
          <w:sz w:val="20"/>
          <w:lang w:val="en-GB"/>
        </w:rPr>
        <w:t>gislative assemblies. In addition, t</w:t>
      </w:r>
      <w:r w:rsidR="000B3138">
        <w:rPr>
          <w:rFonts w:ascii="Gill Sans MT" w:hAnsi="Gill Sans MT"/>
          <w:sz w:val="20"/>
          <w:lang w:val="en-GB"/>
        </w:rPr>
        <w:t xml:space="preserve">he overall governance of service delivery and the need for </w:t>
      </w:r>
      <w:r w:rsidR="00362A94">
        <w:rPr>
          <w:rFonts w:ascii="Gill Sans MT" w:hAnsi="Gill Sans MT"/>
          <w:sz w:val="20"/>
          <w:lang w:val="en-GB"/>
        </w:rPr>
        <w:t xml:space="preserve">public </w:t>
      </w:r>
      <w:r w:rsidR="000B3138">
        <w:rPr>
          <w:rFonts w:ascii="Gill Sans MT" w:hAnsi="Gill Sans MT"/>
          <w:sz w:val="20"/>
          <w:lang w:val="en-GB"/>
        </w:rPr>
        <w:t xml:space="preserve">participation were important </w:t>
      </w:r>
      <w:proofErr w:type="gramStart"/>
      <w:r w:rsidR="000B3138">
        <w:rPr>
          <w:rFonts w:ascii="Gill Sans MT" w:hAnsi="Gill Sans MT"/>
          <w:sz w:val="20"/>
          <w:lang w:val="en-GB"/>
        </w:rPr>
        <w:t>cross-cutting</w:t>
      </w:r>
      <w:proofErr w:type="gramEnd"/>
      <w:r w:rsidR="000B3138">
        <w:rPr>
          <w:rFonts w:ascii="Gill Sans MT" w:hAnsi="Gill Sans MT"/>
          <w:sz w:val="20"/>
          <w:lang w:val="en-GB"/>
        </w:rPr>
        <w:t xml:space="preserve"> themes in the innovations supported through the RDP. I</w:t>
      </w:r>
      <w:r w:rsidR="00DD2E71">
        <w:rPr>
          <w:rFonts w:ascii="Gill Sans MT" w:hAnsi="Gill Sans MT"/>
          <w:sz w:val="20"/>
          <w:lang w:val="en-GB"/>
        </w:rPr>
        <w:t xml:space="preserve">n Tunisia and </w:t>
      </w:r>
      <w:r w:rsidR="00006FF7">
        <w:rPr>
          <w:rFonts w:ascii="Gill Sans MT" w:hAnsi="Gill Sans MT"/>
          <w:sz w:val="20"/>
          <w:lang w:val="en-GB"/>
        </w:rPr>
        <w:t>Morocco</w:t>
      </w:r>
      <w:r w:rsidRPr="00006FF7">
        <w:rPr>
          <w:rFonts w:ascii="Gill Sans MT" w:hAnsi="Gill Sans MT"/>
          <w:sz w:val="20"/>
          <w:lang w:val="en-GB"/>
        </w:rPr>
        <w:t xml:space="preserve"> </w:t>
      </w:r>
      <w:r w:rsidR="00006FF7">
        <w:rPr>
          <w:rFonts w:ascii="Gill Sans MT" w:hAnsi="Gill Sans MT"/>
          <w:sz w:val="20"/>
          <w:lang w:val="en-GB"/>
        </w:rPr>
        <w:t xml:space="preserve">there was </w:t>
      </w:r>
      <w:r w:rsidRPr="001A026E">
        <w:rPr>
          <w:rFonts w:ascii="Gill Sans MT" w:hAnsi="Gill Sans MT"/>
          <w:sz w:val="20"/>
          <w:lang w:val="en-GB"/>
        </w:rPr>
        <w:t>attention given to regulations</w:t>
      </w:r>
      <w:r w:rsidR="00006FF7">
        <w:rPr>
          <w:rFonts w:ascii="Gill Sans MT" w:hAnsi="Gill Sans MT"/>
          <w:sz w:val="20"/>
          <w:lang w:val="en-GB"/>
        </w:rPr>
        <w:t>, codes and practices within a variety of sectors, including the financial sector</w:t>
      </w:r>
      <w:r w:rsidRPr="001A026E">
        <w:rPr>
          <w:rFonts w:ascii="Gill Sans MT" w:hAnsi="Gill Sans MT"/>
          <w:sz w:val="20"/>
          <w:lang w:val="en-GB"/>
        </w:rPr>
        <w:t>.</w:t>
      </w:r>
      <w:r w:rsidRPr="00DE55BC">
        <w:rPr>
          <w:rFonts w:ascii="Gill Sans MT" w:hAnsi="Gill Sans MT"/>
          <w:sz w:val="20"/>
          <w:lang w:val="en-GB"/>
        </w:rPr>
        <w:t xml:space="preserve"> </w:t>
      </w:r>
      <w:r w:rsidR="00006FF7">
        <w:rPr>
          <w:rFonts w:ascii="Gill Sans MT" w:hAnsi="Gill Sans MT"/>
          <w:sz w:val="20"/>
          <w:lang w:val="en-GB"/>
        </w:rPr>
        <w:t xml:space="preserve">However, the focus was on issues related </w:t>
      </w:r>
      <w:r w:rsidR="000B3138">
        <w:rPr>
          <w:rFonts w:ascii="Gill Sans MT" w:hAnsi="Gill Sans MT"/>
          <w:sz w:val="20"/>
          <w:lang w:val="en-GB"/>
        </w:rPr>
        <w:t xml:space="preserve">primarily </w:t>
      </w:r>
      <w:r w:rsidR="00006FF7">
        <w:rPr>
          <w:rFonts w:ascii="Gill Sans MT" w:hAnsi="Gill Sans MT"/>
          <w:sz w:val="20"/>
          <w:lang w:val="en-GB"/>
        </w:rPr>
        <w:t>to the effectiveness of government, rather than on broader questions of voice and accountability and the control of corruption.</w:t>
      </w:r>
      <w:r w:rsidRPr="00DE55BC">
        <w:rPr>
          <w:rFonts w:ascii="Gill Sans MT" w:hAnsi="Gill Sans MT"/>
          <w:sz w:val="20"/>
          <w:lang w:val="en-GB"/>
        </w:rPr>
        <w:t xml:space="preserve"> </w:t>
      </w:r>
    </w:p>
    <w:p w14:paraId="478C6B1B" w14:textId="77777777" w:rsidR="00DB0726" w:rsidRPr="00DE55BC" w:rsidRDefault="00DB0726" w:rsidP="00DB0726">
      <w:pPr>
        <w:pStyle w:val="BodyText"/>
        <w:numPr>
          <w:ilvl w:val="0"/>
          <w:numId w:val="2"/>
        </w:numPr>
        <w:spacing w:line="360" w:lineRule="auto"/>
        <w:ind w:left="499" w:hanging="357"/>
        <w:rPr>
          <w:rFonts w:ascii="Gill Sans MT" w:hAnsi="Gill Sans MT"/>
          <w:sz w:val="20"/>
          <w:lang w:val="en-GB"/>
        </w:rPr>
      </w:pPr>
      <w:r w:rsidRPr="00DE55BC">
        <w:rPr>
          <w:rFonts w:ascii="Gill Sans MT" w:hAnsi="Gill Sans MT"/>
          <w:sz w:val="20"/>
          <w:lang w:val="en-GB"/>
        </w:rPr>
        <w:t xml:space="preserve">The </w:t>
      </w:r>
      <w:r w:rsidR="00C413BD">
        <w:rPr>
          <w:rFonts w:ascii="Gill Sans MT" w:hAnsi="Gill Sans MT"/>
          <w:sz w:val="20"/>
          <w:lang w:val="en-GB"/>
        </w:rPr>
        <w:t>more limit</w:t>
      </w:r>
      <w:r w:rsidR="00362A94">
        <w:rPr>
          <w:rFonts w:ascii="Gill Sans MT" w:hAnsi="Gill Sans MT"/>
          <w:sz w:val="20"/>
          <w:lang w:val="en-GB"/>
        </w:rPr>
        <w:t xml:space="preserve">ed attention paid to democratic </w:t>
      </w:r>
      <w:r w:rsidRPr="00DE55BC">
        <w:rPr>
          <w:rFonts w:ascii="Gill Sans MT" w:hAnsi="Gill Sans MT"/>
          <w:sz w:val="20"/>
          <w:lang w:val="en-GB"/>
        </w:rPr>
        <w:t>governance issues in the MICs is one of the significant differences from budget support in LIC countries. There was clearly no demand for such inputs from the respective governments and</w:t>
      </w:r>
      <w:r w:rsidR="00DD2E71">
        <w:rPr>
          <w:rFonts w:ascii="Gill Sans MT" w:hAnsi="Gill Sans MT"/>
          <w:sz w:val="20"/>
          <w:lang w:val="en-GB"/>
        </w:rPr>
        <w:t xml:space="preserve"> in the absence of a </w:t>
      </w:r>
      <w:r w:rsidRPr="00DE55BC">
        <w:rPr>
          <w:rFonts w:ascii="Gill Sans MT" w:hAnsi="Gill Sans MT"/>
          <w:sz w:val="20"/>
          <w:lang w:val="en-GB"/>
        </w:rPr>
        <w:t xml:space="preserve">reform agenda to which Development Partners were invited to contribute, efforts to engage in this area would probably have been fruitless. </w:t>
      </w:r>
    </w:p>
    <w:p w14:paraId="70F5B390" w14:textId="77777777" w:rsidR="00DB0726" w:rsidRPr="00DE55BC" w:rsidRDefault="00DB0726" w:rsidP="00DB0726">
      <w:pPr>
        <w:pStyle w:val="BodyText"/>
        <w:numPr>
          <w:ilvl w:val="0"/>
          <w:numId w:val="2"/>
        </w:numPr>
        <w:spacing w:line="360" w:lineRule="auto"/>
        <w:ind w:left="499" w:hanging="357"/>
        <w:rPr>
          <w:rFonts w:ascii="Gill Sans MT" w:hAnsi="Gill Sans MT"/>
          <w:sz w:val="20"/>
          <w:lang w:val="en-GB"/>
        </w:rPr>
      </w:pPr>
      <w:r w:rsidRPr="00DE55BC">
        <w:rPr>
          <w:rFonts w:ascii="Gill Sans MT" w:hAnsi="Gill Sans MT"/>
          <w:sz w:val="20"/>
          <w:lang w:val="en-GB"/>
        </w:rPr>
        <w:t>Nevertheless, as we noted above, the WGI ratings for voice and accountability in Morocco and Tunisia were below those of the LICs during the period evaluated. Domestic concerns over the lack of voice and accountability eventually erupted in the Arab Spring uprisings a</w:t>
      </w:r>
      <w:r w:rsidR="00C413BD">
        <w:rPr>
          <w:rFonts w:ascii="Gill Sans MT" w:hAnsi="Gill Sans MT"/>
          <w:sz w:val="20"/>
          <w:lang w:val="en-GB"/>
        </w:rPr>
        <w:t xml:space="preserve">nd, in fact, led to </w:t>
      </w:r>
      <w:r w:rsidRPr="00DE55BC">
        <w:rPr>
          <w:rFonts w:ascii="Gill Sans MT" w:hAnsi="Gill Sans MT"/>
          <w:sz w:val="20"/>
          <w:lang w:val="en-GB"/>
        </w:rPr>
        <w:t xml:space="preserve">improvements in democratic governance in both countries. At one level, this proves the point that domestic forces are the primary drivers of changes in governance but it does raise the question whether greater attention should have been paid to these issues in the budget support policy dialogue? </w:t>
      </w:r>
    </w:p>
    <w:p w14:paraId="1CF68377" w14:textId="77777777" w:rsidR="00DB0726" w:rsidRPr="00DE55BC" w:rsidRDefault="00413B05" w:rsidP="00DB0726">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O</w:t>
      </w:r>
      <w:r w:rsidR="00C413BD">
        <w:rPr>
          <w:rFonts w:ascii="Gill Sans MT" w:hAnsi="Gill Sans MT"/>
          <w:sz w:val="20"/>
          <w:lang w:val="en-GB"/>
        </w:rPr>
        <w:t xml:space="preserve">ne could argue that </w:t>
      </w:r>
      <w:r w:rsidR="00DB0726" w:rsidRPr="00DE55BC">
        <w:rPr>
          <w:rFonts w:ascii="Gill Sans MT" w:hAnsi="Gill Sans MT"/>
          <w:sz w:val="20"/>
          <w:lang w:val="en-GB"/>
        </w:rPr>
        <w:t>a programme of modest reforms should have been demanded as a condition of budget support.</w:t>
      </w:r>
      <w:r w:rsidR="00DB0726">
        <w:rPr>
          <w:rFonts w:ascii="Gill Sans MT" w:hAnsi="Gill Sans MT"/>
          <w:sz w:val="20"/>
          <w:lang w:val="en-GB"/>
        </w:rPr>
        <w:t xml:space="preserve"> </w:t>
      </w:r>
      <w:r w:rsidR="00DB0726" w:rsidRPr="00DE55BC">
        <w:rPr>
          <w:rFonts w:ascii="Gill Sans MT" w:hAnsi="Gill Sans MT"/>
          <w:sz w:val="20"/>
          <w:lang w:val="en-GB"/>
        </w:rPr>
        <w:t>On the other hand, it is very likely that the respective governments would either have refused to do this or would have failed to implement such conditions; in the process, dialogue over econ</w:t>
      </w:r>
      <w:r>
        <w:rPr>
          <w:rFonts w:ascii="Gill Sans MT" w:hAnsi="Gill Sans MT"/>
          <w:sz w:val="20"/>
          <w:lang w:val="en-GB"/>
        </w:rPr>
        <w:t>omic reforms would certainly have suffered</w:t>
      </w:r>
      <w:r w:rsidR="00DB0726" w:rsidRPr="00DE55BC">
        <w:rPr>
          <w:rFonts w:ascii="Gill Sans MT" w:hAnsi="Gill Sans MT"/>
          <w:sz w:val="20"/>
          <w:lang w:val="en-GB"/>
        </w:rPr>
        <w:t>. Some have argued that the opening up of trade and the liberalisation of the economic framework in Tunisia and Morocco may have facilitated subsequent democratic reforms. If so, then a strong line on governance issues during the e</w:t>
      </w:r>
      <w:r>
        <w:rPr>
          <w:rFonts w:ascii="Gill Sans MT" w:hAnsi="Gill Sans MT"/>
          <w:sz w:val="20"/>
          <w:lang w:val="en-GB"/>
        </w:rPr>
        <w:t xml:space="preserve">valuation period would in practice </w:t>
      </w:r>
      <w:r w:rsidR="00DB0726" w:rsidRPr="00DE55BC">
        <w:rPr>
          <w:rFonts w:ascii="Gill Sans MT" w:hAnsi="Gill Sans MT"/>
          <w:sz w:val="20"/>
          <w:lang w:val="en-GB"/>
        </w:rPr>
        <w:t xml:space="preserve">have been counterproductive. </w:t>
      </w:r>
    </w:p>
    <w:p w14:paraId="381E324A" w14:textId="77777777" w:rsidR="00DB0726" w:rsidRDefault="00DB0726" w:rsidP="00DB0726">
      <w:pPr>
        <w:pStyle w:val="BodyText"/>
        <w:numPr>
          <w:ilvl w:val="0"/>
          <w:numId w:val="2"/>
        </w:numPr>
        <w:spacing w:line="360" w:lineRule="auto"/>
        <w:ind w:left="499" w:hanging="357"/>
        <w:rPr>
          <w:rFonts w:ascii="Gill Sans MT" w:hAnsi="Gill Sans MT"/>
          <w:sz w:val="20"/>
          <w:lang w:val="en-GB"/>
        </w:rPr>
      </w:pPr>
      <w:r w:rsidRPr="003C3302">
        <w:rPr>
          <w:rFonts w:ascii="Gill Sans MT" w:hAnsi="Gill Sans MT"/>
          <w:b/>
          <w:sz w:val="20"/>
          <w:lang w:val="en-GB"/>
        </w:rPr>
        <w:t>The primary contribution of budget support in the MIC countries has been to support reforms in sectoral policies, service delivery processes and legal and regulatory frameworks</w:t>
      </w:r>
      <w:r w:rsidR="00C413BD">
        <w:rPr>
          <w:rFonts w:ascii="Gill Sans MT" w:hAnsi="Gill Sans MT"/>
          <w:b/>
          <w:sz w:val="20"/>
          <w:lang w:val="en-GB"/>
        </w:rPr>
        <w:t xml:space="preserve">. </w:t>
      </w:r>
      <w:r w:rsidRPr="00D56B9C">
        <w:rPr>
          <w:rFonts w:ascii="Gill Sans MT" w:hAnsi="Gill Sans MT"/>
          <w:sz w:val="20"/>
          <w:lang w:val="en-GB"/>
        </w:rPr>
        <w:t>Support to these reforms has taken different forms in each country:</w:t>
      </w:r>
    </w:p>
    <w:p w14:paraId="797C145A" w14:textId="77777777" w:rsidR="00DB0726" w:rsidRPr="00D56B9C" w:rsidRDefault="00DB0726" w:rsidP="00D81DB3">
      <w:pPr>
        <w:pStyle w:val="BodyText"/>
        <w:numPr>
          <w:ilvl w:val="0"/>
          <w:numId w:val="27"/>
        </w:numPr>
        <w:spacing w:line="360" w:lineRule="auto"/>
        <w:rPr>
          <w:rFonts w:ascii="Gill Sans MT" w:hAnsi="Gill Sans MT"/>
          <w:sz w:val="20"/>
          <w:lang w:val="en-GB"/>
        </w:rPr>
      </w:pPr>
      <w:r>
        <w:rPr>
          <w:rFonts w:ascii="Gill Sans MT" w:hAnsi="Gill Sans MT"/>
          <w:sz w:val="20"/>
          <w:lang w:val="en-GB"/>
        </w:rPr>
        <w:t xml:space="preserve">In </w:t>
      </w:r>
      <w:r w:rsidRPr="00D56B9C">
        <w:rPr>
          <w:rFonts w:ascii="Gill Sans MT" w:hAnsi="Gill Sans MT"/>
          <w:b/>
          <w:sz w:val="20"/>
          <w:lang w:val="en-GB"/>
        </w:rPr>
        <w:t>South Africa</w:t>
      </w:r>
      <w:r>
        <w:rPr>
          <w:rFonts w:ascii="Gill Sans MT" w:hAnsi="Gill Sans MT"/>
          <w:b/>
          <w:sz w:val="20"/>
          <w:lang w:val="en-GB"/>
        </w:rPr>
        <w:t xml:space="preserve">, </w:t>
      </w:r>
      <w:r w:rsidRPr="001B6077">
        <w:rPr>
          <w:rFonts w:ascii="Gill Sans MT" w:hAnsi="Gill Sans MT"/>
          <w:sz w:val="20"/>
          <w:lang w:val="en-GB"/>
        </w:rPr>
        <w:t>the various SBS programmes</w:t>
      </w:r>
      <w:r>
        <w:rPr>
          <w:rFonts w:ascii="Gill Sans MT" w:hAnsi="Gill Sans MT"/>
          <w:sz w:val="20"/>
          <w:lang w:val="en-GB"/>
        </w:rPr>
        <w:t xml:space="preserve"> have facilitated the piloting of </w:t>
      </w:r>
      <w:r w:rsidR="009A6621">
        <w:rPr>
          <w:rFonts w:ascii="Gill Sans MT" w:hAnsi="Gill Sans MT"/>
          <w:sz w:val="20"/>
          <w:lang w:val="en-GB"/>
        </w:rPr>
        <w:t>policy innovations</w:t>
      </w:r>
      <w:r>
        <w:rPr>
          <w:rFonts w:ascii="Gill Sans MT" w:hAnsi="Gill Sans MT"/>
          <w:sz w:val="20"/>
          <w:lang w:val="en-GB"/>
        </w:rPr>
        <w:t xml:space="preserve">, incorporating a more active engagement of citizens in the </w:t>
      </w:r>
      <w:r w:rsidR="009A6621">
        <w:rPr>
          <w:rFonts w:ascii="Gill Sans MT" w:hAnsi="Gill Sans MT"/>
          <w:sz w:val="20"/>
          <w:lang w:val="en-GB"/>
        </w:rPr>
        <w:t>design and monitoring of services</w:t>
      </w:r>
      <w:r>
        <w:rPr>
          <w:rFonts w:ascii="Gill Sans MT" w:hAnsi="Gill Sans MT"/>
          <w:sz w:val="20"/>
          <w:lang w:val="en-GB"/>
        </w:rPr>
        <w:t xml:space="preserve"> and</w:t>
      </w:r>
      <w:r w:rsidR="009A6621">
        <w:rPr>
          <w:rFonts w:ascii="Gill Sans MT" w:hAnsi="Gill Sans MT"/>
          <w:sz w:val="20"/>
          <w:lang w:val="en-GB"/>
        </w:rPr>
        <w:t xml:space="preserve"> in the process of public governance</w:t>
      </w:r>
      <w:r>
        <w:rPr>
          <w:rFonts w:ascii="Gill Sans MT" w:hAnsi="Gill Sans MT"/>
          <w:sz w:val="20"/>
          <w:lang w:val="en-GB"/>
        </w:rPr>
        <w:t xml:space="preserve">, with a view to promoting greater democracy and strengthening the fight against poverty and </w:t>
      </w:r>
      <w:r>
        <w:rPr>
          <w:rFonts w:ascii="Gill Sans MT" w:hAnsi="Gill Sans MT"/>
          <w:sz w:val="20"/>
          <w:lang w:val="en-GB"/>
        </w:rPr>
        <w:lastRenderedPageBreak/>
        <w:t>inequality. Innovations have been introduced in a wide range of sectors including water &amp; sanitation, health,</w:t>
      </w:r>
      <w:r w:rsidR="00445F99">
        <w:rPr>
          <w:rFonts w:ascii="Gill Sans MT" w:hAnsi="Gill Sans MT"/>
          <w:sz w:val="20"/>
          <w:lang w:val="en-GB"/>
        </w:rPr>
        <w:t xml:space="preserve"> justice, education, employment, </w:t>
      </w:r>
      <w:r w:rsidR="00C413BD">
        <w:rPr>
          <w:rFonts w:ascii="Gill Sans MT" w:hAnsi="Gill Sans MT"/>
          <w:sz w:val="20"/>
          <w:lang w:val="en-GB"/>
        </w:rPr>
        <w:t>private sector development</w:t>
      </w:r>
      <w:r w:rsidR="00445F99">
        <w:rPr>
          <w:rFonts w:ascii="Gill Sans MT" w:hAnsi="Gill Sans MT"/>
          <w:sz w:val="20"/>
          <w:lang w:val="en-GB"/>
        </w:rPr>
        <w:t xml:space="preserve"> and the provincial legislative assemblies</w:t>
      </w:r>
      <w:r w:rsidR="00C413BD">
        <w:rPr>
          <w:rFonts w:ascii="Gill Sans MT" w:hAnsi="Gill Sans MT"/>
          <w:sz w:val="20"/>
          <w:lang w:val="en-GB"/>
        </w:rPr>
        <w:t>.</w:t>
      </w:r>
      <w:r w:rsidR="00BD495D">
        <w:rPr>
          <w:rFonts w:ascii="Gill Sans MT" w:hAnsi="Gill Sans MT"/>
          <w:sz w:val="20"/>
          <w:lang w:val="en-GB"/>
        </w:rPr>
        <w:t xml:space="preserve"> In several case</w:t>
      </w:r>
      <w:r w:rsidR="009A6621">
        <w:rPr>
          <w:rFonts w:ascii="Gill Sans MT" w:hAnsi="Gill Sans MT"/>
          <w:sz w:val="20"/>
          <w:lang w:val="en-GB"/>
        </w:rPr>
        <w:t xml:space="preserve">s, these innovations have </w:t>
      </w:r>
      <w:r w:rsidR="00BD495D">
        <w:rPr>
          <w:rFonts w:ascii="Gill Sans MT" w:hAnsi="Gill Sans MT"/>
          <w:sz w:val="20"/>
          <w:lang w:val="en-GB"/>
        </w:rPr>
        <w:t>been scaled up, mainstreamed into policy a</w:t>
      </w:r>
      <w:r w:rsidR="009A6621">
        <w:rPr>
          <w:rFonts w:ascii="Gill Sans MT" w:hAnsi="Gill Sans MT"/>
          <w:sz w:val="20"/>
          <w:lang w:val="en-GB"/>
        </w:rPr>
        <w:t>n</w:t>
      </w:r>
      <w:r w:rsidR="00BD495D">
        <w:rPr>
          <w:rFonts w:ascii="Gill Sans MT" w:hAnsi="Gill Sans MT"/>
          <w:sz w:val="20"/>
          <w:lang w:val="en-GB"/>
        </w:rPr>
        <w:t>d incorporated in</w:t>
      </w:r>
      <w:r w:rsidR="009A6621">
        <w:rPr>
          <w:rFonts w:ascii="Gill Sans MT" w:hAnsi="Gill Sans MT"/>
          <w:sz w:val="20"/>
          <w:lang w:val="en-GB"/>
        </w:rPr>
        <w:t>to</w:t>
      </w:r>
      <w:r w:rsidR="00BD495D">
        <w:rPr>
          <w:rFonts w:ascii="Gill Sans MT" w:hAnsi="Gill Sans MT"/>
          <w:sz w:val="20"/>
          <w:lang w:val="en-GB"/>
        </w:rPr>
        <w:t xml:space="preserve"> national programmes.</w:t>
      </w:r>
    </w:p>
    <w:p w14:paraId="2825A7E0" w14:textId="77777777" w:rsidR="00DB0726" w:rsidRDefault="00DB0726" w:rsidP="00D81DB3">
      <w:pPr>
        <w:pStyle w:val="BodyText"/>
        <w:numPr>
          <w:ilvl w:val="0"/>
          <w:numId w:val="27"/>
        </w:numPr>
        <w:spacing w:line="360" w:lineRule="auto"/>
        <w:rPr>
          <w:rFonts w:ascii="Gill Sans MT" w:hAnsi="Gill Sans MT"/>
          <w:sz w:val="20"/>
          <w:lang w:val="en-GB"/>
        </w:rPr>
      </w:pPr>
      <w:r>
        <w:rPr>
          <w:rFonts w:ascii="Gill Sans MT" w:hAnsi="Gill Sans MT"/>
          <w:sz w:val="20"/>
          <w:lang w:val="en-GB"/>
        </w:rPr>
        <w:t xml:space="preserve">In </w:t>
      </w:r>
      <w:r w:rsidRPr="00D56B9C">
        <w:rPr>
          <w:rFonts w:ascii="Gill Sans MT" w:hAnsi="Gill Sans MT"/>
          <w:b/>
          <w:sz w:val="20"/>
          <w:lang w:val="en-GB"/>
        </w:rPr>
        <w:t>Morocco</w:t>
      </w:r>
      <w:r>
        <w:rPr>
          <w:rFonts w:ascii="Gill Sans MT" w:hAnsi="Gill Sans MT"/>
          <w:sz w:val="20"/>
          <w:lang w:val="en-GB"/>
        </w:rPr>
        <w:t xml:space="preserve">, the primary focus has been </w:t>
      </w:r>
      <w:r w:rsidR="00BD495D">
        <w:rPr>
          <w:rFonts w:ascii="Gill Sans MT" w:hAnsi="Gill Sans MT"/>
          <w:sz w:val="20"/>
          <w:lang w:val="en-GB"/>
        </w:rPr>
        <w:t xml:space="preserve">on tax reforms and </w:t>
      </w:r>
      <w:r>
        <w:rPr>
          <w:rFonts w:ascii="Gill Sans MT" w:hAnsi="Gill Sans MT"/>
          <w:sz w:val="20"/>
          <w:lang w:val="en-GB"/>
        </w:rPr>
        <w:t xml:space="preserve">on legal, regulatory and organisational frameworks, supporting the introduction of reforms </w:t>
      </w:r>
      <w:r w:rsidR="009A6621">
        <w:rPr>
          <w:rFonts w:ascii="Gill Sans MT" w:hAnsi="Gill Sans MT"/>
          <w:sz w:val="20"/>
          <w:lang w:val="en-GB"/>
        </w:rPr>
        <w:t xml:space="preserve">in these areas within the financial sector, </w:t>
      </w:r>
      <w:r>
        <w:rPr>
          <w:rFonts w:ascii="Gill Sans MT" w:hAnsi="Gill Sans MT"/>
          <w:sz w:val="20"/>
          <w:lang w:val="en-GB"/>
        </w:rPr>
        <w:t>pu</w:t>
      </w:r>
      <w:r w:rsidR="009A6621">
        <w:rPr>
          <w:rFonts w:ascii="Gill Sans MT" w:hAnsi="Gill Sans MT"/>
          <w:sz w:val="20"/>
          <w:lang w:val="en-GB"/>
        </w:rPr>
        <w:t xml:space="preserve">blic administration systems, </w:t>
      </w:r>
      <w:r>
        <w:rPr>
          <w:rFonts w:ascii="Gill Sans MT" w:hAnsi="Gill Sans MT"/>
          <w:sz w:val="20"/>
          <w:lang w:val="en-GB"/>
        </w:rPr>
        <w:t>health</w:t>
      </w:r>
      <w:r w:rsidR="009A6621">
        <w:rPr>
          <w:rFonts w:ascii="Gill Sans MT" w:hAnsi="Gill Sans MT"/>
          <w:sz w:val="20"/>
          <w:lang w:val="en-GB"/>
        </w:rPr>
        <w:t xml:space="preserve"> (where a new health insurance scheme was introduced)</w:t>
      </w:r>
      <w:r>
        <w:rPr>
          <w:rFonts w:ascii="Gill Sans MT" w:hAnsi="Gill Sans MT"/>
          <w:sz w:val="20"/>
          <w:lang w:val="en-GB"/>
        </w:rPr>
        <w:t>, education and housing/ urban development.</w:t>
      </w:r>
      <w:r w:rsidR="009A6621">
        <w:rPr>
          <w:rFonts w:ascii="Gill Sans MT" w:hAnsi="Gill Sans MT"/>
          <w:sz w:val="20"/>
          <w:lang w:val="en-GB"/>
        </w:rPr>
        <w:t xml:space="preserve"> Support was also provided to the expansion of service delivery, particularly in health and education, with an accent on adult literacy and non-formal education. </w:t>
      </w:r>
    </w:p>
    <w:p w14:paraId="47A5F47F" w14:textId="77777777" w:rsidR="00DB0726" w:rsidRDefault="00DB0726" w:rsidP="00D81DB3">
      <w:pPr>
        <w:pStyle w:val="BodyText"/>
        <w:numPr>
          <w:ilvl w:val="0"/>
          <w:numId w:val="27"/>
        </w:numPr>
        <w:spacing w:line="360" w:lineRule="auto"/>
        <w:rPr>
          <w:rFonts w:ascii="Gill Sans MT" w:hAnsi="Gill Sans MT"/>
          <w:sz w:val="20"/>
          <w:lang w:val="en-GB"/>
        </w:rPr>
      </w:pPr>
      <w:r>
        <w:rPr>
          <w:rFonts w:ascii="Gill Sans MT" w:hAnsi="Gill Sans MT"/>
          <w:sz w:val="20"/>
          <w:lang w:val="en-GB"/>
        </w:rPr>
        <w:t xml:space="preserve">In </w:t>
      </w:r>
      <w:r w:rsidRPr="00D56B9C">
        <w:rPr>
          <w:rFonts w:ascii="Gill Sans MT" w:hAnsi="Gill Sans MT"/>
          <w:b/>
          <w:sz w:val="20"/>
          <w:lang w:val="en-GB"/>
        </w:rPr>
        <w:t>Tunisia</w:t>
      </w:r>
      <w:r>
        <w:rPr>
          <w:rFonts w:ascii="Gill Sans MT" w:hAnsi="Gill Sans MT"/>
          <w:sz w:val="20"/>
          <w:lang w:val="en-GB"/>
        </w:rPr>
        <w:t>, support was provide</w:t>
      </w:r>
      <w:r w:rsidR="00445F99">
        <w:rPr>
          <w:rFonts w:ascii="Gill Sans MT" w:hAnsi="Gill Sans MT"/>
          <w:sz w:val="20"/>
          <w:lang w:val="en-GB"/>
        </w:rPr>
        <w:t xml:space="preserve">d to a range of policy </w:t>
      </w:r>
      <w:r>
        <w:rPr>
          <w:rFonts w:ascii="Gill Sans MT" w:hAnsi="Gill Sans MT"/>
          <w:sz w:val="20"/>
          <w:lang w:val="en-GB"/>
        </w:rPr>
        <w:t xml:space="preserve">reforms aimed at addressing the requirements of the broader economic strategy to liberalise the domestic market and strengthen the ability of Tunisian economic actors to compete in </w:t>
      </w:r>
      <w:r w:rsidR="00445F99">
        <w:rPr>
          <w:rFonts w:ascii="Gill Sans MT" w:hAnsi="Gill Sans MT"/>
          <w:sz w:val="20"/>
          <w:lang w:val="en-GB"/>
        </w:rPr>
        <w:t xml:space="preserve">the international market. </w:t>
      </w:r>
      <w:r>
        <w:rPr>
          <w:rFonts w:ascii="Gill Sans MT" w:hAnsi="Gill Sans MT"/>
          <w:sz w:val="20"/>
          <w:lang w:val="en-GB"/>
        </w:rPr>
        <w:t xml:space="preserve">GBS contributed to the dismantling of trade tariffs and the reform of tax systems, </w:t>
      </w:r>
      <w:r w:rsidR="00BD495D" w:rsidRPr="00BD495D">
        <w:rPr>
          <w:rFonts w:ascii="Gill Sans MT" w:hAnsi="Gill Sans MT"/>
          <w:sz w:val="20"/>
          <w:lang w:val="en-GB"/>
        </w:rPr>
        <w:t>and to a lesser extent</w:t>
      </w:r>
      <w:r w:rsidR="00BD495D">
        <w:rPr>
          <w:rFonts w:ascii="Gill Sans MT" w:hAnsi="Gill Sans MT"/>
          <w:sz w:val="20"/>
          <w:lang w:val="en-GB"/>
        </w:rPr>
        <w:t xml:space="preserve"> </w:t>
      </w:r>
      <w:r>
        <w:rPr>
          <w:rFonts w:ascii="Gill Sans MT" w:hAnsi="Gill Sans MT"/>
          <w:sz w:val="20"/>
          <w:lang w:val="en-GB"/>
        </w:rPr>
        <w:t>the reform of the business environment and the remo</w:t>
      </w:r>
      <w:r w:rsidR="00445F99">
        <w:rPr>
          <w:rFonts w:ascii="Gill Sans MT" w:hAnsi="Gill Sans MT"/>
          <w:sz w:val="20"/>
          <w:lang w:val="en-GB"/>
        </w:rPr>
        <w:t xml:space="preserve">val of obstacles to competition. </w:t>
      </w:r>
      <w:r>
        <w:rPr>
          <w:rFonts w:ascii="Gill Sans MT" w:hAnsi="Gill Sans MT"/>
          <w:sz w:val="20"/>
          <w:lang w:val="en-GB"/>
        </w:rPr>
        <w:t xml:space="preserve">SBS </w:t>
      </w:r>
      <w:r w:rsidR="00445F99">
        <w:rPr>
          <w:rFonts w:ascii="Gill Sans MT" w:hAnsi="Gill Sans MT"/>
          <w:sz w:val="20"/>
          <w:lang w:val="en-GB"/>
        </w:rPr>
        <w:t xml:space="preserve">aimed to promote </w:t>
      </w:r>
      <w:r>
        <w:rPr>
          <w:rFonts w:ascii="Gill Sans MT" w:hAnsi="Gill Sans MT"/>
          <w:sz w:val="20"/>
          <w:lang w:val="en-GB"/>
        </w:rPr>
        <w:t xml:space="preserve">reforms to </w:t>
      </w:r>
      <w:r w:rsidR="00BD495D">
        <w:rPr>
          <w:rFonts w:ascii="Gill Sans MT" w:hAnsi="Gill Sans MT"/>
          <w:sz w:val="20"/>
          <w:lang w:val="en-GB"/>
        </w:rPr>
        <w:t xml:space="preserve">secondary and </w:t>
      </w:r>
      <w:r>
        <w:rPr>
          <w:rFonts w:ascii="Gill Sans MT" w:hAnsi="Gill Sans MT"/>
          <w:sz w:val="20"/>
          <w:lang w:val="en-GB"/>
        </w:rPr>
        <w:t>higher education and vocational training aimed at adapting the domestic labour market to the needs of a modern, internationally competitive economy.</w:t>
      </w:r>
      <w:r w:rsidR="00445F99">
        <w:rPr>
          <w:rFonts w:ascii="Gill Sans MT" w:hAnsi="Gill Sans MT"/>
          <w:sz w:val="20"/>
          <w:lang w:val="en-GB"/>
        </w:rPr>
        <w:t xml:space="preserve"> However, it was only partly successful in this aim, with the primary change being simply an expansion of the scale of existing programmes.</w:t>
      </w:r>
    </w:p>
    <w:p w14:paraId="44A187D9" w14:textId="77777777" w:rsidR="00DB0726" w:rsidRPr="008218B4" w:rsidRDefault="00DB0726" w:rsidP="00DB0726">
      <w:pPr>
        <w:pStyle w:val="Heading3"/>
      </w:pPr>
      <w:r w:rsidRPr="008218B4">
        <w:t>Outcomes &amp; Impacts</w:t>
      </w:r>
    </w:p>
    <w:p w14:paraId="03E57643" w14:textId="77777777" w:rsidR="00DB0726" w:rsidRDefault="00DB0726" w:rsidP="00DB0726">
      <w:pPr>
        <w:pStyle w:val="BodyText"/>
        <w:numPr>
          <w:ilvl w:val="0"/>
          <w:numId w:val="2"/>
        </w:numPr>
        <w:spacing w:line="360" w:lineRule="auto"/>
        <w:ind w:left="499" w:hanging="357"/>
        <w:rPr>
          <w:rFonts w:ascii="Gill Sans MT" w:hAnsi="Gill Sans MT"/>
          <w:sz w:val="20"/>
          <w:lang w:val="en-GB"/>
        </w:rPr>
      </w:pPr>
      <w:r w:rsidRPr="00CA704B">
        <w:rPr>
          <w:rFonts w:ascii="Gill Sans MT" w:hAnsi="Gill Sans MT"/>
          <w:b/>
          <w:sz w:val="20"/>
          <w:lang w:val="en-GB"/>
        </w:rPr>
        <w:t>T</w:t>
      </w:r>
      <w:r w:rsidR="00DD2E71">
        <w:rPr>
          <w:rFonts w:ascii="Gill Sans MT" w:hAnsi="Gill Sans MT"/>
          <w:b/>
          <w:sz w:val="20"/>
          <w:lang w:val="en-GB"/>
        </w:rPr>
        <w:t xml:space="preserve">he innovations </w:t>
      </w:r>
      <w:r w:rsidR="00C413BD" w:rsidRPr="00CA704B">
        <w:rPr>
          <w:rFonts w:ascii="Gill Sans MT" w:hAnsi="Gill Sans MT"/>
          <w:b/>
          <w:sz w:val="20"/>
          <w:lang w:val="en-GB"/>
        </w:rPr>
        <w:t xml:space="preserve">to the design of service delivery programmes </w:t>
      </w:r>
      <w:r w:rsidR="00B84DC4">
        <w:rPr>
          <w:rFonts w:ascii="Gill Sans MT" w:hAnsi="Gill Sans MT"/>
          <w:b/>
          <w:sz w:val="20"/>
          <w:lang w:val="en-GB"/>
        </w:rPr>
        <w:t xml:space="preserve">and their related governance arrangements </w:t>
      </w:r>
      <w:r w:rsidR="00C413BD" w:rsidRPr="00CA704B">
        <w:rPr>
          <w:rFonts w:ascii="Gill Sans MT" w:hAnsi="Gill Sans MT"/>
          <w:b/>
          <w:sz w:val="20"/>
          <w:lang w:val="en-GB"/>
        </w:rPr>
        <w:t xml:space="preserve">in South Africa are credited </w:t>
      </w:r>
      <w:r w:rsidRPr="00CA704B">
        <w:rPr>
          <w:rFonts w:ascii="Gill Sans MT" w:hAnsi="Gill Sans MT"/>
          <w:b/>
          <w:sz w:val="20"/>
          <w:lang w:val="en-GB"/>
        </w:rPr>
        <w:t>wi</w:t>
      </w:r>
      <w:r w:rsidR="00B84DC4">
        <w:rPr>
          <w:rFonts w:ascii="Gill Sans MT" w:hAnsi="Gill Sans MT"/>
          <w:b/>
          <w:sz w:val="20"/>
          <w:lang w:val="en-GB"/>
        </w:rPr>
        <w:t xml:space="preserve">th having generated positive </w:t>
      </w:r>
      <w:r w:rsidRPr="00CA704B">
        <w:rPr>
          <w:rFonts w:ascii="Gill Sans MT" w:hAnsi="Gill Sans MT"/>
          <w:b/>
          <w:sz w:val="20"/>
          <w:lang w:val="en-GB"/>
        </w:rPr>
        <w:t>development outcomes in a number of sectors</w:t>
      </w:r>
      <w:r>
        <w:rPr>
          <w:rFonts w:ascii="Gill Sans MT" w:hAnsi="Gill Sans MT"/>
          <w:sz w:val="20"/>
          <w:lang w:val="en-GB"/>
        </w:rPr>
        <w:t xml:space="preserve"> (Particip, 2014), for example:</w:t>
      </w:r>
    </w:p>
    <w:p w14:paraId="14F6A76F" w14:textId="77777777" w:rsidR="00DB0726" w:rsidRPr="003A70B4" w:rsidRDefault="00DB0726" w:rsidP="00D81DB3">
      <w:pPr>
        <w:pStyle w:val="BodyText"/>
        <w:numPr>
          <w:ilvl w:val="0"/>
          <w:numId w:val="28"/>
        </w:numPr>
        <w:spacing w:line="360" w:lineRule="auto"/>
        <w:rPr>
          <w:rFonts w:ascii="Gill Sans MT" w:hAnsi="Gill Sans MT"/>
          <w:sz w:val="20"/>
          <w:lang w:val="en-GB"/>
        </w:rPr>
      </w:pPr>
      <w:r>
        <w:rPr>
          <w:rFonts w:ascii="Gill Sans MT" w:hAnsi="Gill Sans MT"/>
          <w:i/>
          <w:sz w:val="20"/>
          <w:lang w:val="en-GB"/>
        </w:rPr>
        <w:t>‘The approach</w:t>
      </w:r>
      <w:r w:rsidR="00445F99">
        <w:rPr>
          <w:rFonts w:ascii="Gill Sans MT" w:hAnsi="Gill Sans MT"/>
          <w:i/>
          <w:sz w:val="20"/>
          <w:lang w:val="en-GB"/>
        </w:rPr>
        <w:t xml:space="preserve"> launched and tested </w:t>
      </w:r>
      <w:r>
        <w:rPr>
          <w:rFonts w:ascii="Gill Sans MT" w:hAnsi="Gill Sans MT"/>
          <w:i/>
          <w:sz w:val="20"/>
          <w:lang w:val="en-GB"/>
        </w:rPr>
        <w:t>in the water sector has been a determining factor of the success in increasing access to clean water and sanitation facilities in the poorest areas between 2000 and 2007.</w:t>
      </w:r>
    </w:p>
    <w:p w14:paraId="5581FE8D" w14:textId="77777777" w:rsidR="00DB0726" w:rsidRPr="003A70B4" w:rsidRDefault="00DB0726" w:rsidP="00D81DB3">
      <w:pPr>
        <w:pStyle w:val="BodyText"/>
        <w:numPr>
          <w:ilvl w:val="0"/>
          <w:numId w:val="28"/>
        </w:numPr>
        <w:spacing w:line="360" w:lineRule="auto"/>
        <w:rPr>
          <w:rFonts w:ascii="Gill Sans MT" w:hAnsi="Gill Sans MT"/>
          <w:sz w:val="20"/>
          <w:lang w:val="en-GB"/>
        </w:rPr>
      </w:pPr>
      <w:r>
        <w:rPr>
          <w:rFonts w:ascii="Gill Sans MT" w:hAnsi="Gill Sans MT"/>
          <w:i/>
          <w:sz w:val="20"/>
          <w:lang w:val="en-GB"/>
        </w:rPr>
        <w:t>The GoSA programme, Access to Justice and Constitutional Rights has produced important results by mobilising local networks of intermediation in the most marginalised areas, which have started responding to the democratic needs of the poor.</w:t>
      </w:r>
    </w:p>
    <w:p w14:paraId="770F4E05" w14:textId="77777777" w:rsidR="00DB0726" w:rsidRPr="003A70B4" w:rsidRDefault="00DB0726" w:rsidP="00D81DB3">
      <w:pPr>
        <w:pStyle w:val="BodyText"/>
        <w:numPr>
          <w:ilvl w:val="0"/>
          <w:numId w:val="28"/>
        </w:numPr>
        <w:spacing w:line="360" w:lineRule="auto"/>
        <w:rPr>
          <w:rFonts w:ascii="Gill Sans MT" w:hAnsi="Gill Sans MT"/>
          <w:sz w:val="20"/>
          <w:lang w:val="en-GB"/>
        </w:rPr>
      </w:pPr>
      <w:r>
        <w:rPr>
          <w:rFonts w:ascii="Gill Sans MT" w:hAnsi="Gill Sans MT"/>
          <w:i/>
          <w:sz w:val="20"/>
          <w:lang w:val="en-GB"/>
        </w:rPr>
        <w:t xml:space="preserve">Strengthened legislative assemblies, access of the poor to advanced technologies and improved access to primary health facilities are all consolidated outcomes of the policies and programmes supported through SBS. </w:t>
      </w:r>
    </w:p>
    <w:p w14:paraId="21311E1D" w14:textId="77777777" w:rsidR="00DB0726" w:rsidRDefault="00DB0726" w:rsidP="00DB0726">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  In South Africa, therefore, the purpose of t</w:t>
      </w:r>
      <w:r w:rsidR="00D04E1A">
        <w:rPr>
          <w:rFonts w:ascii="Gill Sans MT" w:hAnsi="Gill Sans MT"/>
          <w:sz w:val="20"/>
          <w:lang w:val="en-GB"/>
        </w:rPr>
        <w:t>he programme innovations promoted</w:t>
      </w:r>
      <w:r>
        <w:rPr>
          <w:rFonts w:ascii="Gill Sans MT" w:hAnsi="Gill Sans MT"/>
          <w:sz w:val="20"/>
          <w:lang w:val="en-GB"/>
        </w:rPr>
        <w:t xml:space="preserve"> (and in part financed) by SBS was to improve service delivery outcomes so as to reach the poor and more marginalised members of society and engage them more directly in the design and, </w:t>
      </w:r>
      <w:r w:rsidR="00D04E1A">
        <w:rPr>
          <w:rFonts w:ascii="Gill Sans MT" w:hAnsi="Gill Sans MT"/>
          <w:sz w:val="20"/>
          <w:lang w:val="en-GB"/>
        </w:rPr>
        <w:t>hence</w:t>
      </w:r>
      <w:r>
        <w:rPr>
          <w:rFonts w:ascii="Gill Sans MT" w:hAnsi="Gill Sans MT"/>
          <w:sz w:val="20"/>
          <w:lang w:val="en-GB"/>
        </w:rPr>
        <w:t xml:space="preserve">, </w:t>
      </w:r>
      <w:r w:rsidR="00D04E1A">
        <w:rPr>
          <w:rFonts w:ascii="Gill Sans MT" w:hAnsi="Gill Sans MT"/>
          <w:sz w:val="20"/>
          <w:lang w:val="en-GB"/>
        </w:rPr>
        <w:lastRenderedPageBreak/>
        <w:t xml:space="preserve">in </w:t>
      </w:r>
      <w:r>
        <w:rPr>
          <w:rFonts w:ascii="Gill Sans MT" w:hAnsi="Gill Sans MT"/>
          <w:sz w:val="20"/>
          <w:lang w:val="en-GB"/>
        </w:rPr>
        <w:t xml:space="preserve">the use of public services. </w:t>
      </w:r>
      <w:r w:rsidR="00D04E1A">
        <w:rPr>
          <w:rFonts w:ascii="Gill Sans MT" w:hAnsi="Gill Sans MT"/>
          <w:sz w:val="20"/>
          <w:lang w:val="en-GB"/>
        </w:rPr>
        <w:t xml:space="preserve">Across a number of sectors this objective was achieved, and </w:t>
      </w:r>
      <w:r w:rsidR="00445F99">
        <w:rPr>
          <w:rFonts w:ascii="Gill Sans MT" w:hAnsi="Gill Sans MT"/>
          <w:sz w:val="20"/>
          <w:lang w:val="en-GB"/>
        </w:rPr>
        <w:t>these</w:t>
      </w:r>
      <w:r w:rsidR="00D04E1A">
        <w:rPr>
          <w:rFonts w:ascii="Gill Sans MT" w:hAnsi="Gill Sans MT"/>
          <w:sz w:val="20"/>
          <w:lang w:val="en-GB"/>
        </w:rPr>
        <w:t xml:space="preserve"> policy innovations have already been scaled up and mainstreamed into national programmes within a number of sectors. To date, the effect on sectoral outcomes is primarily </w:t>
      </w:r>
      <w:r w:rsidR="00445F99">
        <w:rPr>
          <w:rFonts w:ascii="Gill Sans MT" w:hAnsi="Gill Sans MT"/>
          <w:sz w:val="20"/>
          <w:lang w:val="en-GB"/>
        </w:rPr>
        <w:t xml:space="preserve">noticeable </w:t>
      </w:r>
      <w:r w:rsidR="00D04E1A">
        <w:rPr>
          <w:rFonts w:ascii="Gill Sans MT" w:hAnsi="Gill Sans MT"/>
          <w:sz w:val="20"/>
          <w:lang w:val="en-GB"/>
        </w:rPr>
        <w:t>in the areas described above but it is anticipated that over time the successful innovations will be scaled up more extensively, so that these outcomes might be</w:t>
      </w:r>
      <w:r w:rsidR="00445F99">
        <w:rPr>
          <w:rFonts w:ascii="Gill Sans MT" w:hAnsi="Gill Sans MT"/>
          <w:sz w:val="20"/>
          <w:lang w:val="en-GB"/>
        </w:rPr>
        <w:t xml:space="preserve"> replicated more widely and</w:t>
      </w:r>
      <w:r w:rsidR="00D04E1A">
        <w:rPr>
          <w:rFonts w:ascii="Gill Sans MT" w:hAnsi="Gill Sans MT"/>
          <w:sz w:val="20"/>
          <w:lang w:val="en-GB"/>
        </w:rPr>
        <w:t xml:space="preserve"> in the longer term have impact on poverty and inequality.</w:t>
      </w:r>
    </w:p>
    <w:p w14:paraId="745D0198" w14:textId="77777777" w:rsidR="00DB0726" w:rsidRDefault="00DB0726" w:rsidP="00DB0726">
      <w:pPr>
        <w:pStyle w:val="BodyText"/>
        <w:numPr>
          <w:ilvl w:val="0"/>
          <w:numId w:val="2"/>
        </w:numPr>
        <w:spacing w:line="360" w:lineRule="auto"/>
        <w:ind w:left="499" w:hanging="357"/>
        <w:rPr>
          <w:rFonts w:ascii="Gill Sans MT" w:hAnsi="Gill Sans MT"/>
          <w:sz w:val="20"/>
          <w:lang w:val="en-GB"/>
        </w:rPr>
      </w:pPr>
      <w:r w:rsidRPr="00CA704B">
        <w:rPr>
          <w:rFonts w:ascii="Gill Sans MT" w:hAnsi="Gill Sans MT"/>
          <w:b/>
          <w:sz w:val="20"/>
          <w:lang w:val="en-GB"/>
        </w:rPr>
        <w:t>In</w:t>
      </w:r>
      <w:r w:rsidR="00787E18">
        <w:rPr>
          <w:rFonts w:ascii="Gill Sans MT" w:hAnsi="Gill Sans MT"/>
          <w:b/>
          <w:sz w:val="20"/>
          <w:lang w:val="en-GB"/>
        </w:rPr>
        <w:t xml:space="preserve"> Morocco, attention was </w:t>
      </w:r>
      <w:r w:rsidRPr="00CA704B">
        <w:rPr>
          <w:rFonts w:ascii="Gill Sans MT" w:hAnsi="Gill Sans MT"/>
          <w:b/>
          <w:sz w:val="20"/>
          <w:lang w:val="en-GB"/>
        </w:rPr>
        <w:t>focused on the processes needed to generate improvements in legal, regulatory and organisational frameworks,</w:t>
      </w:r>
      <w:r>
        <w:rPr>
          <w:rFonts w:ascii="Gill Sans MT" w:hAnsi="Gill Sans MT"/>
          <w:sz w:val="20"/>
          <w:lang w:val="en-GB"/>
        </w:rPr>
        <w:t xml:space="preserve"> without much attempt to target specific outcomes and impacts, which were perceived as long</w:t>
      </w:r>
      <w:r w:rsidR="001947B1">
        <w:rPr>
          <w:rFonts w:ascii="Gill Sans MT" w:hAnsi="Gill Sans MT"/>
          <w:sz w:val="20"/>
          <w:lang w:val="en-GB"/>
        </w:rPr>
        <w:t>er</w:t>
      </w:r>
      <w:r>
        <w:rPr>
          <w:rFonts w:ascii="Gill Sans MT" w:hAnsi="Gill Sans MT"/>
          <w:sz w:val="20"/>
          <w:lang w:val="en-GB"/>
        </w:rPr>
        <w:t xml:space="preserve"> term objectives. Neverthele</w:t>
      </w:r>
      <w:r w:rsidR="00DB1084">
        <w:rPr>
          <w:rFonts w:ascii="Gill Sans MT" w:hAnsi="Gill Sans MT"/>
          <w:sz w:val="20"/>
          <w:lang w:val="en-GB"/>
        </w:rPr>
        <w:t>ss</w:t>
      </w:r>
      <w:r w:rsidR="00AA3F98">
        <w:rPr>
          <w:rFonts w:ascii="Gill Sans MT" w:hAnsi="Gill Sans MT"/>
          <w:sz w:val="20"/>
          <w:lang w:val="en-GB"/>
        </w:rPr>
        <w:t xml:space="preserve">, </w:t>
      </w:r>
      <w:r w:rsidR="00DB1084">
        <w:rPr>
          <w:rFonts w:ascii="Gill Sans MT" w:hAnsi="Gill Sans MT"/>
          <w:sz w:val="20"/>
          <w:lang w:val="en-GB"/>
        </w:rPr>
        <w:t xml:space="preserve">budget support </w:t>
      </w:r>
      <w:r w:rsidR="00AA3F98">
        <w:rPr>
          <w:rFonts w:ascii="Gill Sans MT" w:hAnsi="Gill Sans MT"/>
          <w:sz w:val="20"/>
          <w:lang w:val="en-GB"/>
        </w:rPr>
        <w:t xml:space="preserve">still </w:t>
      </w:r>
      <w:r>
        <w:rPr>
          <w:rFonts w:ascii="Gill Sans MT" w:hAnsi="Gill Sans MT"/>
          <w:sz w:val="20"/>
          <w:lang w:val="en-GB"/>
        </w:rPr>
        <w:t>contributed to the following outcomes</w:t>
      </w:r>
      <w:r w:rsidR="00787E18">
        <w:rPr>
          <w:rFonts w:ascii="Gill Sans MT" w:hAnsi="Gill Sans MT"/>
          <w:sz w:val="20"/>
          <w:lang w:val="en-GB"/>
        </w:rPr>
        <w:t xml:space="preserve"> within the evaluation period</w:t>
      </w:r>
      <w:r>
        <w:rPr>
          <w:rFonts w:ascii="Gill Sans MT" w:hAnsi="Gill Sans MT"/>
          <w:sz w:val="20"/>
          <w:lang w:val="en-GB"/>
        </w:rPr>
        <w:t>:</w:t>
      </w:r>
    </w:p>
    <w:p w14:paraId="2F1313DD" w14:textId="77777777" w:rsidR="00DB0726" w:rsidRDefault="00DB1084" w:rsidP="00D81DB3">
      <w:pPr>
        <w:pStyle w:val="BodyText"/>
        <w:numPr>
          <w:ilvl w:val="0"/>
          <w:numId w:val="29"/>
        </w:numPr>
        <w:spacing w:line="360" w:lineRule="auto"/>
        <w:rPr>
          <w:rFonts w:ascii="Gill Sans MT" w:hAnsi="Gill Sans MT"/>
          <w:sz w:val="20"/>
          <w:lang w:val="en-GB"/>
        </w:rPr>
      </w:pPr>
      <w:r>
        <w:rPr>
          <w:rFonts w:ascii="Gill Sans MT" w:hAnsi="Gill Sans MT"/>
          <w:sz w:val="20"/>
          <w:lang w:val="en-GB"/>
        </w:rPr>
        <w:t xml:space="preserve">Increased coverage of the banking system, and increased use of the expanded </w:t>
      </w:r>
      <w:r w:rsidR="00DB0726">
        <w:rPr>
          <w:rFonts w:ascii="Gill Sans MT" w:hAnsi="Gill Sans MT"/>
          <w:sz w:val="20"/>
          <w:lang w:val="en-GB"/>
        </w:rPr>
        <w:t>range of financial products available to individuals and companies</w:t>
      </w:r>
      <w:r>
        <w:rPr>
          <w:rFonts w:ascii="Gill Sans MT" w:hAnsi="Gill Sans MT"/>
          <w:sz w:val="20"/>
          <w:lang w:val="en-GB"/>
        </w:rPr>
        <w:t>, including greater use of guarantees for loans to SMEs</w:t>
      </w:r>
      <w:r w:rsidR="00DB0726">
        <w:rPr>
          <w:rFonts w:ascii="Gill Sans MT" w:hAnsi="Gill Sans MT"/>
          <w:sz w:val="20"/>
          <w:lang w:val="en-GB"/>
        </w:rPr>
        <w:t>;</w:t>
      </w:r>
    </w:p>
    <w:p w14:paraId="09EDD1A4" w14:textId="77777777" w:rsidR="00DB0726" w:rsidRPr="00DB1084" w:rsidRDefault="00DB1084" w:rsidP="00DB1084">
      <w:pPr>
        <w:pStyle w:val="BodyText"/>
        <w:numPr>
          <w:ilvl w:val="0"/>
          <w:numId w:val="29"/>
        </w:numPr>
        <w:spacing w:line="360" w:lineRule="auto"/>
        <w:rPr>
          <w:rFonts w:ascii="Gill Sans MT" w:hAnsi="Gill Sans MT"/>
          <w:sz w:val="20"/>
          <w:lang w:val="en-GB"/>
        </w:rPr>
      </w:pPr>
      <w:r>
        <w:rPr>
          <w:rFonts w:ascii="Gill Sans MT" w:hAnsi="Gill Sans MT"/>
          <w:sz w:val="20"/>
          <w:lang w:val="en-GB"/>
        </w:rPr>
        <w:t>Wider adoption of health insurance and increased use of health care services, resulting in reduced rates of morbidity and mortality, in particular maternal mortality</w:t>
      </w:r>
      <w:r w:rsidR="00787E18">
        <w:rPr>
          <w:rFonts w:ascii="Gill Sans MT" w:hAnsi="Gill Sans MT"/>
          <w:sz w:val="20"/>
          <w:lang w:val="en-GB"/>
        </w:rPr>
        <w:t>;</w:t>
      </w:r>
    </w:p>
    <w:p w14:paraId="03903794" w14:textId="77777777" w:rsidR="00DB0726" w:rsidRDefault="00787E18" w:rsidP="00D81DB3">
      <w:pPr>
        <w:pStyle w:val="BodyText"/>
        <w:numPr>
          <w:ilvl w:val="0"/>
          <w:numId w:val="29"/>
        </w:numPr>
        <w:spacing w:line="360" w:lineRule="auto"/>
        <w:rPr>
          <w:rFonts w:ascii="Gill Sans MT" w:hAnsi="Gill Sans MT"/>
          <w:sz w:val="20"/>
          <w:lang w:val="en-GB"/>
        </w:rPr>
      </w:pPr>
      <w:r>
        <w:rPr>
          <w:rFonts w:ascii="Gill Sans MT" w:hAnsi="Gill Sans MT"/>
          <w:sz w:val="20"/>
          <w:lang w:val="en-GB"/>
        </w:rPr>
        <w:t>Improved school attendance</w:t>
      </w:r>
      <w:r w:rsidR="00DB0726">
        <w:rPr>
          <w:rFonts w:ascii="Gill Sans MT" w:hAnsi="Gill Sans MT"/>
          <w:sz w:val="20"/>
          <w:lang w:val="en-GB"/>
        </w:rPr>
        <w:t xml:space="preserve">, </w:t>
      </w:r>
      <w:r>
        <w:rPr>
          <w:rFonts w:ascii="Gill Sans MT" w:hAnsi="Gill Sans MT"/>
          <w:sz w:val="20"/>
          <w:lang w:val="en-GB"/>
        </w:rPr>
        <w:t xml:space="preserve">at each level of the system, </w:t>
      </w:r>
      <w:r w:rsidR="00DB0726">
        <w:rPr>
          <w:rFonts w:ascii="Gill Sans MT" w:hAnsi="Gill Sans MT"/>
          <w:sz w:val="20"/>
          <w:lang w:val="en-GB"/>
        </w:rPr>
        <w:t xml:space="preserve">resulting in a reduction in </w:t>
      </w:r>
      <w:proofErr w:type="gramStart"/>
      <w:r w:rsidR="00DB0726">
        <w:rPr>
          <w:rFonts w:ascii="Gill Sans MT" w:hAnsi="Gill Sans MT"/>
          <w:sz w:val="20"/>
          <w:lang w:val="en-GB"/>
        </w:rPr>
        <w:t>drop-out</w:t>
      </w:r>
      <w:proofErr w:type="gramEnd"/>
      <w:r w:rsidR="00DB0726">
        <w:rPr>
          <w:rFonts w:ascii="Gill Sans MT" w:hAnsi="Gill Sans MT"/>
          <w:sz w:val="20"/>
          <w:lang w:val="en-GB"/>
        </w:rPr>
        <w:t xml:space="preserve"> rates and improved progression rates. </w:t>
      </w:r>
    </w:p>
    <w:p w14:paraId="4EB0E8AE" w14:textId="77777777" w:rsidR="006826DB" w:rsidRDefault="006826DB" w:rsidP="00D81DB3">
      <w:pPr>
        <w:pStyle w:val="BodyText"/>
        <w:numPr>
          <w:ilvl w:val="0"/>
          <w:numId w:val="29"/>
        </w:numPr>
        <w:spacing w:line="360" w:lineRule="auto"/>
        <w:rPr>
          <w:rFonts w:ascii="Gill Sans MT" w:hAnsi="Gill Sans MT"/>
          <w:sz w:val="20"/>
          <w:lang w:val="en-GB"/>
        </w:rPr>
      </w:pPr>
      <w:r>
        <w:rPr>
          <w:rFonts w:ascii="Gill Sans MT" w:hAnsi="Gill Sans MT"/>
          <w:sz w:val="20"/>
          <w:lang w:val="en-GB"/>
        </w:rPr>
        <w:t xml:space="preserve">An increase in the </w:t>
      </w:r>
      <w:r w:rsidR="00AA3F98">
        <w:rPr>
          <w:rFonts w:ascii="Gill Sans MT" w:hAnsi="Gill Sans MT"/>
          <w:sz w:val="20"/>
          <w:lang w:val="en-GB"/>
        </w:rPr>
        <w:t>adult literacy rate from 52% in 2004 to 67% in 2011.</w:t>
      </w:r>
    </w:p>
    <w:p w14:paraId="73DB32B9" w14:textId="77777777" w:rsidR="00787E18" w:rsidRPr="00787E18" w:rsidRDefault="00787E18" w:rsidP="00DB0726">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The improvements in provision of social services were not, however, able to impact upon the significant disparities in utilisation of such services existing between urban and rural areas and between more and less disadvantaged regions. In the health sector, there was an improvement in the utilisation of maternal and reproductive health services but in the education sector gender disparities remained significant at all levels of the system, except primary. </w:t>
      </w:r>
    </w:p>
    <w:p w14:paraId="3B35E967" w14:textId="77777777" w:rsidR="00DB0726" w:rsidRDefault="00DB0726" w:rsidP="00DB0726">
      <w:pPr>
        <w:pStyle w:val="BodyText"/>
        <w:numPr>
          <w:ilvl w:val="0"/>
          <w:numId w:val="2"/>
        </w:numPr>
        <w:spacing w:line="360" w:lineRule="auto"/>
        <w:ind w:left="499" w:hanging="357"/>
        <w:rPr>
          <w:rFonts w:ascii="Gill Sans MT" w:hAnsi="Gill Sans MT"/>
          <w:sz w:val="20"/>
          <w:lang w:val="en-GB"/>
        </w:rPr>
      </w:pPr>
      <w:r w:rsidRPr="00CA704B">
        <w:rPr>
          <w:rFonts w:ascii="Gill Sans MT" w:hAnsi="Gill Sans MT"/>
          <w:b/>
          <w:sz w:val="20"/>
          <w:lang w:val="en-GB"/>
        </w:rPr>
        <w:t>In Tunisia, there was a clear link between the reforms supported and the overall strategy of liberalising the economy and promoting its competitive integration into the World economy</w:t>
      </w:r>
      <w:r w:rsidR="0082029B">
        <w:rPr>
          <w:rFonts w:ascii="Gill Sans MT" w:hAnsi="Gill Sans MT"/>
          <w:sz w:val="20"/>
          <w:lang w:val="en-GB"/>
        </w:rPr>
        <w:t xml:space="preserve">. Thus, the GBS </w:t>
      </w:r>
      <w:r>
        <w:rPr>
          <w:rFonts w:ascii="Gill Sans MT" w:hAnsi="Gill Sans MT"/>
          <w:sz w:val="20"/>
          <w:lang w:val="en-GB"/>
        </w:rPr>
        <w:t>operations targeted improvements with regard to increased trade, greater competitiveness, enhanced investment</w:t>
      </w:r>
      <w:r w:rsidR="0082029B">
        <w:rPr>
          <w:rFonts w:ascii="Gill Sans MT" w:hAnsi="Gill Sans MT"/>
          <w:sz w:val="20"/>
          <w:lang w:val="en-GB"/>
        </w:rPr>
        <w:t>, and economic growth while the SBS arrangements targeted</w:t>
      </w:r>
      <w:r>
        <w:rPr>
          <w:rFonts w:ascii="Gill Sans MT" w:hAnsi="Gill Sans MT"/>
          <w:sz w:val="20"/>
          <w:lang w:val="en-GB"/>
        </w:rPr>
        <w:t xml:space="preserve"> improvements in employment and in the accessibility and quality of higher education</w:t>
      </w:r>
      <w:r w:rsidR="00AA3F98">
        <w:rPr>
          <w:rFonts w:ascii="Gill Sans MT" w:hAnsi="Gill Sans MT"/>
          <w:sz w:val="20"/>
          <w:lang w:val="en-GB"/>
        </w:rPr>
        <w:t xml:space="preserve"> and vocational training. P</w:t>
      </w:r>
      <w:r>
        <w:rPr>
          <w:rFonts w:ascii="Gill Sans MT" w:hAnsi="Gill Sans MT"/>
          <w:sz w:val="20"/>
          <w:lang w:val="en-GB"/>
        </w:rPr>
        <w:t xml:space="preserve">rogress was achieved in most </w:t>
      </w:r>
      <w:r w:rsidR="00AA3F98">
        <w:rPr>
          <w:rFonts w:ascii="Gill Sans MT" w:hAnsi="Gill Sans MT"/>
          <w:sz w:val="20"/>
          <w:lang w:val="en-GB"/>
        </w:rPr>
        <w:t xml:space="preserve">but not all </w:t>
      </w:r>
      <w:r>
        <w:rPr>
          <w:rFonts w:ascii="Gill Sans MT" w:hAnsi="Gill Sans MT"/>
          <w:sz w:val="20"/>
          <w:lang w:val="en-GB"/>
        </w:rPr>
        <w:t>of these areas (DRN, 2011, pp. 69-79):</w:t>
      </w:r>
    </w:p>
    <w:p w14:paraId="1E47FA8C" w14:textId="77777777" w:rsidR="00DB0726" w:rsidRDefault="00DB0726" w:rsidP="00D81DB3">
      <w:pPr>
        <w:pStyle w:val="BodyText"/>
        <w:numPr>
          <w:ilvl w:val="0"/>
          <w:numId w:val="29"/>
        </w:numPr>
        <w:spacing w:line="360" w:lineRule="auto"/>
        <w:rPr>
          <w:rFonts w:ascii="Gill Sans MT" w:hAnsi="Gill Sans MT"/>
          <w:sz w:val="20"/>
          <w:lang w:val="en-GB"/>
        </w:rPr>
      </w:pPr>
      <w:r>
        <w:rPr>
          <w:rFonts w:ascii="Gill Sans MT" w:hAnsi="Gill Sans MT"/>
          <w:sz w:val="20"/>
          <w:lang w:val="en-GB"/>
        </w:rPr>
        <w:t>Real economic growth averaged 5 % per annum for the period, driven in particular by the expansion of manufacturing exports. Real per capita GDP grew 3.9% per annum over 1996 – 2008, as compared with 1.8% over 1987 – 1996.</w:t>
      </w:r>
    </w:p>
    <w:p w14:paraId="4A639670" w14:textId="77777777" w:rsidR="00DB0726" w:rsidRDefault="00DB0726" w:rsidP="00D81DB3">
      <w:pPr>
        <w:pStyle w:val="BodyText"/>
        <w:numPr>
          <w:ilvl w:val="0"/>
          <w:numId w:val="29"/>
        </w:numPr>
        <w:spacing w:line="360" w:lineRule="auto"/>
        <w:rPr>
          <w:rFonts w:ascii="Gill Sans MT" w:hAnsi="Gill Sans MT"/>
          <w:sz w:val="20"/>
          <w:lang w:val="en-GB"/>
        </w:rPr>
      </w:pPr>
      <w:r>
        <w:rPr>
          <w:rFonts w:ascii="Gill Sans MT" w:hAnsi="Gill Sans MT"/>
          <w:sz w:val="20"/>
          <w:lang w:val="en-GB"/>
        </w:rPr>
        <w:t xml:space="preserve">Trade between Tunisia and the European Union more than doubled in real terms between 1995 and 2006, with the surplus in favour of the EU gradually falling. </w:t>
      </w:r>
    </w:p>
    <w:p w14:paraId="698F2EC3" w14:textId="77777777" w:rsidR="00DB0726" w:rsidRDefault="00DB0726" w:rsidP="00D81DB3">
      <w:pPr>
        <w:pStyle w:val="BodyText"/>
        <w:numPr>
          <w:ilvl w:val="0"/>
          <w:numId w:val="29"/>
        </w:numPr>
        <w:spacing w:line="360" w:lineRule="auto"/>
        <w:rPr>
          <w:rFonts w:ascii="Gill Sans MT" w:hAnsi="Gill Sans MT"/>
          <w:sz w:val="20"/>
          <w:lang w:val="en-GB"/>
        </w:rPr>
      </w:pPr>
      <w:r>
        <w:rPr>
          <w:rFonts w:ascii="Gill Sans MT" w:hAnsi="Gill Sans MT"/>
          <w:sz w:val="20"/>
          <w:lang w:val="en-GB"/>
        </w:rPr>
        <w:lastRenderedPageBreak/>
        <w:t xml:space="preserve">The trade deficit was steadily reduced with the coverage of imports by exports rising from 76.5% in 1995 to 98.2% in 2008. </w:t>
      </w:r>
    </w:p>
    <w:p w14:paraId="3501D425" w14:textId="77777777" w:rsidR="00DB0726" w:rsidRDefault="00DB0726" w:rsidP="00D81DB3">
      <w:pPr>
        <w:pStyle w:val="BodyText"/>
        <w:numPr>
          <w:ilvl w:val="0"/>
          <w:numId w:val="29"/>
        </w:numPr>
        <w:spacing w:line="360" w:lineRule="auto"/>
        <w:rPr>
          <w:rFonts w:ascii="Gill Sans MT" w:hAnsi="Gill Sans MT"/>
          <w:sz w:val="20"/>
          <w:lang w:val="en-GB"/>
        </w:rPr>
      </w:pPr>
      <w:r>
        <w:rPr>
          <w:rFonts w:ascii="Gill Sans MT" w:hAnsi="Gill Sans MT"/>
          <w:sz w:val="20"/>
          <w:lang w:val="en-GB"/>
        </w:rPr>
        <w:t xml:space="preserve">Private investment doubled in real terms from 1996 to 2008, with average annual </w:t>
      </w:r>
      <w:r w:rsidR="00AA3F98">
        <w:rPr>
          <w:rFonts w:ascii="Gill Sans MT" w:hAnsi="Gill Sans MT"/>
          <w:sz w:val="20"/>
          <w:lang w:val="en-GB"/>
        </w:rPr>
        <w:t xml:space="preserve">growth of 7.5%. </w:t>
      </w:r>
      <w:r w:rsidR="00B12F05">
        <w:rPr>
          <w:rFonts w:ascii="Gill Sans MT" w:hAnsi="Gill Sans MT"/>
          <w:sz w:val="20"/>
          <w:lang w:val="en-GB"/>
        </w:rPr>
        <w:t xml:space="preserve">This was driven by expanded FDI, due in particular to privatisations, most notably of telecommunications, while domestic private investment actually declined. </w:t>
      </w:r>
      <w:r w:rsidR="00171197">
        <w:rPr>
          <w:rFonts w:ascii="Gill Sans MT" w:hAnsi="Gill Sans MT"/>
          <w:sz w:val="20"/>
          <w:lang w:val="en-GB"/>
        </w:rPr>
        <w:t xml:space="preserve">This </w:t>
      </w:r>
      <w:r w:rsidR="00171197" w:rsidRPr="00171197">
        <w:rPr>
          <w:rFonts w:ascii="Gill Sans MT" w:hAnsi="Gill Sans MT"/>
          <w:sz w:val="20"/>
          <w:lang w:val="en-GB"/>
        </w:rPr>
        <w:t>was mainly due to the difficult</w:t>
      </w:r>
      <w:r w:rsidR="00171197">
        <w:rPr>
          <w:rFonts w:ascii="Gill Sans MT" w:hAnsi="Gill Sans MT"/>
          <w:sz w:val="20"/>
          <w:lang w:val="en-GB"/>
        </w:rPr>
        <w:t xml:space="preserve">ies in liberalising </w:t>
      </w:r>
      <w:r w:rsidR="00171197" w:rsidRPr="00171197">
        <w:rPr>
          <w:rFonts w:ascii="Gill Sans MT" w:hAnsi="Gill Sans MT"/>
          <w:sz w:val="20"/>
          <w:lang w:val="en-GB"/>
        </w:rPr>
        <w:t>the domestic market</w:t>
      </w:r>
      <w:r w:rsidR="00171197">
        <w:rPr>
          <w:rFonts w:ascii="Gill Sans MT" w:hAnsi="Gill Sans MT"/>
          <w:sz w:val="20"/>
          <w:lang w:val="en-GB"/>
        </w:rPr>
        <w:t xml:space="preserve"> (persistence of monopolies, </w:t>
      </w:r>
      <w:r w:rsidR="00171197" w:rsidRPr="00171197">
        <w:rPr>
          <w:rFonts w:ascii="Gill Sans MT" w:hAnsi="Gill Sans MT"/>
          <w:sz w:val="20"/>
          <w:lang w:val="en-GB"/>
        </w:rPr>
        <w:t>uncertain legal framework) and was the main cause of the inadequate growth of employment.</w:t>
      </w:r>
    </w:p>
    <w:p w14:paraId="22345919" w14:textId="77777777" w:rsidR="00DB0726" w:rsidRPr="0024226D" w:rsidRDefault="00DB0726" w:rsidP="0024226D">
      <w:pPr>
        <w:pStyle w:val="BodyText"/>
        <w:numPr>
          <w:ilvl w:val="0"/>
          <w:numId w:val="29"/>
        </w:numPr>
        <w:spacing w:line="360" w:lineRule="auto"/>
        <w:rPr>
          <w:rFonts w:ascii="Gill Sans MT" w:hAnsi="Gill Sans MT"/>
          <w:sz w:val="20"/>
          <w:lang w:val="en-GB"/>
        </w:rPr>
      </w:pPr>
      <w:r>
        <w:rPr>
          <w:rFonts w:ascii="Gill Sans MT" w:hAnsi="Gill Sans MT"/>
          <w:sz w:val="20"/>
          <w:lang w:val="en-GB"/>
        </w:rPr>
        <w:t>Productivity steadily improved over the period, leaving Tunisia with the highest productivity of the countries in the Maghreb region at the close of the period.</w:t>
      </w:r>
      <w:r w:rsidR="0024226D">
        <w:rPr>
          <w:rFonts w:ascii="Gill Sans MT" w:hAnsi="Gill Sans MT"/>
          <w:sz w:val="20"/>
          <w:lang w:val="en-GB"/>
        </w:rPr>
        <w:t xml:space="preserve"> </w:t>
      </w:r>
      <w:r w:rsidRPr="0024226D">
        <w:rPr>
          <w:rFonts w:ascii="Gill Sans MT" w:hAnsi="Gill Sans MT"/>
          <w:sz w:val="20"/>
          <w:lang w:val="en-GB"/>
        </w:rPr>
        <w:t xml:space="preserve">Unfortunately, improvements in Total Factor Productivity were still insufficient to generate an accelerated rate of employment growth. </w:t>
      </w:r>
    </w:p>
    <w:p w14:paraId="4D4ADCC3" w14:textId="77777777" w:rsidR="0082029B" w:rsidRDefault="00DB0726" w:rsidP="00D81DB3">
      <w:pPr>
        <w:pStyle w:val="BodyText"/>
        <w:numPr>
          <w:ilvl w:val="0"/>
          <w:numId w:val="29"/>
        </w:numPr>
        <w:spacing w:line="360" w:lineRule="auto"/>
        <w:rPr>
          <w:rFonts w:ascii="Gill Sans MT" w:hAnsi="Gill Sans MT"/>
          <w:sz w:val="20"/>
          <w:lang w:val="en-GB"/>
        </w:rPr>
      </w:pPr>
      <w:r>
        <w:rPr>
          <w:rFonts w:ascii="Gill Sans MT" w:hAnsi="Gill Sans MT"/>
          <w:sz w:val="20"/>
          <w:lang w:val="en-GB"/>
        </w:rPr>
        <w:t xml:space="preserve">The number of apprentices in vocational training increased from 40,000 in 1996 to 103,500 in 2008. The number of graduates in higher education increased by 8.5% annually over 2000 to 2008, generating an aggregate rise of 70%. Graduate numbers over the same period increased by 180%, demonstrating a significant improvement in internal efficiency. </w:t>
      </w:r>
    </w:p>
    <w:p w14:paraId="4C040605" w14:textId="77777777" w:rsidR="00DB0726" w:rsidRDefault="0024226D" w:rsidP="00D81DB3">
      <w:pPr>
        <w:pStyle w:val="BodyText"/>
        <w:numPr>
          <w:ilvl w:val="0"/>
          <w:numId w:val="29"/>
        </w:numPr>
        <w:spacing w:line="360" w:lineRule="auto"/>
        <w:rPr>
          <w:rFonts w:ascii="Gill Sans MT" w:hAnsi="Gill Sans MT"/>
          <w:sz w:val="20"/>
          <w:lang w:val="en-GB"/>
        </w:rPr>
      </w:pPr>
      <w:r>
        <w:rPr>
          <w:rFonts w:ascii="Gill Sans MT" w:hAnsi="Gill Sans MT"/>
          <w:sz w:val="20"/>
          <w:lang w:val="en-GB"/>
        </w:rPr>
        <w:t xml:space="preserve">However, the </w:t>
      </w:r>
      <w:r w:rsidRPr="0024226D">
        <w:rPr>
          <w:rFonts w:ascii="Gill Sans MT" w:hAnsi="Gill Sans MT"/>
          <w:sz w:val="20"/>
          <w:lang w:val="en-GB"/>
        </w:rPr>
        <w:t>growth</w:t>
      </w:r>
      <w:r>
        <w:rPr>
          <w:rFonts w:ascii="Gill Sans MT" w:hAnsi="Gill Sans MT"/>
          <w:sz w:val="20"/>
          <w:lang w:val="en-GB"/>
        </w:rPr>
        <w:t xml:space="preserve"> in graduate numbers </w:t>
      </w:r>
      <w:r w:rsidRPr="0024226D">
        <w:rPr>
          <w:rFonts w:ascii="Gill Sans MT" w:hAnsi="Gill Sans MT"/>
          <w:sz w:val="20"/>
          <w:lang w:val="en-GB"/>
        </w:rPr>
        <w:t xml:space="preserve">would have needed much higher investment rates to be </w:t>
      </w:r>
      <w:r>
        <w:rPr>
          <w:rFonts w:ascii="Gill Sans MT" w:hAnsi="Gill Sans MT"/>
          <w:sz w:val="20"/>
          <w:lang w:val="en-GB"/>
        </w:rPr>
        <w:t xml:space="preserve">successfully </w:t>
      </w:r>
      <w:r w:rsidRPr="0024226D">
        <w:rPr>
          <w:rFonts w:ascii="Gill Sans MT" w:hAnsi="Gill Sans MT"/>
          <w:sz w:val="20"/>
          <w:lang w:val="en-GB"/>
        </w:rPr>
        <w:t>absorbed</w:t>
      </w:r>
      <w:r>
        <w:rPr>
          <w:rFonts w:ascii="Gill Sans MT" w:hAnsi="Gill Sans MT"/>
          <w:sz w:val="20"/>
          <w:lang w:val="en-GB"/>
        </w:rPr>
        <w:t xml:space="preserve"> into the labour market</w:t>
      </w:r>
      <w:r w:rsidR="00AA3F98">
        <w:rPr>
          <w:rFonts w:ascii="Gill Sans MT" w:hAnsi="Gill Sans MT"/>
          <w:sz w:val="20"/>
          <w:lang w:val="en-GB"/>
        </w:rPr>
        <w:t>; moreover, there was little change in the quality of education and training and in its suitability to a modernised economy.</w:t>
      </w:r>
    </w:p>
    <w:p w14:paraId="5167DE35" w14:textId="77777777" w:rsidR="00DB0726" w:rsidRPr="00372CF5" w:rsidRDefault="00DB0726" w:rsidP="00D81DB3">
      <w:pPr>
        <w:pStyle w:val="Heading2"/>
        <w:numPr>
          <w:ilvl w:val="1"/>
          <w:numId w:val="26"/>
        </w:numPr>
        <w:spacing w:before="120" w:after="120"/>
        <w:rPr>
          <w:bCs w:val="0"/>
        </w:rPr>
      </w:pPr>
      <w:bookmarkStart w:id="83" w:name="_Toc270144539"/>
      <w:bookmarkStart w:id="84" w:name="_Toc279848250"/>
      <w:r>
        <w:rPr>
          <w:bCs w:val="0"/>
        </w:rPr>
        <w:t>Overall Conclusions</w:t>
      </w:r>
      <w:bookmarkEnd w:id="83"/>
      <w:r w:rsidR="00286265">
        <w:rPr>
          <w:bCs w:val="0"/>
        </w:rPr>
        <w:t xml:space="preserve"> on Budget Support in MICs</w:t>
      </w:r>
      <w:bookmarkEnd w:id="84"/>
    </w:p>
    <w:p w14:paraId="18C482C7" w14:textId="77777777" w:rsidR="00DB0726" w:rsidRPr="007D6FEA" w:rsidRDefault="00DB0726" w:rsidP="00DB0726">
      <w:pPr>
        <w:pStyle w:val="Heading3"/>
      </w:pPr>
      <w:r w:rsidRPr="007D6FEA">
        <w:t>Significant results, from diverse programmes…</w:t>
      </w:r>
    </w:p>
    <w:p w14:paraId="45D9D8DF" w14:textId="77777777" w:rsidR="00DB0726" w:rsidRDefault="00EC33B0" w:rsidP="00DB0726">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The </w:t>
      </w:r>
      <w:r w:rsidR="00DB0726">
        <w:rPr>
          <w:rFonts w:ascii="Gill Sans MT" w:hAnsi="Gill Sans MT"/>
          <w:sz w:val="20"/>
          <w:lang w:val="en-GB"/>
        </w:rPr>
        <w:t xml:space="preserve">budget support programmes evaluated in </w:t>
      </w:r>
      <w:r>
        <w:rPr>
          <w:rFonts w:ascii="Gill Sans MT" w:hAnsi="Gill Sans MT"/>
          <w:sz w:val="20"/>
          <w:lang w:val="en-GB"/>
        </w:rPr>
        <w:t xml:space="preserve">the three </w:t>
      </w:r>
      <w:r w:rsidR="00DB0726">
        <w:rPr>
          <w:rFonts w:ascii="Gill Sans MT" w:hAnsi="Gill Sans MT"/>
          <w:sz w:val="20"/>
          <w:lang w:val="en-GB"/>
        </w:rPr>
        <w:t>MIC countries have diverse structures and objectives; yet all have succeeded in generating results of relevance to the strategic interests of these countries:</w:t>
      </w:r>
    </w:p>
    <w:p w14:paraId="5161AEEA" w14:textId="77777777" w:rsidR="00DB0726" w:rsidRDefault="00EC33B0" w:rsidP="00D81DB3">
      <w:pPr>
        <w:pStyle w:val="BodyText"/>
        <w:numPr>
          <w:ilvl w:val="0"/>
          <w:numId w:val="32"/>
        </w:numPr>
        <w:spacing w:line="360" w:lineRule="auto"/>
        <w:rPr>
          <w:rFonts w:ascii="Gill Sans MT" w:hAnsi="Gill Sans MT"/>
          <w:sz w:val="20"/>
          <w:lang w:val="en-GB"/>
        </w:rPr>
      </w:pPr>
      <w:r>
        <w:rPr>
          <w:rFonts w:ascii="Gill Sans MT" w:hAnsi="Gill Sans MT"/>
          <w:sz w:val="20"/>
          <w:lang w:val="en-GB"/>
        </w:rPr>
        <w:t>I</w:t>
      </w:r>
      <w:r w:rsidR="00DB0726">
        <w:rPr>
          <w:rFonts w:ascii="Gill Sans MT" w:hAnsi="Gill Sans MT"/>
          <w:sz w:val="20"/>
          <w:lang w:val="en-GB"/>
        </w:rPr>
        <w:t xml:space="preserve">nnovations were promoted in South Africa, which provide the potential for closer engagement of the poor and marginalised in the process of service delivery. </w:t>
      </w:r>
      <w:r w:rsidR="008A7A73" w:rsidRPr="008A7A73">
        <w:rPr>
          <w:rFonts w:ascii="Gill Sans MT" w:hAnsi="Gill Sans MT"/>
          <w:sz w:val="20"/>
          <w:lang w:val="en-GB"/>
        </w:rPr>
        <w:t>Where the scaling up process has been carried ou</w:t>
      </w:r>
      <w:r>
        <w:rPr>
          <w:rFonts w:ascii="Gill Sans MT" w:hAnsi="Gill Sans MT"/>
          <w:sz w:val="20"/>
          <w:lang w:val="en-GB"/>
        </w:rPr>
        <w:t>t, as in the Water &amp; S</w:t>
      </w:r>
      <w:r w:rsidR="008A7A73" w:rsidRPr="008A7A73">
        <w:rPr>
          <w:rFonts w:ascii="Gill Sans MT" w:hAnsi="Gill Sans MT"/>
          <w:sz w:val="20"/>
          <w:lang w:val="en-GB"/>
        </w:rPr>
        <w:t>anitation and other sectors, there is evidence that these innovations help</w:t>
      </w:r>
      <w:r w:rsidR="008A7A73">
        <w:rPr>
          <w:rFonts w:ascii="Gill Sans MT" w:hAnsi="Gill Sans MT"/>
          <w:sz w:val="20"/>
          <w:lang w:val="en-GB"/>
        </w:rPr>
        <w:t>ed</w:t>
      </w:r>
      <w:r w:rsidR="008A7A73" w:rsidRPr="008A7A73">
        <w:rPr>
          <w:rFonts w:ascii="Gill Sans MT" w:hAnsi="Gill Sans MT"/>
          <w:sz w:val="20"/>
          <w:lang w:val="en-GB"/>
        </w:rPr>
        <w:t xml:space="preserve"> the Government of South Africa to impact more forcefully on poverty and inequality</w:t>
      </w:r>
      <w:r w:rsidR="008A7A73" w:rsidRPr="004C37A3">
        <w:rPr>
          <w:rFonts w:ascii="Gill Sans MT" w:hAnsi="Gill Sans MT"/>
          <w:sz w:val="20"/>
          <w:lang w:val="en-GB"/>
        </w:rPr>
        <w:t>.</w:t>
      </w:r>
      <w:r w:rsidR="008A7A73">
        <w:rPr>
          <w:rFonts w:ascii="Gill Sans MT" w:hAnsi="Gill Sans MT"/>
          <w:sz w:val="20"/>
          <w:lang w:val="en-GB"/>
        </w:rPr>
        <w:t xml:space="preserve"> </w:t>
      </w:r>
    </w:p>
    <w:p w14:paraId="2B8020EC" w14:textId="77777777" w:rsidR="00DB0726" w:rsidRDefault="003700FB" w:rsidP="00D81DB3">
      <w:pPr>
        <w:pStyle w:val="BodyText"/>
        <w:numPr>
          <w:ilvl w:val="0"/>
          <w:numId w:val="32"/>
        </w:numPr>
        <w:spacing w:line="360" w:lineRule="auto"/>
        <w:rPr>
          <w:rFonts w:ascii="Gill Sans MT" w:hAnsi="Gill Sans MT"/>
          <w:sz w:val="20"/>
          <w:lang w:val="en-GB"/>
        </w:rPr>
      </w:pPr>
      <w:r>
        <w:rPr>
          <w:rFonts w:ascii="Gill Sans MT" w:hAnsi="Gill Sans MT"/>
          <w:sz w:val="20"/>
          <w:lang w:val="en-GB"/>
        </w:rPr>
        <w:t>Tax and customs r</w:t>
      </w:r>
      <w:r w:rsidR="00DB0726">
        <w:rPr>
          <w:rFonts w:ascii="Gill Sans MT" w:hAnsi="Gill Sans MT"/>
          <w:sz w:val="20"/>
          <w:lang w:val="en-GB"/>
        </w:rPr>
        <w:t xml:space="preserve">eforms </w:t>
      </w:r>
      <w:r>
        <w:rPr>
          <w:rFonts w:ascii="Gill Sans MT" w:hAnsi="Gill Sans MT"/>
          <w:sz w:val="20"/>
          <w:lang w:val="en-GB"/>
        </w:rPr>
        <w:t xml:space="preserve">and changes </w:t>
      </w:r>
      <w:r w:rsidR="00DB0726">
        <w:rPr>
          <w:rFonts w:ascii="Gill Sans MT" w:hAnsi="Gill Sans MT"/>
          <w:sz w:val="20"/>
          <w:lang w:val="en-GB"/>
        </w:rPr>
        <w:t>to the legal and regulatory framework were introduced in Morocco</w:t>
      </w:r>
      <w:r w:rsidR="00EC33B0">
        <w:rPr>
          <w:rFonts w:ascii="Gill Sans MT" w:hAnsi="Gill Sans MT"/>
          <w:sz w:val="20"/>
          <w:lang w:val="en-GB"/>
        </w:rPr>
        <w:t xml:space="preserve"> supported by the SBS programmes. These reforms </w:t>
      </w:r>
      <w:r w:rsidR="00DB0726">
        <w:rPr>
          <w:rFonts w:ascii="Gill Sans MT" w:hAnsi="Gill Sans MT"/>
          <w:sz w:val="20"/>
          <w:lang w:val="en-GB"/>
        </w:rPr>
        <w:t xml:space="preserve">have </w:t>
      </w:r>
      <w:r>
        <w:rPr>
          <w:rFonts w:ascii="Gill Sans MT" w:hAnsi="Gill Sans MT"/>
          <w:sz w:val="20"/>
          <w:lang w:val="en-GB"/>
        </w:rPr>
        <w:t>helped to liberalise the domestic market and to increase</w:t>
      </w:r>
      <w:r w:rsidR="00DB0726">
        <w:rPr>
          <w:rFonts w:ascii="Gill Sans MT" w:hAnsi="Gill Sans MT"/>
          <w:sz w:val="20"/>
          <w:lang w:val="en-GB"/>
        </w:rPr>
        <w:t xml:space="preserve"> the diversity of financ</w:t>
      </w:r>
      <w:r>
        <w:rPr>
          <w:rFonts w:ascii="Gill Sans MT" w:hAnsi="Gill Sans MT"/>
          <w:sz w:val="20"/>
          <w:lang w:val="en-GB"/>
        </w:rPr>
        <w:t>ial services, while contributing</w:t>
      </w:r>
      <w:r w:rsidR="00DB0726">
        <w:rPr>
          <w:rFonts w:ascii="Gill Sans MT" w:hAnsi="Gill Sans MT"/>
          <w:sz w:val="20"/>
          <w:lang w:val="en-GB"/>
        </w:rPr>
        <w:t xml:space="preserve"> to the modernisation o</w:t>
      </w:r>
      <w:r>
        <w:rPr>
          <w:rFonts w:ascii="Gill Sans MT" w:hAnsi="Gill Sans MT"/>
          <w:sz w:val="20"/>
          <w:lang w:val="en-GB"/>
        </w:rPr>
        <w:t xml:space="preserve">f public administration systems and </w:t>
      </w:r>
      <w:r>
        <w:rPr>
          <w:rFonts w:ascii="Gill Sans MT" w:hAnsi="Gill Sans MT"/>
          <w:sz w:val="20"/>
          <w:lang w:val="en-GB"/>
        </w:rPr>
        <w:lastRenderedPageBreak/>
        <w:t>to the improvement of social service provision.</w:t>
      </w:r>
      <w:r w:rsidR="00EC33B0">
        <w:rPr>
          <w:rFonts w:ascii="Gill Sans MT" w:hAnsi="Gill Sans MT"/>
          <w:sz w:val="20"/>
          <w:lang w:val="en-GB"/>
        </w:rPr>
        <w:t xml:space="preserve"> These are </w:t>
      </w:r>
      <w:r w:rsidR="00DB0726">
        <w:rPr>
          <w:rFonts w:ascii="Gill Sans MT" w:hAnsi="Gill Sans MT"/>
          <w:sz w:val="20"/>
          <w:lang w:val="en-GB"/>
        </w:rPr>
        <w:t>component parts of a wider reform agenda, which the Government of Morocco is managing at its own pace.</w:t>
      </w:r>
    </w:p>
    <w:p w14:paraId="6D7BD65F" w14:textId="77777777" w:rsidR="00DB0726" w:rsidRDefault="00DB0726" w:rsidP="00D81DB3">
      <w:pPr>
        <w:pStyle w:val="BodyText"/>
        <w:numPr>
          <w:ilvl w:val="0"/>
          <w:numId w:val="32"/>
        </w:numPr>
        <w:spacing w:line="360" w:lineRule="auto"/>
        <w:rPr>
          <w:rFonts w:ascii="Gill Sans MT" w:hAnsi="Gill Sans MT"/>
          <w:sz w:val="20"/>
          <w:lang w:val="en-GB"/>
        </w:rPr>
      </w:pPr>
      <w:r>
        <w:rPr>
          <w:rFonts w:ascii="Gill Sans MT" w:hAnsi="Gill Sans MT"/>
          <w:sz w:val="20"/>
          <w:lang w:val="en-GB"/>
        </w:rPr>
        <w:t xml:space="preserve">In Tunisia, the contribution </w:t>
      </w:r>
      <w:r w:rsidR="00EC33B0">
        <w:rPr>
          <w:rFonts w:ascii="Gill Sans MT" w:hAnsi="Gill Sans MT"/>
          <w:sz w:val="20"/>
          <w:lang w:val="en-GB"/>
        </w:rPr>
        <w:t xml:space="preserve">of GBS </w:t>
      </w:r>
      <w:r>
        <w:rPr>
          <w:rFonts w:ascii="Gill Sans MT" w:hAnsi="Gill Sans MT"/>
          <w:sz w:val="20"/>
          <w:lang w:val="en-GB"/>
        </w:rPr>
        <w:t>to strategic reforms was more direct, providing immediate support to tax reforms, tariff dismantling and</w:t>
      </w:r>
      <w:r w:rsidR="00EC33B0">
        <w:rPr>
          <w:rFonts w:ascii="Gill Sans MT" w:hAnsi="Gill Sans MT"/>
          <w:sz w:val="20"/>
          <w:lang w:val="en-GB"/>
        </w:rPr>
        <w:t xml:space="preserve"> market liberalisation measures.</w:t>
      </w:r>
      <w:r>
        <w:rPr>
          <w:rFonts w:ascii="Gill Sans MT" w:hAnsi="Gill Sans MT"/>
          <w:sz w:val="20"/>
          <w:lang w:val="en-GB"/>
        </w:rPr>
        <w:t xml:space="preserve"> Each of these </w:t>
      </w:r>
      <w:proofErr w:type="gramStart"/>
      <w:r>
        <w:rPr>
          <w:rFonts w:ascii="Gill Sans MT" w:hAnsi="Gill Sans MT"/>
          <w:sz w:val="20"/>
          <w:lang w:val="en-GB"/>
        </w:rPr>
        <w:t>represent</w:t>
      </w:r>
      <w:proofErr w:type="gramEnd"/>
      <w:r>
        <w:rPr>
          <w:rFonts w:ascii="Gill Sans MT" w:hAnsi="Gill Sans MT"/>
          <w:sz w:val="20"/>
          <w:lang w:val="en-GB"/>
        </w:rPr>
        <w:t xml:space="preserve"> integral elements of a wider strategy to promote integration into the World economy, under the auspices of the Association Agreement with the EU. </w:t>
      </w:r>
      <w:r w:rsidR="00EC33B0">
        <w:rPr>
          <w:rFonts w:ascii="Gill Sans MT" w:hAnsi="Gill Sans MT"/>
          <w:sz w:val="20"/>
          <w:lang w:val="en-GB"/>
        </w:rPr>
        <w:t xml:space="preserve">Support through SBS operations to the upgrading of the secondary and higher education and vocational training systems was less successful, assisting in expanding the coverage but with less impact on quality or on the adaptation </w:t>
      </w:r>
      <w:r w:rsidR="005E16B1">
        <w:rPr>
          <w:rFonts w:ascii="Gill Sans MT" w:hAnsi="Gill Sans MT"/>
          <w:sz w:val="20"/>
          <w:lang w:val="en-GB"/>
        </w:rPr>
        <w:t xml:space="preserve">of the curricula </w:t>
      </w:r>
      <w:r w:rsidR="00EC33B0">
        <w:rPr>
          <w:rFonts w:ascii="Gill Sans MT" w:hAnsi="Gill Sans MT"/>
          <w:sz w:val="20"/>
          <w:lang w:val="en-GB"/>
        </w:rPr>
        <w:t>to the international market.</w:t>
      </w:r>
    </w:p>
    <w:p w14:paraId="42DBF625" w14:textId="77777777" w:rsidR="00DB0726" w:rsidRDefault="00DB0726" w:rsidP="00DB0726">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 </w:t>
      </w:r>
      <w:r w:rsidR="00EC33B0">
        <w:rPr>
          <w:rFonts w:ascii="Gill Sans MT" w:hAnsi="Gill Sans MT"/>
          <w:sz w:val="20"/>
          <w:lang w:val="en-GB"/>
        </w:rPr>
        <w:t>I</w:t>
      </w:r>
      <w:r>
        <w:rPr>
          <w:rFonts w:ascii="Gill Sans MT" w:hAnsi="Gill Sans MT"/>
          <w:sz w:val="20"/>
          <w:lang w:val="en-GB"/>
        </w:rPr>
        <w:t>n each country</w:t>
      </w:r>
      <w:r w:rsidR="00EC33B0">
        <w:rPr>
          <w:rFonts w:ascii="Gill Sans MT" w:hAnsi="Gill Sans MT"/>
          <w:sz w:val="20"/>
          <w:lang w:val="en-GB"/>
        </w:rPr>
        <w:t>,</w:t>
      </w:r>
      <w:r>
        <w:rPr>
          <w:rFonts w:ascii="Gill Sans MT" w:hAnsi="Gill Sans MT"/>
          <w:sz w:val="20"/>
          <w:lang w:val="en-GB"/>
        </w:rPr>
        <w:t xml:space="preserve"> the relevance of the budget support contributions to the wider strategic agenda </w:t>
      </w:r>
      <w:r w:rsidR="004716F2">
        <w:rPr>
          <w:rFonts w:ascii="Gill Sans MT" w:hAnsi="Gill Sans MT"/>
          <w:sz w:val="20"/>
          <w:lang w:val="en-GB"/>
        </w:rPr>
        <w:t xml:space="preserve">is clear. Moreover, there is little </w:t>
      </w:r>
      <w:r>
        <w:rPr>
          <w:rFonts w:ascii="Gill Sans MT" w:hAnsi="Gill Sans MT"/>
          <w:sz w:val="20"/>
          <w:lang w:val="en-GB"/>
        </w:rPr>
        <w:t xml:space="preserve">doubt over the sustainability of these results. Despite the important political changes which occurred in Tunisia and Morocco in connection with the Arab Spring, the national commitment to the trade and development strategy underlying the AA remains strong and the results of these operations are clearly feeding into that process. In South Africa, the reconstruction and development programme – to which budget support has made a financial contribution – is part of a wider national agenda to continually adapt public services to the needs of the poor and there is no doubt that the innovations developed within that framework will </w:t>
      </w:r>
      <w:r w:rsidR="005E5B61">
        <w:rPr>
          <w:rFonts w:ascii="Gill Sans MT" w:hAnsi="Gill Sans MT"/>
          <w:sz w:val="20"/>
          <w:lang w:val="en-GB"/>
        </w:rPr>
        <w:t xml:space="preserve">continue to </w:t>
      </w:r>
      <w:r>
        <w:rPr>
          <w:rFonts w:ascii="Gill Sans MT" w:hAnsi="Gill Sans MT"/>
          <w:sz w:val="20"/>
          <w:lang w:val="en-GB"/>
        </w:rPr>
        <w:t xml:space="preserve">be taken forward and scaled up, where possible. </w:t>
      </w:r>
    </w:p>
    <w:p w14:paraId="0B7EB832" w14:textId="77777777" w:rsidR="00DB0726" w:rsidRPr="00967BEE" w:rsidRDefault="00DB0726" w:rsidP="00DB0726">
      <w:pPr>
        <w:pStyle w:val="Heading3"/>
      </w:pPr>
      <w:r w:rsidRPr="00967BEE">
        <w:t xml:space="preserve">Success factors </w:t>
      </w:r>
      <w:r w:rsidR="000E5095">
        <w:t xml:space="preserve">in the MICs </w:t>
      </w:r>
      <w:r w:rsidRPr="00967BEE">
        <w:t>and lessons for the LICs…</w:t>
      </w:r>
    </w:p>
    <w:p w14:paraId="176D05F9" w14:textId="77777777" w:rsidR="00DB0726" w:rsidRDefault="000C10E5" w:rsidP="00DB0726">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What has driven the results achieved by budget support</w:t>
      </w:r>
      <w:r w:rsidR="00300CE2">
        <w:rPr>
          <w:rFonts w:ascii="Gill Sans MT" w:hAnsi="Gill Sans MT"/>
          <w:sz w:val="20"/>
          <w:lang w:val="en-GB"/>
        </w:rPr>
        <w:t>? Two</w:t>
      </w:r>
      <w:r w:rsidR="00DB0726">
        <w:rPr>
          <w:rFonts w:ascii="Gill Sans MT" w:hAnsi="Gill Sans MT"/>
          <w:sz w:val="20"/>
          <w:lang w:val="en-GB"/>
        </w:rPr>
        <w:t xml:space="preserve"> factors suggest themselves</w:t>
      </w:r>
      <w:r w:rsidR="00633341" w:rsidRPr="00633341">
        <w:rPr>
          <w:rFonts w:ascii="Gill Sans MT" w:hAnsi="Gill Sans MT"/>
          <w:sz w:val="20"/>
          <w:lang w:val="en-GB"/>
        </w:rPr>
        <w:t xml:space="preserve"> </w:t>
      </w:r>
      <w:r w:rsidR="00633341">
        <w:rPr>
          <w:rFonts w:ascii="Gill Sans MT" w:hAnsi="Gill Sans MT"/>
          <w:sz w:val="20"/>
          <w:lang w:val="en-GB"/>
        </w:rPr>
        <w:t>which provide clear lessons for the des</w:t>
      </w:r>
      <w:r>
        <w:rPr>
          <w:rFonts w:ascii="Gill Sans MT" w:hAnsi="Gill Sans MT"/>
          <w:sz w:val="20"/>
          <w:lang w:val="en-GB"/>
        </w:rPr>
        <w:t xml:space="preserve">ign of budget support </w:t>
      </w:r>
      <w:r w:rsidR="00633341">
        <w:rPr>
          <w:rFonts w:ascii="Gill Sans MT" w:hAnsi="Gill Sans MT"/>
          <w:sz w:val="20"/>
          <w:lang w:val="en-GB"/>
        </w:rPr>
        <w:t>in LICs</w:t>
      </w:r>
      <w:r w:rsidR="00DB0726">
        <w:rPr>
          <w:rFonts w:ascii="Gill Sans MT" w:hAnsi="Gill Sans MT"/>
          <w:sz w:val="20"/>
          <w:lang w:val="en-GB"/>
        </w:rPr>
        <w:t>:</w:t>
      </w:r>
    </w:p>
    <w:p w14:paraId="4C8AD096" w14:textId="77777777" w:rsidR="00DB0726" w:rsidRDefault="00DB0726" w:rsidP="00D81DB3">
      <w:pPr>
        <w:pStyle w:val="BodyText"/>
        <w:numPr>
          <w:ilvl w:val="0"/>
          <w:numId w:val="33"/>
        </w:numPr>
        <w:spacing w:line="360" w:lineRule="auto"/>
        <w:rPr>
          <w:rFonts w:ascii="Gill Sans MT" w:hAnsi="Gill Sans MT"/>
          <w:sz w:val="20"/>
          <w:lang w:val="en-GB"/>
        </w:rPr>
      </w:pPr>
      <w:r w:rsidRPr="00A7616E">
        <w:rPr>
          <w:rFonts w:ascii="Gill Sans MT" w:hAnsi="Gill Sans MT"/>
          <w:b/>
          <w:sz w:val="20"/>
          <w:lang w:val="en-GB"/>
        </w:rPr>
        <w:t>Respect for ownership</w:t>
      </w:r>
      <w:r>
        <w:rPr>
          <w:rFonts w:ascii="Gill Sans MT" w:hAnsi="Gill Sans MT"/>
          <w:sz w:val="20"/>
          <w:lang w:val="en-GB"/>
        </w:rPr>
        <w:t xml:space="preserve"> is the most striking feature of these operations. The budget support programmes provided support in the areas where the recipient governments wanted it</w:t>
      </w:r>
      <w:r w:rsidR="00062670">
        <w:rPr>
          <w:rFonts w:ascii="Gill Sans MT" w:hAnsi="Gill Sans MT"/>
          <w:sz w:val="20"/>
          <w:lang w:val="en-GB"/>
        </w:rPr>
        <w:t xml:space="preserve">, </w:t>
      </w:r>
      <w:r w:rsidR="00062670" w:rsidRPr="00062670">
        <w:rPr>
          <w:rFonts w:ascii="Gill Sans MT" w:hAnsi="Gill Sans MT"/>
          <w:sz w:val="20"/>
          <w:lang w:val="en-GB"/>
        </w:rPr>
        <w:t>in line with</w:t>
      </w:r>
      <w:r w:rsidR="00300CE2">
        <w:rPr>
          <w:rFonts w:ascii="Gill Sans MT" w:hAnsi="Gill Sans MT"/>
          <w:sz w:val="20"/>
          <w:lang w:val="en-GB"/>
        </w:rPr>
        <w:t xml:space="preserve"> the development objectives of the d</w:t>
      </w:r>
      <w:r w:rsidR="00062670" w:rsidRPr="00062670">
        <w:rPr>
          <w:rFonts w:ascii="Gill Sans MT" w:hAnsi="Gill Sans MT"/>
          <w:sz w:val="20"/>
          <w:lang w:val="en-GB"/>
        </w:rPr>
        <w:t>onors</w:t>
      </w:r>
      <w:r>
        <w:rPr>
          <w:rFonts w:ascii="Gill Sans MT" w:hAnsi="Gill Sans MT"/>
          <w:sz w:val="20"/>
          <w:lang w:val="en-GB"/>
        </w:rPr>
        <w:t>. In Tunisia, the resulting programm</w:t>
      </w:r>
      <w:r w:rsidR="005E16B1">
        <w:rPr>
          <w:rFonts w:ascii="Gill Sans MT" w:hAnsi="Gill Sans MT"/>
          <w:sz w:val="20"/>
          <w:lang w:val="en-GB"/>
        </w:rPr>
        <w:t>e was at a high strategic level;</w:t>
      </w:r>
      <w:r>
        <w:rPr>
          <w:rFonts w:ascii="Gill Sans MT" w:hAnsi="Gill Sans MT"/>
          <w:sz w:val="20"/>
          <w:lang w:val="en-GB"/>
        </w:rPr>
        <w:t xml:space="preserve"> in South Africa and Morocco, the progr</w:t>
      </w:r>
      <w:r w:rsidR="00257026">
        <w:rPr>
          <w:rFonts w:ascii="Gill Sans MT" w:hAnsi="Gill Sans MT"/>
          <w:sz w:val="20"/>
          <w:lang w:val="en-GB"/>
        </w:rPr>
        <w:t>ammes were oriented more to specific sectors</w:t>
      </w:r>
      <w:r>
        <w:rPr>
          <w:rFonts w:ascii="Gill Sans MT" w:hAnsi="Gill Sans MT"/>
          <w:sz w:val="20"/>
          <w:lang w:val="en-GB"/>
        </w:rPr>
        <w:t xml:space="preserve">, yet the budget support providers accepted their allotted places and </w:t>
      </w:r>
      <w:r w:rsidR="006E1436">
        <w:rPr>
          <w:rFonts w:ascii="Gill Sans MT" w:hAnsi="Gill Sans MT"/>
          <w:sz w:val="20"/>
          <w:lang w:val="en-GB"/>
        </w:rPr>
        <w:t>operated accordingly</w:t>
      </w:r>
      <w:r>
        <w:rPr>
          <w:rFonts w:ascii="Gill Sans MT" w:hAnsi="Gill Sans MT"/>
          <w:sz w:val="20"/>
          <w:lang w:val="en-GB"/>
        </w:rPr>
        <w:t>.</w:t>
      </w:r>
      <w:r w:rsidR="00300CE2">
        <w:rPr>
          <w:rFonts w:ascii="Gill Sans MT" w:hAnsi="Gill Sans MT"/>
          <w:sz w:val="20"/>
          <w:lang w:val="en-GB"/>
        </w:rPr>
        <w:t xml:space="preserve"> There was no attempt to determine</w:t>
      </w:r>
      <w:r>
        <w:rPr>
          <w:rFonts w:ascii="Gill Sans MT" w:hAnsi="Gill Sans MT"/>
          <w:sz w:val="20"/>
          <w:lang w:val="en-GB"/>
        </w:rPr>
        <w:t xml:space="preserve"> the agenda from the outside. </w:t>
      </w:r>
      <w:r w:rsidR="006E1436">
        <w:rPr>
          <w:rFonts w:ascii="Gill Sans MT" w:hAnsi="Gill Sans MT"/>
          <w:sz w:val="20"/>
          <w:lang w:val="en-GB"/>
        </w:rPr>
        <w:t xml:space="preserve">In LICs, the balance </w:t>
      </w:r>
      <w:r w:rsidR="00300CE2">
        <w:rPr>
          <w:rFonts w:ascii="Gill Sans MT" w:hAnsi="Gill Sans MT"/>
          <w:sz w:val="20"/>
          <w:lang w:val="en-GB"/>
        </w:rPr>
        <w:t>of power is not the same and d</w:t>
      </w:r>
      <w:r w:rsidR="00846BB6">
        <w:rPr>
          <w:rFonts w:ascii="Gill Sans MT" w:hAnsi="Gill Sans MT"/>
          <w:sz w:val="20"/>
          <w:lang w:val="en-GB"/>
        </w:rPr>
        <w:t>onors</w:t>
      </w:r>
      <w:r w:rsidR="006E1436">
        <w:rPr>
          <w:rFonts w:ascii="Gill Sans MT" w:hAnsi="Gill Sans MT"/>
          <w:sz w:val="20"/>
          <w:lang w:val="en-GB"/>
        </w:rPr>
        <w:t xml:space="preserve"> frequently try to dete</w:t>
      </w:r>
      <w:r w:rsidR="005E16B1">
        <w:rPr>
          <w:rFonts w:ascii="Gill Sans MT" w:hAnsi="Gill Sans MT"/>
          <w:sz w:val="20"/>
          <w:lang w:val="en-GB"/>
        </w:rPr>
        <w:t xml:space="preserve">rmine the agenda, creating </w:t>
      </w:r>
      <w:r w:rsidR="006E1436">
        <w:rPr>
          <w:rFonts w:ascii="Gill Sans MT" w:hAnsi="Gill Sans MT"/>
          <w:sz w:val="20"/>
          <w:lang w:val="en-GB"/>
        </w:rPr>
        <w:t xml:space="preserve">resentment and rarely obtaining results. </w:t>
      </w:r>
      <w:r w:rsidR="005E16B1">
        <w:rPr>
          <w:rFonts w:ascii="Gill Sans MT" w:hAnsi="Gill Sans MT"/>
          <w:sz w:val="20"/>
          <w:lang w:val="en-GB"/>
        </w:rPr>
        <w:t xml:space="preserve">The lesson </w:t>
      </w:r>
      <w:r w:rsidR="006E1436" w:rsidRPr="005A3937">
        <w:rPr>
          <w:rFonts w:ascii="Gill Sans MT" w:hAnsi="Gill Sans MT"/>
          <w:sz w:val="20"/>
          <w:lang w:val="en-GB"/>
        </w:rPr>
        <w:t>is that by respecting ownership, trust and confidence is created between the partners</w:t>
      </w:r>
      <w:r w:rsidR="00300CE2">
        <w:rPr>
          <w:rFonts w:ascii="Gill Sans MT" w:hAnsi="Gill Sans MT"/>
          <w:sz w:val="20"/>
          <w:lang w:val="en-GB"/>
        </w:rPr>
        <w:t>, giving the potential to achieve sustainable results</w:t>
      </w:r>
      <w:r w:rsidR="009A370B">
        <w:rPr>
          <w:rFonts w:ascii="Gill Sans MT" w:hAnsi="Gill Sans MT"/>
          <w:sz w:val="20"/>
          <w:lang w:val="en-GB"/>
        </w:rPr>
        <w:t>.</w:t>
      </w:r>
    </w:p>
    <w:p w14:paraId="0470EE00" w14:textId="77777777" w:rsidR="00DB0726" w:rsidRDefault="0047115A" w:rsidP="00D81DB3">
      <w:pPr>
        <w:pStyle w:val="BodyText"/>
        <w:numPr>
          <w:ilvl w:val="0"/>
          <w:numId w:val="33"/>
        </w:numPr>
        <w:spacing w:line="360" w:lineRule="auto"/>
        <w:rPr>
          <w:rFonts w:ascii="Gill Sans MT" w:hAnsi="Gill Sans MT"/>
          <w:sz w:val="20"/>
          <w:lang w:val="en-GB"/>
        </w:rPr>
      </w:pPr>
      <w:r>
        <w:rPr>
          <w:rFonts w:ascii="Gill Sans MT" w:hAnsi="Gill Sans MT"/>
          <w:b/>
          <w:sz w:val="20"/>
          <w:lang w:val="en-GB"/>
        </w:rPr>
        <w:t>A r</w:t>
      </w:r>
      <w:r w:rsidR="00EE1BA9">
        <w:rPr>
          <w:rFonts w:ascii="Gill Sans MT" w:hAnsi="Gill Sans MT"/>
          <w:b/>
          <w:sz w:val="20"/>
          <w:lang w:val="en-GB"/>
        </w:rPr>
        <w:t xml:space="preserve">ealistic </w:t>
      </w:r>
      <w:r>
        <w:rPr>
          <w:rFonts w:ascii="Gill Sans MT" w:hAnsi="Gill Sans MT"/>
          <w:b/>
          <w:sz w:val="20"/>
          <w:lang w:val="en-GB"/>
        </w:rPr>
        <w:t xml:space="preserve">level of </w:t>
      </w:r>
      <w:r w:rsidR="00EE1BA9">
        <w:rPr>
          <w:rFonts w:ascii="Gill Sans MT" w:hAnsi="Gill Sans MT"/>
          <w:b/>
          <w:sz w:val="20"/>
          <w:lang w:val="en-GB"/>
        </w:rPr>
        <w:t>ambitions</w:t>
      </w:r>
      <w:r w:rsidR="00635A1B">
        <w:rPr>
          <w:rFonts w:ascii="Gill Sans MT" w:hAnsi="Gill Sans MT"/>
          <w:b/>
          <w:sz w:val="20"/>
          <w:lang w:val="en-GB"/>
        </w:rPr>
        <w:t xml:space="preserve"> </w:t>
      </w:r>
      <w:r w:rsidR="00DB0726" w:rsidRPr="00400B18">
        <w:rPr>
          <w:rFonts w:ascii="Gill Sans MT" w:hAnsi="Gill Sans MT"/>
          <w:sz w:val="20"/>
          <w:lang w:val="en-GB"/>
        </w:rPr>
        <w:t>is the second significant feature</w:t>
      </w:r>
      <w:r w:rsidR="00DB0726">
        <w:rPr>
          <w:rFonts w:ascii="Gill Sans MT" w:hAnsi="Gill Sans MT"/>
          <w:b/>
          <w:sz w:val="20"/>
          <w:lang w:val="en-GB"/>
        </w:rPr>
        <w:t xml:space="preserve">. </w:t>
      </w:r>
      <w:r w:rsidR="00DB0726" w:rsidRPr="00400B18">
        <w:rPr>
          <w:rFonts w:ascii="Gill Sans MT" w:hAnsi="Gill Sans MT"/>
          <w:sz w:val="20"/>
          <w:lang w:val="en-GB"/>
        </w:rPr>
        <w:t>The scope</w:t>
      </w:r>
      <w:r w:rsidR="00DB0726">
        <w:rPr>
          <w:rFonts w:ascii="Gill Sans MT" w:hAnsi="Gill Sans MT"/>
          <w:b/>
          <w:sz w:val="20"/>
          <w:lang w:val="en-GB"/>
        </w:rPr>
        <w:t xml:space="preserve"> </w:t>
      </w:r>
      <w:r w:rsidR="00DB0726" w:rsidRPr="00400B18">
        <w:rPr>
          <w:rFonts w:ascii="Gill Sans MT" w:hAnsi="Gill Sans MT"/>
          <w:sz w:val="20"/>
          <w:lang w:val="en-GB"/>
        </w:rPr>
        <w:t xml:space="preserve">of engagement in dialogue </w:t>
      </w:r>
      <w:r w:rsidR="00DB0726">
        <w:rPr>
          <w:rFonts w:ascii="Gill Sans MT" w:hAnsi="Gill Sans MT"/>
          <w:sz w:val="20"/>
          <w:lang w:val="en-GB"/>
        </w:rPr>
        <w:t>in each case was broadly consistent with the level of</w:t>
      </w:r>
      <w:r w:rsidR="00300CE2">
        <w:rPr>
          <w:rFonts w:ascii="Gill Sans MT" w:hAnsi="Gill Sans MT"/>
          <w:sz w:val="20"/>
          <w:lang w:val="en-GB"/>
        </w:rPr>
        <w:t xml:space="preserve"> expertise</w:t>
      </w:r>
      <w:r w:rsidR="001F1C81">
        <w:rPr>
          <w:rFonts w:ascii="Gill Sans MT" w:hAnsi="Gill Sans MT"/>
          <w:sz w:val="20"/>
          <w:lang w:val="en-GB"/>
        </w:rPr>
        <w:t xml:space="preserve"> on each side</w:t>
      </w:r>
      <w:r w:rsidR="00DB0726">
        <w:rPr>
          <w:rFonts w:ascii="Gill Sans MT" w:hAnsi="Gill Sans MT"/>
          <w:sz w:val="20"/>
          <w:lang w:val="en-GB"/>
        </w:rPr>
        <w:t xml:space="preserve">. In Morocco, </w:t>
      </w:r>
      <w:r w:rsidR="00B72527">
        <w:rPr>
          <w:rFonts w:ascii="Gill Sans MT" w:hAnsi="Gill Sans MT"/>
          <w:sz w:val="20"/>
          <w:lang w:val="en-GB"/>
        </w:rPr>
        <w:t>a relatively large number of sectors were covered by SBS but within each</w:t>
      </w:r>
      <w:r w:rsidR="00DB0726">
        <w:rPr>
          <w:rFonts w:ascii="Gill Sans MT" w:hAnsi="Gill Sans MT"/>
          <w:sz w:val="20"/>
          <w:lang w:val="en-GB"/>
        </w:rPr>
        <w:t xml:space="preserve"> the focus of dialogue was relatively narrow, and as a result the budget support partners were able to bring the degree of detailed attention to the definition </w:t>
      </w:r>
      <w:r w:rsidR="00DB0726">
        <w:rPr>
          <w:rFonts w:ascii="Gill Sans MT" w:hAnsi="Gill Sans MT"/>
          <w:sz w:val="20"/>
          <w:lang w:val="en-GB"/>
        </w:rPr>
        <w:lastRenderedPageBreak/>
        <w:t xml:space="preserve">of sequenced steps for reform which the Government of Morocco wanted and valued. </w:t>
      </w:r>
      <w:r w:rsidR="00635A1B" w:rsidRPr="005D0597">
        <w:rPr>
          <w:rFonts w:ascii="Gill Sans MT" w:hAnsi="Gill Sans MT"/>
          <w:sz w:val="20"/>
          <w:lang w:val="en-GB"/>
        </w:rPr>
        <w:t>Thus, t</w:t>
      </w:r>
      <w:r w:rsidR="00EE1BA9">
        <w:rPr>
          <w:rFonts w:ascii="Gill Sans MT" w:hAnsi="Gill Sans MT"/>
          <w:sz w:val="20"/>
          <w:lang w:val="en-GB"/>
        </w:rPr>
        <w:t xml:space="preserve">he second lesson is that realistic </w:t>
      </w:r>
      <w:r w:rsidR="00635A1B" w:rsidRPr="005D0597">
        <w:rPr>
          <w:rFonts w:ascii="Gill Sans MT" w:hAnsi="Gill Sans MT"/>
          <w:sz w:val="20"/>
          <w:lang w:val="en-GB"/>
        </w:rPr>
        <w:t>ambitions</w:t>
      </w:r>
      <w:r w:rsidR="00EE1BA9">
        <w:rPr>
          <w:rFonts w:ascii="Gill Sans MT" w:hAnsi="Gill Sans MT"/>
          <w:sz w:val="20"/>
          <w:lang w:val="en-GB"/>
        </w:rPr>
        <w:t xml:space="preserve"> are </w:t>
      </w:r>
      <w:r w:rsidR="00635A1B" w:rsidRPr="005D0597">
        <w:rPr>
          <w:rFonts w:ascii="Gill Sans MT" w:hAnsi="Gill Sans MT"/>
          <w:sz w:val="20"/>
          <w:lang w:val="en-GB"/>
        </w:rPr>
        <w:t>impor</w:t>
      </w:r>
      <w:r w:rsidR="00635A1B">
        <w:rPr>
          <w:rFonts w:ascii="Gill Sans MT" w:hAnsi="Gill Sans MT"/>
          <w:sz w:val="20"/>
          <w:lang w:val="en-GB"/>
        </w:rPr>
        <w:t xml:space="preserve">tant in order to ensure </w:t>
      </w:r>
      <w:r w:rsidR="00635A1B" w:rsidRPr="005D0597">
        <w:rPr>
          <w:rFonts w:ascii="Gill Sans MT" w:hAnsi="Gill Sans MT"/>
          <w:sz w:val="20"/>
          <w:lang w:val="en-GB"/>
        </w:rPr>
        <w:t xml:space="preserve">that </w:t>
      </w:r>
      <w:r w:rsidR="001F1C81">
        <w:rPr>
          <w:rFonts w:ascii="Gill Sans MT" w:hAnsi="Gill Sans MT"/>
          <w:sz w:val="20"/>
          <w:lang w:val="en-GB"/>
        </w:rPr>
        <w:t xml:space="preserve">the </w:t>
      </w:r>
      <w:r w:rsidR="00635A1B" w:rsidRPr="005D0597">
        <w:rPr>
          <w:rFonts w:ascii="Gill Sans MT" w:hAnsi="Gill Sans MT"/>
          <w:sz w:val="20"/>
          <w:lang w:val="en-GB"/>
        </w:rPr>
        <w:t xml:space="preserve">results </w:t>
      </w:r>
      <w:r w:rsidR="001F1C81" w:rsidRPr="005D0597">
        <w:rPr>
          <w:rFonts w:ascii="Gill Sans MT" w:hAnsi="Gill Sans MT"/>
          <w:sz w:val="20"/>
          <w:lang w:val="en-GB"/>
        </w:rPr>
        <w:t xml:space="preserve">targeted </w:t>
      </w:r>
      <w:r w:rsidR="00635A1B" w:rsidRPr="005D0597">
        <w:rPr>
          <w:rFonts w:ascii="Gill Sans MT" w:hAnsi="Gill Sans MT"/>
          <w:sz w:val="20"/>
          <w:lang w:val="en-GB"/>
        </w:rPr>
        <w:t xml:space="preserve">are </w:t>
      </w:r>
      <w:r w:rsidR="00922F69">
        <w:rPr>
          <w:rFonts w:ascii="Gill Sans MT" w:hAnsi="Gill Sans MT"/>
          <w:sz w:val="20"/>
          <w:lang w:val="en-GB"/>
        </w:rPr>
        <w:t xml:space="preserve">feasible </w:t>
      </w:r>
      <w:r w:rsidR="00635A1B" w:rsidRPr="005D0597">
        <w:rPr>
          <w:rFonts w:ascii="Gill Sans MT" w:hAnsi="Gill Sans MT"/>
          <w:sz w:val="20"/>
          <w:lang w:val="en-GB"/>
        </w:rPr>
        <w:t xml:space="preserve">and that a genuinely useful, technically informed dialogue can take place. </w:t>
      </w:r>
      <w:r w:rsidR="000C5BA8">
        <w:rPr>
          <w:rFonts w:ascii="Gill Sans MT" w:hAnsi="Gill Sans MT"/>
          <w:sz w:val="20"/>
          <w:lang w:val="en-GB"/>
        </w:rPr>
        <w:t>By contrast, w</w:t>
      </w:r>
      <w:r w:rsidR="00635A1B" w:rsidRPr="005D0597">
        <w:rPr>
          <w:rFonts w:ascii="Gill Sans MT" w:hAnsi="Gill Sans MT"/>
          <w:sz w:val="20"/>
          <w:lang w:val="en-GB"/>
        </w:rPr>
        <w:t xml:space="preserve">e noted in chapter 2 the wide scope of sectors and thematic areas, which the Performance Assessment Frameworks </w:t>
      </w:r>
      <w:r w:rsidR="00300CE2">
        <w:rPr>
          <w:rFonts w:ascii="Gill Sans MT" w:hAnsi="Gill Sans MT"/>
          <w:sz w:val="20"/>
          <w:lang w:val="en-GB"/>
        </w:rPr>
        <w:t xml:space="preserve">in LICs </w:t>
      </w:r>
      <w:r w:rsidR="00635A1B" w:rsidRPr="005D0597">
        <w:rPr>
          <w:rFonts w:ascii="Gill Sans MT" w:hAnsi="Gill Sans MT"/>
          <w:sz w:val="20"/>
          <w:lang w:val="en-GB"/>
        </w:rPr>
        <w:t>attempted to cover and the deficiencies in which this resulted.</w:t>
      </w:r>
    </w:p>
    <w:p w14:paraId="7B6731DD" w14:textId="77777777" w:rsidR="00234A09" w:rsidRPr="00D05C0E" w:rsidRDefault="00234A09" w:rsidP="00234A09">
      <w:pPr>
        <w:pStyle w:val="Heading3"/>
      </w:pPr>
      <w:r w:rsidRPr="00D05C0E">
        <w:t>What could be improved</w:t>
      </w:r>
      <w:r>
        <w:t xml:space="preserve"> in the MICs</w:t>
      </w:r>
      <w:r w:rsidRPr="00D05C0E">
        <w:t>?</w:t>
      </w:r>
    </w:p>
    <w:p w14:paraId="40F0F082" w14:textId="77777777" w:rsidR="00234A09" w:rsidRDefault="00234A09" w:rsidP="00234A09">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The Morocco, Tunisia a</w:t>
      </w:r>
      <w:r w:rsidR="004216BB">
        <w:rPr>
          <w:rFonts w:ascii="Gill Sans MT" w:hAnsi="Gill Sans MT"/>
          <w:sz w:val="20"/>
          <w:lang w:val="en-GB"/>
        </w:rPr>
        <w:t xml:space="preserve">nd South Africa evaluations </w:t>
      </w:r>
      <w:r>
        <w:rPr>
          <w:rFonts w:ascii="Gill Sans MT" w:hAnsi="Gill Sans MT"/>
          <w:sz w:val="20"/>
          <w:lang w:val="en-GB"/>
        </w:rPr>
        <w:t>provide a</w:t>
      </w:r>
      <w:r w:rsidR="00F37A8E">
        <w:rPr>
          <w:rFonts w:ascii="Gill Sans MT" w:hAnsi="Gill Sans MT"/>
          <w:sz w:val="20"/>
          <w:lang w:val="en-GB"/>
        </w:rPr>
        <w:t xml:space="preserve"> range of useful lessons</w:t>
      </w:r>
      <w:r>
        <w:rPr>
          <w:rFonts w:ascii="Gill Sans MT" w:hAnsi="Gill Sans MT"/>
          <w:sz w:val="20"/>
          <w:lang w:val="en-GB"/>
        </w:rPr>
        <w:t xml:space="preserve"> on how to imp</w:t>
      </w:r>
      <w:r w:rsidR="004216BB">
        <w:rPr>
          <w:rFonts w:ascii="Gill Sans MT" w:hAnsi="Gill Sans MT"/>
          <w:sz w:val="20"/>
          <w:lang w:val="en-GB"/>
        </w:rPr>
        <w:t>rove the effectiveness of budget support in MICs</w:t>
      </w:r>
      <w:r w:rsidR="00300CE2">
        <w:rPr>
          <w:rFonts w:ascii="Gill Sans MT" w:hAnsi="Gill Sans MT"/>
          <w:sz w:val="20"/>
          <w:lang w:val="en-GB"/>
        </w:rPr>
        <w:t>. Four</w:t>
      </w:r>
      <w:r>
        <w:rPr>
          <w:rFonts w:ascii="Gill Sans MT" w:hAnsi="Gill Sans MT"/>
          <w:sz w:val="20"/>
          <w:lang w:val="en-GB"/>
        </w:rPr>
        <w:t xml:space="preserve"> cross-cutting themes emerge:</w:t>
      </w:r>
    </w:p>
    <w:p w14:paraId="76478390" w14:textId="77777777" w:rsidR="00234A09" w:rsidRPr="00234A09" w:rsidRDefault="00234A09" w:rsidP="00D81DB3">
      <w:pPr>
        <w:pStyle w:val="BodyText"/>
        <w:numPr>
          <w:ilvl w:val="0"/>
          <w:numId w:val="34"/>
        </w:numPr>
        <w:spacing w:line="360" w:lineRule="auto"/>
        <w:rPr>
          <w:rFonts w:ascii="Gill Sans MT" w:hAnsi="Gill Sans MT"/>
          <w:b/>
          <w:sz w:val="20"/>
          <w:lang w:val="en-GB"/>
        </w:rPr>
      </w:pPr>
      <w:r>
        <w:rPr>
          <w:rFonts w:ascii="Gill Sans MT" w:hAnsi="Gill Sans MT"/>
          <w:b/>
          <w:sz w:val="20"/>
          <w:lang w:val="en-GB"/>
        </w:rPr>
        <w:t>The need to focus budget support at the appropriate strategic level</w:t>
      </w:r>
      <w:r w:rsidRPr="00AB5EEE">
        <w:rPr>
          <w:rFonts w:ascii="Gill Sans MT" w:hAnsi="Gill Sans MT"/>
          <w:b/>
          <w:sz w:val="20"/>
          <w:lang w:val="en-GB"/>
        </w:rPr>
        <w:t>.</w:t>
      </w:r>
      <w:r>
        <w:rPr>
          <w:rFonts w:ascii="Gill Sans MT" w:hAnsi="Gill Sans MT"/>
          <w:b/>
          <w:sz w:val="20"/>
          <w:lang w:val="en-GB"/>
        </w:rPr>
        <w:t xml:space="preserve"> </w:t>
      </w:r>
      <w:r w:rsidR="00EF259A">
        <w:rPr>
          <w:rFonts w:ascii="Gill Sans MT" w:hAnsi="Gill Sans MT"/>
          <w:sz w:val="20"/>
          <w:lang w:val="en-GB"/>
        </w:rPr>
        <w:t xml:space="preserve">One of the problems identified </w:t>
      </w:r>
      <w:r w:rsidRPr="00CD21BA">
        <w:rPr>
          <w:rFonts w:ascii="Gill Sans MT" w:hAnsi="Gill Sans MT"/>
          <w:sz w:val="20"/>
          <w:lang w:val="en-GB"/>
        </w:rPr>
        <w:t xml:space="preserve">in </w:t>
      </w:r>
      <w:r>
        <w:rPr>
          <w:rFonts w:ascii="Gill Sans MT" w:hAnsi="Gill Sans MT"/>
          <w:sz w:val="20"/>
          <w:lang w:val="en-GB"/>
        </w:rPr>
        <w:t xml:space="preserve">Morocco was the existence of a significant number of budget support operations focused on the sub-sector or programme level. </w:t>
      </w:r>
      <w:r w:rsidR="00EF259A">
        <w:rPr>
          <w:rFonts w:ascii="Gill Sans MT" w:hAnsi="Gill Sans MT"/>
          <w:sz w:val="20"/>
          <w:lang w:val="en-GB"/>
        </w:rPr>
        <w:t>It was also noted that the focus of reforms supported by b</w:t>
      </w:r>
      <w:r>
        <w:rPr>
          <w:rFonts w:ascii="Gill Sans MT" w:hAnsi="Gill Sans MT"/>
          <w:sz w:val="20"/>
          <w:lang w:val="en-GB"/>
        </w:rPr>
        <w:t xml:space="preserve">udget support </w:t>
      </w:r>
      <w:r w:rsidR="00EF259A">
        <w:rPr>
          <w:rFonts w:ascii="Gill Sans MT" w:hAnsi="Gill Sans MT"/>
          <w:sz w:val="20"/>
          <w:lang w:val="en-GB"/>
        </w:rPr>
        <w:t xml:space="preserve">tended to be at the operational level, with only limited attention given to the definition and tracking of the </w:t>
      </w:r>
      <w:proofErr w:type="gramStart"/>
      <w:r w:rsidR="00EF259A">
        <w:rPr>
          <w:rFonts w:ascii="Gill Sans MT" w:hAnsi="Gill Sans MT"/>
          <w:sz w:val="20"/>
          <w:lang w:val="en-GB"/>
        </w:rPr>
        <w:t>higher level</w:t>
      </w:r>
      <w:proofErr w:type="gramEnd"/>
      <w:r w:rsidR="00EF259A">
        <w:rPr>
          <w:rFonts w:ascii="Gill Sans MT" w:hAnsi="Gill Sans MT"/>
          <w:sz w:val="20"/>
          <w:lang w:val="en-GB"/>
        </w:rPr>
        <w:t xml:space="preserve"> outcomes and impacts to which those reforms were targeted. Ideally, b</w:t>
      </w:r>
      <w:r w:rsidR="00EF259A" w:rsidRPr="00234A09">
        <w:rPr>
          <w:rFonts w:ascii="Gill Sans MT" w:hAnsi="Gill Sans MT"/>
          <w:sz w:val="20"/>
          <w:lang w:val="en-GB"/>
        </w:rPr>
        <w:t>udget support should facilit</w:t>
      </w:r>
      <w:r w:rsidR="00BE7E79">
        <w:rPr>
          <w:rFonts w:ascii="Gill Sans MT" w:hAnsi="Gill Sans MT"/>
          <w:sz w:val="20"/>
          <w:lang w:val="en-GB"/>
        </w:rPr>
        <w:t xml:space="preserve">ate broader strategic processes. Where </w:t>
      </w:r>
      <w:r w:rsidR="00EF259A">
        <w:rPr>
          <w:rFonts w:ascii="Gill Sans MT" w:hAnsi="Gill Sans MT"/>
          <w:sz w:val="20"/>
          <w:lang w:val="en-GB"/>
        </w:rPr>
        <w:t>budget support is too focused at the operational</w:t>
      </w:r>
      <w:r w:rsidR="00BE7E79">
        <w:rPr>
          <w:rFonts w:ascii="Gill Sans MT" w:hAnsi="Gill Sans MT"/>
          <w:sz w:val="20"/>
          <w:lang w:val="en-GB"/>
        </w:rPr>
        <w:t xml:space="preserve"> level, its value added is </w:t>
      </w:r>
      <w:r w:rsidR="00EF259A">
        <w:rPr>
          <w:rFonts w:ascii="Gill Sans MT" w:hAnsi="Gill Sans MT"/>
          <w:sz w:val="20"/>
          <w:lang w:val="en-GB"/>
        </w:rPr>
        <w:t xml:space="preserve">more limited. For this reason, the Morocco evaluation recommends </w:t>
      </w:r>
      <w:r w:rsidR="004216BB">
        <w:rPr>
          <w:rFonts w:ascii="Gill Sans MT" w:hAnsi="Gill Sans MT"/>
          <w:sz w:val="20"/>
          <w:lang w:val="en-GB"/>
        </w:rPr>
        <w:t xml:space="preserve">the avoidance of SBS operations supporting sub-sectoral or regional programmes and </w:t>
      </w:r>
      <w:r w:rsidR="00EF259A">
        <w:rPr>
          <w:rFonts w:ascii="Gill Sans MT" w:hAnsi="Gill Sans MT"/>
          <w:sz w:val="20"/>
          <w:lang w:val="en-GB"/>
        </w:rPr>
        <w:t xml:space="preserve">a </w:t>
      </w:r>
      <w:r w:rsidR="004216BB">
        <w:rPr>
          <w:rFonts w:ascii="Gill Sans MT" w:hAnsi="Gill Sans MT"/>
          <w:sz w:val="20"/>
          <w:lang w:val="en-GB"/>
        </w:rPr>
        <w:t>shift of focus towards outcomes rather than just</w:t>
      </w:r>
      <w:r w:rsidR="00EF259A">
        <w:rPr>
          <w:rFonts w:ascii="Gill Sans MT" w:hAnsi="Gill Sans MT"/>
          <w:sz w:val="20"/>
          <w:lang w:val="en-GB"/>
        </w:rPr>
        <w:t xml:space="preserve"> outputs</w:t>
      </w:r>
      <w:r w:rsidR="004216BB">
        <w:rPr>
          <w:rFonts w:ascii="Gill Sans MT" w:hAnsi="Gill Sans MT"/>
          <w:sz w:val="20"/>
          <w:lang w:val="en-GB"/>
        </w:rPr>
        <w:t>.</w:t>
      </w:r>
      <w:r w:rsidR="00EF259A">
        <w:rPr>
          <w:rFonts w:ascii="Gill Sans MT" w:hAnsi="Gill Sans MT"/>
          <w:sz w:val="20"/>
          <w:lang w:val="en-GB"/>
        </w:rPr>
        <w:t xml:space="preserve"> </w:t>
      </w:r>
    </w:p>
    <w:p w14:paraId="308F316F" w14:textId="77777777" w:rsidR="00234A09" w:rsidRPr="00300CE2" w:rsidRDefault="00234A09" w:rsidP="00D81DB3">
      <w:pPr>
        <w:pStyle w:val="BodyText"/>
        <w:numPr>
          <w:ilvl w:val="0"/>
          <w:numId w:val="34"/>
        </w:numPr>
        <w:spacing w:line="360" w:lineRule="auto"/>
        <w:rPr>
          <w:rFonts w:ascii="Gill Sans MT" w:hAnsi="Gill Sans MT"/>
          <w:b/>
          <w:sz w:val="20"/>
          <w:lang w:val="en-GB"/>
        </w:rPr>
      </w:pPr>
      <w:r w:rsidRPr="00A8299E">
        <w:rPr>
          <w:rFonts w:ascii="Gill Sans MT" w:hAnsi="Gill Sans MT"/>
          <w:b/>
          <w:sz w:val="20"/>
          <w:lang w:val="en-GB"/>
        </w:rPr>
        <w:t>The need for a balance between strategic guidance and operational “plumbing”.</w:t>
      </w:r>
      <w:r>
        <w:rPr>
          <w:rFonts w:ascii="Gill Sans MT" w:hAnsi="Gill Sans MT"/>
          <w:b/>
          <w:sz w:val="20"/>
          <w:lang w:val="en-GB"/>
        </w:rPr>
        <w:t xml:space="preserve"> </w:t>
      </w:r>
      <w:r w:rsidRPr="00FF151C">
        <w:rPr>
          <w:rFonts w:ascii="Gill Sans MT" w:hAnsi="Gill Sans MT"/>
          <w:sz w:val="20"/>
          <w:lang w:val="en-GB"/>
        </w:rPr>
        <w:t>The Morocco case</w:t>
      </w:r>
      <w:r>
        <w:rPr>
          <w:rFonts w:ascii="Gill Sans MT" w:hAnsi="Gill Sans MT"/>
          <w:sz w:val="20"/>
          <w:lang w:val="en-GB"/>
        </w:rPr>
        <w:t xml:space="preserve"> also reveals the difficulties that may arise in trying to incorporate a high-level strategic focus within a demand-driven, ownership-based approach.  In contrast to Tunisia, the Government of Morocco did not want strategic advice; it wanted operational advice, for example on how to sequence the legal and regulatory steps in the introduction of health insurance. Budget support provided this and it w</w:t>
      </w:r>
      <w:r w:rsidR="00BE7E79">
        <w:rPr>
          <w:rFonts w:ascii="Gill Sans MT" w:hAnsi="Gill Sans MT"/>
          <w:sz w:val="20"/>
          <w:lang w:val="en-GB"/>
        </w:rPr>
        <w:t xml:space="preserve">as </w:t>
      </w:r>
      <w:r>
        <w:rPr>
          <w:rFonts w:ascii="Gill Sans MT" w:hAnsi="Gill Sans MT"/>
          <w:sz w:val="20"/>
          <w:lang w:val="en-GB"/>
        </w:rPr>
        <w:t xml:space="preserve">well appreciated by the Government but </w:t>
      </w:r>
      <w:r w:rsidR="00BE7E79">
        <w:rPr>
          <w:rFonts w:ascii="Gill Sans MT" w:hAnsi="Gill Sans MT"/>
          <w:sz w:val="20"/>
          <w:lang w:val="en-GB"/>
        </w:rPr>
        <w:t>t</w:t>
      </w:r>
      <w:r>
        <w:rPr>
          <w:rFonts w:ascii="Gill Sans MT" w:hAnsi="Gill Sans MT"/>
          <w:sz w:val="20"/>
          <w:lang w:val="en-GB"/>
        </w:rPr>
        <w:t>he end obj</w:t>
      </w:r>
      <w:r w:rsidR="00897613">
        <w:rPr>
          <w:rFonts w:ascii="Gill Sans MT" w:hAnsi="Gill Sans MT"/>
          <w:sz w:val="20"/>
          <w:lang w:val="en-GB"/>
        </w:rPr>
        <w:t xml:space="preserve">ectives of these legal </w:t>
      </w:r>
      <w:r>
        <w:rPr>
          <w:rFonts w:ascii="Gill Sans MT" w:hAnsi="Gill Sans MT"/>
          <w:sz w:val="20"/>
          <w:lang w:val="en-GB"/>
        </w:rPr>
        <w:t>and regulatory reforms were not always clear. What concrete outcomes and impacts were expected and were the reforms contributing as effectively as</w:t>
      </w:r>
      <w:r w:rsidR="00BE7E79">
        <w:rPr>
          <w:rFonts w:ascii="Gill Sans MT" w:hAnsi="Gill Sans MT"/>
          <w:sz w:val="20"/>
          <w:lang w:val="en-GB"/>
        </w:rPr>
        <w:t xml:space="preserve"> possible to them?  T</w:t>
      </w:r>
      <w:r>
        <w:rPr>
          <w:rFonts w:ascii="Gill Sans MT" w:hAnsi="Gill Sans MT"/>
          <w:sz w:val="20"/>
          <w:lang w:val="en-GB"/>
        </w:rPr>
        <w:t xml:space="preserve">hese questions were not </w:t>
      </w:r>
      <w:r w:rsidR="00BE7E79">
        <w:rPr>
          <w:rFonts w:ascii="Gill Sans MT" w:hAnsi="Gill Sans MT"/>
          <w:sz w:val="20"/>
          <w:lang w:val="en-GB"/>
        </w:rPr>
        <w:t xml:space="preserve">always </w:t>
      </w:r>
      <w:r>
        <w:rPr>
          <w:rFonts w:ascii="Gill Sans MT" w:hAnsi="Gill Sans MT"/>
          <w:sz w:val="20"/>
          <w:lang w:val="en-GB"/>
        </w:rPr>
        <w:t xml:space="preserve">properly addressed, in part because the Government did not invite debate on </w:t>
      </w:r>
      <w:r w:rsidR="00BE7E79">
        <w:rPr>
          <w:rFonts w:ascii="Gill Sans MT" w:hAnsi="Gill Sans MT"/>
          <w:sz w:val="20"/>
          <w:lang w:val="en-GB"/>
        </w:rPr>
        <w:t>these matters, in part,</w:t>
      </w:r>
      <w:r>
        <w:rPr>
          <w:rFonts w:ascii="Gill Sans MT" w:hAnsi="Gill Sans MT"/>
          <w:sz w:val="20"/>
          <w:lang w:val="en-GB"/>
        </w:rPr>
        <w:t xml:space="preserve"> because the bu</w:t>
      </w:r>
      <w:r w:rsidR="00BE7E79">
        <w:rPr>
          <w:rFonts w:ascii="Gill Sans MT" w:hAnsi="Gill Sans MT"/>
          <w:sz w:val="20"/>
          <w:lang w:val="en-GB"/>
        </w:rPr>
        <w:t xml:space="preserve">dget support teams were not sufficiently </w:t>
      </w:r>
      <w:r>
        <w:rPr>
          <w:rFonts w:ascii="Gill Sans MT" w:hAnsi="Gill Sans MT"/>
          <w:sz w:val="20"/>
          <w:lang w:val="en-GB"/>
        </w:rPr>
        <w:t xml:space="preserve">geared up to provide such advice. Budget support should respond to Government demands but it should also “push the envelope” of strategic thinking – helping governments to ensure that reforms are not just efficiently implemented but also effective in generating relevant outcomes and promoting the right impacts. Yet, in the process, it is important not to forget the merits of attention to detail: good policy advice is a combination of strategic vision and operational plumbing. </w:t>
      </w:r>
    </w:p>
    <w:p w14:paraId="00684E90" w14:textId="77777777" w:rsidR="00BE7E79" w:rsidRPr="00BE7E79" w:rsidRDefault="009B04DE" w:rsidP="00EF259A">
      <w:pPr>
        <w:pStyle w:val="BodyText"/>
        <w:numPr>
          <w:ilvl w:val="0"/>
          <w:numId w:val="34"/>
        </w:numPr>
        <w:spacing w:line="360" w:lineRule="auto"/>
        <w:rPr>
          <w:rFonts w:ascii="Gill Sans MT" w:hAnsi="Gill Sans MT"/>
          <w:sz w:val="20"/>
          <w:lang w:val="en-GB"/>
        </w:rPr>
      </w:pPr>
      <w:r>
        <w:rPr>
          <w:rFonts w:ascii="Gill Sans MT" w:hAnsi="Gill Sans MT"/>
          <w:b/>
          <w:sz w:val="20"/>
          <w:lang w:val="en-GB"/>
        </w:rPr>
        <w:t>The need to establish</w:t>
      </w:r>
      <w:r w:rsidR="00F13E02">
        <w:rPr>
          <w:rFonts w:ascii="Gill Sans MT" w:hAnsi="Gill Sans MT"/>
          <w:b/>
          <w:sz w:val="20"/>
          <w:lang w:val="en-GB"/>
        </w:rPr>
        <w:t xml:space="preserve"> </w:t>
      </w:r>
      <w:r w:rsidR="00BE7E79" w:rsidRPr="00A62FD4">
        <w:rPr>
          <w:rFonts w:ascii="Gill Sans MT" w:hAnsi="Gill Sans MT"/>
          <w:b/>
          <w:sz w:val="20"/>
          <w:lang w:val="en-GB"/>
        </w:rPr>
        <w:t>an appropriate balance between General and Sector Budget Support</w:t>
      </w:r>
      <w:r w:rsidR="00A62FD4">
        <w:rPr>
          <w:rFonts w:ascii="Gill Sans MT" w:hAnsi="Gill Sans MT"/>
          <w:sz w:val="20"/>
          <w:lang w:val="en-GB"/>
        </w:rPr>
        <w:t xml:space="preserve">: one observation that emerges from our analysis is that within </w:t>
      </w:r>
      <w:r w:rsidR="00A62FD4">
        <w:rPr>
          <w:rFonts w:ascii="Gill Sans MT" w:hAnsi="Gill Sans MT"/>
          <w:sz w:val="20"/>
          <w:lang w:val="en-GB"/>
        </w:rPr>
        <w:lastRenderedPageBreak/>
        <w:t>Tunisia and Morocco – two countries with similar contexts and both signatories of Association Agreements, the operation that achieved the most outstanding results was the GBS operation in Tunisia</w:t>
      </w:r>
      <w:r w:rsidR="00F13E02">
        <w:rPr>
          <w:rFonts w:ascii="Gill Sans MT" w:hAnsi="Gill Sans MT"/>
          <w:sz w:val="20"/>
          <w:lang w:val="en-GB"/>
        </w:rPr>
        <w:t>, focused on market liberalisation and deregulation</w:t>
      </w:r>
      <w:r w:rsidR="00A62FD4">
        <w:rPr>
          <w:rFonts w:ascii="Gill Sans MT" w:hAnsi="Gill Sans MT"/>
          <w:sz w:val="20"/>
          <w:lang w:val="en-GB"/>
        </w:rPr>
        <w:t>. The SBS operat</w:t>
      </w:r>
      <w:r w:rsidR="00F13E02">
        <w:rPr>
          <w:rFonts w:ascii="Gill Sans MT" w:hAnsi="Gill Sans MT"/>
          <w:sz w:val="20"/>
          <w:lang w:val="en-GB"/>
        </w:rPr>
        <w:t xml:space="preserve">ions in Tunisia were </w:t>
      </w:r>
      <w:r w:rsidR="00A62FD4">
        <w:rPr>
          <w:rFonts w:ascii="Gill Sans MT" w:hAnsi="Gill Sans MT"/>
          <w:sz w:val="20"/>
          <w:lang w:val="en-GB"/>
        </w:rPr>
        <w:t>less successful in promoting reforms to policies on higher education and vocational training</w:t>
      </w:r>
      <w:r w:rsidR="00F13E02">
        <w:rPr>
          <w:rFonts w:ascii="Gill Sans MT" w:hAnsi="Gill Sans MT"/>
          <w:sz w:val="20"/>
          <w:lang w:val="en-GB"/>
        </w:rPr>
        <w:t xml:space="preserve">, where scale improvements were made but the desired adaptations to the demands of a modern labour market were not achieved. The SBS operations in Morocco also achieved results related to customs tariff dismantling and aspects of de-regulation but not in such a coherent and effective way as the GBS operation in Tunisia. The key difference would seem to be that the GBS operation in Tunisia was able to promote a strong level of inter-sectoral cooperation between the Ministries of Finance, Planning, Trade &amp; Industry and Labour. By its very nature, an SBS operation is less effective in promoting inter-sectoral collaboration than GBS. While clearly the choice of modality must respond to the context and to the wishes of the partner government, this experience would seem </w:t>
      </w:r>
      <w:r>
        <w:rPr>
          <w:rFonts w:ascii="Gill Sans MT" w:hAnsi="Gill Sans MT"/>
          <w:sz w:val="20"/>
          <w:lang w:val="en-GB"/>
        </w:rPr>
        <w:t xml:space="preserve">to </w:t>
      </w:r>
      <w:r w:rsidR="00F13E02">
        <w:rPr>
          <w:rFonts w:ascii="Gill Sans MT" w:hAnsi="Gill Sans MT"/>
          <w:sz w:val="20"/>
          <w:lang w:val="en-GB"/>
        </w:rPr>
        <w:t>demand some reflection on whether the heavy reliance on SBS operations in MICs is appropriate.</w:t>
      </w:r>
      <w:r w:rsidR="00A62FD4">
        <w:rPr>
          <w:rFonts w:ascii="Gill Sans MT" w:hAnsi="Gill Sans MT"/>
          <w:sz w:val="20"/>
          <w:lang w:val="en-GB"/>
        </w:rPr>
        <w:t xml:space="preserve"> </w:t>
      </w:r>
    </w:p>
    <w:p w14:paraId="3C9A989E" w14:textId="77777777" w:rsidR="00300CE2" w:rsidRPr="004216BB" w:rsidRDefault="00EF259A" w:rsidP="004216BB">
      <w:pPr>
        <w:pStyle w:val="BodyText"/>
        <w:numPr>
          <w:ilvl w:val="0"/>
          <w:numId w:val="34"/>
        </w:numPr>
        <w:spacing w:line="360" w:lineRule="auto"/>
        <w:rPr>
          <w:rFonts w:ascii="Gill Sans MT" w:hAnsi="Gill Sans MT"/>
          <w:sz w:val="20"/>
          <w:lang w:val="en-GB"/>
        </w:rPr>
      </w:pPr>
      <w:r w:rsidRPr="006420E8">
        <w:rPr>
          <w:rFonts w:ascii="Gill Sans MT" w:hAnsi="Gill Sans MT"/>
          <w:b/>
          <w:sz w:val="20"/>
          <w:lang w:val="en-GB"/>
        </w:rPr>
        <w:t>The need to give more attention to harmonisation</w:t>
      </w:r>
      <w:r>
        <w:rPr>
          <w:rFonts w:ascii="Gill Sans MT" w:hAnsi="Gill Sans MT"/>
          <w:sz w:val="20"/>
          <w:lang w:val="en-GB"/>
        </w:rPr>
        <w:t xml:space="preserve">. </w:t>
      </w:r>
      <w:r w:rsidR="00F13E02">
        <w:rPr>
          <w:rFonts w:ascii="Gill Sans MT" w:hAnsi="Gill Sans MT"/>
          <w:sz w:val="20"/>
          <w:lang w:val="en-GB"/>
        </w:rPr>
        <w:t>Finally, t</w:t>
      </w:r>
      <w:r>
        <w:rPr>
          <w:rFonts w:ascii="Gill Sans MT" w:hAnsi="Gill Sans MT"/>
          <w:sz w:val="20"/>
          <w:lang w:val="en-GB"/>
        </w:rPr>
        <w:t xml:space="preserve">he Morocco case </w:t>
      </w:r>
      <w:r w:rsidR="00F13E02">
        <w:rPr>
          <w:rFonts w:ascii="Gill Sans MT" w:hAnsi="Gill Sans MT"/>
          <w:sz w:val="20"/>
          <w:lang w:val="en-GB"/>
        </w:rPr>
        <w:t xml:space="preserve">also </w:t>
      </w:r>
      <w:r>
        <w:rPr>
          <w:rFonts w:ascii="Gill Sans MT" w:hAnsi="Gill Sans MT"/>
          <w:sz w:val="20"/>
          <w:lang w:val="en-GB"/>
        </w:rPr>
        <w:t>highlighted the deficiencies in the harmonisation of budget support frameworks, which continue to be found in the MICs, especially where large numbers of SBS operations are implemented simultaneously, without a coordinating framework being imposed by the recipient government. Here</w:t>
      </w:r>
      <w:r w:rsidR="004216BB">
        <w:rPr>
          <w:rFonts w:ascii="Gill Sans MT" w:hAnsi="Gill Sans MT"/>
          <w:sz w:val="20"/>
          <w:lang w:val="en-GB"/>
        </w:rPr>
        <w:t>,</w:t>
      </w:r>
      <w:r>
        <w:rPr>
          <w:rFonts w:ascii="Gill Sans MT" w:hAnsi="Gill Sans MT"/>
          <w:sz w:val="20"/>
          <w:lang w:val="en-GB"/>
        </w:rPr>
        <w:t xml:space="preserve"> there is an opportunity to import some learni</w:t>
      </w:r>
      <w:r w:rsidR="004216BB">
        <w:rPr>
          <w:rFonts w:ascii="Gill Sans MT" w:hAnsi="Gill Sans MT"/>
          <w:sz w:val="20"/>
          <w:lang w:val="en-GB"/>
        </w:rPr>
        <w:t xml:space="preserve">ng from LICs on the importance </w:t>
      </w:r>
      <w:r>
        <w:rPr>
          <w:rFonts w:ascii="Gill Sans MT" w:hAnsi="Gill Sans MT"/>
          <w:sz w:val="20"/>
          <w:lang w:val="en-GB"/>
        </w:rPr>
        <w:t>o</w:t>
      </w:r>
      <w:r w:rsidR="004216BB">
        <w:rPr>
          <w:rFonts w:ascii="Gill Sans MT" w:hAnsi="Gill Sans MT"/>
          <w:sz w:val="20"/>
          <w:lang w:val="en-GB"/>
        </w:rPr>
        <w:t xml:space="preserve">f an </w:t>
      </w:r>
      <w:r>
        <w:rPr>
          <w:rFonts w:ascii="Gill Sans MT" w:hAnsi="Gill Sans MT"/>
          <w:sz w:val="20"/>
          <w:lang w:val="en-GB"/>
        </w:rPr>
        <w:t xml:space="preserve">integrated approach </w:t>
      </w:r>
      <w:r w:rsidR="004216BB">
        <w:rPr>
          <w:rFonts w:ascii="Gill Sans MT" w:hAnsi="Gill Sans MT"/>
          <w:sz w:val="20"/>
          <w:lang w:val="en-GB"/>
        </w:rPr>
        <w:t xml:space="preserve">within each sector and the use of </w:t>
      </w:r>
      <w:r>
        <w:rPr>
          <w:rFonts w:ascii="Gill Sans MT" w:hAnsi="Gill Sans MT"/>
          <w:sz w:val="20"/>
          <w:lang w:val="en-GB"/>
        </w:rPr>
        <w:t xml:space="preserve">joint PAFs, joint missions and common review processes. </w:t>
      </w:r>
    </w:p>
    <w:p w14:paraId="11DDC8FC" w14:textId="77777777" w:rsidR="00234A09" w:rsidRPr="00F060D0" w:rsidRDefault="00234A09" w:rsidP="00234A09">
      <w:pPr>
        <w:pStyle w:val="Heading3"/>
      </w:pPr>
      <w:r>
        <w:t xml:space="preserve">Refining our </w:t>
      </w:r>
      <w:r w:rsidRPr="00F060D0">
        <w:t>hypotheses….</w:t>
      </w:r>
    </w:p>
    <w:p w14:paraId="04741669" w14:textId="77777777" w:rsidR="00234A09" w:rsidRDefault="00234A09" w:rsidP="00234A09">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In our conclusions </w:t>
      </w:r>
      <w:r w:rsidR="004216BB">
        <w:rPr>
          <w:rFonts w:ascii="Gill Sans MT" w:hAnsi="Gill Sans MT"/>
          <w:sz w:val="20"/>
          <w:lang w:val="en-GB"/>
        </w:rPr>
        <w:t>to Chapter 2, we presented two</w:t>
      </w:r>
      <w:r>
        <w:rPr>
          <w:rFonts w:ascii="Gill Sans MT" w:hAnsi="Gill Sans MT"/>
          <w:sz w:val="20"/>
          <w:lang w:val="en-GB"/>
        </w:rPr>
        <w:t xml:space="preserve"> hypotheses, which emerged from our analysis of the experience of budget support in the four LICs. We are now in a position to test those hypotheses against the experience of the three MIC countries. </w:t>
      </w:r>
    </w:p>
    <w:p w14:paraId="748C69B9" w14:textId="77777777" w:rsidR="00234A09" w:rsidRPr="00CE5D06" w:rsidRDefault="00CE5D06" w:rsidP="00CE5D06">
      <w:pPr>
        <w:pStyle w:val="BodyText"/>
        <w:numPr>
          <w:ilvl w:val="0"/>
          <w:numId w:val="2"/>
        </w:numPr>
        <w:spacing w:line="360" w:lineRule="auto"/>
        <w:ind w:left="499" w:hanging="357"/>
        <w:rPr>
          <w:rFonts w:ascii="Gill Sans MT" w:hAnsi="Gill Sans MT"/>
          <w:sz w:val="20"/>
          <w:lang w:val="en-GB"/>
        </w:rPr>
      </w:pPr>
      <w:r w:rsidRPr="00CE5D06">
        <w:rPr>
          <w:rFonts w:ascii="Gill Sans MT" w:hAnsi="Gill Sans MT"/>
          <w:b/>
          <w:sz w:val="20"/>
          <w:lang w:val="en-GB"/>
        </w:rPr>
        <w:t>The first hypothesis was tha</w:t>
      </w:r>
      <w:r w:rsidR="000F7821">
        <w:rPr>
          <w:rFonts w:ascii="Gill Sans MT" w:hAnsi="Gill Sans MT"/>
          <w:b/>
          <w:sz w:val="20"/>
          <w:lang w:val="en-GB"/>
        </w:rPr>
        <w:t xml:space="preserve">t there must be trust and confidence within </w:t>
      </w:r>
      <w:r w:rsidRPr="00CE5D06">
        <w:rPr>
          <w:rFonts w:ascii="Gill Sans MT" w:hAnsi="Gill Sans MT"/>
          <w:b/>
          <w:sz w:val="20"/>
          <w:lang w:val="en-GB"/>
        </w:rPr>
        <w:t>donor-government relations for a successful policy dialogue and successful sector outcomes.</w:t>
      </w:r>
      <w:r>
        <w:rPr>
          <w:rFonts w:ascii="Gill Sans MT" w:hAnsi="Gill Sans MT"/>
          <w:sz w:val="20"/>
          <w:lang w:val="en-GB"/>
        </w:rPr>
        <w:t xml:space="preserve"> </w:t>
      </w:r>
      <w:r w:rsidR="00234A09" w:rsidRPr="00CE5D06">
        <w:rPr>
          <w:rFonts w:ascii="Gill Sans MT" w:hAnsi="Gill Sans MT"/>
          <w:sz w:val="20"/>
          <w:lang w:val="en-GB"/>
        </w:rPr>
        <w:t>In ea</w:t>
      </w:r>
      <w:r w:rsidR="000F7821">
        <w:rPr>
          <w:rFonts w:ascii="Gill Sans MT" w:hAnsi="Gill Sans MT"/>
          <w:sz w:val="20"/>
          <w:lang w:val="en-GB"/>
        </w:rPr>
        <w:t>ch of the MICs, donor-g</w:t>
      </w:r>
      <w:r w:rsidR="00234A09" w:rsidRPr="00CE5D06">
        <w:rPr>
          <w:rFonts w:ascii="Gill Sans MT" w:hAnsi="Gill Sans MT"/>
          <w:sz w:val="20"/>
          <w:lang w:val="en-GB"/>
        </w:rPr>
        <w:t xml:space="preserve">overnment relations </w:t>
      </w:r>
      <w:r w:rsidR="000F7821">
        <w:rPr>
          <w:rFonts w:ascii="Gill Sans MT" w:hAnsi="Gill Sans MT"/>
          <w:sz w:val="20"/>
          <w:lang w:val="en-GB"/>
        </w:rPr>
        <w:t xml:space="preserve">were always characterised by trust, based on mutual respect. As a result, underlying tensions in donor-government relations were </w:t>
      </w:r>
      <w:r w:rsidR="00234A09" w:rsidRPr="00CE5D06">
        <w:rPr>
          <w:rFonts w:ascii="Gill Sans MT" w:hAnsi="Gill Sans MT"/>
          <w:sz w:val="20"/>
          <w:lang w:val="en-GB"/>
        </w:rPr>
        <w:t>never a constraint to the maintenance of a good policy dialogue. This lends sup</w:t>
      </w:r>
      <w:r w:rsidR="000F7821">
        <w:rPr>
          <w:rFonts w:ascii="Gill Sans MT" w:hAnsi="Gill Sans MT"/>
          <w:sz w:val="20"/>
          <w:lang w:val="en-GB"/>
        </w:rPr>
        <w:t>port to this hypothesis</w:t>
      </w:r>
      <w:r w:rsidR="00234A09" w:rsidRPr="00CE5D06">
        <w:rPr>
          <w:rFonts w:ascii="Gill Sans MT" w:hAnsi="Gill Sans MT"/>
          <w:sz w:val="20"/>
          <w:lang w:val="en-GB"/>
        </w:rPr>
        <w:t xml:space="preserve">. </w:t>
      </w:r>
    </w:p>
    <w:p w14:paraId="49C0C529" w14:textId="77777777" w:rsidR="00234A09" w:rsidRDefault="00234A09" w:rsidP="00234A09">
      <w:pPr>
        <w:pStyle w:val="BodyText"/>
        <w:numPr>
          <w:ilvl w:val="0"/>
          <w:numId w:val="2"/>
        </w:numPr>
        <w:spacing w:line="360" w:lineRule="auto"/>
        <w:ind w:left="499" w:hanging="357"/>
        <w:rPr>
          <w:rFonts w:ascii="Gill Sans MT" w:hAnsi="Gill Sans MT"/>
          <w:sz w:val="20"/>
          <w:lang w:val="en-GB"/>
        </w:rPr>
      </w:pPr>
      <w:r w:rsidRPr="00864706">
        <w:rPr>
          <w:rFonts w:ascii="Gill Sans MT" w:hAnsi="Gill Sans MT"/>
          <w:sz w:val="20"/>
          <w:lang w:val="en-GB"/>
        </w:rPr>
        <w:t xml:space="preserve">The MIC experience </w:t>
      </w:r>
      <w:r>
        <w:rPr>
          <w:rFonts w:ascii="Gill Sans MT" w:hAnsi="Gill Sans MT"/>
          <w:sz w:val="20"/>
          <w:lang w:val="en-GB"/>
        </w:rPr>
        <w:t>also provides some indication of t</w:t>
      </w:r>
      <w:r w:rsidR="001E29A7">
        <w:rPr>
          <w:rFonts w:ascii="Gill Sans MT" w:hAnsi="Gill Sans MT"/>
          <w:sz w:val="20"/>
          <w:lang w:val="en-GB"/>
        </w:rPr>
        <w:t>he circumstances in which effective donor-g</w:t>
      </w:r>
      <w:r>
        <w:rPr>
          <w:rFonts w:ascii="Gill Sans MT" w:hAnsi="Gill Sans MT"/>
          <w:sz w:val="20"/>
          <w:lang w:val="en-GB"/>
        </w:rPr>
        <w:t xml:space="preserve">overnment relations are likely to be preserved and deepened. </w:t>
      </w:r>
      <w:r w:rsidR="001E29A7">
        <w:rPr>
          <w:rFonts w:ascii="Gill Sans MT" w:hAnsi="Gill Sans MT"/>
          <w:sz w:val="20"/>
          <w:lang w:val="en-GB"/>
        </w:rPr>
        <w:t>In particular, w</w:t>
      </w:r>
      <w:r>
        <w:rPr>
          <w:rFonts w:ascii="Gill Sans MT" w:hAnsi="Gill Sans MT"/>
          <w:sz w:val="20"/>
          <w:lang w:val="en-GB"/>
        </w:rPr>
        <w:t>e identified res</w:t>
      </w:r>
      <w:r w:rsidR="000F7821">
        <w:rPr>
          <w:rFonts w:ascii="Gill Sans MT" w:hAnsi="Gill Sans MT"/>
          <w:sz w:val="20"/>
          <w:lang w:val="en-GB"/>
        </w:rPr>
        <w:t>pect for ownership as a stronger</w:t>
      </w:r>
      <w:r>
        <w:rPr>
          <w:rFonts w:ascii="Gill Sans MT" w:hAnsi="Gill Sans MT"/>
          <w:sz w:val="20"/>
          <w:lang w:val="en-GB"/>
        </w:rPr>
        <w:t xml:space="preserve"> feature of the MIC experience with budget support. If it could also be made a defining feature of the LIC experience, then it se</w:t>
      </w:r>
      <w:r w:rsidR="00897613">
        <w:rPr>
          <w:rFonts w:ascii="Gill Sans MT" w:hAnsi="Gill Sans MT"/>
          <w:sz w:val="20"/>
          <w:lang w:val="en-GB"/>
        </w:rPr>
        <w:t xml:space="preserve">ems likely that this would </w:t>
      </w:r>
      <w:r>
        <w:rPr>
          <w:rFonts w:ascii="Gill Sans MT" w:hAnsi="Gill Sans MT"/>
          <w:sz w:val="20"/>
          <w:lang w:val="en-GB"/>
        </w:rPr>
        <w:t>further strengthen Donor-Government relations.</w:t>
      </w:r>
    </w:p>
    <w:p w14:paraId="03587F8E" w14:textId="77777777" w:rsidR="00234A09" w:rsidRDefault="00234A09" w:rsidP="00234A09">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lastRenderedPageBreak/>
        <w:t xml:space="preserve">Of relevance too is the fact that the Association Agreements in Tunisia and Morocco and the TDCA in South Africa placed the aid agenda within a wider strategic context of a comprehensive cooperation. Budget support was part of a wider dialogue about shared prosperity, thus </w:t>
      </w:r>
      <w:r w:rsidR="001E29A7">
        <w:rPr>
          <w:rFonts w:ascii="Gill Sans MT" w:hAnsi="Gill Sans MT"/>
          <w:sz w:val="20"/>
          <w:lang w:val="en-GB"/>
        </w:rPr>
        <w:t>lending a firmer foundation to donor-g</w:t>
      </w:r>
      <w:r>
        <w:rPr>
          <w:rFonts w:ascii="Gill Sans MT" w:hAnsi="Gill Sans MT"/>
          <w:sz w:val="20"/>
          <w:lang w:val="en-GB"/>
        </w:rPr>
        <w:t>overnment relations. In the LICs, the impression is that the “aid debate” has become increasingly divorced from the deeper “development debate”: if these links could be strengthened</w:t>
      </w:r>
      <w:r w:rsidR="00897613">
        <w:rPr>
          <w:rFonts w:ascii="Gill Sans MT" w:hAnsi="Gill Sans MT"/>
          <w:sz w:val="20"/>
          <w:lang w:val="en-GB"/>
        </w:rPr>
        <w:t>,</w:t>
      </w:r>
      <w:r>
        <w:rPr>
          <w:rFonts w:ascii="Gill Sans MT" w:hAnsi="Gill Sans MT"/>
          <w:sz w:val="20"/>
          <w:lang w:val="en-GB"/>
        </w:rPr>
        <w:t xml:space="preserve"> it would also provide f</w:t>
      </w:r>
      <w:r w:rsidR="001E29A7">
        <w:rPr>
          <w:rFonts w:ascii="Gill Sans MT" w:hAnsi="Gill Sans MT"/>
          <w:sz w:val="20"/>
          <w:lang w:val="en-GB"/>
        </w:rPr>
        <w:t>irmer foundations for the trust and confidence required within donor-g</w:t>
      </w:r>
      <w:r>
        <w:rPr>
          <w:rFonts w:ascii="Gill Sans MT" w:hAnsi="Gill Sans MT"/>
          <w:sz w:val="20"/>
          <w:lang w:val="en-GB"/>
        </w:rPr>
        <w:t>overnment relations</w:t>
      </w:r>
      <w:r w:rsidR="00897613">
        <w:rPr>
          <w:rFonts w:ascii="Gill Sans MT" w:hAnsi="Gill Sans MT"/>
          <w:sz w:val="20"/>
          <w:lang w:val="en-GB"/>
        </w:rPr>
        <w:t xml:space="preserve">. </w:t>
      </w:r>
    </w:p>
    <w:p w14:paraId="75220CE6" w14:textId="77777777" w:rsidR="00882424" w:rsidRDefault="00882424" w:rsidP="00882424">
      <w:pPr>
        <w:pStyle w:val="BodyText"/>
        <w:numPr>
          <w:ilvl w:val="0"/>
          <w:numId w:val="2"/>
        </w:numPr>
        <w:spacing w:line="360" w:lineRule="auto"/>
        <w:ind w:left="499" w:hanging="357"/>
        <w:rPr>
          <w:rFonts w:ascii="Gill Sans MT" w:hAnsi="Gill Sans MT"/>
          <w:sz w:val="20"/>
          <w:lang w:val="en-GB"/>
        </w:rPr>
      </w:pPr>
      <w:r w:rsidRPr="00882424">
        <w:rPr>
          <w:rFonts w:ascii="Gill Sans MT" w:hAnsi="Gill Sans MT"/>
          <w:sz w:val="20"/>
          <w:lang w:val="en-GB"/>
        </w:rPr>
        <w:t>Another key difference in LICs was that the integrity of the partnership was sometimes undermined by attempts to use policy leverage to compel governments to implement more speedily their reforms to democratic governance.</w:t>
      </w:r>
      <w:r>
        <w:rPr>
          <w:rFonts w:ascii="Gill Sans MT" w:hAnsi="Gill Sans MT"/>
          <w:sz w:val="20"/>
          <w:lang w:val="en-GB"/>
        </w:rPr>
        <w:t xml:space="preserve"> In practice, in none of the three MIC cases was there evidence of attempts to use policy leverage to compel partner governments to adopt reform measures, which they did not want. The ownership of the partner governments over the policy agenda was respected and this helped to strengthen the partnership. </w:t>
      </w:r>
    </w:p>
    <w:p w14:paraId="3655DB1A" w14:textId="77777777" w:rsidR="00882424" w:rsidRDefault="00882424" w:rsidP="00882424">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What did happen occasionally in the MICs was that as part of a shared dialogue on reforms, new targets and indicators were included, as a way of widening the policy space for reform. For example, in Morocco</w:t>
      </w:r>
      <w:r w:rsidR="009B04DE">
        <w:rPr>
          <w:rFonts w:ascii="Gill Sans MT" w:hAnsi="Gill Sans MT"/>
          <w:sz w:val="20"/>
          <w:lang w:val="en-GB"/>
        </w:rPr>
        <w:t>,</w:t>
      </w:r>
      <w:r>
        <w:rPr>
          <w:rFonts w:ascii="Gill Sans MT" w:hAnsi="Gill Sans MT"/>
          <w:sz w:val="20"/>
          <w:lang w:val="en-GB"/>
        </w:rPr>
        <w:t xml:space="preserve"> </w:t>
      </w:r>
      <w:r w:rsidRPr="0010609F">
        <w:rPr>
          <w:rFonts w:ascii="Gill Sans MT" w:hAnsi="Gill Sans MT"/>
          <w:sz w:val="20"/>
          <w:lang w:val="en-GB"/>
        </w:rPr>
        <w:t xml:space="preserve">the </w:t>
      </w:r>
      <w:r>
        <w:rPr>
          <w:rFonts w:ascii="Gill Sans MT" w:hAnsi="Gill Sans MT"/>
          <w:sz w:val="20"/>
          <w:lang w:val="en-GB"/>
        </w:rPr>
        <w:t xml:space="preserve">Government was opposed to introducing VAT </w:t>
      </w:r>
      <w:r w:rsidRPr="0010609F">
        <w:rPr>
          <w:rFonts w:ascii="Gill Sans MT" w:hAnsi="Gill Sans MT"/>
          <w:sz w:val="20"/>
          <w:lang w:val="en-GB"/>
        </w:rPr>
        <w:t>in</w:t>
      </w:r>
      <w:r>
        <w:rPr>
          <w:rFonts w:ascii="Gill Sans MT" w:hAnsi="Gill Sans MT"/>
          <w:sz w:val="20"/>
          <w:lang w:val="en-GB"/>
        </w:rPr>
        <w:t xml:space="preserve"> the agricultural sector but donors argued for its inclusion </w:t>
      </w:r>
      <w:r w:rsidRPr="0010609F">
        <w:rPr>
          <w:rFonts w:ascii="Gill Sans MT" w:hAnsi="Gill Sans MT"/>
          <w:sz w:val="20"/>
          <w:lang w:val="en-GB"/>
        </w:rPr>
        <w:t xml:space="preserve">within a general reform agenda, which included, amongst </w:t>
      </w:r>
      <w:r>
        <w:rPr>
          <w:rFonts w:ascii="Gill Sans MT" w:hAnsi="Gill Sans MT"/>
          <w:sz w:val="20"/>
          <w:lang w:val="en-GB"/>
        </w:rPr>
        <w:t xml:space="preserve">other things, a revision of VAT. Despite formally accepting </w:t>
      </w:r>
      <w:r w:rsidRPr="0010609F">
        <w:rPr>
          <w:rFonts w:ascii="Gill Sans MT" w:hAnsi="Gill Sans MT"/>
          <w:sz w:val="20"/>
          <w:lang w:val="en-GB"/>
        </w:rPr>
        <w:t>these measures into the reform agenda</w:t>
      </w:r>
      <w:r>
        <w:rPr>
          <w:rFonts w:ascii="Gill Sans MT" w:hAnsi="Gill Sans MT"/>
          <w:sz w:val="20"/>
          <w:lang w:val="en-GB"/>
        </w:rPr>
        <w:t xml:space="preserve">, there was initially no progress </w:t>
      </w:r>
      <w:r w:rsidRPr="0010609F">
        <w:rPr>
          <w:rFonts w:ascii="Gill Sans MT" w:hAnsi="Gill Sans MT"/>
          <w:sz w:val="20"/>
          <w:lang w:val="en-GB"/>
        </w:rPr>
        <w:t>(</w:t>
      </w:r>
      <w:r>
        <w:rPr>
          <w:rFonts w:ascii="Gill Sans MT" w:hAnsi="Gill Sans MT"/>
          <w:sz w:val="20"/>
          <w:lang w:val="en-GB"/>
        </w:rPr>
        <w:t xml:space="preserve">as a result of which </w:t>
      </w:r>
      <w:r w:rsidRPr="0010609F">
        <w:rPr>
          <w:rFonts w:ascii="Gill Sans MT" w:hAnsi="Gill Sans MT"/>
          <w:sz w:val="20"/>
          <w:lang w:val="en-GB"/>
        </w:rPr>
        <w:t xml:space="preserve">money </w:t>
      </w:r>
      <w:r>
        <w:rPr>
          <w:rFonts w:ascii="Gill Sans MT" w:hAnsi="Gill Sans MT"/>
          <w:sz w:val="20"/>
          <w:lang w:val="en-GB"/>
        </w:rPr>
        <w:t xml:space="preserve">was </w:t>
      </w:r>
      <w:r w:rsidRPr="0010609F">
        <w:rPr>
          <w:rFonts w:ascii="Gill Sans MT" w:hAnsi="Gill Sans MT"/>
          <w:sz w:val="20"/>
          <w:lang w:val="en-GB"/>
        </w:rPr>
        <w:t>not disbursed for that particular criterion)</w:t>
      </w:r>
      <w:r>
        <w:rPr>
          <w:rFonts w:ascii="Gill Sans MT" w:hAnsi="Gill Sans MT"/>
          <w:sz w:val="20"/>
          <w:lang w:val="en-GB"/>
        </w:rPr>
        <w:t xml:space="preserve">. However, the </w:t>
      </w:r>
      <w:r w:rsidRPr="0010609F">
        <w:rPr>
          <w:rFonts w:ascii="Gill Sans MT" w:hAnsi="Gill Sans MT"/>
          <w:sz w:val="20"/>
          <w:lang w:val="en-GB"/>
        </w:rPr>
        <w:t xml:space="preserve">tabling of the issue and </w:t>
      </w:r>
      <w:r>
        <w:rPr>
          <w:rFonts w:ascii="Gill Sans MT" w:hAnsi="Gill Sans MT"/>
          <w:sz w:val="20"/>
          <w:lang w:val="en-GB"/>
        </w:rPr>
        <w:t xml:space="preserve">its discussion eventually generated </w:t>
      </w:r>
      <w:r w:rsidRPr="0010609F">
        <w:rPr>
          <w:rFonts w:ascii="Gill Sans MT" w:hAnsi="Gill Sans MT"/>
          <w:sz w:val="20"/>
          <w:lang w:val="en-GB"/>
        </w:rPr>
        <w:t xml:space="preserve">progress </w:t>
      </w:r>
      <w:r>
        <w:rPr>
          <w:rFonts w:ascii="Gill Sans MT" w:hAnsi="Gill Sans MT"/>
          <w:sz w:val="20"/>
          <w:lang w:val="en-GB"/>
        </w:rPr>
        <w:t xml:space="preserve">through </w:t>
      </w:r>
      <w:r w:rsidRPr="0010609F">
        <w:rPr>
          <w:rFonts w:ascii="Gill Sans MT" w:hAnsi="Gill Sans MT"/>
          <w:sz w:val="20"/>
          <w:lang w:val="en-GB"/>
        </w:rPr>
        <w:t>the 2014 budget law.</w:t>
      </w:r>
    </w:p>
    <w:p w14:paraId="16C33E8D" w14:textId="77777777" w:rsidR="00882424" w:rsidRPr="00882424" w:rsidRDefault="00882424" w:rsidP="00882424">
      <w:pPr>
        <w:pStyle w:val="BodyText"/>
        <w:numPr>
          <w:ilvl w:val="0"/>
          <w:numId w:val="2"/>
        </w:numPr>
        <w:spacing w:line="360" w:lineRule="auto"/>
        <w:ind w:left="499" w:hanging="357"/>
        <w:rPr>
          <w:rFonts w:ascii="Gill Sans MT" w:hAnsi="Gill Sans MT"/>
          <w:sz w:val="20"/>
          <w:lang w:val="en-GB"/>
        </w:rPr>
      </w:pPr>
      <w:r w:rsidRPr="002F7F83">
        <w:rPr>
          <w:rFonts w:ascii="Gill Sans MT" w:hAnsi="Gill Sans MT"/>
          <w:sz w:val="20"/>
          <w:lang w:val="en-GB"/>
        </w:rPr>
        <w:t>It is legitimate within a partnership to exert influence and promote changes for the wider good. Yet, there is a way to contribute to a shared development agenda, which respects ownership</w:t>
      </w:r>
      <w:r>
        <w:rPr>
          <w:rFonts w:ascii="Gill Sans MT" w:hAnsi="Gill Sans MT"/>
          <w:sz w:val="20"/>
          <w:lang w:val="en-GB"/>
        </w:rPr>
        <w:t xml:space="preserve"> – by pushing on open doors rather than breaking down closed ones, by listening before speaking and by not imposing external agendas. These are all good habits, which Development </w:t>
      </w:r>
      <w:r w:rsidR="002F7F83">
        <w:rPr>
          <w:rFonts w:ascii="Gill Sans MT" w:hAnsi="Gill Sans MT"/>
          <w:sz w:val="20"/>
          <w:lang w:val="en-GB"/>
        </w:rPr>
        <w:t xml:space="preserve">Partners display more </w:t>
      </w:r>
      <w:r>
        <w:rPr>
          <w:rFonts w:ascii="Gill Sans MT" w:hAnsi="Gill Sans MT"/>
          <w:sz w:val="20"/>
          <w:lang w:val="en-GB"/>
        </w:rPr>
        <w:t>in the MICs</w:t>
      </w:r>
      <w:r w:rsidR="002F7F83">
        <w:rPr>
          <w:rFonts w:ascii="Gill Sans MT" w:hAnsi="Gill Sans MT"/>
          <w:sz w:val="20"/>
          <w:lang w:val="en-GB"/>
        </w:rPr>
        <w:t xml:space="preserve"> than in the LICs</w:t>
      </w:r>
      <w:r>
        <w:rPr>
          <w:rFonts w:ascii="Gill Sans MT" w:hAnsi="Gill Sans MT"/>
          <w:sz w:val="20"/>
          <w:lang w:val="en-GB"/>
        </w:rPr>
        <w:t>.</w:t>
      </w:r>
      <w:r w:rsidR="002F7F83">
        <w:rPr>
          <w:rFonts w:ascii="Gill Sans MT" w:hAnsi="Gill Sans MT"/>
          <w:sz w:val="20"/>
          <w:lang w:val="en-GB"/>
        </w:rPr>
        <w:t xml:space="preserve"> A wider commitment to such an approach is needed.</w:t>
      </w:r>
    </w:p>
    <w:p w14:paraId="5B437359" w14:textId="77777777" w:rsidR="00234A09" w:rsidRDefault="00234A09" w:rsidP="00234A09">
      <w:pPr>
        <w:pStyle w:val="BodyText"/>
        <w:numPr>
          <w:ilvl w:val="0"/>
          <w:numId w:val="2"/>
        </w:numPr>
        <w:spacing w:line="360" w:lineRule="auto"/>
        <w:ind w:left="499" w:hanging="357"/>
        <w:rPr>
          <w:rFonts w:ascii="Gill Sans MT" w:hAnsi="Gill Sans MT"/>
          <w:sz w:val="20"/>
          <w:lang w:val="en-GB"/>
        </w:rPr>
      </w:pPr>
      <w:r w:rsidRPr="00A90682">
        <w:rPr>
          <w:rFonts w:ascii="Gill Sans MT" w:hAnsi="Gill Sans MT"/>
          <w:b/>
          <w:sz w:val="20"/>
          <w:lang w:val="en-GB"/>
        </w:rPr>
        <w:t xml:space="preserve">The second hypothesis </w:t>
      </w:r>
      <w:r>
        <w:rPr>
          <w:rFonts w:ascii="Gill Sans MT" w:hAnsi="Gill Sans MT"/>
          <w:b/>
          <w:sz w:val="20"/>
          <w:lang w:val="en-GB"/>
        </w:rPr>
        <w:t>wa</w:t>
      </w:r>
      <w:r w:rsidRPr="00A90682">
        <w:rPr>
          <w:rFonts w:ascii="Gill Sans MT" w:hAnsi="Gill Sans MT"/>
          <w:b/>
          <w:sz w:val="20"/>
          <w:lang w:val="en-GB"/>
        </w:rPr>
        <w:t xml:space="preserve">s that </w:t>
      </w:r>
      <w:r w:rsidR="00C607D1">
        <w:rPr>
          <w:rFonts w:ascii="Gill Sans MT" w:hAnsi="Gill Sans MT"/>
          <w:b/>
          <w:sz w:val="20"/>
          <w:szCs w:val="12"/>
        </w:rPr>
        <w:t xml:space="preserve">policy dialogue </w:t>
      </w:r>
      <w:r w:rsidR="00C607D1" w:rsidRPr="00F52946">
        <w:rPr>
          <w:rFonts w:ascii="Gill Sans MT" w:hAnsi="Gill Sans MT"/>
          <w:b/>
          <w:sz w:val="20"/>
          <w:szCs w:val="12"/>
        </w:rPr>
        <w:t>requi</w:t>
      </w:r>
      <w:r w:rsidR="00C607D1">
        <w:rPr>
          <w:rFonts w:ascii="Gill Sans MT" w:hAnsi="Gill Sans MT"/>
          <w:b/>
          <w:sz w:val="20"/>
          <w:szCs w:val="12"/>
        </w:rPr>
        <w:t xml:space="preserve">res explicit measures to develop </w:t>
      </w:r>
      <w:r w:rsidR="00C607D1" w:rsidRPr="00F52946">
        <w:rPr>
          <w:rFonts w:ascii="Gill Sans MT" w:hAnsi="Gill Sans MT"/>
          <w:b/>
          <w:sz w:val="20"/>
          <w:szCs w:val="12"/>
        </w:rPr>
        <w:t>the space for strategic problem-solving discussion.</w:t>
      </w:r>
      <w:r w:rsidR="00C607D1" w:rsidRPr="00F52946">
        <w:rPr>
          <w:rFonts w:ascii="Gill Sans MT" w:hAnsi="Gill Sans MT"/>
          <w:sz w:val="20"/>
          <w:szCs w:val="12"/>
        </w:rPr>
        <w:t xml:space="preserve"> </w:t>
      </w:r>
      <w:r w:rsidRPr="00A90682">
        <w:rPr>
          <w:rFonts w:ascii="Gill Sans MT" w:hAnsi="Gill Sans MT"/>
          <w:sz w:val="20"/>
          <w:lang w:val="en-GB"/>
        </w:rPr>
        <w:t>In the LICs, it was found</w:t>
      </w:r>
      <w:r>
        <w:rPr>
          <w:rFonts w:ascii="Gill Sans MT" w:hAnsi="Gill Sans MT"/>
          <w:sz w:val="20"/>
          <w:lang w:val="en-GB"/>
        </w:rPr>
        <w:t xml:space="preserve"> that </w:t>
      </w:r>
      <w:r w:rsidR="002F7F83">
        <w:rPr>
          <w:rFonts w:ascii="Gill Sans MT" w:hAnsi="Gill Sans MT"/>
          <w:sz w:val="20"/>
          <w:lang w:val="en-GB"/>
        </w:rPr>
        <w:t>this space was limited</w:t>
      </w:r>
      <w:r>
        <w:rPr>
          <w:rFonts w:ascii="Gill Sans MT" w:hAnsi="Gill Sans MT"/>
          <w:sz w:val="20"/>
          <w:lang w:val="en-GB"/>
        </w:rPr>
        <w:t>. Two factors appeared to be at play: (</w:t>
      </w:r>
      <w:proofErr w:type="spellStart"/>
      <w:r>
        <w:rPr>
          <w:rFonts w:ascii="Gill Sans MT" w:hAnsi="Gill Sans MT"/>
          <w:sz w:val="20"/>
          <w:lang w:val="en-GB"/>
        </w:rPr>
        <w:t>i</w:t>
      </w:r>
      <w:proofErr w:type="spellEnd"/>
      <w:r>
        <w:rPr>
          <w:rFonts w:ascii="Gill Sans MT" w:hAnsi="Gill Sans MT"/>
          <w:sz w:val="20"/>
          <w:lang w:val="en-GB"/>
        </w:rPr>
        <w:t xml:space="preserve">) the process of verifying the fulfilment of disbursement conditions had become so focused on details that the attention to the wider </w:t>
      </w:r>
      <w:r w:rsidR="00CE5D06">
        <w:rPr>
          <w:rFonts w:ascii="Gill Sans MT" w:hAnsi="Gill Sans MT"/>
          <w:sz w:val="20"/>
          <w:lang w:val="en-GB"/>
        </w:rPr>
        <w:t xml:space="preserve">strategic </w:t>
      </w:r>
      <w:r>
        <w:rPr>
          <w:rFonts w:ascii="Gill Sans MT" w:hAnsi="Gill Sans MT"/>
          <w:sz w:val="20"/>
          <w:lang w:val="en-GB"/>
        </w:rPr>
        <w:t>concern</w:t>
      </w:r>
      <w:r w:rsidR="00CE5D06">
        <w:rPr>
          <w:rFonts w:ascii="Gill Sans MT" w:hAnsi="Gill Sans MT"/>
          <w:sz w:val="20"/>
          <w:lang w:val="en-GB"/>
        </w:rPr>
        <w:t>s</w:t>
      </w:r>
      <w:r>
        <w:rPr>
          <w:rFonts w:ascii="Gill Sans MT" w:hAnsi="Gill Sans MT"/>
          <w:sz w:val="20"/>
          <w:lang w:val="en-GB"/>
        </w:rPr>
        <w:t xml:space="preserve"> had often been lost; and (ii) in cases where there was</w:t>
      </w:r>
      <w:r w:rsidR="001E29A7">
        <w:rPr>
          <w:rFonts w:ascii="Gill Sans MT" w:hAnsi="Gill Sans MT"/>
          <w:sz w:val="20"/>
          <w:lang w:val="en-GB"/>
        </w:rPr>
        <w:t xml:space="preserve"> underlying tension in the donor-g</w:t>
      </w:r>
      <w:r>
        <w:rPr>
          <w:rFonts w:ascii="Gill Sans MT" w:hAnsi="Gill Sans MT"/>
          <w:sz w:val="20"/>
          <w:lang w:val="en-GB"/>
        </w:rPr>
        <w:t>overnment relationship (Mozambique, Tanzania, Zambia), it proved very difficult to pursue the ‘auditing’ function of budget support dialogue alongside the problem-solving/ ideas-sharing function.</w:t>
      </w:r>
    </w:p>
    <w:p w14:paraId="45AD0C27" w14:textId="77777777" w:rsidR="00234A09" w:rsidRDefault="00234A09" w:rsidP="00234A09">
      <w:pPr>
        <w:pStyle w:val="BodyText"/>
        <w:numPr>
          <w:ilvl w:val="0"/>
          <w:numId w:val="2"/>
        </w:numPr>
        <w:spacing w:line="360" w:lineRule="auto"/>
        <w:ind w:left="499" w:hanging="357"/>
        <w:rPr>
          <w:rFonts w:ascii="Gill Sans MT" w:hAnsi="Gill Sans MT"/>
          <w:sz w:val="20"/>
          <w:lang w:val="en-GB"/>
        </w:rPr>
      </w:pPr>
      <w:r w:rsidRPr="00B34FFB">
        <w:rPr>
          <w:rFonts w:ascii="Gill Sans MT" w:hAnsi="Gill Sans MT"/>
          <w:sz w:val="20"/>
          <w:lang w:val="en-GB"/>
        </w:rPr>
        <w:lastRenderedPageBreak/>
        <w:t>In the MICs</w:t>
      </w:r>
      <w:r>
        <w:rPr>
          <w:rFonts w:ascii="Gill Sans MT" w:hAnsi="Gill Sans MT"/>
          <w:sz w:val="20"/>
          <w:lang w:val="en-GB"/>
        </w:rPr>
        <w:t>, underlying tensions have been essentially abse</w:t>
      </w:r>
      <w:r w:rsidR="00C607D1">
        <w:rPr>
          <w:rFonts w:ascii="Gill Sans MT" w:hAnsi="Gill Sans MT"/>
          <w:sz w:val="20"/>
          <w:lang w:val="en-GB"/>
        </w:rPr>
        <w:t>nt: relationships have been respectful</w:t>
      </w:r>
      <w:r>
        <w:rPr>
          <w:rFonts w:ascii="Gill Sans MT" w:hAnsi="Gill Sans MT"/>
          <w:sz w:val="20"/>
          <w:lang w:val="en-GB"/>
        </w:rPr>
        <w:t xml:space="preserve"> and it has always proven possible to manage the ‘auditing’ function of dialogue with a light touch. However, the focus </w:t>
      </w:r>
      <w:r w:rsidR="00AF7FEF">
        <w:rPr>
          <w:rFonts w:ascii="Gill Sans MT" w:hAnsi="Gill Sans MT"/>
          <w:sz w:val="20"/>
          <w:lang w:val="en-GB"/>
        </w:rPr>
        <w:t xml:space="preserve">on details has </w:t>
      </w:r>
      <w:r w:rsidR="00075D3D">
        <w:rPr>
          <w:rFonts w:ascii="Gill Sans MT" w:hAnsi="Gill Sans MT"/>
          <w:sz w:val="20"/>
          <w:lang w:val="en-GB"/>
        </w:rPr>
        <w:t xml:space="preserve">also </w:t>
      </w:r>
      <w:r w:rsidR="00AF7FEF">
        <w:rPr>
          <w:rFonts w:ascii="Gill Sans MT" w:hAnsi="Gill Sans MT"/>
          <w:sz w:val="20"/>
          <w:lang w:val="en-GB"/>
        </w:rPr>
        <w:t>been an issue</w:t>
      </w:r>
      <w:r w:rsidR="009B04DE">
        <w:rPr>
          <w:rFonts w:ascii="Gill Sans MT" w:hAnsi="Gill Sans MT"/>
          <w:sz w:val="20"/>
          <w:lang w:val="en-GB"/>
        </w:rPr>
        <w:t xml:space="preserve"> within MICs.</w:t>
      </w:r>
      <w:r>
        <w:rPr>
          <w:rFonts w:ascii="Gill Sans MT" w:hAnsi="Gill Sans MT"/>
          <w:sz w:val="20"/>
          <w:lang w:val="en-GB"/>
        </w:rPr>
        <w:t xml:space="preserve"> </w:t>
      </w:r>
    </w:p>
    <w:p w14:paraId="1AB80073" w14:textId="77777777" w:rsidR="00234A09" w:rsidRPr="003F3BAE" w:rsidRDefault="002F7F83" w:rsidP="00234A09">
      <w:pPr>
        <w:pStyle w:val="BodyText"/>
        <w:numPr>
          <w:ilvl w:val="0"/>
          <w:numId w:val="2"/>
        </w:numPr>
        <w:spacing w:line="360" w:lineRule="auto"/>
        <w:ind w:left="499" w:hanging="357"/>
        <w:rPr>
          <w:rFonts w:ascii="Gill Sans MT" w:hAnsi="Gill Sans MT"/>
          <w:sz w:val="20"/>
          <w:lang w:val="en-GB"/>
        </w:rPr>
      </w:pPr>
      <w:r w:rsidRPr="002F7F83">
        <w:rPr>
          <w:rFonts w:ascii="Gill Sans MT" w:hAnsi="Gill Sans MT"/>
          <w:b/>
          <w:sz w:val="20"/>
          <w:lang w:val="en-GB"/>
        </w:rPr>
        <w:t>The MIC cases show that it is not sufficient simply to protect the</w:t>
      </w:r>
      <w:r>
        <w:rPr>
          <w:rFonts w:ascii="Gill Sans MT" w:hAnsi="Gill Sans MT"/>
          <w:b/>
          <w:sz w:val="20"/>
          <w:lang w:val="en-GB"/>
        </w:rPr>
        <w:t xml:space="preserve"> space for strategic </w:t>
      </w:r>
      <w:r w:rsidRPr="002F7F83">
        <w:rPr>
          <w:rFonts w:ascii="Gill Sans MT" w:hAnsi="Gill Sans MT"/>
          <w:b/>
          <w:sz w:val="20"/>
          <w:lang w:val="en-GB"/>
        </w:rPr>
        <w:t>problem-solving policy dialogue, it is necessary to embed this in the overall approach to the design and management of disbursements.</w:t>
      </w:r>
      <w:r>
        <w:rPr>
          <w:rFonts w:ascii="Gill Sans MT" w:hAnsi="Gill Sans MT"/>
          <w:sz w:val="20"/>
          <w:lang w:val="en-GB"/>
        </w:rPr>
        <w:t xml:space="preserve"> </w:t>
      </w:r>
      <w:r w:rsidR="00234A09">
        <w:rPr>
          <w:rFonts w:ascii="Gill Sans MT" w:hAnsi="Gill Sans MT"/>
          <w:sz w:val="20"/>
          <w:lang w:val="en-GB"/>
        </w:rPr>
        <w:t>The framework, used extensively in Morocco and Tunisia, of detailed matri</w:t>
      </w:r>
      <w:r w:rsidR="00E2202C">
        <w:rPr>
          <w:rFonts w:ascii="Gill Sans MT" w:hAnsi="Gill Sans MT"/>
          <w:sz w:val="20"/>
          <w:lang w:val="en-GB"/>
        </w:rPr>
        <w:t xml:space="preserve">ces of process conditions, often </w:t>
      </w:r>
      <w:r w:rsidR="00234A09">
        <w:rPr>
          <w:rFonts w:ascii="Gill Sans MT" w:hAnsi="Gill Sans MT"/>
          <w:sz w:val="20"/>
          <w:lang w:val="en-GB"/>
        </w:rPr>
        <w:t xml:space="preserve">linked to a ‘floating’ tranche of budget support, is in many ways a </w:t>
      </w:r>
      <w:proofErr w:type="gramStart"/>
      <w:r w:rsidR="00234A09">
        <w:rPr>
          <w:rFonts w:ascii="Gill Sans MT" w:hAnsi="Gill Sans MT"/>
          <w:sz w:val="20"/>
          <w:lang w:val="en-GB"/>
        </w:rPr>
        <w:t>throw-back</w:t>
      </w:r>
      <w:proofErr w:type="gramEnd"/>
      <w:r w:rsidR="00234A09">
        <w:rPr>
          <w:rFonts w:ascii="Gill Sans MT" w:hAnsi="Gill Sans MT"/>
          <w:sz w:val="20"/>
          <w:lang w:val="en-GB"/>
        </w:rPr>
        <w:t xml:space="preserve"> to old-fashioned structural adjustment. It undermines the predictability of disbursements and encourages a c</w:t>
      </w:r>
      <w:r w:rsidR="00AF7FEF">
        <w:rPr>
          <w:rFonts w:ascii="Gill Sans MT" w:hAnsi="Gill Sans MT"/>
          <w:sz w:val="20"/>
          <w:lang w:val="en-GB"/>
        </w:rPr>
        <w:t>oncentration on details</w:t>
      </w:r>
      <w:r w:rsidR="00234A09">
        <w:rPr>
          <w:rFonts w:ascii="Gill Sans MT" w:hAnsi="Gill Sans MT"/>
          <w:sz w:val="20"/>
          <w:lang w:val="en-GB"/>
        </w:rPr>
        <w:t xml:space="preserve">.  </w:t>
      </w:r>
      <w:r w:rsidR="009B04DE">
        <w:rPr>
          <w:rFonts w:ascii="Gill Sans MT" w:hAnsi="Gill Sans MT"/>
          <w:sz w:val="20"/>
          <w:lang w:val="en-GB"/>
        </w:rPr>
        <w:t>A higher-</w:t>
      </w:r>
      <w:r>
        <w:rPr>
          <w:rFonts w:ascii="Gill Sans MT" w:hAnsi="Gill Sans MT"/>
          <w:sz w:val="20"/>
          <w:lang w:val="en-GB"/>
        </w:rPr>
        <w:t>level focus is needed</w:t>
      </w:r>
      <w:r w:rsidR="009B04DE">
        <w:rPr>
          <w:rFonts w:ascii="Gill Sans MT" w:hAnsi="Gill Sans MT"/>
          <w:sz w:val="20"/>
          <w:lang w:val="en-GB"/>
        </w:rPr>
        <w:t>, which addresses outcomes and impacts and encourages debate and analysis on the optimum choice and design of reforms.</w:t>
      </w:r>
      <w:r w:rsidR="00AF7FEF">
        <w:rPr>
          <w:rFonts w:ascii="Gill Sans MT" w:hAnsi="Gill Sans MT"/>
          <w:sz w:val="20"/>
          <w:lang w:val="en-GB"/>
        </w:rPr>
        <w:t xml:space="preserve"> </w:t>
      </w:r>
    </w:p>
    <w:p w14:paraId="1FF5EBCF" w14:textId="77777777" w:rsidR="00DB0726" w:rsidRPr="00372CF5" w:rsidRDefault="00DB0726" w:rsidP="00DB0726">
      <w:pPr>
        <w:autoSpaceDE w:val="0"/>
        <w:autoSpaceDN w:val="0"/>
        <w:adjustRightInd w:val="0"/>
        <w:ind w:left="720" w:hanging="720"/>
        <w:rPr>
          <w:rFonts w:ascii="Gill Sans MT" w:eastAsia="PMingLiU" w:hAnsi="Gill Sans MT" w:cs="Arial"/>
          <w:sz w:val="20"/>
          <w:szCs w:val="20"/>
          <w:lang w:val="en-GB" w:eastAsia="zh-CN"/>
        </w:rPr>
      </w:pPr>
    </w:p>
    <w:p w14:paraId="3864283C" w14:textId="77777777" w:rsidR="00DB0726" w:rsidRPr="00372CF5" w:rsidRDefault="00DB0726" w:rsidP="00DB0726">
      <w:pPr>
        <w:pStyle w:val="BodyText"/>
        <w:numPr>
          <w:ilvl w:val="0"/>
          <w:numId w:val="0"/>
        </w:numPr>
        <w:spacing w:before="0" w:after="0" w:line="360" w:lineRule="auto"/>
        <w:rPr>
          <w:rFonts w:ascii="Gill Sans MT" w:hAnsi="Gill Sans MT"/>
          <w:sz w:val="20"/>
          <w:lang w:val="en-GB"/>
        </w:rPr>
        <w:sectPr w:rsidR="00DB0726" w:rsidRPr="00372CF5" w:rsidSect="00713B82">
          <w:pgSz w:w="11909" w:h="16834" w:code="9"/>
          <w:pgMar w:top="1440" w:right="1800" w:bottom="1440" w:left="1800" w:header="720" w:footer="720" w:gutter="0"/>
          <w:cols w:space="720"/>
          <w:docGrid w:linePitch="360"/>
        </w:sectPr>
      </w:pPr>
    </w:p>
    <w:p w14:paraId="75685CEF" w14:textId="77777777" w:rsidR="005F0AAB" w:rsidRPr="00372CF5" w:rsidRDefault="005F0AAB" w:rsidP="005F0AAB">
      <w:pPr>
        <w:pStyle w:val="Heading1"/>
      </w:pPr>
      <w:bookmarkStart w:id="85" w:name="_Toc270144540"/>
      <w:bookmarkStart w:id="86" w:name="_Toc279848251"/>
      <w:r>
        <w:lastRenderedPageBreak/>
        <w:t>4</w:t>
      </w:r>
      <w:r w:rsidRPr="00372CF5">
        <w:t xml:space="preserve">. </w:t>
      </w:r>
      <w:r>
        <w:t>Lessons Learned</w:t>
      </w:r>
      <w:bookmarkEnd w:id="85"/>
      <w:r>
        <w:t xml:space="preserve"> and Final Recommendations</w:t>
      </w:r>
      <w:bookmarkEnd w:id="86"/>
    </w:p>
    <w:p w14:paraId="3FC2468B" w14:textId="77777777" w:rsidR="008F339F" w:rsidRPr="00372CF5" w:rsidRDefault="008F339F" w:rsidP="00641C1F">
      <w:pPr>
        <w:pStyle w:val="BodyText"/>
        <w:numPr>
          <w:ilvl w:val="0"/>
          <w:numId w:val="2"/>
        </w:numPr>
        <w:spacing w:line="360" w:lineRule="auto"/>
        <w:ind w:left="499" w:hanging="357"/>
        <w:rPr>
          <w:rFonts w:ascii="Gill Sans MT" w:hAnsi="Gill Sans MT"/>
          <w:sz w:val="20"/>
          <w:lang w:val="en-GB"/>
        </w:rPr>
      </w:pPr>
      <w:r w:rsidRPr="00372CF5">
        <w:rPr>
          <w:rFonts w:ascii="Gill Sans MT" w:hAnsi="Gill Sans MT"/>
          <w:sz w:val="20"/>
          <w:lang w:val="en-GB"/>
        </w:rPr>
        <w:t xml:space="preserve">This chapter provides a summary of </w:t>
      </w:r>
      <w:r>
        <w:rPr>
          <w:rFonts w:ascii="Gill Sans MT" w:hAnsi="Gill Sans MT"/>
          <w:sz w:val="20"/>
          <w:lang w:val="en-GB"/>
        </w:rPr>
        <w:t>the lessons learned from the evaluations of budget support in these seven countries. It first summarises the key achievements, then outlines a number of lessons regarding the requirements for effective budget support, before briefly reviewing what has been learned about the advantages and disadvantages of Sectoral and General Budget Support. We conclude with a set of recommendations for the improvement of the future design and management of budget support.</w:t>
      </w:r>
    </w:p>
    <w:p w14:paraId="1B1916F1" w14:textId="77777777" w:rsidR="008F339F" w:rsidRPr="0008779E" w:rsidRDefault="008F339F" w:rsidP="008F339F">
      <w:pPr>
        <w:pStyle w:val="Heading2"/>
        <w:numPr>
          <w:ilvl w:val="1"/>
          <w:numId w:val="35"/>
        </w:numPr>
        <w:spacing w:before="120" w:after="120"/>
        <w:rPr>
          <w:bCs w:val="0"/>
        </w:rPr>
      </w:pPr>
      <w:bookmarkStart w:id="87" w:name="_Toc279848252"/>
      <w:r>
        <w:rPr>
          <w:bCs w:val="0"/>
        </w:rPr>
        <w:t>Achievements to date and challenges for the future</w:t>
      </w:r>
      <w:bookmarkEnd w:id="87"/>
    </w:p>
    <w:p w14:paraId="2C91EA3A" w14:textId="77777777" w:rsidR="008F339F" w:rsidRPr="00E33C5C" w:rsidRDefault="008F339F" w:rsidP="008F339F">
      <w:pPr>
        <w:pStyle w:val="Heading3"/>
      </w:pPr>
      <w:r w:rsidRPr="00E33C5C">
        <w:t>Significant achievements in a diverse a</w:t>
      </w:r>
      <w:r>
        <w:t>nd challenging set of contexts</w:t>
      </w:r>
      <w:r w:rsidRPr="00E33C5C">
        <w:t xml:space="preserve"> </w:t>
      </w:r>
    </w:p>
    <w:p w14:paraId="74D38244" w14:textId="77777777" w:rsidR="008F339F" w:rsidRDefault="008F339F" w:rsidP="00641C1F">
      <w:pPr>
        <w:pStyle w:val="BodyText"/>
        <w:numPr>
          <w:ilvl w:val="0"/>
          <w:numId w:val="2"/>
        </w:numPr>
        <w:spacing w:line="360" w:lineRule="auto"/>
        <w:ind w:left="499" w:hanging="357"/>
        <w:rPr>
          <w:rFonts w:ascii="Gill Sans MT" w:hAnsi="Gill Sans MT"/>
          <w:sz w:val="20"/>
          <w:lang w:val="en-GB"/>
        </w:rPr>
      </w:pPr>
      <w:r w:rsidRPr="00641C1F">
        <w:rPr>
          <w:rFonts w:ascii="Gill Sans MT" w:hAnsi="Gill Sans MT"/>
          <w:b/>
          <w:sz w:val="20"/>
          <w:lang w:val="en-GB"/>
        </w:rPr>
        <w:t>The experience of these seven countries demonstrates that budget support can achieve significant results within a diverse and often challenging set of contexts</w:t>
      </w:r>
      <w:r>
        <w:rPr>
          <w:rFonts w:ascii="Gill Sans MT" w:hAnsi="Gill Sans MT"/>
          <w:sz w:val="20"/>
          <w:lang w:val="en-GB"/>
        </w:rPr>
        <w:t>. In particular, it has contributed in important ways to upgrading the capability of these governments to manage their public finances, to deliver services and to regulate economic activity, for the benefit of their citizens.</w:t>
      </w:r>
    </w:p>
    <w:p w14:paraId="71396AAE" w14:textId="77777777" w:rsidR="008F339F" w:rsidRDefault="008F339F" w:rsidP="00641C1F">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In the Low Income Countries, the increased flow of funds resulting from budget </w:t>
      </w:r>
      <w:r w:rsidR="002741B0">
        <w:rPr>
          <w:rFonts w:ascii="Gill Sans MT" w:hAnsi="Gill Sans MT"/>
          <w:sz w:val="20"/>
          <w:lang w:val="en-GB"/>
        </w:rPr>
        <w:t>support has been the principal</w:t>
      </w:r>
      <w:r>
        <w:rPr>
          <w:rFonts w:ascii="Gill Sans MT" w:hAnsi="Gill Sans MT"/>
          <w:sz w:val="20"/>
          <w:lang w:val="en-GB"/>
        </w:rPr>
        <w:t xml:space="preserve"> contribution, supporting a considerable improvement in the coverage and utilisation of services – particularly in education and health. There have also been improvements in macroeconomic performance, a significant strengthening of PFM systems and some gains in transparency and oversight, as well as in the legal and institutional framework for fighting corruption.  </w:t>
      </w:r>
    </w:p>
    <w:p w14:paraId="42BE7857" w14:textId="77777777" w:rsidR="008F339F" w:rsidRDefault="008F339F" w:rsidP="00641C1F">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In the Middle Income Countries, support to reforms through policy dialogue and technical assistance/ capacity development have been the primary contributions, although in South Africa the provision of funds enabled the government to finance programmes that it would not otherwise have been able to finance at that time. This supported a government driven process of policy and service delivery innovation, aimed at democratising public services and improving their impact on poverty, inequality and public governance. Where appropriate, the resulting innovations were scaled up and mainstreamed into national policy. In Morocco and Tunisia, GBS and SBS have provided support to tax reforms and to regulatory and institutional changes aimed at modernising these economies and promoting their insertion in the World economy. The coverage of health services and of secondary and tertiary education has also been improved, as too have adult literacy services in Morocco. </w:t>
      </w:r>
    </w:p>
    <w:p w14:paraId="201B876F" w14:textId="77777777" w:rsidR="008F339F" w:rsidRDefault="008F339F" w:rsidP="00641C1F">
      <w:pPr>
        <w:pStyle w:val="BodyText"/>
        <w:numPr>
          <w:ilvl w:val="0"/>
          <w:numId w:val="2"/>
        </w:numPr>
        <w:spacing w:line="360" w:lineRule="auto"/>
        <w:ind w:left="499" w:hanging="357"/>
        <w:rPr>
          <w:rFonts w:ascii="Gill Sans MT" w:hAnsi="Gill Sans MT"/>
          <w:sz w:val="20"/>
          <w:lang w:val="en-GB"/>
        </w:rPr>
      </w:pPr>
      <w:r w:rsidRPr="000D00FC">
        <w:rPr>
          <w:rFonts w:ascii="Gill Sans MT" w:hAnsi="Gill Sans MT"/>
          <w:b/>
          <w:sz w:val="20"/>
          <w:lang w:val="en-GB"/>
        </w:rPr>
        <w:t>Tangible outcomes have been achieved in all cases and there are also indications of positive impacts on economic growth and on non-income poverty.</w:t>
      </w:r>
      <w:r>
        <w:rPr>
          <w:rFonts w:ascii="Gill Sans MT" w:hAnsi="Gill Sans MT"/>
          <w:sz w:val="20"/>
          <w:lang w:val="en-GB"/>
        </w:rPr>
        <w:t xml:space="preserve"> During the evaluation period, there were significant reductions in income poverty in Mali, Morocco, South Africa and Tunisia, although it is difficult to attribute this directly to budget support. </w:t>
      </w:r>
    </w:p>
    <w:p w14:paraId="5B278164" w14:textId="77777777" w:rsidR="008F339F" w:rsidRPr="004C5AE6" w:rsidRDefault="008F339F" w:rsidP="00641C1F">
      <w:pPr>
        <w:pStyle w:val="BodyText"/>
        <w:numPr>
          <w:ilvl w:val="0"/>
          <w:numId w:val="2"/>
        </w:numPr>
        <w:spacing w:line="360" w:lineRule="auto"/>
        <w:ind w:left="499" w:hanging="357"/>
        <w:rPr>
          <w:rFonts w:ascii="Gill Sans MT" w:hAnsi="Gill Sans MT"/>
          <w:sz w:val="20"/>
          <w:lang w:val="en-GB"/>
        </w:rPr>
      </w:pPr>
      <w:r w:rsidRPr="00641C1F">
        <w:rPr>
          <w:rFonts w:ascii="Gill Sans MT" w:hAnsi="Gill Sans MT"/>
          <w:b/>
          <w:sz w:val="20"/>
          <w:lang w:val="en-GB"/>
        </w:rPr>
        <w:lastRenderedPageBreak/>
        <w:t>The delivery mechanisms for budget support were fully consistent with the commitments in the Paris Declaration, the Accra Agenda for Action and the Busan Declaration</w:t>
      </w:r>
      <w:r w:rsidRPr="00641C1F">
        <w:rPr>
          <w:rFonts w:ascii="Gill Sans MT" w:hAnsi="Gill Sans MT"/>
          <w:sz w:val="20"/>
          <w:lang w:val="en-GB"/>
        </w:rPr>
        <w:t xml:space="preserve">. In particular, budget support processes proved themselves to be more closely aligned to government policies and processes than any other aid modality.  </w:t>
      </w:r>
    </w:p>
    <w:p w14:paraId="159BD1E4" w14:textId="77777777" w:rsidR="008F339F" w:rsidRPr="00351C9A" w:rsidRDefault="008F339F" w:rsidP="00641C1F">
      <w:pPr>
        <w:pStyle w:val="BodyText"/>
        <w:numPr>
          <w:ilvl w:val="0"/>
          <w:numId w:val="2"/>
        </w:numPr>
        <w:spacing w:line="360" w:lineRule="auto"/>
        <w:ind w:left="499" w:hanging="357"/>
        <w:rPr>
          <w:rFonts w:ascii="Gill Sans MT" w:hAnsi="Gill Sans MT"/>
          <w:sz w:val="20"/>
          <w:lang w:val="en-GB"/>
        </w:rPr>
      </w:pPr>
      <w:r w:rsidRPr="00641C1F">
        <w:rPr>
          <w:rFonts w:ascii="Gill Sans MT" w:hAnsi="Gill Sans MT"/>
          <w:b/>
          <w:sz w:val="20"/>
          <w:lang w:val="en-GB"/>
        </w:rPr>
        <w:t>None of the negative effects commonly assumed to be associated with budget support were found to be present</w:t>
      </w:r>
      <w:r w:rsidRPr="00641C1F">
        <w:rPr>
          <w:rFonts w:ascii="Gill Sans MT" w:hAnsi="Gill Sans MT"/>
          <w:sz w:val="20"/>
          <w:lang w:val="en-GB"/>
        </w:rPr>
        <w:t>:</w:t>
      </w:r>
    </w:p>
    <w:p w14:paraId="15CFD546" w14:textId="77777777" w:rsidR="008F339F" w:rsidRPr="000B5A5B" w:rsidRDefault="008F339F" w:rsidP="008F339F">
      <w:pPr>
        <w:pStyle w:val="BodyText"/>
        <w:numPr>
          <w:ilvl w:val="1"/>
          <w:numId w:val="41"/>
        </w:numPr>
        <w:spacing w:line="360" w:lineRule="auto"/>
        <w:rPr>
          <w:rFonts w:ascii="Gill Sans MT" w:hAnsi="Gill Sans MT"/>
          <w:sz w:val="20"/>
          <w:lang w:val="en-GB"/>
        </w:rPr>
      </w:pPr>
      <w:r>
        <w:rPr>
          <w:rFonts w:ascii="Gill Sans MT" w:hAnsi="Gill Sans MT"/>
          <w:sz w:val="20"/>
          <w:szCs w:val="12"/>
        </w:rPr>
        <w:t xml:space="preserve">Domestic revenue generation remained bouyant throughout the evaluation, and there were no signs of disincentive effects resulting from budget support flows. Major revenue reforms directly supported by budget support were introduced in Morocco, Mozambique, Tanzania and Tunisia, and in these countries, as well as in South Africa,  revenue to GDP ratios increased, in Mozambique and Tanzania dramatically so. In Mali and Zambia, revenue to GDP ratios remained stable, allowing aggregate revenues to rise in step with economic growth.  </w:t>
      </w:r>
    </w:p>
    <w:p w14:paraId="61358FCE" w14:textId="77777777" w:rsidR="008F339F" w:rsidRPr="000B5A5B" w:rsidRDefault="008F339F" w:rsidP="008F339F">
      <w:pPr>
        <w:pStyle w:val="BodyText"/>
        <w:numPr>
          <w:ilvl w:val="1"/>
          <w:numId w:val="41"/>
        </w:numPr>
        <w:spacing w:line="360" w:lineRule="auto"/>
        <w:rPr>
          <w:rFonts w:ascii="Gill Sans MT" w:hAnsi="Gill Sans MT"/>
          <w:sz w:val="20"/>
          <w:lang w:val="en-GB"/>
        </w:rPr>
      </w:pPr>
      <w:r>
        <w:rPr>
          <w:rFonts w:ascii="Gill Sans MT" w:hAnsi="Gill Sans MT"/>
          <w:sz w:val="20"/>
          <w:szCs w:val="12"/>
        </w:rPr>
        <w:t xml:space="preserve">In the 4 LIC countries, where budget support represented a high percentage of public expenditure, these additional resources were used predominantly to raise spending within the priority sectors, most especially in education, health and roads. </w:t>
      </w:r>
    </w:p>
    <w:p w14:paraId="5EDAC693" w14:textId="77777777" w:rsidR="008F339F" w:rsidRPr="000B5A5B" w:rsidRDefault="008F339F" w:rsidP="008F339F">
      <w:pPr>
        <w:pStyle w:val="BodyText"/>
        <w:numPr>
          <w:ilvl w:val="1"/>
          <w:numId w:val="41"/>
        </w:numPr>
        <w:spacing w:line="360" w:lineRule="auto"/>
        <w:rPr>
          <w:rFonts w:ascii="Gill Sans MT" w:hAnsi="Gill Sans MT"/>
          <w:sz w:val="20"/>
          <w:lang w:val="en-GB"/>
        </w:rPr>
      </w:pPr>
      <w:r>
        <w:rPr>
          <w:rFonts w:ascii="Gill Sans MT" w:hAnsi="Gill Sans MT"/>
          <w:sz w:val="20"/>
          <w:szCs w:val="12"/>
        </w:rPr>
        <w:t xml:space="preserve">The quality of transparency and accountability systems improved during the evaluation period, especially within the LICs, where there was also a marginal improvement in the public perception of corruption, as reported in the Worldwide Governance Indicators. </w:t>
      </w:r>
    </w:p>
    <w:p w14:paraId="0A00CF18" w14:textId="77777777" w:rsidR="008F339F" w:rsidRPr="00D87D22" w:rsidRDefault="008F339F" w:rsidP="00340157">
      <w:pPr>
        <w:pStyle w:val="BodyText"/>
        <w:numPr>
          <w:ilvl w:val="0"/>
          <w:numId w:val="2"/>
        </w:numPr>
        <w:spacing w:line="360" w:lineRule="auto"/>
        <w:ind w:left="499" w:hanging="357"/>
        <w:rPr>
          <w:rFonts w:ascii="Gill Sans MT" w:hAnsi="Gill Sans MT"/>
          <w:sz w:val="20"/>
          <w:lang w:val="en-GB"/>
        </w:rPr>
      </w:pPr>
      <w:r w:rsidRPr="00F5020E">
        <w:rPr>
          <w:rFonts w:ascii="Gill Sans MT" w:hAnsi="Gill Sans MT"/>
          <w:b/>
          <w:sz w:val="20"/>
          <w:lang w:val="en-GB"/>
        </w:rPr>
        <w:t>Annual disbursements were largely consistent with the amounts projected in the budgets and treasury plans of the recipient governments</w:t>
      </w:r>
      <w:r w:rsidRPr="00340157">
        <w:rPr>
          <w:rFonts w:ascii="Gill Sans MT" w:hAnsi="Gill Sans MT"/>
          <w:sz w:val="20"/>
          <w:lang w:val="en-GB"/>
        </w:rPr>
        <w:t xml:space="preserve"> and, thus, proved to be significantly more predictable than other aid modalities, with annual disbursements of 90-100% of projections, as compared with 60-80% for projects and common basket funds. The timing of disbursements within year proved more problematic, especially in Mali, where in 2008 it resulted in a large amount of unplanned domestic borrowing. </w:t>
      </w:r>
    </w:p>
    <w:p w14:paraId="5C158F74" w14:textId="77777777" w:rsidR="008F339F" w:rsidRPr="00C256BD" w:rsidRDefault="008F339F" w:rsidP="00340157">
      <w:pPr>
        <w:pStyle w:val="BodyText"/>
        <w:numPr>
          <w:ilvl w:val="0"/>
          <w:numId w:val="2"/>
        </w:numPr>
        <w:spacing w:line="360" w:lineRule="auto"/>
        <w:ind w:left="499" w:hanging="357"/>
        <w:rPr>
          <w:rFonts w:ascii="Gill Sans MT" w:hAnsi="Gill Sans MT"/>
          <w:sz w:val="20"/>
          <w:lang w:val="en-GB"/>
        </w:rPr>
      </w:pPr>
      <w:r w:rsidRPr="00340157">
        <w:rPr>
          <w:rFonts w:ascii="Gill Sans MT" w:hAnsi="Gill Sans MT"/>
          <w:b/>
          <w:sz w:val="20"/>
          <w:lang w:val="en-GB"/>
        </w:rPr>
        <w:t>Transaction costs were found to be lower – per unit of aid disbursed - than for projects and common basket funds.</w:t>
      </w:r>
      <w:r w:rsidRPr="00340157">
        <w:rPr>
          <w:rFonts w:ascii="Gill Sans MT" w:hAnsi="Gill Sans MT"/>
          <w:sz w:val="20"/>
          <w:lang w:val="en-GB"/>
        </w:rPr>
        <w:t xml:space="preserve"> The nature of transaction costs also changed with a greater attention to policy rather than administrative issues. On the other hand, transaction costs were perceived as being higher than they should have been. This was, in part, due to continued shortcomings in the quality of harmonisation, and in part due to excessively complex assessment and disbursement conditions. </w:t>
      </w:r>
    </w:p>
    <w:p w14:paraId="422D36C6" w14:textId="77777777" w:rsidR="008F339F" w:rsidRPr="00C256BD" w:rsidRDefault="008F339F" w:rsidP="00340157">
      <w:pPr>
        <w:pStyle w:val="BodyText"/>
        <w:numPr>
          <w:ilvl w:val="0"/>
          <w:numId w:val="2"/>
        </w:numPr>
        <w:spacing w:line="360" w:lineRule="auto"/>
        <w:ind w:left="499" w:hanging="357"/>
        <w:rPr>
          <w:rFonts w:ascii="Gill Sans MT" w:hAnsi="Gill Sans MT"/>
          <w:sz w:val="20"/>
          <w:lang w:val="en-GB"/>
        </w:rPr>
      </w:pPr>
      <w:r w:rsidRPr="00340157">
        <w:rPr>
          <w:rFonts w:ascii="Gill Sans MT" w:hAnsi="Gill Sans MT"/>
          <w:b/>
          <w:sz w:val="20"/>
          <w:lang w:val="en-GB"/>
        </w:rPr>
        <w:t>The main achievements as regards policy dialogue related to the establishment of institutional frameworks and processes but the substance of dialogue was often less than satisfactory.</w:t>
      </w:r>
      <w:r w:rsidRPr="00340157">
        <w:rPr>
          <w:rFonts w:ascii="Gill Sans MT" w:hAnsi="Gill Sans MT"/>
          <w:sz w:val="20"/>
          <w:lang w:val="en-GB"/>
        </w:rPr>
        <w:t xml:space="preserve"> It worked reasonably well as a mechanism for establishing milestones and progress targets for agreed reforms and for lending external discipline to the monitoring process. These aspects were appreciated in Morocco and Tunisia and were also relevant in the </w:t>
      </w:r>
      <w:r w:rsidRPr="00340157">
        <w:rPr>
          <w:rFonts w:ascii="Gill Sans MT" w:hAnsi="Gill Sans MT"/>
          <w:sz w:val="20"/>
          <w:lang w:val="en-GB"/>
        </w:rPr>
        <w:lastRenderedPageBreak/>
        <w:t xml:space="preserve">LICs, where reforms in PFM and democratic governance were said to have progressed faster than they would have done in the absence of such a framework. Sometimes, the policy dialogue was useful in bringing in outside ideas, perspectives and experiences. This was the case in South Africa, where a specially created Dialogue Facility holds the potential for further such contributions in future. Yet, as a whole, the perception was that policy dialogue had not been as effective as it should have been in aiding strategic </w:t>
      </w:r>
      <w:proofErr w:type="gramStart"/>
      <w:r w:rsidRPr="00340157">
        <w:rPr>
          <w:rFonts w:ascii="Gill Sans MT" w:hAnsi="Gill Sans MT"/>
          <w:sz w:val="20"/>
          <w:lang w:val="en-GB"/>
        </w:rPr>
        <w:t>forward-thinking</w:t>
      </w:r>
      <w:proofErr w:type="gramEnd"/>
      <w:r w:rsidRPr="00340157">
        <w:rPr>
          <w:rFonts w:ascii="Gill Sans MT" w:hAnsi="Gill Sans MT"/>
          <w:sz w:val="20"/>
          <w:lang w:val="en-GB"/>
        </w:rPr>
        <w:t xml:space="preserve"> and problem solving.</w:t>
      </w:r>
    </w:p>
    <w:p w14:paraId="5B9B1767" w14:textId="77777777" w:rsidR="008F339F" w:rsidRPr="00C830A0" w:rsidRDefault="008F339F" w:rsidP="00340157">
      <w:pPr>
        <w:pStyle w:val="BodyText"/>
        <w:numPr>
          <w:ilvl w:val="0"/>
          <w:numId w:val="2"/>
        </w:numPr>
        <w:spacing w:line="360" w:lineRule="auto"/>
        <w:ind w:left="499" w:hanging="357"/>
        <w:rPr>
          <w:rFonts w:ascii="Gill Sans MT" w:hAnsi="Gill Sans MT"/>
          <w:sz w:val="20"/>
          <w:lang w:val="en-GB"/>
        </w:rPr>
      </w:pPr>
      <w:r w:rsidRPr="002201BB">
        <w:rPr>
          <w:rFonts w:ascii="Gill Sans MT" w:hAnsi="Gill Sans MT"/>
          <w:b/>
          <w:sz w:val="20"/>
          <w:lang w:val="en-GB"/>
        </w:rPr>
        <w:t>Technical assistance and capacity development was provided both as an integral part of budget support operations and as a parallel accompanying measure</w:t>
      </w:r>
      <w:r w:rsidRPr="00340157">
        <w:rPr>
          <w:rFonts w:ascii="Gill Sans MT" w:hAnsi="Gill Sans MT"/>
          <w:sz w:val="20"/>
          <w:lang w:val="en-GB"/>
        </w:rPr>
        <w:t xml:space="preserve"> in each of the seven countries. It was found to be useful in the LICs in strengthening the capabilities of revenue offices, oversight institutions, PFM coordination units and statistics offices, as well sectoral policy and planning units. In the MICs, it was used more to undertake studies feeding into the design of the reforms and innovations supported by budget support or to directly advise on the construction of the milestones and progress targets, against which to monitor reform progress. However, a general perception in all the evaluations was that the potential of the technical assistance/ capacity building component was not fulfilled, especially because its use was not strategically planned and, apart from the Dialogue Facility created in South Africa, there was a lack of flexible arrangements for responding to identified needs in an agile manner. </w:t>
      </w:r>
    </w:p>
    <w:p w14:paraId="67DDC393" w14:textId="77777777" w:rsidR="008F339F" w:rsidRPr="00A438F6" w:rsidRDefault="008F339F" w:rsidP="00340157">
      <w:pPr>
        <w:pStyle w:val="BodyText"/>
        <w:numPr>
          <w:ilvl w:val="0"/>
          <w:numId w:val="2"/>
        </w:numPr>
        <w:spacing w:line="360" w:lineRule="auto"/>
        <w:ind w:left="499" w:hanging="357"/>
        <w:rPr>
          <w:rFonts w:ascii="Gill Sans MT" w:hAnsi="Gill Sans MT"/>
          <w:sz w:val="20"/>
          <w:lang w:val="en-GB"/>
        </w:rPr>
      </w:pPr>
      <w:r w:rsidRPr="00340157">
        <w:rPr>
          <w:rFonts w:ascii="Gill Sans MT" w:hAnsi="Gill Sans MT"/>
          <w:b/>
          <w:sz w:val="20"/>
          <w:lang w:val="en-GB"/>
        </w:rPr>
        <w:t>Despite a positive overall balance sheet, the seven evaluations point to a number of areas, where improvements in the budget support delivery mechanism could generate greater results</w:t>
      </w:r>
      <w:r w:rsidRPr="00340157">
        <w:rPr>
          <w:rFonts w:ascii="Gill Sans MT" w:hAnsi="Gill Sans MT"/>
          <w:sz w:val="20"/>
          <w:lang w:val="en-GB"/>
        </w:rPr>
        <w:t>.</w:t>
      </w:r>
      <w:r>
        <w:rPr>
          <w:rFonts w:ascii="Gill Sans MT" w:hAnsi="Gill Sans MT"/>
          <w:sz w:val="20"/>
          <w:lang w:val="en-GB"/>
        </w:rPr>
        <w:t xml:space="preserve"> The challenge is to consolidate the achievements to date, while optimising the potential of the modality. Our recommendations present proposals on how this challenge might be met.</w:t>
      </w:r>
    </w:p>
    <w:p w14:paraId="41A4D397" w14:textId="77777777" w:rsidR="008F339F" w:rsidRPr="00372CF5" w:rsidRDefault="008F339F" w:rsidP="008F339F">
      <w:pPr>
        <w:pStyle w:val="Heading2"/>
        <w:numPr>
          <w:ilvl w:val="1"/>
          <w:numId w:val="35"/>
        </w:numPr>
        <w:spacing w:before="120" w:after="120"/>
        <w:rPr>
          <w:bCs w:val="0"/>
        </w:rPr>
      </w:pPr>
      <w:bookmarkStart w:id="88" w:name="_Toc270144542"/>
      <w:bookmarkStart w:id="89" w:name="_Toc279848253"/>
      <w:r>
        <w:rPr>
          <w:bCs w:val="0"/>
        </w:rPr>
        <w:t>Lessons learned on the requirements for effective Budget Support</w:t>
      </w:r>
      <w:bookmarkEnd w:id="88"/>
      <w:bookmarkEnd w:id="89"/>
    </w:p>
    <w:p w14:paraId="6B5624FD" w14:textId="77777777" w:rsidR="008F339F" w:rsidRDefault="008F339F" w:rsidP="002201BB">
      <w:pPr>
        <w:pStyle w:val="BodyText"/>
        <w:numPr>
          <w:ilvl w:val="0"/>
          <w:numId w:val="2"/>
        </w:numPr>
        <w:spacing w:line="360" w:lineRule="auto"/>
        <w:ind w:left="499" w:hanging="357"/>
        <w:rPr>
          <w:rFonts w:ascii="Gill Sans MT" w:hAnsi="Gill Sans MT"/>
          <w:sz w:val="20"/>
          <w:lang w:val="en-GB"/>
        </w:rPr>
      </w:pPr>
      <w:r w:rsidRPr="00372CF5">
        <w:rPr>
          <w:rFonts w:ascii="Gill Sans MT" w:hAnsi="Gill Sans MT"/>
          <w:sz w:val="20"/>
          <w:lang w:val="en-GB"/>
        </w:rPr>
        <w:t xml:space="preserve">In the </w:t>
      </w:r>
      <w:r>
        <w:rPr>
          <w:rFonts w:ascii="Gill Sans MT" w:hAnsi="Gill Sans MT"/>
          <w:sz w:val="20"/>
          <w:lang w:val="en-GB"/>
        </w:rPr>
        <w:t>course of our analysis of the various C-M-O combinations (Contexts-Mechanisms-Outcomes) emerging from these seven case studies, we developed two hypotheses regarding the requirements for effective budget support. These arose from the analysis of the four LIC countries but were confirmed and, to a degree, refined by the three MIC cases. We therefore present them here as lessons learned, alongside a third lesson, which builds on preliminary conclusions drawn from the Mali, Tunisia and Zambia case</w:t>
      </w:r>
      <w:r w:rsidR="002201BB">
        <w:rPr>
          <w:rFonts w:ascii="Gill Sans MT" w:hAnsi="Gill Sans MT"/>
          <w:sz w:val="20"/>
          <w:lang w:val="en-GB"/>
        </w:rPr>
        <w:t>s</w:t>
      </w:r>
      <w:r w:rsidR="002201BB">
        <w:rPr>
          <w:rStyle w:val="FootnoteReference"/>
          <w:rFonts w:ascii="Gill Sans MT" w:hAnsi="Gill Sans MT"/>
          <w:sz w:val="20"/>
          <w:lang w:val="en-GB"/>
        </w:rPr>
        <w:footnoteReference w:id="43"/>
      </w:r>
      <w:r>
        <w:rPr>
          <w:rFonts w:ascii="Gill Sans MT" w:hAnsi="Gill Sans MT"/>
          <w:sz w:val="20"/>
          <w:lang w:val="en-GB"/>
        </w:rPr>
        <w:t xml:space="preserve">.  </w:t>
      </w:r>
    </w:p>
    <w:p w14:paraId="62D5F5A5" w14:textId="77777777" w:rsidR="008F339F" w:rsidRPr="00D01369" w:rsidRDefault="008F339F" w:rsidP="008F339F">
      <w:pPr>
        <w:pStyle w:val="Heading3"/>
      </w:pPr>
      <w:r>
        <w:t>Trust and confidence in d</w:t>
      </w:r>
      <w:r w:rsidRPr="00D01369">
        <w:t>onor-government relations are essential</w:t>
      </w:r>
    </w:p>
    <w:p w14:paraId="453D9EF8" w14:textId="77777777" w:rsidR="008F339F" w:rsidRPr="00D21CF2" w:rsidRDefault="008F339F" w:rsidP="00D21CF2">
      <w:pPr>
        <w:pStyle w:val="BodyText"/>
        <w:numPr>
          <w:ilvl w:val="0"/>
          <w:numId w:val="40"/>
        </w:numPr>
        <w:spacing w:line="360" w:lineRule="auto"/>
        <w:rPr>
          <w:rFonts w:ascii="Gill Sans MT" w:hAnsi="Gill Sans MT"/>
          <w:sz w:val="20"/>
          <w:lang w:val="en-GB"/>
        </w:rPr>
      </w:pPr>
      <w:r>
        <w:rPr>
          <w:rFonts w:ascii="Gill Sans MT" w:hAnsi="Gill Sans MT"/>
          <w:sz w:val="20"/>
          <w:lang w:val="en-GB"/>
        </w:rPr>
        <w:t xml:space="preserve"> </w:t>
      </w:r>
      <w:r w:rsidRPr="002201BB">
        <w:rPr>
          <w:rFonts w:ascii="Gill Sans MT" w:hAnsi="Gill Sans MT"/>
          <w:b/>
          <w:sz w:val="20"/>
          <w:lang w:val="en-GB"/>
        </w:rPr>
        <w:t>The first lesson is that trust and confidence in donor-government relations are essential for an open and honest policy dialogue.</w:t>
      </w:r>
      <w:r w:rsidRPr="002201BB">
        <w:rPr>
          <w:rFonts w:ascii="Gill Sans MT" w:hAnsi="Gill Sans MT"/>
          <w:sz w:val="20"/>
          <w:lang w:val="en-GB"/>
        </w:rPr>
        <w:t xml:space="preserve"> Governments and donors will always have differences in their policy priorities but in a partnership where the main issues of agreement and disagreement can be put on the table, dialogue can proceed constructively. This can only occur where there is a firm base of trust and </w:t>
      </w:r>
      <w:r w:rsidRPr="002201BB">
        <w:rPr>
          <w:rFonts w:ascii="Gill Sans MT" w:hAnsi="Gill Sans MT"/>
          <w:sz w:val="20"/>
          <w:lang w:val="en-GB"/>
        </w:rPr>
        <w:lastRenderedPageBreak/>
        <w:t xml:space="preserve">confidence based on mutual respect. </w:t>
      </w:r>
      <w:r w:rsidR="00D21CF2">
        <w:rPr>
          <w:rFonts w:ascii="Gill Sans MT" w:hAnsi="Gill Sans MT"/>
          <w:sz w:val="20"/>
          <w:szCs w:val="12"/>
        </w:rPr>
        <w:t>For these reasons, Budget Support worked best where the policy dialogue was concentrated on the mutual areas of interest of the beneficiary governments and their Development Partners.</w:t>
      </w:r>
      <w:r w:rsidR="00D21CF2">
        <w:rPr>
          <w:rFonts w:ascii="Gill Sans MT" w:hAnsi="Gill Sans MT"/>
          <w:sz w:val="20"/>
          <w:lang w:val="en-GB"/>
        </w:rPr>
        <w:t xml:space="preserve"> </w:t>
      </w:r>
      <w:r w:rsidRPr="00D21CF2">
        <w:rPr>
          <w:rFonts w:ascii="Gill Sans MT" w:hAnsi="Gill Sans MT"/>
          <w:sz w:val="20"/>
          <w:lang w:val="en-GB"/>
        </w:rPr>
        <w:t xml:space="preserve">The evidence from these countries demonstrates that underlying tensions in donor-government relations undermine the open and honest debate and free information exchange, which is essential for a strategic </w:t>
      </w:r>
      <w:r w:rsidR="00F80615" w:rsidRPr="00D21CF2">
        <w:rPr>
          <w:rFonts w:ascii="Gill Sans MT" w:hAnsi="Gill Sans MT"/>
          <w:sz w:val="20"/>
          <w:lang w:val="en-GB"/>
        </w:rPr>
        <w:t>problem solving</w:t>
      </w:r>
      <w:r w:rsidRPr="00D21CF2">
        <w:rPr>
          <w:rFonts w:ascii="Gill Sans MT" w:hAnsi="Gill Sans MT"/>
          <w:sz w:val="20"/>
          <w:lang w:val="en-GB"/>
        </w:rPr>
        <w:t xml:space="preserve"> dialogue. Where donor-government relations were poor and this was not deliberately and appropriately addressed, it proved to be a binding constraint on the success of policy dialogue. </w:t>
      </w:r>
    </w:p>
    <w:p w14:paraId="68087CBD" w14:textId="77777777" w:rsidR="008F339F" w:rsidRDefault="008F339F" w:rsidP="002201BB">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Some subsidiary lessons emerged about the contextual conditions and the implementation mechanisms likely to promote trust and confidence in donor-government relations:</w:t>
      </w:r>
    </w:p>
    <w:p w14:paraId="28A64709" w14:textId="77777777" w:rsidR="008F339F" w:rsidRPr="00EF0977" w:rsidRDefault="008F339F" w:rsidP="008F339F">
      <w:pPr>
        <w:pStyle w:val="BodyText"/>
        <w:numPr>
          <w:ilvl w:val="0"/>
          <w:numId w:val="36"/>
        </w:numPr>
        <w:spacing w:line="360" w:lineRule="auto"/>
        <w:rPr>
          <w:rFonts w:ascii="Gill Sans MT" w:hAnsi="Gill Sans MT"/>
          <w:sz w:val="20"/>
          <w:lang w:val="en-GB"/>
        </w:rPr>
      </w:pPr>
      <w:r>
        <w:rPr>
          <w:rFonts w:ascii="Gill Sans MT" w:hAnsi="Gill Sans MT"/>
          <w:b/>
          <w:sz w:val="20"/>
          <w:lang w:val="en-GB"/>
        </w:rPr>
        <w:t xml:space="preserve">Respect for the ownership of the policy agenda by the partner government is a precondition for strong partnership and meaningful dialogue. </w:t>
      </w:r>
      <w:r>
        <w:rPr>
          <w:rFonts w:ascii="Gill Sans MT" w:hAnsi="Gill Sans MT"/>
          <w:sz w:val="20"/>
          <w:lang w:val="en-GB"/>
        </w:rPr>
        <w:t xml:space="preserve">The budget support programmes in the MICs provided support </w:t>
      </w:r>
      <w:r w:rsidRPr="00062670">
        <w:rPr>
          <w:rFonts w:ascii="Gill Sans MT" w:hAnsi="Gill Sans MT"/>
          <w:sz w:val="20"/>
          <w:lang w:val="en-GB"/>
        </w:rPr>
        <w:t>in line with</w:t>
      </w:r>
      <w:r w:rsidR="009A4EE2">
        <w:rPr>
          <w:rFonts w:ascii="Gill Sans MT" w:hAnsi="Gill Sans MT"/>
          <w:sz w:val="20"/>
          <w:lang w:val="en-GB"/>
        </w:rPr>
        <w:t xml:space="preserve"> the development objectives</w:t>
      </w:r>
      <w:r>
        <w:rPr>
          <w:rFonts w:ascii="Gill Sans MT" w:hAnsi="Gill Sans MT"/>
          <w:sz w:val="20"/>
          <w:lang w:val="en-GB"/>
        </w:rPr>
        <w:t xml:space="preserve"> of the d</w:t>
      </w:r>
      <w:r w:rsidRPr="00062670">
        <w:rPr>
          <w:rFonts w:ascii="Gill Sans MT" w:hAnsi="Gill Sans MT"/>
          <w:sz w:val="20"/>
          <w:lang w:val="en-GB"/>
        </w:rPr>
        <w:t>onors</w:t>
      </w:r>
      <w:r>
        <w:rPr>
          <w:rFonts w:ascii="Gill Sans MT" w:hAnsi="Gill Sans MT"/>
          <w:sz w:val="20"/>
          <w:lang w:val="en-GB"/>
        </w:rPr>
        <w:t>, but in the areas where the recipient governments wanted it. There was no attempt to determine the agenda from the outside. In LICs, the balance of power was not the same and donors frequently tried to dete</w:t>
      </w:r>
      <w:r w:rsidR="00BC54D9">
        <w:rPr>
          <w:rFonts w:ascii="Gill Sans MT" w:hAnsi="Gill Sans MT"/>
          <w:sz w:val="20"/>
          <w:lang w:val="en-GB"/>
        </w:rPr>
        <w:t xml:space="preserve">rmine the agenda – in many cases largely dictating the content of the GBS/ SBS Performance Assessment Frameworks, creating </w:t>
      </w:r>
      <w:r>
        <w:rPr>
          <w:rFonts w:ascii="Gill Sans MT" w:hAnsi="Gill Sans MT"/>
          <w:sz w:val="20"/>
          <w:lang w:val="en-GB"/>
        </w:rPr>
        <w:t>resentment and undermining the quality of dialogue.</w:t>
      </w:r>
      <w:r w:rsidRPr="00370E76">
        <w:rPr>
          <w:rFonts w:ascii="Gill Sans MT" w:hAnsi="Gill Sans MT"/>
          <w:sz w:val="20"/>
          <w:szCs w:val="12"/>
        </w:rPr>
        <w:t xml:space="preserve"> </w:t>
      </w:r>
      <w:r w:rsidRPr="007A37DB">
        <w:rPr>
          <w:rFonts w:ascii="Gill Sans MT" w:hAnsi="Gill Sans MT"/>
          <w:sz w:val="20"/>
          <w:szCs w:val="12"/>
        </w:rPr>
        <w:t>Th</w:t>
      </w:r>
      <w:r>
        <w:rPr>
          <w:rFonts w:ascii="Gill Sans MT" w:hAnsi="Gill Sans MT"/>
          <w:sz w:val="20"/>
          <w:szCs w:val="12"/>
        </w:rPr>
        <w:t xml:space="preserve">ere must </w:t>
      </w:r>
      <w:r w:rsidRPr="007A37DB">
        <w:rPr>
          <w:rFonts w:ascii="Gill Sans MT" w:hAnsi="Gill Sans MT"/>
          <w:sz w:val="20"/>
          <w:szCs w:val="12"/>
        </w:rPr>
        <w:t>be an explicit consciousness that budget support needs to be</w:t>
      </w:r>
      <w:r>
        <w:rPr>
          <w:rFonts w:ascii="Gill Sans MT" w:hAnsi="Gill Sans MT"/>
          <w:sz w:val="20"/>
          <w:szCs w:val="12"/>
        </w:rPr>
        <w:t xml:space="preserve"> a partnership</w:t>
      </w:r>
      <w:r w:rsidRPr="007A37DB">
        <w:rPr>
          <w:rFonts w:ascii="Gill Sans MT" w:hAnsi="Gill Sans MT"/>
          <w:sz w:val="20"/>
          <w:szCs w:val="12"/>
        </w:rPr>
        <w:t>, and that this requires an appropriate code of conduct on both sides</w:t>
      </w:r>
      <w:r>
        <w:rPr>
          <w:rStyle w:val="FootnoteReference"/>
          <w:rFonts w:ascii="Gill Sans MT" w:hAnsi="Gill Sans MT"/>
          <w:sz w:val="20"/>
          <w:szCs w:val="12"/>
        </w:rPr>
        <w:footnoteReference w:id="44"/>
      </w:r>
      <w:r w:rsidRPr="007A37DB">
        <w:rPr>
          <w:rFonts w:ascii="Gill Sans MT" w:hAnsi="Gill Sans MT"/>
          <w:sz w:val="20"/>
          <w:szCs w:val="12"/>
        </w:rPr>
        <w:t>.</w:t>
      </w:r>
    </w:p>
    <w:p w14:paraId="0DFFFF16" w14:textId="77777777" w:rsidR="008F339F" w:rsidRPr="007C1FCA" w:rsidRDefault="008F339F" w:rsidP="008F339F">
      <w:pPr>
        <w:pStyle w:val="BodyText"/>
        <w:numPr>
          <w:ilvl w:val="0"/>
          <w:numId w:val="36"/>
        </w:numPr>
        <w:spacing w:line="360" w:lineRule="auto"/>
        <w:rPr>
          <w:rFonts w:ascii="Gill Sans MT" w:hAnsi="Gill Sans MT"/>
          <w:sz w:val="20"/>
          <w:lang w:val="en-GB"/>
        </w:rPr>
      </w:pPr>
      <w:r>
        <w:rPr>
          <w:rFonts w:ascii="Gill Sans MT" w:hAnsi="Gill Sans MT"/>
          <w:b/>
          <w:sz w:val="20"/>
          <w:szCs w:val="12"/>
        </w:rPr>
        <w:t>The lack of clarity over the application of underlying principles and the related pr</w:t>
      </w:r>
      <w:r w:rsidR="000B167C">
        <w:rPr>
          <w:rFonts w:ascii="Gill Sans MT" w:hAnsi="Gill Sans MT"/>
          <w:b/>
          <w:sz w:val="20"/>
          <w:szCs w:val="12"/>
        </w:rPr>
        <w:t>ocedures may lead to unpredic</w:t>
      </w:r>
      <w:r w:rsidR="00BC54D9">
        <w:rPr>
          <w:rFonts w:ascii="Gill Sans MT" w:hAnsi="Gill Sans MT"/>
          <w:b/>
          <w:sz w:val="20"/>
          <w:szCs w:val="12"/>
        </w:rPr>
        <w:t>ta</w:t>
      </w:r>
      <w:r w:rsidR="000B167C">
        <w:rPr>
          <w:rFonts w:ascii="Gill Sans MT" w:hAnsi="Gill Sans MT"/>
          <w:b/>
          <w:sz w:val="20"/>
          <w:szCs w:val="12"/>
        </w:rPr>
        <w:t>ble</w:t>
      </w:r>
      <w:r>
        <w:rPr>
          <w:rFonts w:ascii="Gill Sans MT" w:hAnsi="Gill Sans MT"/>
          <w:b/>
          <w:sz w:val="20"/>
          <w:szCs w:val="12"/>
        </w:rPr>
        <w:t xml:space="preserve"> suspensions, which undermine trust and confidence. </w:t>
      </w:r>
      <w:r w:rsidRPr="007A37DB">
        <w:rPr>
          <w:rFonts w:ascii="Gill Sans MT" w:hAnsi="Gill Sans MT"/>
          <w:sz w:val="20"/>
          <w:szCs w:val="12"/>
        </w:rPr>
        <w:t xml:space="preserve">The Budget Support MoUs </w:t>
      </w:r>
      <w:r>
        <w:rPr>
          <w:rFonts w:ascii="Gill Sans MT" w:hAnsi="Gill Sans MT"/>
          <w:sz w:val="20"/>
          <w:szCs w:val="12"/>
        </w:rPr>
        <w:t xml:space="preserve">in the LICs </w:t>
      </w:r>
      <w:r w:rsidRPr="007A37DB">
        <w:rPr>
          <w:rFonts w:ascii="Gill Sans MT" w:hAnsi="Gill Sans MT"/>
          <w:sz w:val="20"/>
          <w:szCs w:val="12"/>
        </w:rPr>
        <w:t xml:space="preserve">define underlying principles as ‘critical to the continuation of the budget support partnership’, suggesting that </w:t>
      </w:r>
      <w:r w:rsidRPr="007D27FE">
        <w:rPr>
          <w:rFonts w:ascii="Gill Sans MT" w:hAnsi="Gill Sans MT"/>
          <w:sz w:val="20"/>
          <w:szCs w:val="12"/>
        </w:rPr>
        <w:t>disbursements should only be susp</w:t>
      </w:r>
      <w:r>
        <w:rPr>
          <w:rFonts w:ascii="Gill Sans MT" w:hAnsi="Gill Sans MT"/>
          <w:sz w:val="20"/>
          <w:szCs w:val="12"/>
        </w:rPr>
        <w:t>ended in extreme circumstances. However, if the  ‘extreme circumstances’ and the corresponding procedures for responding ar</w:t>
      </w:r>
      <w:r w:rsidR="000B167C">
        <w:rPr>
          <w:rFonts w:ascii="Gill Sans MT" w:hAnsi="Gill Sans MT"/>
          <w:sz w:val="20"/>
          <w:szCs w:val="12"/>
        </w:rPr>
        <w:t>e not well defined, suspensions</w:t>
      </w:r>
      <w:r>
        <w:rPr>
          <w:rFonts w:ascii="Gill Sans MT" w:hAnsi="Gill Sans MT"/>
          <w:sz w:val="20"/>
          <w:szCs w:val="12"/>
        </w:rPr>
        <w:t xml:space="preserve"> of budget support may occur</w:t>
      </w:r>
      <w:r w:rsidR="000B167C">
        <w:rPr>
          <w:rFonts w:ascii="Gill Sans MT" w:hAnsi="Gill Sans MT"/>
          <w:sz w:val="20"/>
          <w:szCs w:val="12"/>
        </w:rPr>
        <w:t xml:space="preserve"> at unexpected mome</w:t>
      </w:r>
      <w:r w:rsidR="00BC54D9">
        <w:rPr>
          <w:rFonts w:ascii="Gill Sans MT" w:hAnsi="Gill Sans MT"/>
          <w:sz w:val="20"/>
          <w:szCs w:val="12"/>
        </w:rPr>
        <w:t>nts and the interpretation of underlying principles may be peceived as one sided</w:t>
      </w:r>
      <w:r>
        <w:rPr>
          <w:rFonts w:ascii="Gill Sans MT" w:hAnsi="Gill Sans MT"/>
          <w:sz w:val="20"/>
          <w:szCs w:val="12"/>
        </w:rPr>
        <w:t xml:space="preserve">. </w:t>
      </w:r>
    </w:p>
    <w:p w14:paraId="30E9A82A" w14:textId="77777777" w:rsidR="008F339F" w:rsidRPr="00E6167A" w:rsidRDefault="008F339F" w:rsidP="008F339F">
      <w:pPr>
        <w:pStyle w:val="BodyText"/>
        <w:numPr>
          <w:ilvl w:val="0"/>
          <w:numId w:val="36"/>
        </w:numPr>
        <w:spacing w:line="360" w:lineRule="auto"/>
        <w:rPr>
          <w:rFonts w:ascii="Gill Sans MT" w:hAnsi="Gill Sans MT"/>
          <w:sz w:val="20"/>
          <w:lang w:val="en-GB"/>
        </w:rPr>
      </w:pPr>
      <w:r>
        <w:rPr>
          <w:rFonts w:ascii="Gill Sans MT" w:hAnsi="Gill Sans MT"/>
          <w:b/>
          <w:sz w:val="20"/>
          <w:lang w:val="en-GB"/>
        </w:rPr>
        <w:t>The existence of a wider str</w:t>
      </w:r>
      <w:r w:rsidRPr="00691BD4">
        <w:rPr>
          <w:rFonts w:ascii="Gill Sans MT" w:hAnsi="Gill Sans MT"/>
          <w:b/>
          <w:sz w:val="20"/>
          <w:lang w:val="en-GB"/>
        </w:rPr>
        <w:t>ategic cooperation framework to guide overall donor-governmen</w:t>
      </w:r>
      <w:r>
        <w:rPr>
          <w:rFonts w:ascii="Gill Sans MT" w:hAnsi="Gill Sans MT"/>
          <w:b/>
          <w:sz w:val="20"/>
          <w:lang w:val="en-GB"/>
        </w:rPr>
        <w:t>t relations provides a stronger basis for an effective partnership</w:t>
      </w:r>
      <w:r w:rsidRPr="00691BD4">
        <w:rPr>
          <w:rFonts w:ascii="Gill Sans MT" w:hAnsi="Gill Sans MT"/>
          <w:b/>
          <w:sz w:val="20"/>
          <w:lang w:val="en-GB"/>
        </w:rPr>
        <w:t>.</w:t>
      </w:r>
      <w:r>
        <w:rPr>
          <w:rFonts w:ascii="Gill Sans MT" w:hAnsi="Gill Sans MT"/>
          <w:sz w:val="20"/>
          <w:lang w:val="en-GB"/>
        </w:rPr>
        <w:t xml:space="preserve"> For Morocco and Tunisia this was provided by their Association Agreements with the EU and for South Africa by the Trade &amp; Development Cooperation Agreement (TDCA).</w:t>
      </w:r>
      <w:r w:rsidRPr="00F86F56">
        <w:rPr>
          <w:rFonts w:ascii="Gill Sans MT" w:hAnsi="Gill Sans MT"/>
          <w:sz w:val="20"/>
          <w:lang w:val="en-GB"/>
        </w:rPr>
        <w:t xml:space="preserve"> </w:t>
      </w:r>
      <w:r>
        <w:rPr>
          <w:rFonts w:ascii="Gill Sans MT" w:hAnsi="Gill Sans MT"/>
          <w:sz w:val="20"/>
          <w:lang w:val="en-GB"/>
        </w:rPr>
        <w:t xml:space="preserve">In each case, these agreements helped to ensure </w:t>
      </w:r>
      <w:r>
        <w:rPr>
          <w:rFonts w:ascii="Gill Sans MT" w:hAnsi="Gill Sans MT"/>
          <w:sz w:val="20"/>
          <w:lang w:val="en-GB"/>
        </w:rPr>
        <w:lastRenderedPageBreak/>
        <w:t xml:space="preserve">that budget support was part of a wider dialogue about shared prosperity, thus lending a firmer foundation to donor-government relations. </w:t>
      </w:r>
    </w:p>
    <w:p w14:paraId="0EE51D71" w14:textId="77777777" w:rsidR="008F339F" w:rsidRPr="00A82B4B" w:rsidRDefault="008F339F" w:rsidP="008F339F">
      <w:pPr>
        <w:pStyle w:val="BodyText"/>
        <w:numPr>
          <w:ilvl w:val="0"/>
          <w:numId w:val="36"/>
        </w:numPr>
        <w:spacing w:line="360" w:lineRule="auto"/>
        <w:rPr>
          <w:rFonts w:ascii="Gill Sans MT" w:hAnsi="Gill Sans MT"/>
          <w:sz w:val="20"/>
          <w:lang w:val="en-GB"/>
        </w:rPr>
      </w:pPr>
      <w:r>
        <w:rPr>
          <w:rFonts w:ascii="Gill Sans MT" w:hAnsi="Gill Sans MT"/>
          <w:b/>
          <w:sz w:val="20"/>
          <w:szCs w:val="12"/>
        </w:rPr>
        <w:t xml:space="preserve">Effective donor-donor relations are also important for a successful policy dialogue: in this respect, the involvement of a large number of donors is an additional risk factor. </w:t>
      </w:r>
      <w:r>
        <w:rPr>
          <w:rFonts w:ascii="Gill Sans MT" w:hAnsi="Gill Sans MT"/>
          <w:sz w:val="20"/>
          <w:szCs w:val="12"/>
        </w:rPr>
        <w:t>It seems more than coincidental that the countries which enjoyed better donor-government relations tended to have less donor stakeholders involved in budget support dialogue – 10 in Mali, 7 in Morocco, 3 in Tunisia and 1 in South Africa. Of course, there were other factors at play, and Zambia with 9 partners suffered from poor donor-government relations. However, with larger numbers there is a greater diversity in opinions and in behavioural styles, as well as a weaker level of peer-to-peer pressure amongst donors, therefore the probability of mismanagement of the dialogue becomes higher.  Effective donor-donor relations enable effective donor-government relations and are more likely when the number of partners is manageable.</w:t>
      </w:r>
    </w:p>
    <w:p w14:paraId="06A724C9" w14:textId="77777777" w:rsidR="008F339F" w:rsidRPr="00D01369" w:rsidRDefault="008F339F" w:rsidP="008F339F">
      <w:pPr>
        <w:pStyle w:val="Heading3"/>
      </w:pPr>
      <w:r>
        <w:t>Strategic problem-solving dialogue must be nurtured</w:t>
      </w:r>
    </w:p>
    <w:p w14:paraId="553AF75A" w14:textId="77777777" w:rsidR="008F339F" w:rsidRPr="00F52946" w:rsidRDefault="008F339F" w:rsidP="002201BB">
      <w:pPr>
        <w:pStyle w:val="BodyText"/>
        <w:numPr>
          <w:ilvl w:val="0"/>
          <w:numId w:val="2"/>
        </w:numPr>
        <w:spacing w:line="360" w:lineRule="auto"/>
        <w:ind w:left="499" w:hanging="357"/>
        <w:rPr>
          <w:rFonts w:ascii="Gill Sans MT" w:hAnsi="Gill Sans MT"/>
          <w:sz w:val="20"/>
          <w:lang w:val="en-GB"/>
        </w:rPr>
      </w:pPr>
      <w:r w:rsidRPr="002201BB">
        <w:rPr>
          <w:rFonts w:ascii="Gill Sans MT" w:hAnsi="Gill Sans MT"/>
          <w:b/>
          <w:sz w:val="20"/>
          <w:lang w:val="en-GB"/>
        </w:rPr>
        <w:t>The second lesson is that the policy dialogue requires explicit measures to develop the space for strategic problem-solving discussion.</w:t>
      </w:r>
      <w:r w:rsidRPr="002201BB">
        <w:rPr>
          <w:rFonts w:ascii="Gill Sans MT" w:hAnsi="Gill Sans MT"/>
          <w:sz w:val="20"/>
          <w:lang w:val="en-GB"/>
        </w:rPr>
        <w:t xml:space="preserve"> In Morocco, the limited attention to final outcomes and impacts and the lack of a forum in which to analyse the use of the budget as a policy tool meant that the space for genuinely strategic discussions was limited. </w:t>
      </w:r>
      <w:r>
        <w:rPr>
          <w:rFonts w:ascii="Gill Sans MT" w:hAnsi="Gill Sans MT"/>
          <w:sz w:val="20"/>
          <w:lang w:val="en-GB"/>
        </w:rPr>
        <w:t xml:space="preserve">In Mozambique, Tanzania and Zambia, disagreements over underlying principles changed the character of policy dialogue so that the space for strategic problem-solving dialogue was largely lost. As a consequence, </w:t>
      </w:r>
      <w:r w:rsidRPr="00F52946">
        <w:rPr>
          <w:rFonts w:ascii="Gill Sans MT" w:hAnsi="Gill Sans MT"/>
          <w:sz w:val="20"/>
          <w:lang w:val="en-GB"/>
        </w:rPr>
        <w:t>policy issues</w:t>
      </w:r>
      <w:r>
        <w:rPr>
          <w:rFonts w:ascii="Gill Sans MT" w:hAnsi="Gill Sans MT"/>
          <w:sz w:val="20"/>
          <w:lang w:val="en-GB"/>
        </w:rPr>
        <w:t>,</w:t>
      </w:r>
      <w:r w:rsidRPr="00F52946">
        <w:rPr>
          <w:rFonts w:ascii="Gill Sans MT" w:hAnsi="Gill Sans MT"/>
          <w:sz w:val="20"/>
          <w:lang w:val="en-GB"/>
        </w:rPr>
        <w:t xml:space="preserve"> which should hav</w:t>
      </w:r>
      <w:r>
        <w:rPr>
          <w:rFonts w:ascii="Gill Sans MT" w:hAnsi="Gill Sans MT"/>
          <w:sz w:val="20"/>
          <w:lang w:val="en-GB"/>
        </w:rPr>
        <w:t xml:space="preserve">e been on the table, were </w:t>
      </w:r>
      <w:r w:rsidRPr="00F52946">
        <w:rPr>
          <w:rFonts w:ascii="Gill Sans MT" w:hAnsi="Gill Sans MT"/>
          <w:sz w:val="20"/>
          <w:lang w:val="en-GB"/>
        </w:rPr>
        <w:t xml:space="preserve">not </w:t>
      </w:r>
      <w:r>
        <w:rPr>
          <w:rFonts w:ascii="Gill Sans MT" w:hAnsi="Gill Sans MT"/>
          <w:sz w:val="20"/>
          <w:lang w:val="en-GB"/>
        </w:rPr>
        <w:t xml:space="preserve">adequately </w:t>
      </w:r>
      <w:r w:rsidRPr="00F52946">
        <w:rPr>
          <w:rFonts w:ascii="Gill Sans MT" w:hAnsi="Gill Sans MT"/>
          <w:sz w:val="20"/>
          <w:lang w:val="en-GB"/>
        </w:rPr>
        <w:t>discussed – in particular, h</w:t>
      </w:r>
      <w:r w:rsidR="009A4EE2">
        <w:rPr>
          <w:rFonts w:ascii="Gill Sans MT" w:hAnsi="Gill Sans MT"/>
          <w:sz w:val="20"/>
          <w:lang w:val="en-GB"/>
        </w:rPr>
        <w:t xml:space="preserve">ow </w:t>
      </w:r>
      <w:r>
        <w:rPr>
          <w:rFonts w:ascii="Gill Sans MT" w:hAnsi="Gill Sans MT"/>
          <w:sz w:val="20"/>
          <w:lang w:val="en-GB"/>
        </w:rPr>
        <w:t xml:space="preserve">to develop public </w:t>
      </w:r>
      <w:r w:rsidRPr="00F52946">
        <w:rPr>
          <w:rFonts w:ascii="Gill Sans MT" w:hAnsi="Gill Sans MT"/>
          <w:sz w:val="20"/>
          <w:lang w:val="en-GB"/>
        </w:rPr>
        <w:t>p</w:t>
      </w:r>
      <w:r>
        <w:rPr>
          <w:rFonts w:ascii="Gill Sans MT" w:hAnsi="Gill Sans MT"/>
          <w:sz w:val="20"/>
          <w:lang w:val="en-GB"/>
        </w:rPr>
        <w:t xml:space="preserve">olicies to reduce </w:t>
      </w:r>
      <w:r w:rsidRPr="00F52946">
        <w:rPr>
          <w:rFonts w:ascii="Gill Sans MT" w:hAnsi="Gill Sans MT"/>
          <w:sz w:val="20"/>
          <w:lang w:val="en-GB"/>
        </w:rPr>
        <w:t>income poverty.</w:t>
      </w:r>
    </w:p>
    <w:p w14:paraId="52302AB6" w14:textId="77777777" w:rsidR="008F339F" w:rsidRDefault="008F339F" w:rsidP="002201BB">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Three factors were identified as relevant in nurturing the space for strategic problem-solving discussion:</w:t>
      </w:r>
    </w:p>
    <w:p w14:paraId="1CE35AFE" w14:textId="77777777" w:rsidR="008F339F" w:rsidRDefault="008F339F" w:rsidP="008F339F">
      <w:pPr>
        <w:pStyle w:val="BodyText"/>
        <w:numPr>
          <w:ilvl w:val="0"/>
          <w:numId w:val="37"/>
        </w:numPr>
        <w:spacing w:line="360" w:lineRule="auto"/>
        <w:rPr>
          <w:rFonts w:ascii="Gill Sans MT" w:hAnsi="Gill Sans MT"/>
          <w:sz w:val="20"/>
          <w:lang w:val="en-GB"/>
        </w:rPr>
      </w:pPr>
      <w:r w:rsidRPr="008D5125">
        <w:rPr>
          <w:rFonts w:ascii="Gill Sans MT" w:hAnsi="Gill Sans MT"/>
          <w:b/>
          <w:sz w:val="20"/>
          <w:lang w:val="en-GB"/>
        </w:rPr>
        <w:t xml:space="preserve">The design, disbursement </w:t>
      </w:r>
      <w:r>
        <w:rPr>
          <w:rFonts w:ascii="Gill Sans MT" w:hAnsi="Gill Sans MT"/>
          <w:b/>
          <w:sz w:val="20"/>
          <w:lang w:val="en-GB"/>
        </w:rPr>
        <w:t xml:space="preserve">conditions </w:t>
      </w:r>
      <w:r w:rsidRPr="008D5125">
        <w:rPr>
          <w:rFonts w:ascii="Gill Sans MT" w:hAnsi="Gill Sans MT"/>
          <w:b/>
          <w:sz w:val="20"/>
          <w:lang w:val="en-GB"/>
        </w:rPr>
        <w:t>and management proce</w:t>
      </w:r>
      <w:r>
        <w:rPr>
          <w:rFonts w:ascii="Gill Sans MT" w:hAnsi="Gill Sans MT"/>
          <w:b/>
          <w:sz w:val="20"/>
          <w:lang w:val="en-GB"/>
        </w:rPr>
        <w:t>sses for budget support must have a strategic problem solving and policy oriented focus</w:t>
      </w:r>
      <w:r w:rsidRPr="008D5125">
        <w:rPr>
          <w:rFonts w:ascii="Gill Sans MT" w:hAnsi="Gill Sans MT"/>
          <w:b/>
          <w:sz w:val="20"/>
          <w:lang w:val="en-GB"/>
        </w:rPr>
        <w:t>.</w:t>
      </w:r>
      <w:r>
        <w:rPr>
          <w:rFonts w:ascii="Gill Sans MT" w:hAnsi="Gill Sans MT"/>
          <w:sz w:val="20"/>
          <w:lang w:val="en-GB"/>
        </w:rPr>
        <w:t xml:space="preserve"> In the LIC countries and in some of the MIC operations, the process of verifying the fulfilment of disbursement conditions became so focused on details that attention to wider strategic concerns was virtually squeezed out. The large number of detailed indicators and milestones</w:t>
      </w:r>
      <w:r w:rsidR="00BC54D9">
        <w:rPr>
          <w:rFonts w:ascii="Gill Sans MT" w:hAnsi="Gill Sans MT"/>
          <w:sz w:val="20"/>
          <w:lang w:val="en-GB"/>
        </w:rPr>
        <w:t xml:space="preserve"> in the PAF</w:t>
      </w:r>
      <w:r>
        <w:rPr>
          <w:rFonts w:ascii="Gill Sans MT" w:hAnsi="Gill Sans MT"/>
          <w:sz w:val="20"/>
          <w:lang w:val="en-GB"/>
        </w:rPr>
        <w:t>, many of which were focused at the process and output level, often obscured the end objective of policy reforms. In Morocco, this problem was exacerbated by the focus of some SBS operations on sub-sectors, programmes or regions, rather than at the sector level.</w:t>
      </w:r>
    </w:p>
    <w:p w14:paraId="592671B4" w14:textId="77777777" w:rsidR="008F339F" w:rsidRPr="00370E76" w:rsidRDefault="008F339F" w:rsidP="008F339F">
      <w:pPr>
        <w:pStyle w:val="BodyText"/>
        <w:numPr>
          <w:ilvl w:val="0"/>
          <w:numId w:val="37"/>
        </w:numPr>
        <w:spacing w:line="360" w:lineRule="auto"/>
        <w:rPr>
          <w:rFonts w:ascii="Gill Sans MT" w:hAnsi="Gill Sans MT"/>
          <w:sz w:val="20"/>
          <w:lang w:val="en-GB"/>
        </w:rPr>
      </w:pPr>
      <w:r>
        <w:rPr>
          <w:rFonts w:ascii="Gill Sans MT" w:hAnsi="Gill Sans MT"/>
          <w:b/>
          <w:sz w:val="20"/>
          <w:lang w:val="en-GB"/>
        </w:rPr>
        <w:t>The overall scope of dialogue must be consistent with capacity and expertise on both sides.</w:t>
      </w:r>
      <w:r>
        <w:rPr>
          <w:rFonts w:ascii="Gill Sans MT" w:hAnsi="Gill Sans MT"/>
          <w:sz w:val="20"/>
          <w:lang w:val="en-GB"/>
        </w:rPr>
        <w:t xml:space="preserve"> A common problem in Mozambique, Tanzania and Zambia was th</w:t>
      </w:r>
      <w:r w:rsidR="00BC54D9">
        <w:rPr>
          <w:rFonts w:ascii="Gill Sans MT" w:hAnsi="Gill Sans MT"/>
          <w:sz w:val="20"/>
          <w:lang w:val="en-GB"/>
        </w:rPr>
        <w:t xml:space="preserve">at the PAF </w:t>
      </w:r>
      <w:r>
        <w:rPr>
          <w:rFonts w:ascii="Gill Sans MT" w:hAnsi="Gill Sans MT"/>
          <w:sz w:val="20"/>
          <w:lang w:val="en-GB"/>
        </w:rPr>
        <w:t xml:space="preserve">incorporated too many sectors and thematic areas. The technical and administrative limitations of most governments will make it difficult to give adequate </w:t>
      </w:r>
      <w:r>
        <w:rPr>
          <w:rFonts w:ascii="Gill Sans MT" w:hAnsi="Gill Sans MT"/>
          <w:sz w:val="20"/>
          <w:lang w:val="en-GB"/>
        </w:rPr>
        <w:lastRenderedPageBreak/>
        <w:t>attention to an excessively wide range of reforms, and donor offices also struggle to muster the necessary capacity to bring value added to debate across many sectors and themes. In Mali, there were 8 themes/ sectors covered by GBS and SBS and a more strategic problem-solving debate resulted.</w:t>
      </w:r>
    </w:p>
    <w:p w14:paraId="32E4DF68" w14:textId="77777777" w:rsidR="008F339F" w:rsidRPr="00A22848" w:rsidRDefault="008F339F" w:rsidP="008F339F">
      <w:pPr>
        <w:pStyle w:val="BodyText"/>
        <w:numPr>
          <w:ilvl w:val="0"/>
          <w:numId w:val="37"/>
        </w:numPr>
        <w:spacing w:line="360" w:lineRule="auto"/>
        <w:rPr>
          <w:rFonts w:ascii="Gill Sans MT" w:hAnsi="Gill Sans MT"/>
          <w:sz w:val="20"/>
          <w:lang w:val="en-GB"/>
        </w:rPr>
      </w:pPr>
      <w:r>
        <w:rPr>
          <w:rFonts w:ascii="Gill Sans MT" w:hAnsi="Gill Sans MT"/>
          <w:b/>
          <w:sz w:val="20"/>
          <w:szCs w:val="12"/>
        </w:rPr>
        <w:t xml:space="preserve">A </w:t>
      </w:r>
      <w:r w:rsidRPr="00020663">
        <w:rPr>
          <w:rFonts w:ascii="Gill Sans MT" w:hAnsi="Gill Sans MT"/>
          <w:b/>
          <w:sz w:val="20"/>
          <w:szCs w:val="12"/>
        </w:rPr>
        <w:t>separation between the forward-thinking dialogue</w:t>
      </w:r>
      <w:r>
        <w:rPr>
          <w:rFonts w:ascii="Gill Sans MT" w:hAnsi="Gill Sans MT"/>
          <w:b/>
          <w:sz w:val="20"/>
          <w:szCs w:val="12"/>
        </w:rPr>
        <w:t xml:space="preserve"> and </w:t>
      </w:r>
      <w:r w:rsidRPr="00020663">
        <w:rPr>
          <w:rFonts w:ascii="Gill Sans MT" w:hAnsi="Gill Sans MT"/>
          <w:b/>
          <w:sz w:val="20"/>
          <w:szCs w:val="12"/>
        </w:rPr>
        <w:t>the process of “auditing” progress</w:t>
      </w:r>
      <w:r>
        <w:rPr>
          <w:rFonts w:ascii="Gill Sans MT" w:hAnsi="Gill Sans MT"/>
          <w:b/>
          <w:sz w:val="20"/>
          <w:szCs w:val="12"/>
        </w:rPr>
        <w:t xml:space="preserve"> to decide on disbursements </w:t>
      </w:r>
      <w:r w:rsidRPr="004B2CA7">
        <w:rPr>
          <w:rFonts w:ascii="Gill Sans MT" w:hAnsi="Gill Sans MT"/>
          <w:b/>
          <w:sz w:val="20"/>
          <w:szCs w:val="12"/>
        </w:rPr>
        <w:t>is likely to</w:t>
      </w:r>
      <w:r>
        <w:rPr>
          <w:rFonts w:ascii="Gill Sans MT" w:hAnsi="Gill Sans MT"/>
          <w:b/>
          <w:sz w:val="20"/>
          <w:szCs w:val="12"/>
        </w:rPr>
        <w:t xml:space="preserve"> be advantageous. </w:t>
      </w:r>
      <w:r w:rsidRPr="004B2CA7">
        <w:rPr>
          <w:rFonts w:ascii="Gill Sans MT" w:hAnsi="Gill Sans MT"/>
          <w:sz w:val="20"/>
          <w:szCs w:val="12"/>
        </w:rPr>
        <w:t>In order to address the unsatisfactory nature of the dialogue in Tanzania, the evaluation recommended</w:t>
      </w:r>
      <w:r>
        <w:rPr>
          <w:rFonts w:ascii="Gill Sans MT" w:hAnsi="Gill Sans MT"/>
          <w:b/>
          <w:sz w:val="20"/>
          <w:szCs w:val="12"/>
        </w:rPr>
        <w:t xml:space="preserve"> </w:t>
      </w:r>
      <w:r>
        <w:rPr>
          <w:rFonts w:ascii="Gill Sans MT" w:hAnsi="Gill Sans MT"/>
          <w:sz w:val="20"/>
          <w:szCs w:val="12"/>
        </w:rPr>
        <w:t xml:space="preserve">to introduce this </w:t>
      </w:r>
      <w:r w:rsidRPr="004B2CA7">
        <w:rPr>
          <w:rFonts w:ascii="Gill Sans MT" w:hAnsi="Gill Sans MT"/>
          <w:sz w:val="20"/>
          <w:szCs w:val="12"/>
        </w:rPr>
        <w:t>separation</w:t>
      </w:r>
      <w:r>
        <w:rPr>
          <w:rFonts w:ascii="Gill Sans MT" w:hAnsi="Gill Sans MT"/>
          <w:sz w:val="20"/>
          <w:szCs w:val="12"/>
        </w:rPr>
        <w:t xml:space="preserve"> by holding a progress review early in the year and a forward-looking discussion some months later. It also recommended a greater involvement of </w:t>
      </w:r>
      <w:r w:rsidRPr="007A37DB">
        <w:rPr>
          <w:rFonts w:ascii="Gill Sans MT" w:hAnsi="Gill Sans MT"/>
          <w:sz w:val="20"/>
          <w:szCs w:val="12"/>
        </w:rPr>
        <w:t>new external actors, such as academics or su</w:t>
      </w:r>
      <w:r>
        <w:rPr>
          <w:rFonts w:ascii="Gill Sans MT" w:hAnsi="Gill Sans MT"/>
          <w:sz w:val="20"/>
          <w:szCs w:val="12"/>
        </w:rPr>
        <w:t xml:space="preserve">bject specialists, into the forward-thinking </w:t>
      </w:r>
      <w:r w:rsidRPr="007A37DB">
        <w:rPr>
          <w:rFonts w:ascii="Gill Sans MT" w:hAnsi="Gill Sans MT"/>
          <w:sz w:val="20"/>
          <w:szCs w:val="12"/>
        </w:rPr>
        <w:t>problem-solving discussions</w:t>
      </w:r>
      <w:r>
        <w:rPr>
          <w:rStyle w:val="FootnoteReference"/>
          <w:rFonts w:ascii="Gill Sans MT" w:hAnsi="Gill Sans MT"/>
          <w:sz w:val="20"/>
          <w:szCs w:val="12"/>
        </w:rPr>
        <w:footnoteReference w:id="45"/>
      </w:r>
      <w:r w:rsidRPr="007A37DB">
        <w:rPr>
          <w:rFonts w:ascii="Gill Sans MT" w:hAnsi="Gill Sans MT"/>
          <w:sz w:val="20"/>
          <w:szCs w:val="12"/>
        </w:rPr>
        <w:t xml:space="preserve">. </w:t>
      </w:r>
    </w:p>
    <w:p w14:paraId="115B6A88" w14:textId="77777777" w:rsidR="008F339F" w:rsidRPr="004F45DA" w:rsidRDefault="008F339F" w:rsidP="008F339F">
      <w:pPr>
        <w:pStyle w:val="Heading3"/>
      </w:pPr>
      <w:r>
        <w:t>Money can’t buy reform</w:t>
      </w:r>
    </w:p>
    <w:p w14:paraId="7B129D66" w14:textId="77777777" w:rsidR="008F339F" w:rsidRPr="00152751" w:rsidRDefault="008F339F" w:rsidP="002201BB">
      <w:pPr>
        <w:pStyle w:val="BodyText"/>
        <w:numPr>
          <w:ilvl w:val="0"/>
          <w:numId w:val="2"/>
        </w:numPr>
        <w:spacing w:line="360" w:lineRule="auto"/>
        <w:ind w:left="499" w:hanging="357"/>
        <w:rPr>
          <w:rFonts w:ascii="Gill Sans MT" w:hAnsi="Gill Sans MT"/>
          <w:sz w:val="20"/>
          <w:lang w:val="en-GB"/>
        </w:rPr>
      </w:pPr>
      <w:r w:rsidRPr="002201BB">
        <w:rPr>
          <w:rFonts w:ascii="Gill Sans MT" w:hAnsi="Gill Sans MT"/>
          <w:b/>
          <w:sz w:val="20"/>
          <w:lang w:val="en-GB"/>
        </w:rPr>
        <w:t>Our third lesson is that budget support funding is not correlated with policy leverage:</w:t>
      </w:r>
      <w:r w:rsidRPr="002201BB">
        <w:rPr>
          <w:rFonts w:ascii="Gill Sans MT" w:hAnsi="Gill Sans MT"/>
          <w:sz w:val="20"/>
          <w:lang w:val="en-GB"/>
        </w:rPr>
        <w:t xml:space="preserve"> despite the significant funds provided in the LICs, in each of the four countries, there were reforms which the partner governments did not undertake despite losing variable tranche funding, or suffering delays in disbursements. In the MICs, by contrast, budget support was able to influence the design of reforms through policy dialogue and technical assistance, even where levels of budget support funding comprised less than 2% of public spending. Budget support influenced policy, where interests converged; where they did not converge, domestic political interests drove the agenda and, as has been found in past evaluations</w:t>
      </w:r>
      <w:proofErr w:type="gramStart"/>
      <w:r w:rsidRPr="002201BB">
        <w:rPr>
          <w:rFonts w:ascii="Gill Sans MT" w:hAnsi="Gill Sans MT"/>
          <w:sz w:val="20"/>
          <w:lang w:val="en-GB"/>
        </w:rPr>
        <w:t>,  those</w:t>
      </w:r>
      <w:proofErr w:type="gramEnd"/>
      <w:r w:rsidRPr="002201BB">
        <w:rPr>
          <w:rFonts w:ascii="Gill Sans MT" w:hAnsi="Gill Sans MT"/>
          <w:sz w:val="20"/>
          <w:lang w:val="en-GB"/>
        </w:rPr>
        <w:t xml:space="preserve"> domestic political interests proved impervious to external influence. </w:t>
      </w:r>
    </w:p>
    <w:p w14:paraId="142D4286" w14:textId="77777777" w:rsidR="008F339F" w:rsidRPr="00B674EF" w:rsidRDefault="008F339F" w:rsidP="002201BB">
      <w:pPr>
        <w:pStyle w:val="BodyText"/>
        <w:numPr>
          <w:ilvl w:val="0"/>
          <w:numId w:val="2"/>
        </w:numPr>
        <w:spacing w:line="360" w:lineRule="auto"/>
        <w:ind w:left="499" w:hanging="357"/>
        <w:rPr>
          <w:rFonts w:ascii="Gill Sans MT" w:hAnsi="Gill Sans MT"/>
          <w:sz w:val="20"/>
          <w:lang w:val="en-GB"/>
        </w:rPr>
      </w:pPr>
      <w:r w:rsidRPr="002201BB">
        <w:rPr>
          <w:rFonts w:ascii="Gill Sans MT" w:hAnsi="Gill Sans MT"/>
          <w:sz w:val="20"/>
          <w:lang w:val="en-GB"/>
        </w:rPr>
        <w:t>In this respect our synthesis fully confirms the preliminary findings from Mali, Tunisia and Zambia (Caputo et al. 2011) published in the OECD-DAC’s “Evaluation Insights”. The first synthesis report from these three cases found that ‘</w:t>
      </w:r>
      <w:r w:rsidRPr="002201BB">
        <w:rPr>
          <w:rFonts w:ascii="Gill Sans MT" w:hAnsi="Gill Sans MT"/>
          <w:i/>
          <w:sz w:val="20"/>
          <w:lang w:val="en-GB"/>
        </w:rPr>
        <w:t>programmes have provided effective support to implementation of public financial management and other reforms, where government and society were committed thereto, but they have proved incapable of “buying reform”, confirming findings from other research.</w:t>
      </w:r>
      <w:r w:rsidRPr="002201BB">
        <w:rPr>
          <w:rFonts w:ascii="Gill Sans MT" w:hAnsi="Gill Sans MT"/>
          <w:sz w:val="20"/>
          <w:lang w:val="en-GB"/>
        </w:rPr>
        <w:t>’ Having extended the synthesis to a further 4 countries, this preliminary finding can now be confirmed as a clear lesson from experience to date.</w:t>
      </w:r>
    </w:p>
    <w:p w14:paraId="275DDAE2" w14:textId="77777777" w:rsidR="008F339F" w:rsidRDefault="008F339F" w:rsidP="008F339F">
      <w:pPr>
        <w:pStyle w:val="Heading2"/>
        <w:numPr>
          <w:ilvl w:val="1"/>
          <w:numId w:val="35"/>
        </w:numPr>
        <w:spacing w:before="120" w:after="120"/>
        <w:rPr>
          <w:bCs w:val="0"/>
        </w:rPr>
      </w:pPr>
      <w:bookmarkStart w:id="90" w:name="_Toc279848254"/>
      <w:r>
        <w:rPr>
          <w:bCs w:val="0"/>
        </w:rPr>
        <w:t>The choice of General or Sector Budget Support</w:t>
      </w:r>
      <w:bookmarkEnd w:id="90"/>
      <w:r>
        <w:rPr>
          <w:bCs w:val="0"/>
        </w:rPr>
        <w:t xml:space="preserve"> </w:t>
      </w:r>
    </w:p>
    <w:p w14:paraId="56A2DF86" w14:textId="77777777" w:rsidR="008F339F" w:rsidRDefault="008F339F" w:rsidP="002201BB">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The sample of seven cases we have examined provided a representative mix of the different combinations of Sector and General Budget Support commonly found. Two countries, Morocco and South Africa had only SBS operations, three – Tunisia, Mali and Zambia, had a mix of GBS </w:t>
      </w:r>
      <w:r>
        <w:rPr>
          <w:rFonts w:ascii="Gill Sans MT" w:hAnsi="Gill Sans MT"/>
          <w:sz w:val="20"/>
          <w:lang w:val="en-GB"/>
        </w:rPr>
        <w:lastRenderedPageBreak/>
        <w:t>and SBS and two, Tanzania and Mozambique had an exclusive or very heavy GBS dominance. What did the evaluations reveal about the relative influence of the choice of mechanism?</w:t>
      </w:r>
    </w:p>
    <w:p w14:paraId="41660633" w14:textId="77777777" w:rsidR="008F339F" w:rsidRDefault="008F339F" w:rsidP="002201BB">
      <w:pPr>
        <w:pStyle w:val="BodyText"/>
        <w:numPr>
          <w:ilvl w:val="0"/>
          <w:numId w:val="2"/>
        </w:numPr>
        <w:spacing w:line="360" w:lineRule="auto"/>
        <w:ind w:left="499" w:hanging="357"/>
        <w:rPr>
          <w:rFonts w:ascii="Gill Sans MT" w:hAnsi="Gill Sans MT"/>
          <w:sz w:val="20"/>
          <w:lang w:val="en-GB"/>
        </w:rPr>
      </w:pPr>
      <w:r w:rsidRPr="009A4EE2">
        <w:rPr>
          <w:rFonts w:ascii="Gill Sans MT" w:hAnsi="Gill Sans MT"/>
          <w:b/>
          <w:sz w:val="20"/>
          <w:lang w:val="en-GB"/>
        </w:rPr>
        <w:t>In the first place, it is worth stressing that the relative differences between SBS and GBS proved to be modest.</w:t>
      </w:r>
      <w:r>
        <w:rPr>
          <w:rFonts w:ascii="Gill Sans MT" w:hAnsi="Gill Sans MT"/>
          <w:sz w:val="20"/>
          <w:lang w:val="en-GB"/>
        </w:rPr>
        <w:t xml:space="preserve"> All operations disbursed into the national treasury account and involved no earmarking; all operations were able to include a mix of national and sectoral perspectives, either because SBS operations included PFM and public sector reform components or because GBS operations included sectoral components.  With the exception of South Africa and Morocco, all countries had integrated policy dialogue structures, with sectoral and thematic working groups feeding into national level frameworks linked to GBS. </w:t>
      </w:r>
    </w:p>
    <w:p w14:paraId="0208A94C" w14:textId="77777777" w:rsidR="008F339F" w:rsidRDefault="008F339F" w:rsidP="002201BB">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However, the different Context-Mechanism-Outcome (C-M-O) combinations did reveal some patterns of interest:</w:t>
      </w:r>
    </w:p>
    <w:p w14:paraId="21538920" w14:textId="77777777" w:rsidR="008F339F" w:rsidRDefault="008F339F" w:rsidP="008F339F">
      <w:pPr>
        <w:pStyle w:val="BodyText"/>
        <w:numPr>
          <w:ilvl w:val="0"/>
          <w:numId w:val="45"/>
        </w:numPr>
        <w:spacing w:line="360" w:lineRule="auto"/>
        <w:rPr>
          <w:rFonts w:ascii="Gill Sans MT" w:hAnsi="Gill Sans MT"/>
          <w:sz w:val="20"/>
          <w:lang w:val="en-GB"/>
        </w:rPr>
      </w:pPr>
      <w:r>
        <w:rPr>
          <w:rFonts w:ascii="Gill Sans MT" w:hAnsi="Gill Sans MT"/>
          <w:sz w:val="20"/>
          <w:lang w:val="en-GB"/>
        </w:rPr>
        <w:t>In South Africa, where there was a high level of government effectiveness and thus a combination of relatively strong sectors and a strong integrating/ coordinating function from the Ministry of Finance, GBS and SBS op</w:t>
      </w:r>
      <w:r w:rsidR="009A4EE2">
        <w:rPr>
          <w:rFonts w:ascii="Gill Sans MT" w:hAnsi="Gill Sans MT"/>
          <w:sz w:val="20"/>
          <w:lang w:val="en-GB"/>
        </w:rPr>
        <w:t>erations would probably have worked equally well</w:t>
      </w:r>
      <w:r>
        <w:rPr>
          <w:rFonts w:ascii="Gill Sans MT" w:hAnsi="Gill Sans MT"/>
          <w:sz w:val="20"/>
          <w:lang w:val="en-GB"/>
        </w:rPr>
        <w:t>.</w:t>
      </w:r>
    </w:p>
    <w:p w14:paraId="1CC0532B" w14:textId="77777777" w:rsidR="008F339F" w:rsidRDefault="008F339F" w:rsidP="008F339F">
      <w:pPr>
        <w:pStyle w:val="BodyText"/>
        <w:numPr>
          <w:ilvl w:val="0"/>
          <w:numId w:val="45"/>
        </w:numPr>
        <w:spacing w:line="360" w:lineRule="auto"/>
        <w:rPr>
          <w:rFonts w:ascii="Gill Sans MT" w:hAnsi="Gill Sans MT"/>
          <w:sz w:val="20"/>
          <w:lang w:val="en-GB"/>
        </w:rPr>
      </w:pPr>
      <w:r>
        <w:rPr>
          <w:rFonts w:ascii="Gill Sans MT" w:hAnsi="Gill Sans MT"/>
          <w:sz w:val="20"/>
          <w:lang w:val="en-GB"/>
        </w:rPr>
        <w:t xml:space="preserve">In Morocco, SBS operations succeeded in supporting implementation of pre-defined reforms and development initiatives, which did not require inter-sectoral analysis and coordination. However, in the absence of a GBS operation, it was not possible to promote inter-sectoral processes, which might have helped to adapt sectoral and national policies towards the reduction of inter-regional inequalities, or to make better use of the budget as a tool to re-allocate resources towards strategic priorities. </w:t>
      </w:r>
    </w:p>
    <w:p w14:paraId="19434821" w14:textId="77777777" w:rsidR="008F339F" w:rsidRDefault="008F339F" w:rsidP="008F339F">
      <w:pPr>
        <w:pStyle w:val="BodyText"/>
        <w:numPr>
          <w:ilvl w:val="0"/>
          <w:numId w:val="45"/>
        </w:numPr>
        <w:spacing w:line="360" w:lineRule="auto"/>
        <w:rPr>
          <w:rFonts w:ascii="Gill Sans MT" w:hAnsi="Gill Sans MT"/>
          <w:sz w:val="20"/>
          <w:lang w:val="en-GB"/>
        </w:rPr>
      </w:pPr>
      <w:r>
        <w:rPr>
          <w:rFonts w:ascii="Gill Sans MT" w:hAnsi="Gill Sans MT"/>
          <w:sz w:val="20"/>
          <w:lang w:val="en-GB"/>
        </w:rPr>
        <w:t xml:space="preserve">In Tunisia, GBS operations were able to promote improved inter-sectoral coordination in order to address the requirements of market de-regulation and the opening up of trade. By contrast, in the absence of a significant presence of the Ministry of Finance and other central agencies, the SBS operations in secondary and higher education and in vocational training were unable to promote changes in policy aimed at re-orienting higher education and training towards the needs of a modern, open economy. </w:t>
      </w:r>
    </w:p>
    <w:p w14:paraId="4532D39C" w14:textId="77777777" w:rsidR="008F339F" w:rsidRDefault="008F339F" w:rsidP="008F339F">
      <w:pPr>
        <w:pStyle w:val="BodyText"/>
        <w:numPr>
          <w:ilvl w:val="0"/>
          <w:numId w:val="45"/>
        </w:numPr>
        <w:spacing w:line="360" w:lineRule="auto"/>
        <w:rPr>
          <w:rFonts w:ascii="Gill Sans MT" w:hAnsi="Gill Sans MT"/>
          <w:sz w:val="20"/>
          <w:lang w:val="en-GB"/>
        </w:rPr>
      </w:pPr>
      <w:r>
        <w:rPr>
          <w:rFonts w:ascii="Gill Sans MT" w:hAnsi="Gill Sans MT"/>
          <w:sz w:val="20"/>
          <w:lang w:val="en-GB"/>
        </w:rPr>
        <w:t>In Mali, the combination of SBS operations in Health, Education and Decentralisation, with a significant GBS operation was able to generate cross-sector support – and Ministry of Finance backing – for important reforms to decentralised financial management in health and education, as well as policy reforms to teacher training and other aspects of service delivery. The combination of GBS and SBS together proved effective.</w:t>
      </w:r>
    </w:p>
    <w:p w14:paraId="49ECD54C" w14:textId="77777777" w:rsidR="008F339F" w:rsidRDefault="008F339F" w:rsidP="008F339F">
      <w:pPr>
        <w:pStyle w:val="BodyText"/>
        <w:numPr>
          <w:ilvl w:val="0"/>
          <w:numId w:val="45"/>
        </w:numPr>
        <w:spacing w:line="360" w:lineRule="auto"/>
        <w:rPr>
          <w:rFonts w:ascii="Gill Sans MT" w:hAnsi="Gill Sans MT"/>
          <w:sz w:val="20"/>
          <w:lang w:val="en-GB"/>
        </w:rPr>
      </w:pPr>
      <w:r>
        <w:rPr>
          <w:rFonts w:ascii="Gill Sans MT" w:hAnsi="Gill Sans MT"/>
          <w:sz w:val="20"/>
          <w:lang w:val="en-GB"/>
        </w:rPr>
        <w:t>In Mozambique and Tanzania, the quality of sector policy development was variable, depending essentially on capacity and institutional issues within the sectors. Thus, while education policies and reforms were broadly successful, and well supported by GBS, other sectors were weaker. The combination of GBS arrangements with strong</w:t>
      </w:r>
      <w:r w:rsidR="00217CCD">
        <w:rPr>
          <w:rFonts w:ascii="Gill Sans MT" w:hAnsi="Gill Sans MT"/>
          <w:sz w:val="20"/>
          <w:lang w:val="en-GB"/>
        </w:rPr>
        <w:t>er</w:t>
      </w:r>
      <w:r>
        <w:rPr>
          <w:rFonts w:ascii="Gill Sans MT" w:hAnsi="Gill Sans MT"/>
          <w:sz w:val="20"/>
          <w:lang w:val="en-GB"/>
        </w:rPr>
        <w:t xml:space="preserve"> SBS </w:t>
      </w:r>
      <w:r>
        <w:rPr>
          <w:rFonts w:ascii="Gill Sans MT" w:hAnsi="Gill Sans MT"/>
          <w:sz w:val="20"/>
          <w:lang w:val="en-GB"/>
        </w:rPr>
        <w:lastRenderedPageBreak/>
        <w:t xml:space="preserve">arrangements might have made a difference but the evaluations suggest that the sectors were driven by their own internal dynamics and that SBS operations would have made no difference to this. </w:t>
      </w:r>
    </w:p>
    <w:p w14:paraId="1DBFA558" w14:textId="77777777" w:rsidR="008F339F" w:rsidRPr="00A47230" w:rsidRDefault="008F339F" w:rsidP="002201BB">
      <w:pPr>
        <w:pStyle w:val="BodyText"/>
        <w:numPr>
          <w:ilvl w:val="0"/>
          <w:numId w:val="2"/>
        </w:numPr>
        <w:spacing w:line="360" w:lineRule="auto"/>
        <w:ind w:left="499" w:hanging="357"/>
        <w:rPr>
          <w:rFonts w:ascii="Gill Sans MT" w:hAnsi="Gill Sans MT"/>
          <w:sz w:val="20"/>
          <w:lang w:val="en-GB"/>
        </w:rPr>
      </w:pPr>
      <w:r w:rsidRPr="00217CCD">
        <w:rPr>
          <w:rFonts w:ascii="Gill Sans MT" w:hAnsi="Gill Sans MT"/>
          <w:b/>
          <w:sz w:val="20"/>
          <w:lang w:val="en-GB"/>
        </w:rPr>
        <w:t>The main conclusion we draw is that national deve</w:t>
      </w:r>
      <w:r w:rsidR="009A4EE2">
        <w:rPr>
          <w:rFonts w:ascii="Gill Sans MT" w:hAnsi="Gill Sans MT"/>
          <w:b/>
          <w:sz w:val="20"/>
          <w:lang w:val="en-GB"/>
        </w:rPr>
        <w:t xml:space="preserve">lopment strategies appear to be more </w:t>
      </w:r>
      <w:r w:rsidR="009A4EE2" w:rsidRPr="00217CCD">
        <w:rPr>
          <w:rFonts w:ascii="Gill Sans MT" w:hAnsi="Gill Sans MT"/>
          <w:b/>
          <w:sz w:val="20"/>
          <w:lang w:val="en-GB"/>
        </w:rPr>
        <w:t xml:space="preserve">successful </w:t>
      </w:r>
      <w:r w:rsidR="009A4EE2">
        <w:rPr>
          <w:rFonts w:ascii="Gill Sans MT" w:hAnsi="Gill Sans MT"/>
          <w:b/>
          <w:sz w:val="20"/>
          <w:lang w:val="en-GB"/>
        </w:rPr>
        <w:t xml:space="preserve">where there is </w:t>
      </w:r>
      <w:r w:rsidRPr="00217CCD">
        <w:rPr>
          <w:rFonts w:ascii="Gill Sans MT" w:hAnsi="Gill Sans MT"/>
          <w:b/>
          <w:sz w:val="20"/>
          <w:lang w:val="en-GB"/>
        </w:rPr>
        <w:t>a combination of effective policy development at the sector level with atten</w:t>
      </w:r>
      <w:r w:rsidR="009A4EE2">
        <w:rPr>
          <w:rFonts w:ascii="Gill Sans MT" w:hAnsi="Gill Sans MT"/>
          <w:b/>
          <w:sz w:val="20"/>
          <w:lang w:val="en-GB"/>
        </w:rPr>
        <w:t xml:space="preserve">tion to strategic, cross-cutting </w:t>
      </w:r>
      <w:r w:rsidRPr="00217CCD">
        <w:rPr>
          <w:rFonts w:ascii="Gill Sans MT" w:hAnsi="Gill Sans MT"/>
          <w:b/>
          <w:sz w:val="20"/>
          <w:lang w:val="en-GB"/>
        </w:rPr>
        <w:t>issues at the central level.</w:t>
      </w:r>
      <w:r>
        <w:rPr>
          <w:rFonts w:ascii="Gill Sans MT" w:hAnsi="Gill Sans MT"/>
          <w:sz w:val="20"/>
          <w:lang w:val="en-GB"/>
        </w:rPr>
        <w:t xml:space="preserve"> The ability to combine these processes effectively will depend primarily on contextual factors related to the capacity of the partner governments and the nature of the prevailing institutional arrangements.  GBS can support inter-sectoral working in a way in which SBS cannot but SBS may be better suited to supporting detailed policy development within a single sector. In the majority of cases, a combination of GBS and SBS would probably be most effective but such decisions must always be guided by careful analysis of the context and the wishes of the partner government.</w:t>
      </w:r>
    </w:p>
    <w:p w14:paraId="5C36E78D" w14:textId="77777777" w:rsidR="008F339F" w:rsidRDefault="008F339F" w:rsidP="008F339F">
      <w:pPr>
        <w:pStyle w:val="Heading2"/>
        <w:numPr>
          <w:ilvl w:val="1"/>
          <w:numId w:val="35"/>
        </w:numPr>
        <w:spacing w:before="120" w:after="120"/>
        <w:rPr>
          <w:bCs w:val="0"/>
        </w:rPr>
      </w:pPr>
      <w:bookmarkStart w:id="91" w:name="_Toc279848255"/>
      <w:r>
        <w:rPr>
          <w:bCs w:val="0"/>
        </w:rPr>
        <w:t>Recommendations for the Way Forward</w:t>
      </w:r>
      <w:bookmarkEnd w:id="91"/>
    </w:p>
    <w:p w14:paraId="415DEA1C" w14:textId="77777777" w:rsidR="008F339F" w:rsidRDefault="008F339F" w:rsidP="002201BB">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Before outlining our recommendations, it is worth reflecting on the significance of the findings across these seven evaluations. Amongst many of the Development Agencies, the appetite for budget support has visibly diminished since the late 2000s to the extent that a number of its previous proponents have either stopped its provision altogether or significantly reduced the proportions of their portfolios disbursed in this way.  While there may be legitimate internal reasons for such changes, such as reduced aid budgets or changed priorities, the simple fact is that there does not appear to be any evidence related to the functioning and achievements of budget support to justify such a substantive change in policy. </w:t>
      </w:r>
    </w:p>
    <w:p w14:paraId="4AEAFE80" w14:textId="77777777" w:rsidR="005719E7" w:rsidRDefault="008F339F" w:rsidP="005719E7">
      <w:pPr>
        <w:pStyle w:val="BodyText"/>
        <w:numPr>
          <w:ilvl w:val="0"/>
          <w:numId w:val="2"/>
        </w:numPr>
        <w:spacing w:line="360" w:lineRule="auto"/>
        <w:ind w:left="499" w:hanging="357"/>
        <w:rPr>
          <w:rFonts w:ascii="Gill Sans MT" w:hAnsi="Gill Sans MT"/>
          <w:sz w:val="20"/>
          <w:lang w:val="en-GB"/>
        </w:rPr>
      </w:pPr>
      <w:r w:rsidRPr="00217CCD">
        <w:rPr>
          <w:rFonts w:ascii="Gill Sans MT" w:hAnsi="Gill Sans MT"/>
          <w:b/>
          <w:sz w:val="20"/>
          <w:lang w:val="en-GB"/>
        </w:rPr>
        <w:t>The evidence of these seven evaluations, as well as the evidence from other recent research and evaluation work, all points in the same direction.</w:t>
      </w:r>
      <w:r>
        <w:rPr>
          <w:rFonts w:ascii="Gill Sans MT" w:hAnsi="Gill Sans MT"/>
          <w:sz w:val="20"/>
          <w:lang w:val="en-GB"/>
        </w:rPr>
        <w:t xml:space="preserve"> It shows clearly that </w:t>
      </w:r>
      <w:r w:rsidRPr="005719E7">
        <w:rPr>
          <w:rFonts w:ascii="Gill Sans MT" w:hAnsi="Gill Sans MT"/>
          <w:sz w:val="20"/>
          <w:lang w:val="en-GB"/>
        </w:rPr>
        <w:t xml:space="preserve">budget support does work as an aid instrument to support partner governments who either a) need to scale up the delivery of services or upgrade their quality and lack the domestic revenue sources to do it; or b) wish to undertake policy reforms or innovations with short-term risks and costs where a framework of international partnership can assist implementation. </w:t>
      </w:r>
    </w:p>
    <w:p w14:paraId="34325588" w14:textId="77777777" w:rsidR="008F339F" w:rsidRPr="005719E7" w:rsidRDefault="008F339F" w:rsidP="005719E7">
      <w:pPr>
        <w:pStyle w:val="BodyText"/>
        <w:numPr>
          <w:ilvl w:val="0"/>
          <w:numId w:val="2"/>
        </w:numPr>
        <w:spacing w:line="360" w:lineRule="auto"/>
        <w:ind w:left="499" w:hanging="357"/>
        <w:rPr>
          <w:rFonts w:ascii="Gill Sans MT" w:hAnsi="Gill Sans MT"/>
          <w:sz w:val="20"/>
          <w:lang w:val="en-GB"/>
        </w:rPr>
      </w:pPr>
      <w:r w:rsidRPr="005719E7">
        <w:rPr>
          <w:rFonts w:ascii="Gill Sans MT" w:hAnsi="Gill Sans MT"/>
          <w:sz w:val="20"/>
          <w:lang w:val="en-GB"/>
        </w:rPr>
        <w:t xml:space="preserve">Budget support requires certain pre-conditions to be in place, notably the prior existence of a national development strategy or sector policy to support. </w:t>
      </w:r>
      <w:r w:rsidR="005719E7" w:rsidRPr="005719E7">
        <w:rPr>
          <w:rFonts w:ascii="Gill Sans MT" w:hAnsi="Gill Sans MT"/>
          <w:sz w:val="20"/>
          <w:szCs w:val="12"/>
        </w:rPr>
        <w:t>In addition, Budget Support works best where policy dialogue and related spending plans are focused on the mutual areas of interest of the beneficiary governments and their Development Partners.</w:t>
      </w:r>
      <w:r w:rsidR="005719E7">
        <w:rPr>
          <w:rFonts w:ascii="Gill Sans MT" w:hAnsi="Gill Sans MT"/>
          <w:sz w:val="20"/>
          <w:lang w:val="en-GB"/>
        </w:rPr>
        <w:t xml:space="preserve"> </w:t>
      </w:r>
      <w:r w:rsidRPr="005719E7">
        <w:rPr>
          <w:rFonts w:ascii="Gill Sans MT" w:hAnsi="Gill Sans MT"/>
          <w:sz w:val="20"/>
          <w:lang w:val="en-GB"/>
        </w:rPr>
        <w:t xml:space="preserve">Moreover, there are things that budget support is not suited to – such as support to community-based initiatives. Nevertheless, many governments in developing and transition countries </w:t>
      </w:r>
      <w:r w:rsidRPr="005719E7">
        <w:rPr>
          <w:rFonts w:ascii="Gill Sans MT" w:hAnsi="Gill Sans MT"/>
          <w:sz w:val="20"/>
          <w:u w:val="single"/>
          <w:lang w:val="en-GB"/>
        </w:rPr>
        <w:t>do</w:t>
      </w:r>
      <w:r w:rsidRPr="005719E7">
        <w:rPr>
          <w:rFonts w:ascii="Gill Sans MT" w:hAnsi="Gill Sans MT"/>
          <w:sz w:val="20"/>
          <w:lang w:val="en-GB"/>
        </w:rPr>
        <w:t xml:space="preserve"> need support in scaling up services or implementing reforms, and the combination of funds, dialogue and technical assistance, which budget support provides, has proven to be well suited to these requirements.</w:t>
      </w:r>
    </w:p>
    <w:p w14:paraId="0A0824DE" w14:textId="77777777" w:rsidR="008F339F" w:rsidRDefault="008F339F" w:rsidP="002201BB">
      <w:pPr>
        <w:pStyle w:val="BodyText"/>
        <w:numPr>
          <w:ilvl w:val="0"/>
          <w:numId w:val="2"/>
        </w:numPr>
        <w:spacing w:line="360" w:lineRule="auto"/>
        <w:ind w:left="499" w:hanging="357"/>
        <w:rPr>
          <w:rFonts w:ascii="Gill Sans MT" w:hAnsi="Gill Sans MT"/>
          <w:sz w:val="20"/>
          <w:lang w:val="en-GB"/>
        </w:rPr>
      </w:pPr>
      <w:r w:rsidRPr="00217CCD">
        <w:rPr>
          <w:rFonts w:ascii="Gill Sans MT" w:hAnsi="Gill Sans MT"/>
          <w:b/>
          <w:sz w:val="20"/>
          <w:lang w:val="en-GB"/>
        </w:rPr>
        <w:lastRenderedPageBreak/>
        <w:t>If anything, the evidence suggests that a stronger and more consistent adherence to the principles of budget support would have achieved greater benefits</w:t>
      </w:r>
      <w:r w:rsidRPr="00977F1A">
        <w:rPr>
          <w:rFonts w:ascii="Gill Sans MT" w:hAnsi="Gill Sans MT"/>
          <w:sz w:val="20"/>
          <w:lang w:val="en-GB"/>
        </w:rPr>
        <w:t>.</w:t>
      </w:r>
      <w:r>
        <w:rPr>
          <w:rFonts w:ascii="Gill Sans MT" w:hAnsi="Gill Sans MT"/>
          <w:sz w:val="20"/>
          <w:lang w:val="en-GB"/>
        </w:rPr>
        <w:t xml:space="preserve"> Many of the shortcomings we have identified in the budget support mechanisms – the persistence of high transaction costs, the lack of predictability in the timing of disbursements and, most especially, the difficulties in maintaining a consistently strategic problem-solving dialogue – derive from a failure to embrace a high level, partnership-based approach to development cooperation and to adhere to the implementation requirements of such an approach.  </w:t>
      </w:r>
    </w:p>
    <w:p w14:paraId="757AFFAF" w14:textId="77777777" w:rsidR="008F339F" w:rsidRDefault="008F339F" w:rsidP="002201BB">
      <w:pPr>
        <w:pStyle w:val="BodyText"/>
        <w:numPr>
          <w:ilvl w:val="0"/>
          <w:numId w:val="2"/>
        </w:numPr>
        <w:spacing w:line="360" w:lineRule="auto"/>
        <w:ind w:left="499" w:hanging="357"/>
        <w:rPr>
          <w:rFonts w:ascii="Gill Sans MT" w:hAnsi="Gill Sans MT"/>
          <w:sz w:val="20"/>
          <w:lang w:val="en-GB"/>
        </w:rPr>
      </w:pPr>
      <w:r w:rsidRPr="00217CCD">
        <w:rPr>
          <w:rFonts w:ascii="Gill Sans MT" w:hAnsi="Gill Sans MT"/>
          <w:b/>
          <w:sz w:val="20"/>
          <w:lang w:val="en-GB"/>
        </w:rPr>
        <w:t>The challenge for the future is therefore to re-assert the value of budget support, while strengthening its design and implementation mechanisms so as to maximise its benefits.</w:t>
      </w:r>
      <w:r w:rsidRPr="008873ED">
        <w:rPr>
          <w:rFonts w:ascii="Gill Sans MT" w:hAnsi="Gill Sans MT"/>
          <w:sz w:val="20"/>
          <w:lang w:val="en-GB"/>
        </w:rPr>
        <w:t xml:space="preserve">  </w:t>
      </w:r>
      <w:r>
        <w:rPr>
          <w:rFonts w:ascii="Gill Sans MT" w:hAnsi="Gill Sans MT"/>
          <w:sz w:val="20"/>
          <w:lang w:val="en-GB"/>
        </w:rPr>
        <w:t>The starting point for such a process must be a deeper discussion and debate of</w:t>
      </w:r>
      <w:r w:rsidR="005719E7">
        <w:rPr>
          <w:rFonts w:ascii="Gill Sans MT" w:hAnsi="Gill Sans MT"/>
          <w:sz w:val="20"/>
          <w:lang w:val="en-GB"/>
        </w:rPr>
        <w:t xml:space="preserve"> the results presented in this Synthesis Analysis</w:t>
      </w:r>
      <w:r>
        <w:rPr>
          <w:rFonts w:ascii="Gill Sans MT" w:hAnsi="Gill Sans MT"/>
          <w:sz w:val="20"/>
          <w:lang w:val="en-GB"/>
        </w:rPr>
        <w:t xml:space="preserve"> and in other related research. It is important that the results should be discussed, dissected, </w:t>
      </w:r>
      <w:r w:rsidR="005719E7">
        <w:rPr>
          <w:rFonts w:ascii="Gill Sans MT" w:hAnsi="Gill Sans MT"/>
          <w:sz w:val="20"/>
          <w:lang w:val="en-GB"/>
        </w:rPr>
        <w:t xml:space="preserve">and </w:t>
      </w:r>
      <w:r w:rsidR="00F80615">
        <w:rPr>
          <w:rFonts w:ascii="Gill Sans MT" w:hAnsi="Gill Sans MT"/>
          <w:sz w:val="20"/>
          <w:lang w:val="en-GB"/>
        </w:rPr>
        <w:t>crosschecked</w:t>
      </w:r>
      <w:r>
        <w:rPr>
          <w:rFonts w:ascii="Gill Sans MT" w:hAnsi="Gill Sans MT"/>
          <w:sz w:val="20"/>
          <w:lang w:val="en-GB"/>
        </w:rPr>
        <w:t xml:space="preserve"> and that additional research should be undertaken to test and refine the conclusions here presented. </w:t>
      </w:r>
    </w:p>
    <w:p w14:paraId="0AAFCEC5" w14:textId="77777777" w:rsidR="008F339F" w:rsidRDefault="008F339F" w:rsidP="002201BB">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Out of such a process, a collaborative framework should emerge to take forward the recommendations here presented. These recommendations demand actions by all budget support providers as well as by partner governments benefiting or wishing to benefit in future from budget support. The precise way in which recommendations are taken forward will evidently differ from stakeholder to stakeholder. The intention here is to present a series of lines of action which can serve as a guiding framework for this process.</w:t>
      </w:r>
    </w:p>
    <w:p w14:paraId="159C0827" w14:textId="0B67AB69" w:rsidR="008F339F" w:rsidRDefault="008F339F" w:rsidP="002201BB">
      <w:pPr>
        <w:pStyle w:val="BodyText"/>
        <w:numPr>
          <w:ilvl w:val="0"/>
          <w:numId w:val="2"/>
        </w:numPr>
        <w:spacing w:line="360" w:lineRule="auto"/>
        <w:ind w:left="499" w:hanging="357"/>
        <w:rPr>
          <w:rFonts w:ascii="Gill Sans MT" w:hAnsi="Gill Sans MT"/>
          <w:sz w:val="20"/>
          <w:lang w:val="en-GB"/>
        </w:rPr>
      </w:pPr>
      <w:r w:rsidRPr="002201BB">
        <w:rPr>
          <w:rFonts w:ascii="Gill Sans MT" w:hAnsi="Gill Sans MT"/>
          <w:sz w:val="20"/>
          <w:lang w:val="en-GB"/>
        </w:rPr>
        <w:t xml:space="preserve">We recommend a series of measures </w:t>
      </w:r>
      <w:r w:rsidR="00375CBD">
        <w:rPr>
          <w:rFonts w:ascii="Gill Sans MT" w:hAnsi="Gill Sans MT"/>
          <w:sz w:val="20"/>
          <w:lang w:val="en-GB"/>
        </w:rPr>
        <w:t>based around eight</w:t>
      </w:r>
      <w:r w:rsidRPr="002201BB">
        <w:rPr>
          <w:rFonts w:ascii="Gill Sans MT" w:hAnsi="Gill Sans MT"/>
          <w:sz w:val="20"/>
          <w:lang w:val="en-GB"/>
        </w:rPr>
        <w:t xml:space="preserve"> lines of action</w:t>
      </w:r>
      <w:r w:rsidRPr="00CE389B">
        <w:rPr>
          <w:rFonts w:ascii="Gill Sans MT" w:hAnsi="Gill Sans MT"/>
          <w:sz w:val="20"/>
          <w:lang w:val="en-GB"/>
        </w:rPr>
        <w:t>:</w:t>
      </w:r>
    </w:p>
    <w:p w14:paraId="1DF17691" w14:textId="77777777" w:rsidR="008F339F" w:rsidRDefault="008F339F" w:rsidP="002201BB">
      <w:pPr>
        <w:pStyle w:val="BodyText"/>
        <w:numPr>
          <w:ilvl w:val="0"/>
          <w:numId w:val="46"/>
        </w:numPr>
        <w:spacing w:line="360" w:lineRule="auto"/>
        <w:rPr>
          <w:rFonts w:ascii="Gill Sans MT" w:hAnsi="Gill Sans MT"/>
          <w:sz w:val="20"/>
          <w:lang w:val="en-GB"/>
        </w:rPr>
      </w:pPr>
      <w:r w:rsidRPr="00CE389B">
        <w:rPr>
          <w:rFonts w:ascii="Gill Sans MT" w:hAnsi="Gill Sans MT"/>
          <w:b/>
          <w:sz w:val="20"/>
          <w:lang w:val="en-GB"/>
        </w:rPr>
        <w:t>Create a</w:t>
      </w:r>
      <w:r>
        <w:rPr>
          <w:rFonts w:ascii="Gill Sans MT" w:hAnsi="Gill Sans MT"/>
          <w:b/>
          <w:sz w:val="20"/>
          <w:lang w:val="en-GB"/>
        </w:rPr>
        <w:t xml:space="preserve"> consensus on the need for learning </w:t>
      </w:r>
      <w:r w:rsidRPr="006E6CBD">
        <w:rPr>
          <w:rFonts w:ascii="Gill Sans MT" w:hAnsi="Gill Sans MT"/>
          <w:b/>
          <w:sz w:val="20"/>
          <w:lang w:val="en-GB"/>
        </w:rPr>
        <w:t>and policy adaptation</w:t>
      </w:r>
      <w:r>
        <w:rPr>
          <w:rFonts w:ascii="Gill Sans MT" w:hAnsi="Gill Sans MT"/>
          <w:sz w:val="20"/>
          <w:lang w:val="en-GB"/>
        </w:rPr>
        <w:t xml:space="preserve"> by disseminating the results of evaluations on budget support, increasing awareness of its benefits and limitations, and highlighting the actions needed to maximise its potential. </w:t>
      </w:r>
    </w:p>
    <w:p w14:paraId="535E6D92" w14:textId="77777777" w:rsidR="008F339F" w:rsidRPr="006E6CBD" w:rsidRDefault="008F339F" w:rsidP="002201BB">
      <w:pPr>
        <w:pStyle w:val="BodyText"/>
        <w:numPr>
          <w:ilvl w:val="0"/>
          <w:numId w:val="46"/>
        </w:numPr>
        <w:spacing w:line="360" w:lineRule="auto"/>
        <w:rPr>
          <w:rFonts w:ascii="Gill Sans MT" w:hAnsi="Gill Sans MT"/>
          <w:sz w:val="20"/>
          <w:lang w:val="en-GB"/>
        </w:rPr>
      </w:pPr>
      <w:r w:rsidRPr="006E6CBD">
        <w:rPr>
          <w:rFonts w:ascii="Gill Sans MT" w:hAnsi="Gill Sans MT"/>
          <w:b/>
          <w:sz w:val="20"/>
          <w:lang w:val="en-GB"/>
        </w:rPr>
        <w:t xml:space="preserve">Improve the </w:t>
      </w:r>
      <w:r>
        <w:rPr>
          <w:rFonts w:ascii="Gill Sans MT" w:hAnsi="Gill Sans MT"/>
          <w:b/>
          <w:sz w:val="20"/>
          <w:lang w:val="en-GB"/>
        </w:rPr>
        <w:t xml:space="preserve">management </w:t>
      </w:r>
      <w:r w:rsidRPr="006E6CBD">
        <w:rPr>
          <w:rFonts w:ascii="Gill Sans MT" w:hAnsi="Gill Sans MT"/>
          <w:b/>
          <w:sz w:val="20"/>
          <w:lang w:val="en-GB"/>
        </w:rPr>
        <w:t>proc</w:t>
      </w:r>
      <w:r>
        <w:rPr>
          <w:rFonts w:ascii="Gill Sans MT" w:hAnsi="Gill Sans MT"/>
          <w:b/>
          <w:sz w:val="20"/>
          <w:lang w:val="en-GB"/>
        </w:rPr>
        <w:t>esses for budget support and the related processes for identifying and mitigating risks</w:t>
      </w:r>
      <w:r w:rsidRPr="006E6CBD">
        <w:rPr>
          <w:rFonts w:ascii="Gill Sans MT" w:hAnsi="Gill Sans MT"/>
          <w:b/>
          <w:sz w:val="20"/>
          <w:lang w:val="en-GB"/>
        </w:rPr>
        <w:t>,</w:t>
      </w:r>
      <w:r>
        <w:rPr>
          <w:rFonts w:ascii="Gill Sans MT" w:hAnsi="Gill Sans MT"/>
          <w:sz w:val="20"/>
          <w:lang w:val="en-GB"/>
        </w:rPr>
        <w:t xml:space="preserve"> based upon a more structured analysis of the context and a more objective assessment of the appropriateness of different modalities, including the choice between General and Sector Budget Support.</w:t>
      </w:r>
    </w:p>
    <w:p w14:paraId="689E4C29" w14:textId="77777777" w:rsidR="008F339F" w:rsidRPr="006E6CBD" w:rsidRDefault="007C38F5" w:rsidP="002201BB">
      <w:pPr>
        <w:pStyle w:val="BodyText"/>
        <w:numPr>
          <w:ilvl w:val="0"/>
          <w:numId w:val="46"/>
        </w:numPr>
        <w:spacing w:line="360" w:lineRule="auto"/>
        <w:rPr>
          <w:rFonts w:ascii="Gill Sans MT" w:hAnsi="Gill Sans MT"/>
          <w:sz w:val="20"/>
          <w:lang w:val="en-GB"/>
        </w:rPr>
      </w:pPr>
      <w:r>
        <w:rPr>
          <w:rFonts w:ascii="Gill Sans MT" w:hAnsi="Gill Sans MT"/>
          <w:b/>
          <w:sz w:val="20"/>
          <w:lang w:val="en-GB"/>
        </w:rPr>
        <w:t>Focus</w:t>
      </w:r>
      <w:r w:rsidR="008F339F" w:rsidRPr="006A4A35">
        <w:rPr>
          <w:rFonts w:ascii="Gill Sans MT" w:hAnsi="Gill Sans MT"/>
          <w:b/>
          <w:sz w:val="20"/>
          <w:lang w:val="en-GB"/>
        </w:rPr>
        <w:t xml:space="preserve"> the reduction of income poverty and inequality as th</w:t>
      </w:r>
      <w:r w:rsidR="008F339F">
        <w:rPr>
          <w:rFonts w:ascii="Gill Sans MT" w:hAnsi="Gill Sans MT"/>
          <w:b/>
          <w:sz w:val="20"/>
          <w:lang w:val="en-GB"/>
        </w:rPr>
        <w:t xml:space="preserve">e primary goal of </w:t>
      </w:r>
      <w:r w:rsidR="008F339F" w:rsidRPr="006A4A35">
        <w:rPr>
          <w:rFonts w:ascii="Gill Sans MT" w:hAnsi="Gill Sans MT"/>
          <w:b/>
          <w:sz w:val="20"/>
          <w:lang w:val="en-GB"/>
        </w:rPr>
        <w:t>budget support</w:t>
      </w:r>
      <w:r w:rsidR="008F339F">
        <w:rPr>
          <w:rFonts w:ascii="Gill Sans MT" w:hAnsi="Gill Sans MT"/>
          <w:sz w:val="20"/>
          <w:lang w:val="en-GB"/>
        </w:rPr>
        <w:t xml:space="preserve">, strengthening the design and management processes for budget support so as to contribute more to this goal. </w:t>
      </w:r>
    </w:p>
    <w:p w14:paraId="1BDC9DBC" w14:textId="77777777" w:rsidR="008F339F" w:rsidRDefault="008F339F" w:rsidP="002201BB">
      <w:pPr>
        <w:pStyle w:val="BodyText"/>
        <w:numPr>
          <w:ilvl w:val="0"/>
          <w:numId w:val="46"/>
        </w:numPr>
        <w:spacing w:line="360" w:lineRule="auto"/>
        <w:rPr>
          <w:rFonts w:ascii="Gill Sans MT" w:hAnsi="Gill Sans MT"/>
          <w:sz w:val="20"/>
          <w:lang w:val="en-GB"/>
        </w:rPr>
      </w:pPr>
      <w:r>
        <w:rPr>
          <w:rFonts w:ascii="Gill Sans MT" w:hAnsi="Gill Sans MT"/>
          <w:b/>
          <w:sz w:val="20"/>
          <w:lang w:val="en-GB"/>
        </w:rPr>
        <w:t xml:space="preserve">Reinforce the partnership basis of budget support </w:t>
      </w:r>
      <w:r w:rsidRPr="00D9031B">
        <w:rPr>
          <w:rFonts w:ascii="Gill Sans MT" w:hAnsi="Gill Sans MT"/>
          <w:b/>
          <w:sz w:val="20"/>
          <w:lang w:val="en-GB"/>
        </w:rPr>
        <w:t>by taking steps to strengthen trust and confidence</w:t>
      </w:r>
      <w:r>
        <w:rPr>
          <w:rFonts w:ascii="Gill Sans MT" w:hAnsi="Gill Sans MT"/>
          <w:sz w:val="20"/>
          <w:lang w:val="en-GB"/>
        </w:rPr>
        <w:t xml:space="preserve"> in donor-government relations. </w:t>
      </w:r>
    </w:p>
    <w:p w14:paraId="799BEACB" w14:textId="77777777" w:rsidR="00375CBD" w:rsidRDefault="00375CBD" w:rsidP="00375CBD">
      <w:pPr>
        <w:pStyle w:val="BodyText"/>
        <w:numPr>
          <w:ilvl w:val="0"/>
          <w:numId w:val="46"/>
        </w:numPr>
        <w:spacing w:line="360" w:lineRule="auto"/>
        <w:rPr>
          <w:rFonts w:ascii="Gill Sans MT" w:hAnsi="Gill Sans MT"/>
          <w:sz w:val="20"/>
          <w:lang w:val="en-GB"/>
        </w:rPr>
      </w:pPr>
      <w:r w:rsidRPr="007C5E19">
        <w:rPr>
          <w:rFonts w:ascii="Gill Sans MT" w:hAnsi="Gill Sans MT"/>
          <w:b/>
          <w:sz w:val="20"/>
          <w:lang w:val="en-GB"/>
        </w:rPr>
        <w:t xml:space="preserve">Nurture </w:t>
      </w:r>
      <w:r>
        <w:rPr>
          <w:rFonts w:ascii="Gill Sans MT" w:hAnsi="Gill Sans MT"/>
          <w:b/>
          <w:sz w:val="20"/>
          <w:lang w:val="en-GB"/>
        </w:rPr>
        <w:t xml:space="preserve">strategic </w:t>
      </w:r>
      <w:r w:rsidRPr="007C5E19">
        <w:rPr>
          <w:rFonts w:ascii="Gill Sans MT" w:hAnsi="Gill Sans MT"/>
          <w:b/>
          <w:sz w:val="20"/>
          <w:lang w:val="en-GB"/>
        </w:rPr>
        <w:t>problem-solving dialogue</w:t>
      </w:r>
      <w:r>
        <w:rPr>
          <w:rFonts w:ascii="Gill Sans MT" w:hAnsi="Gill Sans MT"/>
          <w:b/>
          <w:sz w:val="20"/>
          <w:lang w:val="en-GB"/>
        </w:rPr>
        <w:t xml:space="preserve"> </w:t>
      </w:r>
      <w:r w:rsidRPr="007C5E19">
        <w:rPr>
          <w:rFonts w:ascii="Gill Sans MT" w:hAnsi="Gill Sans MT"/>
          <w:sz w:val="20"/>
          <w:lang w:val="en-GB"/>
        </w:rPr>
        <w:t xml:space="preserve">by developing a </w:t>
      </w:r>
      <w:r>
        <w:rPr>
          <w:rFonts w:ascii="Gill Sans MT" w:hAnsi="Gill Sans MT"/>
          <w:sz w:val="20"/>
          <w:lang w:val="en-GB"/>
        </w:rPr>
        <w:t>comprehensive</w:t>
      </w:r>
      <w:r w:rsidRPr="007C5E19">
        <w:rPr>
          <w:rFonts w:ascii="Gill Sans MT" w:hAnsi="Gill Sans MT"/>
          <w:sz w:val="20"/>
          <w:lang w:val="en-GB"/>
        </w:rPr>
        <w:t xml:space="preserve"> approach to policy dialogue and a related set of processes and capabilities.</w:t>
      </w:r>
      <w:r>
        <w:rPr>
          <w:rFonts w:ascii="Gill Sans MT" w:hAnsi="Gill Sans MT"/>
          <w:sz w:val="20"/>
          <w:lang w:val="en-GB"/>
        </w:rPr>
        <w:t xml:space="preserve"> Such a dialogue should be framed within a medium to long term perspective, should respect </w:t>
      </w:r>
      <w:r>
        <w:rPr>
          <w:rFonts w:ascii="Gill Sans MT" w:hAnsi="Gill Sans MT"/>
          <w:sz w:val="20"/>
          <w:lang w:val="en-GB"/>
        </w:rPr>
        <w:lastRenderedPageBreak/>
        <w:t>country ownership of the policy process, and should give due attention to implementation capacities.</w:t>
      </w:r>
    </w:p>
    <w:p w14:paraId="6D8B621B" w14:textId="272AF646" w:rsidR="00375CBD" w:rsidRPr="003B28D2" w:rsidRDefault="003B28D2" w:rsidP="003B28D2">
      <w:pPr>
        <w:pStyle w:val="BodyText"/>
        <w:numPr>
          <w:ilvl w:val="0"/>
          <w:numId w:val="46"/>
        </w:numPr>
        <w:spacing w:line="360" w:lineRule="auto"/>
        <w:rPr>
          <w:rFonts w:ascii="Gill Sans MT" w:hAnsi="Gill Sans MT"/>
          <w:sz w:val="20"/>
          <w:lang w:val="en-GB"/>
        </w:rPr>
      </w:pPr>
      <w:r>
        <w:rPr>
          <w:rFonts w:ascii="Gill Sans MT" w:hAnsi="Gill Sans MT"/>
          <w:b/>
          <w:sz w:val="20"/>
          <w:lang w:val="en-GB"/>
        </w:rPr>
        <w:t xml:space="preserve">Use </w:t>
      </w:r>
      <w:r w:rsidRPr="00C56114">
        <w:rPr>
          <w:rFonts w:ascii="Gill Sans MT" w:hAnsi="Gill Sans MT"/>
          <w:b/>
          <w:sz w:val="20"/>
          <w:lang w:val="en-GB"/>
        </w:rPr>
        <w:t>Budget S</w:t>
      </w:r>
      <w:r>
        <w:rPr>
          <w:rFonts w:ascii="Gill Sans MT" w:hAnsi="Gill Sans MT"/>
          <w:b/>
          <w:sz w:val="20"/>
          <w:lang w:val="en-GB"/>
        </w:rPr>
        <w:t xml:space="preserve">upport to </w:t>
      </w:r>
      <w:r w:rsidRPr="00C56114">
        <w:rPr>
          <w:rFonts w:ascii="Gill Sans MT" w:hAnsi="Gill Sans MT"/>
          <w:b/>
          <w:sz w:val="20"/>
          <w:lang w:val="en-GB"/>
        </w:rPr>
        <w:t>promote greater social accountability in relation to public budgets and public policy decisions</w:t>
      </w:r>
      <w:r>
        <w:rPr>
          <w:rFonts w:ascii="Gill Sans MT" w:hAnsi="Gill Sans MT"/>
          <w:sz w:val="20"/>
          <w:lang w:val="en-GB"/>
        </w:rPr>
        <w:t xml:space="preserve">. As a minimum, it is vital to </w:t>
      </w:r>
      <w:r w:rsidRPr="00620D99">
        <w:rPr>
          <w:rFonts w:ascii="Gill Sans MT" w:hAnsi="Gill Sans MT"/>
          <w:sz w:val="20"/>
          <w:lang w:val="en-GB"/>
        </w:rPr>
        <w:t>ensure that civil society and the media are given systematic access to the policy documents, progress reports and conclusions, emerging from the policy dialogue process</w:t>
      </w:r>
      <w:r>
        <w:rPr>
          <w:rFonts w:ascii="Gill Sans MT" w:hAnsi="Gill Sans MT"/>
          <w:b/>
          <w:sz w:val="20"/>
          <w:lang w:val="en-GB"/>
        </w:rPr>
        <w:t xml:space="preserve">, </w:t>
      </w:r>
      <w:r>
        <w:rPr>
          <w:rFonts w:ascii="Gill Sans MT" w:hAnsi="Gill Sans MT"/>
          <w:sz w:val="20"/>
          <w:lang w:val="en-GB"/>
        </w:rPr>
        <w:t>so as to be able</w:t>
      </w:r>
      <w:r>
        <w:rPr>
          <w:rFonts w:ascii="Gill Sans MT" w:hAnsi="Gill Sans MT"/>
          <w:b/>
          <w:sz w:val="20"/>
          <w:lang w:val="en-GB"/>
        </w:rPr>
        <w:t xml:space="preserve"> </w:t>
      </w:r>
      <w:r w:rsidRPr="0063161C">
        <w:rPr>
          <w:rFonts w:ascii="Gill Sans MT" w:hAnsi="Gill Sans MT"/>
          <w:sz w:val="20"/>
          <w:lang w:val="en-GB"/>
        </w:rPr>
        <w:t>to participate in this dialogue and assist in monitoring the implementation of agreed reforms and policy actions.</w:t>
      </w:r>
    </w:p>
    <w:p w14:paraId="173FA976" w14:textId="77777777" w:rsidR="008F339F" w:rsidRPr="00D119D6" w:rsidRDefault="008F339F" w:rsidP="002201BB">
      <w:pPr>
        <w:pStyle w:val="BodyText"/>
        <w:numPr>
          <w:ilvl w:val="0"/>
          <w:numId w:val="46"/>
        </w:numPr>
        <w:spacing w:line="360" w:lineRule="auto"/>
        <w:rPr>
          <w:rFonts w:ascii="Gill Sans MT" w:hAnsi="Gill Sans MT"/>
          <w:sz w:val="20"/>
          <w:lang w:val="en-GB"/>
        </w:rPr>
      </w:pPr>
      <w:r>
        <w:rPr>
          <w:rFonts w:ascii="Gill Sans MT" w:hAnsi="Gill Sans MT"/>
          <w:b/>
          <w:sz w:val="20"/>
          <w:lang w:val="en-GB"/>
        </w:rPr>
        <w:t>Increase the value-added of the technical assistance/</w:t>
      </w:r>
      <w:r w:rsidR="002D48F9">
        <w:rPr>
          <w:rFonts w:ascii="Gill Sans MT" w:hAnsi="Gill Sans MT"/>
          <w:b/>
          <w:sz w:val="20"/>
          <w:lang w:val="en-GB"/>
        </w:rPr>
        <w:t xml:space="preserve"> </w:t>
      </w:r>
      <w:r>
        <w:rPr>
          <w:rFonts w:ascii="Gill Sans MT" w:hAnsi="Gill Sans MT"/>
          <w:b/>
          <w:sz w:val="20"/>
          <w:lang w:val="en-GB"/>
        </w:rPr>
        <w:t xml:space="preserve">capacity development inputs of budget support </w:t>
      </w:r>
      <w:r>
        <w:rPr>
          <w:rFonts w:ascii="Gill Sans MT" w:hAnsi="Gill Sans MT"/>
          <w:sz w:val="20"/>
          <w:lang w:val="en-GB"/>
        </w:rPr>
        <w:t xml:space="preserve">by identifying capacity development (CD) needs more carefully, planning the </w:t>
      </w:r>
      <w:r w:rsidRPr="00A07B40">
        <w:rPr>
          <w:rFonts w:ascii="Gill Sans MT" w:hAnsi="Gill Sans MT"/>
          <w:sz w:val="20"/>
          <w:lang w:val="en-GB"/>
        </w:rPr>
        <w:t>use of T</w:t>
      </w:r>
      <w:r>
        <w:rPr>
          <w:rFonts w:ascii="Gill Sans MT" w:hAnsi="Gill Sans MT"/>
          <w:sz w:val="20"/>
          <w:lang w:val="en-GB"/>
        </w:rPr>
        <w:t>A/ CD</w:t>
      </w:r>
      <w:r w:rsidRPr="00A07B40">
        <w:rPr>
          <w:rFonts w:ascii="Gill Sans MT" w:hAnsi="Gill Sans MT"/>
          <w:sz w:val="20"/>
          <w:lang w:val="en-GB"/>
        </w:rPr>
        <w:t xml:space="preserve"> inputs</w:t>
      </w:r>
      <w:r>
        <w:rPr>
          <w:rFonts w:ascii="Gill Sans MT" w:hAnsi="Gill Sans MT"/>
          <w:sz w:val="20"/>
          <w:lang w:val="en-GB"/>
        </w:rPr>
        <w:t xml:space="preserve"> more strategically and developing more </w:t>
      </w:r>
      <w:r w:rsidRPr="00A07B40">
        <w:rPr>
          <w:rFonts w:ascii="Gill Sans MT" w:hAnsi="Gill Sans MT"/>
          <w:sz w:val="20"/>
          <w:szCs w:val="12"/>
        </w:rPr>
        <w:t>flexible arrangements for responding to identified needs in an agile manner</w:t>
      </w:r>
      <w:r>
        <w:rPr>
          <w:rFonts w:ascii="Gill Sans MT" w:hAnsi="Gill Sans MT"/>
          <w:sz w:val="20"/>
          <w:szCs w:val="12"/>
        </w:rPr>
        <w:t>.</w:t>
      </w:r>
    </w:p>
    <w:p w14:paraId="0054CCE4" w14:textId="77777777" w:rsidR="008F339F" w:rsidRDefault="008F339F" w:rsidP="002201BB">
      <w:pPr>
        <w:pStyle w:val="BodyText"/>
        <w:numPr>
          <w:ilvl w:val="0"/>
          <w:numId w:val="46"/>
        </w:numPr>
        <w:spacing w:line="360" w:lineRule="auto"/>
        <w:rPr>
          <w:rFonts w:ascii="Gill Sans MT" w:hAnsi="Gill Sans MT"/>
          <w:sz w:val="20"/>
          <w:lang w:val="en-GB"/>
        </w:rPr>
      </w:pPr>
      <w:r>
        <w:rPr>
          <w:rFonts w:ascii="Gill Sans MT" w:hAnsi="Gill Sans MT"/>
          <w:b/>
          <w:sz w:val="20"/>
          <w:lang w:val="en-GB"/>
        </w:rPr>
        <w:t xml:space="preserve">Simplify the design and management structures for budget support and enhance donor-donor harmonisation </w:t>
      </w:r>
      <w:r w:rsidRPr="00726028">
        <w:rPr>
          <w:rFonts w:ascii="Gill Sans MT" w:hAnsi="Gill Sans MT"/>
          <w:sz w:val="20"/>
          <w:lang w:val="en-GB"/>
        </w:rPr>
        <w:t>so as to eliminate the inefficiencies</w:t>
      </w:r>
      <w:r>
        <w:rPr>
          <w:rFonts w:ascii="Gill Sans MT" w:hAnsi="Gill Sans MT"/>
          <w:sz w:val="20"/>
          <w:lang w:val="en-GB"/>
        </w:rPr>
        <w:t>,</w:t>
      </w:r>
      <w:r w:rsidRPr="00726028">
        <w:rPr>
          <w:rFonts w:ascii="Gill Sans MT" w:hAnsi="Gill Sans MT"/>
          <w:sz w:val="20"/>
          <w:lang w:val="en-GB"/>
        </w:rPr>
        <w:t xml:space="preserve"> which create unnecessary transaction costs and undermine predictability of disbursements.</w:t>
      </w:r>
    </w:p>
    <w:p w14:paraId="50450312" w14:textId="77777777" w:rsidR="008F339F" w:rsidRPr="009151C2" w:rsidRDefault="008F339F" w:rsidP="008F339F">
      <w:pPr>
        <w:pStyle w:val="Heading3"/>
      </w:pPr>
      <w:r w:rsidRPr="009151C2">
        <w:t>Creating a consensus on the need for learning and policy adaptation</w:t>
      </w:r>
    </w:p>
    <w:p w14:paraId="0293A4E2" w14:textId="77777777" w:rsidR="008F339F" w:rsidRPr="00E80ADF" w:rsidRDefault="008F339F" w:rsidP="0013361E">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Budget support is utilised in more than 80 developing and transition countries across the World, provided by some 25 development agencies and banks. Any attempt to reform the way budget support is designed and managed will need these stakeholders to reach a broad consensus on the changes that are needed to maximise its potential as an instrument of development. Many of the shortcomings we have identified are the result of unrealistic expectations and/ or the lack of an adequate level of preparedness (in terms of policies, capabilities and expectations) to manage the risks of budget support and follow its philosophy effectively. The first step towards correcting this is to share information more widely and promote learning from the evaluations undertaken. </w:t>
      </w:r>
      <w:r w:rsidRPr="00E80ADF">
        <w:rPr>
          <w:rFonts w:ascii="Gill Sans MT" w:hAnsi="Gill Sans MT"/>
          <w:sz w:val="20"/>
          <w:lang w:val="en-GB"/>
        </w:rPr>
        <w:t>We therefore recommend:</w:t>
      </w:r>
    </w:p>
    <w:p w14:paraId="75291DB5" w14:textId="77777777" w:rsidR="008F339F" w:rsidRDefault="008F339F" w:rsidP="008F339F">
      <w:pPr>
        <w:pStyle w:val="BodyText"/>
        <w:numPr>
          <w:ilvl w:val="0"/>
          <w:numId w:val="42"/>
        </w:numPr>
        <w:spacing w:line="360" w:lineRule="auto"/>
        <w:rPr>
          <w:rFonts w:ascii="Gill Sans MT" w:hAnsi="Gill Sans MT"/>
          <w:sz w:val="20"/>
          <w:lang w:val="en-GB"/>
        </w:rPr>
      </w:pPr>
      <w:r>
        <w:rPr>
          <w:rFonts w:ascii="Gill Sans MT" w:hAnsi="Gill Sans MT"/>
          <w:sz w:val="20"/>
          <w:lang w:val="en-GB"/>
        </w:rPr>
        <w:t xml:space="preserve">Firstly, that this synthesis and the seven evaluation reports should be distributed and publicised as widely as possible, using appropriate ICT and social media channels; </w:t>
      </w:r>
    </w:p>
    <w:p w14:paraId="45659E05" w14:textId="77777777" w:rsidR="008F339F" w:rsidRPr="000777BE" w:rsidRDefault="008F339F" w:rsidP="008F339F">
      <w:pPr>
        <w:pStyle w:val="BodyText"/>
        <w:numPr>
          <w:ilvl w:val="0"/>
          <w:numId w:val="42"/>
        </w:numPr>
        <w:spacing w:line="360" w:lineRule="auto"/>
        <w:rPr>
          <w:rFonts w:ascii="Gill Sans MT" w:hAnsi="Gill Sans MT"/>
          <w:sz w:val="20"/>
          <w:lang w:val="en-GB"/>
        </w:rPr>
      </w:pPr>
      <w:r>
        <w:rPr>
          <w:rFonts w:ascii="Gill Sans MT" w:hAnsi="Gill Sans MT"/>
          <w:sz w:val="20"/>
          <w:lang w:val="en-GB"/>
        </w:rPr>
        <w:t>Secondly, that a series of seminars should be organised to discuss and take forward the conclusions of this synthesis report.</w:t>
      </w:r>
    </w:p>
    <w:p w14:paraId="666BFA8F" w14:textId="77777777" w:rsidR="008F339F" w:rsidRPr="009151C2" w:rsidRDefault="008F339F" w:rsidP="008F339F">
      <w:pPr>
        <w:pStyle w:val="Heading3"/>
      </w:pPr>
      <w:r w:rsidRPr="00821A7A">
        <w:t>Impro</w:t>
      </w:r>
      <w:r>
        <w:t>ve donors’ management processes for budget support</w:t>
      </w:r>
    </w:p>
    <w:p w14:paraId="57782A7F" w14:textId="77777777" w:rsidR="008F339F" w:rsidRPr="00A34F6D" w:rsidRDefault="008F339F" w:rsidP="0013361E">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Many countries benefitting from budget support have weaknesses in democratic governance, shortcomings in their political frameworks and significant capacity limitations. This need not be a reason for avoiding budget support but it does demand a heightened awareness of risks, a corresponding adaptation of the scale and structure of budget support operations and of donor implementation capabilities. </w:t>
      </w:r>
      <w:r w:rsidRPr="00A34F6D">
        <w:rPr>
          <w:rFonts w:ascii="Gill Sans MT" w:hAnsi="Gill Sans MT"/>
          <w:sz w:val="20"/>
          <w:lang w:val="en-GB"/>
        </w:rPr>
        <w:t>In these evaluations</w:t>
      </w:r>
      <w:r>
        <w:rPr>
          <w:rFonts w:ascii="Gill Sans MT" w:hAnsi="Gill Sans MT"/>
          <w:sz w:val="20"/>
          <w:lang w:val="en-GB"/>
        </w:rPr>
        <w:t>, donors</w:t>
      </w:r>
      <w:r w:rsidRPr="00A34F6D">
        <w:rPr>
          <w:rFonts w:ascii="Gill Sans MT" w:hAnsi="Gill Sans MT"/>
          <w:sz w:val="20"/>
          <w:lang w:val="en-GB"/>
        </w:rPr>
        <w:t xml:space="preserve"> were sometimes found to be poorly prepared to manage the risks of budget support and to engage with the implementation </w:t>
      </w:r>
      <w:r w:rsidRPr="00A34F6D">
        <w:rPr>
          <w:rFonts w:ascii="Gill Sans MT" w:hAnsi="Gill Sans MT"/>
          <w:sz w:val="20"/>
          <w:lang w:val="en-GB"/>
        </w:rPr>
        <w:lastRenderedPageBreak/>
        <w:t>challenges. Some agencies are better prep</w:t>
      </w:r>
      <w:r>
        <w:rPr>
          <w:rFonts w:ascii="Gill Sans MT" w:hAnsi="Gill Sans MT"/>
          <w:sz w:val="20"/>
          <w:lang w:val="en-GB"/>
        </w:rPr>
        <w:t xml:space="preserve">ared than others but for many </w:t>
      </w:r>
      <w:r w:rsidRPr="00A34F6D">
        <w:rPr>
          <w:rFonts w:ascii="Gill Sans MT" w:hAnsi="Gill Sans MT"/>
          <w:sz w:val="20"/>
          <w:lang w:val="en-GB"/>
        </w:rPr>
        <w:t>the benefits of budget support would be increased and the risks reduced through improvements in</w:t>
      </w:r>
      <w:r>
        <w:rPr>
          <w:rFonts w:ascii="Gill Sans MT" w:hAnsi="Gill Sans MT"/>
          <w:sz w:val="20"/>
          <w:lang w:val="en-GB"/>
        </w:rPr>
        <w:t xml:space="preserve"> management </w:t>
      </w:r>
      <w:r w:rsidRPr="00A34F6D">
        <w:rPr>
          <w:rFonts w:ascii="Gill Sans MT" w:hAnsi="Gill Sans MT"/>
          <w:sz w:val="20"/>
          <w:lang w:val="en-GB"/>
        </w:rPr>
        <w:t>processes</w:t>
      </w:r>
      <w:r>
        <w:rPr>
          <w:rFonts w:ascii="Gill Sans MT" w:hAnsi="Gill Sans MT"/>
          <w:sz w:val="20"/>
          <w:lang w:val="en-GB"/>
        </w:rPr>
        <w:t xml:space="preserve">. We </w:t>
      </w:r>
      <w:r w:rsidRPr="00A34F6D">
        <w:rPr>
          <w:rFonts w:ascii="Gill Sans MT" w:hAnsi="Gill Sans MT"/>
          <w:sz w:val="20"/>
          <w:lang w:val="en-GB"/>
        </w:rPr>
        <w:t xml:space="preserve">recommend consideration of the following actions: </w:t>
      </w:r>
    </w:p>
    <w:p w14:paraId="38032F37" w14:textId="77777777" w:rsidR="008F339F" w:rsidRDefault="008F339F" w:rsidP="008F339F">
      <w:pPr>
        <w:pStyle w:val="BodyText"/>
        <w:numPr>
          <w:ilvl w:val="0"/>
          <w:numId w:val="42"/>
        </w:numPr>
        <w:spacing w:line="360" w:lineRule="auto"/>
        <w:rPr>
          <w:rFonts w:ascii="Gill Sans MT" w:hAnsi="Gill Sans MT"/>
          <w:sz w:val="20"/>
          <w:lang w:val="en-GB"/>
        </w:rPr>
      </w:pPr>
      <w:r>
        <w:rPr>
          <w:rFonts w:ascii="Gill Sans MT" w:hAnsi="Gill Sans MT"/>
          <w:sz w:val="20"/>
          <w:lang w:val="en-GB"/>
        </w:rPr>
        <w:t>A review of existing guidelines and procedures for the management cycle of budget support, from feasibility and design work, through formulation to implementation, monitoring and evaluation. Such reviews might usefully be managed as peer-to-peer processes, involving two or more agencies reviewing each other’s procedures.</w:t>
      </w:r>
    </w:p>
    <w:p w14:paraId="6D372C17" w14:textId="77777777" w:rsidR="008F339F" w:rsidRDefault="008F339F" w:rsidP="008F339F">
      <w:pPr>
        <w:pStyle w:val="BodyText"/>
        <w:numPr>
          <w:ilvl w:val="0"/>
          <w:numId w:val="42"/>
        </w:numPr>
        <w:spacing w:line="360" w:lineRule="auto"/>
        <w:rPr>
          <w:rFonts w:ascii="Gill Sans MT" w:hAnsi="Gill Sans MT"/>
          <w:sz w:val="20"/>
          <w:lang w:val="en-GB"/>
        </w:rPr>
      </w:pPr>
      <w:r>
        <w:rPr>
          <w:rFonts w:ascii="Gill Sans MT" w:hAnsi="Gill Sans MT"/>
          <w:sz w:val="20"/>
          <w:lang w:val="en-GB"/>
        </w:rPr>
        <w:t>The introduction into current procedures of a more structured analysis of the context for budget support, including</w:t>
      </w:r>
      <w:r w:rsidR="007C38F5">
        <w:rPr>
          <w:rFonts w:ascii="Gill Sans MT" w:hAnsi="Gill Sans MT"/>
          <w:sz w:val="20"/>
          <w:lang w:val="en-GB"/>
        </w:rPr>
        <w:t xml:space="preserve"> political economy analysis, </w:t>
      </w:r>
      <w:r>
        <w:rPr>
          <w:rFonts w:ascii="Gill Sans MT" w:hAnsi="Gill Sans MT"/>
          <w:sz w:val="20"/>
          <w:lang w:val="en-GB"/>
        </w:rPr>
        <w:t>an assessment of the quality of donor-donor relations</w:t>
      </w:r>
      <w:r w:rsidR="007C38F5">
        <w:rPr>
          <w:rFonts w:ascii="Gill Sans MT" w:hAnsi="Gill Sans MT"/>
          <w:sz w:val="20"/>
          <w:lang w:val="en-GB"/>
        </w:rPr>
        <w:t xml:space="preserve"> and donor-government relations, and a more objective assessment of the appropriateness of different aid modalities.</w:t>
      </w:r>
    </w:p>
    <w:p w14:paraId="78A369C2" w14:textId="77777777" w:rsidR="008F339F" w:rsidRPr="002803F1" w:rsidRDefault="008F339F" w:rsidP="008F339F">
      <w:pPr>
        <w:pStyle w:val="BodyText"/>
        <w:numPr>
          <w:ilvl w:val="0"/>
          <w:numId w:val="42"/>
        </w:numPr>
        <w:spacing w:line="360" w:lineRule="auto"/>
        <w:rPr>
          <w:rFonts w:ascii="Gill Sans MT" w:hAnsi="Gill Sans MT"/>
          <w:sz w:val="20"/>
          <w:lang w:val="en-GB"/>
        </w:rPr>
      </w:pPr>
      <w:r>
        <w:rPr>
          <w:rFonts w:ascii="Gill Sans MT" w:hAnsi="Gill Sans MT"/>
          <w:sz w:val="20"/>
          <w:lang w:val="en-GB"/>
        </w:rPr>
        <w:t>The introduction of more precise criteria for choosing between SBS or GBS, based upon their respective merits and their appropriateness to the context.</w:t>
      </w:r>
    </w:p>
    <w:p w14:paraId="301D3DF9" w14:textId="77777777" w:rsidR="008F339F" w:rsidRPr="00821A7A" w:rsidRDefault="007C38F5" w:rsidP="008F339F">
      <w:pPr>
        <w:pStyle w:val="Heading3"/>
      </w:pPr>
      <w:r>
        <w:t xml:space="preserve">Focus on </w:t>
      </w:r>
      <w:r w:rsidR="008F339F">
        <w:t>reduction of income poverty and inequality as the primary goal</w:t>
      </w:r>
    </w:p>
    <w:p w14:paraId="6CDF5518" w14:textId="77777777" w:rsidR="008F339F" w:rsidRPr="00DE35C0" w:rsidRDefault="008F339F" w:rsidP="0013361E">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T</w:t>
      </w:r>
      <w:r w:rsidRPr="0013361E">
        <w:rPr>
          <w:rFonts w:ascii="Gill Sans MT" w:hAnsi="Gill Sans MT"/>
          <w:sz w:val="20"/>
          <w:lang w:val="en-GB"/>
        </w:rPr>
        <w:t xml:space="preserve">he inability of the budget support dialogue to generate a focused and realistic programme of actions to reduce income poverty was perhaps the major shortcoming of the instrument within the LICs. In no country is it a straightforward task to reduce poverty and inequality but none of the low income countries actually followed a detailed set of public policies aimed at reducing income poverty. All had poverty reduction strategies but these were in the nature of aspirational plans rather than true strategies built on analysis of the </w:t>
      </w:r>
      <w:r w:rsidR="00B12F05" w:rsidRPr="0013361E">
        <w:rPr>
          <w:rFonts w:ascii="Gill Sans MT" w:hAnsi="Gill Sans MT"/>
          <w:sz w:val="20"/>
          <w:lang w:val="en-GB"/>
        </w:rPr>
        <w:t>micro foundations</w:t>
      </w:r>
      <w:r w:rsidRPr="0013361E">
        <w:rPr>
          <w:rFonts w:ascii="Gill Sans MT" w:hAnsi="Gill Sans MT"/>
          <w:sz w:val="20"/>
          <w:lang w:val="en-GB"/>
        </w:rPr>
        <w:t xml:space="preserve"> of balanced growth. The budget support dialogue proved unable to address this problem in part because of weaknesses in the quality of that policy dialogue but also because the goal of income poverty reduction did not always take centre stage. </w:t>
      </w:r>
    </w:p>
    <w:p w14:paraId="4ED0592D" w14:textId="77777777" w:rsidR="008F339F" w:rsidRDefault="008F339F" w:rsidP="0013361E">
      <w:pPr>
        <w:pStyle w:val="BodyText"/>
        <w:numPr>
          <w:ilvl w:val="0"/>
          <w:numId w:val="2"/>
        </w:numPr>
        <w:spacing w:line="360" w:lineRule="auto"/>
        <w:ind w:left="499" w:hanging="357"/>
        <w:rPr>
          <w:rFonts w:ascii="Gill Sans MT" w:hAnsi="Gill Sans MT"/>
          <w:sz w:val="20"/>
          <w:lang w:val="en-GB"/>
        </w:rPr>
      </w:pPr>
      <w:r w:rsidRPr="002D48F9">
        <w:rPr>
          <w:rFonts w:ascii="Gill Sans MT" w:hAnsi="Gill Sans MT"/>
          <w:b/>
          <w:sz w:val="20"/>
          <w:lang w:val="en-GB"/>
        </w:rPr>
        <w:t>We recommend that the reduction of income poverty and of inequality should be re-asserted as the primary goal of budget support.</w:t>
      </w:r>
      <w:r w:rsidRPr="0013361E">
        <w:rPr>
          <w:rFonts w:ascii="Gill Sans MT" w:hAnsi="Gill Sans MT"/>
          <w:sz w:val="20"/>
          <w:lang w:val="en-GB"/>
        </w:rPr>
        <w:t xml:space="preserve"> This would entail, in most countries, increased attention to agriculture and the productive sectors, as well as to infrastructure and employment creation.</w:t>
      </w:r>
      <w:r w:rsidR="007C38F5">
        <w:rPr>
          <w:rFonts w:ascii="Gill Sans MT" w:hAnsi="Gill Sans MT"/>
          <w:sz w:val="20"/>
          <w:lang w:val="en-GB"/>
        </w:rPr>
        <w:t xml:space="preserve"> It need not necessarily entail reduced attention to social welfare and non-income poverty but it does require more careful attention to the constraints faced by the poor and more precise analysis of the public policy and spending actions, which might relieve these constraints. </w:t>
      </w:r>
    </w:p>
    <w:p w14:paraId="29F9FD13" w14:textId="77777777" w:rsidR="008F339F" w:rsidRPr="00821A7A" w:rsidRDefault="008F339F" w:rsidP="008F339F">
      <w:pPr>
        <w:pStyle w:val="Heading3"/>
      </w:pPr>
      <w:r>
        <w:t>Reinforce the partnership basis of budget support</w:t>
      </w:r>
    </w:p>
    <w:p w14:paraId="766E80B0" w14:textId="77777777" w:rsidR="008F339F" w:rsidRPr="00DA2FF2" w:rsidRDefault="008F339F" w:rsidP="0013361E">
      <w:pPr>
        <w:pStyle w:val="BodyText"/>
        <w:numPr>
          <w:ilvl w:val="0"/>
          <w:numId w:val="2"/>
        </w:numPr>
        <w:spacing w:line="360" w:lineRule="auto"/>
        <w:ind w:left="499" w:hanging="357"/>
        <w:rPr>
          <w:rFonts w:ascii="Gill Sans MT" w:hAnsi="Gill Sans MT"/>
          <w:sz w:val="20"/>
          <w:lang w:val="en-GB"/>
        </w:rPr>
      </w:pPr>
      <w:r w:rsidRPr="002D48F9">
        <w:rPr>
          <w:rFonts w:ascii="Gill Sans MT" w:hAnsi="Gill Sans MT"/>
          <w:b/>
          <w:sz w:val="20"/>
          <w:lang w:val="en-GB"/>
        </w:rPr>
        <w:t>A key lesson was that trust and confidence in donor-government relations are essential for an open and honest policy dialogue.</w:t>
      </w:r>
      <w:r w:rsidRPr="0013361E">
        <w:rPr>
          <w:rFonts w:ascii="Gill Sans MT" w:hAnsi="Gill Sans MT"/>
          <w:sz w:val="20"/>
          <w:lang w:val="en-GB"/>
        </w:rPr>
        <w:t xml:space="preserve"> Governments and donors will always have differences in their policy priorities but where the main issues of agreement and disagreement can be put on the table, dialogue can proceed constructively. This can only occur </w:t>
      </w:r>
      <w:r w:rsidRPr="0013361E">
        <w:rPr>
          <w:rFonts w:ascii="Gill Sans MT" w:hAnsi="Gill Sans MT"/>
          <w:sz w:val="20"/>
          <w:lang w:val="en-GB"/>
        </w:rPr>
        <w:lastRenderedPageBreak/>
        <w:t xml:space="preserve">where there is a genuine partnership and a firm base of trust and confidence based on mutual respect. </w:t>
      </w:r>
    </w:p>
    <w:p w14:paraId="084BE863" w14:textId="77777777" w:rsidR="008F339F" w:rsidRDefault="008F339F" w:rsidP="0013361E">
      <w:pPr>
        <w:pStyle w:val="BodyText"/>
        <w:numPr>
          <w:ilvl w:val="0"/>
          <w:numId w:val="2"/>
        </w:numPr>
        <w:spacing w:line="360" w:lineRule="auto"/>
        <w:ind w:left="499" w:hanging="357"/>
        <w:rPr>
          <w:rFonts w:ascii="Gill Sans MT" w:hAnsi="Gill Sans MT"/>
          <w:sz w:val="20"/>
          <w:lang w:val="en-GB"/>
        </w:rPr>
      </w:pPr>
      <w:r w:rsidRPr="0013361E">
        <w:rPr>
          <w:rFonts w:ascii="Gill Sans MT" w:hAnsi="Gill Sans MT"/>
          <w:sz w:val="20"/>
          <w:lang w:val="en-GB"/>
        </w:rPr>
        <w:t>We recommend that actions should be taken to reinforce the partnership basis of budget support and to address the factors that have tended to undermine trust and confidence in donor-government relations. Specifically, we recommend the following:</w:t>
      </w:r>
    </w:p>
    <w:p w14:paraId="631EC899" w14:textId="77777777" w:rsidR="008F339F" w:rsidRDefault="008F339F" w:rsidP="008F339F">
      <w:pPr>
        <w:pStyle w:val="BodyText"/>
        <w:numPr>
          <w:ilvl w:val="0"/>
          <w:numId w:val="43"/>
        </w:numPr>
        <w:spacing w:line="360" w:lineRule="auto"/>
        <w:rPr>
          <w:rFonts w:ascii="Gill Sans MT" w:hAnsi="Gill Sans MT"/>
          <w:sz w:val="20"/>
          <w:lang w:val="en-GB"/>
        </w:rPr>
      </w:pPr>
      <w:r w:rsidRPr="00943FC4">
        <w:rPr>
          <w:rFonts w:ascii="Gill Sans MT" w:hAnsi="Gill Sans MT"/>
          <w:sz w:val="20"/>
          <w:lang w:val="en-GB"/>
        </w:rPr>
        <w:t>Steps should be taken to re-assert the fundamental importance</w:t>
      </w:r>
      <w:r>
        <w:rPr>
          <w:rFonts w:ascii="Gill Sans MT" w:hAnsi="Gill Sans MT"/>
          <w:sz w:val="20"/>
          <w:lang w:val="en-GB"/>
        </w:rPr>
        <w:t xml:space="preserve"> </w:t>
      </w:r>
      <w:r w:rsidRPr="00943FC4">
        <w:rPr>
          <w:rFonts w:ascii="Gill Sans MT" w:hAnsi="Gill Sans MT"/>
          <w:sz w:val="20"/>
          <w:lang w:val="en-GB"/>
        </w:rPr>
        <w:t>of respect for the ownership of the policy agenda by the partner government.</w:t>
      </w:r>
      <w:r>
        <w:rPr>
          <w:rFonts w:ascii="Gill Sans MT" w:hAnsi="Gill Sans MT"/>
          <w:b/>
          <w:sz w:val="20"/>
          <w:lang w:val="en-GB"/>
        </w:rPr>
        <w:t xml:space="preserve"> </w:t>
      </w:r>
    </w:p>
    <w:p w14:paraId="2F027CFC" w14:textId="77777777" w:rsidR="008F339F" w:rsidRPr="009206E0" w:rsidRDefault="008F339F" w:rsidP="008F339F">
      <w:pPr>
        <w:pStyle w:val="BodyText"/>
        <w:numPr>
          <w:ilvl w:val="0"/>
          <w:numId w:val="43"/>
        </w:numPr>
        <w:spacing w:line="360" w:lineRule="auto"/>
        <w:rPr>
          <w:rFonts w:ascii="Gill Sans MT" w:hAnsi="Gill Sans MT"/>
          <w:sz w:val="20"/>
          <w:lang w:val="en-GB"/>
        </w:rPr>
      </w:pPr>
      <w:r>
        <w:rPr>
          <w:rFonts w:ascii="Gill Sans MT" w:hAnsi="Gill Sans MT"/>
          <w:sz w:val="20"/>
          <w:szCs w:val="12"/>
        </w:rPr>
        <w:t>Wherever budget support is of significant importance, t</w:t>
      </w:r>
      <w:r w:rsidRPr="00943FC4">
        <w:rPr>
          <w:rFonts w:ascii="Gill Sans MT" w:hAnsi="Gill Sans MT"/>
          <w:sz w:val="20"/>
          <w:szCs w:val="12"/>
        </w:rPr>
        <w:t xml:space="preserve">he </w:t>
      </w:r>
      <w:r>
        <w:rPr>
          <w:rFonts w:ascii="Gill Sans MT" w:hAnsi="Gill Sans MT"/>
          <w:sz w:val="20"/>
          <w:szCs w:val="12"/>
        </w:rPr>
        <w:t xml:space="preserve">definition and </w:t>
      </w:r>
      <w:r w:rsidRPr="00943FC4">
        <w:rPr>
          <w:rFonts w:ascii="Gill Sans MT" w:hAnsi="Gill Sans MT"/>
          <w:sz w:val="20"/>
          <w:szCs w:val="12"/>
        </w:rPr>
        <w:t xml:space="preserve">application of </w:t>
      </w:r>
      <w:r w:rsidRPr="00943FC4">
        <w:rPr>
          <w:rFonts w:ascii="Gill Sans MT" w:hAnsi="Gill Sans MT"/>
          <w:sz w:val="20"/>
          <w:szCs w:val="12"/>
          <w:u w:val="single"/>
        </w:rPr>
        <w:t>underlying principles</w:t>
      </w:r>
      <w:r w:rsidRPr="00943FC4">
        <w:rPr>
          <w:rFonts w:ascii="Gill Sans MT" w:hAnsi="Gill Sans MT"/>
          <w:sz w:val="20"/>
          <w:szCs w:val="12"/>
        </w:rPr>
        <w:t xml:space="preserve"> and the related procedures </w:t>
      </w:r>
      <w:r>
        <w:rPr>
          <w:rFonts w:ascii="Gill Sans MT" w:hAnsi="Gill Sans MT"/>
          <w:sz w:val="20"/>
          <w:szCs w:val="12"/>
        </w:rPr>
        <w:t>should be clarified within the Memoranda of Understanding for budget support, so as to ensure that disbursements are only s</w:t>
      </w:r>
      <w:r w:rsidR="00156360">
        <w:rPr>
          <w:rFonts w:ascii="Gill Sans MT" w:hAnsi="Gill Sans MT"/>
          <w:sz w:val="20"/>
          <w:szCs w:val="12"/>
        </w:rPr>
        <w:t xml:space="preserve">uspended when justified based upon </w:t>
      </w:r>
      <w:r>
        <w:rPr>
          <w:rFonts w:ascii="Gill Sans MT" w:hAnsi="Gill Sans MT"/>
          <w:sz w:val="20"/>
          <w:szCs w:val="12"/>
        </w:rPr>
        <w:t xml:space="preserve">the agreed </w:t>
      </w:r>
      <w:r w:rsidR="00156360">
        <w:rPr>
          <w:rFonts w:ascii="Gill Sans MT" w:hAnsi="Gill Sans MT"/>
          <w:sz w:val="20"/>
          <w:szCs w:val="12"/>
        </w:rPr>
        <w:t xml:space="preserve">provisions, </w:t>
      </w:r>
      <w:r>
        <w:rPr>
          <w:rFonts w:ascii="Gill Sans MT" w:hAnsi="Gill Sans MT"/>
          <w:sz w:val="20"/>
          <w:szCs w:val="12"/>
        </w:rPr>
        <w:t>process</w:t>
      </w:r>
      <w:r w:rsidR="00156360">
        <w:rPr>
          <w:rFonts w:ascii="Gill Sans MT" w:hAnsi="Gill Sans MT"/>
          <w:sz w:val="20"/>
          <w:szCs w:val="12"/>
        </w:rPr>
        <w:t>es</w:t>
      </w:r>
      <w:r>
        <w:rPr>
          <w:rFonts w:ascii="Gill Sans MT" w:hAnsi="Gill Sans MT"/>
          <w:sz w:val="20"/>
          <w:szCs w:val="12"/>
        </w:rPr>
        <w:t xml:space="preserve"> and procedures. </w:t>
      </w:r>
    </w:p>
    <w:p w14:paraId="0D819C80" w14:textId="77777777" w:rsidR="008F339F" w:rsidRPr="00E6167A" w:rsidRDefault="008F339F" w:rsidP="008F339F">
      <w:pPr>
        <w:pStyle w:val="BodyText"/>
        <w:numPr>
          <w:ilvl w:val="0"/>
          <w:numId w:val="43"/>
        </w:numPr>
        <w:spacing w:line="360" w:lineRule="auto"/>
        <w:rPr>
          <w:rFonts w:ascii="Gill Sans MT" w:hAnsi="Gill Sans MT"/>
          <w:sz w:val="20"/>
          <w:lang w:val="en-GB"/>
        </w:rPr>
      </w:pPr>
      <w:r w:rsidRPr="008607AE">
        <w:rPr>
          <w:rFonts w:ascii="Gill Sans MT" w:hAnsi="Gill Sans MT"/>
          <w:sz w:val="20"/>
          <w:lang w:val="en-GB"/>
        </w:rPr>
        <w:t xml:space="preserve">Where possible, seek to develop linkages between budget support operations and wider strategic cooperation frameworks (such as the TDCA in South Africa or the Association Agreements in Morocco and Tunisia) </w:t>
      </w:r>
      <w:r>
        <w:rPr>
          <w:rFonts w:ascii="Gill Sans MT" w:hAnsi="Gill Sans MT"/>
          <w:sz w:val="20"/>
          <w:lang w:val="en-GB"/>
        </w:rPr>
        <w:t xml:space="preserve">so as to provide </w:t>
      </w:r>
      <w:r w:rsidRPr="008607AE">
        <w:rPr>
          <w:rFonts w:ascii="Gill Sans MT" w:hAnsi="Gill Sans MT"/>
          <w:sz w:val="20"/>
          <w:lang w:val="en-GB"/>
        </w:rPr>
        <w:t>a stronger basis for a</w:t>
      </w:r>
      <w:r>
        <w:rPr>
          <w:rFonts w:ascii="Gill Sans MT" w:hAnsi="Gill Sans MT"/>
          <w:sz w:val="20"/>
          <w:lang w:val="en-GB"/>
        </w:rPr>
        <w:t xml:space="preserve">n effective </w:t>
      </w:r>
      <w:r w:rsidRPr="008607AE">
        <w:rPr>
          <w:rFonts w:ascii="Gill Sans MT" w:hAnsi="Gill Sans MT"/>
          <w:sz w:val="20"/>
          <w:lang w:val="en-GB"/>
        </w:rPr>
        <w:t>partnership</w:t>
      </w:r>
      <w:r>
        <w:rPr>
          <w:rStyle w:val="FootnoteReference"/>
          <w:rFonts w:ascii="Gill Sans MT" w:hAnsi="Gill Sans MT"/>
          <w:sz w:val="20"/>
          <w:lang w:val="en-GB"/>
        </w:rPr>
        <w:footnoteReference w:id="46"/>
      </w:r>
      <w:r>
        <w:rPr>
          <w:rFonts w:ascii="Gill Sans MT" w:hAnsi="Gill Sans MT"/>
          <w:sz w:val="20"/>
          <w:lang w:val="en-GB"/>
        </w:rPr>
        <w:t xml:space="preserve">. </w:t>
      </w:r>
    </w:p>
    <w:p w14:paraId="405DA2E2" w14:textId="77777777" w:rsidR="008F339F" w:rsidRPr="002E6418" w:rsidRDefault="008F339F" w:rsidP="008F339F">
      <w:pPr>
        <w:pStyle w:val="BodyText"/>
        <w:numPr>
          <w:ilvl w:val="0"/>
          <w:numId w:val="43"/>
        </w:numPr>
        <w:spacing w:line="360" w:lineRule="auto"/>
        <w:rPr>
          <w:rFonts w:ascii="Gill Sans MT" w:hAnsi="Gill Sans MT"/>
          <w:sz w:val="20"/>
          <w:lang w:val="en-GB"/>
        </w:rPr>
      </w:pPr>
      <w:r>
        <w:rPr>
          <w:rFonts w:ascii="Gill Sans MT" w:hAnsi="Gill Sans MT"/>
          <w:sz w:val="20"/>
          <w:szCs w:val="12"/>
        </w:rPr>
        <w:t>In order to facilitate e</w:t>
      </w:r>
      <w:r w:rsidRPr="000108FB">
        <w:rPr>
          <w:rFonts w:ascii="Gill Sans MT" w:hAnsi="Gill Sans MT"/>
          <w:sz w:val="20"/>
          <w:szCs w:val="12"/>
        </w:rPr>
        <w:t>ffective donor-donor relations</w:t>
      </w:r>
      <w:r>
        <w:rPr>
          <w:rFonts w:ascii="Gill Sans MT" w:hAnsi="Gill Sans MT"/>
          <w:sz w:val="20"/>
          <w:szCs w:val="12"/>
        </w:rPr>
        <w:t xml:space="preserve"> as the basis of effective donor-government relations, the number of donors, involved in GBS and SBS dialogue fora should be limited. Specifically, it is recommended that governments should aim to limit the number of donors in any GBS or sectoral dialogue framework to a maximum of 10, always ensuring that the agencies involved are capable of providing both significant funding (for example, US $ 5 or 10 million per year as a minimum) and valuable expertise to assist with policy development and implementation. This in turn would entail the introduction of a clear division of labour between donors. </w:t>
      </w:r>
    </w:p>
    <w:p w14:paraId="633E7D69" w14:textId="77777777" w:rsidR="008F339F" w:rsidRDefault="008F339F" w:rsidP="008F339F">
      <w:pPr>
        <w:pStyle w:val="Heading3"/>
        <w:rPr>
          <w:sz w:val="20"/>
        </w:rPr>
      </w:pPr>
      <w:r>
        <w:t xml:space="preserve">Nurture strategic </w:t>
      </w:r>
      <w:r w:rsidRPr="00821A7A">
        <w:t>problem-solving dialogue</w:t>
      </w:r>
      <w:r>
        <w:rPr>
          <w:b/>
          <w:sz w:val="20"/>
        </w:rPr>
        <w:t xml:space="preserve"> </w:t>
      </w:r>
    </w:p>
    <w:p w14:paraId="6F5DFFA8" w14:textId="77777777" w:rsidR="008F339F" w:rsidRPr="00105B1B" w:rsidRDefault="008F339F" w:rsidP="0013361E">
      <w:pPr>
        <w:pStyle w:val="BodyText"/>
        <w:numPr>
          <w:ilvl w:val="0"/>
          <w:numId w:val="2"/>
        </w:numPr>
        <w:spacing w:line="360" w:lineRule="auto"/>
        <w:ind w:left="499" w:hanging="357"/>
        <w:rPr>
          <w:rFonts w:ascii="Gill Sans MT" w:hAnsi="Gill Sans MT"/>
          <w:sz w:val="20"/>
          <w:lang w:val="en-GB"/>
        </w:rPr>
      </w:pPr>
      <w:r w:rsidRPr="002D48F9">
        <w:rPr>
          <w:rFonts w:ascii="Gill Sans MT" w:hAnsi="Gill Sans MT"/>
          <w:b/>
          <w:sz w:val="20"/>
          <w:lang w:val="en-GB"/>
        </w:rPr>
        <w:t>Policy dialogue requires explicit measures to develop the space for strategic problem-solving discussion</w:t>
      </w:r>
      <w:r w:rsidRPr="0013361E">
        <w:rPr>
          <w:rFonts w:ascii="Gill Sans MT" w:hAnsi="Gill Sans MT"/>
          <w:sz w:val="20"/>
          <w:lang w:val="en-GB"/>
        </w:rPr>
        <w:t xml:space="preserve">. </w:t>
      </w:r>
      <w:r>
        <w:rPr>
          <w:rFonts w:ascii="Gill Sans MT" w:hAnsi="Gill Sans MT"/>
          <w:sz w:val="20"/>
          <w:lang w:val="en-GB"/>
        </w:rPr>
        <w:t>We therefore recommend the following actions:</w:t>
      </w:r>
    </w:p>
    <w:p w14:paraId="0425BA0F" w14:textId="77777777" w:rsidR="008F339F" w:rsidRDefault="008F339F" w:rsidP="008F339F">
      <w:pPr>
        <w:pStyle w:val="BodyText"/>
        <w:numPr>
          <w:ilvl w:val="0"/>
          <w:numId w:val="37"/>
        </w:numPr>
        <w:spacing w:line="360" w:lineRule="auto"/>
        <w:rPr>
          <w:rFonts w:ascii="Gill Sans MT" w:hAnsi="Gill Sans MT"/>
          <w:sz w:val="20"/>
          <w:lang w:val="en-GB"/>
        </w:rPr>
      </w:pPr>
      <w:r w:rsidRPr="00813D7F">
        <w:rPr>
          <w:rFonts w:ascii="Gill Sans MT" w:hAnsi="Gill Sans MT"/>
          <w:sz w:val="20"/>
          <w:lang w:val="en-GB"/>
        </w:rPr>
        <w:t>The design of budget support, its disbursement conditions and management processes should all</w:t>
      </w:r>
      <w:r>
        <w:rPr>
          <w:rFonts w:ascii="Gill Sans MT" w:hAnsi="Gill Sans MT"/>
          <w:sz w:val="20"/>
          <w:lang w:val="en-GB"/>
        </w:rPr>
        <w:t xml:space="preserve"> have a strategic problem solving and policy oriented focus</w:t>
      </w:r>
      <w:r>
        <w:rPr>
          <w:rFonts w:ascii="Gill Sans MT" w:hAnsi="Gill Sans MT"/>
          <w:b/>
          <w:sz w:val="20"/>
          <w:lang w:val="en-GB"/>
        </w:rPr>
        <w:t xml:space="preserve">. </w:t>
      </w:r>
      <w:r>
        <w:rPr>
          <w:rFonts w:ascii="Gill Sans MT" w:hAnsi="Gill Sans MT"/>
          <w:sz w:val="20"/>
          <w:lang w:val="en-GB"/>
        </w:rPr>
        <w:t>Specifically</w:t>
      </w:r>
      <w:r w:rsidRPr="00813D7F">
        <w:rPr>
          <w:rFonts w:ascii="Gill Sans MT" w:hAnsi="Gill Sans MT"/>
          <w:sz w:val="20"/>
          <w:lang w:val="en-GB"/>
        </w:rPr>
        <w:t>:</w:t>
      </w:r>
    </w:p>
    <w:p w14:paraId="365F85D3" w14:textId="77777777" w:rsidR="008F339F" w:rsidRDefault="008F339F" w:rsidP="008F339F">
      <w:pPr>
        <w:pStyle w:val="BodyText"/>
        <w:numPr>
          <w:ilvl w:val="1"/>
          <w:numId w:val="37"/>
        </w:numPr>
        <w:spacing w:line="360" w:lineRule="auto"/>
        <w:rPr>
          <w:rFonts w:ascii="Gill Sans MT" w:hAnsi="Gill Sans MT"/>
          <w:sz w:val="20"/>
          <w:lang w:val="en-GB"/>
        </w:rPr>
      </w:pPr>
      <w:r>
        <w:rPr>
          <w:rFonts w:ascii="Gill Sans MT" w:hAnsi="Gill Sans MT"/>
          <w:b/>
          <w:sz w:val="20"/>
          <w:lang w:val="en-GB"/>
        </w:rPr>
        <w:t xml:space="preserve"> </w:t>
      </w:r>
      <w:r>
        <w:rPr>
          <w:rFonts w:ascii="Gill Sans MT" w:hAnsi="Gill Sans MT"/>
          <w:sz w:val="20"/>
          <w:lang w:val="en-GB"/>
        </w:rPr>
        <w:t xml:space="preserve">SBS operations should be focused at the sector level, and not on sub-sectors, programmes or regions. </w:t>
      </w:r>
    </w:p>
    <w:p w14:paraId="099DC839" w14:textId="77777777" w:rsidR="008F339F" w:rsidRDefault="008F339F" w:rsidP="008F339F">
      <w:pPr>
        <w:pStyle w:val="BodyText"/>
        <w:numPr>
          <w:ilvl w:val="1"/>
          <w:numId w:val="37"/>
        </w:numPr>
        <w:spacing w:line="360" w:lineRule="auto"/>
        <w:rPr>
          <w:rFonts w:ascii="Gill Sans MT" w:hAnsi="Gill Sans MT"/>
          <w:sz w:val="20"/>
          <w:lang w:val="en-GB"/>
        </w:rPr>
      </w:pPr>
      <w:r>
        <w:rPr>
          <w:rFonts w:ascii="Gill Sans MT" w:hAnsi="Gill Sans MT"/>
          <w:sz w:val="20"/>
          <w:lang w:val="en-GB"/>
        </w:rPr>
        <w:t xml:space="preserve">The number of indicators and ‘trigger actions’ included within any Performance </w:t>
      </w:r>
      <w:r w:rsidR="00156360">
        <w:rPr>
          <w:rFonts w:ascii="Gill Sans MT" w:hAnsi="Gill Sans MT"/>
          <w:sz w:val="20"/>
          <w:lang w:val="en-GB"/>
        </w:rPr>
        <w:t xml:space="preserve">Assessment Framework should be government-determined, </w:t>
      </w:r>
      <w:r w:rsidR="00156360">
        <w:rPr>
          <w:rFonts w:ascii="Gill Sans MT" w:hAnsi="Gill Sans MT"/>
          <w:sz w:val="20"/>
          <w:lang w:val="en-GB"/>
        </w:rPr>
        <w:lastRenderedPageBreak/>
        <w:t xml:space="preserve">limited in number, and </w:t>
      </w:r>
      <w:r>
        <w:rPr>
          <w:rFonts w:ascii="Gill Sans MT" w:hAnsi="Gill Sans MT"/>
          <w:sz w:val="20"/>
          <w:lang w:val="en-GB"/>
        </w:rPr>
        <w:t>focused on results or reform actions of genuine strategic importance.</w:t>
      </w:r>
    </w:p>
    <w:p w14:paraId="0516DAA6" w14:textId="77777777" w:rsidR="008F339F" w:rsidRDefault="008F339F" w:rsidP="008F339F">
      <w:pPr>
        <w:pStyle w:val="BodyText"/>
        <w:numPr>
          <w:ilvl w:val="1"/>
          <w:numId w:val="37"/>
        </w:numPr>
        <w:spacing w:line="360" w:lineRule="auto"/>
        <w:rPr>
          <w:rFonts w:ascii="Gill Sans MT" w:hAnsi="Gill Sans MT"/>
          <w:sz w:val="20"/>
          <w:lang w:val="en-GB"/>
        </w:rPr>
      </w:pPr>
      <w:r>
        <w:rPr>
          <w:rFonts w:ascii="Gill Sans MT" w:hAnsi="Gill Sans MT"/>
          <w:sz w:val="20"/>
          <w:lang w:val="en-GB"/>
        </w:rPr>
        <w:t xml:space="preserve">The number of indicators based on process actions or on output measures should be limited, with the primary focus placed on the targeting and tracking of outcomes. </w:t>
      </w:r>
    </w:p>
    <w:p w14:paraId="58CEBEA9" w14:textId="77777777" w:rsidR="008F339F" w:rsidRPr="00370E76" w:rsidRDefault="008F339F" w:rsidP="008F339F">
      <w:pPr>
        <w:pStyle w:val="BodyText"/>
        <w:numPr>
          <w:ilvl w:val="0"/>
          <w:numId w:val="37"/>
        </w:numPr>
        <w:spacing w:line="360" w:lineRule="auto"/>
        <w:rPr>
          <w:rFonts w:ascii="Gill Sans MT" w:hAnsi="Gill Sans MT"/>
          <w:sz w:val="20"/>
          <w:lang w:val="en-GB"/>
        </w:rPr>
      </w:pPr>
      <w:r w:rsidRPr="00C96E7E">
        <w:rPr>
          <w:rFonts w:ascii="Gill Sans MT" w:hAnsi="Gill Sans MT"/>
          <w:sz w:val="20"/>
          <w:lang w:val="en-GB"/>
        </w:rPr>
        <w:t xml:space="preserve">The overall scope of dialogue </w:t>
      </w:r>
      <w:r>
        <w:rPr>
          <w:rFonts w:ascii="Gill Sans MT" w:hAnsi="Gill Sans MT"/>
          <w:sz w:val="20"/>
          <w:lang w:val="en-GB"/>
        </w:rPr>
        <w:t xml:space="preserve">should be limited so as to be consistent </w:t>
      </w:r>
      <w:r w:rsidRPr="00C96E7E">
        <w:rPr>
          <w:rFonts w:ascii="Gill Sans MT" w:hAnsi="Gill Sans MT"/>
          <w:sz w:val="20"/>
          <w:lang w:val="en-GB"/>
        </w:rPr>
        <w:t xml:space="preserve">with </w:t>
      </w:r>
      <w:r>
        <w:rPr>
          <w:rFonts w:ascii="Gill Sans MT" w:hAnsi="Gill Sans MT"/>
          <w:sz w:val="20"/>
          <w:lang w:val="en-GB"/>
        </w:rPr>
        <w:t xml:space="preserve">the </w:t>
      </w:r>
      <w:r w:rsidRPr="00C96E7E">
        <w:rPr>
          <w:rFonts w:ascii="Gill Sans MT" w:hAnsi="Gill Sans MT"/>
          <w:sz w:val="20"/>
          <w:lang w:val="en-GB"/>
        </w:rPr>
        <w:t>capa</w:t>
      </w:r>
      <w:r>
        <w:rPr>
          <w:rFonts w:ascii="Gill Sans MT" w:hAnsi="Gill Sans MT"/>
          <w:sz w:val="20"/>
          <w:lang w:val="en-GB"/>
        </w:rPr>
        <w:t>city and expertise of the partner government, and the budget support providers</w:t>
      </w:r>
      <w:r w:rsidRPr="00C96E7E">
        <w:rPr>
          <w:rFonts w:ascii="Gill Sans MT" w:hAnsi="Gill Sans MT"/>
          <w:sz w:val="20"/>
          <w:lang w:val="en-GB"/>
        </w:rPr>
        <w:t>.</w:t>
      </w:r>
      <w:r>
        <w:rPr>
          <w:rFonts w:ascii="Gill Sans MT" w:hAnsi="Gill Sans MT"/>
          <w:sz w:val="20"/>
          <w:lang w:val="en-GB"/>
        </w:rPr>
        <w:t xml:space="preserve"> The number of sectors and thematic areas targeted by reforms should therefore be limited to maximum of 10 but in many countries would probably need to be less than this. (This maximum would therefore limit the number of separate SBS operations at any one time, as well as the number of sectors/ thematic areas included in a GBS PAF.) </w:t>
      </w:r>
    </w:p>
    <w:p w14:paraId="0E75479E" w14:textId="77777777" w:rsidR="008F339F" w:rsidRPr="00CB4A2E" w:rsidRDefault="008F339F" w:rsidP="008F339F">
      <w:pPr>
        <w:pStyle w:val="BodyText"/>
        <w:numPr>
          <w:ilvl w:val="0"/>
          <w:numId w:val="37"/>
        </w:numPr>
        <w:spacing w:line="360" w:lineRule="auto"/>
        <w:rPr>
          <w:rFonts w:ascii="Gill Sans MT" w:hAnsi="Gill Sans MT"/>
          <w:sz w:val="20"/>
          <w:lang w:val="en-GB"/>
        </w:rPr>
      </w:pPr>
      <w:r w:rsidRPr="00C96E7E">
        <w:rPr>
          <w:rFonts w:ascii="Gill Sans MT" w:hAnsi="Gill Sans MT"/>
          <w:sz w:val="20"/>
          <w:szCs w:val="12"/>
        </w:rPr>
        <w:t xml:space="preserve">A separation between the forward-thinking dialogue and the process of “auditing” progress to decide on disbursements </w:t>
      </w:r>
      <w:r>
        <w:rPr>
          <w:rFonts w:ascii="Gill Sans MT" w:hAnsi="Gill Sans MT"/>
          <w:sz w:val="20"/>
          <w:szCs w:val="12"/>
        </w:rPr>
        <w:t xml:space="preserve">should be introduced into all GBS or SBS processes. This would involve holding the annual progress review (or reviews) at a different time from events organised for forward-looking, problem-solving discussion. These latter events should also be organised to include </w:t>
      </w:r>
      <w:r w:rsidRPr="007A37DB">
        <w:rPr>
          <w:rFonts w:ascii="Gill Sans MT" w:hAnsi="Gill Sans MT"/>
          <w:sz w:val="20"/>
          <w:szCs w:val="12"/>
        </w:rPr>
        <w:t xml:space="preserve">external </w:t>
      </w:r>
      <w:r>
        <w:rPr>
          <w:rFonts w:ascii="Gill Sans MT" w:hAnsi="Gill Sans MT"/>
          <w:sz w:val="20"/>
          <w:szCs w:val="12"/>
        </w:rPr>
        <w:t>‘third-party’ stakeholders</w:t>
      </w:r>
      <w:r w:rsidRPr="007A37DB">
        <w:rPr>
          <w:rFonts w:ascii="Gill Sans MT" w:hAnsi="Gill Sans MT"/>
          <w:sz w:val="20"/>
          <w:szCs w:val="12"/>
        </w:rPr>
        <w:t>, such as academics or su</w:t>
      </w:r>
      <w:r>
        <w:rPr>
          <w:rFonts w:ascii="Gill Sans MT" w:hAnsi="Gill Sans MT"/>
          <w:sz w:val="20"/>
          <w:szCs w:val="12"/>
        </w:rPr>
        <w:t>bject matter specialists.</w:t>
      </w:r>
      <w:r w:rsidRPr="007A37DB">
        <w:rPr>
          <w:rFonts w:ascii="Gill Sans MT" w:hAnsi="Gill Sans MT"/>
          <w:sz w:val="20"/>
          <w:szCs w:val="12"/>
        </w:rPr>
        <w:t xml:space="preserve"> </w:t>
      </w:r>
    </w:p>
    <w:p w14:paraId="4449334B" w14:textId="77777777" w:rsidR="008F339F" w:rsidRPr="00CB4A2E" w:rsidRDefault="008F339F" w:rsidP="008F339F">
      <w:pPr>
        <w:pStyle w:val="BodyText"/>
        <w:numPr>
          <w:ilvl w:val="0"/>
          <w:numId w:val="37"/>
        </w:numPr>
        <w:spacing w:line="360" w:lineRule="auto"/>
        <w:rPr>
          <w:rFonts w:ascii="Gill Sans MT" w:hAnsi="Gill Sans MT"/>
          <w:sz w:val="20"/>
          <w:lang w:val="en-GB"/>
        </w:rPr>
      </w:pPr>
      <w:r>
        <w:rPr>
          <w:rFonts w:ascii="Gill Sans MT" w:hAnsi="Gill Sans MT"/>
          <w:sz w:val="20"/>
          <w:szCs w:val="12"/>
        </w:rPr>
        <w:t>A defined programme of research and evaluation work (with the appropriate funding ) should accompany all budget support operations, so as to strengthen continuously the analytical basis of the policy dialogue.</w:t>
      </w:r>
    </w:p>
    <w:p w14:paraId="4741953E" w14:textId="77777777" w:rsidR="008F339F" w:rsidRPr="00CB4A2E" w:rsidRDefault="008F339F" w:rsidP="008F339F">
      <w:pPr>
        <w:pStyle w:val="BodyText"/>
        <w:numPr>
          <w:ilvl w:val="0"/>
          <w:numId w:val="37"/>
        </w:numPr>
        <w:spacing w:line="360" w:lineRule="auto"/>
        <w:rPr>
          <w:rFonts w:ascii="Gill Sans MT" w:hAnsi="Gill Sans MT"/>
          <w:sz w:val="20"/>
          <w:lang w:val="en-GB"/>
        </w:rPr>
      </w:pPr>
      <w:r>
        <w:rPr>
          <w:rFonts w:ascii="Gill Sans MT" w:hAnsi="Gill Sans MT"/>
          <w:sz w:val="20"/>
          <w:szCs w:val="12"/>
        </w:rPr>
        <w:t>Donors should develop formal processes to strengthen their expertise in policy analysis and dialogue, including:</w:t>
      </w:r>
    </w:p>
    <w:p w14:paraId="3A0752ED" w14:textId="77777777" w:rsidR="008F339F" w:rsidRPr="00CB4A2E" w:rsidRDefault="008F339F" w:rsidP="008F339F">
      <w:pPr>
        <w:pStyle w:val="BodyText"/>
        <w:numPr>
          <w:ilvl w:val="1"/>
          <w:numId w:val="37"/>
        </w:numPr>
        <w:spacing w:line="360" w:lineRule="auto"/>
        <w:rPr>
          <w:rFonts w:ascii="Gill Sans MT" w:hAnsi="Gill Sans MT"/>
          <w:sz w:val="20"/>
          <w:lang w:val="en-GB"/>
        </w:rPr>
      </w:pPr>
      <w:r>
        <w:rPr>
          <w:rFonts w:ascii="Gill Sans MT" w:hAnsi="Gill Sans MT"/>
          <w:sz w:val="20"/>
          <w:szCs w:val="12"/>
        </w:rPr>
        <w:t>A formalisation of the division of labour, so that specific agencies would  specialise in a limited number of specific sectors or thematic areas.</w:t>
      </w:r>
    </w:p>
    <w:p w14:paraId="46051B0D" w14:textId="77777777" w:rsidR="008F339F" w:rsidRPr="00CB4A2E" w:rsidRDefault="008F339F" w:rsidP="008F339F">
      <w:pPr>
        <w:pStyle w:val="BodyText"/>
        <w:numPr>
          <w:ilvl w:val="1"/>
          <w:numId w:val="37"/>
        </w:numPr>
        <w:spacing w:line="360" w:lineRule="auto"/>
        <w:rPr>
          <w:rFonts w:ascii="Gill Sans MT" w:hAnsi="Gill Sans MT"/>
          <w:sz w:val="20"/>
          <w:lang w:val="en-GB"/>
        </w:rPr>
      </w:pPr>
      <w:r>
        <w:rPr>
          <w:rFonts w:ascii="Gill Sans MT" w:hAnsi="Gill Sans MT"/>
          <w:sz w:val="20"/>
          <w:szCs w:val="12"/>
        </w:rPr>
        <w:t>Internal processes within each agency to organise the recruitment, placement and training of staff in such as way as deepen expertise in the chosen areas of specialisation.</w:t>
      </w:r>
    </w:p>
    <w:p w14:paraId="4CEB8A1A" w14:textId="77777777" w:rsidR="008F339F" w:rsidRPr="00DD0780" w:rsidRDefault="008F339F" w:rsidP="008F339F">
      <w:pPr>
        <w:pStyle w:val="BodyText"/>
        <w:numPr>
          <w:ilvl w:val="1"/>
          <w:numId w:val="37"/>
        </w:numPr>
        <w:spacing w:line="360" w:lineRule="auto"/>
        <w:rPr>
          <w:rFonts w:ascii="Gill Sans MT" w:hAnsi="Gill Sans MT"/>
          <w:sz w:val="20"/>
          <w:lang w:val="en-GB"/>
        </w:rPr>
      </w:pPr>
      <w:r>
        <w:rPr>
          <w:rFonts w:ascii="Gill Sans MT" w:hAnsi="Gill Sans MT"/>
          <w:sz w:val="20"/>
          <w:szCs w:val="12"/>
        </w:rPr>
        <w:t>Procedures should be established to share good practices across countries and to provide adequate technical back-stopping.</w:t>
      </w:r>
    </w:p>
    <w:p w14:paraId="031DF31F" w14:textId="77777777" w:rsidR="00DD0780" w:rsidRDefault="006418FC" w:rsidP="006418FC">
      <w:pPr>
        <w:pStyle w:val="Heading3"/>
      </w:pPr>
      <w:r w:rsidRPr="006418FC">
        <w:t xml:space="preserve">Maximise opportunities for promoting Social Accountability </w:t>
      </w:r>
    </w:p>
    <w:p w14:paraId="2F04A06A" w14:textId="77777777" w:rsidR="00C56114" w:rsidRDefault="00C56114" w:rsidP="006418FC">
      <w:pPr>
        <w:pStyle w:val="BodyText"/>
        <w:numPr>
          <w:ilvl w:val="0"/>
          <w:numId w:val="2"/>
        </w:numPr>
        <w:spacing w:line="360" w:lineRule="auto"/>
        <w:ind w:left="499" w:hanging="357"/>
        <w:rPr>
          <w:rFonts w:ascii="Gill Sans MT" w:hAnsi="Gill Sans MT"/>
          <w:sz w:val="20"/>
          <w:lang w:val="en-GB"/>
        </w:rPr>
      </w:pPr>
      <w:r w:rsidRPr="00C56114">
        <w:rPr>
          <w:rFonts w:ascii="Gill Sans MT" w:hAnsi="Gill Sans MT"/>
          <w:b/>
          <w:sz w:val="20"/>
          <w:lang w:val="en-GB"/>
        </w:rPr>
        <w:t>Budget Support can and should promote greater social accountability in relation to public budgets and public policy decisions</w:t>
      </w:r>
      <w:r>
        <w:rPr>
          <w:rFonts w:ascii="Gill Sans MT" w:hAnsi="Gill Sans MT"/>
          <w:sz w:val="20"/>
          <w:lang w:val="en-GB"/>
        </w:rPr>
        <w:t xml:space="preserve">. </w:t>
      </w:r>
      <w:r w:rsidR="006418FC">
        <w:rPr>
          <w:rFonts w:ascii="Gill Sans MT" w:hAnsi="Gill Sans MT"/>
          <w:sz w:val="20"/>
          <w:lang w:val="en-GB"/>
        </w:rPr>
        <w:t xml:space="preserve">The evaluations </w:t>
      </w:r>
      <w:r w:rsidR="00392DC3">
        <w:rPr>
          <w:rFonts w:ascii="Gill Sans MT" w:hAnsi="Gill Sans MT"/>
          <w:sz w:val="20"/>
          <w:lang w:val="en-GB"/>
        </w:rPr>
        <w:t xml:space="preserve">all note </w:t>
      </w:r>
      <w:r w:rsidR="006418FC" w:rsidRPr="006418FC">
        <w:rPr>
          <w:rFonts w:ascii="Gill Sans MT" w:hAnsi="Gill Sans MT"/>
          <w:sz w:val="20"/>
          <w:lang w:val="en-GB"/>
        </w:rPr>
        <w:t xml:space="preserve">that civil society </w:t>
      </w:r>
      <w:r w:rsidR="00392DC3">
        <w:rPr>
          <w:rFonts w:ascii="Gill Sans MT" w:hAnsi="Gill Sans MT"/>
          <w:sz w:val="20"/>
          <w:lang w:val="en-GB"/>
        </w:rPr>
        <w:t xml:space="preserve">organisations </w:t>
      </w:r>
      <w:r w:rsidR="006418FC" w:rsidRPr="006418FC">
        <w:rPr>
          <w:rFonts w:ascii="Gill Sans MT" w:hAnsi="Gill Sans MT"/>
          <w:sz w:val="20"/>
          <w:lang w:val="en-GB"/>
        </w:rPr>
        <w:t>an</w:t>
      </w:r>
      <w:r w:rsidR="00392DC3">
        <w:rPr>
          <w:rFonts w:ascii="Gill Sans MT" w:hAnsi="Gill Sans MT"/>
          <w:sz w:val="20"/>
          <w:lang w:val="en-GB"/>
        </w:rPr>
        <w:t xml:space="preserve">d the media are given a degree of </w:t>
      </w:r>
      <w:r w:rsidR="006418FC" w:rsidRPr="006418FC">
        <w:rPr>
          <w:rFonts w:ascii="Gill Sans MT" w:hAnsi="Gill Sans MT"/>
          <w:sz w:val="20"/>
          <w:lang w:val="en-GB"/>
        </w:rPr>
        <w:t xml:space="preserve">access to the policy documents, progress reports and conclusions, emerging from the </w:t>
      </w:r>
      <w:r w:rsidR="00392DC3">
        <w:rPr>
          <w:rFonts w:ascii="Gill Sans MT" w:hAnsi="Gill Sans MT"/>
          <w:sz w:val="20"/>
          <w:lang w:val="en-GB"/>
        </w:rPr>
        <w:t xml:space="preserve">Budget Support policy dialogue. In some of the countries, this degree of engagement with public policy issues was a new phenomenon and to some extent, Budget Support can be said to have facilitated the extension of the existing </w:t>
      </w:r>
      <w:r w:rsidR="00392DC3">
        <w:rPr>
          <w:rFonts w:ascii="Gill Sans MT" w:hAnsi="Gill Sans MT"/>
          <w:sz w:val="20"/>
          <w:lang w:val="en-GB"/>
        </w:rPr>
        <w:lastRenderedPageBreak/>
        <w:t xml:space="preserve">mechanisms of social accountability. However, in several countries, the impression is that this degree of access is granted as a favour rather than a right, and the process of engagement of civil society has too often seemed ritualistic </w:t>
      </w:r>
      <w:r w:rsidR="00386FEB">
        <w:rPr>
          <w:rFonts w:ascii="Gill Sans MT" w:hAnsi="Gill Sans MT"/>
          <w:sz w:val="20"/>
          <w:lang w:val="en-GB"/>
        </w:rPr>
        <w:t xml:space="preserve">rather than genuine. </w:t>
      </w:r>
    </w:p>
    <w:p w14:paraId="5F8AC62B" w14:textId="77777777" w:rsidR="00FD395A" w:rsidRPr="00C56114" w:rsidRDefault="00386FEB" w:rsidP="00C56114">
      <w:pPr>
        <w:pStyle w:val="BodyText"/>
        <w:numPr>
          <w:ilvl w:val="0"/>
          <w:numId w:val="2"/>
        </w:numPr>
        <w:spacing w:line="360" w:lineRule="auto"/>
        <w:ind w:left="499" w:hanging="357"/>
        <w:rPr>
          <w:rFonts w:ascii="Gill Sans MT" w:hAnsi="Gill Sans MT"/>
          <w:sz w:val="20"/>
          <w:lang w:val="en-GB"/>
        </w:rPr>
      </w:pPr>
      <w:r>
        <w:rPr>
          <w:rFonts w:ascii="Gill Sans MT" w:hAnsi="Gill Sans MT"/>
          <w:sz w:val="20"/>
          <w:lang w:val="en-GB"/>
        </w:rPr>
        <w:t xml:space="preserve">It is important to find ways of deepening citizen engagement in the debates on public policies and public spending choices to which Budget Support gives rise. </w:t>
      </w:r>
      <w:r w:rsidRPr="00C56114">
        <w:rPr>
          <w:rFonts w:ascii="Gill Sans MT" w:hAnsi="Gill Sans MT"/>
          <w:sz w:val="20"/>
          <w:lang w:val="en-GB"/>
        </w:rPr>
        <w:t xml:space="preserve">In </w:t>
      </w:r>
      <w:r w:rsidR="00FD395A" w:rsidRPr="00C56114">
        <w:rPr>
          <w:rFonts w:ascii="Gill Sans MT" w:hAnsi="Gill Sans MT"/>
          <w:sz w:val="20"/>
          <w:lang w:val="en-GB"/>
        </w:rPr>
        <w:t xml:space="preserve">any democratic society, </w:t>
      </w:r>
      <w:r w:rsidRPr="00C56114">
        <w:rPr>
          <w:rFonts w:ascii="Gill Sans MT" w:hAnsi="Gill Sans MT"/>
          <w:sz w:val="20"/>
          <w:lang w:val="en-GB"/>
        </w:rPr>
        <w:t xml:space="preserve">public policy </w:t>
      </w:r>
      <w:r w:rsidR="00FD395A" w:rsidRPr="00C56114">
        <w:rPr>
          <w:rFonts w:ascii="Gill Sans MT" w:hAnsi="Gill Sans MT"/>
          <w:sz w:val="20"/>
          <w:lang w:val="en-GB"/>
        </w:rPr>
        <w:t xml:space="preserve">decisions </w:t>
      </w:r>
      <w:r w:rsidRPr="00C56114">
        <w:rPr>
          <w:rFonts w:ascii="Gill Sans MT" w:hAnsi="Gill Sans MT"/>
          <w:sz w:val="20"/>
          <w:lang w:val="en-GB"/>
        </w:rPr>
        <w:t xml:space="preserve">and public spending choices </w:t>
      </w:r>
      <w:r w:rsidR="00FD395A" w:rsidRPr="00C56114">
        <w:rPr>
          <w:rFonts w:ascii="Gill Sans MT" w:hAnsi="Gill Sans MT"/>
          <w:sz w:val="20"/>
          <w:lang w:val="en-GB"/>
        </w:rPr>
        <w:t xml:space="preserve">need to be subject to the forces of social accountability. Where Budget Support can help to strengthen such processes, it is </w:t>
      </w:r>
      <w:r w:rsidR="00C56114">
        <w:rPr>
          <w:rFonts w:ascii="Gill Sans MT" w:hAnsi="Gill Sans MT"/>
          <w:sz w:val="20"/>
          <w:lang w:val="en-GB"/>
        </w:rPr>
        <w:t xml:space="preserve">essential </w:t>
      </w:r>
      <w:r w:rsidR="00FD395A" w:rsidRPr="00C56114">
        <w:rPr>
          <w:rFonts w:ascii="Gill Sans MT" w:hAnsi="Gill Sans MT"/>
          <w:sz w:val="20"/>
          <w:lang w:val="en-GB"/>
        </w:rPr>
        <w:t>to maximise the opportunities available.</w:t>
      </w:r>
      <w:r w:rsidR="00C56114">
        <w:rPr>
          <w:rFonts w:ascii="Gill Sans MT" w:hAnsi="Gill Sans MT"/>
          <w:sz w:val="20"/>
          <w:lang w:val="en-GB"/>
        </w:rPr>
        <w:t xml:space="preserve"> A number of actions could</w:t>
      </w:r>
      <w:r w:rsidR="00FD395A" w:rsidRPr="00C56114">
        <w:rPr>
          <w:rFonts w:ascii="Gill Sans MT" w:hAnsi="Gill Sans MT"/>
          <w:sz w:val="20"/>
          <w:lang w:val="en-GB"/>
        </w:rPr>
        <w:t xml:space="preserve"> be taken to facilitate progress towards stronger social accountability:</w:t>
      </w:r>
    </w:p>
    <w:p w14:paraId="69E15149" w14:textId="77777777" w:rsidR="00FD395A" w:rsidRDefault="00FD395A" w:rsidP="00FD395A">
      <w:pPr>
        <w:pStyle w:val="BodyText"/>
        <w:numPr>
          <w:ilvl w:val="0"/>
          <w:numId w:val="52"/>
        </w:numPr>
        <w:spacing w:line="360" w:lineRule="auto"/>
        <w:rPr>
          <w:rFonts w:ascii="Gill Sans MT" w:hAnsi="Gill Sans MT"/>
          <w:sz w:val="20"/>
          <w:lang w:val="en-GB"/>
        </w:rPr>
      </w:pPr>
      <w:r>
        <w:rPr>
          <w:rFonts w:ascii="Gill Sans MT" w:hAnsi="Gill Sans MT"/>
          <w:sz w:val="20"/>
          <w:lang w:val="en-GB"/>
        </w:rPr>
        <w:t>Access to the documentation, progress reports and budgetary data produced through the Budget Support dialogue should be systematic and guaranteed, potentially through a dedicated internet portal;</w:t>
      </w:r>
    </w:p>
    <w:p w14:paraId="03F84C6B" w14:textId="77777777" w:rsidR="00FD395A" w:rsidRDefault="00FD395A" w:rsidP="00FD395A">
      <w:pPr>
        <w:pStyle w:val="BodyText"/>
        <w:numPr>
          <w:ilvl w:val="0"/>
          <w:numId w:val="52"/>
        </w:numPr>
        <w:spacing w:line="360" w:lineRule="auto"/>
        <w:rPr>
          <w:rFonts w:ascii="Gill Sans MT" w:hAnsi="Gill Sans MT"/>
          <w:sz w:val="20"/>
          <w:lang w:val="en-GB"/>
        </w:rPr>
      </w:pPr>
      <w:r>
        <w:rPr>
          <w:rFonts w:ascii="Gill Sans MT" w:hAnsi="Gill Sans MT"/>
          <w:sz w:val="20"/>
          <w:lang w:val="en-GB"/>
        </w:rPr>
        <w:t>Support to CSOs and citizen groups in improving understanding of public budgets and public policy issues should continue to be provided and, where necessary, strengthened.</w:t>
      </w:r>
    </w:p>
    <w:p w14:paraId="679851C0" w14:textId="77777777" w:rsidR="006418FC" w:rsidRPr="006D4CFE" w:rsidRDefault="00FD395A" w:rsidP="006418FC">
      <w:pPr>
        <w:pStyle w:val="BodyText"/>
        <w:numPr>
          <w:ilvl w:val="0"/>
          <w:numId w:val="52"/>
        </w:numPr>
        <w:spacing w:line="360" w:lineRule="auto"/>
        <w:rPr>
          <w:rFonts w:ascii="Gill Sans MT" w:hAnsi="Gill Sans MT"/>
          <w:sz w:val="20"/>
          <w:lang w:val="en-GB"/>
        </w:rPr>
      </w:pPr>
      <w:r>
        <w:rPr>
          <w:rFonts w:ascii="Gill Sans MT" w:hAnsi="Gill Sans MT"/>
          <w:sz w:val="20"/>
          <w:lang w:val="en-GB"/>
        </w:rPr>
        <w:t xml:space="preserve">Increased attention should be given to </w:t>
      </w:r>
      <w:r w:rsidR="006D4CFE">
        <w:rPr>
          <w:rFonts w:ascii="Gill Sans MT" w:hAnsi="Gill Sans MT"/>
          <w:sz w:val="20"/>
          <w:lang w:val="en-GB"/>
        </w:rPr>
        <w:t>the design of more effective, innovative channels to engage</w:t>
      </w:r>
      <w:r>
        <w:rPr>
          <w:rFonts w:ascii="Gill Sans MT" w:hAnsi="Gill Sans MT"/>
          <w:sz w:val="20"/>
          <w:lang w:val="en-GB"/>
        </w:rPr>
        <w:t xml:space="preserve"> </w:t>
      </w:r>
      <w:r w:rsidR="006D4CFE">
        <w:rPr>
          <w:rFonts w:ascii="Gill Sans MT" w:hAnsi="Gill Sans MT"/>
          <w:sz w:val="20"/>
          <w:lang w:val="en-GB"/>
        </w:rPr>
        <w:t>the private sector and civil society in the policy debates promoted through Budget Support, recognising the potential that exists for mobilisation of citizen power, ideas and finance</w:t>
      </w:r>
      <w:r w:rsidR="006D4CFE">
        <w:rPr>
          <w:rStyle w:val="FootnoteReference"/>
          <w:rFonts w:ascii="Gill Sans MT" w:hAnsi="Gill Sans MT"/>
          <w:sz w:val="20"/>
          <w:lang w:val="en-GB"/>
        </w:rPr>
        <w:footnoteReference w:id="47"/>
      </w:r>
      <w:r w:rsidR="006D4CFE">
        <w:rPr>
          <w:rFonts w:ascii="Gill Sans MT" w:hAnsi="Gill Sans MT"/>
          <w:sz w:val="20"/>
          <w:lang w:val="en-GB"/>
        </w:rPr>
        <w:t>.</w:t>
      </w:r>
    </w:p>
    <w:p w14:paraId="59852B62" w14:textId="77777777" w:rsidR="008F339F" w:rsidRPr="00821A7A" w:rsidRDefault="008F339F" w:rsidP="008F339F">
      <w:pPr>
        <w:pStyle w:val="Heading3"/>
      </w:pPr>
      <w:r w:rsidRPr="00821A7A">
        <w:t xml:space="preserve">Increase the value-added of technical assistance/capacity building inputs </w:t>
      </w:r>
    </w:p>
    <w:p w14:paraId="64DE395F" w14:textId="77777777" w:rsidR="008F339F" w:rsidRPr="00703C18" w:rsidRDefault="00C56114" w:rsidP="0013361E">
      <w:pPr>
        <w:pStyle w:val="BodyText"/>
        <w:numPr>
          <w:ilvl w:val="0"/>
          <w:numId w:val="2"/>
        </w:numPr>
        <w:spacing w:line="360" w:lineRule="auto"/>
        <w:ind w:left="499" w:hanging="357"/>
        <w:rPr>
          <w:rFonts w:ascii="Gill Sans MT" w:hAnsi="Gill Sans MT"/>
          <w:sz w:val="20"/>
          <w:lang w:val="en-GB"/>
        </w:rPr>
      </w:pPr>
      <w:r w:rsidRPr="00C56114">
        <w:rPr>
          <w:rFonts w:ascii="Gill Sans MT" w:hAnsi="Gill Sans MT"/>
          <w:b/>
          <w:sz w:val="20"/>
          <w:lang w:val="en-GB"/>
        </w:rPr>
        <w:t>The potential of the technical assistance/ capacity development component of Budget Support must be fully realised.</w:t>
      </w:r>
      <w:r>
        <w:rPr>
          <w:rFonts w:ascii="Gill Sans MT" w:hAnsi="Gill Sans MT"/>
          <w:sz w:val="20"/>
          <w:lang w:val="en-GB"/>
        </w:rPr>
        <w:t xml:space="preserve"> </w:t>
      </w:r>
      <w:r w:rsidR="008F339F" w:rsidRPr="0013361E">
        <w:rPr>
          <w:rFonts w:ascii="Gill Sans MT" w:hAnsi="Gill Sans MT"/>
          <w:sz w:val="20"/>
          <w:lang w:val="en-GB"/>
        </w:rPr>
        <w:t xml:space="preserve">A general perception in all the evaluations was that </w:t>
      </w:r>
      <w:r>
        <w:rPr>
          <w:rFonts w:ascii="Gill Sans MT" w:hAnsi="Gill Sans MT"/>
          <w:sz w:val="20"/>
          <w:lang w:val="en-GB"/>
        </w:rPr>
        <w:t xml:space="preserve">this was not the case, because the </w:t>
      </w:r>
      <w:r w:rsidR="008F339F" w:rsidRPr="0013361E">
        <w:rPr>
          <w:rFonts w:ascii="Gill Sans MT" w:hAnsi="Gill Sans MT"/>
          <w:sz w:val="20"/>
          <w:lang w:val="en-GB"/>
        </w:rPr>
        <w:t xml:space="preserve">use </w:t>
      </w:r>
      <w:r>
        <w:rPr>
          <w:rFonts w:ascii="Gill Sans MT" w:hAnsi="Gill Sans MT"/>
          <w:sz w:val="20"/>
          <w:lang w:val="en-GB"/>
        </w:rPr>
        <w:t xml:space="preserve">of TA/ capacity development </w:t>
      </w:r>
      <w:r w:rsidR="008F339F" w:rsidRPr="0013361E">
        <w:rPr>
          <w:rFonts w:ascii="Gill Sans MT" w:hAnsi="Gill Sans MT"/>
          <w:sz w:val="20"/>
          <w:lang w:val="en-GB"/>
        </w:rPr>
        <w:t>was not strategically planned and there was a lack of flexible arrangements for responding to identified needs in an agile manner. It is vital that these problems should be corrected. We recommend:</w:t>
      </w:r>
    </w:p>
    <w:p w14:paraId="3C4BEB7F" w14:textId="77777777" w:rsidR="008F339F" w:rsidRDefault="008F339F" w:rsidP="008F339F">
      <w:pPr>
        <w:pStyle w:val="BodyText"/>
        <w:numPr>
          <w:ilvl w:val="0"/>
          <w:numId w:val="44"/>
        </w:numPr>
        <w:spacing w:line="360" w:lineRule="auto"/>
        <w:rPr>
          <w:rFonts w:ascii="Gill Sans MT" w:hAnsi="Gill Sans MT"/>
          <w:sz w:val="20"/>
          <w:lang w:val="en-GB"/>
        </w:rPr>
      </w:pPr>
      <w:r>
        <w:rPr>
          <w:rFonts w:ascii="Gill Sans MT" w:hAnsi="Gill Sans MT"/>
          <w:sz w:val="20"/>
          <w:lang w:val="en-GB"/>
        </w:rPr>
        <w:t>That the role of TA/ capacity development inputs within a budget support package should be formally defined so as to complement policy dialogue and facilitate progress towards the agreed targets in the national development plan or sector policy.</w:t>
      </w:r>
    </w:p>
    <w:p w14:paraId="479635E3" w14:textId="77777777" w:rsidR="008F339F" w:rsidRDefault="008F339F" w:rsidP="008F339F">
      <w:pPr>
        <w:pStyle w:val="BodyText"/>
        <w:numPr>
          <w:ilvl w:val="0"/>
          <w:numId w:val="44"/>
        </w:numPr>
        <w:spacing w:line="360" w:lineRule="auto"/>
        <w:rPr>
          <w:rFonts w:ascii="Gill Sans MT" w:hAnsi="Gill Sans MT"/>
          <w:sz w:val="20"/>
          <w:lang w:val="en-GB"/>
        </w:rPr>
      </w:pPr>
      <w:r>
        <w:rPr>
          <w:rFonts w:ascii="Gill Sans MT" w:hAnsi="Gill Sans MT"/>
          <w:sz w:val="20"/>
          <w:lang w:val="en-GB"/>
        </w:rPr>
        <w:t xml:space="preserve">That the use of TA/ capacity development inputs should be planned and programmed so as to address identified needs, through a combination of research studies, training, coaching and advisory services. While it would be useful to retain the ability to allocate TA/ CD inputs on an ‘ad hoc’ basis so as to meet unexpected needs, the general </w:t>
      </w:r>
      <w:r>
        <w:rPr>
          <w:rFonts w:ascii="Gill Sans MT" w:hAnsi="Gill Sans MT"/>
          <w:sz w:val="20"/>
          <w:lang w:val="en-GB"/>
        </w:rPr>
        <w:lastRenderedPageBreak/>
        <w:t>practice of having large “TA funds” with no specific outputs or outcomes defined should be avoided.</w:t>
      </w:r>
    </w:p>
    <w:p w14:paraId="689E1BA1" w14:textId="77777777" w:rsidR="008F339F" w:rsidRPr="000777BE" w:rsidRDefault="008F339F" w:rsidP="008F339F">
      <w:pPr>
        <w:pStyle w:val="BodyText"/>
        <w:numPr>
          <w:ilvl w:val="0"/>
          <w:numId w:val="44"/>
        </w:numPr>
        <w:spacing w:line="360" w:lineRule="auto"/>
        <w:rPr>
          <w:rFonts w:ascii="Gill Sans MT" w:hAnsi="Gill Sans MT"/>
          <w:sz w:val="20"/>
          <w:lang w:val="en-GB"/>
        </w:rPr>
      </w:pPr>
      <w:r>
        <w:rPr>
          <w:rFonts w:ascii="Gill Sans MT" w:hAnsi="Gill Sans MT"/>
          <w:sz w:val="20"/>
          <w:lang w:val="en-GB"/>
        </w:rPr>
        <w:t>That flexible facilities to promote capacity development should be put in place, which, in addition to short, medium and long–term TA for advisory and training inputs, might provide for twinning arrangements, support for conferences/ workshops, research studies, data collection and analysis, and exploratory/ learning missions to and from partner countries (along the lines of the Dialogue Facility in South Africa.)</w:t>
      </w:r>
    </w:p>
    <w:p w14:paraId="1496EB59" w14:textId="77777777" w:rsidR="008F339F" w:rsidRPr="00821A7A" w:rsidRDefault="008F339F" w:rsidP="008F339F">
      <w:pPr>
        <w:pStyle w:val="Heading3"/>
      </w:pPr>
      <w:r w:rsidRPr="00821A7A">
        <w:t>Simplify and harmonise</w:t>
      </w:r>
    </w:p>
    <w:p w14:paraId="7CCF7278" w14:textId="77777777" w:rsidR="008F339F" w:rsidRDefault="008F339F" w:rsidP="0013361E">
      <w:pPr>
        <w:pStyle w:val="BodyText"/>
        <w:numPr>
          <w:ilvl w:val="0"/>
          <w:numId w:val="2"/>
        </w:numPr>
        <w:spacing w:line="360" w:lineRule="auto"/>
        <w:ind w:left="499" w:hanging="357"/>
        <w:rPr>
          <w:rFonts w:ascii="Gill Sans MT" w:hAnsi="Gill Sans MT"/>
          <w:sz w:val="20"/>
          <w:lang w:val="en-GB"/>
        </w:rPr>
      </w:pPr>
      <w:r w:rsidRPr="00C56114">
        <w:rPr>
          <w:rFonts w:ascii="Gill Sans MT" w:hAnsi="Gill Sans MT"/>
          <w:b/>
          <w:sz w:val="20"/>
          <w:lang w:val="en-GB"/>
        </w:rPr>
        <w:t>Finally, it is necessary to introduce measures to correct the remaining inefficiencies in budget support delivery mechanisms</w:t>
      </w:r>
      <w:r w:rsidRPr="003B5162">
        <w:rPr>
          <w:rFonts w:ascii="Gill Sans MT" w:hAnsi="Gill Sans MT"/>
          <w:sz w:val="20"/>
          <w:lang w:val="en-GB"/>
        </w:rPr>
        <w:t>,</w:t>
      </w:r>
      <w:r w:rsidRPr="0013361E">
        <w:rPr>
          <w:rFonts w:ascii="Gill Sans MT" w:hAnsi="Gill Sans MT"/>
          <w:sz w:val="20"/>
          <w:lang w:val="en-GB"/>
        </w:rPr>
        <w:t xml:space="preserve"> which generate unnecessary transaction costs and continue to undermine the predictability of disbursements of budget support within year</w:t>
      </w:r>
      <w:r>
        <w:rPr>
          <w:rFonts w:ascii="Gill Sans MT" w:hAnsi="Gill Sans MT"/>
          <w:sz w:val="20"/>
          <w:lang w:val="en-GB"/>
        </w:rPr>
        <w:t>. Specifically we recommend the following actions:</w:t>
      </w:r>
    </w:p>
    <w:p w14:paraId="3D676E30" w14:textId="77777777" w:rsidR="008F339F" w:rsidRDefault="008F339F" w:rsidP="008F339F">
      <w:pPr>
        <w:pStyle w:val="BodyText"/>
        <w:numPr>
          <w:ilvl w:val="0"/>
          <w:numId w:val="44"/>
        </w:numPr>
        <w:spacing w:line="360" w:lineRule="auto"/>
        <w:rPr>
          <w:rFonts w:ascii="Gill Sans MT" w:hAnsi="Gill Sans MT"/>
          <w:sz w:val="20"/>
          <w:lang w:val="en-GB"/>
        </w:rPr>
      </w:pPr>
      <w:r>
        <w:rPr>
          <w:rFonts w:ascii="Gill Sans MT" w:hAnsi="Gill Sans MT"/>
          <w:sz w:val="20"/>
          <w:lang w:val="en-GB"/>
        </w:rPr>
        <w:t>All budget support arrangements should be organised so that the assessment of disbursement conditions is fully completed in year “t” and a projection of the value and timing of disbursements in year “t+1” may be provided to the partner government in time to incorporate in its treasury management plan. Administrative procedures for the approval of disbursements should be organised so as to respect the planned timing of disbursements as far as possible.</w:t>
      </w:r>
    </w:p>
    <w:p w14:paraId="43FB065F" w14:textId="77777777" w:rsidR="008F339F" w:rsidRDefault="008F339F" w:rsidP="008F339F">
      <w:pPr>
        <w:pStyle w:val="BodyText"/>
        <w:numPr>
          <w:ilvl w:val="0"/>
          <w:numId w:val="44"/>
        </w:numPr>
        <w:spacing w:line="360" w:lineRule="auto"/>
        <w:rPr>
          <w:rFonts w:ascii="Gill Sans MT" w:hAnsi="Gill Sans MT"/>
          <w:sz w:val="20"/>
          <w:lang w:val="en-GB"/>
        </w:rPr>
      </w:pPr>
      <w:r>
        <w:rPr>
          <w:rFonts w:ascii="Gill Sans MT" w:hAnsi="Gill Sans MT"/>
          <w:sz w:val="20"/>
          <w:lang w:val="en-GB"/>
        </w:rPr>
        <w:t xml:space="preserve">The numbers of disbursement conditions in GBS or SBS (and thus incorporated in the integrated PAF) should be limited. </w:t>
      </w:r>
    </w:p>
    <w:p w14:paraId="103049AD" w14:textId="77777777" w:rsidR="008F339F" w:rsidRDefault="008F339F" w:rsidP="008F339F">
      <w:pPr>
        <w:pStyle w:val="BodyText"/>
        <w:numPr>
          <w:ilvl w:val="0"/>
          <w:numId w:val="44"/>
        </w:numPr>
        <w:spacing w:line="360" w:lineRule="auto"/>
        <w:rPr>
          <w:rFonts w:ascii="Gill Sans MT" w:hAnsi="Gill Sans MT"/>
          <w:sz w:val="20"/>
          <w:lang w:val="en-GB"/>
        </w:rPr>
      </w:pPr>
      <w:r>
        <w:rPr>
          <w:rFonts w:ascii="Gill Sans MT" w:hAnsi="Gill Sans MT"/>
          <w:sz w:val="20"/>
          <w:lang w:val="en-GB"/>
        </w:rPr>
        <w:t>The number of separate variable or performance tranches supporting any GBS or SBS process should also be limited, in particular by harmonising across each donor operation so that the same indicators and performance areas are selected.</w:t>
      </w:r>
    </w:p>
    <w:p w14:paraId="27871930" w14:textId="77777777" w:rsidR="008F339F" w:rsidRDefault="008F339F" w:rsidP="008F339F">
      <w:pPr>
        <w:pStyle w:val="BodyText"/>
        <w:numPr>
          <w:ilvl w:val="0"/>
          <w:numId w:val="44"/>
        </w:numPr>
        <w:spacing w:line="360" w:lineRule="auto"/>
        <w:rPr>
          <w:rFonts w:ascii="Gill Sans MT" w:hAnsi="Gill Sans MT"/>
          <w:sz w:val="20"/>
          <w:lang w:val="en-GB"/>
        </w:rPr>
      </w:pPr>
      <w:r>
        <w:rPr>
          <w:rFonts w:ascii="Gill Sans MT" w:hAnsi="Gill Sans MT"/>
          <w:sz w:val="20"/>
          <w:lang w:val="en-GB"/>
        </w:rPr>
        <w:t>The above recommendations relating to the limitation on the number of partners and the introduction of a formal division of labour should be implemented in all on-going operations so as to limit transaction costs.</w:t>
      </w:r>
    </w:p>
    <w:p w14:paraId="04DE07C7" w14:textId="77777777" w:rsidR="008F339F" w:rsidRDefault="008F339F" w:rsidP="008F339F">
      <w:pPr>
        <w:pStyle w:val="BodyText"/>
        <w:numPr>
          <w:ilvl w:val="0"/>
          <w:numId w:val="44"/>
        </w:numPr>
        <w:spacing w:line="360" w:lineRule="auto"/>
        <w:rPr>
          <w:rFonts w:ascii="Gill Sans MT" w:hAnsi="Gill Sans MT"/>
          <w:sz w:val="20"/>
          <w:lang w:val="en-GB"/>
        </w:rPr>
      </w:pPr>
      <w:r>
        <w:rPr>
          <w:rFonts w:ascii="Gill Sans MT" w:hAnsi="Gill Sans MT"/>
          <w:sz w:val="20"/>
          <w:lang w:val="en-GB"/>
        </w:rPr>
        <w:t xml:space="preserve">Efforts should be made to maximise the harmonisation of processes and procedures so as to reduce transaction costs, wherever possible. </w:t>
      </w:r>
    </w:p>
    <w:p w14:paraId="54DD1FC1" w14:textId="77777777" w:rsidR="0013361E" w:rsidRPr="009151C2" w:rsidRDefault="0013361E" w:rsidP="0013361E">
      <w:pPr>
        <w:pStyle w:val="BodyText"/>
        <w:numPr>
          <w:ilvl w:val="0"/>
          <w:numId w:val="0"/>
        </w:numPr>
        <w:spacing w:line="360" w:lineRule="auto"/>
        <w:ind w:left="1219"/>
        <w:rPr>
          <w:rFonts w:ascii="Gill Sans MT" w:hAnsi="Gill Sans MT"/>
          <w:sz w:val="20"/>
          <w:lang w:val="en-GB"/>
        </w:rPr>
      </w:pPr>
    </w:p>
    <w:p w14:paraId="42180D60" w14:textId="77777777" w:rsidR="008F339F" w:rsidRDefault="008F339F" w:rsidP="008F339F">
      <w:pPr>
        <w:autoSpaceDE w:val="0"/>
        <w:autoSpaceDN w:val="0"/>
        <w:adjustRightInd w:val="0"/>
        <w:ind w:left="720" w:hanging="720"/>
        <w:rPr>
          <w:rFonts w:ascii="Gill Sans MT" w:eastAsia="PMingLiU" w:hAnsi="Gill Sans MT" w:cs="Arial"/>
          <w:sz w:val="20"/>
          <w:szCs w:val="20"/>
          <w:lang w:val="en-GB" w:eastAsia="zh-CN"/>
        </w:rPr>
        <w:sectPr w:rsidR="008F339F" w:rsidSect="00713B82">
          <w:pgSz w:w="11909" w:h="16834" w:code="9"/>
          <w:pgMar w:top="1440" w:right="1800" w:bottom="1440" w:left="1800" w:header="720" w:footer="720" w:gutter="0"/>
          <w:cols w:space="720"/>
          <w:docGrid w:linePitch="360"/>
        </w:sectPr>
      </w:pPr>
    </w:p>
    <w:p w14:paraId="2FC5E2AF" w14:textId="77777777" w:rsidR="00D23EA2" w:rsidRDefault="00D23EA2" w:rsidP="00D23EA2">
      <w:pPr>
        <w:pStyle w:val="Heading1"/>
        <w:ind w:left="357" w:hanging="357"/>
      </w:pPr>
      <w:bookmarkStart w:id="92" w:name="_Toc385426901"/>
      <w:bookmarkStart w:id="93" w:name="_Toc263270765"/>
      <w:bookmarkStart w:id="94" w:name="_Toc279848256"/>
      <w:r>
        <w:lastRenderedPageBreak/>
        <w:t>Bibliography</w:t>
      </w:r>
      <w:bookmarkEnd w:id="92"/>
      <w:bookmarkEnd w:id="93"/>
      <w:bookmarkEnd w:id="94"/>
    </w:p>
    <w:p w14:paraId="55962000" w14:textId="77777777" w:rsidR="00D23EA2" w:rsidRDefault="00D23EA2" w:rsidP="00D23EA2">
      <w:pPr>
        <w:pStyle w:val="FootnoteText"/>
        <w:tabs>
          <w:tab w:val="right" w:pos="9360"/>
        </w:tabs>
        <w:spacing w:before="0"/>
        <w:jc w:val="both"/>
        <w:rPr>
          <w:rFonts w:ascii="Gill Sans MT" w:hAnsi="Gill Sans MT"/>
          <w:lang w:val="en-US"/>
        </w:rPr>
      </w:pPr>
      <w:r w:rsidRPr="005016B9">
        <w:rPr>
          <w:rFonts w:ascii="Gill Sans MT" w:hAnsi="Gill Sans MT"/>
          <w:lang w:val="en-US"/>
        </w:rPr>
        <w:t>African Development Bank &amp; OECD, (2008), Morocco: Economic Perspectives, Paris &amp; Tunis</w:t>
      </w:r>
    </w:p>
    <w:p w14:paraId="7B568453" w14:textId="77777777" w:rsidR="00D23EA2" w:rsidRDefault="00D23EA2" w:rsidP="00D23EA2">
      <w:pPr>
        <w:pStyle w:val="FootnoteText"/>
        <w:rPr>
          <w:rFonts w:ascii="Gill Sans MT" w:hAnsi="Gill Sans MT"/>
          <w:lang w:val="en-US"/>
        </w:rPr>
      </w:pPr>
      <w:r w:rsidRPr="00F762A9">
        <w:rPr>
          <w:rFonts w:ascii="Gill Sans MT" w:hAnsi="Gill Sans MT"/>
          <w:lang w:val="en-US"/>
        </w:rPr>
        <w:t xml:space="preserve">Beynon, J. and </w:t>
      </w:r>
      <w:proofErr w:type="spellStart"/>
      <w:r w:rsidRPr="00F762A9">
        <w:rPr>
          <w:rFonts w:ascii="Gill Sans MT" w:hAnsi="Gill Sans MT"/>
          <w:lang w:val="en-US"/>
        </w:rPr>
        <w:t>Dusu</w:t>
      </w:r>
      <w:proofErr w:type="spellEnd"/>
      <w:r w:rsidRPr="00F762A9">
        <w:rPr>
          <w:rFonts w:ascii="Gill Sans MT" w:hAnsi="Gill Sans MT"/>
          <w:lang w:val="en-US"/>
        </w:rPr>
        <w:t>, A. (2010). Budget Support and MDG Performance. Brussels: European Commission, Development Paper No. 2010/01.</w:t>
      </w:r>
    </w:p>
    <w:p w14:paraId="411F6CAC" w14:textId="77777777" w:rsidR="00D23EA2" w:rsidRPr="00F762A9" w:rsidRDefault="00D23EA2" w:rsidP="00D23EA2">
      <w:pPr>
        <w:pStyle w:val="FootnoteText"/>
        <w:rPr>
          <w:rFonts w:ascii="Gill Sans MT" w:hAnsi="Gill Sans MT"/>
          <w:lang w:val="en-US"/>
        </w:rPr>
      </w:pPr>
      <w:r w:rsidRPr="00F762A9">
        <w:rPr>
          <w:rFonts w:ascii="Gill Sans MT" w:hAnsi="Gill Sans MT"/>
          <w:lang w:val="en-US"/>
        </w:rPr>
        <w:t xml:space="preserve">Blatter, J. and M. </w:t>
      </w:r>
      <w:proofErr w:type="spellStart"/>
      <w:r w:rsidRPr="00F762A9">
        <w:rPr>
          <w:rFonts w:ascii="Gill Sans MT" w:hAnsi="Gill Sans MT"/>
          <w:lang w:val="en-US"/>
        </w:rPr>
        <w:t>Haverland</w:t>
      </w:r>
      <w:proofErr w:type="spellEnd"/>
      <w:r w:rsidRPr="00F762A9">
        <w:rPr>
          <w:rFonts w:ascii="Gill Sans MT" w:hAnsi="Gill Sans MT"/>
          <w:lang w:val="en-US"/>
        </w:rPr>
        <w:t xml:space="preserve"> (2012) Designing Case Studies: Explanatory Approaches in Small-N Research. Basingstoke/New York: Palgrave MacMillan. </w:t>
      </w:r>
    </w:p>
    <w:p w14:paraId="6D98DA86" w14:textId="77777777" w:rsidR="00D23EA2" w:rsidRPr="00F762A9" w:rsidRDefault="00D23EA2" w:rsidP="00D23EA2">
      <w:pPr>
        <w:pStyle w:val="FootnoteText"/>
        <w:rPr>
          <w:rFonts w:ascii="Gill Sans MT" w:hAnsi="Gill Sans MT"/>
          <w:lang w:val="en-US"/>
        </w:rPr>
      </w:pPr>
      <w:r w:rsidRPr="00F762A9">
        <w:rPr>
          <w:rFonts w:ascii="Gill Sans MT" w:hAnsi="Gill Sans MT"/>
          <w:lang w:val="en-US"/>
        </w:rPr>
        <w:t xml:space="preserve">Burnside, C. and Dollar, D. (2000). </w:t>
      </w:r>
      <w:proofErr w:type="gramStart"/>
      <w:r w:rsidRPr="00F762A9">
        <w:rPr>
          <w:rFonts w:ascii="Gill Sans MT" w:hAnsi="Gill Sans MT"/>
          <w:lang w:val="en-US"/>
        </w:rPr>
        <w:t>Aid, policies and growth.</w:t>
      </w:r>
      <w:proofErr w:type="gramEnd"/>
      <w:r w:rsidRPr="00F762A9">
        <w:rPr>
          <w:rFonts w:ascii="Gill Sans MT" w:hAnsi="Gill Sans MT"/>
          <w:lang w:val="en-US"/>
        </w:rPr>
        <w:t xml:space="preserve"> American Economic Review, 90 (4), pp. 847-868.</w:t>
      </w:r>
    </w:p>
    <w:p w14:paraId="1C0430EE" w14:textId="77777777" w:rsidR="00D23EA2" w:rsidRDefault="00D23EA2" w:rsidP="00D23EA2">
      <w:pPr>
        <w:pStyle w:val="FootnoteText"/>
        <w:rPr>
          <w:rFonts w:ascii="Gill Sans MT" w:hAnsi="Gill Sans MT"/>
          <w:lang w:val="en-US"/>
        </w:rPr>
      </w:pPr>
      <w:r w:rsidRPr="008C51D1">
        <w:rPr>
          <w:rFonts w:ascii="Gill Sans MT" w:hAnsi="Gill Sans MT"/>
          <w:lang w:val="fr-BE"/>
        </w:rPr>
        <w:t xml:space="preserve">Collier, P., Guillaumont, P., Guillaumont, S., &amp; Gunning, J. W. (1997). </w:t>
      </w:r>
      <w:r w:rsidRPr="00F762A9">
        <w:rPr>
          <w:rFonts w:ascii="Gill Sans MT" w:hAnsi="Gill Sans MT"/>
          <w:lang w:val="en-US"/>
        </w:rPr>
        <w:t xml:space="preserve">Redesigning conditionality. World Development 25(9), 1399-1407. </w:t>
      </w:r>
    </w:p>
    <w:p w14:paraId="67D5E3D0" w14:textId="77777777" w:rsidR="00D23EA2" w:rsidRPr="005016B9" w:rsidRDefault="00D23EA2" w:rsidP="00D23EA2">
      <w:pPr>
        <w:pStyle w:val="FootnoteText"/>
        <w:rPr>
          <w:lang w:val="en-US"/>
        </w:rPr>
      </w:pPr>
      <w:r w:rsidRPr="005016B9">
        <w:rPr>
          <w:rFonts w:ascii="Gill Sans MT" w:hAnsi="Gill Sans MT"/>
          <w:lang w:val="en-US"/>
        </w:rPr>
        <w:t>Caputo, E., A. de Kemp and A. Lawson (October 2011), Assessing the Impacts of Budget Support: Case studies in Mali, Tunisia and Zambia, OECD-DAC Evaluation Insights; Paris.</w:t>
      </w:r>
      <w:r>
        <w:rPr>
          <w:lang w:val="en-US"/>
        </w:rPr>
        <w:t xml:space="preserve">  </w:t>
      </w:r>
    </w:p>
    <w:p w14:paraId="13919C19" w14:textId="77777777" w:rsidR="00D23EA2" w:rsidRDefault="00D23EA2" w:rsidP="00D23EA2">
      <w:pPr>
        <w:pStyle w:val="FootnoteText"/>
        <w:tabs>
          <w:tab w:val="right" w:pos="9360"/>
        </w:tabs>
        <w:spacing w:before="0"/>
        <w:jc w:val="both"/>
        <w:rPr>
          <w:rFonts w:ascii="Gill Sans MT" w:hAnsi="Gill Sans MT"/>
          <w:lang w:val="en-US"/>
        </w:rPr>
      </w:pPr>
      <w:proofErr w:type="spellStart"/>
      <w:r w:rsidRPr="0015715D">
        <w:rPr>
          <w:rFonts w:ascii="Gill Sans MT" w:hAnsi="Gill Sans MT"/>
          <w:lang w:val="en-US"/>
        </w:rPr>
        <w:t>Cunguara</w:t>
      </w:r>
      <w:proofErr w:type="spellEnd"/>
      <w:r w:rsidRPr="0015715D">
        <w:rPr>
          <w:rFonts w:ascii="Gill Sans MT" w:hAnsi="Gill Sans MT"/>
          <w:lang w:val="en-US"/>
        </w:rPr>
        <w:t xml:space="preserve">, </w:t>
      </w:r>
      <w:proofErr w:type="spellStart"/>
      <w:r w:rsidRPr="0015715D">
        <w:rPr>
          <w:rFonts w:ascii="Gill Sans MT" w:hAnsi="Gill Sans MT"/>
          <w:lang w:val="en-US"/>
        </w:rPr>
        <w:t>Benedito</w:t>
      </w:r>
      <w:proofErr w:type="spellEnd"/>
      <w:r w:rsidRPr="0015715D">
        <w:rPr>
          <w:rFonts w:ascii="Gill Sans MT" w:hAnsi="Gill Sans MT"/>
          <w:lang w:val="en-US"/>
        </w:rPr>
        <w:t xml:space="preserve"> and Garret James.</w:t>
      </w:r>
      <w:r>
        <w:rPr>
          <w:rFonts w:ascii="Gill Sans MT" w:hAnsi="Gill Sans MT"/>
          <w:lang w:val="en-US"/>
        </w:rPr>
        <w:t xml:space="preserve"> (</w:t>
      </w:r>
      <w:r w:rsidRPr="0015715D">
        <w:rPr>
          <w:rFonts w:ascii="Gill Sans MT" w:hAnsi="Gill Sans MT"/>
          <w:lang w:val="en-US"/>
        </w:rPr>
        <w:t>2011</w:t>
      </w:r>
      <w:r>
        <w:rPr>
          <w:rFonts w:ascii="Gill Sans MT" w:hAnsi="Gill Sans MT"/>
          <w:lang w:val="en-US"/>
        </w:rPr>
        <w:t>)</w:t>
      </w:r>
      <w:r w:rsidRPr="0015715D">
        <w:rPr>
          <w:rFonts w:ascii="Gill Sans MT" w:hAnsi="Gill Sans MT"/>
          <w:lang w:val="en-US"/>
        </w:rPr>
        <w:t>. “Agricultural Sector in Mozambique: Situation analysis, constraints and opportunities f</w:t>
      </w:r>
      <w:r>
        <w:rPr>
          <w:rFonts w:ascii="Gill Sans MT" w:hAnsi="Gill Sans MT"/>
          <w:lang w:val="en-US"/>
        </w:rPr>
        <w:t>or agricultural growth.”  IFPRI.</w:t>
      </w:r>
    </w:p>
    <w:p w14:paraId="541E3662" w14:textId="77777777" w:rsidR="00D23EA2" w:rsidRDefault="00D23EA2" w:rsidP="00D23EA2">
      <w:pPr>
        <w:pStyle w:val="FootnoteText"/>
        <w:tabs>
          <w:tab w:val="right" w:pos="9360"/>
        </w:tabs>
        <w:spacing w:before="0"/>
        <w:jc w:val="both"/>
        <w:rPr>
          <w:rFonts w:ascii="Gill Sans MT" w:hAnsi="Gill Sans MT"/>
          <w:lang w:val="en-US"/>
        </w:rPr>
      </w:pPr>
      <w:r>
        <w:rPr>
          <w:rFonts w:ascii="Gill Sans MT" w:hAnsi="Gill Sans MT"/>
          <w:lang w:val="en-US"/>
        </w:rPr>
        <w:t xml:space="preserve">Danida (2012), ‘The Right to a Better Life,’ (June 2012) Strategy for Denmark’s Development Cooperation, The Danish Government’ </w:t>
      </w:r>
    </w:p>
    <w:p w14:paraId="26193C7F" w14:textId="77777777" w:rsidR="00D23EA2" w:rsidRDefault="00D23EA2" w:rsidP="00D23EA2">
      <w:pPr>
        <w:pStyle w:val="FootnoteText"/>
        <w:tabs>
          <w:tab w:val="right" w:pos="9360"/>
        </w:tabs>
        <w:spacing w:before="0"/>
        <w:jc w:val="both"/>
        <w:rPr>
          <w:rFonts w:ascii="Gill Sans MT" w:hAnsi="Gill Sans MT"/>
          <w:lang w:val="en-US"/>
        </w:rPr>
      </w:pPr>
      <w:r>
        <w:rPr>
          <w:rFonts w:ascii="Gill Sans MT" w:hAnsi="Gill Sans MT"/>
          <w:lang w:val="en-US"/>
        </w:rPr>
        <w:t>Danida (2013), ‘Guidelines for Development Contracts’, Danish Ministry of F</w:t>
      </w:r>
      <w:r w:rsidRPr="00D24C6F">
        <w:rPr>
          <w:rFonts w:ascii="Gill Sans MT" w:hAnsi="Gill Sans MT"/>
          <w:lang w:val="en-US"/>
        </w:rPr>
        <w:t>oreign</w:t>
      </w:r>
    </w:p>
    <w:p w14:paraId="3132A762" w14:textId="77777777" w:rsidR="00D23EA2" w:rsidRPr="008C51D1" w:rsidRDefault="00D23EA2" w:rsidP="00D23EA2">
      <w:pPr>
        <w:pStyle w:val="FootnoteText"/>
        <w:rPr>
          <w:rFonts w:ascii="Gill Sans MT" w:hAnsi="Gill Sans MT"/>
          <w:lang w:val="fr-BE"/>
        </w:rPr>
      </w:pPr>
      <w:r w:rsidRPr="008C51D1">
        <w:rPr>
          <w:rFonts w:ascii="Gill Sans MT" w:hAnsi="Gill Sans MT"/>
          <w:lang w:val="fr-BE"/>
        </w:rPr>
        <w:t>DRN 2011: ‘Evaluation des opérations d'aide budgétaire de la Commission Européenne à la Tunisie entre 1996 et 2008’, Development Researchers Network (DRN), Mars 2011</w:t>
      </w:r>
    </w:p>
    <w:p w14:paraId="7F4C2CDF" w14:textId="77777777" w:rsidR="00D23EA2" w:rsidRDefault="00D23EA2" w:rsidP="00D23EA2">
      <w:pPr>
        <w:pStyle w:val="FootnoteText"/>
        <w:rPr>
          <w:rFonts w:ascii="Gill Sans MT" w:hAnsi="Gill Sans MT"/>
          <w:lang w:val="en-US"/>
        </w:rPr>
      </w:pPr>
      <w:r w:rsidRPr="005016B9">
        <w:rPr>
          <w:rFonts w:ascii="Gill Sans MT" w:hAnsi="Gill Sans MT"/>
          <w:lang w:val="en-US"/>
        </w:rPr>
        <w:t>De Renzio, P., M.</w:t>
      </w:r>
      <w:r>
        <w:rPr>
          <w:rFonts w:ascii="Gill Sans MT" w:hAnsi="Gill Sans MT"/>
          <w:lang w:val="en-US"/>
        </w:rPr>
        <w:t xml:space="preserve"> Andrews and Z. Mills (</w:t>
      </w:r>
      <w:r w:rsidRPr="005016B9">
        <w:rPr>
          <w:rFonts w:ascii="Gill Sans MT" w:hAnsi="Gill Sans MT"/>
          <w:lang w:val="en-US"/>
        </w:rPr>
        <w:t xml:space="preserve">2010), Evaluation of Donor Support to PFM Reforms in Developing Countries: Analytical Study of quantitative cross-country evidence, </w:t>
      </w:r>
      <w:r>
        <w:rPr>
          <w:rFonts w:ascii="Gill Sans MT" w:hAnsi="Gill Sans MT"/>
          <w:lang w:val="en-US"/>
        </w:rPr>
        <w:t>ODI</w:t>
      </w:r>
      <w:r w:rsidRPr="005016B9">
        <w:rPr>
          <w:rFonts w:ascii="Gill Sans MT" w:hAnsi="Gill Sans MT"/>
          <w:lang w:val="en-US"/>
        </w:rPr>
        <w:t>, London.</w:t>
      </w:r>
    </w:p>
    <w:p w14:paraId="286251C9" w14:textId="77777777" w:rsidR="00D23EA2" w:rsidRDefault="00D23EA2" w:rsidP="00D23EA2">
      <w:pPr>
        <w:pStyle w:val="FootnoteText"/>
        <w:rPr>
          <w:rFonts w:ascii="Gill Sans MT" w:hAnsi="Gill Sans MT"/>
          <w:lang w:val="en-US"/>
        </w:rPr>
      </w:pPr>
      <w:proofErr w:type="gramStart"/>
      <w:r w:rsidRPr="00F762A9">
        <w:rPr>
          <w:rFonts w:ascii="Gill Sans MT" w:hAnsi="Gill Sans MT"/>
          <w:lang w:val="en-US"/>
        </w:rPr>
        <w:t xml:space="preserve">Dollar, D., &amp; </w:t>
      </w:r>
      <w:proofErr w:type="spellStart"/>
      <w:r w:rsidRPr="00F762A9">
        <w:rPr>
          <w:rFonts w:ascii="Gill Sans MT" w:hAnsi="Gill Sans MT"/>
          <w:lang w:val="en-US"/>
        </w:rPr>
        <w:t>Svensson</w:t>
      </w:r>
      <w:proofErr w:type="spellEnd"/>
      <w:r w:rsidRPr="00F762A9">
        <w:rPr>
          <w:rFonts w:ascii="Gill Sans MT" w:hAnsi="Gill Sans MT"/>
          <w:lang w:val="en-US"/>
        </w:rPr>
        <w:t>, J. (2000).</w:t>
      </w:r>
      <w:proofErr w:type="gramEnd"/>
      <w:r w:rsidRPr="00F762A9">
        <w:rPr>
          <w:rFonts w:ascii="Gill Sans MT" w:hAnsi="Gill Sans MT"/>
          <w:lang w:val="en-US"/>
        </w:rPr>
        <w:t xml:space="preserve"> What explains the success or failure of structural adjustment programs? The Economic Journal, 110, 894-917. </w:t>
      </w:r>
    </w:p>
    <w:p w14:paraId="5EE85FB6" w14:textId="77777777" w:rsidR="00D23EA2" w:rsidRDefault="00D23EA2" w:rsidP="00D23EA2">
      <w:pPr>
        <w:pStyle w:val="FootnoteText"/>
        <w:rPr>
          <w:rFonts w:ascii="Gill Sans MT" w:hAnsi="Gill Sans MT"/>
          <w:lang w:val="en-US"/>
        </w:rPr>
      </w:pPr>
      <w:r w:rsidRPr="003F649A">
        <w:rPr>
          <w:rFonts w:ascii="Gill Sans MT" w:hAnsi="Gill Sans MT"/>
          <w:lang w:val="en-US"/>
        </w:rPr>
        <w:t xml:space="preserve">ECO-Consult et al 2011: ‘Joint Evaluation of Budget Support Operations in Mali 2003-2009’, </w:t>
      </w:r>
      <w:r>
        <w:rPr>
          <w:rFonts w:ascii="Gill Sans MT" w:hAnsi="Gill Sans MT"/>
          <w:lang w:val="en-US"/>
        </w:rPr>
        <w:t xml:space="preserve">Frank </w:t>
      </w:r>
      <w:proofErr w:type="spellStart"/>
      <w:r>
        <w:rPr>
          <w:rFonts w:ascii="Gill Sans MT" w:hAnsi="Gill Sans MT"/>
          <w:lang w:val="en-US"/>
        </w:rPr>
        <w:t>Furt</w:t>
      </w:r>
      <w:proofErr w:type="spellEnd"/>
      <w:r w:rsidRPr="003F649A">
        <w:rPr>
          <w:rFonts w:ascii="Gill Sans MT" w:hAnsi="Gill Sans MT"/>
          <w:lang w:val="en-US"/>
        </w:rPr>
        <w:t>, September 2011</w:t>
      </w:r>
    </w:p>
    <w:p w14:paraId="13ACC534" w14:textId="77777777" w:rsidR="00D23EA2" w:rsidRPr="003F649A" w:rsidRDefault="00D23EA2" w:rsidP="00D23EA2">
      <w:pPr>
        <w:pStyle w:val="FootnoteText"/>
        <w:tabs>
          <w:tab w:val="right" w:pos="9360"/>
        </w:tabs>
        <w:spacing w:before="0"/>
        <w:jc w:val="both"/>
        <w:rPr>
          <w:rFonts w:ascii="Gill Sans MT" w:hAnsi="Gill Sans MT"/>
          <w:lang w:val="en-US"/>
        </w:rPr>
      </w:pPr>
      <w:r w:rsidRPr="003F649A">
        <w:rPr>
          <w:rFonts w:ascii="Gill Sans MT" w:hAnsi="Gill Sans MT"/>
          <w:lang w:val="en-US"/>
        </w:rPr>
        <w:t>ECORYS 2010: ‘Comparative Review of Austrian Development Cooperation’s Budget Support Operations’, September 2010</w:t>
      </w:r>
    </w:p>
    <w:p w14:paraId="66160792" w14:textId="77777777" w:rsidR="00D23EA2" w:rsidRDefault="00D23EA2" w:rsidP="00D23EA2">
      <w:pPr>
        <w:pStyle w:val="FootnoteText"/>
        <w:tabs>
          <w:tab w:val="right" w:pos="9360"/>
        </w:tabs>
        <w:spacing w:before="0"/>
        <w:jc w:val="both"/>
        <w:rPr>
          <w:rFonts w:ascii="Gill Sans MT" w:hAnsi="Gill Sans MT"/>
          <w:lang w:val="en-US"/>
        </w:rPr>
      </w:pPr>
      <w:r w:rsidRPr="003F649A">
        <w:rPr>
          <w:rFonts w:ascii="Gill Sans MT" w:hAnsi="Gill Sans MT"/>
          <w:lang w:val="en-US"/>
        </w:rPr>
        <w:t>EU 2012: “Budget Support Guidelines, September 2012” European Commission, DEVCO A2.</w:t>
      </w:r>
    </w:p>
    <w:p w14:paraId="762D6844" w14:textId="77777777" w:rsidR="00D23EA2" w:rsidRPr="00BC6FFC" w:rsidRDefault="00D23EA2" w:rsidP="00D23EA2">
      <w:pPr>
        <w:autoSpaceDE w:val="0"/>
        <w:ind w:left="720" w:hanging="720"/>
        <w:rPr>
          <w:rFonts w:ascii="Gill Sans MT" w:hAnsi="Gill Sans MT"/>
          <w:sz w:val="20"/>
          <w:szCs w:val="20"/>
          <w:lang w:val="en-US"/>
        </w:rPr>
      </w:pPr>
      <w:proofErr w:type="gramStart"/>
      <w:r w:rsidRPr="002111B1">
        <w:rPr>
          <w:rFonts w:ascii="Gill Sans MT" w:hAnsi="Gill Sans MT"/>
          <w:sz w:val="20"/>
          <w:szCs w:val="20"/>
          <w:lang w:val="en-US"/>
        </w:rPr>
        <w:t xml:space="preserve">George, A.L and A. </w:t>
      </w:r>
      <w:r>
        <w:rPr>
          <w:rFonts w:ascii="Gill Sans MT" w:hAnsi="Gill Sans MT"/>
          <w:sz w:val="20"/>
          <w:szCs w:val="20"/>
          <w:lang w:val="en-US"/>
        </w:rPr>
        <w:t>B</w:t>
      </w:r>
      <w:r w:rsidRPr="002111B1">
        <w:rPr>
          <w:rFonts w:ascii="Gill Sans MT" w:hAnsi="Gill Sans MT"/>
          <w:sz w:val="20"/>
          <w:szCs w:val="20"/>
          <w:lang w:val="en-US"/>
        </w:rPr>
        <w:t>ennett (2005), Case studies and theory development in the social sciences.</w:t>
      </w:r>
      <w:proofErr w:type="gramEnd"/>
      <w:r w:rsidRPr="002111B1">
        <w:rPr>
          <w:rFonts w:ascii="Gill Sans MT" w:hAnsi="Gill Sans MT"/>
          <w:sz w:val="20"/>
          <w:szCs w:val="20"/>
          <w:lang w:val="en-US"/>
        </w:rPr>
        <w:t xml:space="preserve"> Cambridge, MA: MIT Press.</w:t>
      </w:r>
    </w:p>
    <w:p w14:paraId="4705FF0D" w14:textId="77777777" w:rsidR="00D23EA2" w:rsidRPr="003F649A" w:rsidRDefault="00D23EA2" w:rsidP="00D23EA2">
      <w:pPr>
        <w:pStyle w:val="FootnoteText"/>
        <w:tabs>
          <w:tab w:val="right" w:pos="9360"/>
        </w:tabs>
        <w:spacing w:before="0"/>
        <w:jc w:val="both"/>
        <w:rPr>
          <w:rFonts w:ascii="Gill Sans MT" w:hAnsi="Gill Sans MT"/>
          <w:lang w:val="en-US"/>
        </w:rPr>
      </w:pPr>
      <w:r w:rsidRPr="00F762A9">
        <w:rPr>
          <w:rFonts w:ascii="Gill Sans MT" w:hAnsi="Gill Sans MT"/>
          <w:lang w:val="en-US"/>
        </w:rPr>
        <w:t xml:space="preserve">Hayman, R. (2011) Budget Support and Democracy: A Twist in the Conditionality Tale. Third World Quarterly 32(4): 673-688. </w:t>
      </w:r>
    </w:p>
    <w:p w14:paraId="4C16636C" w14:textId="77777777" w:rsidR="00D23EA2" w:rsidRPr="003F649A" w:rsidRDefault="00D23EA2" w:rsidP="00D23EA2">
      <w:pPr>
        <w:pStyle w:val="FootnoteText"/>
        <w:tabs>
          <w:tab w:val="right" w:pos="9360"/>
        </w:tabs>
        <w:spacing w:before="0"/>
        <w:jc w:val="both"/>
        <w:rPr>
          <w:rFonts w:ascii="Gill Sans MT" w:hAnsi="Gill Sans MT"/>
          <w:lang w:val="en-US"/>
        </w:rPr>
      </w:pPr>
      <w:r w:rsidRPr="003F649A">
        <w:rPr>
          <w:rFonts w:ascii="Gill Sans MT" w:hAnsi="Gill Sans MT"/>
          <w:lang w:val="en-US"/>
        </w:rPr>
        <w:t>ICAI 2012: ‘The Management of UK Budget Support Operations’, ICAI May 2012</w:t>
      </w:r>
    </w:p>
    <w:p w14:paraId="11F10DF0" w14:textId="77777777" w:rsidR="00D23EA2" w:rsidRPr="003F649A" w:rsidRDefault="00D23EA2" w:rsidP="00D23EA2">
      <w:pPr>
        <w:pStyle w:val="FootnoteText"/>
        <w:tabs>
          <w:tab w:val="right" w:pos="9360"/>
        </w:tabs>
        <w:spacing w:before="0"/>
        <w:jc w:val="both"/>
        <w:rPr>
          <w:rFonts w:ascii="Gill Sans MT" w:hAnsi="Gill Sans MT"/>
          <w:lang w:val="en-US"/>
        </w:rPr>
      </w:pPr>
      <w:r w:rsidRPr="003F649A">
        <w:rPr>
          <w:rFonts w:ascii="Gill Sans MT" w:hAnsi="Gill Sans MT"/>
          <w:lang w:val="en-US"/>
        </w:rPr>
        <w:t>IDD 2006: ‘Joint Evaluation of General Budget Support’, IDD, May 2006</w:t>
      </w:r>
    </w:p>
    <w:p w14:paraId="67B072A6" w14:textId="77777777" w:rsidR="00D23EA2" w:rsidRPr="003F649A" w:rsidRDefault="00D23EA2" w:rsidP="00D23EA2">
      <w:pPr>
        <w:pStyle w:val="FootnoteText"/>
        <w:tabs>
          <w:tab w:val="right" w:pos="9360"/>
        </w:tabs>
        <w:spacing w:before="0"/>
        <w:jc w:val="both"/>
        <w:rPr>
          <w:rFonts w:ascii="Gill Sans MT" w:hAnsi="Gill Sans MT"/>
          <w:lang w:val="en-US"/>
        </w:rPr>
      </w:pPr>
      <w:r w:rsidRPr="003F649A">
        <w:rPr>
          <w:rFonts w:ascii="Gill Sans MT" w:hAnsi="Gill Sans MT"/>
          <w:lang w:val="en-US"/>
        </w:rPr>
        <w:t xml:space="preserve">IEG 2010: ‘Poverty Reduction Support Credits - An Evaluation of World Bank Support’, Independent Evaluation Group, World Bank 2010 </w:t>
      </w:r>
    </w:p>
    <w:p w14:paraId="772B2890" w14:textId="77777777" w:rsidR="00D23EA2" w:rsidRDefault="00D23EA2" w:rsidP="00D23EA2">
      <w:pPr>
        <w:pStyle w:val="FootnoteText"/>
        <w:tabs>
          <w:tab w:val="right" w:pos="9360"/>
        </w:tabs>
        <w:spacing w:before="0"/>
        <w:jc w:val="both"/>
        <w:rPr>
          <w:rFonts w:ascii="Gill Sans MT" w:hAnsi="Gill Sans MT"/>
          <w:lang w:val="en-US"/>
        </w:rPr>
      </w:pPr>
      <w:r w:rsidRPr="00D24C6F">
        <w:rPr>
          <w:rFonts w:ascii="Gill Sans MT" w:hAnsi="Gill Sans MT"/>
          <w:lang w:val="en-US"/>
        </w:rPr>
        <w:t>IDD and Associates, (2006), Evaluation of General Budget Support: Synthesis Report, International Development Department, University of Birmingham, UK. The report summarized the results of country evaluations in Burkina Faso, Malawi, Mozambique, Nicaragua, Rwanda, Uganda and Vietnam.</w:t>
      </w:r>
    </w:p>
    <w:p w14:paraId="4DC0097C" w14:textId="77777777" w:rsidR="00D23EA2" w:rsidRPr="003F649A" w:rsidRDefault="00D23EA2" w:rsidP="00D23EA2">
      <w:pPr>
        <w:pStyle w:val="FootnoteText"/>
        <w:rPr>
          <w:rFonts w:ascii="Gill Sans MT" w:hAnsi="Gill Sans MT"/>
          <w:lang w:val="en-US"/>
        </w:rPr>
      </w:pPr>
      <w:r w:rsidRPr="003F649A">
        <w:rPr>
          <w:rFonts w:ascii="Gill Sans MT" w:hAnsi="Gill Sans MT"/>
          <w:lang w:val="en-US"/>
        </w:rPr>
        <w:t>IOB 2011: ‘Between high expectations and reality: An evaluation of budget support in Zambia (2005-2010)’, IOB November 2011</w:t>
      </w:r>
    </w:p>
    <w:p w14:paraId="5B38A68C" w14:textId="77777777" w:rsidR="00D23EA2" w:rsidRDefault="00D23EA2" w:rsidP="00D23EA2">
      <w:pPr>
        <w:pStyle w:val="FootnoteText"/>
        <w:rPr>
          <w:rFonts w:ascii="Gill Sans MT" w:hAnsi="Gill Sans MT"/>
          <w:lang w:val="en-US"/>
        </w:rPr>
      </w:pPr>
      <w:r>
        <w:rPr>
          <w:rFonts w:ascii="Gill Sans MT" w:hAnsi="Gill Sans MT"/>
          <w:lang w:val="en-US"/>
        </w:rPr>
        <w:t>IOB 2012</w:t>
      </w:r>
      <w:r w:rsidRPr="003F649A">
        <w:rPr>
          <w:rFonts w:ascii="Gill Sans MT" w:hAnsi="Gill Sans MT"/>
          <w:lang w:val="en-US"/>
        </w:rPr>
        <w:t>: ‘Budget support: Conditional Results - Review of an instrument (2000-2011)’, IOB 2013</w:t>
      </w:r>
    </w:p>
    <w:p w14:paraId="275A3429" w14:textId="77777777" w:rsidR="00D23EA2" w:rsidRPr="003F649A" w:rsidRDefault="00D23EA2" w:rsidP="00D23EA2">
      <w:pPr>
        <w:pStyle w:val="FootnoteText"/>
        <w:tabs>
          <w:tab w:val="right" w:pos="9360"/>
        </w:tabs>
        <w:spacing w:before="0"/>
        <w:jc w:val="both"/>
        <w:rPr>
          <w:rFonts w:ascii="Gill Sans MT" w:hAnsi="Gill Sans MT"/>
          <w:lang w:val="en-US"/>
        </w:rPr>
      </w:pPr>
      <w:r w:rsidRPr="003F649A">
        <w:rPr>
          <w:rFonts w:ascii="Gill Sans MT" w:hAnsi="Gill Sans MT"/>
          <w:lang w:val="en-US"/>
        </w:rPr>
        <w:t>ITAD 2013:’ Joint Evaluation of Budget Support to Tanzania: lessons learned and recommendations for the future’, ITAD September 2013</w:t>
      </w:r>
    </w:p>
    <w:p w14:paraId="4A8FC091" w14:textId="77777777" w:rsidR="00D23EA2" w:rsidRDefault="00D23EA2" w:rsidP="00D23EA2">
      <w:pPr>
        <w:pStyle w:val="FootnoteText"/>
        <w:rPr>
          <w:rFonts w:ascii="Gill Sans MT" w:hAnsi="Gill Sans MT"/>
          <w:lang w:val="en-US"/>
        </w:rPr>
      </w:pPr>
    </w:p>
    <w:p w14:paraId="07DB52F2" w14:textId="77777777" w:rsidR="00D23EA2" w:rsidRPr="0015715D" w:rsidRDefault="00D23EA2" w:rsidP="00D23EA2">
      <w:pPr>
        <w:pStyle w:val="FootnoteText"/>
        <w:rPr>
          <w:rFonts w:ascii="Gill Sans MT" w:hAnsi="Gill Sans MT"/>
          <w:lang w:val="en-US"/>
        </w:rPr>
      </w:pPr>
      <w:r w:rsidRPr="003F649A">
        <w:rPr>
          <w:rFonts w:ascii="Gill Sans MT" w:hAnsi="Gill Sans MT"/>
          <w:lang w:val="en-US"/>
        </w:rPr>
        <w:lastRenderedPageBreak/>
        <w:t>Lawson, A. 2012: ‘Evaluation of Public Financial Management Reform in Burkina Faso, Ghana and Malawi 2001–2010’ Final Synthesis Report, April 2012</w:t>
      </w:r>
    </w:p>
    <w:p w14:paraId="0409C058" w14:textId="77777777" w:rsidR="00D23EA2" w:rsidRPr="008C51D1" w:rsidRDefault="00D23EA2" w:rsidP="00D23EA2">
      <w:pPr>
        <w:pStyle w:val="FootnoteText"/>
        <w:spacing w:before="0"/>
        <w:jc w:val="both"/>
        <w:rPr>
          <w:rFonts w:ascii="Gill Sans MT" w:hAnsi="Gill Sans MT"/>
          <w:lang w:val="en-GB"/>
        </w:rPr>
      </w:pPr>
      <w:proofErr w:type="spellStart"/>
      <w:r w:rsidRPr="008C51D1">
        <w:rPr>
          <w:rFonts w:ascii="Gill Sans MT" w:hAnsi="Gill Sans MT"/>
          <w:lang w:val="en-GB"/>
        </w:rPr>
        <w:t>Mogues</w:t>
      </w:r>
      <w:proofErr w:type="spellEnd"/>
      <w:r w:rsidRPr="008C51D1">
        <w:rPr>
          <w:rFonts w:ascii="Gill Sans MT" w:hAnsi="Gill Sans MT"/>
          <w:lang w:val="en-GB"/>
        </w:rPr>
        <w:t xml:space="preserve">, T and Benin, S (2012) </w:t>
      </w:r>
      <w:r w:rsidRPr="008C51D1">
        <w:rPr>
          <w:rFonts w:ascii="Gill Sans MT" w:hAnsi="Gill Sans MT"/>
          <w:i/>
          <w:lang w:val="en-GB"/>
        </w:rPr>
        <w:t>Public Expenditures in Agriculture in Mozambique</w:t>
      </w:r>
      <w:r w:rsidRPr="008C51D1">
        <w:rPr>
          <w:rFonts w:ascii="Gill Sans MT" w:hAnsi="Gill Sans MT"/>
          <w:lang w:val="en-GB"/>
        </w:rPr>
        <w:t xml:space="preserve"> International Food Policy Research Institute</w:t>
      </w:r>
    </w:p>
    <w:p w14:paraId="0524ACD0" w14:textId="77777777" w:rsidR="00D23EA2" w:rsidRPr="000B4911" w:rsidRDefault="00D23EA2" w:rsidP="00D23EA2">
      <w:pPr>
        <w:autoSpaceDE w:val="0"/>
        <w:autoSpaceDN w:val="0"/>
        <w:adjustRightInd w:val="0"/>
        <w:spacing w:after="120"/>
        <w:ind w:left="284" w:hanging="284"/>
        <w:jc w:val="both"/>
        <w:rPr>
          <w:rFonts w:ascii="Gill Sans MT" w:hAnsi="Gill Sans MT"/>
          <w:sz w:val="20"/>
          <w:szCs w:val="20"/>
          <w:lang w:val="en-US"/>
        </w:rPr>
      </w:pPr>
      <w:proofErr w:type="spellStart"/>
      <w:r>
        <w:rPr>
          <w:rFonts w:ascii="Gill Sans MT" w:hAnsi="Gill Sans MT"/>
          <w:sz w:val="20"/>
          <w:szCs w:val="20"/>
          <w:lang w:val="en-US"/>
        </w:rPr>
        <w:t>Molenaers</w:t>
      </w:r>
      <w:proofErr w:type="spellEnd"/>
      <w:r>
        <w:rPr>
          <w:rFonts w:ascii="Gill Sans MT" w:hAnsi="Gill Sans MT"/>
          <w:sz w:val="20"/>
          <w:szCs w:val="20"/>
          <w:lang w:val="en-US"/>
        </w:rPr>
        <w:t xml:space="preserve">, N, </w:t>
      </w:r>
      <w:proofErr w:type="spellStart"/>
      <w:r>
        <w:rPr>
          <w:rFonts w:ascii="Gill Sans MT" w:hAnsi="Gill Sans MT"/>
          <w:sz w:val="20"/>
          <w:szCs w:val="20"/>
          <w:lang w:val="en-US"/>
        </w:rPr>
        <w:t>Gagiano</w:t>
      </w:r>
      <w:proofErr w:type="spellEnd"/>
      <w:r>
        <w:rPr>
          <w:rFonts w:ascii="Gill Sans MT" w:hAnsi="Gill Sans MT"/>
          <w:sz w:val="20"/>
          <w:szCs w:val="20"/>
          <w:lang w:val="en-US"/>
        </w:rPr>
        <w:t xml:space="preserve">, A., </w:t>
      </w:r>
      <w:proofErr w:type="spellStart"/>
      <w:r>
        <w:rPr>
          <w:rFonts w:ascii="Gill Sans MT" w:hAnsi="Gill Sans MT"/>
          <w:sz w:val="20"/>
          <w:szCs w:val="20"/>
          <w:lang w:val="en-US"/>
        </w:rPr>
        <w:t>Smets</w:t>
      </w:r>
      <w:proofErr w:type="spellEnd"/>
      <w:r>
        <w:rPr>
          <w:rFonts w:ascii="Gill Sans MT" w:hAnsi="Gill Sans MT"/>
          <w:sz w:val="20"/>
          <w:szCs w:val="20"/>
          <w:lang w:val="en-US"/>
        </w:rPr>
        <w:t xml:space="preserve">, L. and </w:t>
      </w:r>
      <w:proofErr w:type="spellStart"/>
      <w:r>
        <w:rPr>
          <w:rFonts w:ascii="Gill Sans MT" w:hAnsi="Gill Sans MT"/>
          <w:sz w:val="20"/>
          <w:szCs w:val="20"/>
          <w:lang w:val="en-US"/>
        </w:rPr>
        <w:t>Dellepiane</w:t>
      </w:r>
      <w:proofErr w:type="spellEnd"/>
      <w:r>
        <w:rPr>
          <w:rFonts w:ascii="Gill Sans MT" w:hAnsi="Gill Sans MT"/>
          <w:sz w:val="20"/>
          <w:szCs w:val="20"/>
          <w:lang w:val="en-US"/>
        </w:rPr>
        <w:t xml:space="preserve">, S. (2013) </w:t>
      </w:r>
      <w:proofErr w:type="gramStart"/>
      <w:r>
        <w:rPr>
          <w:rFonts w:ascii="Gill Sans MT" w:hAnsi="Gill Sans MT"/>
          <w:i/>
          <w:sz w:val="20"/>
          <w:szCs w:val="20"/>
          <w:lang w:val="en-US"/>
        </w:rPr>
        <w:t>What</w:t>
      </w:r>
      <w:proofErr w:type="gramEnd"/>
      <w:r>
        <w:rPr>
          <w:rFonts w:ascii="Gill Sans MT" w:hAnsi="Gill Sans MT"/>
          <w:i/>
          <w:sz w:val="20"/>
          <w:szCs w:val="20"/>
          <w:lang w:val="en-US"/>
        </w:rPr>
        <w:t xml:space="preserve"> determines the suspension of budget support in Sub-Saharan Africa? </w:t>
      </w:r>
      <w:r>
        <w:rPr>
          <w:rFonts w:ascii="Gill Sans MT" w:hAnsi="Gill Sans MT"/>
          <w:sz w:val="20"/>
          <w:szCs w:val="20"/>
          <w:lang w:val="en-US"/>
        </w:rPr>
        <w:t>IOB/</w:t>
      </w:r>
      <w:proofErr w:type="spellStart"/>
      <w:r>
        <w:rPr>
          <w:rFonts w:ascii="Gill Sans MT" w:hAnsi="Gill Sans MT"/>
          <w:sz w:val="20"/>
          <w:szCs w:val="20"/>
          <w:lang w:val="en-US"/>
        </w:rPr>
        <w:t>Universiteit</w:t>
      </w:r>
      <w:proofErr w:type="spellEnd"/>
      <w:r>
        <w:rPr>
          <w:rFonts w:ascii="Gill Sans MT" w:hAnsi="Gill Sans MT"/>
          <w:sz w:val="20"/>
          <w:szCs w:val="20"/>
          <w:lang w:val="en-US"/>
        </w:rPr>
        <w:t xml:space="preserve"> </w:t>
      </w:r>
      <w:proofErr w:type="spellStart"/>
      <w:r>
        <w:rPr>
          <w:rFonts w:ascii="Gill Sans MT" w:hAnsi="Gill Sans MT"/>
          <w:sz w:val="20"/>
          <w:szCs w:val="20"/>
          <w:lang w:val="en-US"/>
        </w:rPr>
        <w:t>Antwerpen</w:t>
      </w:r>
      <w:proofErr w:type="spellEnd"/>
    </w:p>
    <w:p w14:paraId="6B066DEB" w14:textId="77777777" w:rsidR="00D23EA2" w:rsidRDefault="00D23EA2" w:rsidP="00D23EA2">
      <w:pPr>
        <w:pStyle w:val="FootnoteText"/>
        <w:spacing w:before="0"/>
        <w:jc w:val="both"/>
        <w:rPr>
          <w:rFonts w:ascii="Gill Sans MT" w:hAnsi="Gill Sans MT"/>
          <w:lang w:eastAsia="en-GB"/>
        </w:rPr>
      </w:pPr>
      <w:r w:rsidRPr="00A2381E">
        <w:rPr>
          <w:rFonts w:ascii="Gill Sans MT" w:hAnsi="Gill Sans MT"/>
          <w:lang w:eastAsia="en-GB"/>
        </w:rPr>
        <w:t xml:space="preserve">OECD-DAC (2006), </w:t>
      </w:r>
      <w:proofErr w:type="spellStart"/>
      <w:r w:rsidRPr="008C51D1">
        <w:rPr>
          <w:rFonts w:ascii="Gill Sans MT" w:hAnsi="Gill Sans MT"/>
          <w:lang w:val="en-US"/>
        </w:rPr>
        <w:t>Harmonising</w:t>
      </w:r>
      <w:proofErr w:type="spellEnd"/>
      <w:r w:rsidRPr="00A2381E">
        <w:rPr>
          <w:rFonts w:ascii="Gill Sans MT" w:hAnsi="Gill Sans MT"/>
          <w:i/>
          <w:lang w:eastAsia="en-GB"/>
        </w:rPr>
        <w:t xml:space="preserve"> Donor Practise for Effective Aid Delivery</w:t>
      </w:r>
      <w:r w:rsidRPr="00A2381E">
        <w:rPr>
          <w:rFonts w:ascii="Gill Sans MT" w:hAnsi="Gill Sans MT"/>
          <w:lang w:eastAsia="en-GB"/>
        </w:rPr>
        <w:t>: Volume 2; Budget Support, Sector Wide Approaches &amp; Capacity Development in Public Finance Management, OECD-DAC; Paris</w:t>
      </w:r>
    </w:p>
    <w:p w14:paraId="70B3BFB6" w14:textId="77777777" w:rsidR="00D23EA2" w:rsidRDefault="00D23EA2" w:rsidP="00D23EA2">
      <w:pPr>
        <w:pStyle w:val="FootnoteText"/>
        <w:spacing w:before="0"/>
        <w:jc w:val="both"/>
        <w:rPr>
          <w:rFonts w:ascii="Gill Sans MT" w:hAnsi="Gill Sans MT"/>
          <w:lang w:eastAsia="en-GB"/>
        </w:rPr>
      </w:pPr>
      <w:r w:rsidRPr="003F649A">
        <w:rPr>
          <w:rFonts w:ascii="Gill Sans MT" w:hAnsi="Gill Sans MT"/>
          <w:lang w:eastAsia="en-GB"/>
        </w:rPr>
        <w:t>ODI 2007: ‘Joint Evaluation of Multi-Donor Budget Support to Ghana, Final Report’, ODI and CDD, June 2007</w:t>
      </w:r>
    </w:p>
    <w:p w14:paraId="3ACEA653" w14:textId="77777777" w:rsidR="00D23EA2" w:rsidRPr="003F649A" w:rsidRDefault="00D23EA2" w:rsidP="00D23EA2">
      <w:pPr>
        <w:pStyle w:val="FootnoteText"/>
        <w:spacing w:before="0"/>
        <w:jc w:val="both"/>
        <w:rPr>
          <w:rFonts w:ascii="Gill Sans MT" w:hAnsi="Gill Sans MT"/>
          <w:lang w:eastAsia="en-GB"/>
        </w:rPr>
      </w:pPr>
      <w:r w:rsidRPr="003F649A">
        <w:rPr>
          <w:rFonts w:ascii="Gill Sans MT" w:hAnsi="Gill Sans MT"/>
          <w:lang w:eastAsia="en-GB"/>
        </w:rPr>
        <w:t>ODI 2012: ‘Pieces of the Puzzle: Evidence, dilemmas and the emerging agenda for budget support’, ODI January 2012</w:t>
      </w:r>
    </w:p>
    <w:p w14:paraId="24CF85B6" w14:textId="77777777" w:rsidR="00D23EA2" w:rsidRDefault="00D23EA2" w:rsidP="00D23EA2">
      <w:pPr>
        <w:pStyle w:val="FootnoteText"/>
        <w:spacing w:before="0"/>
        <w:jc w:val="both"/>
        <w:rPr>
          <w:rFonts w:ascii="Gill Sans MT" w:hAnsi="Gill Sans MT"/>
          <w:lang w:eastAsia="en-GB"/>
        </w:rPr>
      </w:pPr>
      <w:r w:rsidRPr="003F649A">
        <w:rPr>
          <w:rFonts w:ascii="Gill Sans MT" w:hAnsi="Gill Sans MT"/>
          <w:lang w:eastAsia="en-GB"/>
        </w:rPr>
        <w:t>OECD 2012: ‘Evaluating Budget Support, Methodological Approach’, OECD DAC Network on Development Evaluation, September 2012</w:t>
      </w:r>
    </w:p>
    <w:p w14:paraId="48495C80" w14:textId="77777777" w:rsidR="00461916" w:rsidRPr="00461916" w:rsidRDefault="00461916" w:rsidP="00D23EA2">
      <w:pPr>
        <w:pStyle w:val="FootnoteText"/>
        <w:spacing w:before="0"/>
        <w:jc w:val="both"/>
        <w:rPr>
          <w:rFonts w:ascii="Gill Sans MT" w:hAnsi="Gill Sans MT"/>
          <w:lang w:eastAsia="en-GB"/>
        </w:rPr>
      </w:pPr>
      <w:proofErr w:type="spellStart"/>
      <w:proofErr w:type="gramStart"/>
      <w:r w:rsidRPr="00461916">
        <w:rPr>
          <w:rFonts w:ascii="Gill Sans MT" w:hAnsi="Gill Sans MT"/>
          <w:lang w:val="en-US"/>
        </w:rPr>
        <w:t>Orlowski</w:t>
      </w:r>
      <w:proofErr w:type="spellEnd"/>
      <w:r w:rsidRPr="00461916">
        <w:rPr>
          <w:rFonts w:ascii="Gill Sans MT" w:hAnsi="Gill Sans MT"/>
          <w:lang w:val="en-US"/>
        </w:rPr>
        <w:t xml:space="preserve">, D. (September, 2013), </w:t>
      </w:r>
      <w:r w:rsidRPr="00461916">
        <w:rPr>
          <w:rFonts w:ascii="Gill Sans MT" w:hAnsi="Gill Sans MT"/>
          <w:i/>
          <w:lang w:val="en-US"/>
        </w:rPr>
        <w:t xml:space="preserve">Impact of variable tranches on policy and reforms, </w:t>
      </w:r>
      <w:r w:rsidRPr="00461916">
        <w:rPr>
          <w:rFonts w:ascii="Gill Sans MT" w:hAnsi="Gill Sans MT"/>
          <w:lang w:val="en-US"/>
        </w:rPr>
        <w:t>Internal Note for Danida, Maputo.</w:t>
      </w:r>
      <w:proofErr w:type="gramEnd"/>
    </w:p>
    <w:p w14:paraId="416E7BFB" w14:textId="77777777" w:rsidR="00D23EA2" w:rsidRDefault="00D23EA2" w:rsidP="00D23EA2">
      <w:pPr>
        <w:pStyle w:val="FootnoteText"/>
        <w:spacing w:before="0"/>
        <w:jc w:val="both"/>
        <w:rPr>
          <w:rFonts w:ascii="Gill Sans MT" w:hAnsi="Gill Sans MT"/>
          <w:lang w:eastAsia="en-GB"/>
        </w:rPr>
      </w:pPr>
      <w:r w:rsidRPr="003F649A">
        <w:rPr>
          <w:rFonts w:ascii="Gill Sans MT" w:hAnsi="Gill Sans MT"/>
          <w:lang w:eastAsia="en-GB"/>
        </w:rPr>
        <w:t>Particip 2013: Evaluation of Budget Support in South Africa, Particip GmbH, November 2013</w:t>
      </w:r>
    </w:p>
    <w:p w14:paraId="46973216" w14:textId="77777777" w:rsidR="00D23EA2" w:rsidRPr="00022DE2" w:rsidRDefault="00D23EA2" w:rsidP="00D23EA2">
      <w:pPr>
        <w:autoSpaceDE w:val="0"/>
        <w:rPr>
          <w:lang w:val="fr-FR"/>
        </w:rPr>
      </w:pPr>
      <w:proofErr w:type="spellStart"/>
      <w:r>
        <w:rPr>
          <w:rFonts w:ascii="Gill Sans MT" w:eastAsia="PMingLiU" w:hAnsi="Gill Sans MT" w:cs="Arial"/>
          <w:sz w:val="20"/>
          <w:szCs w:val="20"/>
          <w:lang w:val="fr-FR" w:eastAsia="zh-CN"/>
        </w:rPr>
        <w:t>Pawson</w:t>
      </w:r>
      <w:proofErr w:type="spellEnd"/>
      <w:r>
        <w:rPr>
          <w:rFonts w:ascii="Gill Sans MT" w:eastAsia="PMingLiU" w:hAnsi="Gill Sans MT" w:cs="Arial"/>
          <w:sz w:val="20"/>
          <w:szCs w:val="20"/>
          <w:lang w:val="fr-FR" w:eastAsia="zh-CN"/>
        </w:rPr>
        <w:t xml:space="preserve">, R. (2000) </w:t>
      </w:r>
      <w:r w:rsidRPr="00A637E2">
        <w:rPr>
          <w:rFonts w:ascii="Gill Sans MT" w:eastAsia="PMingLiU" w:hAnsi="Gill Sans MT" w:cs="Arial"/>
          <w:i/>
          <w:sz w:val="20"/>
          <w:szCs w:val="20"/>
          <w:lang w:val="fr-FR" w:eastAsia="zh-CN"/>
        </w:rPr>
        <w:t xml:space="preserve">Middle-Range </w:t>
      </w:r>
      <w:proofErr w:type="spellStart"/>
      <w:r w:rsidRPr="00A637E2">
        <w:rPr>
          <w:rFonts w:ascii="Gill Sans MT" w:eastAsia="PMingLiU" w:hAnsi="Gill Sans MT" w:cs="Arial"/>
          <w:i/>
          <w:sz w:val="20"/>
          <w:szCs w:val="20"/>
          <w:lang w:val="fr-FR" w:eastAsia="zh-CN"/>
        </w:rPr>
        <w:t>Realism</w:t>
      </w:r>
      <w:proofErr w:type="spellEnd"/>
      <w:r w:rsidRPr="007451D8">
        <w:rPr>
          <w:rFonts w:ascii="Gill Sans MT" w:eastAsia="PMingLiU" w:hAnsi="Gill Sans MT" w:cs="Arial"/>
          <w:sz w:val="20"/>
          <w:szCs w:val="20"/>
          <w:lang w:val="fr-FR" w:eastAsia="zh-CN"/>
        </w:rPr>
        <w:t xml:space="preserve">, Archive </w:t>
      </w:r>
      <w:r>
        <w:rPr>
          <w:rFonts w:ascii="Gill Sans MT" w:eastAsia="PMingLiU" w:hAnsi="Gill Sans MT" w:cs="Arial"/>
          <w:sz w:val="20"/>
          <w:szCs w:val="20"/>
          <w:lang w:val="fr-FR" w:eastAsia="zh-CN"/>
        </w:rPr>
        <w:t>Européennes</w:t>
      </w:r>
      <w:r w:rsidRPr="007451D8">
        <w:rPr>
          <w:rFonts w:ascii="Gill Sans MT" w:eastAsia="PMingLiU" w:hAnsi="Gill Sans MT" w:cs="Arial"/>
          <w:sz w:val="20"/>
          <w:szCs w:val="20"/>
          <w:lang w:val="fr-FR" w:eastAsia="zh-CN"/>
        </w:rPr>
        <w:t xml:space="preserve"> des Sociologie XLI</w:t>
      </w:r>
    </w:p>
    <w:p w14:paraId="31695108" w14:textId="77777777" w:rsidR="00D23EA2" w:rsidRDefault="00D23EA2" w:rsidP="00D23EA2">
      <w:pPr>
        <w:autoSpaceDE w:val="0"/>
        <w:rPr>
          <w:rFonts w:ascii="Gill Sans MT" w:eastAsia="PMingLiU" w:hAnsi="Gill Sans MT" w:cs="Arial"/>
          <w:sz w:val="20"/>
          <w:szCs w:val="20"/>
          <w:lang w:val="fr-FR" w:eastAsia="zh-CN"/>
        </w:rPr>
      </w:pPr>
    </w:p>
    <w:p w14:paraId="30566DFC" w14:textId="77777777" w:rsidR="00D23EA2" w:rsidRDefault="00D23EA2" w:rsidP="00D23EA2">
      <w:pPr>
        <w:autoSpaceDE w:val="0"/>
        <w:rPr>
          <w:rFonts w:ascii="Gill Sans MT" w:eastAsia="PMingLiU" w:hAnsi="Gill Sans MT" w:cs="Arial"/>
          <w:sz w:val="20"/>
          <w:szCs w:val="20"/>
          <w:lang w:val="en-GB" w:eastAsia="zh-CN"/>
        </w:rPr>
      </w:pPr>
      <w:proofErr w:type="spellStart"/>
      <w:r>
        <w:rPr>
          <w:rFonts w:ascii="Gill Sans MT" w:eastAsia="PMingLiU" w:hAnsi="Gill Sans MT" w:cs="Arial"/>
          <w:sz w:val="20"/>
          <w:szCs w:val="20"/>
          <w:lang w:val="en-GB" w:eastAsia="zh-CN"/>
        </w:rPr>
        <w:t>Pawson</w:t>
      </w:r>
      <w:proofErr w:type="spellEnd"/>
      <w:r>
        <w:rPr>
          <w:rFonts w:ascii="Gill Sans MT" w:eastAsia="PMingLiU" w:hAnsi="Gill Sans MT" w:cs="Arial"/>
          <w:sz w:val="20"/>
          <w:szCs w:val="20"/>
          <w:lang w:val="en-GB" w:eastAsia="zh-CN"/>
        </w:rPr>
        <w:t xml:space="preserve">, R &amp; N Tilley (1997) </w:t>
      </w:r>
      <w:r w:rsidRPr="00A637E2">
        <w:rPr>
          <w:rFonts w:ascii="Gill Sans MT" w:eastAsia="PMingLiU" w:hAnsi="Gill Sans MT" w:cs="Arial"/>
          <w:i/>
          <w:sz w:val="20"/>
          <w:szCs w:val="20"/>
          <w:lang w:val="en-GB" w:eastAsia="zh-CN"/>
        </w:rPr>
        <w:t>Realistic Evaluation</w:t>
      </w:r>
      <w:r>
        <w:rPr>
          <w:rFonts w:ascii="Gill Sans MT" w:eastAsia="PMingLiU" w:hAnsi="Gill Sans MT" w:cs="Arial"/>
          <w:sz w:val="20"/>
          <w:szCs w:val="20"/>
          <w:lang w:val="en-GB" w:eastAsia="zh-CN"/>
        </w:rPr>
        <w:t>. London: Sage</w:t>
      </w:r>
    </w:p>
    <w:p w14:paraId="7EC61A5C" w14:textId="77777777" w:rsidR="00D23EA2" w:rsidRDefault="00D23EA2" w:rsidP="00D23EA2">
      <w:pPr>
        <w:autoSpaceDE w:val="0"/>
        <w:rPr>
          <w:rFonts w:ascii="Gill Sans MT" w:eastAsia="PMingLiU" w:hAnsi="Gill Sans MT" w:cs="Arial"/>
          <w:sz w:val="20"/>
          <w:szCs w:val="20"/>
          <w:lang w:val="en-GB" w:eastAsia="zh-CN"/>
        </w:rPr>
      </w:pPr>
    </w:p>
    <w:p w14:paraId="10EE3602" w14:textId="77777777" w:rsidR="00D23EA2" w:rsidRPr="00022DE2" w:rsidRDefault="00D23EA2" w:rsidP="00D23EA2">
      <w:pPr>
        <w:autoSpaceDE w:val="0"/>
        <w:ind w:left="720" w:hanging="720"/>
        <w:rPr>
          <w:lang w:val="en-GB"/>
        </w:rPr>
      </w:pPr>
      <w:proofErr w:type="gramStart"/>
      <w:r>
        <w:rPr>
          <w:rFonts w:ascii="Gill Sans MT" w:eastAsia="PMingLiU" w:hAnsi="Gill Sans MT" w:cs="Arial"/>
          <w:sz w:val="20"/>
          <w:szCs w:val="20"/>
          <w:lang w:val="en-GB" w:eastAsia="zh-CN"/>
        </w:rPr>
        <w:t xml:space="preserve">PEFA (2005) </w:t>
      </w:r>
      <w:r>
        <w:rPr>
          <w:rFonts w:ascii="Gill Sans MT" w:eastAsia="PMingLiU" w:hAnsi="Gill Sans MT" w:cs="Arial"/>
          <w:i/>
          <w:sz w:val="20"/>
          <w:szCs w:val="20"/>
          <w:lang w:val="en-GB" w:eastAsia="zh-CN"/>
        </w:rPr>
        <w:t>Public Financial Management Performance Measurement Framework.</w:t>
      </w:r>
      <w:proofErr w:type="gramEnd"/>
      <w:r>
        <w:rPr>
          <w:rFonts w:ascii="Gill Sans MT" w:eastAsia="PMingLiU" w:hAnsi="Gill Sans MT" w:cs="Arial"/>
          <w:sz w:val="20"/>
          <w:szCs w:val="20"/>
          <w:lang w:val="en-GB" w:eastAsia="zh-CN"/>
        </w:rPr>
        <w:t xml:space="preserve"> </w:t>
      </w:r>
      <w:proofErr w:type="gramStart"/>
      <w:r>
        <w:rPr>
          <w:rFonts w:ascii="Gill Sans MT" w:eastAsia="PMingLiU" w:hAnsi="Gill Sans MT" w:cs="Arial"/>
          <w:sz w:val="20"/>
          <w:szCs w:val="20"/>
          <w:lang w:val="en-GB" w:eastAsia="zh-CN"/>
        </w:rPr>
        <w:t>Washington, DC, Public Expenditure and Financial Accountability (PEFA) Secretariat.</w:t>
      </w:r>
      <w:proofErr w:type="gramEnd"/>
    </w:p>
    <w:p w14:paraId="1D9AA480" w14:textId="77777777" w:rsidR="00D23EA2" w:rsidRDefault="00D23EA2" w:rsidP="00D23EA2">
      <w:pPr>
        <w:autoSpaceDE w:val="0"/>
        <w:ind w:left="720" w:hanging="720"/>
        <w:rPr>
          <w:rFonts w:ascii="Gill Sans MT" w:eastAsia="PMingLiU" w:hAnsi="Gill Sans MT" w:cs="Arial"/>
          <w:sz w:val="20"/>
          <w:szCs w:val="20"/>
          <w:lang w:val="en-GB" w:eastAsia="zh-CN"/>
        </w:rPr>
      </w:pPr>
    </w:p>
    <w:p w14:paraId="50A577B3" w14:textId="77777777" w:rsidR="00D23EA2" w:rsidRDefault="00D23EA2" w:rsidP="00D23EA2">
      <w:pPr>
        <w:autoSpaceDE w:val="0"/>
        <w:ind w:left="720" w:hanging="720"/>
        <w:rPr>
          <w:rFonts w:ascii="Gill Sans MT" w:eastAsia="PMingLiU" w:hAnsi="Gill Sans MT" w:cs="Arial"/>
          <w:sz w:val="20"/>
          <w:szCs w:val="20"/>
          <w:lang w:val="en-GB" w:eastAsia="zh-CN"/>
        </w:rPr>
      </w:pPr>
      <w:r>
        <w:rPr>
          <w:rFonts w:ascii="Gill Sans MT" w:eastAsia="PMingLiU" w:hAnsi="Gill Sans MT" w:cs="Arial"/>
          <w:sz w:val="20"/>
          <w:szCs w:val="20"/>
          <w:lang w:val="en-GB" w:eastAsia="zh-CN"/>
        </w:rPr>
        <w:t xml:space="preserve">Popper, K. (1959) </w:t>
      </w:r>
      <w:r w:rsidRPr="00A637E2">
        <w:rPr>
          <w:rFonts w:ascii="Gill Sans MT" w:eastAsia="PMingLiU" w:hAnsi="Gill Sans MT" w:cs="Arial"/>
          <w:i/>
          <w:sz w:val="20"/>
          <w:szCs w:val="20"/>
          <w:lang w:val="en-GB" w:eastAsia="zh-CN"/>
        </w:rPr>
        <w:t>The Logic of Scientific Discovery</w:t>
      </w:r>
      <w:r>
        <w:rPr>
          <w:rFonts w:ascii="Gill Sans MT" w:eastAsia="PMingLiU" w:hAnsi="Gill Sans MT" w:cs="Arial"/>
          <w:sz w:val="20"/>
          <w:szCs w:val="20"/>
          <w:lang w:val="en-GB" w:eastAsia="zh-CN"/>
        </w:rPr>
        <w:t>, London: Hutchinson.</w:t>
      </w:r>
    </w:p>
    <w:p w14:paraId="76EDE684" w14:textId="77777777" w:rsidR="00D23EA2" w:rsidRPr="00F762A9" w:rsidRDefault="00D23EA2" w:rsidP="00D23EA2">
      <w:pPr>
        <w:autoSpaceDE w:val="0"/>
        <w:ind w:left="720" w:hanging="720"/>
        <w:rPr>
          <w:rFonts w:ascii="Gill Sans MT" w:eastAsia="PMingLiU" w:hAnsi="Gill Sans MT" w:cs="Arial"/>
          <w:sz w:val="20"/>
          <w:szCs w:val="20"/>
          <w:lang w:val="en-GB" w:eastAsia="zh-CN"/>
        </w:rPr>
      </w:pPr>
    </w:p>
    <w:p w14:paraId="1FB143A7" w14:textId="77777777" w:rsidR="00D23EA2" w:rsidRDefault="00D23EA2" w:rsidP="00D23EA2">
      <w:pPr>
        <w:autoSpaceDE w:val="0"/>
        <w:autoSpaceDN w:val="0"/>
        <w:adjustRightInd w:val="0"/>
        <w:ind w:left="720" w:hanging="720"/>
        <w:rPr>
          <w:rFonts w:ascii="Gill Sans MT" w:eastAsia="PMingLiU" w:hAnsi="Gill Sans MT" w:cs="Arial"/>
          <w:sz w:val="20"/>
          <w:szCs w:val="20"/>
          <w:lang w:val="en-GB" w:eastAsia="zh-CN"/>
        </w:rPr>
      </w:pPr>
      <w:r>
        <w:rPr>
          <w:rFonts w:ascii="Gill Sans MT" w:eastAsia="PMingLiU" w:hAnsi="Gill Sans MT" w:cs="Arial"/>
          <w:sz w:val="20"/>
          <w:szCs w:val="20"/>
          <w:lang w:val="en-GB" w:eastAsia="zh-CN"/>
        </w:rPr>
        <w:t xml:space="preserve">Robinson, M. (2007) The Politics of Successful Governance Reforms: Lessons of Design and Implementation. </w:t>
      </w:r>
      <w:r>
        <w:rPr>
          <w:rFonts w:ascii="Gill Sans MT" w:eastAsia="PMingLiU" w:hAnsi="Gill Sans MT" w:cs="Arial"/>
          <w:i/>
          <w:iCs/>
          <w:sz w:val="20"/>
          <w:szCs w:val="20"/>
          <w:lang w:val="en-GB" w:eastAsia="zh-CN"/>
        </w:rPr>
        <w:t>Commonwealth &amp; Comparative Politics,</w:t>
      </w:r>
      <w:r>
        <w:rPr>
          <w:rFonts w:ascii="Gill Sans MT" w:eastAsia="PMingLiU" w:hAnsi="Gill Sans MT" w:cs="Arial"/>
          <w:sz w:val="20"/>
          <w:szCs w:val="20"/>
          <w:lang w:val="en-GB" w:eastAsia="zh-CN"/>
        </w:rPr>
        <w:t xml:space="preserve"> 45</w:t>
      </w:r>
      <w:r>
        <w:rPr>
          <w:rFonts w:ascii="Gill Sans MT" w:eastAsia="PMingLiU" w:hAnsi="Gill Sans MT" w:cs="Arial"/>
          <w:b/>
          <w:bCs/>
          <w:sz w:val="20"/>
          <w:szCs w:val="20"/>
          <w:lang w:val="en-GB" w:eastAsia="zh-CN"/>
        </w:rPr>
        <w:t>,</w:t>
      </w:r>
      <w:r>
        <w:rPr>
          <w:rFonts w:ascii="Gill Sans MT" w:eastAsia="PMingLiU" w:hAnsi="Gill Sans MT" w:cs="Arial"/>
          <w:sz w:val="20"/>
          <w:szCs w:val="20"/>
          <w:lang w:val="en-GB" w:eastAsia="zh-CN"/>
        </w:rPr>
        <w:t xml:space="preserve"> 521 - 548.</w:t>
      </w:r>
    </w:p>
    <w:p w14:paraId="6E7D0E25" w14:textId="77777777" w:rsidR="00D23EA2" w:rsidRDefault="00D23EA2" w:rsidP="00D23EA2">
      <w:pPr>
        <w:autoSpaceDE w:val="0"/>
        <w:autoSpaceDN w:val="0"/>
        <w:adjustRightInd w:val="0"/>
        <w:ind w:left="720" w:hanging="720"/>
        <w:rPr>
          <w:rFonts w:ascii="Gill Sans MT" w:eastAsia="PMingLiU" w:hAnsi="Gill Sans MT" w:cs="Arial"/>
          <w:sz w:val="20"/>
          <w:szCs w:val="20"/>
          <w:lang w:val="en-GB" w:eastAsia="zh-CN"/>
        </w:rPr>
      </w:pPr>
    </w:p>
    <w:p w14:paraId="4E948F49" w14:textId="77777777" w:rsidR="00D23EA2" w:rsidRDefault="00D23EA2" w:rsidP="00D23EA2">
      <w:pPr>
        <w:ind w:left="567" w:hanging="567"/>
        <w:contextualSpacing/>
        <w:rPr>
          <w:rFonts w:ascii="Gill Sans MT" w:hAnsi="Gill Sans MT"/>
          <w:sz w:val="20"/>
          <w:szCs w:val="20"/>
          <w:lang w:val="en-NZ" w:eastAsia="en-GB"/>
        </w:rPr>
      </w:pPr>
      <w:r w:rsidRPr="00F762A9">
        <w:rPr>
          <w:rFonts w:ascii="Gill Sans MT" w:hAnsi="Gill Sans MT"/>
          <w:sz w:val="20"/>
          <w:szCs w:val="20"/>
          <w:lang w:val="en-NZ" w:eastAsia="en-GB"/>
        </w:rPr>
        <w:t xml:space="preserve">White, H. and Dijkstra, A.G. (2003) Programme Aid and Development: Beyond Conditionality. London: Routledge. </w:t>
      </w:r>
    </w:p>
    <w:p w14:paraId="3449C873" w14:textId="77777777" w:rsidR="00D23EA2" w:rsidRPr="00F762A9" w:rsidRDefault="00D23EA2" w:rsidP="00D23EA2">
      <w:pPr>
        <w:ind w:left="567" w:hanging="567"/>
        <w:contextualSpacing/>
        <w:rPr>
          <w:rFonts w:ascii="Gill Sans MT" w:hAnsi="Gill Sans MT"/>
          <w:sz w:val="20"/>
          <w:szCs w:val="20"/>
          <w:lang w:val="en-NZ" w:eastAsia="en-GB"/>
        </w:rPr>
      </w:pPr>
    </w:p>
    <w:p w14:paraId="0D9BB0F5" w14:textId="77777777" w:rsidR="00D23EA2" w:rsidRPr="00F762A9" w:rsidRDefault="00D23EA2" w:rsidP="00D23EA2">
      <w:pPr>
        <w:ind w:left="567" w:hanging="567"/>
        <w:contextualSpacing/>
        <w:rPr>
          <w:rFonts w:ascii="Gill Sans MT" w:hAnsi="Gill Sans MT"/>
          <w:sz w:val="20"/>
          <w:szCs w:val="20"/>
          <w:lang w:val="en-NZ" w:eastAsia="en-GB"/>
        </w:rPr>
      </w:pPr>
      <w:r w:rsidRPr="00F762A9">
        <w:rPr>
          <w:rFonts w:ascii="Gill Sans MT" w:hAnsi="Gill Sans MT"/>
          <w:sz w:val="20"/>
          <w:szCs w:val="20"/>
          <w:lang w:val="en-NZ" w:eastAsia="en-GB"/>
        </w:rPr>
        <w:t xml:space="preserve">World Bank. (1998). Assessing aid: What works, what doesn't, and why. Oxford/New York/Toronto: Oxford University Press for the World Bank. </w:t>
      </w:r>
    </w:p>
    <w:p w14:paraId="28E05DEE" w14:textId="77777777" w:rsidR="00D23EA2" w:rsidRDefault="00D23EA2" w:rsidP="00D23EA2">
      <w:pPr>
        <w:autoSpaceDE w:val="0"/>
        <w:autoSpaceDN w:val="0"/>
        <w:adjustRightInd w:val="0"/>
        <w:ind w:left="720" w:hanging="720"/>
        <w:rPr>
          <w:rFonts w:ascii="Gill Sans MT" w:eastAsia="PMingLiU" w:hAnsi="Gill Sans MT" w:cs="Arial"/>
          <w:sz w:val="20"/>
          <w:szCs w:val="20"/>
          <w:lang w:val="en-GB" w:eastAsia="zh-CN"/>
        </w:rPr>
      </w:pPr>
    </w:p>
    <w:p w14:paraId="42802C68" w14:textId="77777777" w:rsidR="00D23EA2" w:rsidRDefault="00D23EA2" w:rsidP="00D23EA2">
      <w:pPr>
        <w:rPr>
          <w:rFonts w:ascii="Gill Sans MT" w:hAnsi="Gill Sans MT"/>
          <w:sz w:val="20"/>
          <w:szCs w:val="20"/>
          <w:lang w:val="en-NZ" w:eastAsia="en-GB"/>
        </w:rPr>
      </w:pPr>
      <w:r w:rsidRPr="008C51D1">
        <w:rPr>
          <w:rFonts w:ascii="Gill Sans MT" w:hAnsi="Gill Sans MT"/>
          <w:lang w:val="en-GB" w:eastAsia="en-GB"/>
        </w:rPr>
        <w:br w:type="page"/>
      </w:r>
    </w:p>
    <w:p w14:paraId="4A346D6B" w14:textId="77777777" w:rsidR="00D23EA2" w:rsidRPr="00372CF5" w:rsidRDefault="00D23EA2" w:rsidP="00D23EA2">
      <w:pPr>
        <w:pStyle w:val="Heading1"/>
      </w:pPr>
      <w:bookmarkStart w:id="95" w:name="_Toc279848257"/>
      <w:r>
        <w:lastRenderedPageBreak/>
        <w:t>An</w:t>
      </w:r>
      <w:r w:rsidR="00A60BDF">
        <w:t>nex I:</w:t>
      </w:r>
      <w:r w:rsidR="00A60BDF">
        <w:tab/>
      </w:r>
      <w:r w:rsidR="00A60BDF">
        <w:tab/>
      </w:r>
      <w:r>
        <w:t>Listing of Country Evaluations of Budget Support undertaken to date</w:t>
      </w:r>
      <w:bookmarkEnd w:id="95"/>
    </w:p>
    <w:p w14:paraId="58568154" w14:textId="77777777" w:rsidR="00F84419" w:rsidRDefault="00F84419" w:rsidP="00F84419">
      <w:pPr>
        <w:pStyle w:val="BodyText"/>
        <w:numPr>
          <w:ilvl w:val="0"/>
          <w:numId w:val="0"/>
        </w:numPr>
        <w:spacing w:line="360" w:lineRule="auto"/>
        <w:rPr>
          <w:rFonts w:ascii="Gill Sans MT" w:hAnsi="Gill Sans MT"/>
          <w:sz w:val="20"/>
          <w:lang w:val="en-GB"/>
        </w:rPr>
      </w:pPr>
      <w:r>
        <w:rPr>
          <w:rFonts w:ascii="Gill Sans MT" w:hAnsi="Gill Sans MT"/>
          <w:sz w:val="20"/>
          <w:lang w:val="en-GB"/>
        </w:rPr>
        <w:t>Ronsholt (2014) reports that country studies evaluating budget support have been undertaken in 22 countries overall, counting both the (generally shorter, more desk based) country studies undertaken as part of agency specific evaluations and thematic studies, and those that have followed the OECD-DAC methodological approach in either its original or revised form</w:t>
      </w:r>
      <w:r>
        <w:rPr>
          <w:rStyle w:val="FootnoteReference"/>
          <w:rFonts w:ascii="Gill Sans MT" w:hAnsi="Gill Sans MT"/>
          <w:sz w:val="20"/>
          <w:lang w:val="en-GB"/>
        </w:rPr>
        <w:footnoteReference w:id="48"/>
      </w:r>
      <w:r>
        <w:rPr>
          <w:rFonts w:ascii="Gill Sans MT" w:hAnsi="Gill Sans MT"/>
          <w:sz w:val="20"/>
          <w:lang w:val="en-GB"/>
        </w:rPr>
        <w:t xml:space="preserve">. </w:t>
      </w:r>
    </w:p>
    <w:p w14:paraId="09AC5D18" w14:textId="77777777" w:rsidR="00F84419" w:rsidRPr="00D934E1" w:rsidRDefault="00F84419" w:rsidP="00F84419">
      <w:pPr>
        <w:pStyle w:val="Caption"/>
        <w:rPr>
          <w:lang w:val="en-GB"/>
        </w:rPr>
      </w:pPr>
      <w:bookmarkStart w:id="96" w:name="_Toc271178672"/>
      <w:bookmarkStart w:id="97" w:name="_Toc279848295"/>
      <w:r w:rsidRPr="00D934E1">
        <w:rPr>
          <w:lang w:val="en-GB"/>
        </w:rPr>
        <w:t xml:space="preserve">Table </w:t>
      </w:r>
      <w:r w:rsidRPr="00D934E1">
        <w:rPr>
          <w:lang w:val="en-GB"/>
        </w:rPr>
        <w:fldChar w:fldCharType="begin"/>
      </w:r>
      <w:r w:rsidRPr="00D934E1">
        <w:rPr>
          <w:lang w:val="en-GB"/>
        </w:rPr>
        <w:instrText xml:space="preserve"> SEQ Table \* ARABIC </w:instrText>
      </w:r>
      <w:r w:rsidRPr="00D934E1">
        <w:rPr>
          <w:lang w:val="en-GB"/>
        </w:rPr>
        <w:fldChar w:fldCharType="separate"/>
      </w:r>
      <w:r w:rsidR="00967582">
        <w:rPr>
          <w:noProof/>
          <w:lang w:val="en-GB"/>
        </w:rPr>
        <w:t>15</w:t>
      </w:r>
      <w:r w:rsidRPr="00D934E1">
        <w:rPr>
          <w:lang w:val="en-GB"/>
        </w:rPr>
        <w:fldChar w:fldCharType="end"/>
      </w:r>
      <w:r w:rsidRPr="00D934E1">
        <w:rPr>
          <w:lang w:val="en-GB"/>
        </w:rPr>
        <w:t>: Budget Support Evaluations at country level utilising the OECD-DAC Methodology</w:t>
      </w:r>
      <w:bookmarkEnd w:id="96"/>
      <w:bookmarkEnd w:id="97"/>
    </w:p>
    <w:tbl>
      <w:tblPr>
        <w:tblStyle w:val="TableClassic2"/>
        <w:tblW w:w="0" w:type="auto"/>
        <w:tblLook w:val="04A0" w:firstRow="1" w:lastRow="0" w:firstColumn="1" w:lastColumn="0" w:noHBand="0" w:noVBand="1"/>
      </w:tblPr>
      <w:tblGrid>
        <w:gridCol w:w="1951"/>
        <w:gridCol w:w="2191"/>
        <w:gridCol w:w="2191"/>
        <w:gridCol w:w="2192"/>
      </w:tblGrid>
      <w:tr w:rsidR="00F84419" w:rsidRPr="00584F61" w14:paraId="6D6B489A" w14:textId="77777777" w:rsidTr="00F8441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51" w:type="dxa"/>
          </w:tcPr>
          <w:p w14:paraId="347C1293" w14:textId="77777777" w:rsidR="00F84419" w:rsidRPr="00584F61" w:rsidRDefault="00F84419" w:rsidP="00F84419">
            <w:pPr>
              <w:rPr>
                <w:rFonts w:ascii="Arial" w:hAnsi="Arial" w:cs="Arial"/>
                <w:sz w:val="20"/>
                <w:szCs w:val="20"/>
                <w:lang w:val="en-GB"/>
              </w:rPr>
            </w:pPr>
            <w:r w:rsidRPr="00584F61">
              <w:rPr>
                <w:rFonts w:ascii="Arial" w:hAnsi="Arial" w:cs="Arial"/>
                <w:sz w:val="20"/>
                <w:szCs w:val="20"/>
                <w:lang w:val="en-GB"/>
              </w:rPr>
              <w:t>Country</w:t>
            </w:r>
          </w:p>
        </w:tc>
        <w:tc>
          <w:tcPr>
            <w:tcW w:w="2191" w:type="dxa"/>
          </w:tcPr>
          <w:p w14:paraId="16E1555D" w14:textId="77777777" w:rsidR="00F84419" w:rsidRPr="00584F61" w:rsidRDefault="00F84419" w:rsidP="00F84419">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584F61">
              <w:rPr>
                <w:rFonts w:ascii="Arial" w:hAnsi="Arial" w:cs="Arial"/>
                <w:sz w:val="20"/>
                <w:szCs w:val="20"/>
                <w:lang w:val="en-GB"/>
              </w:rPr>
              <w:t>2006 Synthesis Report</w:t>
            </w:r>
          </w:p>
        </w:tc>
        <w:tc>
          <w:tcPr>
            <w:tcW w:w="2191" w:type="dxa"/>
          </w:tcPr>
          <w:p w14:paraId="5D94A0F5" w14:textId="77777777" w:rsidR="00F84419" w:rsidRPr="00584F61" w:rsidRDefault="00F84419" w:rsidP="00F84419">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584F61">
              <w:rPr>
                <w:rFonts w:ascii="Arial" w:hAnsi="Arial" w:cs="Arial"/>
                <w:sz w:val="20"/>
                <w:szCs w:val="20"/>
                <w:lang w:val="en-GB"/>
              </w:rPr>
              <w:t>Stand-alone Country Evaluations</w:t>
            </w:r>
          </w:p>
        </w:tc>
        <w:tc>
          <w:tcPr>
            <w:tcW w:w="2192" w:type="dxa"/>
          </w:tcPr>
          <w:p w14:paraId="29EFBE7B" w14:textId="77777777" w:rsidR="00F84419" w:rsidRPr="00584F61" w:rsidRDefault="00F84419" w:rsidP="00F84419">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584F61">
              <w:rPr>
                <w:rFonts w:ascii="Arial" w:hAnsi="Arial" w:cs="Arial"/>
                <w:sz w:val="20"/>
                <w:szCs w:val="20"/>
                <w:lang w:val="en-GB"/>
              </w:rPr>
              <w:t>2014 Synthesis Report</w:t>
            </w:r>
          </w:p>
        </w:tc>
      </w:tr>
      <w:tr w:rsidR="00F84419" w:rsidRPr="00584F61" w14:paraId="082FB9A8" w14:textId="77777777" w:rsidTr="00F84419">
        <w:tc>
          <w:tcPr>
            <w:cnfStyle w:val="001000000000" w:firstRow="0" w:lastRow="0" w:firstColumn="1" w:lastColumn="0" w:oddVBand="0" w:evenVBand="0" w:oddHBand="0" w:evenHBand="0" w:firstRowFirstColumn="0" w:firstRowLastColumn="0" w:lastRowFirstColumn="0" w:lastRowLastColumn="0"/>
            <w:tcW w:w="1951" w:type="dxa"/>
          </w:tcPr>
          <w:p w14:paraId="47CD2691" w14:textId="77777777" w:rsidR="00F84419" w:rsidRPr="00584F61" w:rsidRDefault="00F84419" w:rsidP="00F84419">
            <w:pPr>
              <w:rPr>
                <w:rFonts w:ascii="Arial" w:hAnsi="Arial" w:cs="Arial"/>
                <w:sz w:val="20"/>
                <w:szCs w:val="20"/>
                <w:lang w:val="en-GB"/>
              </w:rPr>
            </w:pPr>
            <w:r w:rsidRPr="00584F61">
              <w:rPr>
                <w:rFonts w:ascii="Arial" w:hAnsi="Arial" w:cs="Arial"/>
                <w:sz w:val="20"/>
                <w:szCs w:val="20"/>
                <w:lang w:val="en-GB"/>
              </w:rPr>
              <w:t>Burkina Faso</w:t>
            </w:r>
          </w:p>
        </w:tc>
        <w:tc>
          <w:tcPr>
            <w:tcW w:w="2191" w:type="dxa"/>
          </w:tcPr>
          <w:p w14:paraId="244D74CD"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747D68">
              <w:rPr>
                <w:rFonts w:ascii="Arial" w:hAnsi="Arial" w:cs="Arial"/>
                <w:sz w:val="18"/>
                <w:szCs w:val="18"/>
                <w:lang w:val="en-GB"/>
              </w:rPr>
              <w:t>IDD, 2006: Multi-donor; 1994-2004</w:t>
            </w:r>
          </w:p>
        </w:tc>
        <w:tc>
          <w:tcPr>
            <w:tcW w:w="2191" w:type="dxa"/>
          </w:tcPr>
          <w:p w14:paraId="4A869412"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2192" w:type="dxa"/>
          </w:tcPr>
          <w:p w14:paraId="27EB47D7"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F84419" w:rsidRPr="00584F61" w14:paraId="0244201D" w14:textId="77777777" w:rsidTr="00F84419">
        <w:tc>
          <w:tcPr>
            <w:cnfStyle w:val="001000000000" w:firstRow="0" w:lastRow="0" w:firstColumn="1" w:lastColumn="0" w:oddVBand="0" w:evenVBand="0" w:oddHBand="0" w:evenHBand="0" w:firstRowFirstColumn="0" w:firstRowLastColumn="0" w:lastRowFirstColumn="0" w:lastRowLastColumn="0"/>
            <w:tcW w:w="1951" w:type="dxa"/>
          </w:tcPr>
          <w:p w14:paraId="29F21E80" w14:textId="77777777" w:rsidR="00F84419" w:rsidRPr="00584F61" w:rsidRDefault="00F84419" w:rsidP="00F84419">
            <w:pPr>
              <w:rPr>
                <w:rFonts w:ascii="Arial" w:hAnsi="Arial" w:cs="Arial"/>
                <w:sz w:val="20"/>
                <w:szCs w:val="20"/>
                <w:lang w:val="en-GB"/>
              </w:rPr>
            </w:pPr>
            <w:r>
              <w:rPr>
                <w:rFonts w:ascii="Arial" w:hAnsi="Arial" w:cs="Arial"/>
                <w:sz w:val="20"/>
                <w:szCs w:val="20"/>
                <w:lang w:val="en-GB"/>
              </w:rPr>
              <w:t>Ghana</w:t>
            </w:r>
          </w:p>
        </w:tc>
        <w:tc>
          <w:tcPr>
            <w:tcW w:w="2191" w:type="dxa"/>
          </w:tcPr>
          <w:p w14:paraId="4888DE61"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2191" w:type="dxa"/>
          </w:tcPr>
          <w:p w14:paraId="45C80CD3"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747D68">
              <w:rPr>
                <w:rFonts w:ascii="Arial" w:hAnsi="Arial" w:cs="Arial"/>
                <w:sz w:val="18"/>
                <w:szCs w:val="18"/>
                <w:lang w:val="en-GB"/>
              </w:rPr>
              <w:t>ODI, 2007: Multi-donor; 2003-2006</w:t>
            </w:r>
          </w:p>
        </w:tc>
        <w:tc>
          <w:tcPr>
            <w:tcW w:w="2192" w:type="dxa"/>
          </w:tcPr>
          <w:p w14:paraId="26A0CF79"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F84419" w:rsidRPr="00584F61" w14:paraId="65DFD951" w14:textId="77777777" w:rsidTr="00F84419">
        <w:tc>
          <w:tcPr>
            <w:cnfStyle w:val="001000000000" w:firstRow="0" w:lastRow="0" w:firstColumn="1" w:lastColumn="0" w:oddVBand="0" w:evenVBand="0" w:oddHBand="0" w:evenHBand="0" w:firstRowFirstColumn="0" w:firstRowLastColumn="0" w:lastRowFirstColumn="0" w:lastRowLastColumn="0"/>
            <w:tcW w:w="1951" w:type="dxa"/>
          </w:tcPr>
          <w:p w14:paraId="0A90B322" w14:textId="77777777" w:rsidR="00F84419" w:rsidRPr="00584F61" w:rsidRDefault="00F84419" w:rsidP="00F84419">
            <w:pPr>
              <w:rPr>
                <w:rFonts w:ascii="Arial" w:hAnsi="Arial" w:cs="Arial"/>
                <w:sz w:val="20"/>
                <w:szCs w:val="20"/>
                <w:lang w:val="en-GB"/>
              </w:rPr>
            </w:pPr>
            <w:r>
              <w:rPr>
                <w:rFonts w:ascii="Arial" w:hAnsi="Arial" w:cs="Arial"/>
                <w:sz w:val="20"/>
                <w:szCs w:val="20"/>
                <w:lang w:val="en-GB"/>
              </w:rPr>
              <w:t>Malawi</w:t>
            </w:r>
          </w:p>
        </w:tc>
        <w:tc>
          <w:tcPr>
            <w:tcW w:w="2191" w:type="dxa"/>
          </w:tcPr>
          <w:p w14:paraId="6C34D47A"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747D68">
              <w:rPr>
                <w:rFonts w:ascii="Arial" w:hAnsi="Arial" w:cs="Arial"/>
                <w:sz w:val="18"/>
                <w:szCs w:val="18"/>
                <w:lang w:val="en-GB"/>
              </w:rPr>
              <w:t>IDD, 2006: Multi-donor; 1994-2004</w:t>
            </w:r>
          </w:p>
        </w:tc>
        <w:tc>
          <w:tcPr>
            <w:tcW w:w="2191" w:type="dxa"/>
          </w:tcPr>
          <w:p w14:paraId="41C834D6"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2192" w:type="dxa"/>
          </w:tcPr>
          <w:p w14:paraId="389FCF48"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F84419" w:rsidRPr="00584F61" w14:paraId="4B5C7C03" w14:textId="77777777" w:rsidTr="00F84419">
        <w:tc>
          <w:tcPr>
            <w:cnfStyle w:val="001000000000" w:firstRow="0" w:lastRow="0" w:firstColumn="1" w:lastColumn="0" w:oddVBand="0" w:evenVBand="0" w:oddHBand="0" w:evenHBand="0" w:firstRowFirstColumn="0" w:firstRowLastColumn="0" w:lastRowFirstColumn="0" w:lastRowLastColumn="0"/>
            <w:tcW w:w="1951" w:type="dxa"/>
          </w:tcPr>
          <w:p w14:paraId="57A0E24C" w14:textId="77777777" w:rsidR="00F84419" w:rsidRDefault="00F84419" w:rsidP="00F84419">
            <w:pPr>
              <w:rPr>
                <w:rFonts w:ascii="Arial" w:hAnsi="Arial" w:cs="Arial"/>
                <w:sz w:val="20"/>
                <w:szCs w:val="20"/>
                <w:lang w:val="en-GB"/>
              </w:rPr>
            </w:pPr>
            <w:r>
              <w:rPr>
                <w:rFonts w:ascii="Arial" w:hAnsi="Arial" w:cs="Arial"/>
                <w:sz w:val="20"/>
                <w:szCs w:val="20"/>
                <w:lang w:val="en-GB"/>
              </w:rPr>
              <w:t>Mali</w:t>
            </w:r>
          </w:p>
        </w:tc>
        <w:tc>
          <w:tcPr>
            <w:tcW w:w="2191" w:type="dxa"/>
          </w:tcPr>
          <w:p w14:paraId="521670B3"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2191" w:type="dxa"/>
          </w:tcPr>
          <w:p w14:paraId="41EE5CDE"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2192" w:type="dxa"/>
          </w:tcPr>
          <w:p w14:paraId="706D8251"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747D68">
              <w:rPr>
                <w:rFonts w:ascii="Arial" w:hAnsi="Arial" w:cs="Arial"/>
                <w:sz w:val="18"/>
                <w:szCs w:val="18"/>
                <w:lang w:val="en-GB"/>
              </w:rPr>
              <w:t>ECO-Consult, 2011: Multi-Donor; 2003-2009</w:t>
            </w:r>
          </w:p>
          <w:p w14:paraId="342D5D2E"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F84419" w:rsidRPr="00584F61" w14:paraId="38B432B5" w14:textId="77777777" w:rsidTr="00F84419">
        <w:tc>
          <w:tcPr>
            <w:cnfStyle w:val="001000000000" w:firstRow="0" w:lastRow="0" w:firstColumn="1" w:lastColumn="0" w:oddVBand="0" w:evenVBand="0" w:oddHBand="0" w:evenHBand="0" w:firstRowFirstColumn="0" w:firstRowLastColumn="0" w:lastRowFirstColumn="0" w:lastRowLastColumn="0"/>
            <w:tcW w:w="1951" w:type="dxa"/>
          </w:tcPr>
          <w:p w14:paraId="360E51D0" w14:textId="77777777" w:rsidR="00F84419" w:rsidRPr="00CC43F8" w:rsidRDefault="00F84419" w:rsidP="00F84419">
            <w:pPr>
              <w:rPr>
                <w:rFonts w:ascii="Arial" w:hAnsi="Arial" w:cs="Arial"/>
                <w:b w:val="0"/>
                <w:bCs w:val="0"/>
                <w:sz w:val="20"/>
                <w:szCs w:val="20"/>
                <w:lang w:val="en-GB"/>
              </w:rPr>
            </w:pPr>
            <w:r>
              <w:rPr>
                <w:rFonts w:ascii="Arial" w:hAnsi="Arial" w:cs="Arial"/>
                <w:sz w:val="20"/>
                <w:szCs w:val="20"/>
                <w:lang w:val="en-GB"/>
              </w:rPr>
              <w:t xml:space="preserve">Morocco </w:t>
            </w:r>
          </w:p>
        </w:tc>
        <w:tc>
          <w:tcPr>
            <w:tcW w:w="2191" w:type="dxa"/>
          </w:tcPr>
          <w:p w14:paraId="5E65606B"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2191" w:type="dxa"/>
          </w:tcPr>
          <w:p w14:paraId="7230CA20"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2192" w:type="dxa"/>
          </w:tcPr>
          <w:p w14:paraId="54C724FC" w14:textId="77777777" w:rsidR="00F84419"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747D68">
              <w:rPr>
                <w:rFonts w:ascii="Arial" w:hAnsi="Arial" w:cs="Arial"/>
                <w:sz w:val="18"/>
                <w:szCs w:val="18"/>
                <w:lang w:val="en-GB"/>
              </w:rPr>
              <w:t>ADE, 2014</w:t>
            </w:r>
            <w:r>
              <w:rPr>
                <w:rFonts w:ascii="Arial" w:hAnsi="Arial" w:cs="Arial"/>
                <w:sz w:val="18"/>
                <w:szCs w:val="18"/>
                <w:lang w:val="en-GB"/>
              </w:rPr>
              <w:t xml:space="preserve">; Multi-Donor; </w:t>
            </w:r>
          </w:p>
          <w:p w14:paraId="76E2BF05" w14:textId="77777777" w:rsidR="00F84419"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Pr>
                <w:rFonts w:ascii="Arial" w:hAnsi="Arial" w:cs="Arial"/>
                <w:sz w:val="18"/>
                <w:szCs w:val="18"/>
                <w:lang w:val="en-GB"/>
              </w:rPr>
              <w:t>2005 – 2012</w:t>
            </w:r>
          </w:p>
          <w:p w14:paraId="73C71D19"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F84419" w:rsidRPr="00584F61" w14:paraId="12AEA3B9" w14:textId="77777777" w:rsidTr="00F84419">
        <w:tc>
          <w:tcPr>
            <w:cnfStyle w:val="001000000000" w:firstRow="0" w:lastRow="0" w:firstColumn="1" w:lastColumn="0" w:oddVBand="0" w:evenVBand="0" w:oddHBand="0" w:evenHBand="0" w:firstRowFirstColumn="0" w:firstRowLastColumn="0" w:lastRowFirstColumn="0" w:lastRowLastColumn="0"/>
            <w:tcW w:w="1951" w:type="dxa"/>
          </w:tcPr>
          <w:p w14:paraId="740A0F82" w14:textId="77777777" w:rsidR="00F84419" w:rsidRPr="00584F61" w:rsidRDefault="00F84419" w:rsidP="00F84419">
            <w:pPr>
              <w:rPr>
                <w:rFonts w:ascii="Arial" w:hAnsi="Arial" w:cs="Arial"/>
                <w:sz w:val="20"/>
                <w:szCs w:val="20"/>
                <w:lang w:val="en-GB"/>
              </w:rPr>
            </w:pPr>
            <w:r>
              <w:rPr>
                <w:rFonts w:ascii="Arial" w:hAnsi="Arial" w:cs="Arial"/>
                <w:sz w:val="20"/>
                <w:szCs w:val="20"/>
                <w:lang w:val="en-GB"/>
              </w:rPr>
              <w:t>Mozambique</w:t>
            </w:r>
          </w:p>
        </w:tc>
        <w:tc>
          <w:tcPr>
            <w:tcW w:w="2191" w:type="dxa"/>
          </w:tcPr>
          <w:p w14:paraId="4101F28D"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747D68">
              <w:rPr>
                <w:rFonts w:ascii="Arial" w:hAnsi="Arial" w:cs="Arial"/>
                <w:sz w:val="18"/>
                <w:szCs w:val="18"/>
                <w:lang w:val="en-GB"/>
              </w:rPr>
              <w:t>IDD, 2006: Multi-donor; 1994-2004</w:t>
            </w:r>
          </w:p>
          <w:p w14:paraId="02C2DCAC"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2191" w:type="dxa"/>
          </w:tcPr>
          <w:p w14:paraId="089876F9"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2192" w:type="dxa"/>
          </w:tcPr>
          <w:p w14:paraId="5C18E2AF" w14:textId="77777777" w:rsidR="00F84419"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Pr>
                <w:rFonts w:ascii="Arial" w:hAnsi="Arial" w:cs="Arial"/>
                <w:sz w:val="18"/>
                <w:szCs w:val="18"/>
                <w:lang w:val="en-GB"/>
              </w:rPr>
              <w:t>ITAD, 2014; Multi-Donor; 2005-2012</w:t>
            </w:r>
          </w:p>
          <w:p w14:paraId="41BD3532"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F84419" w:rsidRPr="00584F61" w14:paraId="654D1F6E" w14:textId="77777777" w:rsidTr="00F84419">
        <w:tc>
          <w:tcPr>
            <w:cnfStyle w:val="001000000000" w:firstRow="0" w:lastRow="0" w:firstColumn="1" w:lastColumn="0" w:oddVBand="0" w:evenVBand="0" w:oddHBand="0" w:evenHBand="0" w:firstRowFirstColumn="0" w:firstRowLastColumn="0" w:lastRowFirstColumn="0" w:lastRowLastColumn="0"/>
            <w:tcW w:w="1951" w:type="dxa"/>
          </w:tcPr>
          <w:p w14:paraId="50CB9A8A" w14:textId="77777777" w:rsidR="00F84419" w:rsidRPr="00584F61" w:rsidRDefault="00F84419" w:rsidP="00F84419">
            <w:pPr>
              <w:rPr>
                <w:rFonts w:ascii="Arial" w:hAnsi="Arial" w:cs="Arial"/>
                <w:sz w:val="20"/>
                <w:szCs w:val="20"/>
                <w:lang w:val="en-GB"/>
              </w:rPr>
            </w:pPr>
            <w:r>
              <w:rPr>
                <w:rFonts w:ascii="Arial" w:hAnsi="Arial" w:cs="Arial"/>
                <w:sz w:val="20"/>
                <w:szCs w:val="20"/>
                <w:lang w:val="en-GB"/>
              </w:rPr>
              <w:t>Nicaragua</w:t>
            </w:r>
          </w:p>
        </w:tc>
        <w:tc>
          <w:tcPr>
            <w:tcW w:w="2191" w:type="dxa"/>
          </w:tcPr>
          <w:p w14:paraId="2DF49206"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747D68">
              <w:rPr>
                <w:rFonts w:ascii="Arial" w:hAnsi="Arial" w:cs="Arial"/>
                <w:sz w:val="18"/>
                <w:szCs w:val="18"/>
                <w:lang w:val="en-GB"/>
              </w:rPr>
              <w:t>IDD, 2006: Multi-donor; 1994-2004</w:t>
            </w:r>
          </w:p>
          <w:p w14:paraId="1A92CD9E"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2191" w:type="dxa"/>
          </w:tcPr>
          <w:p w14:paraId="0CE6ED49"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2192" w:type="dxa"/>
          </w:tcPr>
          <w:p w14:paraId="1229B68E"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F84419" w:rsidRPr="00584F61" w14:paraId="66FAFFBC" w14:textId="77777777" w:rsidTr="00F84419">
        <w:tc>
          <w:tcPr>
            <w:cnfStyle w:val="001000000000" w:firstRow="0" w:lastRow="0" w:firstColumn="1" w:lastColumn="0" w:oddVBand="0" w:evenVBand="0" w:oddHBand="0" w:evenHBand="0" w:firstRowFirstColumn="0" w:firstRowLastColumn="0" w:lastRowFirstColumn="0" w:lastRowLastColumn="0"/>
            <w:tcW w:w="1951" w:type="dxa"/>
          </w:tcPr>
          <w:p w14:paraId="5ABBA17E" w14:textId="77777777" w:rsidR="00F84419" w:rsidRDefault="00F84419" w:rsidP="00F84419">
            <w:pPr>
              <w:rPr>
                <w:rFonts w:ascii="Arial" w:hAnsi="Arial" w:cs="Arial"/>
                <w:sz w:val="20"/>
                <w:szCs w:val="20"/>
                <w:lang w:val="en-GB"/>
              </w:rPr>
            </w:pPr>
            <w:r>
              <w:rPr>
                <w:rFonts w:ascii="Arial" w:hAnsi="Arial" w:cs="Arial"/>
                <w:sz w:val="20"/>
                <w:szCs w:val="20"/>
                <w:lang w:val="en-GB"/>
              </w:rPr>
              <w:t>Rwanda</w:t>
            </w:r>
          </w:p>
        </w:tc>
        <w:tc>
          <w:tcPr>
            <w:tcW w:w="2191" w:type="dxa"/>
          </w:tcPr>
          <w:p w14:paraId="6B2F3324"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747D68">
              <w:rPr>
                <w:rFonts w:ascii="Arial" w:hAnsi="Arial" w:cs="Arial"/>
                <w:sz w:val="18"/>
                <w:szCs w:val="18"/>
                <w:lang w:val="en-GB"/>
              </w:rPr>
              <w:t>IDD, 2006: Multi-donor; 1994-2004</w:t>
            </w:r>
          </w:p>
        </w:tc>
        <w:tc>
          <w:tcPr>
            <w:tcW w:w="2191" w:type="dxa"/>
          </w:tcPr>
          <w:p w14:paraId="0CC9DA27"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2192" w:type="dxa"/>
          </w:tcPr>
          <w:p w14:paraId="36C2B733"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F84419" w:rsidRPr="00584F61" w14:paraId="66F4D950" w14:textId="77777777" w:rsidTr="00F84419">
        <w:tc>
          <w:tcPr>
            <w:cnfStyle w:val="001000000000" w:firstRow="0" w:lastRow="0" w:firstColumn="1" w:lastColumn="0" w:oddVBand="0" w:evenVBand="0" w:oddHBand="0" w:evenHBand="0" w:firstRowFirstColumn="0" w:firstRowLastColumn="0" w:lastRowFirstColumn="0" w:lastRowLastColumn="0"/>
            <w:tcW w:w="1951" w:type="dxa"/>
          </w:tcPr>
          <w:p w14:paraId="4631B1D4" w14:textId="77777777" w:rsidR="00F84419" w:rsidRPr="00CC43F8" w:rsidRDefault="00F84419" w:rsidP="00F84419">
            <w:pPr>
              <w:rPr>
                <w:rFonts w:ascii="Arial" w:hAnsi="Arial" w:cs="Arial"/>
                <w:b w:val="0"/>
                <w:bCs w:val="0"/>
                <w:sz w:val="20"/>
                <w:szCs w:val="20"/>
                <w:lang w:val="en-GB"/>
              </w:rPr>
            </w:pPr>
            <w:r>
              <w:rPr>
                <w:rFonts w:ascii="Arial" w:hAnsi="Arial" w:cs="Arial"/>
                <w:sz w:val="20"/>
                <w:szCs w:val="20"/>
                <w:lang w:val="en-GB"/>
              </w:rPr>
              <w:t xml:space="preserve">South Africa </w:t>
            </w:r>
          </w:p>
        </w:tc>
        <w:tc>
          <w:tcPr>
            <w:tcW w:w="2191" w:type="dxa"/>
          </w:tcPr>
          <w:p w14:paraId="7B7FE662"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2191" w:type="dxa"/>
          </w:tcPr>
          <w:p w14:paraId="74B62BAB"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2192" w:type="dxa"/>
          </w:tcPr>
          <w:p w14:paraId="0BB638E2" w14:textId="77777777" w:rsidR="00F84419"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Pr>
                <w:rFonts w:ascii="Arial" w:hAnsi="Arial" w:cs="Arial"/>
                <w:sz w:val="18"/>
                <w:szCs w:val="18"/>
                <w:lang w:val="en-GB"/>
              </w:rPr>
              <w:t>Particip, 2013; EU SBS; 2000-2011.</w:t>
            </w:r>
          </w:p>
          <w:p w14:paraId="68B0F005"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F84419" w:rsidRPr="00584F61" w14:paraId="3DCC19EF" w14:textId="77777777" w:rsidTr="00F84419">
        <w:tc>
          <w:tcPr>
            <w:cnfStyle w:val="001000000000" w:firstRow="0" w:lastRow="0" w:firstColumn="1" w:lastColumn="0" w:oddVBand="0" w:evenVBand="0" w:oddHBand="0" w:evenHBand="0" w:firstRowFirstColumn="0" w:firstRowLastColumn="0" w:lastRowFirstColumn="0" w:lastRowLastColumn="0"/>
            <w:tcW w:w="1951" w:type="dxa"/>
          </w:tcPr>
          <w:p w14:paraId="5A41C8AC" w14:textId="77777777" w:rsidR="00F84419" w:rsidRDefault="00F84419" w:rsidP="00F84419">
            <w:pPr>
              <w:rPr>
                <w:rFonts w:ascii="Arial" w:hAnsi="Arial" w:cs="Arial"/>
                <w:sz w:val="20"/>
                <w:szCs w:val="20"/>
                <w:lang w:val="en-GB"/>
              </w:rPr>
            </w:pPr>
            <w:r>
              <w:rPr>
                <w:rFonts w:ascii="Arial" w:hAnsi="Arial" w:cs="Arial"/>
                <w:sz w:val="20"/>
                <w:szCs w:val="20"/>
                <w:lang w:val="en-GB"/>
              </w:rPr>
              <w:t>Tanzania</w:t>
            </w:r>
          </w:p>
        </w:tc>
        <w:tc>
          <w:tcPr>
            <w:tcW w:w="2191" w:type="dxa"/>
          </w:tcPr>
          <w:p w14:paraId="28BC5CEE"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2191" w:type="dxa"/>
          </w:tcPr>
          <w:p w14:paraId="5D45E642"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747D68">
              <w:rPr>
                <w:rFonts w:ascii="Arial" w:hAnsi="Arial" w:cs="Arial"/>
                <w:sz w:val="18"/>
                <w:szCs w:val="18"/>
                <w:lang w:val="en-GB"/>
              </w:rPr>
              <w:t>ODI, 2005: Multi-donor; 1994-2004</w:t>
            </w:r>
          </w:p>
          <w:p w14:paraId="5D9F5CF9"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2192" w:type="dxa"/>
          </w:tcPr>
          <w:p w14:paraId="45BEA4FB"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Pr>
                <w:rFonts w:ascii="Arial" w:hAnsi="Arial" w:cs="Arial"/>
                <w:sz w:val="18"/>
                <w:szCs w:val="18"/>
                <w:lang w:val="en-GB"/>
              </w:rPr>
              <w:t>ITAD, 2013; Multi-donor; 2005 – 2012.</w:t>
            </w:r>
          </w:p>
        </w:tc>
      </w:tr>
      <w:tr w:rsidR="00F84419" w:rsidRPr="00584F61" w14:paraId="36EC93F1" w14:textId="77777777" w:rsidTr="00F84419">
        <w:tc>
          <w:tcPr>
            <w:cnfStyle w:val="001000000000" w:firstRow="0" w:lastRow="0" w:firstColumn="1" w:lastColumn="0" w:oddVBand="0" w:evenVBand="0" w:oddHBand="0" w:evenHBand="0" w:firstRowFirstColumn="0" w:firstRowLastColumn="0" w:lastRowFirstColumn="0" w:lastRowLastColumn="0"/>
            <w:tcW w:w="1951" w:type="dxa"/>
          </w:tcPr>
          <w:p w14:paraId="5A0BBD1D" w14:textId="77777777" w:rsidR="00F84419" w:rsidRDefault="00F84419" w:rsidP="00F84419">
            <w:pPr>
              <w:rPr>
                <w:rFonts w:ascii="Arial" w:hAnsi="Arial" w:cs="Arial"/>
                <w:sz w:val="20"/>
                <w:szCs w:val="20"/>
                <w:lang w:val="en-GB"/>
              </w:rPr>
            </w:pPr>
            <w:r>
              <w:rPr>
                <w:rFonts w:ascii="Arial" w:hAnsi="Arial" w:cs="Arial"/>
                <w:sz w:val="20"/>
                <w:szCs w:val="20"/>
                <w:lang w:val="en-GB"/>
              </w:rPr>
              <w:t xml:space="preserve">Tunisia </w:t>
            </w:r>
          </w:p>
        </w:tc>
        <w:tc>
          <w:tcPr>
            <w:tcW w:w="2191" w:type="dxa"/>
          </w:tcPr>
          <w:p w14:paraId="0F62F2D4"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2191" w:type="dxa"/>
          </w:tcPr>
          <w:p w14:paraId="620A7B11"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2192" w:type="dxa"/>
          </w:tcPr>
          <w:p w14:paraId="47202307"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Pr>
                <w:rFonts w:ascii="Arial" w:hAnsi="Arial" w:cs="Arial"/>
                <w:sz w:val="18"/>
                <w:szCs w:val="18"/>
                <w:lang w:val="en-GB"/>
              </w:rPr>
              <w:t>DRN, 2011; EU GBS/ SBS; 1996 – 2008</w:t>
            </w:r>
          </w:p>
        </w:tc>
      </w:tr>
      <w:tr w:rsidR="00F84419" w:rsidRPr="00584F61" w14:paraId="1084534E" w14:textId="77777777" w:rsidTr="00F84419">
        <w:tc>
          <w:tcPr>
            <w:cnfStyle w:val="001000000000" w:firstRow="0" w:lastRow="0" w:firstColumn="1" w:lastColumn="0" w:oddVBand="0" w:evenVBand="0" w:oddHBand="0" w:evenHBand="0" w:firstRowFirstColumn="0" w:firstRowLastColumn="0" w:lastRowFirstColumn="0" w:lastRowLastColumn="0"/>
            <w:tcW w:w="1951" w:type="dxa"/>
          </w:tcPr>
          <w:p w14:paraId="2CF45A92" w14:textId="77777777" w:rsidR="00F84419" w:rsidRDefault="00F84419" w:rsidP="00F84419">
            <w:pPr>
              <w:rPr>
                <w:rFonts w:ascii="Arial" w:hAnsi="Arial" w:cs="Arial"/>
                <w:sz w:val="20"/>
                <w:szCs w:val="20"/>
                <w:lang w:val="en-GB"/>
              </w:rPr>
            </w:pPr>
            <w:r>
              <w:rPr>
                <w:rFonts w:ascii="Arial" w:hAnsi="Arial" w:cs="Arial"/>
                <w:sz w:val="20"/>
                <w:szCs w:val="20"/>
                <w:lang w:val="en-GB"/>
              </w:rPr>
              <w:t>Uganda</w:t>
            </w:r>
          </w:p>
        </w:tc>
        <w:tc>
          <w:tcPr>
            <w:tcW w:w="2191" w:type="dxa"/>
          </w:tcPr>
          <w:p w14:paraId="35435A99"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747D68">
              <w:rPr>
                <w:rFonts w:ascii="Arial" w:hAnsi="Arial" w:cs="Arial"/>
                <w:sz w:val="18"/>
                <w:szCs w:val="18"/>
                <w:lang w:val="en-GB"/>
              </w:rPr>
              <w:t>IDD, 2006: Multi-donor; 1994-2004</w:t>
            </w:r>
          </w:p>
          <w:p w14:paraId="73F764F6"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2191" w:type="dxa"/>
          </w:tcPr>
          <w:p w14:paraId="74E93936"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2192" w:type="dxa"/>
          </w:tcPr>
          <w:p w14:paraId="3244B299"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F84419" w:rsidRPr="00584F61" w14:paraId="3E1735AD" w14:textId="77777777" w:rsidTr="00F84419">
        <w:tc>
          <w:tcPr>
            <w:cnfStyle w:val="001000000000" w:firstRow="0" w:lastRow="0" w:firstColumn="1" w:lastColumn="0" w:oddVBand="0" w:evenVBand="0" w:oddHBand="0" w:evenHBand="0" w:firstRowFirstColumn="0" w:firstRowLastColumn="0" w:lastRowFirstColumn="0" w:lastRowLastColumn="0"/>
            <w:tcW w:w="1951" w:type="dxa"/>
          </w:tcPr>
          <w:p w14:paraId="3F7C81E5" w14:textId="77777777" w:rsidR="00F84419" w:rsidRPr="00584F61" w:rsidRDefault="00F84419" w:rsidP="00F84419">
            <w:pPr>
              <w:rPr>
                <w:rFonts w:ascii="Arial" w:hAnsi="Arial" w:cs="Arial"/>
                <w:sz w:val="20"/>
                <w:szCs w:val="20"/>
                <w:lang w:val="en-GB"/>
              </w:rPr>
            </w:pPr>
            <w:r>
              <w:rPr>
                <w:rFonts w:ascii="Arial" w:hAnsi="Arial" w:cs="Arial"/>
                <w:sz w:val="20"/>
                <w:szCs w:val="20"/>
                <w:lang w:val="en-GB"/>
              </w:rPr>
              <w:t>Vietnam</w:t>
            </w:r>
          </w:p>
        </w:tc>
        <w:tc>
          <w:tcPr>
            <w:tcW w:w="2191" w:type="dxa"/>
          </w:tcPr>
          <w:p w14:paraId="26900EA0"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747D68">
              <w:rPr>
                <w:rFonts w:ascii="Arial" w:hAnsi="Arial" w:cs="Arial"/>
                <w:sz w:val="18"/>
                <w:szCs w:val="18"/>
                <w:lang w:val="en-GB"/>
              </w:rPr>
              <w:t>IDD, 2006: Multi-donor; 1994-2004</w:t>
            </w:r>
          </w:p>
        </w:tc>
        <w:tc>
          <w:tcPr>
            <w:tcW w:w="2191" w:type="dxa"/>
          </w:tcPr>
          <w:p w14:paraId="7F8DE132"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2192" w:type="dxa"/>
          </w:tcPr>
          <w:p w14:paraId="0105298A"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F84419" w:rsidRPr="00584F61" w14:paraId="191FC199" w14:textId="77777777" w:rsidTr="00F84419">
        <w:tc>
          <w:tcPr>
            <w:cnfStyle w:val="001000000000" w:firstRow="0" w:lastRow="0" w:firstColumn="1" w:lastColumn="0" w:oddVBand="0" w:evenVBand="0" w:oddHBand="0" w:evenHBand="0" w:firstRowFirstColumn="0" w:firstRowLastColumn="0" w:lastRowFirstColumn="0" w:lastRowLastColumn="0"/>
            <w:tcW w:w="1951" w:type="dxa"/>
          </w:tcPr>
          <w:p w14:paraId="1B72FD93" w14:textId="77777777" w:rsidR="00F84419" w:rsidRPr="00584F61" w:rsidRDefault="00F84419" w:rsidP="00F84419">
            <w:pPr>
              <w:rPr>
                <w:rFonts w:ascii="Arial" w:hAnsi="Arial" w:cs="Arial"/>
                <w:sz w:val="20"/>
                <w:szCs w:val="20"/>
                <w:lang w:val="en-GB"/>
              </w:rPr>
            </w:pPr>
            <w:r>
              <w:rPr>
                <w:rFonts w:ascii="Arial" w:hAnsi="Arial" w:cs="Arial"/>
                <w:sz w:val="20"/>
                <w:szCs w:val="20"/>
                <w:lang w:val="en-GB"/>
              </w:rPr>
              <w:t>Zambia</w:t>
            </w:r>
          </w:p>
        </w:tc>
        <w:tc>
          <w:tcPr>
            <w:tcW w:w="2191" w:type="dxa"/>
          </w:tcPr>
          <w:p w14:paraId="2576B989"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2191" w:type="dxa"/>
          </w:tcPr>
          <w:p w14:paraId="56B87B09"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2192" w:type="dxa"/>
          </w:tcPr>
          <w:p w14:paraId="7E54DFEF" w14:textId="77777777" w:rsidR="00F84419" w:rsidRPr="00747D68" w:rsidRDefault="00F84419" w:rsidP="00F8441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Pr>
                <w:rFonts w:ascii="Arial" w:hAnsi="Arial" w:cs="Arial"/>
                <w:sz w:val="18"/>
                <w:szCs w:val="18"/>
                <w:lang w:val="en-GB"/>
              </w:rPr>
              <w:t>IOB, 2011; Multi-donor; 2005-2010</w:t>
            </w:r>
          </w:p>
        </w:tc>
      </w:tr>
    </w:tbl>
    <w:p w14:paraId="7252C21A" w14:textId="77777777" w:rsidR="00F84419" w:rsidRPr="00645FE2" w:rsidRDefault="00F84419" w:rsidP="00F84419"/>
    <w:p w14:paraId="6BED5023" w14:textId="77777777" w:rsidR="00F84419" w:rsidRDefault="00F84419">
      <w:pPr>
        <w:rPr>
          <w:rFonts w:ascii="Gill Sans MT" w:hAnsi="Gill Sans MT"/>
          <w:sz w:val="20"/>
          <w:szCs w:val="20"/>
          <w:lang w:val="en-GB"/>
        </w:rPr>
      </w:pPr>
      <w:r>
        <w:rPr>
          <w:rFonts w:ascii="Gill Sans MT" w:hAnsi="Gill Sans MT"/>
          <w:sz w:val="20"/>
          <w:lang w:val="en-GB"/>
        </w:rPr>
        <w:br w:type="page"/>
      </w:r>
    </w:p>
    <w:p w14:paraId="0A282FC0" w14:textId="77777777" w:rsidR="008F339F" w:rsidRPr="00F84419" w:rsidRDefault="00ED4802" w:rsidP="00F84419">
      <w:pPr>
        <w:pStyle w:val="Heading1"/>
      </w:pPr>
      <w:bookmarkStart w:id="98" w:name="_Toc279848258"/>
      <w:r>
        <w:lastRenderedPageBreak/>
        <w:t>Annex II:</w:t>
      </w:r>
      <w:r>
        <w:tab/>
        <w:t xml:space="preserve">Overview of the “3-Step” </w:t>
      </w:r>
      <w:r w:rsidR="00F84419">
        <w:t>Approach</w:t>
      </w:r>
      <w:bookmarkEnd w:id="98"/>
    </w:p>
    <w:p w14:paraId="42BC94EB" w14:textId="77777777" w:rsidR="00AE1F94" w:rsidRDefault="00AE1F94" w:rsidP="00690F52">
      <w:pPr>
        <w:autoSpaceDE w:val="0"/>
        <w:autoSpaceDN w:val="0"/>
        <w:adjustRightInd w:val="0"/>
        <w:ind w:left="720" w:hanging="720"/>
        <w:rPr>
          <w:rFonts w:ascii="Gill Sans MT" w:eastAsia="PMingLiU" w:hAnsi="Gill Sans MT" w:cs="Arial"/>
          <w:sz w:val="20"/>
          <w:szCs w:val="20"/>
          <w:lang w:val="en-GB" w:eastAsia="zh-CN"/>
        </w:rPr>
      </w:pPr>
    </w:p>
    <w:p w14:paraId="57A9CFBD" w14:textId="77777777" w:rsidR="00ED4802" w:rsidRPr="00DE7AC0" w:rsidRDefault="00ED4802" w:rsidP="00ED4802">
      <w:pPr>
        <w:pStyle w:val="BodyText"/>
        <w:numPr>
          <w:ilvl w:val="0"/>
          <w:numId w:val="0"/>
        </w:numPr>
        <w:spacing w:before="0" w:line="360" w:lineRule="auto"/>
        <w:ind w:left="357"/>
        <w:rPr>
          <w:rFonts w:ascii="Gill Sans MT" w:hAnsi="Gill Sans MT"/>
          <w:sz w:val="20"/>
          <w:lang w:val="en-GB"/>
        </w:rPr>
      </w:pPr>
      <w:r w:rsidRPr="00A8479A">
        <w:rPr>
          <w:rFonts w:ascii="Gill Sans MT" w:hAnsi="Gill Sans MT"/>
          <w:b/>
          <w:sz w:val="20"/>
          <w:lang w:val="en-GB"/>
        </w:rPr>
        <w:t>The OECD-DAC methodology recognises that budget support is not a development programme in itself but rather a means to support a programme of policy and public spending actions by a partner government</w:t>
      </w:r>
      <w:r>
        <w:rPr>
          <w:rFonts w:ascii="Gill Sans MT" w:hAnsi="Gill Sans MT"/>
          <w:sz w:val="20"/>
          <w:lang w:val="en-GB"/>
        </w:rPr>
        <w:t>. The final outcomes and impacts of GBS and SBS therefore depend predominantly on the quality and effectiveness of the strategies of the partner government, given the constraints imposed by the institutional and socio-economic environment. Accordingly, the evaluation methodology draws a sharp distinction between the (rather limited) direct outputs which budget support might be expected to produce simply as a consequence of its introduction into the aid landscape, and the more important “induced outputs” resulting from its interactions with government processes. The Intervention Logic (IL) underlying the methodology is based on a set of structured relationships at five levels, as follows:</w:t>
      </w:r>
    </w:p>
    <w:p w14:paraId="289373BB" w14:textId="77777777" w:rsidR="00ED4802" w:rsidRDefault="00ED4802" w:rsidP="00D72813">
      <w:pPr>
        <w:pStyle w:val="BodyText"/>
        <w:numPr>
          <w:ilvl w:val="0"/>
          <w:numId w:val="47"/>
        </w:numPr>
        <w:spacing w:before="0" w:line="360" w:lineRule="auto"/>
        <w:ind w:left="714" w:hanging="357"/>
        <w:rPr>
          <w:rFonts w:ascii="Gill Sans MT" w:hAnsi="Gill Sans MT"/>
          <w:sz w:val="20"/>
          <w:lang w:val="en-GB"/>
        </w:rPr>
      </w:pPr>
      <w:r w:rsidRPr="00E365FB">
        <w:rPr>
          <w:rFonts w:ascii="Gill Sans MT" w:hAnsi="Gill Sans MT"/>
          <w:b/>
          <w:sz w:val="20"/>
          <w:lang w:val="en-GB"/>
        </w:rPr>
        <w:t xml:space="preserve">Level </w:t>
      </w:r>
      <w:proofErr w:type="gramStart"/>
      <w:r w:rsidRPr="00E365FB">
        <w:rPr>
          <w:rFonts w:ascii="Gill Sans MT" w:hAnsi="Gill Sans MT"/>
          <w:b/>
          <w:sz w:val="20"/>
          <w:lang w:val="en-GB"/>
        </w:rPr>
        <w:t>One</w:t>
      </w:r>
      <w:proofErr w:type="gramEnd"/>
      <w:r w:rsidRPr="00E365FB">
        <w:rPr>
          <w:rFonts w:ascii="Gill Sans MT" w:hAnsi="Gill Sans MT"/>
          <w:b/>
          <w:sz w:val="20"/>
          <w:lang w:val="en-GB"/>
        </w:rPr>
        <w:t>,</w:t>
      </w:r>
      <w:r>
        <w:rPr>
          <w:rFonts w:ascii="Gill Sans MT" w:hAnsi="Gill Sans MT"/>
          <w:sz w:val="20"/>
          <w:lang w:val="en-GB"/>
        </w:rPr>
        <w:t xml:space="preserve"> which examines the </w:t>
      </w:r>
      <w:r w:rsidRPr="00E365FB">
        <w:rPr>
          <w:rFonts w:ascii="Gill Sans MT" w:hAnsi="Gill Sans MT"/>
          <w:b/>
          <w:sz w:val="20"/>
          <w:lang w:val="en-GB"/>
        </w:rPr>
        <w:t>Inputs</w:t>
      </w:r>
      <w:r>
        <w:rPr>
          <w:rFonts w:ascii="Gill Sans MT" w:hAnsi="Gill Sans MT"/>
          <w:sz w:val="20"/>
          <w:lang w:val="en-GB"/>
        </w:rPr>
        <w:t xml:space="preserve"> of GBS and SBS, including policy dialogue and capacity-building inputs as well as fund flows.</w:t>
      </w:r>
    </w:p>
    <w:p w14:paraId="3BCBA041" w14:textId="77777777" w:rsidR="00ED4802" w:rsidRDefault="00ED4802" w:rsidP="00D72813">
      <w:pPr>
        <w:pStyle w:val="BodyText"/>
        <w:numPr>
          <w:ilvl w:val="0"/>
          <w:numId w:val="47"/>
        </w:numPr>
        <w:spacing w:before="0" w:line="360" w:lineRule="auto"/>
        <w:ind w:left="714" w:hanging="357"/>
        <w:rPr>
          <w:rFonts w:ascii="Gill Sans MT" w:hAnsi="Gill Sans MT"/>
          <w:sz w:val="20"/>
          <w:lang w:val="en-GB"/>
        </w:rPr>
      </w:pPr>
      <w:r w:rsidRPr="00E365FB">
        <w:rPr>
          <w:rFonts w:ascii="Gill Sans MT" w:hAnsi="Gill Sans MT"/>
          <w:b/>
          <w:sz w:val="20"/>
          <w:lang w:val="en-GB"/>
        </w:rPr>
        <w:t>Level Two,</w:t>
      </w:r>
      <w:r w:rsidRPr="00725A2B">
        <w:rPr>
          <w:rFonts w:ascii="Gill Sans MT" w:hAnsi="Gill Sans MT"/>
          <w:sz w:val="20"/>
          <w:lang w:val="en-GB"/>
        </w:rPr>
        <w:t xml:space="preserve"> </w:t>
      </w:r>
      <w:r>
        <w:rPr>
          <w:rFonts w:ascii="Gill Sans MT" w:hAnsi="Gill Sans MT"/>
          <w:sz w:val="20"/>
          <w:lang w:val="en-GB"/>
        </w:rPr>
        <w:t xml:space="preserve">which details the </w:t>
      </w:r>
      <w:r w:rsidRPr="00E365FB">
        <w:rPr>
          <w:rFonts w:ascii="Gill Sans MT" w:hAnsi="Gill Sans MT"/>
          <w:b/>
          <w:sz w:val="20"/>
          <w:lang w:val="en-GB"/>
        </w:rPr>
        <w:t>Direct Outputs</w:t>
      </w:r>
      <w:r>
        <w:rPr>
          <w:rFonts w:ascii="Gill Sans MT" w:hAnsi="Gill Sans MT"/>
          <w:sz w:val="20"/>
          <w:lang w:val="en-GB"/>
        </w:rPr>
        <w:t xml:space="preserve"> generated by the interaction of budget support with other aid modalities.</w:t>
      </w:r>
    </w:p>
    <w:p w14:paraId="0DCFB6DB" w14:textId="77777777" w:rsidR="00ED4802" w:rsidRDefault="00ED4802" w:rsidP="00D72813">
      <w:pPr>
        <w:pStyle w:val="BodyText"/>
        <w:numPr>
          <w:ilvl w:val="0"/>
          <w:numId w:val="47"/>
        </w:numPr>
        <w:spacing w:before="0" w:line="360" w:lineRule="auto"/>
        <w:ind w:left="714" w:hanging="357"/>
        <w:rPr>
          <w:rFonts w:ascii="Gill Sans MT" w:hAnsi="Gill Sans MT"/>
          <w:sz w:val="20"/>
          <w:lang w:val="en-GB"/>
        </w:rPr>
      </w:pPr>
      <w:r w:rsidRPr="00E365FB">
        <w:rPr>
          <w:rFonts w:ascii="Gill Sans MT" w:hAnsi="Gill Sans MT"/>
          <w:b/>
          <w:sz w:val="20"/>
          <w:lang w:val="en-GB"/>
        </w:rPr>
        <w:t>Level Three,</w:t>
      </w:r>
      <w:r>
        <w:rPr>
          <w:rFonts w:ascii="Gill Sans MT" w:hAnsi="Gill Sans MT"/>
          <w:sz w:val="20"/>
          <w:lang w:val="en-GB"/>
        </w:rPr>
        <w:t xml:space="preserve"> which documents the </w:t>
      </w:r>
      <w:r w:rsidRPr="00E365FB">
        <w:rPr>
          <w:rFonts w:ascii="Gill Sans MT" w:hAnsi="Gill Sans MT"/>
          <w:b/>
          <w:sz w:val="20"/>
          <w:lang w:val="en-GB"/>
        </w:rPr>
        <w:t>Induced Outputs</w:t>
      </w:r>
      <w:r>
        <w:rPr>
          <w:rFonts w:ascii="Gill Sans MT" w:hAnsi="Gill Sans MT"/>
          <w:sz w:val="20"/>
          <w:lang w:val="en-GB"/>
        </w:rPr>
        <w:t xml:space="preserve"> produced by Government as a consequence of the interaction of budget support (in complement with other modalities) with the national policy, budgetary and service delivery processes.</w:t>
      </w:r>
    </w:p>
    <w:p w14:paraId="74A6AFD8" w14:textId="77777777" w:rsidR="00ED4802" w:rsidRDefault="00ED4802" w:rsidP="00D72813">
      <w:pPr>
        <w:pStyle w:val="BodyText"/>
        <w:numPr>
          <w:ilvl w:val="0"/>
          <w:numId w:val="47"/>
        </w:numPr>
        <w:spacing w:before="0" w:line="360" w:lineRule="auto"/>
        <w:ind w:left="714" w:hanging="357"/>
        <w:rPr>
          <w:rFonts w:ascii="Gill Sans MT" w:hAnsi="Gill Sans MT"/>
          <w:sz w:val="20"/>
          <w:lang w:val="en-GB"/>
        </w:rPr>
      </w:pPr>
      <w:r w:rsidRPr="00E365FB">
        <w:rPr>
          <w:rFonts w:ascii="Gill Sans MT" w:hAnsi="Gill Sans MT"/>
          <w:b/>
          <w:sz w:val="20"/>
          <w:lang w:val="en-GB"/>
        </w:rPr>
        <w:t>Level Four,</w:t>
      </w:r>
      <w:r w:rsidRPr="00725A2B">
        <w:rPr>
          <w:rFonts w:ascii="Gill Sans MT" w:hAnsi="Gill Sans MT"/>
          <w:sz w:val="20"/>
          <w:lang w:val="en-GB"/>
        </w:rPr>
        <w:t xml:space="preserve"> </w:t>
      </w:r>
      <w:r>
        <w:rPr>
          <w:rFonts w:ascii="Gill Sans MT" w:hAnsi="Gill Sans MT"/>
          <w:sz w:val="20"/>
          <w:lang w:val="en-GB"/>
        </w:rPr>
        <w:t xml:space="preserve">which records the </w:t>
      </w:r>
      <w:r w:rsidRPr="00E365FB">
        <w:rPr>
          <w:rFonts w:ascii="Gill Sans MT" w:hAnsi="Gill Sans MT"/>
          <w:b/>
          <w:sz w:val="20"/>
          <w:lang w:val="en-GB"/>
        </w:rPr>
        <w:t>Outcomes</w:t>
      </w:r>
      <w:r>
        <w:rPr>
          <w:rFonts w:ascii="Gill Sans MT" w:hAnsi="Gill Sans MT"/>
          <w:sz w:val="20"/>
          <w:lang w:val="en-GB"/>
        </w:rPr>
        <w:t xml:space="preserve"> of Government policies and spending actions, in terms of changes in the utilisation of public services by the public and changes in private sector behaviour due to government regulatory actions. </w:t>
      </w:r>
    </w:p>
    <w:p w14:paraId="39B4EBD4" w14:textId="77777777" w:rsidR="00ED4802" w:rsidRPr="00DE7AC0" w:rsidRDefault="00ED4802" w:rsidP="00D72813">
      <w:pPr>
        <w:pStyle w:val="BodyText"/>
        <w:numPr>
          <w:ilvl w:val="0"/>
          <w:numId w:val="47"/>
        </w:numPr>
        <w:spacing w:before="0" w:line="360" w:lineRule="auto"/>
        <w:ind w:left="714" w:hanging="357"/>
        <w:rPr>
          <w:rFonts w:ascii="Gill Sans MT" w:hAnsi="Gill Sans MT"/>
          <w:sz w:val="20"/>
          <w:lang w:val="en-GB"/>
        </w:rPr>
      </w:pPr>
      <w:r w:rsidRPr="00E365FB">
        <w:rPr>
          <w:rFonts w:ascii="Gill Sans MT" w:hAnsi="Gill Sans MT"/>
          <w:b/>
          <w:sz w:val="20"/>
          <w:lang w:val="en-GB"/>
        </w:rPr>
        <w:t>Level Five,</w:t>
      </w:r>
      <w:r w:rsidRPr="009D424D">
        <w:rPr>
          <w:rFonts w:ascii="Gill Sans MT" w:hAnsi="Gill Sans MT"/>
          <w:sz w:val="20"/>
          <w:lang w:val="en-GB"/>
        </w:rPr>
        <w:t xml:space="preserve"> </w:t>
      </w:r>
      <w:r>
        <w:rPr>
          <w:rFonts w:ascii="Gill Sans MT" w:hAnsi="Gill Sans MT"/>
          <w:sz w:val="20"/>
          <w:lang w:val="en-GB"/>
        </w:rPr>
        <w:t xml:space="preserve">which records the wider </w:t>
      </w:r>
      <w:r w:rsidRPr="00E365FB">
        <w:rPr>
          <w:rFonts w:ascii="Gill Sans MT" w:hAnsi="Gill Sans MT"/>
          <w:b/>
          <w:sz w:val="20"/>
          <w:lang w:val="en-GB"/>
        </w:rPr>
        <w:t>Impacts</w:t>
      </w:r>
      <w:r>
        <w:rPr>
          <w:rFonts w:ascii="Gill Sans MT" w:hAnsi="Gill Sans MT"/>
          <w:sz w:val="20"/>
          <w:lang w:val="en-GB"/>
        </w:rPr>
        <w:t xml:space="preserve"> of these processes, in terms of societal and economic processes, such as economic growth, reduced income poverty, reduced social exclusion and improved health and welfare (reduced non-income poverty).</w:t>
      </w:r>
    </w:p>
    <w:p w14:paraId="6CC7EF51" w14:textId="77777777" w:rsidR="00ED4802" w:rsidRDefault="00ED4802" w:rsidP="00ED4802">
      <w:pPr>
        <w:pStyle w:val="BodyText"/>
        <w:numPr>
          <w:ilvl w:val="0"/>
          <w:numId w:val="0"/>
        </w:numPr>
        <w:spacing w:before="0" w:line="360" w:lineRule="auto"/>
        <w:ind w:left="357"/>
        <w:rPr>
          <w:rFonts w:ascii="Gill Sans MT" w:hAnsi="Gill Sans MT"/>
          <w:sz w:val="20"/>
          <w:lang w:val="en-GB"/>
        </w:rPr>
      </w:pPr>
      <w:r>
        <w:rPr>
          <w:rFonts w:ascii="Gill Sans MT" w:hAnsi="Gill Sans MT"/>
          <w:sz w:val="20"/>
          <w:lang w:val="en-GB"/>
        </w:rPr>
        <w:t xml:space="preserve">In order to avoid implicit assumptions of causality between budget support inputs and final outcomes and impacts, the analysis is separated into three steps, as illustrated in Figure 1: </w:t>
      </w:r>
    </w:p>
    <w:p w14:paraId="4D34E552" w14:textId="77777777" w:rsidR="00ED4802" w:rsidRDefault="00ED4802" w:rsidP="00D72813">
      <w:pPr>
        <w:pStyle w:val="BodyText"/>
        <w:numPr>
          <w:ilvl w:val="0"/>
          <w:numId w:val="47"/>
        </w:numPr>
        <w:spacing w:before="0" w:line="360" w:lineRule="auto"/>
        <w:ind w:left="714" w:hanging="357"/>
        <w:rPr>
          <w:rFonts w:ascii="Gill Sans MT" w:hAnsi="Gill Sans MT"/>
          <w:sz w:val="20"/>
          <w:lang w:val="en-GB"/>
        </w:rPr>
      </w:pPr>
      <w:r>
        <w:rPr>
          <w:rFonts w:ascii="Gill Sans MT" w:hAnsi="Gill Sans MT"/>
          <w:b/>
          <w:sz w:val="20"/>
          <w:lang w:val="en-GB"/>
        </w:rPr>
        <w:t xml:space="preserve">Step One </w:t>
      </w:r>
      <w:r w:rsidRPr="001557A0">
        <w:rPr>
          <w:rFonts w:ascii="Gill Sans MT" w:hAnsi="Gill Sans MT"/>
          <w:sz w:val="20"/>
          <w:lang w:val="en-GB"/>
        </w:rPr>
        <w:t>covers levels 1-3</w:t>
      </w:r>
      <w:r>
        <w:rPr>
          <w:rFonts w:ascii="Gill Sans MT" w:hAnsi="Gill Sans MT"/>
          <w:sz w:val="20"/>
          <w:lang w:val="en-GB"/>
        </w:rPr>
        <w:t>. It provides the basis for understanding how Budget Support has been inserted into the public spending and policy making process and with what effects (direct and induced outputs), given the influence of other aid modalities and internal government processes working alongside Budget Support.</w:t>
      </w:r>
    </w:p>
    <w:p w14:paraId="014E4E0A" w14:textId="77777777" w:rsidR="00ED4802" w:rsidRDefault="00ED4802" w:rsidP="00D72813">
      <w:pPr>
        <w:pStyle w:val="BodyText"/>
        <w:numPr>
          <w:ilvl w:val="0"/>
          <w:numId w:val="47"/>
        </w:numPr>
        <w:spacing w:before="0" w:line="360" w:lineRule="auto"/>
        <w:ind w:left="714" w:hanging="357"/>
        <w:rPr>
          <w:rFonts w:ascii="Gill Sans MT" w:hAnsi="Gill Sans MT"/>
          <w:sz w:val="20"/>
          <w:lang w:val="en-GB"/>
        </w:rPr>
      </w:pPr>
      <w:r>
        <w:rPr>
          <w:rFonts w:ascii="Gill Sans MT" w:hAnsi="Gill Sans MT"/>
          <w:b/>
          <w:sz w:val="20"/>
          <w:lang w:val="en-GB"/>
        </w:rPr>
        <w:t xml:space="preserve">Step Two </w:t>
      </w:r>
      <w:r w:rsidRPr="001557A0">
        <w:rPr>
          <w:rFonts w:ascii="Gill Sans MT" w:hAnsi="Gill Sans MT"/>
          <w:sz w:val="20"/>
          <w:lang w:val="en-GB"/>
        </w:rPr>
        <w:t>begins from an identificatio</w:t>
      </w:r>
      <w:r>
        <w:rPr>
          <w:rFonts w:ascii="Gill Sans MT" w:hAnsi="Gill Sans MT"/>
          <w:sz w:val="20"/>
          <w:lang w:val="en-GB"/>
        </w:rPr>
        <w:t xml:space="preserve">n of the most significant outcomes and impacts related to the implementation of the Government’s national and sectoral development strategies (levels 4 &amp; 5) and then examines – through a combination of econometric and qualitative analysis – what have been the primary determinants of those outcomes and impacts. </w:t>
      </w:r>
    </w:p>
    <w:p w14:paraId="3414818B" w14:textId="77777777" w:rsidR="00ED4802" w:rsidRDefault="00ED4802" w:rsidP="00D72813">
      <w:pPr>
        <w:pStyle w:val="BodyText"/>
        <w:numPr>
          <w:ilvl w:val="0"/>
          <w:numId w:val="47"/>
        </w:numPr>
        <w:spacing w:before="0" w:line="360" w:lineRule="auto"/>
        <w:ind w:left="714" w:hanging="357"/>
        <w:rPr>
          <w:rFonts w:ascii="Gill Sans MT" w:hAnsi="Gill Sans MT"/>
          <w:sz w:val="20"/>
          <w:lang w:val="en-GB"/>
        </w:rPr>
      </w:pPr>
      <w:r>
        <w:rPr>
          <w:rFonts w:ascii="Gill Sans MT" w:hAnsi="Gill Sans MT"/>
          <w:b/>
          <w:sz w:val="20"/>
          <w:lang w:val="en-GB"/>
        </w:rPr>
        <w:lastRenderedPageBreak/>
        <w:t xml:space="preserve">Step Three </w:t>
      </w:r>
      <w:r>
        <w:rPr>
          <w:rFonts w:ascii="Gill Sans MT" w:hAnsi="Gill Sans MT"/>
          <w:sz w:val="20"/>
          <w:lang w:val="en-GB"/>
        </w:rPr>
        <w:t xml:space="preserve">brings together the findings from Steps One and Two, identifying which of the “induced outputs” of Budget Support identified in Step One also feature amongst the primary determinants of outcomes and impacts identified through Step Two. In this way, it permits an assessment of the contribution of Budget Support to final outcomes and impacts and an identification of the key points of weakness in the Intervention Logic. </w:t>
      </w:r>
    </w:p>
    <w:p w14:paraId="11BA75E9" w14:textId="77777777" w:rsidR="00ED4802" w:rsidRPr="0072669D" w:rsidRDefault="00ED4802" w:rsidP="00ED4802">
      <w:pPr>
        <w:pStyle w:val="Caption"/>
        <w:jc w:val="center"/>
        <w:rPr>
          <w:rFonts w:ascii="Gill Sans MT" w:hAnsi="Gill Sans MT"/>
          <w:lang w:val="en-GB"/>
        </w:rPr>
      </w:pPr>
      <w:bookmarkStart w:id="99" w:name="_Toc241746985"/>
      <w:bookmarkStart w:id="100" w:name="_Toc271178653"/>
      <w:bookmarkStart w:id="101" w:name="_Toc279848304"/>
      <w:r w:rsidRPr="0072669D">
        <w:rPr>
          <w:lang w:val="en-GB"/>
        </w:rPr>
        <w:t xml:space="preserve">Figure </w:t>
      </w:r>
      <w:r w:rsidRPr="0072669D">
        <w:rPr>
          <w:lang w:val="en-GB"/>
        </w:rPr>
        <w:fldChar w:fldCharType="begin"/>
      </w:r>
      <w:r w:rsidRPr="0072669D">
        <w:rPr>
          <w:lang w:val="en-GB"/>
        </w:rPr>
        <w:instrText xml:space="preserve"> SEQ Figure \* ARABIC </w:instrText>
      </w:r>
      <w:r w:rsidRPr="0072669D">
        <w:rPr>
          <w:lang w:val="en-GB"/>
        </w:rPr>
        <w:fldChar w:fldCharType="separate"/>
      </w:r>
      <w:r w:rsidR="00967582">
        <w:rPr>
          <w:noProof/>
          <w:lang w:val="en-GB"/>
        </w:rPr>
        <w:t>1</w:t>
      </w:r>
      <w:r w:rsidRPr="0072669D">
        <w:rPr>
          <w:lang w:val="en-GB"/>
        </w:rPr>
        <w:fldChar w:fldCharType="end"/>
      </w:r>
      <w:r w:rsidRPr="0072669D">
        <w:rPr>
          <w:lang w:val="en-GB"/>
        </w:rPr>
        <w:t>: The 5 levels and the 3 Steps of the Evaluation methodology</w:t>
      </w:r>
      <w:bookmarkEnd w:id="99"/>
      <w:bookmarkEnd w:id="100"/>
      <w:bookmarkEnd w:id="101"/>
    </w:p>
    <w:p w14:paraId="394A2467" w14:textId="77777777" w:rsidR="00ED4802" w:rsidRDefault="00ED4802" w:rsidP="00ED4802">
      <w:pPr>
        <w:pStyle w:val="BodyText"/>
        <w:numPr>
          <w:ilvl w:val="0"/>
          <w:numId w:val="0"/>
        </w:numPr>
        <w:spacing w:before="0" w:after="0" w:line="360" w:lineRule="auto"/>
        <w:ind w:left="360"/>
        <w:rPr>
          <w:rFonts w:ascii="Gill Sans MT" w:hAnsi="Gill Sans MT"/>
          <w:sz w:val="20"/>
          <w:lang w:val="en-GB"/>
        </w:rPr>
      </w:pPr>
      <w:r w:rsidRPr="0072669D">
        <w:rPr>
          <w:noProof/>
          <w:lang w:val="en-US"/>
        </w:rPr>
        <w:drawing>
          <wp:inline distT="0" distB="0" distL="0" distR="0" wp14:anchorId="7E6EADE0" wp14:editId="771168A0">
            <wp:extent cx="5351780" cy="3691467"/>
            <wp:effectExtent l="0" t="0" r="762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52218" cy="3691769"/>
                    </a:xfrm>
                    <a:prstGeom prst="rect">
                      <a:avLst/>
                    </a:prstGeom>
                    <a:noFill/>
                    <a:ln>
                      <a:noFill/>
                    </a:ln>
                  </pic:spPr>
                </pic:pic>
              </a:graphicData>
            </a:graphic>
          </wp:inline>
        </w:drawing>
      </w:r>
    </w:p>
    <w:p w14:paraId="6C6360D0" w14:textId="77777777" w:rsidR="00ED4802" w:rsidRDefault="00ED4802" w:rsidP="00ED4802">
      <w:pPr>
        <w:pStyle w:val="BodyText"/>
        <w:numPr>
          <w:ilvl w:val="0"/>
          <w:numId w:val="0"/>
        </w:numPr>
        <w:spacing w:before="0" w:line="360" w:lineRule="auto"/>
        <w:ind w:left="357"/>
        <w:rPr>
          <w:rFonts w:ascii="Gill Sans MT" w:hAnsi="Gill Sans MT"/>
          <w:sz w:val="20"/>
          <w:lang w:val="en-GB"/>
        </w:rPr>
      </w:pPr>
      <w:r>
        <w:rPr>
          <w:rFonts w:ascii="Gill Sans MT" w:hAnsi="Gill Sans MT"/>
          <w:sz w:val="20"/>
          <w:lang w:val="en-GB"/>
        </w:rPr>
        <w:t xml:space="preserve">For each country evaluation, some adaptation of the </w:t>
      </w:r>
      <w:r w:rsidRPr="0072669D">
        <w:rPr>
          <w:rFonts w:ascii="Gill Sans MT" w:hAnsi="Gill Sans MT"/>
          <w:sz w:val="20"/>
          <w:lang w:val="en-GB"/>
        </w:rPr>
        <w:t xml:space="preserve">Intervention Logic (IL) </w:t>
      </w:r>
      <w:r>
        <w:rPr>
          <w:rFonts w:ascii="Gill Sans MT" w:hAnsi="Gill Sans MT"/>
          <w:sz w:val="20"/>
          <w:lang w:val="en-GB"/>
        </w:rPr>
        <w:t xml:space="preserve">is needed, based on an assessment of </w:t>
      </w:r>
      <w:r w:rsidRPr="0072669D">
        <w:rPr>
          <w:rFonts w:ascii="Gill Sans MT" w:hAnsi="Gill Sans MT"/>
          <w:sz w:val="20"/>
          <w:lang w:val="en-GB"/>
        </w:rPr>
        <w:t>the relevance and applicability of the range of inputs, direct outputs, induced outputs, outcomes and impacts identified in the standardised IL.</w:t>
      </w:r>
      <w:r>
        <w:rPr>
          <w:rFonts w:ascii="Gill Sans MT" w:hAnsi="Gill Sans MT"/>
          <w:b/>
          <w:sz w:val="20"/>
          <w:lang w:val="en-GB"/>
        </w:rPr>
        <w:t xml:space="preserve"> </w:t>
      </w:r>
      <w:r w:rsidRPr="00070AEB">
        <w:rPr>
          <w:rFonts w:ascii="Gill Sans MT" w:hAnsi="Gill Sans MT"/>
          <w:sz w:val="20"/>
          <w:lang w:val="en-GB"/>
        </w:rPr>
        <w:t>Amongst other things,</w:t>
      </w:r>
      <w:r>
        <w:rPr>
          <w:rFonts w:ascii="Gill Sans MT" w:hAnsi="Gill Sans MT"/>
          <w:b/>
          <w:sz w:val="20"/>
          <w:lang w:val="en-GB"/>
        </w:rPr>
        <w:t xml:space="preserve"> </w:t>
      </w:r>
      <w:r>
        <w:rPr>
          <w:rFonts w:ascii="Gill Sans MT" w:hAnsi="Gill Sans MT"/>
          <w:sz w:val="20"/>
          <w:lang w:val="en-GB"/>
        </w:rPr>
        <w:t>this adaptation takes account of (</w:t>
      </w:r>
      <w:proofErr w:type="spellStart"/>
      <w:r>
        <w:rPr>
          <w:rFonts w:ascii="Gill Sans MT" w:hAnsi="Gill Sans MT"/>
          <w:sz w:val="20"/>
          <w:lang w:val="en-GB"/>
        </w:rPr>
        <w:t>i</w:t>
      </w:r>
      <w:proofErr w:type="spellEnd"/>
      <w:r>
        <w:rPr>
          <w:rFonts w:ascii="Gill Sans MT" w:hAnsi="Gill Sans MT"/>
          <w:sz w:val="20"/>
          <w:lang w:val="en-GB"/>
        </w:rPr>
        <w:t xml:space="preserve">) the scale of the budget support operations in question; (ii) the scale of external assistance as a whole and (iii) the range of issues covered by the PAF and the associated dialogue framework. A resulting set of Evaluation Questions is then compiled to guide the evaluation process. Figure 2 provides, as an example, the Evaluation Questions applied in the Mozambique case. </w:t>
      </w:r>
    </w:p>
    <w:p w14:paraId="3B86088B" w14:textId="77777777" w:rsidR="00ED4802" w:rsidRPr="006C6D95" w:rsidRDefault="00ED4802" w:rsidP="00ED4802">
      <w:pPr>
        <w:pStyle w:val="BodyText"/>
        <w:numPr>
          <w:ilvl w:val="0"/>
          <w:numId w:val="0"/>
        </w:numPr>
        <w:spacing w:before="0" w:after="0" w:line="360" w:lineRule="auto"/>
        <w:ind w:left="720"/>
        <w:rPr>
          <w:rFonts w:ascii="Gill Sans MT" w:hAnsi="Gill Sans MT"/>
          <w:sz w:val="20"/>
          <w:lang w:val="en-GB"/>
        </w:rPr>
        <w:sectPr w:rsidR="00ED4802" w:rsidRPr="006C6D95">
          <w:pgSz w:w="11909" w:h="16834" w:code="9"/>
          <w:pgMar w:top="1440" w:right="1800" w:bottom="1440" w:left="1800" w:header="720" w:footer="720" w:gutter="0"/>
          <w:cols w:space="720"/>
          <w:docGrid w:linePitch="360"/>
        </w:sectPr>
      </w:pPr>
    </w:p>
    <w:p w14:paraId="20029570" w14:textId="77777777" w:rsidR="00ED4802" w:rsidRPr="00C73224" w:rsidRDefault="00ED4802" w:rsidP="00ED4802">
      <w:pPr>
        <w:pStyle w:val="Caption"/>
        <w:rPr>
          <w:rFonts w:ascii="Gill Sans MT" w:hAnsi="Gill Sans MT"/>
          <w:lang w:val="en-GB"/>
        </w:rPr>
      </w:pPr>
      <w:bookmarkStart w:id="102" w:name="_Toc241746986"/>
      <w:bookmarkStart w:id="103" w:name="_Toc271178654"/>
      <w:bookmarkStart w:id="104" w:name="_Toc279848305"/>
      <w:r w:rsidRPr="00C73224">
        <w:rPr>
          <w:lang w:val="en-GB"/>
        </w:rPr>
        <w:lastRenderedPageBreak/>
        <w:t xml:space="preserve">Figure </w:t>
      </w:r>
      <w:r w:rsidRPr="00C73224">
        <w:rPr>
          <w:lang w:val="en-GB"/>
        </w:rPr>
        <w:fldChar w:fldCharType="begin"/>
      </w:r>
      <w:r w:rsidRPr="00C73224">
        <w:rPr>
          <w:lang w:val="en-GB"/>
        </w:rPr>
        <w:instrText xml:space="preserve"> SEQ Figure \* ARABIC </w:instrText>
      </w:r>
      <w:r w:rsidRPr="00C73224">
        <w:rPr>
          <w:lang w:val="en-GB"/>
        </w:rPr>
        <w:fldChar w:fldCharType="separate"/>
      </w:r>
      <w:r w:rsidR="00967582">
        <w:rPr>
          <w:noProof/>
          <w:lang w:val="en-GB"/>
        </w:rPr>
        <w:t>2</w:t>
      </w:r>
      <w:r w:rsidRPr="00C73224">
        <w:rPr>
          <w:lang w:val="en-GB"/>
        </w:rPr>
        <w:fldChar w:fldCharType="end"/>
      </w:r>
      <w:r w:rsidRPr="00C73224">
        <w:rPr>
          <w:lang w:val="en-GB"/>
        </w:rPr>
        <w:t>:</w:t>
      </w:r>
      <w:r>
        <w:rPr>
          <w:lang w:val="en-GB"/>
        </w:rPr>
        <w:t xml:space="preserve"> The </w:t>
      </w:r>
      <w:r w:rsidRPr="00C73224">
        <w:rPr>
          <w:lang w:val="en-GB"/>
        </w:rPr>
        <w:t>Budget Support Intervention Logic in Mozambique</w:t>
      </w:r>
      <w:r>
        <w:rPr>
          <w:lang w:val="en-GB"/>
        </w:rPr>
        <w:t xml:space="preserve"> and the Evaluation Questions</w:t>
      </w:r>
      <w:bookmarkEnd w:id="102"/>
      <w:r>
        <w:rPr>
          <w:lang w:val="en-GB"/>
        </w:rPr>
        <w:t xml:space="preserve"> applied</w:t>
      </w:r>
      <w:bookmarkEnd w:id="103"/>
      <w:bookmarkEnd w:id="104"/>
    </w:p>
    <w:p w14:paraId="1E2BB478" w14:textId="77777777" w:rsidR="00ED4802" w:rsidRDefault="00ED4802" w:rsidP="00ED4802">
      <w:pPr>
        <w:pStyle w:val="BodyText"/>
        <w:numPr>
          <w:ilvl w:val="0"/>
          <w:numId w:val="0"/>
        </w:numPr>
        <w:spacing w:before="0" w:after="0" w:line="360" w:lineRule="auto"/>
        <w:rPr>
          <w:rFonts w:ascii="Gill Sans MT" w:hAnsi="Gill Sans MT"/>
          <w:sz w:val="20"/>
          <w:lang w:val="en-GB"/>
        </w:rPr>
      </w:pPr>
      <w:r w:rsidRPr="005D7DCB">
        <w:rPr>
          <w:noProof/>
          <w:lang w:val="en-US"/>
        </w:rPr>
        <w:drawing>
          <wp:inline distT="0" distB="0" distL="0" distR="0" wp14:anchorId="71E7C4DF" wp14:editId="63789DDD">
            <wp:extent cx="8859190" cy="5025044"/>
            <wp:effectExtent l="0" t="0" r="5715" b="4445"/>
            <wp:docPr id="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60790" cy="5025951"/>
                    </a:xfrm>
                    <a:prstGeom prst="rect">
                      <a:avLst/>
                    </a:prstGeom>
                    <a:noFill/>
                    <a:ln>
                      <a:noFill/>
                    </a:ln>
                  </pic:spPr>
                </pic:pic>
              </a:graphicData>
            </a:graphic>
          </wp:inline>
        </w:drawing>
      </w:r>
    </w:p>
    <w:p w14:paraId="0DB71DB6" w14:textId="77777777" w:rsidR="00ED4802" w:rsidRDefault="00ED4802" w:rsidP="00ED4802">
      <w:pPr>
        <w:pStyle w:val="BodyText"/>
        <w:numPr>
          <w:ilvl w:val="0"/>
          <w:numId w:val="0"/>
        </w:numPr>
        <w:spacing w:before="0" w:after="0" w:line="360" w:lineRule="auto"/>
        <w:rPr>
          <w:rFonts w:ascii="Gill Sans MT" w:hAnsi="Gill Sans MT"/>
          <w:sz w:val="20"/>
          <w:lang w:val="en-GB"/>
        </w:rPr>
        <w:sectPr w:rsidR="00ED4802">
          <w:pgSz w:w="16834" w:h="11909" w:orient="landscape" w:code="9"/>
          <w:pgMar w:top="1800" w:right="1440" w:bottom="1800" w:left="1440" w:header="720" w:footer="720" w:gutter="0"/>
          <w:cols w:space="720"/>
          <w:docGrid w:linePitch="360"/>
        </w:sectPr>
      </w:pPr>
    </w:p>
    <w:p w14:paraId="44FB98D9" w14:textId="77777777" w:rsidR="00ED4802" w:rsidRPr="00F84419" w:rsidRDefault="00ED4802" w:rsidP="00ED4802">
      <w:pPr>
        <w:pStyle w:val="Heading1"/>
      </w:pPr>
      <w:bookmarkStart w:id="105" w:name="_Toc279848259"/>
      <w:r>
        <w:lastRenderedPageBreak/>
        <w:t>Annex III:</w:t>
      </w:r>
      <w:r>
        <w:tab/>
        <w:t>Suspensions of budget support due to suspected breaches of underlying principles</w:t>
      </w:r>
      <w:bookmarkEnd w:id="105"/>
    </w:p>
    <w:p w14:paraId="03238C7C" w14:textId="77777777" w:rsidR="00A60BDF" w:rsidRDefault="00A60BDF" w:rsidP="00690F52">
      <w:pPr>
        <w:autoSpaceDE w:val="0"/>
        <w:autoSpaceDN w:val="0"/>
        <w:adjustRightInd w:val="0"/>
        <w:ind w:left="720" w:hanging="720"/>
        <w:rPr>
          <w:rFonts w:ascii="Gill Sans MT" w:eastAsia="PMingLiU" w:hAnsi="Gill Sans MT" w:cs="Arial"/>
          <w:sz w:val="20"/>
          <w:szCs w:val="20"/>
          <w:lang w:val="en-GB" w:eastAsia="zh-CN"/>
        </w:rPr>
      </w:pPr>
    </w:p>
    <w:p w14:paraId="05D127C0" w14:textId="77777777" w:rsidR="003241B0" w:rsidRDefault="003241B0" w:rsidP="003241B0">
      <w:pPr>
        <w:pStyle w:val="BodyText"/>
        <w:numPr>
          <w:ilvl w:val="0"/>
          <w:numId w:val="0"/>
        </w:numPr>
        <w:spacing w:line="360" w:lineRule="auto"/>
        <w:ind w:left="499"/>
        <w:rPr>
          <w:rFonts w:ascii="Gill Sans MT" w:hAnsi="Gill Sans MT"/>
          <w:sz w:val="20"/>
          <w:lang w:val="en-GB"/>
        </w:rPr>
      </w:pPr>
      <w:r w:rsidRPr="005A79DD">
        <w:rPr>
          <w:rFonts w:ascii="Gill Sans MT" w:hAnsi="Gill Sans MT"/>
          <w:b/>
          <w:sz w:val="20"/>
          <w:lang w:val="en-GB"/>
        </w:rPr>
        <w:t>In Mali, there were no suspensions of disbursements due to underlying principles during the evaluation period.</w:t>
      </w:r>
      <w:r>
        <w:rPr>
          <w:rFonts w:ascii="Gill Sans MT" w:hAnsi="Gill Sans MT"/>
          <w:sz w:val="20"/>
          <w:lang w:val="en-GB"/>
        </w:rPr>
        <w:t xml:space="preserve"> This may perhaps reflect the stronger governance situation in Mali, or perhaps the fact that there was less underlying tension in relations with donors. (See 2.1 above.) </w:t>
      </w:r>
    </w:p>
    <w:p w14:paraId="43EE94CB" w14:textId="77777777" w:rsidR="003241B0" w:rsidRDefault="003241B0" w:rsidP="003241B0">
      <w:pPr>
        <w:pStyle w:val="BodyText"/>
        <w:numPr>
          <w:ilvl w:val="0"/>
          <w:numId w:val="0"/>
        </w:numPr>
        <w:spacing w:line="360" w:lineRule="auto"/>
        <w:ind w:left="499"/>
        <w:rPr>
          <w:rFonts w:ascii="Gill Sans MT" w:hAnsi="Gill Sans MT"/>
          <w:sz w:val="20"/>
          <w:lang w:val="en-GB"/>
        </w:rPr>
      </w:pPr>
      <w:r>
        <w:rPr>
          <w:rFonts w:ascii="Gill Sans MT" w:hAnsi="Gill Sans MT"/>
          <w:sz w:val="20"/>
          <w:lang w:val="en-GB"/>
        </w:rPr>
        <w:t>The other three countries did experience suspensions of disbursements:</w:t>
      </w:r>
    </w:p>
    <w:p w14:paraId="32CF0861" w14:textId="77777777" w:rsidR="003241B0" w:rsidRDefault="003241B0" w:rsidP="00D72813">
      <w:pPr>
        <w:pStyle w:val="BodyText"/>
        <w:numPr>
          <w:ilvl w:val="0"/>
          <w:numId w:val="48"/>
        </w:numPr>
        <w:spacing w:line="360" w:lineRule="auto"/>
        <w:rPr>
          <w:rFonts w:ascii="Gill Sans MT" w:hAnsi="Gill Sans MT"/>
          <w:sz w:val="20"/>
          <w:lang w:val="en-GB"/>
        </w:rPr>
      </w:pPr>
      <w:r>
        <w:rPr>
          <w:rFonts w:ascii="Gill Sans MT" w:hAnsi="Gill Sans MT"/>
          <w:sz w:val="20"/>
          <w:lang w:val="en-GB"/>
        </w:rPr>
        <w:t xml:space="preserve">In </w:t>
      </w:r>
      <w:r w:rsidRPr="00CD1FB8">
        <w:rPr>
          <w:rFonts w:ascii="Gill Sans MT" w:hAnsi="Gill Sans MT"/>
          <w:b/>
          <w:sz w:val="20"/>
          <w:lang w:val="en-GB"/>
        </w:rPr>
        <w:t>Tanzania</w:t>
      </w:r>
      <w:r>
        <w:rPr>
          <w:rFonts w:ascii="Gill Sans MT" w:hAnsi="Gill Sans MT"/>
          <w:sz w:val="20"/>
          <w:lang w:val="en-GB"/>
        </w:rPr>
        <w:t xml:space="preserve">, two “grand corruption” cases uncovered during fiscal year 2007/08 led to a brief suspension of payments. </w:t>
      </w:r>
      <w:r w:rsidRPr="00CD1FB8">
        <w:rPr>
          <w:rFonts w:ascii="Gill Sans MT" w:hAnsi="Gill Sans MT"/>
          <w:sz w:val="20"/>
          <w:lang w:val="en-GB"/>
        </w:rPr>
        <w:t>These were the “EPA scandal”, in</w:t>
      </w:r>
      <w:r>
        <w:rPr>
          <w:rFonts w:ascii="Gill Sans MT" w:hAnsi="Gill Sans MT"/>
          <w:sz w:val="20"/>
          <w:lang w:val="en-GB"/>
        </w:rPr>
        <w:t xml:space="preserve">volving </w:t>
      </w:r>
      <w:r w:rsidRPr="00CD1FB8">
        <w:rPr>
          <w:rFonts w:ascii="Gill Sans MT" w:hAnsi="Gill Sans MT"/>
          <w:sz w:val="20"/>
          <w:lang w:val="en-GB"/>
        </w:rPr>
        <w:t xml:space="preserve">fraudulent </w:t>
      </w:r>
      <w:r>
        <w:rPr>
          <w:rFonts w:ascii="Gill Sans MT" w:hAnsi="Gill Sans MT"/>
          <w:sz w:val="20"/>
          <w:lang w:val="en-GB"/>
        </w:rPr>
        <w:t xml:space="preserve">payments of some US $100 million </w:t>
      </w:r>
      <w:r w:rsidRPr="00CD1FB8">
        <w:rPr>
          <w:rFonts w:ascii="Gill Sans MT" w:hAnsi="Gill Sans MT"/>
          <w:sz w:val="20"/>
          <w:lang w:val="en-GB"/>
        </w:rPr>
        <w:t>made from the Bank of Tanzania External Payments Account over 2004-2005, and the Richmond power scandal, involving the improper award of a contract for the construction of a power plant</w:t>
      </w:r>
      <w:r>
        <w:rPr>
          <w:rFonts w:ascii="Gill Sans MT" w:hAnsi="Gill Sans MT"/>
          <w:sz w:val="20"/>
          <w:lang w:val="en-GB"/>
        </w:rPr>
        <w:t>. T</w:t>
      </w:r>
      <w:r w:rsidRPr="00CD1FB8">
        <w:rPr>
          <w:rFonts w:ascii="Gill Sans MT" w:hAnsi="Gill Sans MT"/>
          <w:sz w:val="20"/>
          <w:lang w:val="en-GB"/>
        </w:rPr>
        <w:t xml:space="preserve">he Richmond scandal </w:t>
      </w:r>
      <w:r>
        <w:rPr>
          <w:rFonts w:ascii="Gill Sans MT" w:hAnsi="Gill Sans MT"/>
          <w:sz w:val="20"/>
          <w:lang w:val="en-GB"/>
        </w:rPr>
        <w:t xml:space="preserve">was the subject of a Parliamentary Select Committee investigation, which led </w:t>
      </w:r>
      <w:r w:rsidRPr="00CD1FB8">
        <w:rPr>
          <w:rFonts w:ascii="Gill Sans MT" w:hAnsi="Gill Sans MT"/>
          <w:sz w:val="20"/>
          <w:lang w:val="en-GB"/>
        </w:rPr>
        <w:t>to the resignation of Prime Minister Lowassa and two other Ministers in February 2008</w:t>
      </w:r>
      <w:r>
        <w:rPr>
          <w:rFonts w:ascii="Gill Sans MT" w:hAnsi="Gill Sans MT"/>
          <w:sz w:val="20"/>
          <w:lang w:val="en-GB"/>
        </w:rPr>
        <w:t>.  T</w:t>
      </w:r>
      <w:r w:rsidRPr="00CD1FB8">
        <w:rPr>
          <w:rFonts w:ascii="Gill Sans MT" w:hAnsi="Gill Sans MT"/>
          <w:sz w:val="20"/>
          <w:lang w:val="en-GB"/>
        </w:rPr>
        <w:t>he Governor of the</w:t>
      </w:r>
      <w:r>
        <w:rPr>
          <w:rFonts w:ascii="Gill Sans MT" w:hAnsi="Gill Sans MT"/>
          <w:sz w:val="20"/>
          <w:lang w:val="en-GB"/>
        </w:rPr>
        <w:t xml:space="preserve"> Bank of Tanzania and several other officials were</w:t>
      </w:r>
      <w:r w:rsidRPr="00CD1FB8">
        <w:rPr>
          <w:rFonts w:ascii="Gill Sans MT" w:hAnsi="Gill Sans MT"/>
          <w:sz w:val="20"/>
          <w:lang w:val="en-GB"/>
        </w:rPr>
        <w:t xml:space="preserve"> sacked one month earlier due to t</w:t>
      </w:r>
      <w:r>
        <w:rPr>
          <w:rFonts w:ascii="Gill Sans MT" w:hAnsi="Gill Sans MT"/>
          <w:sz w:val="20"/>
          <w:lang w:val="en-GB"/>
        </w:rPr>
        <w:t xml:space="preserve">he EPA scandal, and there were corrective actions initiated within the Ministry of Energy and the Bank of Tanzania. The official reaction of the Budget Support Group (BSG) was to request information from Government on the actions being taken, and, in some cases to suspend disbursements during the process of analysis of those reports. The concern was to demonstrate that the Government was fulfilling its commitment to the ‘active fight against corruption’. In the end, BSG members concluded that this principle had not been breached, a decision which the evaluation team judged to have been correct. </w:t>
      </w:r>
      <w:r w:rsidRPr="004E51D8">
        <w:rPr>
          <w:rFonts w:ascii="Gill Sans MT" w:hAnsi="Gill Sans MT"/>
          <w:sz w:val="20"/>
          <w:lang w:val="en-GB"/>
        </w:rPr>
        <w:t xml:space="preserve"> </w:t>
      </w:r>
      <w:r>
        <w:rPr>
          <w:rFonts w:ascii="Gill Sans MT" w:hAnsi="Gill Sans MT"/>
          <w:sz w:val="20"/>
          <w:lang w:val="en-GB"/>
        </w:rPr>
        <w:t>However, several BSG members pointed to the lack of prosecutions brought as a result of these scandals, as an illustration of a lack of sincerity in exerting full accountability for these actions. For many BSG members this left a feeling of dissatisfaction, which lingered throughout the evaluation period, with a significant impact on the quality of dialogue</w:t>
      </w:r>
      <w:r>
        <w:rPr>
          <w:rStyle w:val="FootnoteReference"/>
          <w:rFonts w:ascii="Gill Sans MT" w:hAnsi="Gill Sans MT"/>
          <w:sz w:val="20"/>
          <w:lang w:val="en-GB"/>
        </w:rPr>
        <w:footnoteReference w:id="49"/>
      </w:r>
      <w:r>
        <w:rPr>
          <w:rFonts w:ascii="Gill Sans MT" w:hAnsi="Gill Sans MT"/>
          <w:sz w:val="20"/>
          <w:lang w:val="en-GB"/>
        </w:rPr>
        <w:t>.</w:t>
      </w:r>
    </w:p>
    <w:p w14:paraId="4B813739" w14:textId="77777777" w:rsidR="003241B0" w:rsidRDefault="003241B0" w:rsidP="00D72813">
      <w:pPr>
        <w:pStyle w:val="BodyText"/>
        <w:numPr>
          <w:ilvl w:val="0"/>
          <w:numId w:val="48"/>
        </w:numPr>
        <w:spacing w:line="360" w:lineRule="auto"/>
        <w:rPr>
          <w:rFonts w:ascii="Gill Sans MT" w:hAnsi="Gill Sans MT"/>
          <w:sz w:val="20"/>
          <w:lang w:val="en-GB"/>
        </w:rPr>
      </w:pPr>
      <w:r>
        <w:rPr>
          <w:rFonts w:ascii="Gill Sans MT" w:hAnsi="Gill Sans MT"/>
          <w:sz w:val="20"/>
          <w:lang w:val="en-GB"/>
        </w:rPr>
        <w:t xml:space="preserve">In 2009 in </w:t>
      </w:r>
      <w:r w:rsidRPr="007F37CF">
        <w:rPr>
          <w:rFonts w:ascii="Gill Sans MT" w:hAnsi="Gill Sans MT"/>
          <w:b/>
          <w:sz w:val="20"/>
          <w:lang w:val="en-GB"/>
        </w:rPr>
        <w:t>Zambia</w:t>
      </w:r>
      <w:r>
        <w:rPr>
          <w:rFonts w:ascii="Gill Sans MT" w:hAnsi="Gill Sans MT"/>
          <w:sz w:val="20"/>
          <w:lang w:val="en-GB"/>
        </w:rPr>
        <w:t xml:space="preserve">, after a whistle-blower tipped off the Anti-Corruption Commission about theft in the Ministry of Health, involving the disappearance of some US $2 million in 2008-09 and an estimated US $ 6 million since 2006, Sweden and the Netherlands suspended their budget support (as well as their direct support to the sector through projects and common funds). Resumption of funding was tied to implementation of an action plan, involving recovery of the misappropriated funds, prosecution of the officers involved and the introduction of new controls. In contrast to the Tanzania case, it proved </w:t>
      </w:r>
      <w:r>
        <w:rPr>
          <w:rFonts w:ascii="Gill Sans MT" w:hAnsi="Gill Sans MT"/>
          <w:sz w:val="20"/>
          <w:lang w:val="en-GB"/>
        </w:rPr>
        <w:lastRenderedPageBreak/>
        <w:t xml:space="preserve">difficult for the budget support donors to reach a common position, with the majority not suspending disbursements, due to the fact that an internal process had unearthed the scandal and corrective actions were being taken by the appropriate institutions. Other agencies felt that corrective actions were too slow and were indicative of a wider lack of commitment to the fight against corruption.  </w:t>
      </w:r>
    </w:p>
    <w:p w14:paraId="37305236" w14:textId="77777777" w:rsidR="003241B0" w:rsidRPr="00BC30AF" w:rsidRDefault="003241B0" w:rsidP="00D72813">
      <w:pPr>
        <w:pStyle w:val="BodyText"/>
        <w:numPr>
          <w:ilvl w:val="0"/>
          <w:numId w:val="48"/>
        </w:numPr>
        <w:spacing w:line="360" w:lineRule="auto"/>
        <w:rPr>
          <w:rFonts w:ascii="Gill Sans MT" w:hAnsi="Gill Sans MT"/>
          <w:sz w:val="20"/>
          <w:lang w:val="en-GB"/>
        </w:rPr>
      </w:pPr>
      <w:r>
        <w:rPr>
          <w:rFonts w:ascii="Gill Sans MT" w:hAnsi="Gill Sans MT"/>
          <w:sz w:val="20"/>
          <w:lang w:val="en-GB"/>
        </w:rPr>
        <w:t xml:space="preserve">In </w:t>
      </w:r>
      <w:r w:rsidRPr="002F6D13">
        <w:rPr>
          <w:rFonts w:ascii="Gill Sans MT" w:hAnsi="Gill Sans MT"/>
          <w:b/>
          <w:sz w:val="20"/>
          <w:lang w:val="en-GB"/>
        </w:rPr>
        <w:t>Mozambique</w:t>
      </w:r>
      <w:r>
        <w:rPr>
          <w:rFonts w:ascii="Gill Sans MT" w:hAnsi="Gill Sans MT"/>
          <w:b/>
          <w:sz w:val="20"/>
          <w:lang w:val="en-GB"/>
        </w:rPr>
        <w:t xml:space="preserve">, </w:t>
      </w:r>
      <w:r>
        <w:rPr>
          <w:rFonts w:ascii="Gill Sans MT" w:hAnsi="Gill Sans MT"/>
          <w:sz w:val="20"/>
          <w:lang w:val="en-GB"/>
        </w:rPr>
        <w:t xml:space="preserve">there were three suspensions in the evaluation period. The most notable was provoked by </w:t>
      </w:r>
      <w:r w:rsidRPr="0083721F">
        <w:rPr>
          <w:rFonts w:ascii="Gill Sans MT" w:hAnsi="Gill Sans MT"/>
          <w:sz w:val="20"/>
          <w:lang w:val="en-GB"/>
        </w:rPr>
        <w:t>irregularities in the conduct of the 2009 elect</w:t>
      </w:r>
      <w:r>
        <w:rPr>
          <w:rFonts w:ascii="Gill Sans MT" w:hAnsi="Gill Sans MT"/>
          <w:sz w:val="20"/>
          <w:lang w:val="en-GB"/>
        </w:rPr>
        <w:t xml:space="preserve">ions. The </w:t>
      </w:r>
      <w:r w:rsidRPr="0083721F">
        <w:rPr>
          <w:rFonts w:ascii="Gill Sans MT" w:hAnsi="Gill Sans MT"/>
          <w:sz w:val="20"/>
          <w:lang w:val="en-GB"/>
        </w:rPr>
        <w:t>observer groups were critical o</w:t>
      </w:r>
      <w:r>
        <w:rPr>
          <w:rFonts w:ascii="Gill Sans MT" w:hAnsi="Gill Sans MT"/>
          <w:sz w:val="20"/>
          <w:lang w:val="en-GB"/>
        </w:rPr>
        <w:t xml:space="preserve">f the pre-election processes, noting </w:t>
      </w:r>
      <w:r w:rsidRPr="0083721F">
        <w:rPr>
          <w:rFonts w:ascii="Gill Sans MT" w:hAnsi="Gill Sans MT"/>
          <w:sz w:val="20"/>
          <w:lang w:val="en-GB"/>
        </w:rPr>
        <w:t>that the National Elector</w:t>
      </w:r>
      <w:r>
        <w:rPr>
          <w:rFonts w:ascii="Gill Sans MT" w:hAnsi="Gill Sans MT"/>
          <w:sz w:val="20"/>
          <w:lang w:val="en-GB"/>
        </w:rPr>
        <w:t xml:space="preserve">al Commission </w:t>
      </w:r>
      <w:r w:rsidRPr="0083721F">
        <w:rPr>
          <w:rFonts w:ascii="Gill Sans MT" w:hAnsi="Gill Sans MT"/>
          <w:sz w:val="20"/>
          <w:lang w:val="en-GB"/>
        </w:rPr>
        <w:t xml:space="preserve">decision to disqualify, for ostensibly technical reasons, the </w:t>
      </w:r>
      <w:r>
        <w:rPr>
          <w:rFonts w:ascii="Gill Sans MT" w:hAnsi="Gill Sans MT"/>
          <w:sz w:val="20"/>
          <w:lang w:val="en-GB"/>
        </w:rPr>
        <w:t xml:space="preserve">(opposition) </w:t>
      </w:r>
      <w:r w:rsidRPr="0083721F">
        <w:rPr>
          <w:rFonts w:ascii="Gill Sans MT" w:hAnsi="Gill Sans MT"/>
          <w:sz w:val="20"/>
          <w:lang w:val="en-GB"/>
        </w:rPr>
        <w:t>MDM candidates’ nomination papers in 9 of the 13 parliamentary constituencies had substantially restricted voter choice</w:t>
      </w:r>
      <w:r>
        <w:rPr>
          <w:rStyle w:val="FootnoteReference"/>
          <w:rFonts w:ascii="Gill Sans MT" w:hAnsi="Gill Sans MT"/>
          <w:sz w:val="20"/>
          <w:lang w:val="en-GB"/>
        </w:rPr>
        <w:footnoteReference w:id="50"/>
      </w:r>
      <w:r>
        <w:rPr>
          <w:rFonts w:ascii="Gill Sans MT" w:hAnsi="Gill Sans MT"/>
          <w:sz w:val="20"/>
          <w:lang w:val="en-GB"/>
        </w:rPr>
        <w:t xml:space="preserve">. Some </w:t>
      </w:r>
      <w:r w:rsidRPr="0083721F">
        <w:rPr>
          <w:rFonts w:ascii="Gill Sans MT" w:hAnsi="Gill Sans MT"/>
          <w:sz w:val="20"/>
          <w:lang w:val="en-GB"/>
        </w:rPr>
        <w:t xml:space="preserve">irregularities </w:t>
      </w:r>
      <w:r>
        <w:rPr>
          <w:rFonts w:ascii="Gill Sans MT" w:hAnsi="Gill Sans MT"/>
          <w:sz w:val="20"/>
          <w:lang w:val="en-GB"/>
        </w:rPr>
        <w:t xml:space="preserve">were </w:t>
      </w:r>
      <w:r w:rsidRPr="0083721F">
        <w:rPr>
          <w:rFonts w:ascii="Gill Sans MT" w:hAnsi="Gill Sans MT"/>
          <w:sz w:val="20"/>
          <w:lang w:val="en-GB"/>
        </w:rPr>
        <w:t xml:space="preserve">also documented </w:t>
      </w:r>
      <w:r>
        <w:rPr>
          <w:rFonts w:ascii="Gill Sans MT" w:hAnsi="Gill Sans MT"/>
          <w:sz w:val="20"/>
          <w:lang w:val="en-GB"/>
        </w:rPr>
        <w:t>with election-</w:t>
      </w:r>
      <w:r w:rsidRPr="0083721F">
        <w:rPr>
          <w:rFonts w:ascii="Gill Sans MT" w:hAnsi="Gill Sans MT"/>
          <w:sz w:val="20"/>
          <w:lang w:val="en-GB"/>
        </w:rPr>
        <w:t xml:space="preserve">day processes, including ballot stuffing and tabulation </w:t>
      </w:r>
      <w:r>
        <w:rPr>
          <w:rFonts w:ascii="Gill Sans MT" w:hAnsi="Gill Sans MT"/>
          <w:sz w:val="20"/>
          <w:lang w:val="en-GB"/>
        </w:rPr>
        <w:t xml:space="preserve">fraud at some polling stations. </w:t>
      </w:r>
      <w:r w:rsidRPr="00263915">
        <w:rPr>
          <w:rFonts w:ascii="Gill Sans MT" w:hAnsi="Gill Sans MT"/>
          <w:sz w:val="20"/>
          <w:lang w:val="en-GB"/>
        </w:rPr>
        <w:t>The electoral irregularities reported, combined with on going concerns about slow progress in the fight against corruption, prompted the G-19 Budget Support group to report to Government that it felt that a breach of the underlying principles for Budget Support might have occurred. This led to the suspension of Budget Support disbursements by 4 DPs and an intense process of dialogue between Government and the G-19</w:t>
      </w:r>
      <w:r>
        <w:rPr>
          <w:rFonts w:ascii="Gill Sans MT" w:hAnsi="Gill Sans MT"/>
          <w:sz w:val="20"/>
          <w:lang w:val="en-GB"/>
        </w:rPr>
        <w:t xml:space="preserve">. </w:t>
      </w:r>
      <w:r w:rsidRPr="00263915">
        <w:rPr>
          <w:rFonts w:ascii="Gill Sans MT" w:hAnsi="Gill Sans MT"/>
          <w:sz w:val="20"/>
          <w:lang w:val="en-GB"/>
        </w:rPr>
        <w:t>As a result, Government agreed to implement a Governance Action Plan, whose key elements included the preparation of revisions to the electoral law, certain measures to promote political inclusivity, and a package of Anti-Corruption legislation. In addition, an informal agreement was reached for the Government to promote the acceptance of the MDM as a formal opposition “</w:t>
      </w:r>
      <w:proofErr w:type="spellStart"/>
      <w:r w:rsidRPr="008C51D1">
        <w:rPr>
          <w:rFonts w:ascii="Gill Sans MT" w:hAnsi="Gill Sans MT"/>
          <w:i/>
          <w:sz w:val="20"/>
          <w:lang w:val="en-GB"/>
        </w:rPr>
        <w:t>bancada</w:t>
      </w:r>
      <w:proofErr w:type="spellEnd"/>
      <w:r w:rsidRPr="008C51D1">
        <w:rPr>
          <w:rFonts w:ascii="Gill Sans MT" w:hAnsi="Gill Sans MT"/>
          <w:i/>
          <w:sz w:val="20"/>
          <w:lang w:val="en-GB"/>
        </w:rPr>
        <w:t>”</w:t>
      </w:r>
      <w:r w:rsidRPr="00263915">
        <w:rPr>
          <w:rFonts w:ascii="Gill Sans MT" w:hAnsi="Gill Sans MT"/>
          <w:sz w:val="20"/>
          <w:lang w:val="en-GB"/>
        </w:rPr>
        <w:t xml:space="preserve"> (“bench”) – a proposal, which the parliamentary authorities accepted</w:t>
      </w:r>
      <w:r>
        <w:rPr>
          <w:rStyle w:val="FootnoteReference"/>
          <w:rFonts w:ascii="Gill Sans MT" w:hAnsi="Gill Sans MT"/>
          <w:sz w:val="20"/>
          <w:lang w:val="en-GB"/>
        </w:rPr>
        <w:footnoteReference w:id="51"/>
      </w:r>
      <w:r w:rsidRPr="00263915">
        <w:rPr>
          <w:rFonts w:ascii="Gill Sans MT" w:hAnsi="Gill Sans MT"/>
          <w:sz w:val="20"/>
          <w:lang w:val="en-GB"/>
        </w:rPr>
        <w:t xml:space="preserve">. </w:t>
      </w:r>
      <w:r w:rsidRPr="00BC30AF">
        <w:rPr>
          <w:rFonts w:ascii="Gill Sans MT" w:hAnsi="Gill Sans MT"/>
          <w:sz w:val="20"/>
          <w:lang w:val="en-GB"/>
        </w:rPr>
        <w:t xml:space="preserve">There were two further suspensions of disbursements in Mozambique prompted by health procurement irregularities in 2011 and by education payroll irregularities in 2012. </w:t>
      </w:r>
    </w:p>
    <w:p w14:paraId="53CEA68D" w14:textId="77777777" w:rsidR="003241B0" w:rsidRPr="00E706CF" w:rsidRDefault="003241B0" w:rsidP="003241B0">
      <w:pPr>
        <w:pStyle w:val="BodyText"/>
        <w:numPr>
          <w:ilvl w:val="0"/>
          <w:numId w:val="0"/>
        </w:numPr>
        <w:spacing w:line="360" w:lineRule="auto"/>
        <w:ind w:left="499"/>
        <w:rPr>
          <w:rFonts w:ascii="Gill Sans MT" w:hAnsi="Gill Sans MT"/>
          <w:sz w:val="20"/>
          <w:lang w:val="en-GB"/>
        </w:rPr>
      </w:pPr>
      <w:r w:rsidRPr="00CA08B0">
        <w:rPr>
          <w:rFonts w:ascii="Gill Sans MT" w:hAnsi="Gill Sans MT"/>
          <w:sz w:val="20"/>
          <w:lang w:val="en-GB"/>
        </w:rPr>
        <w:t>The</w:t>
      </w:r>
      <w:r>
        <w:rPr>
          <w:rFonts w:ascii="Gill Sans MT" w:hAnsi="Gill Sans MT"/>
          <w:sz w:val="20"/>
          <w:lang w:val="en-GB"/>
        </w:rPr>
        <w:t xml:space="preserve"> three suspensions in Mozambique were especially controversial, with </w:t>
      </w:r>
      <w:r w:rsidRPr="00CA08B0">
        <w:rPr>
          <w:rFonts w:ascii="Gill Sans MT" w:hAnsi="Gill Sans MT"/>
          <w:sz w:val="20"/>
          <w:lang w:val="en-GB"/>
        </w:rPr>
        <w:t>Government stakeholders maintain</w:t>
      </w:r>
      <w:r>
        <w:rPr>
          <w:rFonts w:ascii="Gill Sans MT" w:hAnsi="Gill Sans MT"/>
          <w:sz w:val="20"/>
          <w:lang w:val="en-GB"/>
        </w:rPr>
        <w:t>ing</w:t>
      </w:r>
      <w:r w:rsidRPr="00CA08B0">
        <w:rPr>
          <w:rFonts w:ascii="Gill Sans MT" w:hAnsi="Gill Sans MT"/>
          <w:sz w:val="20"/>
          <w:lang w:val="en-GB"/>
        </w:rPr>
        <w:t xml:space="preserve"> that the “pre-emptive” suspension by certain partners was not needed, while several DPs expressed a conviction that corrective actions would not have been ta</w:t>
      </w:r>
      <w:r>
        <w:rPr>
          <w:rFonts w:ascii="Gill Sans MT" w:hAnsi="Gill Sans MT"/>
          <w:sz w:val="20"/>
          <w:lang w:val="en-GB"/>
        </w:rPr>
        <w:t xml:space="preserve">ken </w:t>
      </w:r>
      <w:r w:rsidRPr="00CA08B0">
        <w:rPr>
          <w:rFonts w:ascii="Gill Sans MT" w:hAnsi="Gill Sans MT"/>
          <w:sz w:val="20"/>
          <w:lang w:val="en-GB"/>
        </w:rPr>
        <w:t xml:space="preserve">in the absence of the decision to suspend disbursements. </w:t>
      </w:r>
      <w:r w:rsidRPr="00BC30AF">
        <w:rPr>
          <w:rFonts w:ascii="Gill Sans MT" w:hAnsi="Gill Sans MT"/>
          <w:sz w:val="20"/>
          <w:szCs w:val="12"/>
        </w:rPr>
        <w:t>The evaluation expresses the view that ‘</w:t>
      </w:r>
      <w:r w:rsidRPr="00BC30AF">
        <w:rPr>
          <w:rFonts w:ascii="Gill Sans MT" w:hAnsi="Gill Sans MT"/>
          <w:i/>
          <w:sz w:val="20"/>
          <w:szCs w:val="12"/>
        </w:rPr>
        <w:t>the suspension of payments in early 2010 was instrumental in generating corrective actions at the time of the “</w:t>
      </w:r>
      <w:r w:rsidRPr="008C51D1">
        <w:rPr>
          <w:rFonts w:ascii="Gill Sans MT" w:hAnsi="Gill Sans MT"/>
          <w:i/>
          <w:sz w:val="20"/>
          <w:szCs w:val="12"/>
          <w:lang w:val="en-GB"/>
        </w:rPr>
        <w:t>crispação</w:t>
      </w:r>
      <w:r w:rsidRPr="00BC30AF">
        <w:rPr>
          <w:rFonts w:ascii="Gill Sans MT" w:hAnsi="Gill Sans MT"/>
          <w:i/>
          <w:sz w:val="20"/>
          <w:szCs w:val="12"/>
        </w:rPr>
        <w:t>” but not necessary at the time of the revelation of the education payroll fraud in late 2011</w:t>
      </w:r>
      <w:r>
        <w:rPr>
          <w:rFonts w:ascii="Gill Sans MT" w:hAnsi="Gill Sans MT"/>
          <w:i/>
          <w:sz w:val="20"/>
          <w:szCs w:val="12"/>
        </w:rPr>
        <w:t>’</w:t>
      </w:r>
      <w:r w:rsidRPr="00BC30AF">
        <w:rPr>
          <w:rFonts w:ascii="Gill Sans MT" w:hAnsi="Gill Sans MT"/>
          <w:sz w:val="20"/>
          <w:szCs w:val="12"/>
        </w:rPr>
        <w:t xml:space="preserve">.  </w:t>
      </w:r>
      <w:r>
        <w:rPr>
          <w:rFonts w:ascii="Gill Sans MT" w:hAnsi="Gill Sans MT"/>
          <w:sz w:val="20"/>
          <w:szCs w:val="12"/>
        </w:rPr>
        <w:t>(ITAD, 2014; p.78.)</w:t>
      </w:r>
    </w:p>
    <w:p w14:paraId="39D84D42" w14:textId="77777777" w:rsidR="003241B0" w:rsidRDefault="003241B0">
      <w:pPr>
        <w:rPr>
          <w:rFonts w:ascii="Gill Sans MT" w:eastAsia="PMingLiU" w:hAnsi="Gill Sans MT" w:cs="Arial"/>
          <w:sz w:val="20"/>
          <w:szCs w:val="20"/>
          <w:lang w:val="en-GB" w:eastAsia="zh-CN"/>
        </w:rPr>
      </w:pPr>
      <w:r>
        <w:rPr>
          <w:rFonts w:ascii="Gill Sans MT" w:eastAsia="PMingLiU" w:hAnsi="Gill Sans MT" w:cs="Arial"/>
          <w:sz w:val="20"/>
          <w:szCs w:val="20"/>
          <w:lang w:val="en-GB" w:eastAsia="zh-CN"/>
        </w:rPr>
        <w:br w:type="page"/>
      </w:r>
    </w:p>
    <w:p w14:paraId="3A18B53E" w14:textId="77777777" w:rsidR="00D72813" w:rsidRPr="00D72813" w:rsidRDefault="003241B0" w:rsidP="00D72813">
      <w:pPr>
        <w:pStyle w:val="Heading1"/>
      </w:pPr>
      <w:bookmarkStart w:id="106" w:name="_Toc279848260"/>
      <w:r w:rsidRPr="00D72813">
        <w:lastRenderedPageBreak/>
        <w:t>Annex IV</w:t>
      </w:r>
      <w:r w:rsidR="00D72813" w:rsidRPr="00D72813">
        <w:t>:</w:t>
      </w:r>
      <w:r w:rsidR="00D72813" w:rsidRPr="00D72813">
        <w:tab/>
        <w:t>Effects of Variable/ Performa</w:t>
      </w:r>
      <w:r w:rsidR="00D72813">
        <w:t>nce Tranches: the case of Mozam</w:t>
      </w:r>
      <w:r w:rsidR="00D72813" w:rsidRPr="00D72813">
        <w:t>bique</w:t>
      </w:r>
      <w:bookmarkEnd w:id="106"/>
    </w:p>
    <w:p w14:paraId="60EDE450" w14:textId="77777777" w:rsidR="00D72813" w:rsidRDefault="00D72813" w:rsidP="00D72813">
      <w:pPr>
        <w:pStyle w:val="BodyText"/>
        <w:numPr>
          <w:ilvl w:val="0"/>
          <w:numId w:val="0"/>
        </w:numPr>
        <w:spacing w:line="360" w:lineRule="auto"/>
        <w:ind w:left="499"/>
        <w:rPr>
          <w:rFonts w:ascii="Gill Sans MT" w:hAnsi="Gill Sans MT"/>
          <w:sz w:val="20"/>
          <w:lang w:val="en-GB"/>
        </w:rPr>
      </w:pPr>
      <w:r>
        <w:rPr>
          <w:rFonts w:ascii="Gill Sans MT" w:hAnsi="Gill Sans MT"/>
          <w:sz w:val="20"/>
          <w:lang w:val="en-GB"/>
        </w:rPr>
        <w:t>The foregoing is simply a direct quotation from the Mozambique evaluation (ITAD, 2014; pp.73-77.) The other evaluations do not present any comparable analysis of the effects of variable tranches and therefore we are not in a position to draw strong conclusions from this one case but it is nevertheless of considerable interest.</w:t>
      </w:r>
    </w:p>
    <w:p w14:paraId="215CB445" w14:textId="77777777" w:rsidR="00FC7B45" w:rsidRPr="00C563A5" w:rsidRDefault="00FC7B45" w:rsidP="00FC7B45">
      <w:pPr>
        <w:pStyle w:val="BodyText"/>
        <w:widowControl w:val="0"/>
        <w:numPr>
          <w:ilvl w:val="0"/>
          <w:numId w:val="0"/>
        </w:numPr>
        <w:adjustRightInd w:val="0"/>
        <w:spacing w:line="360" w:lineRule="auto"/>
        <w:ind w:left="360"/>
        <w:textAlignment w:val="baseline"/>
        <w:rPr>
          <w:rFonts w:ascii="Gill Sans MT" w:hAnsi="Gill Sans MT"/>
          <w:sz w:val="20"/>
          <w:lang w:val="en-GB"/>
        </w:rPr>
      </w:pPr>
      <w:r w:rsidRPr="001B6F42">
        <w:rPr>
          <w:rFonts w:ascii="Gill Sans MT" w:hAnsi="Gill Sans MT"/>
          <w:b/>
          <w:sz w:val="20"/>
          <w:lang w:val="en-GB"/>
        </w:rPr>
        <w:t>One aspect of the changing des</w:t>
      </w:r>
      <w:r>
        <w:rPr>
          <w:rFonts w:ascii="Gill Sans MT" w:hAnsi="Gill Sans MT"/>
          <w:b/>
          <w:sz w:val="20"/>
          <w:lang w:val="en-GB"/>
        </w:rPr>
        <w:t xml:space="preserve">ign of Budget Support in Mozambique </w:t>
      </w:r>
      <w:r w:rsidRPr="001B6F42">
        <w:rPr>
          <w:rFonts w:ascii="Gill Sans MT" w:hAnsi="Gill Sans MT"/>
          <w:b/>
          <w:sz w:val="20"/>
          <w:lang w:val="en-GB"/>
        </w:rPr>
        <w:t>has been t</w:t>
      </w:r>
      <w:r>
        <w:rPr>
          <w:rFonts w:ascii="Gill Sans MT" w:hAnsi="Gill Sans MT"/>
          <w:b/>
          <w:sz w:val="20"/>
          <w:lang w:val="en-GB"/>
        </w:rPr>
        <w:t>he increased</w:t>
      </w:r>
      <w:r w:rsidRPr="001B6F42">
        <w:rPr>
          <w:rFonts w:ascii="Gill Sans MT" w:hAnsi="Gill Sans MT"/>
          <w:b/>
          <w:sz w:val="20"/>
          <w:lang w:val="en-GB"/>
        </w:rPr>
        <w:t xml:space="preserve"> use of “variable tranches” (VTs) or “performance tranches”,</w:t>
      </w:r>
      <w:r>
        <w:rPr>
          <w:rFonts w:ascii="Gill Sans MT" w:hAnsi="Gill Sans MT"/>
          <w:sz w:val="20"/>
          <w:lang w:val="en-GB"/>
        </w:rPr>
        <w:t xml:space="preserve"> in which the value of disbursements is linked either to the completion of certain reforms or to the achievement of specific service delivery outcomes. The EU, Sweden and Switzerland employed such mechanisms from the outset of the period but Denmark, Germany and most recently the United Kingdom have incorporated them during the evaluation period</w:t>
      </w:r>
      <w:r>
        <w:rPr>
          <w:rStyle w:val="FootnoteReference"/>
          <w:rFonts w:ascii="Gill Sans MT" w:hAnsi="Gill Sans MT"/>
          <w:sz w:val="20"/>
          <w:lang w:val="en-GB"/>
        </w:rPr>
        <w:footnoteReference w:id="52"/>
      </w:r>
      <w:r>
        <w:rPr>
          <w:rFonts w:ascii="Gill Sans MT" w:hAnsi="Gill Sans MT"/>
          <w:sz w:val="20"/>
          <w:lang w:val="en-GB"/>
        </w:rPr>
        <w:t xml:space="preserve">. </w:t>
      </w:r>
      <w:r w:rsidRPr="00C563A5">
        <w:rPr>
          <w:rFonts w:ascii="Gill Sans MT" w:hAnsi="Gill Sans MT"/>
          <w:sz w:val="20"/>
          <w:lang w:val="en-GB"/>
        </w:rPr>
        <w:t>The relative importance of these variable tranches has remained quite modest</w:t>
      </w:r>
      <w:r>
        <w:rPr>
          <w:rStyle w:val="FootnoteReference"/>
          <w:rFonts w:ascii="Gill Sans MT" w:hAnsi="Gill Sans MT"/>
          <w:sz w:val="20"/>
          <w:lang w:val="en-GB"/>
        </w:rPr>
        <w:footnoteReference w:id="53"/>
      </w:r>
      <w:r w:rsidRPr="00C563A5">
        <w:rPr>
          <w:rFonts w:ascii="Gill Sans MT" w:hAnsi="Gill Sans MT"/>
          <w:sz w:val="20"/>
          <w:lang w:val="en-GB"/>
        </w:rPr>
        <w:t>. The actual size of the variable portion for the six Development Agencies using the instrument is shown in Table 14. In 2012, the maximum variable tranche disbursement would have comprised $70 million, of which $49 million were paid</w:t>
      </w:r>
      <w:bookmarkStart w:id="107" w:name="_Ref366945257"/>
      <w:r w:rsidRPr="00C563A5">
        <w:rPr>
          <w:rFonts w:ascii="Gill Sans MT" w:hAnsi="Gill Sans MT"/>
          <w:sz w:val="20"/>
          <w:lang w:val="en-GB"/>
        </w:rPr>
        <w:t xml:space="preserve"> – approximately 11 % of total Budget Support disbursements.</w:t>
      </w:r>
    </w:p>
    <w:p w14:paraId="7C7C816C" w14:textId="77777777" w:rsidR="00FC7B45" w:rsidRPr="00C563A5" w:rsidRDefault="00FC7B45" w:rsidP="00FC7B45">
      <w:pPr>
        <w:pStyle w:val="Caption"/>
        <w:ind w:left="360"/>
        <w:rPr>
          <w:lang w:val="en-GB"/>
        </w:rPr>
      </w:pPr>
      <w:bookmarkStart w:id="108" w:name="_Toc263270936"/>
      <w:bookmarkStart w:id="109" w:name="_Toc279848296"/>
      <w:bookmarkEnd w:id="107"/>
      <w:r w:rsidRPr="00C563A5">
        <w:rPr>
          <w:lang w:val="en-GB"/>
        </w:rPr>
        <w:t xml:space="preserve">Table </w:t>
      </w:r>
      <w:r w:rsidRPr="00C563A5">
        <w:rPr>
          <w:lang w:val="en-GB"/>
        </w:rPr>
        <w:fldChar w:fldCharType="begin"/>
      </w:r>
      <w:r w:rsidRPr="00C563A5">
        <w:rPr>
          <w:lang w:val="en-GB"/>
        </w:rPr>
        <w:instrText xml:space="preserve"> SEQ Table \* ARABIC </w:instrText>
      </w:r>
      <w:r w:rsidRPr="00C563A5">
        <w:rPr>
          <w:lang w:val="en-GB"/>
        </w:rPr>
        <w:fldChar w:fldCharType="separate"/>
      </w:r>
      <w:r w:rsidR="00967582">
        <w:rPr>
          <w:noProof/>
          <w:lang w:val="en-GB"/>
        </w:rPr>
        <w:t>16</w:t>
      </w:r>
      <w:r w:rsidRPr="00C563A5">
        <w:rPr>
          <w:lang w:val="en-GB"/>
        </w:rPr>
        <w:fldChar w:fldCharType="end"/>
      </w:r>
      <w:r>
        <w:rPr>
          <w:lang w:val="en-GB"/>
        </w:rPr>
        <w:t xml:space="preserve">: </w:t>
      </w:r>
      <w:r w:rsidRPr="00C563A5">
        <w:rPr>
          <w:lang w:val="en-GB"/>
        </w:rPr>
        <w:t>Variable tranche disbursements, 2012 - 2014</w:t>
      </w:r>
      <w:bookmarkEnd w:id="108"/>
      <w:bookmarkEnd w:id="109"/>
    </w:p>
    <w:p w14:paraId="4F7DFB94" w14:textId="77777777" w:rsidR="00FC7B45" w:rsidRDefault="00FC7B45" w:rsidP="00FC7B45">
      <w:pPr>
        <w:pStyle w:val="Tab1"/>
        <w:ind w:left="360"/>
      </w:pPr>
      <w:r>
        <w:rPr>
          <w:noProof/>
          <w:lang w:val="en-US"/>
        </w:rPr>
        <w:drawing>
          <wp:inline distT="0" distB="0" distL="0" distR="0" wp14:anchorId="254D150F" wp14:editId="192D97E6">
            <wp:extent cx="5205730" cy="2000885"/>
            <wp:effectExtent l="0" t="0" r="1270" b="5715"/>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05730" cy="2000885"/>
                    </a:xfrm>
                    <a:prstGeom prst="rect">
                      <a:avLst/>
                    </a:prstGeom>
                    <a:noFill/>
                    <a:ln>
                      <a:noFill/>
                    </a:ln>
                  </pic:spPr>
                </pic:pic>
              </a:graphicData>
            </a:graphic>
          </wp:inline>
        </w:drawing>
      </w:r>
    </w:p>
    <w:p w14:paraId="2F29339C" w14:textId="77777777" w:rsidR="00FC7B45" w:rsidRDefault="00FC7B45" w:rsidP="00FC7B45">
      <w:pPr>
        <w:pStyle w:val="Tabfoot"/>
        <w:ind w:left="360"/>
        <w:rPr>
          <w:rFonts w:ascii="Gill Sans MT" w:hAnsi="Gill Sans MT"/>
        </w:rPr>
      </w:pPr>
      <w:r w:rsidRPr="001B6F42">
        <w:rPr>
          <w:rFonts w:ascii="Gill Sans MT" w:hAnsi="Gill Sans MT"/>
          <w:u w:val="single"/>
        </w:rPr>
        <w:t>Source:</w:t>
      </w:r>
      <w:r w:rsidRPr="00505C35">
        <w:rPr>
          <w:rFonts w:ascii="Gill Sans MT" w:hAnsi="Gill Sans MT"/>
        </w:rPr>
        <w:t xml:space="preserve"> </w:t>
      </w:r>
      <w:proofErr w:type="spellStart"/>
      <w:r w:rsidRPr="00505C35">
        <w:rPr>
          <w:rFonts w:ascii="Gill Sans MT" w:hAnsi="Gill Sans MT"/>
        </w:rPr>
        <w:t>Orlowski</w:t>
      </w:r>
      <w:proofErr w:type="spellEnd"/>
      <w:r w:rsidRPr="00505C35">
        <w:rPr>
          <w:rFonts w:ascii="Gill Sans MT" w:hAnsi="Gill Sans MT"/>
        </w:rPr>
        <w:t xml:space="preserve">, </w:t>
      </w:r>
      <w:r w:rsidRPr="001B6F42">
        <w:rPr>
          <w:rFonts w:ascii="Gill Sans MT" w:hAnsi="Gill Sans MT"/>
        </w:rPr>
        <w:t>2013</w:t>
      </w:r>
    </w:p>
    <w:p w14:paraId="5AADAF27" w14:textId="77777777" w:rsidR="00FC7B45" w:rsidRDefault="001A70A3" w:rsidP="00FC7B45">
      <w:pPr>
        <w:pStyle w:val="BodyText"/>
        <w:widowControl w:val="0"/>
        <w:numPr>
          <w:ilvl w:val="0"/>
          <w:numId w:val="0"/>
        </w:numPr>
        <w:adjustRightInd w:val="0"/>
        <w:spacing w:line="360" w:lineRule="auto"/>
        <w:ind w:left="360"/>
        <w:textAlignment w:val="baseline"/>
        <w:rPr>
          <w:rFonts w:ascii="Gill Sans MT" w:hAnsi="Gill Sans MT"/>
          <w:sz w:val="20"/>
          <w:lang w:val="en-GB"/>
        </w:rPr>
      </w:pPr>
      <w:r>
        <w:rPr>
          <w:rFonts w:ascii="Gill Sans MT" w:hAnsi="Gill Sans MT"/>
          <w:sz w:val="20"/>
          <w:lang w:val="en-GB"/>
        </w:rPr>
        <w:t>As can be seen from the table above</w:t>
      </w:r>
      <w:r w:rsidR="00FC7B45">
        <w:rPr>
          <w:rFonts w:ascii="Gill Sans MT" w:hAnsi="Gill Sans MT"/>
          <w:sz w:val="20"/>
          <w:lang w:val="en-GB"/>
        </w:rPr>
        <w:t xml:space="preserve">, the rate of disbursements of variable tranches was 70 % in 2012 and 69% in 2013, reflecting the fact that the majority of indicators were in fact attained. Can we conclude from this that the increased use of variable tranches had a positive incentive effect on government reform efforts? It has been impossible to undertake a comprehensive assessment of this question essentially because it is too complex a task to undertake with limited resources. There have been regular changes in the definition of indicators across the evaluation period, the range of policy issues involved is broad and the web of underlying causality mechanisms with </w:t>
      </w:r>
      <w:r w:rsidR="00FC7B45">
        <w:rPr>
          <w:rFonts w:ascii="Gill Sans MT" w:hAnsi="Gill Sans MT"/>
          <w:sz w:val="20"/>
          <w:lang w:val="en-GB"/>
        </w:rPr>
        <w:lastRenderedPageBreak/>
        <w:t xml:space="preserve">which VT-induced incentives would need to interact is too complex to untangle easily. However, we can point to two sources of evidence: </w:t>
      </w:r>
    </w:p>
    <w:p w14:paraId="54254FF2" w14:textId="77777777" w:rsidR="00FC7B45" w:rsidRDefault="00FC7B45" w:rsidP="00FC7B45">
      <w:pPr>
        <w:pStyle w:val="BSBulletpoints"/>
      </w:pPr>
      <w:r>
        <w:t xml:space="preserve">The data do not suggest any trend improvement in performance against PAF indicators since 2010, when variable tranches have been more significant.  From 2006 to 2009, 45-60% of indicators were assessed as achieved, and only 10-15 % as not achieved, with a relatively large group (25-40%) assessed as ‘not achieved but with some progress’.  Over 2010 – 2012, the number assessed as achieved remained broadly the same at 45-55% but the number assessed as not achieved rose sharply approaching 30 % in 2012, with a corresponding decline in those assessed as ‘not achieved but with progress’. Clearly, there are several factors at play, including potentially more challenging targets and/ or more rigorous standards of assessment, but the simple numbers do not suggest a trend improvement in performance. </w:t>
      </w:r>
    </w:p>
    <w:p w14:paraId="3678DC85" w14:textId="77777777" w:rsidR="00FC7B45" w:rsidRDefault="00FC7B45" w:rsidP="00FC7B45">
      <w:pPr>
        <w:pStyle w:val="BSBulletpoints"/>
      </w:pPr>
      <w:r>
        <w:t>A more revealing body of evidence emerges from an internal study done for Danida to assess the potential incentive effects of variable tranches. (Orlowski, 2013) Interviews were undertaken with the DPs using variable tranches within their Budget Support operations as well as with officials from MPD and the Ministry of Finance. As may be seen from Box 2, the results do not suggest any systematic incentive effects.</w:t>
      </w:r>
    </w:p>
    <w:p w14:paraId="55B0997B" w14:textId="77777777" w:rsidR="001A70A3" w:rsidRPr="009E1C60" w:rsidRDefault="001A70A3" w:rsidP="001A70A3">
      <w:pPr>
        <w:pStyle w:val="BSBulletpoints"/>
        <w:numPr>
          <w:ilvl w:val="0"/>
          <w:numId w:val="0"/>
        </w:numPr>
        <w:ind w:left="717"/>
      </w:pPr>
      <w:r>
        <w:t xml:space="preserve">Although indicative rather than conclusive, the evidence suggests that variable tranches do not provide any significant additional incentive to meet reform targets. There are already factors favouring reform progress – which is to be expected given that these are targets agreed by Government and linked to national strategies and plans - but there is no sense that those targets, to which DPs attach variable tranches are given any </w:t>
      </w:r>
      <w:r w:rsidRPr="00053F7E">
        <w:t>extra</w:t>
      </w:r>
      <w:r>
        <w:t xml:space="preserve"> priority. Indeed, Government stakeholders in interviews with Orlowski and with the evaluation team quite pointedly stated that they considered it inappropriate to give higher priority to some PAF targets over others. </w:t>
      </w:r>
    </w:p>
    <w:p w14:paraId="72FCE23E" w14:textId="77777777" w:rsidR="00FC7B45" w:rsidRDefault="00FC7B45" w:rsidP="00FC7B45">
      <w:pPr>
        <w:pStyle w:val="BodyText"/>
        <w:widowControl w:val="0"/>
        <w:numPr>
          <w:ilvl w:val="0"/>
          <w:numId w:val="0"/>
        </w:numPr>
        <w:adjustRightInd w:val="0"/>
        <w:spacing w:line="360" w:lineRule="auto"/>
        <w:textAlignment w:val="baseline"/>
        <w:rPr>
          <w:rFonts w:ascii="Gill Sans MT" w:hAnsi="Gill Sans MT"/>
          <w:sz w:val="20"/>
          <w:lang w:val="en-GB"/>
        </w:rPr>
      </w:pPr>
    </w:p>
    <w:p w14:paraId="6A804734" w14:textId="77777777" w:rsidR="00FC7B45" w:rsidRPr="00702F45" w:rsidRDefault="00FC7B45" w:rsidP="00FC7B45">
      <w:pPr>
        <w:rPr>
          <w:rFonts w:ascii="Gill Sans MT" w:hAnsi="Gill Sans MT"/>
          <w:sz w:val="20"/>
          <w:szCs w:val="20"/>
          <w:lang w:val="en-GB"/>
        </w:rPr>
      </w:pPr>
      <w:r>
        <w:rPr>
          <w:rFonts w:ascii="Gill Sans MT" w:hAnsi="Gill Sans MT"/>
          <w:sz w:val="20"/>
          <w:lang w:val="en-GB"/>
        </w:rPr>
        <w:br w:type="page"/>
      </w:r>
    </w:p>
    <w:p w14:paraId="56387845" w14:textId="77777777" w:rsidR="00FC7B45" w:rsidRDefault="00FC7B45" w:rsidP="00FC7B45">
      <w:pPr>
        <w:pStyle w:val="Caption"/>
        <w:rPr>
          <w:lang w:val="en-GB"/>
        </w:rPr>
      </w:pPr>
      <w:bookmarkStart w:id="110" w:name="_Toc263271003"/>
      <w:bookmarkStart w:id="111" w:name="_Toc279848339"/>
      <w:r w:rsidRPr="008C51D1">
        <w:rPr>
          <w:lang w:val="en-GB"/>
        </w:rPr>
        <w:lastRenderedPageBreak/>
        <w:t xml:space="preserve">Box  </w:t>
      </w:r>
      <w:r>
        <w:fldChar w:fldCharType="begin"/>
      </w:r>
      <w:r w:rsidRPr="008C51D1">
        <w:rPr>
          <w:lang w:val="en-GB"/>
        </w:rPr>
        <w:instrText xml:space="preserve"> SEQ Box_ \* ARABIC </w:instrText>
      </w:r>
      <w:r>
        <w:fldChar w:fldCharType="separate"/>
      </w:r>
      <w:r w:rsidR="00967582" w:rsidRPr="008C51D1">
        <w:rPr>
          <w:noProof/>
          <w:lang w:val="en-GB"/>
        </w:rPr>
        <w:t>1</w:t>
      </w:r>
      <w:r>
        <w:fldChar w:fldCharType="end"/>
      </w:r>
      <w:r w:rsidRPr="008C51D1">
        <w:rPr>
          <w:lang w:val="en-GB"/>
        </w:rPr>
        <w:t>:</w:t>
      </w:r>
      <w:r w:rsidRPr="001B6F42">
        <w:rPr>
          <w:lang w:val="en-GB"/>
        </w:rPr>
        <w:t xml:space="preserve"> </w:t>
      </w:r>
      <w:r>
        <w:rPr>
          <w:lang w:val="en-GB"/>
        </w:rPr>
        <w:t>Stakeholder’s feedback on the I</w:t>
      </w:r>
      <w:r w:rsidRPr="009C451C">
        <w:rPr>
          <w:lang w:val="en-GB"/>
        </w:rPr>
        <w:t>ncentive effects of Variable Tranches</w:t>
      </w:r>
      <w:bookmarkEnd w:id="110"/>
      <w:bookmarkEnd w:id="111"/>
    </w:p>
    <w:p w14:paraId="4F6ADBDD" w14:textId="77777777" w:rsidR="00FC7B45" w:rsidRDefault="00FC7B45" w:rsidP="00FC7B45">
      <w:pPr>
        <w:rPr>
          <w:lang w:val="en-GB"/>
        </w:rPr>
      </w:pPr>
      <w:r w:rsidRPr="008240AA">
        <w:rPr>
          <w:noProof/>
          <w:lang w:val="en-US"/>
        </w:rPr>
        <mc:AlternateContent>
          <mc:Choice Requires="wps">
            <w:drawing>
              <wp:anchor distT="0" distB="0" distL="114300" distR="114300" simplePos="0" relativeHeight="251670528" behindDoc="0" locked="0" layoutInCell="1" allowOverlap="1" wp14:anchorId="052915EB" wp14:editId="143A972A">
                <wp:simplePos x="0" y="0"/>
                <wp:positionH relativeFrom="column">
                  <wp:posOffset>-342900</wp:posOffset>
                </wp:positionH>
                <wp:positionV relativeFrom="paragraph">
                  <wp:posOffset>195580</wp:posOffset>
                </wp:positionV>
                <wp:extent cx="5629275" cy="8303260"/>
                <wp:effectExtent l="0" t="0" r="34925" b="27940"/>
                <wp:wrapThrough wrapText="bothSides">
                  <wp:wrapPolygon edited="0">
                    <wp:start x="0" y="0"/>
                    <wp:lineTo x="0" y="21607"/>
                    <wp:lineTo x="21637" y="21607"/>
                    <wp:lineTo x="21637" y="0"/>
                    <wp:lineTo x="0" y="0"/>
                  </wp:wrapPolygon>
                </wp:wrapThrough>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9275" cy="8303260"/>
                        </a:xfrm>
                        <a:prstGeom prst="rect">
                          <a:avLst/>
                        </a:prstGeom>
                        <a:noFill/>
                        <a:ln w="12700" cmpd="sng">
                          <a:solidFill>
                            <a:srgbClr val="660066"/>
                          </a:solidFill>
                        </a:ln>
                        <a:effectLst/>
                        <a:extLst/>
                      </wps:spPr>
                      <wps:txbx>
                        <w:txbxContent>
                          <w:p w14:paraId="72E04F55" w14:textId="77777777" w:rsidR="00A751F4" w:rsidRPr="001B6F42" w:rsidRDefault="00A751F4" w:rsidP="00FC7B45">
                            <w:pPr>
                              <w:jc w:val="center"/>
                              <w:rPr>
                                <w:b/>
                                <w:lang w:val="en-GB"/>
                              </w:rPr>
                            </w:pPr>
                            <w:r w:rsidRPr="001B6F42">
                              <w:rPr>
                                <w:b/>
                                <w:lang w:val="en-GB"/>
                              </w:rPr>
                              <w:t>Have variable tranches had positive incentive effects in Mozambique?</w:t>
                            </w:r>
                          </w:p>
                          <w:p w14:paraId="2250649F" w14:textId="77777777" w:rsidR="00A751F4" w:rsidRPr="005C12C1" w:rsidRDefault="00A751F4" w:rsidP="00FC7B45">
                            <w:pPr>
                              <w:pStyle w:val="Stdtext"/>
                              <w:spacing w:line="276" w:lineRule="auto"/>
                              <w:jc w:val="both"/>
                              <w:rPr>
                                <w:szCs w:val="22"/>
                              </w:rPr>
                            </w:pPr>
                            <w:r w:rsidRPr="005C12C1">
                              <w:rPr>
                                <w:i/>
                                <w:szCs w:val="22"/>
                              </w:rPr>
                              <w:t xml:space="preserve">About two thirds of the variable tranches have been committed and subsequently disbursed in recent years. Does this suggest that incentives have worked? We wanted to know from donor representatives whether </w:t>
                            </w:r>
                            <w:r>
                              <w:rPr>
                                <w:i/>
                                <w:szCs w:val="22"/>
                              </w:rPr>
                              <w:t>and how the variable tranche had</w:t>
                            </w:r>
                            <w:r w:rsidRPr="005C12C1">
                              <w:rPr>
                                <w:i/>
                                <w:szCs w:val="22"/>
                              </w:rPr>
                              <w:t xml:space="preserve"> contributed to this success</w:t>
                            </w:r>
                            <w:r w:rsidRPr="005C12C1">
                              <w:rPr>
                                <w:szCs w:val="22"/>
                              </w:rPr>
                              <w:t xml:space="preserve">. </w:t>
                            </w:r>
                          </w:p>
                          <w:p w14:paraId="0130E97A" w14:textId="77777777" w:rsidR="00A751F4" w:rsidRPr="005C12C1" w:rsidRDefault="00A751F4" w:rsidP="00FC7B45">
                            <w:pPr>
                              <w:pStyle w:val="Stdtext"/>
                              <w:spacing w:line="276" w:lineRule="auto"/>
                              <w:ind w:left="720"/>
                              <w:rPr>
                                <w:szCs w:val="22"/>
                              </w:rPr>
                            </w:pPr>
                            <w:r w:rsidRPr="005C12C1">
                              <w:rPr>
                                <w:b/>
                                <w:szCs w:val="22"/>
                              </w:rPr>
                              <w:t>Surprisingly, no one had a convincing story to offer.</w:t>
                            </w:r>
                            <w:r w:rsidRPr="005C12C1">
                              <w:rPr>
                                <w:szCs w:val="22"/>
                              </w:rPr>
                              <w:t xml:space="preserve"> Rather, as one interviewee put it, a “happy confluence of events” resulted in difficult indicator targets being attained. </w:t>
                            </w:r>
                            <w:r>
                              <w:rPr>
                                <w:szCs w:val="22"/>
                              </w:rPr>
                              <w:t xml:space="preserve"> </w:t>
                            </w:r>
                            <w:r w:rsidRPr="005C12C1">
                              <w:rPr>
                                <w:szCs w:val="22"/>
                              </w:rPr>
                              <w:t xml:space="preserve">One example is the </w:t>
                            </w:r>
                            <w:r>
                              <w:rPr>
                                <w:szCs w:val="22"/>
                              </w:rPr>
                              <w:t>internal revenue</w:t>
                            </w:r>
                            <w:r w:rsidRPr="005C12C1">
                              <w:rPr>
                                <w:szCs w:val="22"/>
                              </w:rPr>
                              <w:t xml:space="preserve"> </w:t>
                            </w:r>
                            <w:r>
                              <w:rPr>
                                <w:szCs w:val="22"/>
                              </w:rPr>
                              <w:t xml:space="preserve">target. Most donors use this indicator as a trigger for </w:t>
                            </w:r>
                            <w:r w:rsidRPr="005C12C1">
                              <w:rPr>
                                <w:szCs w:val="22"/>
                              </w:rPr>
                              <w:t>the va</w:t>
                            </w:r>
                            <w:r>
                              <w:rPr>
                                <w:szCs w:val="22"/>
                              </w:rPr>
                              <w:t xml:space="preserve">riable tranche. Yet, several motives drive </w:t>
                            </w:r>
                            <w:r w:rsidRPr="005C12C1">
                              <w:rPr>
                                <w:szCs w:val="22"/>
                              </w:rPr>
                              <w:t>the revenue collection effort:</w:t>
                            </w:r>
                            <w:r>
                              <w:rPr>
                                <w:szCs w:val="22"/>
                              </w:rPr>
                              <w:t xml:space="preserve"> notably, there is a strong political interest in increasing public spending and reducing </w:t>
                            </w:r>
                            <w:r w:rsidRPr="005C12C1">
                              <w:rPr>
                                <w:szCs w:val="22"/>
                              </w:rPr>
                              <w:t>aid dependence and the target is an essential parameter in the IMF programme. As a</w:t>
                            </w:r>
                            <w:r>
                              <w:rPr>
                                <w:szCs w:val="22"/>
                              </w:rPr>
                              <w:t xml:space="preserve"> result, the </w:t>
                            </w:r>
                            <w:r w:rsidRPr="005C12C1">
                              <w:rPr>
                                <w:szCs w:val="22"/>
                              </w:rPr>
                              <w:t>target is us</w:t>
                            </w:r>
                            <w:r>
                              <w:rPr>
                                <w:szCs w:val="22"/>
                              </w:rPr>
                              <w:t xml:space="preserve">ually met, but </w:t>
                            </w:r>
                            <w:r w:rsidRPr="005C12C1">
                              <w:rPr>
                                <w:szCs w:val="22"/>
                              </w:rPr>
                              <w:t xml:space="preserve">probably </w:t>
                            </w:r>
                            <w:r w:rsidRPr="005C12C1">
                              <w:rPr>
                                <w:szCs w:val="22"/>
                                <w:u w:val="single"/>
                              </w:rPr>
                              <w:t>not</w:t>
                            </w:r>
                            <w:r w:rsidRPr="005C12C1">
                              <w:rPr>
                                <w:szCs w:val="22"/>
                              </w:rPr>
                              <w:t xml:space="preserve"> because of the additional incentive of receiving variable tranches. </w:t>
                            </w:r>
                          </w:p>
                          <w:p w14:paraId="4C79AC42" w14:textId="77777777" w:rsidR="00A751F4" w:rsidRPr="005C12C1" w:rsidRDefault="00A751F4" w:rsidP="00FC7B45">
                            <w:pPr>
                              <w:pStyle w:val="Stdtext"/>
                              <w:spacing w:line="276" w:lineRule="auto"/>
                              <w:ind w:left="720"/>
                              <w:rPr>
                                <w:szCs w:val="22"/>
                              </w:rPr>
                            </w:pPr>
                            <w:r w:rsidRPr="005C12C1">
                              <w:rPr>
                                <w:szCs w:val="22"/>
                              </w:rPr>
                              <w:t>Anti-corruption and procurement triggers appear in most donors’ varia</w:t>
                            </w:r>
                            <w:r>
                              <w:rPr>
                                <w:szCs w:val="22"/>
                              </w:rPr>
                              <w:t xml:space="preserve">ble tranches: progress is </w:t>
                            </w:r>
                            <w:r w:rsidRPr="005C12C1">
                              <w:rPr>
                                <w:szCs w:val="22"/>
                              </w:rPr>
                              <w:t>visible although still below</w:t>
                            </w:r>
                            <w:r>
                              <w:rPr>
                                <w:szCs w:val="22"/>
                              </w:rPr>
                              <w:t xml:space="preserve"> expectations. Was progress </w:t>
                            </w:r>
                            <w:r w:rsidRPr="005C12C1">
                              <w:rPr>
                                <w:szCs w:val="22"/>
                              </w:rPr>
                              <w:t>due to the incentive effect of a variable tranche? In</w:t>
                            </w:r>
                            <w:r>
                              <w:rPr>
                                <w:szCs w:val="22"/>
                              </w:rPr>
                              <w:t>terviewees i</w:t>
                            </w:r>
                            <w:r w:rsidRPr="005C12C1">
                              <w:rPr>
                                <w:szCs w:val="22"/>
                              </w:rPr>
                              <w:t xml:space="preserve">ndicated that progress was made because of the threat that the donor appetite for GBS would fade quickly. Changes were prompted </w:t>
                            </w:r>
                            <w:r>
                              <w:rPr>
                                <w:szCs w:val="22"/>
                              </w:rPr>
                              <w:t xml:space="preserve">by the wider threat, not </w:t>
                            </w:r>
                            <w:r w:rsidRPr="005C12C1">
                              <w:rPr>
                                <w:szCs w:val="22"/>
                              </w:rPr>
                              <w:t xml:space="preserve">by the immediate effect of non-payment of variable tranches. </w:t>
                            </w:r>
                          </w:p>
                          <w:p w14:paraId="72D24FFE" w14:textId="77777777" w:rsidR="00A751F4" w:rsidRPr="005C12C1" w:rsidRDefault="00A751F4" w:rsidP="00FC7B45">
                            <w:pPr>
                              <w:pStyle w:val="Stdtext"/>
                              <w:spacing w:line="276" w:lineRule="auto"/>
                              <w:ind w:left="720"/>
                              <w:rPr>
                                <w:szCs w:val="22"/>
                              </w:rPr>
                            </w:pPr>
                            <w:r>
                              <w:rPr>
                                <w:b/>
                                <w:szCs w:val="22"/>
                              </w:rPr>
                              <w:t xml:space="preserve">There was anecdotal evidence of </w:t>
                            </w:r>
                            <w:r w:rsidRPr="005C12C1">
                              <w:rPr>
                                <w:b/>
                                <w:szCs w:val="22"/>
                              </w:rPr>
                              <w:t>effect</w:t>
                            </w:r>
                            <w:r>
                              <w:rPr>
                                <w:b/>
                                <w:szCs w:val="22"/>
                              </w:rPr>
                              <w:t>s</w:t>
                            </w:r>
                            <w:r w:rsidRPr="005C12C1">
                              <w:rPr>
                                <w:b/>
                                <w:szCs w:val="22"/>
                              </w:rPr>
                              <w:t xml:space="preserve"> on internal decisio</w:t>
                            </w:r>
                            <w:r>
                              <w:rPr>
                                <w:b/>
                                <w:szCs w:val="22"/>
                              </w:rPr>
                              <w:t>n-making processes</w:t>
                            </w:r>
                            <w:r w:rsidRPr="005C12C1">
                              <w:rPr>
                                <w:b/>
                                <w:szCs w:val="22"/>
                              </w:rPr>
                              <w:t>.</w:t>
                            </w:r>
                            <w:r>
                              <w:rPr>
                                <w:szCs w:val="22"/>
                              </w:rPr>
                              <w:t xml:space="preserve"> T</w:t>
                            </w:r>
                            <w:r w:rsidRPr="005C12C1">
                              <w:rPr>
                                <w:szCs w:val="22"/>
                              </w:rPr>
                              <w:t>he Ministry of Plann</w:t>
                            </w:r>
                            <w:r>
                              <w:rPr>
                                <w:szCs w:val="22"/>
                              </w:rPr>
                              <w:t xml:space="preserve">ing called a donor </w:t>
                            </w:r>
                            <w:r w:rsidRPr="005C12C1">
                              <w:rPr>
                                <w:szCs w:val="22"/>
                              </w:rPr>
                              <w:t>in order to clarify the exact definition of the target so that it would not be missed for lack of precision</w:t>
                            </w:r>
                            <w:r>
                              <w:rPr>
                                <w:szCs w:val="22"/>
                              </w:rPr>
                              <w:t xml:space="preserve">.  A </w:t>
                            </w:r>
                            <w:r w:rsidRPr="005C12C1">
                              <w:rPr>
                                <w:szCs w:val="22"/>
                              </w:rPr>
                              <w:t>line ministry was called by the Mi</w:t>
                            </w:r>
                            <w:r>
                              <w:rPr>
                                <w:szCs w:val="22"/>
                              </w:rPr>
                              <w:t xml:space="preserve">nistry of Finance, </w:t>
                            </w:r>
                            <w:r w:rsidRPr="005C12C1">
                              <w:rPr>
                                <w:szCs w:val="22"/>
                              </w:rPr>
                              <w:t xml:space="preserve">to ensure that the sector would meet a target linked to a variable tranche. </w:t>
                            </w:r>
                          </w:p>
                          <w:p w14:paraId="0953BDC9" w14:textId="77777777" w:rsidR="00A751F4" w:rsidRPr="005C12C1" w:rsidRDefault="00A751F4" w:rsidP="00FC7B45">
                            <w:pPr>
                              <w:pStyle w:val="Stdtext"/>
                              <w:spacing w:line="276" w:lineRule="auto"/>
                              <w:ind w:left="720"/>
                              <w:rPr>
                                <w:szCs w:val="22"/>
                              </w:rPr>
                            </w:pPr>
                            <w:r w:rsidRPr="005C12C1">
                              <w:rPr>
                                <w:szCs w:val="22"/>
                              </w:rPr>
                              <w:t>We had expected the existence of an internal version of the PAF indicator table with amounts show</w:t>
                            </w:r>
                            <w:r>
                              <w:rPr>
                                <w:szCs w:val="22"/>
                              </w:rPr>
                              <w:t>n in the line of each indicator:</w:t>
                            </w:r>
                            <w:r w:rsidRPr="005C12C1">
                              <w:rPr>
                                <w:szCs w:val="22"/>
                              </w:rPr>
                              <w:t xml:space="preserve"> it does not appear to exist. The PAF table is apparently monitored regularly by the Council of Ministers, and indicators linked to variable tranches are shaded; but the table does not show disbursement amounts. </w:t>
                            </w:r>
                          </w:p>
                          <w:p w14:paraId="6CA47AE5" w14:textId="77777777" w:rsidR="00A751F4" w:rsidRPr="005C12C1" w:rsidRDefault="00A751F4" w:rsidP="00FC7B45">
                            <w:pPr>
                              <w:pStyle w:val="Stdtext"/>
                              <w:spacing w:line="276" w:lineRule="auto"/>
                              <w:ind w:left="720"/>
                              <w:rPr>
                                <w:szCs w:val="22"/>
                              </w:rPr>
                            </w:pPr>
                            <w:r w:rsidRPr="005C12C1">
                              <w:rPr>
                                <w:szCs w:val="22"/>
                              </w:rPr>
                              <w:t>We had also expected reports about the possible impact of incentiv</w:t>
                            </w:r>
                            <w:r>
                              <w:rPr>
                                <w:szCs w:val="22"/>
                              </w:rPr>
                              <w:t xml:space="preserve">es on decision-making </w:t>
                            </w:r>
                            <w:r w:rsidRPr="005C12C1">
                              <w:rPr>
                                <w:szCs w:val="22"/>
                              </w:rPr>
                              <w:t xml:space="preserve">within sectors and were interested in whether variable tranches have in fact strengthened the position of reform champions. No one had a story of this sort to tell. </w:t>
                            </w:r>
                          </w:p>
                          <w:p w14:paraId="7D0B89D7" w14:textId="77777777" w:rsidR="00A751F4" w:rsidRPr="005C12C1" w:rsidRDefault="00A751F4" w:rsidP="00FC7B45">
                            <w:pPr>
                              <w:pStyle w:val="Stdtext"/>
                              <w:spacing w:line="276" w:lineRule="auto"/>
                              <w:ind w:left="720"/>
                              <w:rPr>
                                <w:szCs w:val="22"/>
                              </w:rPr>
                            </w:pPr>
                            <w:r w:rsidRPr="005C12C1">
                              <w:rPr>
                                <w:b/>
                                <w:szCs w:val="22"/>
                              </w:rPr>
                              <w:t>Officials of the Ministries of Finance and of Planning stated that indicators to which variable tranches are attached do not receive higher attention than others</w:t>
                            </w:r>
                            <w:r>
                              <w:rPr>
                                <w:szCs w:val="22"/>
                              </w:rPr>
                              <w:t xml:space="preserve">. The </w:t>
                            </w:r>
                            <w:r w:rsidRPr="005C12C1">
                              <w:rPr>
                                <w:szCs w:val="22"/>
                              </w:rPr>
                              <w:t xml:space="preserve">government has defined its policies and uses a set of indicators to monitor their implementation. Giving special attention to areas where financial rewards can be attained would degrade others to second-class indicators, and should therefore be avoided. </w:t>
                            </w:r>
                          </w:p>
                          <w:p w14:paraId="3EB3F79D" w14:textId="77777777" w:rsidR="00A751F4" w:rsidRPr="00E37E34" w:rsidRDefault="00A751F4" w:rsidP="00FC7B45">
                            <w:pPr>
                              <w:pStyle w:val="BodyText"/>
                              <w:numPr>
                                <w:ilvl w:val="0"/>
                                <w:numId w:val="0"/>
                              </w:numPr>
                              <w:spacing w:line="276" w:lineRule="auto"/>
                              <w:ind w:left="720"/>
                              <w:jc w:val="left"/>
                              <w:rPr>
                                <w:rFonts w:ascii="Gill Sans MT" w:hAnsi="Gill Sans MT"/>
                                <w:b/>
                                <w:sz w:val="22"/>
                                <w:szCs w:val="22"/>
                                <w:lang w:val="en-GB"/>
                              </w:rPr>
                            </w:pPr>
                            <w:r w:rsidRPr="00E37E34">
                              <w:rPr>
                                <w:b/>
                                <w:sz w:val="22"/>
                                <w:szCs w:val="22"/>
                              </w:rPr>
                              <w:t>Officials accept that donors have variable tranches essentially for domestic reasons, and see this as an element of risk</w:t>
                            </w:r>
                            <w:r>
                              <w:rPr>
                                <w:sz w:val="22"/>
                                <w:szCs w:val="22"/>
                              </w:rPr>
                              <w:t>. T</w:t>
                            </w:r>
                            <w:r w:rsidRPr="00E37E34">
                              <w:rPr>
                                <w:sz w:val="22"/>
                                <w:szCs w:val="22"/>
                              </w:rPr>
                              <w:t>hey were opposed to the idea of donors bunching up behind a reduced set of triggers, with higher values attached to each, because this could reduce predictability. The potential variability was presented as an unavoidable risk, not as a challenge to ensure predictability by influencing and closely monitoring results.</w:t>
                            </w:r>
                          </w:p>
                          <w:p w14:paraId="192F1B47" w14:textId="77777777" w:rsidR="00A751F4" w:rsidRPr="009A104F" w:rsidRDefault="00A751F4" w:rsidP="00FC7B45">
                            <w:pPr>
                              <w:pStyle w:val="BodyText"/>
                              <w:numPr>
                                <w:ilvl w:val="0"/>
                                <w:numId w:val="0"/>
                              </w:numPr>
                              <w:spacing w:before="0" w:line="276" w:lineRule="auto"/>
                              <w:ind w:left="357"/>
                              <w:jc w:val="left"/>
                              <w:rPr>
                                <w:rFonts w:ascii="Gill Sans MT" w:hAnsi="Gill Sans MT"/>
                                <w:sz w:val="20"/>
                                <w:lang w:val="en-GB"/>
                              </w:rPr>
                            </w:pPr>
                            <w:r w:rsidRPr="003D2950">
                              <w:rPr>
                                <w:rFonts w:ascii="Gill Sans MT" w:hAnsi="Gill Sans MT"/>
                                <w:sz w:val="20"/>
                                <w:u w:val="single"/>
                                <w:lang w:val="en-GB"/>
                              </w:rPr>
                              <w:t>Source</w:t>
                            </w:r>
                            <w:r>
                              <w:rPr>
                                <w:rFonts w:ascii="Gill Sans MT" w:hAnsi="Gill Sans MT"/>
                                <w:sz w:val="20"/>
                                <w:lang w:val="en-GB"/>
                              </w:rPr>
                              <w:t xml:space="preserve">: </w:t>
                            </w:r>
                            <w:proofErr w:type="spellStart"/>
                            <w:r>
                              <w:rPr>
                                <w:rFonts w:ascii="Gill Sans MT" w:hAnsi="Gill Sans MT"/>
                                <w:sz w:val="20"/>
                                <w:lang w:val="en-GB"/>
                              </w:rPr>
                              <w:t>Orlowski</w:t>
                            </w:r>
                            <w:proofErr w:type="spellEnd"/>
                            <w:r>
                              <w:rPr>
                                <w:rFonts w:ascii="Gill Sans MT" w:hAnsi="Gill Sans MT"/>
                                <w:sz w:val="20"/>
                                <w:lang w:val="en-GB"/>
                              </w:rPr>
                              <w:t>, 2013.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8" o:spid="_x0000_s1028" type="#_x0000_t202" style="position:absolute;margin-left:-26.95pt;margin-top:15.4pt;width:443.25pt;height:653.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" filled="f" strokecolor="#606" strokeweight="1pt">
                <v:path arrowok="t"/>
                <v:textbox style="mso-fit-shape-to-text:t" inset="0,0,0,0">
                  <w:txbxContent>
                    <w:p w14:paraId="72E04F55" w14:textId="77777777" w:rsidR="00A751F4" w:rsidRPr="001B6F42" w:rsidRDefault="00A751F4" w:rsidP="00FC7B45">
                      <w:pPr>
                        <w:jc w:val="center"/>
                        <w:rPr>
                          <w:b/>
                          <w:lang w:val="en-GB"/>
                        </w:rPr>
                      </w:pPr>
                      <w:r w:rsidRPr="001B6F42">
                        <w:rPr>
                          <w:b/>
                          <w:lang w:val="en-GB"/>
                        </w:rPr>
                        <w:t>Have variable tranches had positive incentive effects in Mozambique?</w:t>
                      </w:r>
                    </w:p>
                    <w:p w14:paraId="2250649F" w14:textId="77777777" w:rsidR="00A751F4" w:rsidRPr="005C12C1" w:rsidRDefault="00A751F4" w:rsidP="00FC7B45">
                      <w:pPr>
                        <w:pStyle w:val="Stdtext"/>
                        <w:spacing w:line="276" w:lineRule="auto"/>
                        <w:jc w:val="both"/>
                        <w:rPr>
                          <w:szCs w:val="22"/>
                        </w:rPr>
                      </w:pPr>
                      <w:r w:rsidRPr="005C12C1">
                        <w:rPr>
                          <w:i/>
                          <w:szCs w:val="22"/>
                        </w:rPr>
                        <w:t xml:space="preserve">About two thirds of the variable tranches have been committed and subsequently disbursed in recent years. Does this suggest that incentives have worked? We wanted to know from donor representatives whether </w:t>
                      </w:r>
                      <w:r>
                        <w:rPr>
                          <w:i/>
                          <w:szCs w:val="22"/>
                        </w:rPr>
                        <w:t>and how the variable tranche had</w:t>
                      </w:r>
                      <w:r w:rsidRPr="005C12C1">
                        <w:rPr>
                          <w:i/>
                          <w:szCs w:val="22"/>
                        </w:rPr>
                        <w:t xml:space="preserve"> contributed to this success</w:t>
                      </w:r>
                      <w:r w:rsidRPr="005C12C1">
                        <w:rPr>
                          <w:szCs w:val="22"/>
                        </w:rPr>
                        <w:t xml:space="preserve">. </w:t>
                      </w:r>
                    </w:p>
                    <w:p w14:paraId="0130E97A" w14:textId="77777777" w:rsidR="00A751F4" w:rsidRPr="005C12C1" w:rsidRDefault="00A751F4" w:rsidP="00FC7B45">
                      <w:pPr>
                        <w:pStyle w:val="Stdtext"/>
                        <w:spacing w:line="276" w:lineRule="auto"/>
                        <w:ind w:left="720"/>
                        <w:rPr>
                          <w:szCs w:val="22"/>
                        </w:rPr>
                      </w:pPr>
                      <w:r w:rsidRPr="005C12C1">
                        <w:rPr>
                          <w:b/>
                          <w:szCs w:val="22"/>
                        </w:rPr>
                        <w:t>Surprisingly, no one had a convincing story to offer.</w:t>
                      </w:r>
                      <w:r w:rsidRPr="005C12C1">
                        <w:rPr>
                          <w:szCs w:val="22"/>
                        </w:rPr>
                        <w:t xml:space="preserve"> Rather, as one interviewee put it, a “happy confluence of events” resulted in difficult indicator targets being attained. </w:t>
                      </w:r>
                      <w:r>
                        <w:rPr>
                          <w:szCs w:val="22"/>
                        </w:rPr>
                        <w:t xml:space="preserve"> </w:t>
                      </w:r>
                      <w:r w:rsidRPr="005C12C1">
                        <w:rPr>
                          <w:szCs w:val="22"/>
                        </w:rPr>
                        <w:t xml:space="preserve">One example is the </w:t>
                      </w:r>
                      <w:r>
                        <w:rPr>
                          <w:szCs w:val="22"/>
                        </w:rPr>
                        <w:t>internal revenue</w:t>
                      </w:r>
                      <w:r w:rsidRPr="005C12C1">
                        <w:rPr>
                          <w:szCs w:val="22"/>
                        </w:rPr>
                        <w:t xml:space="preserve"> </w:t>
                      </w:r>
                      <w:r>
                        <w:rPr>
                          <w:szCs w:val="22"/>
                        </w:rPr>
                        <w:t xml:space="preserve">target. Most donors use this indicator as a trigger for </w:t>
                      </w:r>
                      <w:r w:rsidRPr="005C12C1">
                        <w:rPr>
                          <w:szCs w:val="22"/>
                        </w:rPr>
                        <w:t>the va</w:t>
                      </w:r>
                      <w:r>
                        <w:rPr>
                          <w:szCs w:val="22"/>
                        </w:rPr>
                        <w:t xml:space="preserve">riable tranche. Yet, several motives drive </w:t>
                      </w:r>
                      <w:r w:rsidRPr="005C12C1">
                        <w:rPr>
                          <w:szCs w:val="22"/>
                        </w:rPr>
                        <w:t>the revenue collection effort:</w:t>
                      </w:r>
                      <w:r>
                        <w:rPr>
                          <w:szCs w:val="22"/>
                        </w:rPr>
                        <w:t xml:space="preserve"> notably, there is a strong political interest in increasing public spending and reducing </w:t>
                      </w:r>
                      <w:r w:rsidRPr="005C12C1">
                        <w:rPr>
                          <w:szCs w:val="22"/>
                        </w:rPr>
                        <w:t>aid dependence and the target is an essential parameter in the IMF programme. As a</w:t>
                      </w:r>
                      <w:r>
                        <w:rPr>
                          <w:szCs w:val="22"/>
                        </w:rPr>
                        <w:t xml:space="preserve"> result, the </w:t>
                      </w:r>
                      <w:r w:rsidRPr="005C12C1">
                        <w:rPr>
                          <w:szCs w:val="22"/>
                        </w:rPr>
                        <w:t>target is us</w:t>
                      </w:r>
                      <w:r>
                        <w:rPr>
                          <w:szCs w:val="22"/>
                        </w:rPr>
                        <w:t xml:space="preserve">ually met, but </w:t>
                      </w:r>
                      <w:r w:rsidRPr="005C12C1">
                        <w:rPr>
                          <w:szCs w:val="22"/>
                        </w:rPr>
                        <w:t xml:space="preserve">probably </w:t>
                      </w:r>
                      <w:r w:rsidRPr="005C12C1">
                        <w:rPr>
                          <w:szCs w:val="22"/>
                          <w:u w:val="single"/>
                        </w:rPr>
                        <w:t>not</w:t>
                      </w:r>
                      <w:r w:rsidRPr="005C12C1">
                        <w:rPr>
                          <w:szCs w:val="22"/>
                        </w:rPr>
                        <w:t xml:space="preserve"> because of the additional incentive of receiving variable tranches. </w:t>
                      </w:r>
                    </w:p>
                    <w:p w14:paraId="4C79AC42" w14:textId="77777777" w:rsidR="00A751F4" w:rsidRPr="005C12C1" w:rsidRDefault="00A751F4" w:rsidP="00FC7B45">
                      <w:pPr>
                        <w:pStyle w:val="Stdtext"/>
                        <w:spacing w:line="276" w:lineRule="auto"/>
                        <w:ind w:left="720"/>
                        <w:rPr>
                          <w:szCs w:val="22"/>
                        </w:rPr>
                      </w:pPr>
                      <w:r w:rsidRPr="005C12C1">
                        <w:rPr>
                          <w:szCs w:val="22"/>
                        </w:rPr>
                        <w:t>Anti-corruption and procurement triggers appear in most donors’ varia</w:t>
                      </w:r>
                      <w:r>
                        <w:rPr>
                          <w:szCs w:val="22"/>
                        </w:rPr>
                        <w:t xml:space="preserve">ble tranches: progress is </w:t>
                      </w:r>
                      <w:r w:rsidRPr="005C12C1">
                        <w:rPr>
                          <w:szCs w:val="22"/>
                        </w:rPr>
                        <w:t>visible although still below</w:t>
                      </w:r>
                      <w:r>
                        <w:rPr>
                          <w:szCs w:val="22"/>
                        </w:rPr>
                        <w:t xml:space="preserve"> expectations. Was progress </w:t>
                      </w:r>
                      <w:r w:rsidRPr="005C12C1">
                        <w:rPr>
                          <w:szCs w:val="22"/>
                        </w:rPr>
                        <w:t>due to the incentive effect of a variable tranche? In</w:t>
                      </w:r>
                      <w:r>
                        <w:rPr>
                          <w:szCs w:val="22"/>
                        </w:rPr>
                        <w:t>terviewees i</w:t>
                      </w:r>
                      <w:r w:rsidRPr="005C12C1">
                        <w:rPr>
                          <w:szCs w:val="22"/>
                        </w:rPr>
                        <w:t xml:space="preserve">ndicated that progress was made because of the threat that the donor appetite for GBS would fade quickly. Changes were prompted </w:t>
                      </w:r>
                      <w:r>
                        <w:rPr>
                          <w:szCs w:val="22"/>
                        </w:rPr>
                        <w:t xml:space="preserve">by the wider threat, not </w:t>
                      </w:r>
                      <w:r w:rsidRPr="005C12C1">
                        <w:rPr>
                          <w:szCs w:val="22"/>
                        </w:rPr>
                        <w:t xml:space="preserve">by the immediate effect of non-payment of variable tranches. </w:t>
                      </w:r>
                    </w:p>
                    <w:p w14:paraId="72D24FFE" w14:textId="77777777" w:rsidR="00A751F4" w:rsidRPr="005C12C1" w:rsidRDefault="00A751F4" w:rsidP="00FC7B45">
                      <w:pPr>
                        <w:pStyle w:val="Stdtext"/>
                        <w:spacing w:line="276" w:lineRule="auto"/>
                        <w:ind w:left="720"/>
                        <w:rPr>
                          <w:szCs w:val="22"/>
                        </w:rPr>
                      </w:pPr>
                      <w:r>
                        <w:rPr>
                          <w:b/>
                          <w:szCs w:val="22"/>
                        </w:rPr>
                        <w:t xml:space="preserve">There was anecdotal evidence of </w:t>
                      </w:r>
                      <w:r w:rsidRPr="005C12C1">
                        <w:rPr>
                          <w:b/>
                          <w:szCs w:val="22"/>
                        </w:rPr>
                        <w:t>effect</w:t>
                      </w:r>
                      <w:r>
                        <w:rPr>
                          <w:b/>
                          <w:szCs w:val="22"/>
                        </w:rPr>
                        <w:t>s</w:t>
                      </w:r>
                      <w:r w:rsidRPr="005C12C1">
                        <w:rPr>
                          <w:b/>
                          <w:szCs w:val="22"/>
                        </w:rPr>
                        <w:t xml:space="preserve"> on internal decisio</w:t>
                      </w:r>
                      <w:r>
                        <w:rPr>
                          <w:b/>
                          <w:szCs w:val="22"/>
                        </w:rPr>
                        <w:t>n-making processes</w:t>
                      </w:r>
                      <w:r w:rsidRPr="005C12C1">
                        <w:rPr>
                          <w:b/>
                          <w:szCs w:val="22"/>
                        </w:rPr>
                        <w:t>.</w:t>
                      </w:r>
                      <w:r>
                        <w:rPr>
                          <w:szCs w:val="22"/>
                        </w:rPr>
                        <w:t xml:space="preserve"> T</w:t>
                      </w:r>
                      <w:r w:rsidRPr="005C12C1">
                        <w:rPr>
                          <w:szCs w:val="22"/>
                        </w:rPr>
                        <w:t>he Ministry of Plann</w:t>
                      </w:r>
                      <w:r>
                        <w:rPr>
                          <w:szCs w:val="22"/>
                        </w:rPr>
                        <w:t xml:space="preserve">ing called a donor </w:t>
                      </w:r>
                      <w:r w:rsidRPr="005C12C1">
                        <w:rPr>
                          <w:szCs w:val="22"/>
                        </w:rPr>
                        <w:t>in order to clarify the exact definition of the target so that it would not be missed for lack of precision</w:t>
                      </w:r>
                      <w:r>
                        <w:rPr>
                          <w:szCs w:val="22"/>
                        </w:rPr>
                        <w:t xml:space="preserve">.  A </w:t>
                      </w:r>
                      <w:r w:rsidRPr="005C12C1">
                        <w:rPr>
                          <w:szCs w:val="22"/>
                        </w:rPr>
                        <w:t>line ministry was called by the Mi</w:t>
                      </w:r>
                      <w:r>
                        <w:rPr>
                          <w:szCs w:val="22"/>
                        </w:rPr>
                        <w:t xml:space="preserve">nistry of Finance, </w:t>
                      </w:r>
                      <w:r w:rsidRPr="005C12C1">
                        <w:rPr>
                          <w:szCs w:val="22"/>
                        </w:rPr>
                        <w:t xml:space="preserve">to ensure that the sector would meet a target linked to a variable tranche. </w:t>
                      </w:r>
                    </w:p>
                    <w:p w14:paraId="0953BDC9" w14:textId="77777777" w:rsidR="00A751F4" w:rsidRPr="005C12C1" w:rsidRDefault="00A751F4" w:rsidP="00FC7B45">
                      <w:pPr>
                        <w:pStyle w:val="Stdtext"/>
                        <w:spacing w:line="276" w:lineRule="auto"/>
                        <w:ind w:left="720"/>
                        <w:rPr>
                          <w:szCs w:val="22"/>
                        </w:rPr>
                      </w:pPr>
                      <w:r w:rsidRPr="005C12C1">
                        <w:rPr>
                          <w:szCs w:val="22"/>
                        </w:rPr>
                        <w:t>We had expected the existence of an internal version of the PAF indicator table with amounts show</w:t>
                      </w:r>
                      <w:r>
                        <w:rPr>
                          <w:szCs w:val="22"/>
                        </w:rPr>
                        <w:t>n in the line of each indicator:</w:t>
                      </w:r>
                      <w:r w:rsidRPr="005C12C1">
                        <w:rPr>
                          <w:szCs w:val="22"/>
                        </w:rPr>
                        <w:t xml:space="preserve"> it does not appear to exist. The PAF table is apparently monitored regularly by the Council of Ministers, and indicators linked to variable tranches are shaded; but the table does not show disbursement amounts. </w:t>
                      </w:r>
                    </w:p>
                    <w:p w14:paraId="6CA47AE5" w14:textId="77777777" w:rsidR="00A751F4" w:rsidRPr="005C12C1" w:rsidRDefault="00A751F4" w:rsidP="00FC7B45">
                      <w:pPr>
                        <w:pStyle w:val="Stdtext"/>
                        <w:spacing w:line="276" w:lineRule="auto"/>
                        <w:ind w:left="720"/>
                        <w:rPr>
                          <w:szCs w:val="22"/>
                        </w:rPr>
                      </w:pPr>
                      <w:r w:rsidRPr="005C12C1">
                        <w:rPr>
                          <w:szCs w:val="22"/>
                        </w:rPr>
                        <w:t>We had also expected reports about the possible impact of incentiv</w:t>
                      </w:r>
                      <w:r>
                        <w:rPr>
                          <w:szCs w:val="22"/>
                        </w:rPr>
                        <w:t xml:space="preserve">es on decision-making </w:t>
                      </w:r>
                      <w:r w:rsidRPr="005C12C1">
                        <w:rPr>
                          <w:szCs w:val="22"/>
                        </w:rPr>
                        <w:t xml:space="preserve">within sectors and were interested in whether variable tranches have in fact strengthened the position of reform champions. No one had a story of this sort to tell. </w:t>
                      </w:r>
                    </w:p>
                    <w:p w14:paraId="7D0B89D7" w14:textId="77777777" w:rsidR="00A751F4" w:rsidRPr="005C12C1" w:rsidRDefault="00A751F4" w:rsidP="00FC7B45">
                      <w:pPr>
                        <w:pStyle w:val="Stdtext"/>
                        <w:spacing w:line="276" w:lineRule="auto"/>
                        <w:ind w:left="720"/>
                        <w:rPr>
                          <w:szCs w:val="22"/>
                        </w:rPr>
                      </w:pPr>
                      <w:r w:rsidRPr="005C12C1">
                        <w:rPr>
                          <w:b/>
                          <w:szCs w:val="22"/>
                        </w:rPr>
                        <w:t>Officials of the Ministries of Finance and of Planning stated that indicators to which variable tranches are attached do not receive higher attention than others</w:t>
                      </w:r>
                      <w:r>
                        <w:rPr>
                          <w:szCs w:val="22"/>
                        </w:rPr>
                        <w:t xml:space="preserve">. The </w:t>
                      </w:r>
                      <w:r w:rsidRPr="005C12C1">
                        <w:rPr>
                          <w:szCs w:val="22"/>
                        </w:rPr>
                        <w:t xml:space="preserve">government has defined its policies and uses a set of indicators to monitor their implementation. Giving special attention to areas where financial rewards can be attained would degrade others to second-class indicators, and should therefore be avoided. </w:t>
                      </w:r>
                    </w:p>
                    <w:p w14:paraId="3EB3F79D" w14:textId="77777777" w:rsidR="00A751F4" w:rsidRPr="00E37E34" w:rsidRDefault="00A751F4" w:rsidP="00FC7B45">
                      <w:pPr>
                        <w:pStyle w:val="BodyText"/>
                        <w:numPr>
                          <w:ilvl w:val="0"/>
                          <w:numId w:val="0"/>
                        </w:numPr>
                        <w:spacing w:line="276" w:lineRule="auto"/>
                        <w:ind w:left="720"/>
                        <w:jc w:val="left"/>
                        <w:rPr>
                          <w:rFonts w:ascii="Gill Sans MT" w:hAnsi="Gill Sans MT"/>
                          <w:b/>
                          <w:sz w:val="22"/>
                          <w:szCs w:val="22"/>
                          <w:lang w:val="en-GB"/>
                        </w:rPr>
                      </w:pPr>
                      <w:r w:rsidRPr="00E37E34">
                        <w:rPr>
                          <w:b/>
                          <w:sz w:val="22"/>
                          <w:szCs w:val="22"/>
                        </w:rPr>
                        <w:t>Officials accept that donors have variable tranches essentially for domestic reasons, and see this as an element of risk</w:t>
                      </w:r>
                      <w:r>
                        <w:rPr>
                          <w:sz w:val="22"/>
                          <w:szCs w:val="22"/>
                        </w:rPr>
                        <w:t>. T</w:t>
                      </w:r>
                      <w:r w:rsidRPr="00E37E34">
                        <w:rPr>
                          <w:sz w:val="22"/>
                          <w:szCs w:val="22"/>
                        </w:rPr>
                        <w:t>hey were opposed to the idea of donors bunching up behind a reduced set of triggers, with higher values attached to each, because this could reduce predictability. The potential variability was presented as an unavoidable risk, not as a challenge to ensure predictability by influencing and closely monitoring results.</w:t>
                      </w:r>
                    </w:p>
                    <w:p w14:paraId="192F1B47" w14:textId="77777777" w:rsidR="00A751F4" w:rsidRPr="009A104F" w:rsidRDefault="00A751F4" w:rsidP="00FC7B45">
                      <w:pPr>
                        <w:pStyle w:val="BodyText"/>
                        <w:numPr>
                          <w:ilvl w:val="0"/>
                          <w:numId w:val="0"/>
                        </w:numPr>
                        <w:spacing w:before="0" w:line="276" w:lineRule="auto"/>
                        <w:ind w:left="357"/>
                        <w:jc w:val="left"/>
                        <w:rPr>
                          <w:rFonts w:ascii="Gill Sans MT" w:hAnsi="Gill Sans MT"/>
                          <w:sz w:val="20"/>
                          <w:lang w:val="en-GB"/>
                        </w:rPr>
                      </w:pPr>
                      <w:r w:rsidRPr="003D2950">
                        <w:rPr>
                          <w:rFonts w:ascii="Gill Sans MT" w:hAnsi="Gill Sans MT"/>
                          <w:sz w:val="20"/>
                          <w:u w:val="single"/>
                          <w:lang w:val="en-GB"/>
                        </w:rPr>
                        <w:t>Source</w:t>
                      </w:r>
                      <w:r>
                        <w:rPr>
                          <w:rFonts w:ascii="Gill Sans MT" w:hAnsi="Gill Sans MT"/>
                          <w:sz w:val="20"/>
                          <w:lang w:val="en-GB"/>
                        </w:rPr>
                        <w:t xml:space="preserve">: </w:t>
                      </w:r>
                      <w:proofErr w:type="spellStart"/>
                      <w:r>
                        <w:rPr>
                          <w:rFonts w:ascii="Gill Sans MT" w:hAnsi="Gill Sans MT"/>
                          <w:sz w:val="20"/>
                          <w:lang w:val="en-GB"/>
                        </w:rPr>
                        <w:t>Orlowski</w:t>
                      </w:r>
                      <w:proofErr w:type="spellEnd"/>
                      <w:r>
                        <w:rPr>
                          <w:rFonts w:ascii="Gill Sans MT" w:hAnsi="Gill Sans MT"/>
                          <w:sz w:val="20"/>
                          <w:lang w:val="en-GB"/>
                        </w:rPr>
                        <w:t>, 2013.</w:t>
                      </w:r>
                    </w:p>
                  </w:txbxContent>
                </v:textbox>
                <w10:wrap type="through"/>
              </v:shape>
            </w:pict>
          </mc:Fallback>
        </mc:AlternateContent>
      </w:r>
    </w:p>
    <w:p w14:paraId="51817D3C" w14:textId="77777777" w:rsidR="00FC7B45" w:rsidRPr="00053F7E" w:rsidRDefault="001A70A3" w:rsidP="00FC7B45">
      <w:pPr>
        <w:pStyle w:val="BodyText"/>
        <w:widowControl w:val="0"/>
        <w:numPr>
          <w:ilvl w:val="0"/>
          <w:numId w:val="0"/>
        </w:numPr>
        <w:adjustRightInd w:val="0"/>
        <w:spacing w:line="360" w:lineRule="auto"/>
        <w:ind w:left="360"/>
        <w:textAlignment w:val="baseline"/>
        <w:rPr>
          <w:rFonts w:ascii="Gill Sans MT" w:hAnsi="Gill Sans MT"/>
          <w:sz w:val="20"/>
          <w:lang w:val="en-GB"/>
        </w:rPr>
      </w:pPr>
      <w:r>
        <w:rPr>
          <w:rFonts w:ascii="Gill Sans MT" w:hAnsi="Gill Sans MT"/>
          <w:sz w:val="20"/>
          <w:lang w:val="en-GB"/>
        </w:rPr>
        <w:lastRenderedPageBreak/>
        <w:t>W</w:t>
      </w:r>
      <w:r w:rsidR="00FC7B45">
        <w:rPr>
          <w:rFonts w:ascii="Gill Sans MT" w:hAnsi="Gill Sans MT"/>
          <w:sz w:val="20"/>
          <w:lang w:val="en-GB"/>
        </w:rPr>
        <w:t xml:space="preserve">here Government has failed to meet targets linked to variable tranches, there is no clear evidence that this has been due to a lack of political will or administrative effort. Experience with the </w:t>
      </w:r>
      <w:r w:rsidR="00FC7B45" w:rsidRPr="001B6F42">
        <w:rPr>
          <w:rFonts w:ascii="Gill Sans MT" w:hAnsi="Gill Sans MT"/>
          <w:sz w:val="20"/>
          <w:lang w:val="en-GB"/>
        </w:rPr>
        <w:t>EU</w:t>
      </w:r>
      <w:r w:rsidR="00FC7B45">
        <w:rPr>
          <w:rFonts w:ascii="Gill Sans MT" w:hAnsi="Gill Sans MT"/>
          <w:sz w:val="20"/>
          <w:lang w:val="en-GB"/>
        </w:rPr>
        <w:t xml:space="preserve">’s </w:t>
      </w:r>
      <w:r w:rsidR="00FC7B45" w:rsidRPr="001B6F42">
        <w:rPr>
          <w:rFonts w:ascii="Gill Sans MT" w:hAnsi="Gill Sans MT"/>
          <w:sz w:val="20"/>
          <w:lang w:val="en-GB"/>
        </w:rPr>
        <w:t>mechanism for determining the M</w:t>
      </w:r>
      <w:r w:rsidR="00FC7B45">
        <w:rPr>
          <w:rFonts w:ascii="Gill Sans MT" w:hAnsi="Gill Sans MT"/>
          <w:sz w:val="20"/>
          <w:lang w:val="en-GB"/>
        </w:rPr>
        <w:t xml:space="preserve">illennium </w:t>
      </w:r>
      <w:r w:rsidR="00FC7B45" w:rsidRPr="001B6F42">
        <w:rPr>
          <w:rFonts w:ascii="Gill Sans MT" w:hAnsi="Gill Sans MT"/>
          <w:sz w:val="20"/>
          <w:lang w:val="en-GB"/>
        </w:rPr>
        <w:t>D</w:t>
      </w:r>
      <w:r w:rsidR="00FC7B45">
        <w:rPr>
          <w:rFonts w:ascii="Gill Sans MT" w:hAnsi="Gill Sans MT"/>
          <w:sz w:val="20"/>
          <w:lang w:val="en-GB"/>
        </w:rPr>
        <w:t xml:space="preserve">evelopment </w:t>
      </w:r>
      <w:r w:rsidR="00FC7B45" w:rsidRPr="001B6F42">
        <w:rPr>
          <w:rFonts w:ascii="Gill Sans MT" w:hAnsi="Gill Sans MT"/>
          <w:sz w:val="20"/>
          <w:lang w:val="en-GB"/>
        </w:rPr>
        <w:t>G</w:t>
      </w:r>
      <w:r w:rsidR="00FC7B45">
        <w:rPr>
          <w:rFonts w:ascii="Gill Sans MT" w:hAnsi="Gill Sans MT"/>
          <w:sz w:val="20"/>
          <w:lang w:val="en-GB"/>
        </w:rPr>
        <w:t>rant</w:t>
      </w:r>
      <w:r w:rsidR="00FC7B45" w:rsidRPr="001B6F42">
        <w:rPr>
          <w:rFonts w:ascii="Gill Sans MT" w:hAnsi="Gill Sans MT"/>
          <w:sz w:val="20"/>
          <w:lang w:val="en-GB"/>
        </w:rPr>
        <w:t xml:space="preserve"> tranche is instructive</w:t>
      </w:r>
      <w:r w:rsidR="00FC7B45">
        <w:rPr>
          <w:rFonts w:ascii="Gill Sans MT" w:hAnsi="Gill Sans MT"/>
          <w:sz w:val="20"/>
          <w:lang w:val="en-GB"/>
        </w:rPr>
        <w:t xml:space="preserve"> in this respect</w:t>
      </w:r>
      <w:r w:rsidR="00FC7B45" w:rsidRPr="001B6F42">
        <w:rPr>
          <w:rFonts w:ascii="Gill Sans MT" w:hAnsi="Gill Sans MT"/>
          <w:sz w:val="20"/>
          <w:lang w:val="en-GB"/>
        </w:rPr>
        <w:t xml:space="preserve">. </w:t>
      </w:r>
      <w:r w:rsidR="00FC7B45">
        <w:rPr>
          <w:rFonts w:ascii="Gill Sans MT" w:hAnsi="Gill Sans MT"/>
          <w:sz w:val="20"/>
          <w:lang w:val="en-GB"/>
        </w:rPr>
        <w:t xml:space="preserve">Under this </w:t>
      </w:r>
      <w:r w:rsidR="00FC7B45" w:rsidRPr="00903DBF">
        <w:rPr>
          <w:rFonts w:ascii="Gill Sans MT" w:hAnsi="Gill Sans MT"/>
          <w:sz w:val="20"/>
          <w:lang w:val="en-GB"/>
        </w:rPr>
        <w:t xml:space="preserve">mechanism, </w:t>
      </w:r>
      <w:r w:rsidR="00FC7B45" w:rsidRPr="001B6F42">
        <w:rPr>
          <w:rFonts w:ascii="Gill Sans MT" w:hAnsi="Gill Sans MT"/>
          <w:sz w:val="20"/>
          <w:lang w:val="en-GB"/>
        </w:rPr>
        <w:t xml:space="preserve">performance against </w:t>
      </w:r>
      <w:r w:rsidR="00FC7B45">
        <w:rPr>
          <w:rFonts w:ascii="Gill Sans MT" w:hAnsi="Gill Sans MT"/>
          <w:sz w:val="20"/>
          <w:lang w:val="en-GB"/>
        </w:rPr>
        <w:t xml:space="preserve">social sector outcome indicators over </w:t>
      </w:r>
      <w:r w:rsidR="00FC7B45" w:rsidRPr="00903DBF">
        <w:rPr>
          <w:rFonts w:ascii="Gill Sans MT" w:hAnsi="Gill Sans MT"/>
          <w:sz w:val="20"/>
          <w:lang w:val="en-GB"/>
        </w:rPr>
        <w:t>2008–2010 determined</w:t>
      </w:r>
      <w:r w:rsidR="00FC7B45" w:rsidRPr="001B6F42">
        <w:rPr>
          <w:rFonts w:ascii="Gill Sans MT" w:hAnsi="Gill Sans MT"/>
          <w:sz w:val="20"/>
          <w:lang w:val="en-GB"/>
        </w:rPr>
        <w:t xml:space="preserve"> disbursements for the years 2012–2014. The amount at stake (€15 million per year, €45 million in total) was significant. The number of indicators (six) was limited, </w:t>
      </w:r>
      <w:r w:rsidR="00FC7B45" w:rsidRPr="00C21FC2">
        <w:rPr>
          <w:rFonts w:ascii="Gill Sans MT" w:hAnsi="Gill Sans MT"/>
          <w:sz w:val="20"/>
          <w:lang w:val="en-GB"/>
        </w:rPr>
        <w:t>t</w:t>
      </w:r>
      <w:r w:rsidR="00FC7B45" w:rsidRPr="001B6F42">
        <w:rPr>
          <w:rFonts w:ascii="Gill Sans MT" w:hAnsi="Gill Sans MT"/>
          <w:sz w:val="20"/>
          <w:lang w:val="en-GB"/>
        </w:rPr>
        <w:t>he mechanism was clearly defined, and announced well in advance. The targ</w:t>
      </w:r>
      <w:r w:rsidR="00FC7B45">
        <w:rPr>
          <w:rFonts w:ascii="Gill Sans MT" w:hAnsi="Gill Sans MT"/>
          <w:sz w:val="20"/>
          <w:lang w:val="en-GB"/>
        </w:rPr>
        <w:t xml:space="preserve">ets </w:t>
      </w:r>
      <w:r w:rsidR="00FC7B45" w:rsidRPr="00903DBF">
        <w:rPr>
          <w:rFonts w:ascii="Gill Sans MT" w:hAnsi="Gill Sans MT"/>
          <w:sz w:val="20"/>
          <w:lang w:val="en-GB"/>
        </w:rPr>
        <w:t>were drawn directly from sectoral a</w:t>
      </w:r>
      <w:r w:rsidR="00FC7B45">
        <w:rPr>
          <w:rFonts w:ascii="Gill Sans MT" w:hAnsi="Gill Sans MT"/>
          <w:sz w:val="20"/>
          <w:lang w:val="en-GB"/>
        </w:rPr>
        <w:t>n</w:t>
      </w:r>
      <w:r w:rsidR="00FC7B45" w:rsidRPr="00903DBF">
        <w:rPr>
          <w:rFonts w:ascii="Gill Sans MT" w:hAnsi="Gill Sans MT"/>
          <w:sz w:val="20"/>
          <w:lang w:val="en-GB"/>
        </w:rPr>
        <w:t xml:space="preserve">d national plans and they were </w:t>
      </w:r>
      <w:r w:rsidR="00FC7B45" w:rsidRPr="001B6F42">
        <w:rPr>
          <w:rFonts w:ascii="Gill Sans MT" w:hAnsi="Gill Sans MT"/>
          <w:sz w:val="20"/>
          <w:lang w:val="en-GB"/>
        </w:rPr>
        <w:t>neither controversial nor politically difficult. Yet, the assessment i</w:t>
      </w:r>
      <w:r w:rsidR="00FC7B45">
        <w:rPr>
          <w:rFonts w:ascii="Gill Sans MT" w:hAnsi="Gill Sans MT"/>
          <w:sz w:val="20"/>
          <w:lang w:val="en-GB"/>
        </w:rPr>
        <w:t>n 2011 was mixed: p</w:t>
      </w:r>
      <w:r w:rsidR="00FC7B45" w:rsidRPr="001B6F42">
        <w:rPr>
          <w:rFonts w:ascii="Gill Sans MT" w:hAnsi="Gill Sans MT"/>
          <w:sz w:val="20"/>
          <w:lang w:val="en-GB"/>
        </w:rPr>
        <w:t>erformance, as measured by the degree of achievement of targets declined over the years</w:t>
      </w:r>
      <w:r w:rsidR="00FC7B45">
        <w:rPr>
          <w:rFonts w:ascii="Gill Sans MT" w:hAnsi="Gill Sans MT"/>
          <w:sz w:val="20"/>
          <w:lang w:val="en-GB"/>
        </w:rPr>
        <w:t xml:space="preserve"> </w:t>
      </w:r>
      <w:r w:rsidR="00FC7B45" w:rsidRPr="00A65A90">
        <w:rPr>
          <w:rFonts w:ascii="Gill Sans MT" w:hAnsi="Gill Sans MT"/>
          <w:sz w:val="20"/>
          <w:lang w:val="en-GB"/>
        </w:rPr>
        <w:t>and</w:t>
      </w:r>
      <w:r w:rsidR="00FC7B45">
        <w:rPr>
          <w:rFonts w:ascii="Gill Sans MT" w:hAnsi="Gill Sans MT"/>
          <w:sz w:val="20"/>
          <w:lang w:val="en-GB"/>
        </w:rPr>
        <w:t>, as a result,</w:t>
      </w:r>
      <w:r w:rsidR="00FC7B45" w:rsidRPr="00A65A90">
        <w:rPr>
          <w:rFonts w:ascii="Gill Sans MT" w:hAnsi="Gill Sans MT"/>
          <w:sz w:val="20"/>
          <w:lang w:val="en-GB"/>
        </w:rPr>
        <w:t xml:space="preserve"> </w:t>
      </w:r>
      <w:r w:rsidR="00FC7B45" w:rsidRPr="001B6F42">
        <w:rPr>
          <w:rFonts w:ascii="Gill Sans MT" w:hAnsi="Gill Sans MT"/>
          <w:sz w:val="20"/>
          <w:lang w:val="en-GB"/>
        </w:rPr>
        <w:t xml:space="preserve">Mozambique lost an annual €6.6 million of potential budget support in each of the years 2012 – 2014. </w:t>
      </w:r>
    </w:p>
    <w:p w14:paraId="6FAE395E" w14:textId="77777777" w:rsidR="00FC7B45" w:rsidRPr="008C51D1" w:rsidRDefault="00FC7B45" w:rsidP="00FC7B45">
      <w:pPr>
        <w:pStyle w:val="Caption"/>
        <w:rPr>
          <w:lang w:val="en-GB"/>
        </w:rPr>
      </w:pPr>
      <w:bookmarkStart w:id="112" w:name="_Toc263270877"/>
      <w:bookmarkStart w:id="113" w:name="_Toc279848306"/>
      <w:r w:rsidRPr="008C51D1">
        <w:rPr>
          <w:lang w:val="en-GB"/>
        </w:rPr>
        <w:t xml:space="preserve">Figure </w:t>
      </w:r>
      <w:r>
        <w:fldChar w:fldCharType="begin"/>
      </w:r>
      <w:r w:rsidRPr="008C51D1">
        <w:rPr>
          <w:lang w:val="en-GB"/>
        </w:rPr>
        <w:instrText xml:space="preserve"> SEQ Figure \* ARABIC </w:instrText>
      </w:r>
      <w:r>
        <w:fldChar w:fldCharType="separate"/>
      </w:r>
      <w:r w:rsidR="00967582" w:rsidRPr="008C51D1">
        <w:rPr>
          <w:noProof/>
          <w:lang w:val="en-GB"/>
        </w:rPr>
        <w:t>3</w:t>
      </w:r>
      <w:r>
        <w:fldChar w:fldCharType="end"/>
      </w:r>
      <w:r w:rsidRPr="008C51D1">
        <w:rPr>
          <w:lang w:val="en-GB"/>
        </w:rPr>
        <w:t xml:space="preserve">: </w:t>
      </w:r>
      <w:proofErr w:type="spellStart"/>
      <w:r w:rsidRPr="008C51D1">
        <w:rPr>
          <w:lang w:val="en-GB"/>
        </w:rPr>
        <w:t>Mozambique</w:t>
      </w:r>
      <w:proofErr w:type="gramStart"/>
      <w:r w:rsidRPr="008C51D1">
        <w:rPr>
          <w:lang w:val="en-GB"/>
        </w:rPr>
        <w:t>:</w:t>
      </w:r>
      <w:r w:rsidRPr="001B6F42">
        <w:rPr>
          <w:lang w:val="en-GB"/>
        </w:rPr>
        <w:t>Assessment</w:t>
      </w:r>
      <w:proofErr w:type="spellEnd"/>
      <w:proofErr w:type="gramEnd"/>
      <w:r w:rsidRPr="001B6F42">
        <w:rPr>
          <w:lang w:val="en-GB"/>
        </w:rPr>
        <w:t xml:space="preserve"> of Performance to determine EU MDG tranche for 2012-2014</w:t>
      </w:r>
      <w:bookmarkEnd w:id="112"/>
      <w:bookmarkEnd w:id="113"/>
      <w:r w:rsidRPr="001B6F42">
        <w:rPr>
          <w:lang w:val="en-GB"/>
        </w:rPr>
        <w:t xml:space="preserve"> </w:t>
      </w:r>
    </w:p>
    <w:p w14:paraId="09DBAB6F" w14:textId="77777777" w:rsidR="00FC7B45" w:rsidRDefault="00FC7B45" w:rsidP="00FC7B45">
      <w:pPr>
        <w:pStyle w:val="Stdtext"/>
      </w:pPr>
      <w:r>
        <w:rPr>
          <w:noProof/>
          <w:lang w:val="en-US"/>
        </w:rPr>
        <w:drawing>
          <wp:inline distT="0" distB="0" distL="0" distR="0" wp14:anchorId="26C5E1FA" wp14:editId="107B04BF">
            <wp:extent cx="5145763" cy="3422015"/>
            <wp:effectExtent l="0" t="0" r="10795" b="6985"/>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45763" cy="3422015"/>
                    </a:xfrm>
                    <a:prstGeom prst="rect">
                      <a:avLst/>
                    </a:prstGeom>
                    <a:noFill/>
                    <a:ln>
                      <a:noFill/>
                    </a:ln>
                  </pic:spPr>
                </pic:pic>
              </a:graphicData>
            </a:graphic>
          </wp:inline>
        </w:drawing>
      </w:r>
    </w:p>
    <w:p w14:paraId="4B4C8489" w14:textId="77777777" w:rsidR="00FC7B45" w:rsidRDefault="00FC7B45" w:rsidP="00FC7B45">
      <w:pPr>
        <w:pStyle w:val="Tabfoot"/>
        <w:rPr>
          <w:rFonts w:ascii="Gill Sans MT" w:hAnsi="Gill Sans MT"/>
        </w:rPr>
      </w:pPr>
      <w:r w:rsidRPr="001B6F42">
        <w:rPr>
          <w:rFonts w:ascii="Gill Sans MT" w:hAnsi="Gill Sans MT"/>
          <w:u w:val="single"/>
        </w:rPr>
        <w:t>Source:</w:t>
      </w:r>
      <w:r w:rsidRPr="001B6F42">
        <w:rPr>
          <w:rFonts w:ascii="Gill Sans MT" w:hAnsi="Gill Sans MT"/>
        </w:rPr>
        <w:t xml:space="preserve"> Presenta</w:t>
      </w:r>
      <w:r w:rsidRPr="00903DBF">
        <w:rPr>
          <w:rFonts w:ascii="Gill Sans MT" w:hAnsi="Gill Sans MT"/>
        </w:rPr>
        <w:t xml:space="preserve">tion by the EU on 02 June 2011, as quoted in </w:t>
      </w:r>
      <w:proofErr w:type="spellStart"/>
      <w:r w:rsidRPr="00903DBF">
        <w:rPr>
          <w:rFonts w:ascii="Gill Sans MT" w:hAnsi="Gill Sans MT"/>
        </w:rPr>
        <w:t>Or</w:t>
      </w:r>
      <w:r w:rsidRPr="00C21FC2">
        <w:rPr>
          <w:rFonts w:ascii="Gill Sans MT" w:hAnsi="Gill Sans MT"/>
        </w:rPr>
        <w:t>lowski</w:t>
      </w:r>
      <w:proofErr w:type="spellEnd"/>
      <w:r w:rsidRPr="00C21FC2">
        <w:rPr>
          <w:rFonts w:ascii="Gill Sans MT" w:hAnsi="Gill Sans MT"/>
        </w:rPr>
        <w:t>, 2013</w:t>
      </w:r>
    </w:p>
    <w:p w14:paraId="518552FC" w14:textId="77777777" w:rsidR="00FC7B45" w:rsidRPr="001B6F42" w:rsidRDefault="00FC7B45" w:rsidP="00FC7B45">
      <w:pPr>
        <w:pStyle w:val="Tabfoot"/>
        <w:rPr>
          <w:rFonts w:ascii="Gill Sans MT" w:hAnsi="Gill Sans MT"/>
        </w:rPr>
      </w:pPr>
    </w:p>
    <w:p w14:paraId="02CD77E0" w14:textId="77777777" w:rsidR="00FC7B45" w:rsidRDefault="00FC7B45" w:rsidP="00FC7B45">
      <w:pPr>
        <w:pStyle w:val="BodyText"/>
        <w:widowControl w:val="0"/>
        <w:numPr>
          <w:ilvl w:val="0"/>
          <w:numId w:val="0"/>
        </w:numPr>
        <w:adjustRightInd w:val="0"/>
        <w:spacing w:line="360" w:lineRule="auto"/>
        <w:ind w:left="360"/>
        <w:textAlignment w:val="baseline"/>
        <w:rPr>
          <w:rFonts w:ascii="Gill Sans MT" w:hAnsi="Gill Sans MT"/>
          <w:sz w:val="20"/>
        </w:rPr>
      </w:pPr>
      <w:r>
        <w:rPr>
          <w:rFonts w:ascii="Gill Sans MT" w:hAnsi="Gill Sans MT"/>
          <w:sz w:val="20"/>
          <w:lang w:val="en-GB"/>
        </w:rPr>
        <w:t xml:space="preserve">Yet a closer examination of the targets reveals a set of relatively complex policy problems. For example, there are a variety of reasons – social, economic and cultural - why both matriculation and completion rates for girls tend to be low in Mozambique. Designing specific public policy interventions to address this problem requires a detailed understanding of its causes and of how those causes may vary between rural and urban areas and by locality.  Dedicating resources to research and to pilot testing of potential policy responses might thus have proven more helpful than the provision of a variable tranche incentive mechanism. This is especially probable in the light of the known weaknesses in the policy research and development process within Mozambique: to expect this process to generate new and more effective policy solutions simply </w:t>
      </w:r>
      <w:r>
        <w:rPr>
          <w:rFonts w:ascii="Gill Sans MT" w:hAnsi="Gill Sans MT"/>
          <w:sz w:val="20"/>
          <w:lang w:val="en-GB"/>
        </w:rPr>
        <w:lastRenderedPageBreak/>
        <w:t xml:space="preserve">as a result of a variable tranche incentive seems somewhat unrealistic. </w:t>
      </w:r>
    </w:p>
    <w:p w14:paraId="1F7C7630" w14:textId="77777777" w:rsidR="00FC7B45" w:rsidRDefault="00FC7B45" w:rsidP="00FC7B45">
      <w:pPr>
        <w:pStyle w:val="BodyText"/>
        <w:widowControl w:val="0"/>
        <w:numPr>
          <w:ilvl w:val="0"/>
          <w:numId w:val="0"/>
        </w:numPr>
        <w:adjustRightInd w:val="0"/>
        <w:spacing w:line="360" w:lineRule="auto"/>
        <w:ind w:left="360"/>
        <w:textAlignment w:val="baseline"/>
        <w:rPr>
          <w:rFonts w:ascii="Gill Sans MT" w:hAnsi="Gill Sans MT"/>
          <w:sz w:val="20"/>
          <w:lang w:val="en-GB"/>
        </w:rPr>
      </w:pPr>
      <w:r>
        <w:rPr>
          <w:rFonts w:ascii="Gill Sans MT" w:hAnsi="Gill Sans MT"/>
          <w:sz w:val="20"/>
          <w:lang w:val="en-GB"/>
        </w:rPr>
        <w:t>The increased use of variable tranches in Mozambique has been primarily driven by policy requirements from DP headquarters to show a closer link between Budget support disbursements and the achievement of results. In addition, the selection of indicators seems to reflect concerns over corruption and governance. O</w:t>
      </w:r>
      <w:r w:rsidRPr="007A4D4A">
        <w:rPr>
          <w:rFonts w:ascii="Gill Sans MT" w:hAnsi="Gill Sans MT"/>
          <w:sz w:val="20"/>
          <w:lang w:val="en-GB"/>
        </w:rPr>
        <w:t>nly the EU still attaches variable tranches to service delivery</w:t>
      </w:r>
      <w:r w:rsidRPr="00C83846">
        <w:rPr>
          <w:rFonts w:ascii="Gill Sans MT" w:hAnsi="Gill Sans MT"/>
          <w:sz w:val="20"/>
          <w:lang w:val="en-GB"/>
        </w:rPr>
        <w:t>, in health and education</w:t>
      </w:r>
      <w:r>
        <w:rPr>
          <w:rFonts w:ascii="Gill Sans MT" w:hAnsi="Gill Sans MT"/>
          <w:sz w:val="20"/>
          <w:lang w:val="en-GB"/>
        </w:rPr>
        <w:t>: a</w:t>
      </w:r>
      <w:r w:rsidRPr="007A4D4A">
        <w:rPr>
          <w:rFonts w:ascii="Gill Sans MT" w:hAnsi="Gill Sans MT"/>
          <w:sz w:val="20"/>
          <w:lang w:val="en-GB"/>
        </w:rPr>
        <w:t>ttention ha</w:t>
      </w:r>
      <w:r w:rsidRPr="0043307E">
        <w:rPr>
          <w:rFonts w:ascii="Gill Sans MT" w:hAnsi="Gill Sans MT"/>
          <w:sz w:val="20"/>
          <w:lang w:val="en-GB"/>
        </w:rPr>
        <w:t xml:space="preserve">s shifted to governance issues: in particular, </w:t>
      </w:r>
      <w:r>
        <w:rPr>
          <w:rFonts w:ascii="Gill Sans MT" w:hAnsi="Gill Sans MT"/>
          <w:sz w:val="20"/>
          <w:lang w:val="en-GB"/>
        </w:rPr>
        <w:t xml:space="preserve">to </w:t>
      </w:r>
      <w:r w:rsidRPr="0043307E">
        <w:rPr>
          <w:rFonts w:ascii="Gill Sans MT" w:hAnsi="Gill Sans MT"/>
          <w:sz w:val="20"/>
          <w:lang w:val="en-GB"/>
        </w:rPr>
        <w:t>i</w:t>
      </w:r>
      <w:r w:rsidRPr="007A4D4A">
        <w:rPr>
          <w:rFonts w:ascii="Gill Sans MT" w:hAnsi="Gill Sans MT"/>
          <w:sz w:val="20"/>
          <w:lang w:val="en-GB"/>
        </w:rPr>
        <w:t>ndicators in the areas of anti-corruption, transparency in natural resource management, proc</w:t>
      </w:r>
      <w:r>
        <w:rPr>
          <w:rFonts w:ascii="Gill Sans MT" w:hAnsi="Gill Sans MT"/>
          <w:sz w:val="20"/>
          <w:lang w:val="en-GB"/>
        </w:rPr>
        <w:t xml:space="preserve">urement, external </w:t>
      </w:r>
      <w:r w:rsidRPr="007A4D4A">
        <w:rPr>
          <w:rFonts w:ascii="Gill Sans MT" w:hAnsi="Gill Sans MT"/>
          <w:sz w:val="20"/>
          <w:lang w:val="en-GB"/>
        </w:rPr>
        <w:t>audit and internal controls</w:t>
      </w:r>
      <w:r w:rsidRPr="00C83846">
        <w:rPr>
          <w:rFonts w:ascii="Gill Sans MT" w:hAnsi="Gill Sans MT"/>
          <w:sz w:val="20"/>
          <w:lang w:val="en-GB"/>
        </w:rPr>
        <w:t>.</w:t>
      </w:r>
    </w:p>
    <w:p w14:paraId="04CED08E" w14:textId="77777777" w:rsidR="00FC7B45" w:rsidRDefault="00FC7B45" w:rsidP="00FC7B45">
      <w:pPr>
        <w:pStyle w:val="BodyText"/>
        <w:widowControl w:val="0"/>
        <w:numPr>
          <w:ilvl w:val="0"/>
          <w:numId w:val="0"/>
        </w:numPr>
        <w:adjustRightInd w:val="0"/>
        <w:spacing w:line="360" w:lineRule="auto"/>
        <w:ind w:left="360"/>
        <w:textAlignment w:val="baseline"/>
        <w:rPr>
          <w:rFonts w:ascii="Gill Sans MT" w:hAnsi="Gill Sans MT"/>
          <w:sz w:val="20"/>
          <w:lang w:val="en-GB"/>
        </w:rPr>
      </w:pPr>
      <w:r>
        <w:rPr>
          <w:rFonts w:ascii="Gill Sans MT" w:hAnsi="Gill Sans MT"/>
          <w:b/>
          <w:sz w:val="20"/>
          <w:lang w:val="en-GB"/>
        </w:rPr>
        <w:t>T</w:t>
      </w:r>
      <w:r w:rsidRPr="00283A7B">
        <w:rPr>
          <w:rFonts w:ascii="Gill Sans MT" w:hAnsi="Gill Sans MT"/>
          <w:b/>
          <w:sz w:val="20"/>
          <w:lang w:val="en-GB"/>
        </w:rPr>
        <w:t>here is no clear evidence that the increased use of variable tranches has generated incentives to give increased attention or to dedicate additional resources to the related reforms and policy actions.</w:t>
      </w:r>
      <w:r>
        <w:rPr>
          <w:rFonts w:ascii="Gill Sans MT" w:hAnsi="Gill Sans MT"/>
          <w:sz w:val="20"/>
          <w:lang w:val="en-GB"/>
        </w:rPr>
        <w:t xml:space="preserve"> Moreover, increased use of this mechanism has raised transaction costs (albeit fairly modestly to date) and there is a risk that it may undermine the predictability of Budget Support. In addition – and perhaps most significantly – it may have served to divert attention from addressing underlying problems in the quality of research and policy development processes at the sector level. </w:t>
      </w:r>
    </w:p>
    <w:p w14:paraId="0D239C26" w14:textId="77777777" w:rsidR="00DA593C" w:rsidRDefault="00DA593C">
      <w:pPr>
        <w:rPr>
          <w:rFonts w:ascii="Gill Sans MT" w:hAnsi="Gill Sans MT"/>
          <w:sz w:val="20"/>
          <w:szCs w:val="20"/>
          <w:lang w:val="en-GB"/>
        </w:rPr>
      </w:pPr>
      <w:r>
        <w:rPr>
          <w:rFonts w:ascii="Gill Sans MT" w:hAnsi="Gill Sans MT"/>
          <w:sz w:val="20"/>
          <w:lang w:val="en-GB"/>
        </w:rPr>
        <w:br w:type="page"/>
      </w:r>
    </w:p>
    <w:p w14:paraId="2A2A1900" w14:textId="77777777" w:rsidR="00DA593C" w:rsidRPr="00D72813" w:rsidRDefault="00DA593C" w:rsidP="00DA593C">
      <w:pPr>
        <w:pStyle w:val="Heading1"/>
      </w:pPr>
      <w:bookmarkStart w:id="114" w:name="_Toc279848261"/>
      <w:r>
        <w:lastRenderedPageBreak/>
        <w:t xml:space="preserve">Annex </w:t>
      </w:r>
      <w:r w:rsidRPr="00D72813">
        <w:t>V</w:t>
      </w:r>
      <w:r>
        <w:t>:</w:t>
      </w:r>
      <w:r>
        <w:tab/>
        <w:t>Comparing Budget Support with other modalities: evidence from Mozam</w:t>
      </w:r>
      <w:r w:rsidRPr="00D72813">
        <w:t>bique</w:t>
      </w:r>
      <w:bookmarkEnd w:id="114"/>
    </w:p>
    <w:p w14:paraId="2C0DDB82" w14:textId="77777777" w:rsidR="00DA593C" w:rsidRDefault="00DA593C" w:rsidP="00DA593C">
      <w:pPr>
        <w:pStyle w:val="BodyText"/>
        <w:numPr>
          <w:ilvl w:val="0"/>
          <w:numId w:val="0"/>
        </w:numPr>
        <w:spacing w:line="360" w:lineRule="auto"/>
        <w:ind w:left="499"/>
        <w:rPr>
          <w:rFonts w:ascii="Gill Sans MT" w:hAnsi="Gill Sans MT"/>
          <w:sz w:val="20"/>
          <w:lang w:val="en-GB"/>
        </w:rPr>
      </w:pPr>
      <w:r>
        <w:rPr>
          <w:rFonts w:ascii="Gill Sans MT" w:hAnsi="Gill Sans MT"/>
          <w:sz w:val="20"/>
          <w:lang w:val="en-GB"/>
        </w:rPr>
        <w:t>The foregoing is another direct quotation from the Mozambique evaluation (ITAD, 2014; pp.173-175.) The other evaluations do not present a comparable analysis of the effects of alternative modalities, so again we are not in a position to draw strong conclusions from this one case but it presents interesting hypotheses for testing through other country cases</w:t>
      </w:r>
      <w:proofErr w:type="gramStart"/>
      <w:r>
        <w:rPr>
          <w:rFonts w:ascii="Gill Sans MT" w:hAnsi="Gill Sans MT"/>
          <w:sz w:val="20"/>
          <w:lang w:val="en-GB"/>
        </w:rPr>
        <w:t>..</w:t>
      </w:r>
      <w:proofErr w:type="gramEnd"/>
    </w:p>
    <w:p w14:paraId="2AAAE125" w14:textId="77777777" w:rsidR="00A80A2A" w:rsidRPr="0057025D" w:rsidRDefault="00A80A2A" w:rsidP="00A80A2A">
      <w:pPr>
        <w:pStyle w:val="Heading3"/>
        <w:rPr>
          <w:rFonts w:eastAsiaTheme="minorEastAsia"/>
        </w:rPr>
      </w:pPr>
      <w:r>
        <w:rPr>
          <w:rFonts w:eastAsiaTheme="minorEastAsia"/>
        </w:rPr>
        <w:t>Could other modalities support scaling up of service delivery as effectively as Budget Support</w:t>
      </w:r>
      <w:r w:rsidRPr="00F256D0">
        <w:rPr>
          <w:rFonts w:eastAsiaTheme="minorEastAsia"/>
        </w:rPr>
        <w:t>?</w:t>
      </w:r>
    </w:p>
    <w:p w14:paraId="788C16E3" w14:textId="77777777" w:rsidR="00A80A2A" w:rsidRPr="0057025D" w:rsidRDefault="00A80A2A" w:rsidP="00ED105F">
      <w:pPr>
        <w:pStyle w:val="BodyText"/>
        <w:numPr>
          <w:ilvl w:val="0"/>
          <w:numId w:val="0"/>
        </w:numPr>
        <w:spacing w:line="360" w:lineRule="auto"/>
        <w:ind w:left="357"/>
        <w:rPr>
          <w:rFonts w:ascii="Gill Sans MT" w:eastAsiaTheme="minorEastAsia" w:hAnsi="Gill Sans MT" w:cs="Gill Sans MT"/>
          <w:sz w:val="20"/>
        </w:rPr>
      </w:pPr>
      <w:r w:rsidRPr="00F256D0">
        <w:rPr>
          <w:rFonts w:ascii="Gill Sans MT" w:eastAsiaTheme="minorEastAsia" w:hAnsi="Gill Sans MT" w:cs="Gill Sans MT"/>
          <w:b/>
          <w:sz w:val="20"/>
        </w:rPr>
        <w:t>Neither project funding nor common basket funding could have achieved the same results as Budget Support, with the same degree of efficiency, effectiveness and sustainability:</w:t>
      </w:r>
    </w:p>
    <w:p w14:paraId="3157097D" w14:textId="77777777" w:rsidR="00A80A2A" w:rsidRPr="00583531" w:rsidRDefault="00A80A2A" w:rsidP="00A80A2A">
      <w:pPr>
        <w:pStyle w:val="BSBulletpoints"/>
      </w:pPr>
      <w:r>
        <w:t xml:space="preserve">The funding provided through GBS of </w:t>
      </w:r>
      <w:r w:rsidRPr="00583531">
        <w:t>US</w:t>
      </w:r>
      <w:r>
        <w:t xml:space="preserve"> $ 450</w:t>
      </w:r>
      <w:r w:rsidRPr="00583531">
        <w:t xml:space="preserve"> million p</w:t>
      </w:r>
      <w:r>
        <w:t>er annum would have been equivalent to about 100 additional project and CBF operations, disbursing an average of $4-5</w:t>
      </w:r>
      <w:r w:rsidRPr="00583531">
        <w:t xml:space="preserve"> million </w:t>
      </w:r>
      <w:r>
        <w:t xml:space="preserve">each </w:t>
      </w:r>
      <w:r w:rsidRPr="00583531">
        <w:t>p</w:t>
      </w:r>
      <w:r>
        <w:t>er annum. These additional transaction costs would almost certainly have been prohibitive, given existing constraints on absorptive capacity.</w:t>
      </w:r>
    </w:p>
    <w:p w14:paraId="7313C02C" w14:textId="77777777" w:rsidR="00A80A2A" w:rsidRPr="00583531" w:rsidRDefault="00A80A2A" w:rsidP="00A80A2A">
      <w:pPr>
        <w:pStyle w:val="BSBulletpoints"/>
      </w:pPr>
      <w:r>
        <w:t xml:space="preserve">It would </w:t>
      </w:r>
      <w:r w:rsidRPr="00583531">
        <w:t>have been difficult</w:t>
      </w:r>
      <w:r>
        <w:t xml:space="preserve"> for GoM </w:t>
      </w:r>
      <w:r w:rsidRPr="00583531">
        <w:t xml:space="preserve">to </w:t>
      </w:r>
      <w:r>
        <w:t xml:space="preserve">utilise such operations to finance recruitment of additional teachers </w:t>
      </w:r>
      <w:r w:rsidRPr="00583531">
        <w:t xml:space="preserve">or </w:t>
      </w:r>
      <w:r>
        <w:t xml:space="preserve">to provide non-salary </w:t>
      </w:r>
      <w:r w:rsidRPr="00583531">
        <w:t>recurrent cost f</w:t>
      </w:r>
      <w:r>
        <w:t>unding.</w:t>
      </w:r>
      <w:r w:rsidRPr="00583531">
        <w:t xml:space="preserve"> </w:t>
      </w:r>
    </w:p>
    <w:p w14:paraId="57C047ED" w14:textId="77777777" w:rsidR="00A80A2A" w:rsidRPr="00583531" w:rsidRDefault="00A80A2A" w:rsidP="00A80A2A">
      <w:pPr>
        <w:pStyle w:val="BSBulletpoints"/>
      </w:pPr>
      <w:r>
        <w:t xml:space="preserve">With the average levels of predictability of </w:t>
      </w:r>
      <w:r w:rsidRPr="00583531">
        <w:t>dis</w:t>
      </w:r>
      <w:r>
        <w:t>bursements from projects (56%) and of CBF operations (79%) achieved during the evaluation period, there would need to have been a systematic over-programming of some 40 %, and even with such adjustments the annual volatility of disbursements would have proven problematic.</w:t>
      </w:r>
    </w:p>
    <w:p w14:paraId="06943754" w14:textId="77777777" w:rsidR="00A80A2A" w:rsidRDefault="00A80A2A" w:rsidP="00A80A2A">
      <w:pPr>
        <w:pStyle w:val="BSBulletpoints"/>
      </w:pPr>
      <w:r>
        <w:t>The s</w:t>
      </w:r>
      <w:r w:rsidRPr="00583531">
        <w:t xml:space="preserve">ustainability </w:t>
      </w:r>
      <w:r>
        <w:t xml:space="preserve">of this incremental funding </w:t>
      </w:r>
      <w:r w:rsidRPr="00583531">
        <w:t xml:space="preserve">would have been difficult to ensure, whereas </w:t>
      </w:r>
      <w:r>
        <w:t>Budget</w:t>
      </w:r>
      <w:r w:rsidRPr="00583531">
        <w:t xml:space="preserve"> </w:t>
      </w:r>
      <w:r>
        <w:t xml:space="preserve">Support </w:t>
      </w:r>
      <w:r w:rsidRPr="00583531">
        <w:t xml:space="preserve">funding is gradually being replaced </w:t>
      </w:r>
      <w:r>
        <w:t>with domestic revenue, using the same planning and budgeting procedures and hence ensuring sustainability.</w:t>
      </w:r>
    </w:p>
    <w:p w14:paraId="7F1B3806" w14:textId="77777777" w:rsidR="00A80A2A" w:rsidRDefault="00A80A2A" w:rsidP="00A80A2A">
      <w:pPr>
        <w:pStyle w:val="BSBulletpoints"/>
      </w:pPr>
      <w:r>
        <w:t xml:space="preserve">Finally, while we have concluded that the influence of Budget Support policy dialogue has been relatively modest, it has served to generate certain improvements in the design and implementation of policies and strategies, which could not have been generated by the more limited spaces for dialogue offered by project and CBF arrangements. </w:t>
      </w:r>
    </w:p>
    <w:p w14:paraId="52414C51" w14:textId="77777777" w:rsidR="00A80A2A" w:rsidRDefault="00A80A2A" w:rsidP="00ED105F">
      <w:pPr>
        <w:pStyle w:val="BodyText"/>
        <w:numPr>
          <w:ilvl w:val="0"/>
          <w:numId w:val="0"/>
        </w:numPr>
        <w:spacing w:line="360" w:lineRule="auto"/>
        <w:ind w:left="357"/>
        <w:rPr>
          <w:rFonts w:ascii="Gill Sans MT" w:eastAsiaTheme="minorEastAsia" w:hAnsi="Gill Sans MT" w:cs="Gill Sans MT"/>
          <w:sz w:val="20"/>
        </w:rPr>
      </w:pPr>
      <w:r w:rsidRPr="00A97AFB">
        <w:rPr>
          <w:rFonts w:ascii="Gill Sans MT" w:eastAsiaTheme="minorEastAsia" w:hAnsi="Gill Sans MT" w:cs="Gill Sans MT"/>
          <w:sz w:val="20"/>
        </w:rPr>
        <w:t xml:space="preserve">The analysis of common basket funding </w:t>
      </w:r>
      <w:r>
        <w:rPr>
          <w:rFonts w:ascii="Gill Sans MT" w:eastAsiaTheme="minorEastAsia" w:hAnsi="Gill Sans MT" w:cs="Gill Sans MT"/>
          <w:sz w:val="20"/>
        </w:rPr>
        <w:t xml:space="preserve">(CBF) mechanisms has not formed a major part of the terms of reference for this evaluation but the prominence of the PROAGRI, FASE and PROSAUDE mechanisms in agriculture, education and health has permitted at least some analysis of these three mechanisms. The contrasting performance of the three is quite revealing. </w:t>
      </w:r>
    </w:p>
    <w:p w14:paraId="2E19AF4C" w14:textId="77777777" w:rsidR="00A80A2A" w:rsidRDefault="00A80A2A" w:rsidP="00ED105F">
      <w:pPr>
        <w:pStyle w:val="BodyText"/>
        <w:numPr>
          <w:ilvl w:val="0"/>
          <w:numId w:val="0"/>
        </w:numPr>
        <w:spacing w:line="360" w:lineRule="auto"/>
        <w:ind w:left="357"/>
        <w:rPr>
          <w:rFonts w:ascii="Gill Sans MT" w:eastAsiaTheme="minorEastAsia" w:hAnsi="Gill Sans MT" w:cs="Gill Sans MT"/>
          <w:sz w:val="20"/>
          <w:lang w:val="en-GB"/>
        </w:rPr>
      </w:pPr>
      <w:r w:rsidRPr="00F256D0">
        <w:rPr>
          <w:rFonts w:ascii="Gill Sans MT" w:eastAsiaTheme="minorEastAsia" w:hAnsi="Gill Sans MT" w:cs="Gill Sans MT"/>
          <w:sz w:val="20"/>
          <w:lang w:val="en-GB"/>
        </w:rPr>
        <w:t xml:space="preserve">A central tenet of good public finance is that there should always exist an effective “budget challenge function”, which is normally provided by the Ministry of Finance and/or the </w:t>
      </w:r>
      <w:r w:rsidRPr="00453B0E">
        <w:rPr>
          <w:rFonts w:ascii="Gill Sans MT" w:eastAsiaTheme="minorEastAsia" w:hAnsi="Gill Sans MT" w:cs="Gill Sans MT"/>
          <w:sz w:val="20"/>
          <w:lang w:val="en-GB"/>
        </w:rPr>
        <w:t>Ministry of</w:t>
      </w:r>
      <w:r w:rsidRPr="00F256D0">
        <w:rPr>
          <w:rFonts w:ascii="Gill Sans MT" w:eastAsiaTheme="minorEastAsia" w:hAnsi="Gill Sans MT" w:cs="Gill Sans MT"/>
          <w:sz w:val="20"/>
          <w:lang w:val="en-GB"/>
        </w:rPr>
        <w:t xml:space="preserve"> Planning</w:t>
      </w:r>
      <w:r>
        <w:rPr>
          <w:rFonts w:ascii="Gill Sans MT" w:eastAsiaTheme="minorEastAsia" w:hAnsi="Gill Sans MT" w:cs="Gill Sans MT"/>
          <w:sz w:val="20"/>
          <w:lang w:val="en-GB"/>
        </w:rPr>
        <w:t>, as well as by the Legislature</w:t>
      </w:r>
      <w:r w:rsidRPr="00F256D0">
        <w:rPr>
          <w:rFonts w:ascii="Gill Sans MT" w:eastAsiaTheme="minorEastAsia" w:hAnsi="Gill Sans MT" w:cs="Gill Sans MT"/>
          <w:sz w:val="20"/>
          <w:lang w:val="en-GB"/>
        </w:rPr>
        <w:t xml:space="preserve">. This “budget challenge” requires all sectoral proposals for spending to be assessed against competing demands from other sectors, against national policy </w:t>
      </w:r>
      <w:r w:rsidRPr="00F256D0">
        <w:rPr>
          <w:rFonts w:ascii="Gill Sans MT" w:eastAsiaTheme="minorEastAsia" w:hAnsi="Gill Sans MT" w:cs="Gill Sans MT"/>
          <w:sz w:val="20"/>
          <w:lang w:val="en-GB"/>
        </w:rPr>
        <w:lastRenderedPageBreak/>
        <w:t xml:space="preserve">priorities and against the prevailing rules of </w:t>
      </w:r>
      <w:r w:rsidRPr="00453B0E">
        <w:rPr>
          <w:rFonts w:ascii="Gill Sans MT" w:eastAsiaTheme="minorEastAsia" w:hAnsi="Gill Sans MT" w:cs="Gill Sans MT"/>
          <w:sz w:val="20"/>
          <w:lang w:val="en-GB"/>
        </w:rPr>
        <w:t>financial</w:t>
      </w:r>
      <w:r w:rsidRPr="00F256D0">
        <w:rPr>
          <w:rFonts w:ascii="Gill Sans MT" w:eastAsiaTheme="minorEastAsia" w:hAnsi="Gill Sans MT" w:cs="Gill Sans MT"/>
          <w:sz w:val="20"/>
          <w:lang w:val="en-GB"/>
        </w:rPr>
        <w:t xml:space="preserve"> and personnel management.  In the absence of this challenge from the centre, sectoral agencies will tend to assign themselves larger budgets than necessary and to spend them less on service delivery functions and more on sectoral </w:t>
      </w:r>
      <w:r w:rsidRPr="00453B0E">
        <w:rPr>
          <w:rFonts w:ascii="Gill Sans MT" w:eastAsiaTheme="minorEastAsia" w:hAnsi="Gill Sans MT" w:cs="Gill Sans MT"/>
          <w:sz w:val="20"/>
          <w:lang w:val="en-GB"/>
        </w:rPr>
        <w:t>administration</w:t>
      </w:r>
      <w:r w:rsidRPr="00DC1549">
        <w:rPr>
          <w:rFonts w:ascii="Gill Sans MT" w:eastAsiaTheme="minorEastAsia" w:hAnsi="Gill Sans MT" w:cs="Gill Sans MT"/>
          <w:sz w:val="20"/>
          <w:lang w:val="en-GB"/>
        </w:rPr>
        <w:t xml:space="preserve"> functions and processe</w:t>
      </w:r>
      <w:r w:rsidRPr="00F256D0">
        <w:rPr>
          <w:rFonts w:ascii="Gill Sans MT" w:eastAsiaTheme="minorEastAsia" w:hAnsi="Gill Sans MT" w:cs="Gill Sans MT"/>
          <w:sz w:val="20"/>
          <w:lang w:val="en-GB"/>
        </w:rPr>
        <w:t xml:space="preserve">s, from which they directly benefit.   </w:t>
      </w:r>
    </w:p>
    <w:p w14:paraId="2A66B15B" w14:textId="77777777" w:rsidR="00A80A2A" w:rsidRPr="00ED105F" w:rsidRDefault="00A80A2A" w:rsidP="00A80A2A">
      <w:pPr>
        <w:pStyle w:val="Caption"/>
        <w:jc w:val="center"/>
        <w:rPr>
          <w:rFonts w:cstheme="minorBidi"/>
          <w:lang w:val="en-GB"/>
        </w:rPr>
      </w:pPr>
      <w:bookmarkStart w:id="115" w:name="_Toc263271004"/>
      <w:bookmarkStart w:id="116" w:name="_Toc279848340"/>
      <w:r w:rsidRPr="00ED105F">
        <w:rPr>
          <w:lang w:val="en-GB"/>
        </w:rPr>
        <w:t xml:space="preserve">Box  </w:t>
      </w:r>
      <w:r w:rsidRPr="00ED105F">
        <w:rPr>
          <w:lang w:val="en-GB"/>
        </w:rPr>
        <w:fldChar w:fldCharType="begin"/>
      </w:r>
      <w:r w:rsidRPr="00ED105F">
        <w:rPr>
          <w:lang w:val="en-GB"/>
        </w:rPr>
        <w:instrText xml:space="preserve"> SEQ Box_ \* ARABIC </w:instrText>
      </w:r>
      <w:r w:rsidRPr="00ED105F">
        <w:rPr>
          <w:lang w:val="en-GB"/>
        </w:rPr>
        <w:fldChar w:fldCharType="separate"/>
      </w:r>
      <w:r w:rsidR="00967582">
        <w:rPr>
          <w:noProof/>
          <w:lang w:val="en-GB"/>
        </w:rPr>
        <w:t>2</w:t>
      </w:r>
      <w:r w:rsidRPr="00ED105F">
        <w:rPr>
          <w:lang w:val="en-GB"/>
        </w:rPr>
        <w:fldChar w:fldCharType="end"/>
      </w:r>
      <w:r w:rsidRPr="00ED105F">
        <w:rPr>
          <w:lang w:val="en-GB"/>
        </w:rPr>
        <w:t xml:space="preserve">: Why PROSAUDE </w:t>
      </w:r>
      <w:r w:rsidRPr="00ED105F">
        <w:rPr>
          <w:rFonts w:cstheme="minorBidi"/>
          <w:lang w:val="en-GB"/>
        </w:rPr>
        <w:t>is not SBS and how GBS/</w:t>
      </w:r>
      <w:r w:rsidRPr="00ED105F">
        <w:rPr>
          <w:lang w:val="en-GB"/>
        </w:rPr>
        <w:t xml:space="preserve"> </w:t>
      </w:r>
      <w:r w:rsidRPr="00ED105F">
        <w:rPr>
          <w:rFonts w:cstheme="minorBidi"/>
          <w:lang w:val="en-GB"/>
        </w:rPr>
        <w:t>SBS could be dif</w:t>
      </w:r>
      <w:r w:rsidR="00ED105F">
        <w:rPr>
          <w:rFonts w:cstheme="minorBidi"/>
          <w:lang w:val="en-GB"/>
        </w:rPr>
        <w:t>f</w:t>
      </w:r>
      <w:r w:rsidRPr="00ED105F">
        <w:rPr>
          <w:rFonts w:cstheme="minorBidi"/>
          <w:lang w:val="en-GB"/>
        </w:rPr>
        <w:t>erent</w:t>
      </w:r>
      <w:bookmarkEnd w:id="115"/>
      <w:bookmarkEnd w:id="116"/>
    </w:p>
    <w:p w14:paraId="40AEB31F" w14:textId="77777777" w:rsidR="00A80A2A" w:rsidRPr="00ED105F" w:rsidRDefault="00A80A2A" w:rsidP="00A80A2A">
      <w:pPr>
        <w:rPr>
          <w:lang w:val="en-GB"/>
        </w:rPr>
      </w:pPr>
    </w:p>
    <w:p w14:paraId="091A758C" w14:textId="77777777" w:rsidR="00A80A2A" w:rsidRPr="00ED105F" w:rsidRDefault="00A80A2A" w:rsidP="00A80A2A">
      <w:pPr>
        <w:pBdr>
          <w:top w:val="single" w:sz="4" w:space="1" w:color="auto"/>
          <w:left w:val="single" w:sz="4" w:space="4" w:color="auto"/>
          <w:bottom w:val="single" w:sz="4" w:space="1" w:color="auto"/>
          <w:right w:val="single" w:sz="4" w:space="4" w:color="auto"/>
        </w:pBdr>
        <w:spacing w:line="276" w:lineRule="auto"/>
        <w:rPr>
          <w:sz w:val="20"/>
          <w:szCs w:val="20"/>
          <w:lang w:val="en-GB"/>
        </w:rPr>
      </w:pPr>
      <w:r w:rsidRPr="00ED105F">
        <w:rPr>
          <w:b/>
          <w:sz w:val="20"/>
          <w:szCs w:val="20"/>
          <w:lang w:val="en-GB"/>
        </w:rPr>
        <w:t>In the last decade health sector fragmentation has been aggravated in Mozambique by the presence of multiple donors and the onset of vertical funds, which now dominate in the sector</w:t>
      </w:r>
      <w:r w:rsidRPr="00ED105F">
        <w:rPr>
          <w:sz w:val="20"/>
          <w:szCs w:val="20"/>
          <w:lang w:val="en-GB"/>
        </w:rPr>
        <w:t xml:space="preserve">. Sector stakeholders responded to this fragmentation by developing a sector </w:t>
      </w:r>
      <w:proofErr w:type="spellStart"/>
      <w:r w:rsidRPr="00ED105F">
        <w:rPr>
          <w:sz w:val="20"/>
          <w:szCs w:val="20"/>
          <w:lang w:val="en-GB"/>
        </w:rPr>
        <w:t>SWAp</w:t>
      </w:r>
      <w:proofErr w:type="spellEnd"/>
      <w:r w:rsidRPr="00ED105F">
        <w:rPr>
          <w:sz w:val="20"/>
          <w:szCs w:val="20"/>
          <w:lang w:val="en-GB"/>
        </w:rPr>
        <w:t xml:space="preserve"> in the 1990s followed by the establishment of three common funds and then in 2009 their amalgamation into one – PROSAUDE II. The intention of the health partners involved was to transition to SBS, but in spite of this, PROSAUDE II has not moved beyond the original arrangement. </w:t>
      </w:r>
    </w:p>
    <w:p w14:paraId="571C21B2" w14:textId="77777777" w:rsidR="00A80A2A" w:rsidRPr="00ED105F" w:rsidRDefault="00A80A2A" w:rsidP="00A80A2A">
      <w:pPr>
        <w:pBdr>
          <w:top w:val="single" w:sz="4" w:space="1" w:color="auto"/>
          <w:left w:val="single" w:sz="4" w:space="4" w:color="auto"/>
          <w:bottom w:val="single" w:sz="4" w:space="1" w:color="auto"/>
          <w:right w:val="single" w:sz="4" w:space="4" w:color="auto"/>
        </w:pBdr>
        <w:spacing w:line="276" w:lineRule="auto"/>
        <w:rPr>
          <w:sz w:val="20"/>
          <w:szCs w:val="20"/>
          <w:lang w:val="en-GB"/>
        </w:rPr>
      </w:pPr>
    </w:p>
    <w:p w14:paraId="6D459F73" w14:textId="77777777" w:rsidR="00A80A2A" w:rsidRPr="00ED105F" w:rsidRDefault="00A80A2A" w:rsidP="00A80A2A">
      <w:pPr>
        <w:pBdr>
          <w:top w:val="single" w:sz="4" w:space="1" w:color="auto"/>
          <w:left w:val="single" w:sz="4" w:space="4" w:color="auto"/>
          <w:bottom w:val="single" w:sz="4" w:space="1" w:color="auto"/>
          <w:right w:val="single" w:sz="4" w:space="4" w:color="auto"/>
        </w:pBdr>
        <w:spacing w:line="276" w:lineRule="auto"/>
        <w:rPr>
          <w:sz w:val="20"/>
          <w:szCs w:val="20"/>
          <w:lang w:val="en-GB"/>
        </w:rPr>
      </w:pPr>
      <w:r w:rsidRPr="00ED105F">
        <w:rPr>
          <w:b/>
          <w:sz w:val="20"/>
          <w:szCs w:val="20"/>
          <w:lang w:val="en-GB"/>
        </w:rPr>
        <w:t>PROSAUDE II is on-budget, and on-Treasury, using a dedicated account in the CUT, but it is a project account, effectively controlled by MISAU and overseen by the PROSAUDE partners.</w:t>
      </w:r>
      <w:r w:rsidRPr="00ED105F">
        <w:rPr>
          <w:sz w:val="20"/>
          <w:szCs w:val="20"/>
          <w:lang w:val="en-GB"/>
        </w:rPr>
        <w:t xml:space="preserve"> The funds are not budgeted through standard government procedures and hence not subject to the budget contest, which that process incorporates.  There is no procedural manual, although a broadly based budget is drawn up for PROSAUDE II spending. It is not controlled or monitored according to government procedures, and there are no written rules governing budget revisions, </w:t>
      </w:r>
      <w:proofErr w:type="spellStart"/>
      <w:r w:rsidRPr="00ED105F">
        <w:rPr>
          <w:sz w:val="20"/>
          <w:szCs w:val="20"/>
          <w:lang w:val="en-GB"/>
        </w:rPr>
        <w:t>virements</w:t>
      </w:r>
      <w:proofErr w:type="spellEnd"/>
      <w:r w:rsidRPr="00ED105F">
        <w:rPr>
          <w:sz w:val="20"/>
          <w:szCs w:val="20"/>
          <w:lang w:val="en-GB"/>
        </w:rPr>
        <w:t xml:space="preserve"> etc.  PROSAUDE II funds are often spent on items which cannot be covered by the OE such as salary top-ups, salaries of new employees pending registration on e-CAF, per diems and other personnel items, which would normally be met by GoM. In this respect they circumvent, rather than follow, government procedures. This is done with good intent, and in recognition of the serious shortage of human resources in the health sector. Nonetheless, the process has created a perverse incentive, removing the urgency to reform health sector salary scales and bureaucratic recruitment procedures. </w:t>
      </w:r>
    </w:p>
    <w:p w14:paraId="2302ED4C" w14:textId="77777777" w:rsidR="00A80A2A" w:rsidRPr="00ED105F" w:rsidRDefault="00A80A2A" w:rsidP="00A80A2A">
      <w:pPr>
        <w:pBdr>
          <w:top w:val="single" w:sz="4" w:space="1" w:color="auto"/>
          <w:left w:val="single" w:sz="4" w:space="4" w:color="auto"/>
          <w:bottom w:val="single" w:sz="4" w:space="1" w:color="auto"/>
          <w:right w:val="single" w:sz="4" w:space="4" w:color="auto"/>
        </w:pBdr>
        <w:spacing w:line="276" w:lineRule="auto"/>
        <w:rPr>
          <w:sz w:val="20"/>
          <w:szCs w:val="20"/>
          <w:lang w:val="en-GB"/>
        </w:rPr>
      </w:pPr>
      <w:r w:rsidRPr="00ED105F">
        <w:rPr>
          <w:sz w:val="20"/>
          <w:szCs w:val="20"/>
          <w:lang w:val="en-GB"/>
        </w:rPr>
        <w:t xml:space="preserve"> </w:t>
      </w:r>
    </w:p>
    <w:p w14:paraId="42565374" w14:textId="77777777" w:rsidR="00A80A2A" w:rsidRPr="00ED105F" w:rsidRDefault="00A80A2A" w:rsidP="00A80A2A">
      <w:pPr>
        <w:pBdr>
          <w:top w:val="single" w:sz="4" w:space="1" w:color="auto"/>
          <w:left w:val="single" w:sz="4" w:space="4" w:color="auto"/>
          <w:bottom w:val="single" w:sz="4" w:space="1" w:color="auto"/>
          <w:right w:val="single" w:sz="4" w:space="4" w:color="auto"/>
        </w:pBdr>
        <w:spacing w:line="276" w:lineRule="auto"/>
        <w:rPr>
          <w:sz w:val="20"/>
          <w:szCs w:val="20"/>
          <w:lang w:val="en-GB"/>
        </w:rPr>
      </w:pPr>
      <w:r w:rsidRPr="00ED105F">
        <w:rPr>
          <w:b/>
          <w:sz w:val="20"/>
          <w:szCs w:val="20"/>
          <w:lang w:val="en-GB"/>
        </w:rPr>
        <w:t>PROSAUDE II has not made the transition to SBS for several reasons</w:t>
      </w:r>
      <w:r w:rsidRPr="00ED105F">
        <w:rPr>
          <w:sz w:val="20"/>
          <w:szCs w:val="20"/>
          <w:lang w:val="en-GB"/>
        </w:rPr>
        <w:t>: first because there has not been a consensus amongst PROSAUDE signatories, in favour of SBS (partly a result of the documented and persistent limitations of GoM financial systems, and the difficulty in obtaining reliable audits); second, with the growth of vertical funds, PROSAUDE II financial leverage became less (averaging around 20% of the Health Budget  in recent years but a lower proportion of total resources for health); and third, MISAU does not favour SBS because it values the flexibility of using PROSAUDE II funds to cover expenses that cannot be paid from OE.</w:t>
      </w:r>
    </w:p>
    <w:p w14:paraId="04CC50A0" w14:textId="77777777" w:rsidR="00A80A2A" w:rsidRPr="00ED105F" w:rsidRDefault="00A80A2A" w:rsidP="00A80A2A">
      <w:pPr>
        <w:pBdr>
          <w:top w:val="single" w:sz="4" w:space="1" w:color="auto"/>
          <w:left w:val="single" w:sz="4" w:space="4" w:color="auto"/>
          <w:bottom w:val="single" w:sz="4" w:space="1" w:color="auto"/>
          <w:right w:val="single" w:sz="4" w:space="4" w:color="auto"/>
        </w:pBdr>
        <w:spacing w:line="276" w:lineRule="auto"/>
        <w:rPr>
          <w:sz w:val="20"/>
          <w:szCs w:val="20"/>
          <w:lang w:val="en-GB"/>
        </w:rPr>
      </w:pPr>
    </w:p>
    <w:p w14:paraId="2D3DC88B" w14:textId="77777777" w:rsidR="00A80A2A" w:rsidRPr="00ED105F" w:rsidRDefault="00A80A2A" w:rsidP="00A80A2A">
      <w:pPr>
        <w:pBdr>
          <w:top w:val="single" w:sz="4" w:space="1" w:color="auto"/>
          <w:left w:val="single" w:sz="4" w:space="4" w:color="auto"/>
          <w:bottom w:val="single" w:sz="4" w:space="1" w:color="auto"/>
          <w:right w:val="single" w:sz="4" w:space="4" w:color="auto"/>
        </w:pBdr>
        <w:spacing w:line="276" w:lineRule="auto"/>
        <w:rPr>
          <w:sz w:val="20"/>
          <w:szCs w:val="20"/>
          <w:lang w:val="en-GB"/>
        </w:rPr>
      </w:pPr>
      <w:r w:rsidRPr="00ED105F">
        <w:rPr>
          <w:b/>
          <w:sz w:val="20"/>
          <w:szCs w:val="20"/>
          <w:lang w:val="en-GB"/>
        </w:rPr>
        <w:t>GBS would be different because funds would flow through the OE</w:t>
      </w:r>
      <w:r w:rsidRPr="00ED105F">
        <w:rPr>
          <w:sz w:val="20"/>
          <w:szCs w:val="20"/>
          <w:lang w:val="en-GB"/>
        </w:rPr>
        <w:t xml:space="preserve"> and would not be dedicated to any particular sector or purpose. National accounting systems, including Treasury budget monitoring systems, would apply, and there would be no opportunity for MISAU to circumvent regulations, for instance in hiring staff without TA approval. Flexibility would in that sense, be reduced. How would SBS be different? Funds would flow to an account controlled by MoF (not MISAU) and would be used to enhance the OE ceilings of beneficiary health agencies. They would be budgeted in concert with OE funds. Like GBS, SBS funds would form part of a single budget governed according to standard budget monitoring, review and audit arrangements. </w:t>
      </w:r>
    </w:p>
    <w:p w14:paraId="36433BBD" w14:textId="77777777" w:rsidR="00A80A2A" w:rsidRPr="00ED105F" w:rsidRDefault="00A80A2A" w:rsidP="00A80A2A">
      <w:pPr>
        <w:pBdr>
          <w:top w:val="single" w:sz="4" w:space="1" w:color="auto"/>
          <w:left w:val="single" w:sz="4" w:space="4" w:color="auto"/>
          <w:bottom w:val="single" w:sz="4" w:space="1" w:color="auto"/>
          <w:right w:val="single" w:sz="4" w:space="4" w:color="auto"/>
        </w:pBdr>
        <w:spacing w:line="276" w:lineRule="auto"/>
        <w:rPr>
          <w:sz w:val="20"/>
          <w:szCs w:val="20"/>
          <w:lang w:val="en-GB"/>
        </w:rPr>
      </w:pPr>
    </w:p>
    <w:p w14:paraId="4C5780D3" w14:textId="77777777" w:rsidR="00A80A2A" w:rsidRPr="00ED105F" w:rsidRDefault="00A80A2A" w:rsidP="00A80A2A">
      <w:pPr>
        <w:pBdr>
          <w:top w:val="single" w:sz="4" w:space="1" w:color="auto"/>
          <w:left w:val="single" w:sz="4" w:space="4" w:color="auto"/>
          <w:bottom w:val="single" w:sz="4" w:space="1" w:color="auto"/>
          <w:right w:val="single" w:sz="4" w:space="4" w:color="auto"/>
        </w:pBdr>
        <w:spacing w:line="276" w:lineRule="auto"/>
        <w:rPr>
          <w:b/>
          <w:sz w:val="20"/>
          <w:szCs w:val="20"/>
          <w:lang w:val="en-GB"/>
        </w:rPr>
      </w:pPr>
      <w:r w:rsidRPr="00ED105F">
        <w:rPr>
          <w:b/>
          <w:sz w:val="20"/>
          <w:szCs w:val="20"/>
          <w:lang w:val="en-GB"/>
        </w:rPr>
        <w:t xml:space="preserve">The outcome of both SBS and GBS would be lower transaction costs, greater transparency, and the ending of the perverse incentives described above. </w:t>
      </w:r>
    </w:p>
    <w:p w14:paraId="53F5FD36" w14:textId="77777777" w:rsidR="00A80A2A" w:rsidRPr="00F256D0" w:rsidRDefault="00A80A2A" w:rsidP="00A80A2A">
      <w:pPr>
        <w:rPr>
          <w:rFonts w:asciiTheme="minorHAnsi" w:eastAsiaTheme="minorEastAsia" w:hAnsiTheme="minorHAnsi" w:cstheme="minorBidi"/>
          <w:lang w:val="en-US"/>
        </w:rPr>
      </w:pPr>
    </w:p>
    <w:p w14:paraId="1EFFE34D" w14:textId="77777777" w:rsidR="00ED105F" w:rsidRPr="00DC1549" w:rsidRDefault="00ED105F" w:rsidP="00ED105F">
      <w:pPr>
        <w:pStyle w:val="BodyText"/>
        <w:numPr>
          <w:ilvl w:val="0"/>
          <w:numId w:val="0"/>
        </w:numPr>
        <w:spacing w:line="360" w:lineRule="auto"/>
        <w:ind w:left="357"/>
        <w:rPr>
          <w:rFonts w:ascii="Gill Sans MT" w:eastAsiaTheme="minorEastAsia" w:hAnsi="Gill Sans MT" w:cs="Gill Sans MT"/>
          <w:sz w:val="20"/>
          <w:lang w:val="en-GB"/>
        </w:rPr>
      </w:pPr>
      <w:r w:rsidRPr="00F256D0">
        <w:rPr>
          <w:rFonts w:ascii="Gill Sans MT" w:eastAsiaTheme="minorEastAsia" w:hAnsi="Gill Sans MT" w:cs="Gill Sans MT"/>
          <w:sz w:val="20"/>
          <w:lang w:val="en-GB"/>
        </w:rPr>
        <w:t>A common weakness in many CBF mechanisms</w:t>
      </w:r>
      <w:r>
        <w:rPr>
          <w:rFonts w:ascii="Gill Sans MT" w:eastAsiaTheme="minorEastAsia" w:hAnsi="Gill Sans MT" w:cs="Gill Sans MT"/>
          <w:sz w:val="20"/>
          <w:lang w:val="en-GB"/>
        </w:rPr>
        <w:t xml:space="preserve"> is that they inadvertently by-pass the budget challenge function by excluding both the Legislature and the Ministry of Finance and other central agencies from the process of scrutinising proposals for spending from the sectoral basket fund. In </w:t>
      </w:r>
      <w:r>
        <w:rPr>
          <w:rFonts w:ascii="Gill Sans MT" w:eastAsiaTheme="minorEastAsia" w:hAnsi="Gill Sans MT" w:cs="Gill Sans MT"/>
          <w:sz w:val="20"/>
          <w:lang w:val="en-GB"/>
        </w:rPr>
        <w:lastRenderedPageBreak/>
        <w:t xml:space="preserve">many CBFs, sector ministries submit proposals directly to sector donors, without the involvement of the Ministry of Finance. Sector donors may sometimes be able to apply an adequate budget challenge function but there are often conflicts of interest which prevent this: notably, sector donors share the objective of sector ministries to increase the sectoral budget and will tend to put a lower valuation on the budget demands of other sectors. </w:t>
      </w:r>
    </w:p>
    <w:p w14:paraId="59BFBCEA" w14:textId="77777777" w:rsidR="00A80A2A" w:rsidRDefault="00A80A2A" w:rsidP="00ED105F">
      <w:pPr>
        <w:pStyle w:val="BodyText"/>
        <w:numPr>
          <w:ilvl w:val="0"/>
          <w:numId w:val="0"/>
        </w:numPr>
        <w:spacing w:line="360" w:lineRule="auto"/>
        <w:ind w:left="357"/>
        <w:rPr>
          <w:rFonts w:ascii="Gill Sans MT" w:eastAsiaTheme="minorEastAsia" w:hAnsi="Gill Sans MT" w:cs="Gill Sans MT"/>
          <w:sz w:val="20"/>
          <w:lang w:val="en-GB"/>
        </w:rPr>
      </w:pPr>
      <w:r>
        <w:rPr>
          <w:rFonts w:ascii="Gill Sans MT" w:eastAsiaTheme="minorEastAsia" w:hAnsi="Gill Sans MT" w:cs="Gill Sans MT"/>
          <w:sz w:val="20"/>
          <w:lang w:val="en-GB"/>
        </w:rPr>
        <w:t xml:space="preserve">In the case of FASE, - perhaps because the scale of funding required was too great to permit a “go it alone mentality” to develop in the sector, perhaps because the DPs involved had more rigorous processes for assessing the sustainability of spending plans – there was a greater consciousness of the need to use the FASE common fund as a complement to GoM funding through the budget. Thus, teacher salaries were never financed through FASE and it was always understood that the Direct Support to Schools (ADE) grants would need to be transferred to the Budget over time. </w:t>
      </w:r>
    </w:p>
    <w:p w14:paraId="2BBF42D6" w14:textId="77777777" w:rsidR="00D72813" w:rsidRPr="00ED105F" w:rsidRDefault="00A80A2A" w:rsidP="00ED105F">
      <w:pPr>
        <w:pStyle w:val="BodyText"/>
        <w:numPr>
          <w:ilvl w:val="0"/>
          <w:numId w:val="0"/>
        </w:numPr>
        <w:spacing w:line="360" w:lineRule="auto"/>
        <w:ind w:left="357"/>
        <w:rPr>
          <w:rFonts w:ascii="Gill Sans MT" w:eastAsiaTheme="minorEastAsia" w:hAnsi="Gill Sans MT" w:cs="Gill Sans MT"/>
          <w:sz w:val="20"/>
          <w:lang w:val="en-GB"/>
        </w:rPr>
      </w:pPr>
      <w:r>
        <w:rPr>
          <w:rFonts w:ascii="Gill Sans MT" w:eastAsiaTheme="minorEastAsia" w:hAnsi="Gill Sans MT" w:cs="Gill Sans MT"/>
          <w:sz w:val="20"/>
          <w:lang w:val="en-GB"/>
        </w:rPr>
        <w:t xml:space="preserve">Notwithstanding the success of FASE, we would contend that most large-scale Common Basket Funds are likely to generate the sort of perverse incentives, which have been prominent in </w:t>
      </w:r>
      <w:r w:rsidR="00ED105F">
        <w:rPr>
          <w:rFonts w:ascii="Gill Sans MT" w:eastAsiaTheme="minorEastAsia" w:hAnsi="Gill Sans MT" w:cs="Gill Sans MT"/>
          <w:sz w:val="20"/>
          <w:lang w:val="en-GB"/>
        </w:rPr>
        <w:t xml:space="preserve">PROAGRI and PROSAUDE. </w:t>
      </w:r>
      <w:proofErr w:type="gramStart"/>
      <w:r w:rsidR="00ED105F">
        <w:rPr>
          <w:rFonts w:ascii="Gill Sans MT" w:eastAsiaTheme="minorEastAsia" w:hAnsi="Gill Sans MT" w:cs="Gill Sans MT"/>
          <w:sz w:val="20"/>
          <w:lang w:val="en-GB"/>
        </w:rPr>
        <w:t>(See Box</w:t>
      </w:r>
      <w:r>
        <w:rPr>
          <w:rFonts w:ascii="Gill Sans MT" w:eastAsiaTheme="minorEastAsia" w:hAnsi="Gill Sans MT" w:cs="Gill Sans MT"/>
          <w:sz w:val="20"/>
          <w:lang w:val="en-GB"/>
        </w:rPr>
        <w:t>).</w:t>
      </w:r>
      <w:proofErr w:type="gramEnd"/>
      <w:r>
        <w:rPr>
          <w:rFonts w:ascii="Gill Sans MT" w:eastAsiaTheme="minorEastAsia" w:hAnsi="Gill Sans MT" w:cs="Gill Sans MT"/>
          <w:sz w:val="20"/>
          <w:lang w:val="en-GB"/>
        </w:rPr>
        <w:t xml:space="preserve"> For these reasons, General or Sector Budget Support is likely to be a less distortionary and more sustainable method of providing external support to scale up service delivery and poverty-reducing spending. The case of GBS in Mozambique provides an excellent example of how these processes may work, even in quite difficult environments.</w:t>
      </w:r>
    </w:p>
    <w:p w14:paraId="6373DFCF" w14:textId="77777777" w:rsidR="00C64749" w:rsidRDefault="00C64749" w:rsidP="00713B82">
      <w:pPr>
        <w:pStyle w:val="BodyText"/>
        <w:numPr>
          <w:ilvl w:val="0"/>
          <w:numId w:val="0"/>
        </w:numPr>
        <w:spacing w:before="0" w:after="0" w:line="360" w:lineRule="auto"/>
        <w:rPr>
          <w:rFonts w:ascii="Gill Sans MT" w:hAnsi="Gill Sans MT"/>
          <w:sz w:val="20"/>
          <w:lang w:val="en-GB"/>
        </w:rPr>
      </w:pPr>
    </w:p>
    <w:p w14:paraId="6F5E00C2" w14:textId="77777777" w:rsidR="003F273C" w:rsidRPr="00372CF5" w:rsidRDefault="003F273C" w:rsidP="00713B82">
      <w:pPr>
        <w:pStyle w:val="BodyText"/>
        <w:numPr>
          <w:ilvl w:val="0"/>
          <w:numId w:val="0"/>
        </w:numPr>
        <w:spacing w:before="0" w:after="0" w:line="360" w:lineRule="auto"/>
        <w:rPr>
          <w:rFonts w:ascii="Gill Sans MT" w:hAnsi="Gill Sans MT"/>
          <w:sz w:val="20"/>
          <w:lang w:val="en-GB"/>
        </w:rPr>
        <w:sectPr w:rsidR="003F273C" w:rsidRPr="00372CF5" w:rsidSect="00713B82">
          <w:pgSz w:w="11909" w:h="16834" w:code="9"/>
          <w:pgMar w:top="1440" w:right="1800" w:bottom="1440" w:left="1800" w:header="720" w:footer="720" w:gutter="0"/>
          <w:cols w:space="720"/>
          <w:docGrid w:linePitch="360"/>
        </w:sectPr>
      </w:pPr>
    </w:p>
    <w:p w14:paraId="044FF649" w14:textId="77777777" w:rsidR="00CE699C" w:rsidRPr="00372CF5" w:rsidRDefault="00CE699C" w:rsidP="00CE699C">
      <w:pPr>
        <w:pStyle w:val="BodyText"/>
        <w:numPr>
          <w:ilvl w:val="0"/>
          <w:numId w:val="0"/>
        </w:numPr>
        <w:spacing w:before="0" w:after="0" w:line="360" w:lineRule="auto"/>
        <w:rPr>
          <w:rFonts w:ascii="Gill Sans MT" w:hAnsi="Gill Sans MT"/>
          <w:sz w:val="18"/>
          <w:szCs w:val="18"/>
          <w:lang w:val="en-GB"/>
        </w:rPr>
      </w:pPr>
    </w:p>
    <w:sectPr w:rsidR="00CE699C" w:rsidRPr="00372CF5" w:rsidSect="00407F42">
      <w:pgSz w:w="11909" w:h="16834"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A49C99" w14:textId="77777777" w:rsidR="00A751F4" w:rsidRPr="00175496" w:rsidRDefault="00A751F4">
      <w:pPr>
        <w:rPr>
          <w:sz w:val="22"/>
          <w:szCs w:val="22"/>
        </w:rPr>
      </w:pPr>
      <w:r w:rsidRPr="00175496">
        <w:rPr>
          <w:sz w:val="22"/>
          <w:szCs w:val="22"/>
        </w:rPr>
        <w:separator/>
      </w:r>
    </w:p>
  </w:endnote>
  <w:endnote w:type="continuationSeparator" w:id="0">
    <w:p w14:paraId="2E76116C" w14:textId="77777777" w:rsidR="00A751F4" w:rsidRPr="00175496" w:rsidRDefault="00A751F4">
      <w:pPr>
        <w:rPr>
          <w:sz w:val="22"/>
          <w:szCs w:val="22"/>
        </w:rPr>
      </w:pPr>
      <w:r w:rsidRPr="00175496">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Gill Sans MT">
    <w:panose1 w:val="020B0502020104020203"/>
    <w:charset w:val="00"/>
    <w:family w:val="auto"/>
    <w:pitch w:val="variable"/>
    <w:sig w:usb0="00000003" w:usb1="00000000" w:usb2="00000000" w:usb3="00000000" w:csb0="00000003"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Garamond">
    <w:panose1 w:val="02020404030301010803"/>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ヒラギノ角ゴ Pro W3">
    <w:altName w:val="ヒラギノ角ゴ Pro W3"/>
    <w:charset w:val="80"/>
    <w:family w:val="auto"/>
    <w:pitch w:val="variable"/>
    <w:sig w:usb0="E00002FF" w:usb1="7AC7FFFF" w:usb2="00000012" w:usb3="00000000" w:csb0="0002000D" w:csb1="00000000"/>
  </w:font>
  <w:font w:name="Arial Bold">
    <w:panose1 w:val="020B0704020202020204"/>
    <w:charset w:val="00"/>
    <w:family w:val="auto"/>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Gothic">
    <w:altName w:val="ＭＳ ゴシック"/>
    <w:charset w:val="80"/>
    <w:family w:val="modern"/>
    <w:pitch w:val="fixed"/>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ＭＳ 明朝">
    <w:charset w:val="4E"/>
    <w:family w:val="auto"/>
    <w:pitch w:val="variable"/>
    <w:sig w:usb0="E00002FF" w:usb1="6AC7FDFB" w:usb2="00000012" w:usb3="00000000" w:csb0="0002009F" w:csb1="00000000"/>
  </w:font>
  <w:font w:name="Century Gothic">
    <w:panose1 w:val="020B0502020202020204"/>
    <w:charset w:val="00"/>
    <w:family w:val="auto"/>
    <w:pitch w:val="variable"/>
    <w:sig w:usb0="00000003" w:usb1="00000000" w:usb2="00000000" w:usb3="00000000" w:csb0="00000001" w:csb1="00000000"/>
  </w:font>
  <w:font w:name="PMingLiU">
    <w:altName w:val="新細明體"/>
    <w:charset w:val="88"/>
    <w:family w:val="roman"/>
    <w:pitch w:val="variable"/>
    <w:sig w:usb0="A00002FF" w:usb1="28CFFCFA" w:usb2="00000016" w:usb3="00000000" w:csb0="001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54B9B" w14:textId="77777777" w:rsidR="00A751F4" w:rsidRPr="003436CC" w:rsidRDefault="00A751F4" w:rsidP="00D5137C">
    <w:pPr>
      <w:pStyle w:val="Footer"/>
      <w:rPr>
        <w:sz w:val="22"/>
        <w:szCs w:val="22"/>
        <w:lang w:val="en-GB"/>
      </w:rPr>
    </w:pPr>
    <w:r>
      <w:rPr>
        <w:sz w:val="22"/>
        <w:szCs w:val="22"/>
        <w:lang w:val="en-GB"/>
      </w:rPr>
      <w:t>Final Report submitted by Fiscus for ADE; November 2014</w:t>
    </w:r>
  </w:p>
  <w:p w14:paraId="10224810" w14:textId="77777777" w:rsidR="00A751F4" w:rsidRPr="00175496" w:rsidRDefault="00A751F4" w:rsidP="00A57E48">
    <w:pPr>
      <w:pStyle w:val="Footer"/>
      <w:jc w:val="right"/>
      <w:rPr>
        <w:sz w:val="22"/>
        <w:szCs w:val="22"/>
      </w:rPr>
    </w:pPr>
    <w:proofErr w:type="spellStart"/>
    <w:r w:rsidRPr="00175496">
      <w:rPr>
        <w:color w:val="7F7F7F"/>
        <w:spacing w:val="60"/>
        <w:sz w:val="22"/>
        <w:szCs w:val="22"/>
      </w:rPr>
      <w:t>Page</w:t>
    </w:r>
    <w:proofErr w:type="spellEnd"/>
    <w:r w:rsidRPr="00175496">
      <w:rPr>
        <w:sz w:val="22"/>
        <w:szCs w:val="22"/>
      </w:rPr>
      <w:t xml:space="preserve"> | </w:t>
    </w:r>
    <w:r w:rsidRPr="00175496">
      <w:rPr>
        <w:sz w:val="22"/>
        <w:szCs w:val="22"/>
      </w:rPr>
      <w:fldChar w:fldCharType="begin"/>
    </w:r>
    <w:r w:rsidRPr="00175496">
      <w:rPr>
        <w:sz w:val="22"/>
        <w:szCs w:val="22"/>
      </w:rPr>
      <w:instrText xml:space="preserve"> PAGE   \* MERGEFORMAT </w:instrText>
    </w:r>
    <w:r w:rsidRPr="00175496">
      <w:rPr>
        <w:sz w:val="22"/>
        <w:szCs w:val="22"/>
      </w:rPr>
      <w:fldChar w:fldCharType="separate"/>
    </w:r>
    <w:r w:rsidRPr="00D90D40">
      <w:rPr>
        <w:b/>
        <w:noProof/>
        <w:sz w:val="22"/>
        <w:szCs w:val="22"/>
      </w:rPr>
      <w:t>4</w:t>
    </w:r>
    <w:r w:rsidRPr="00175496">
      <w:rPr>
        <w:sz w:val="22"/>
        <w:szCs w:val="22"/>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5645D" w14:textId="1E6F0B48" w:rsidR="00A751F4" w:rsidRPr="003436CC" w:rsidRDefault="00A751F4" w:rsidP="00D5137C">
    <w:pPr>
      <w:pStyle w:val="Footer"/>
      <w:rPr>
        <w:sz w:val="22"/>
        <w:szCs w:val="22"/>
        <w:lang w:val="en-GB"/>
      </w:rPr>
    </w:pPr>
    <w:r>
      <w:rPr>
        <w:sz w:val="22"/>
        <w:szCs w:val="22"/>
        <w:lang w:val="en-GB"/>
      </w:rPr>
      <w:t>Final Report submitted by Fiscus for ADE; November 2014</w:t>
    </w:r>
  </w:p>
  <w:p w14:paraId="48C81BFA" w14:textId="77777777" w:rsidR="00A751F4" w:rsidRPr="00175496" w:rsidRDefault="00A751F4" w:rsidP="00A57E48">
    <w:pPr>
      <w:pStyle w:val="Footer"/>
      <w:jc w:val="right"/>
      <w:rPr>
        <w:sz w:val="22"/>
        <w:szCs w:val="22"/>
      </w:rPr>
    </w:pPr>
    <w:proofErr w:type="spellStart"/>
    <w:r w:rsidRPr="00175496">
      <w:rPr>
        <w:color w:val="7F7F7F"/>
        <w:spacing w:val="60"/>
        <w:sz w:val="22"/>
        <w:szCs w:val="22"/>
      </w:rPr>
      <w:t>Page</w:t>
    </w:r>
    <w:proofErr w:type="spellEnd"/>
    <w:r w:rsidRPr="00175496">
      <w:rPr>
        <w:sz w:val="22"/>
        <w:szCs w:val="22"/>
      </w:rPr>
      <w:t xml:space="preserve"> | </w:t>
    </w:r>
    <w:r w:rsidRPr="00175496">
      <w:rPr>
        <w:sz w:val="22"/>
        <w:szCs w:val="22"/>
      </w:rPr>
      <w:fldChar w:fldCharType="begin"/>
    </w:r>
    <w:r w:rsidRPr="00175496">
      <w:rPr>
        <w:sz w:val="22"/>
        <w:szCs w:val="22"/>
      </w:rPr>
      <w:instrText xml:space="preserve"> PAGE   \* MERGEFORMAT </w:instrText>
    </w:r>
    <w:r w:rsidRPr="00175496">
      <w:rPr>
        <w:sz w:val="22"/>
        <w:szCs w:val="22"/>
      </w:rPr>
      <w:fldChar w:fldCharType="separate"/>
    </w:r>
    <w:r w:rsidR="00A45884" w:rsidRPr="00A45884">
      <w:rPr>
        <w:b/>
        <w:noProof/>
        <w:sz w:val="22"/>
        <w:szCs w:val="22"/>
      </w:rPr>
      <w:t>14</w:t>
    </w:r>
    <w:r w:rsidRPr="00175496">
      <w:rPr>
        <w:sz w:val="22"/>
        <w:szCs w:val="22"/>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71CD74" w14:textId="77777777" w:rsidR="00A751F4" w:rsidRPr="00175496" w:rsidRDefault="00A751F4">
      <w:pPr>
        <w:rPr>
          <w:sz w:val="22"/>
          <w:szCs w:val="22"/>
        </w:rPr>
      </w:pPr>
      <w:r w:rsidRPr="00175496">
        <w:rPr>
          <w:sz w:val="22"/>
          <w:szCs w:val="22"/>
        </w:rPr>
        <w:separator/>
      </w:r>
    </w:p>
  </w:footnote>
  <w:footnote w:type="continuationSeparator" w:id="0">
    <w:p w14:paraId="71123FC5" w14:textId="77777777" w:rsidR="00A751F4" w:rsidRPr="00175496" w:rsidRDefault="00A751F4">
      <w:pPr>
        <w:rPr>
          <w:sz w:val="22"/>
          <w:szCs w:val="22"/>
        </w:rPr>
      </w:pPr>
      <w:r w:rsidRPr="00175496">
        <w:rPr>
          <w:sz w:val="22"/>
          <w:szCs w:val="22"/>
        </w:rPr>
        <w:continuationSeparator/>
      </w:r>
    </w:p>
  </w:footnote>
  <w:footnote w:id="1">
    <w:p w14:paraId="3B8BEB44" w14:textId="77777777" w:rsidR="00A751F4" w:rsidRPr="002B4591" w:rsidRDefault="00A751F4">
      <w:pPr>
        <w:pStyle w:val="FootnoteText"/>
        <w:rPr>
          <w:lang w:val="en-US"/>
        </w:rPr>
      </w:pPr>
      <w:r>
        <w:rPr>
          <w:rStyle w:val="FootnoteReference"/>
        </w:rPr>
        <w:footnoteRef/>
      </w:r>
      <w:r>
        <w:t xml:space="preserve"> </w:t>
      </w:r>
      <w:r>
        <w:rPr>
          <w:lang w:val="en-US"/>
        </w:rPr>
        <w:tab/>
      </w:r>
      <w:r w:rsidRPr="002B4591">
        <w:rPr>
          <w:rFonts w:ascii="Gill Sans MT" w:hAnsi="Gill Sans MT"/>
          <w:sz w:val="18"/>
          <w:szCs w:val="18"/>
          <w:lang w:val="en-GB"/>
        </w:rPr>
        <w:t>The South Africa and Tunisia evaluations cover only EU Budge</w:t>
      </w:r>
      <w:r>
        <w:rPr>
          <w:rFonts w:ascii="Gill Sans MT" w:hAnsi="Gill Sans MT"/>
          <w:sz w:val="18"/>
          <w:szCs w:val="18"/>
          <w:lang w:val="en-GB"/>
        </w:rPr>
        <w:t>t Support operations. I</w:t>
      </w:r>
      <w:r w:rsidRPr="002B4591">
        <w:rPr>
          <w:rFonts w:ascii="Gill Sans MT" w:hAnsi="Gill Sans MT"/>
          <w:sz w:val="18"/>
          <w:szCs w:val="18"/>
          <w:lang w:val="en-GB"/>
        </w:rPr>
        <w:t>n South Africa there were no other Budget Support operations</w:t>
      </w:r>
      <w:r>
        <w:rPr>
          <w:rFonts w:ascii="Gill Sans MT" w:hAnsi="Gill Sans MT"/>
          <w:sz w:val="18"/>
          <w:szCs w:val="18"/>
          <w:lang w:val="en-GB"/>
        </w:rPr>
        <w:t xml:space="preserve"> during the period in question. I</w:t>
      </w:r>
      <w:r w:rsidRPr="002B4591">
        <w:rPr>
          <w:rFonts w:ascii="Gill Sans MT" w:hAnsi="Gill Sans MT"/>
          <w:sz w:val="18"/>
          <w:szCs w:val="18"/>
          <w:lang w:val="en-GB"/>
        </w:rPr>
        <w:t>n Tunisia, the Budget Support provided by the World Bank and the African Development Bank</w:t>
      </w:r>
      <w:r>
        <w:rPr>
          <w:rFonts w:ascii="Gill Sans MT" w:hAnsi="Gill Sans MT"/>
          <w:sz w:val="18"/>
          <w:szCs w:val="18"/>
          <w:lang w:val="en-GB"/>
        </w:rPr>
        <w:t xml:space="preserve"> provided support to reform efforts also supported by the EU; thus the “policy dialogue inputs” by these agencies are also covered in the Tunisia evaluation, even if details of World Bank and AfDB disbursements are not examined.</w:t>
      </w:r>
    </w:p>
  </w:footnote>
  <w:footnote w:id="2">
    <w:p w14:paraId="01CD5C5C" w14:textId="77777777" w:rsidR="00A751F4" w:rsidRPr="00D4290C" w:rsidRDefault="00A751F4">
      <w:pPr>
        <w:pStyle w:val="FootnoteText"/>
        <w:rPr>
          <w:rFonts w:ascii="Gill Sans MT" w:hAnsi="Gill Sans MT"/>
          <w:sz w:val="18"/>
          <w:szCs w:val="18"/>
          <w:lang w:val="en-GB"/>
        </w:rPr>
      </w:pPr>
      <w:r>
        <w:rPr>
          <w:rStyle w:val="FootnoteReference"/>
        </w:rPr>
        <w:footnoteRef/>
      </w:r>
      <w:r w:rsidRPr="00D4290C">
        <w:rPr>
          <w:rStyle w:val="FootnoteReference"/>
        </w:rPr>
        <w:t xml:space="preserve"> </w:t>
      </w:r>
      <w:r w:rsidRPr="00D4290C">
        <w:rPr>
          <w:rStyle w:val="FootnoteReference"/>
        </w:rPr>
        <w:tab/>
      </w:r>
      <w:r w:rsidRPr="00D4290C">
        <w:rPr>
          <w:rFonts w:ascii="Gill Sans MT" w:hAnsi="Gill Sans MT"/>
          <w:sz w:val="18"/>
          <w:szCs w:val="18"/>
          <w:lang w:val="en-GB"/>
        </w:rPr>
        <w:t>IDD and Associates</w:t>
      </w:r>
      <w:r>
        <w:rPr>
          <w:rFonts w:ascii="Gill Sans MT" w:hAnsi="Gill Sans MT"/>
          <w:sz w:val="18"/>
          <w:szCs w:val="18"/>
          <w:lang w:val="en-GB"/>
        </w:rPr>
        <w:t>, (</w:t>
      </w:r>
      <w:r w:rsidRPr="00D4290C">
        <w:rPr>
          <w:rFonts w:ascii="Gill Sans MT" w:hAnsi="Gill Sans MT"/>
          <w:sz w:val="18"/>
          <w:szCs w:val="18"/>
          <w:lang w:val="en-GB"/>
        </w:rPr>
        <w:t xml:space="preserve">2006), </w:t>
      </w:r>
      <w:r w:rsidRPr="00D4290C">
        <w:rPr>
          <w:rFonts w:ascii="Gill Sans MT" w:hAnsi="Gill Sans MT"/>
          <w:sz w:val="18"/>
          <w:szCs w:val="18"/>
          <w:u w:val="single"/>
          <w:lang w:val="en-GB"/>
        </w:rPr>
        <w:t>Evaluation of General Budget Support: Synthesis Report</w:t>
      </w:r>
      <w:r w:rsidRPr="00D4290C">
        <w:rPr>
          <w:rFonts w:ascii="Gill Sans MT" w:hAnsi="Gill Sans MT"/>
          <w:sz w:val="18"/>
          <w:szCs w:val="18"/>
          <w:lang w:val="en-GB"/>
        </w:rPr>
        <w:t>, International Development Department, University of Birmingham, UK. The report summarized the results of country evaluations in Burkina Faso, Malawi, Mozambique, Nicaragua, Rwanda, Uganda and Vietnam.</w:t>
      </w:r>
    </w:p>
  </w:footnote>
  <w:footnote w:id="3">
    <w:p w14:paraId="3E5CE1EE" w14:textId="77777777" w:rsidR="00A751F4" w:rsidRPr="00BC53E9" w:rsidRDefault="00A751F4">
      <w:pPr>
        <w:pStyle w:val="FootnoteText"/>
        <w:rPr>
          <w:lang w:val="en-US"/>
        </w:rPr>
      </w:pPr>
      <w:r>
        <w:rPr>
          <w:rStyle w:val="FootnoteReference"/>
        </w:rPr>
        <w:footnoteRef/>
      </w:r>
      <w:r>
        <w:t xml:space="preserve"> </w:t>
      </w:r>
      <w:r>
        <w:rPr>
          <w:lang w:val="en-US"/>
        </w:rPr>
        <w:tab/>
      </w:r>
      <w:r w:rsidRPr="00AF12C4">
        <w:rPr>
          <w:rFonts w:ascii="Gill Sans MT" w:hAnsi="Gill Sans MT"/>
          <w:sz w:val="18"/>
          <w:szCs w:val="18"/>
          <w:lang w:val="en-GB"/>
        </w:rPr>
        <w:t>The most significant of these is IOB</w:t>
      </w:r>
      <w:r>
        <w:rPr>
          <w:rFonts w:ascii="Gill Sans MT" w:hAnsi="Gill Sans MT"/>
          <w:sz w:val="18"/>
          <w:szCs w:val="18"/>
          <w:lang w:val="en-GB"/>
        </w:rPr>
        <w:t xml:space="preserve"> (2012)</w:t>
      </w:r>
      <w:r w:rsidRPr="00AF12C4">
        <w:rPr>
          <w:rFonts w:ascii="Gill Sans MT" w:hAnsi="Gill Sans MT"/>
          <w:sz w:val="18"/>
          <w:szCs w:val="18"/>
          <w:lang w:val="en-GB"/>
        </w:rPr>
        <w:t xml:space="preserve">, </w:t>
      </w:r>
      <w:r w:rsidRPr="004B7565">
        <w:rPr>
          <w:rFonts w:ascii="Gill Sans MT" w:hAnsi="Gill Sans MT"/>
          <w:sz w:val="18"/>
          <w:szCs w:val="18"/>
          <w:u w:val="single"/>
          <w:lang w:val="en-GB"/>
        </w:rPr>
        <w:t>Budget Support: Conditional Results – Review of an instrument</w:t>
      </w:r>
      <w:r w:rsidRPr="00AF12C4">
        <w:rPr>
          <w:rFonts w:ascii="Gill Sans MT" w:hAnsi="Gill Sans MT"/>
          <w:sz w:val="18"/>
          <w:szCs w:val="18"/>
          <w:lang w:val="en-GB"/>
        </w:rPr>
        <w:t>, Netherlands Ministry of Foreign Affairs, The Hague.</w:t>
      </w:r>
      <w:r>
        <w:rPr>
          <w:rFonts w:ascii="Gill Sans MT" w:hAnsi="Gill Sans MT"/>
          <w:sz w:val="18"/>
          <w:szCs w:val="18"/>
          <w:lang w:val="en-GB"/>
        </w:rPr>
        <w:t xml:space="preserve"> The</w:t>
      </w:r>
      <w:r w:rsidRPr="004B7565">
        <w:rPr>
          <w:rFonts w:ascii="Gill Sans MT" w:hAnsi="Gill Sans MT"/>
          <w:sz w:val="18"/>
          <w:szCs w:val="18"/>
          <w:lang w:val="en-GB"/>
        </w:rPr>
        <w:t xml:space="preserve"> </w:t>
      </w:r>
      <w:r w:rsidRPr="00AF12C4">
        <w:rPr>
          <w:rFonts w:ascii="Gill Sans MT" w:hAnsi="Gill Sans MT"/>
          <w:sz w:val="18"/>
          <w:szCs w:val="18"/>
          <w:lang w:val="en-GB"/>
        </w:rPr>
        <w:t>bibliography</w:t>
      </w:r>
      <w:r>
        <w:rPr>
          <w:rFonts w:ascii="Gill Sans MT" w:hAnsi="Gill Sans MT"/>
          <w:sz w:val="18"/>
          <w:szCs w:val="18"/>
          <w:lang w:val="en-GB"/>
        </w:rPr>
        <w:t xml:space="preserve"> presents a full list of references</w:t>
      </w:r>
      <w:r w:rsidRPr="00AF12C4">
        <w:rPr>
          <w:rFonts w:ascii="Gill Sans MT" w:hAnsi="Gill Sans MT"/>
          <w:sz w:val="18"/>
          <w:szCs w:val="18"/>
          <w:lang w:val="en-GB"/>
        </w:rPr>
        <w:t>.</w:t>
      </w:r>
    </w:p>
  </w:footnote>
  <w:footnote w:id="4">
    <w:p w14:paraId="0C543D42" w14:textId="77777777" w:rsidR="00A751F4" w:rsidRPr="00E1405A" w:rsidRDefault="00A751F4">
      <w:pPr>
        <w:pStyle w:val="FootnoteText"/>
        <w:rPr>
          <w:lang w:val="en-US"/>
        </w:rPr>
      </w:pPr>
      <w:r>
        <w:rPr>
          <w:rStyle w:val="FootnoteReference"/>
        </w:rPr>
        <w:footnoteRef/>
      </w:r>
      <w:r>
        <w:t xml:space="preserve"> </w:t>
      </w:r>
      <w:r>
        <w:rPr>
          <w:lang w:val="en-US"/>
        </w:rPr>
        <w:tab/>
      </w:r>
      <w:r w:rsidRPr="00E1405A">
        <w:rPr>
          <w:rFonts w:ascii="Gill Sans MT" w:hAnsi="Gill Sans MT"/>
          <w:sz w:val="18"/>
          <w:szCs w:val="18"/>
          <w:lang w:val="en-US"/>
        </w:rPr>
        <w:t xml:space="preserve">Caputo, E., A. de Kemp and A. Lawson (October 2011), </w:t>
      </w:r>
      <w:r w:rsidRPr="00E1405A">
        <w:rPr>
          <w:rFonts w:ascii="Gill Sans MT" w:hAnsi="Gill Sans MT"/>
          <w:sz w:val="18"/>
          <w:szCs w:val="18"/>
          <w:u w:val="single"/>
          <w:lang w:val="en-US"/>
        </w:rPr>
        <w:t>Assessing the Impacts of Budget Support: Case studies in Mali, Tunisia and Zambia</w:t>
      </w:r>
      <w:r w:rsidRPr="00E1405A">
        <w:rPr>
          <w:rFonts w:ascii="Gill Sans MT" w:hAnsi="Gill Sans MT"/>
          <w:sz w:val="18"/>
          <w:szCs w:val="18"/>
          <w:lang w:val="en-US"/>
        </w:rPr>
        <w:t>, OECD-DAC Evaluation Insights; Paris</w:t>
      </w:r>
      <w:r>
        <w:rPr>
          <w:lang w:val="en-US"/>
        </w:rPr>
        <w:t xml:space="preserve">  </w:t>
      </w:r>
    </w:p>
  </w:footnote>
  <w:footnote w:id="5">
    <w:p w14:paraId="16BED6A2" w14:textId="77777777" w:rsidR="00A751F4" w:rsidRPr="00766AD8" w:rsidRDefault="00A751F4">
      <w:pPr>
        <w:pStyle w:val="FootnoteText"/>
        <w:rPr>
          <w:lang w:val="en-US"/>
        </w:rPr>
      </w:pPr>
      <w:r>
        <w:rPr>
          <w:rStyle w:val="FootnoteReference"/>
        </w:rPr>
        <w:footnoteRef/>
      </w:r>
      <w:r>
        <w:t xml:space="preserve"> </w:t>
      </w:r>
      <w:r>
        <w:rPr>
          <w:lang w:val="en-US"/>
        </w:rPr>
        <w:tab/>
      </w:r>
      <w:r w:rsidRPr="00766AD8">
        <w:rPr>
          <w:rFonts w:ascii="Gill Sans MT" w:hAnsi="Gill Sans MT"/>
          <w:sz w:val="18"/>
          <w:szCs w:val="18"/>
          <w:lang w:val="en-US"/>
        </w:rPr>
        <w:t xml:space="preserve">OECD-DAC (2006), </w:t>
      </w:r>
      <w:r w:rsidRPr="00392127">
        <w:rPr>
          <w:rFonts w:ascii="Gill Sans MT" w:hAnsi="Gill Sans MT"/>
          <w:sz w:val="18"/>
          <w:szCs w:val="18"/>
          <w:u w:val="single"/>
          <w:lang w:val="en-US"/>
        </w:rPr>
        <w:t>Harmonizing Donor Practice for Effective Aid Delivery: Volume II – Budget Support, Sector-Wide Approaches and Capacity Development in Public Financial Management</w:t>
      </w:r>
      <w:r w:rsidRPr="00766AD8">
        <w:rPr>
          <w:rFonts w:ascii="Gill Sans MT" w:hAnsi="Gill Sans MT"/>
          <w:sz w:val="18"/>
          <w:szCs w:val="18"/>
          <w:lang w:val="en-US"/>
        </w:rPr>
        <w:t>, OECD-DAC, Paris. The same definition is presented in OECD-DAC (2012).</w:t>
      </w:r>
      <w:r>
        <w:rPr>
          <w:lang w:val="en-US"/>
        </w:rPr>
        <w:t xml:space="preserve">  </w:t>
      </w:r>
    </w:p>
  </w:footnote>
  <w:footnote w:id="6">
    <w:p w14:paraId="323CCD88" w14:textId="77777777" w:rsidR="00A751F4" w:rsidRPr="00952D6E" w:rsidRDefault="00A751F4">
      <w:pPr>
        <w:pStyle w:val="FootnoteText"/>
        <w:rPr>
          <w:rFonts w:ascii="Gill Sans MT" w:hAnsi="Gill Sans MT"/>
          <w:sz w:val="18"/>
          <w:szCs w:val="18"/>
          <w:lang w:val="en-US"/>
        </w:rPr>
      </w:pPr>
      <w:r>
        <w:rPr>
          <w:rStyle w:val="FootnoteReference"/>
        </w:rPr>
        <w:footnoteRef/>
      </w:r>
      <w:r>
        <w:t xml:space="preserve"> </w:t>
      </w:r>
      <w:r>
        <w:rPr>
          <w:lang w:val="en-US"/>
        </w:rPr>
        <w:tab/>
      </w:r>
      <w:r w:rsidRPr="00952D6E">
        <w:rPr>
          <w:rFonts w:ascii="Gill Sans MT" w:hAnsi="Gill Sans MT"/>
          <w:sz w:val="18"/>
          <w:szCs w:val="18"/>
          <w:lang w:val="en-US"/>
        </w:rPr>
        <w:t xml:space="preserve">DFID (2005), </w:t>
      </w:r>
      <w:r w:rsidRPr="00952D6E">
        <w:rPr>
          <w:rFonts w:ascii="Gill Sans MT" w:hAnsi="Gill Sans MT"/>
          <w:sz w:val="18"/>
          <w:szCs w:val="18"/>
          <w:u w:val="single"/>
          <w:lang w:val="en-US"/>
        </w:rPr>
        <w:t>Partnerships for Poverty Reduction: Rethinking conditionality – a UK Policy Paper</w:t>
      </w:r>
      <w:r>
        <w:rPr>
          <w:rFonts w:ascii="Gill Sans MT" w:hAnsi="Gill Sans MT"/>
          <w:sz w:val="18"/>
          <w:szCs w:val="18"/>
          <w:lang w:val="en-US"/>
        </w:rPr>
        <w:t xml:space="preserve">, DFID, London; Europe Aid (2002), </w:t>
      </w:r>
      <w:r w:rsidRPr="00952D6E">
        <w:rPr>
          <w:rFonts w:ascii="Gill Sans MT" w:hAnsi="Gill Sans MT"/>
          <w:sz w:val="18"/>
          <w:szCs w:val="18"/>
          <w:u w:val="single"/>
          <w:lang w:val="en-US"/>
        </w:rPr>
        <w:t>Guidelines for the Provision of Budget Support to Third Countries</w:t>
      </w:r>
      <w:r>
        <w:rPr>
          <w:rFonts w:ascii="Gill Sans MT" w:hAnsi="Gill Sans MT"/>
          <w:sz w:val="18"/>
          <w:szCs w:val="18"/>
          <w:lang w:val="en-US"/>
        </w:rPr>
        <w:t xml:space="preserve">, EC, Brussels; NORAD (2005), </w:t>
      </w:r>
      <w:r w:rsidRPr="005A4727">
        <w:rPr>
          <w:rFonts w:ascii="Gill Sans MT" w:hAnsi="Gill Sans MT"/>
          <w:sz w:val="18"/>
          <w:szCs w:val="18"/>
          <w:u w:val="single"/>
          <w:lang w:val="en-US"/>
        </w:rPr>
        <w:t>Direct Budget Support, disbursement mechanisms and predictability</w:t>
      </w:r>
      <w:r>
        <w:rPr>
          <w:rFonts w:ascii="Gill Sans MT" w:hAnsi="Gill Sans MT"/>
          <w:sz w:val="18"/>
          <w:szCs w:val="18"/>
          <w:lang w:val="en-US"/>
        </w:rPr>
        <w:t xml:space="preserve">, NORAD, Oslo; World Bank (2005), </w:t>
      </w:r>
      <w:r w:rsidRPr="005A4727">
        <w:rPr>
          <w:rFonts w:ascii="Gill Sans MT" w:hAnsi="Gill Sans MT"/>
          <w:sz w:val="18"/>
          <w:szCs w:val="18"/>
          <w:u w:val="single"/>
          <w:lang w:val="en-US"/>
        </w:rPr>
        <w:t>Review of World Bank Conditionality</w:t>
      </w:r>
      <w:r>
        <w:rPr>
          <w:rFonts w:ascii="Gill Sans MT" w:hAnsi="Gill Sans MT"/>
          <w:sz w:val="18"/>
          <w:szCs w:val="18"/>
          <w:lang w:val="en-US"/>
        </w:rPr>
        <w:t>, World Bank, Washington D.C.</w:t>
      </w:r>
    </w:p>
  </w:footnote>
  <w:footnote w:id="7">
    <w:p w14:paraId="61A5BB96" w14:textId="77777777" w:rsidR="00A751F4" w:rsidRPr="00ED75F9" w:rsidRDefault="00A751F4">
      <w:pPr>
        <w:pStyle w:val="FootnoteText"/>
        <w:rPr>
          <w:lang w:val="en-US"/>
        </w:rPr>
      </w:pPr>
      <w:r>
        <w:rPr>
          <w:rStyle w:val="FootnoteReference"/>
        </w:rPr>
        <w:footnoteRef/>
      </w:r>
      <w:r>
        <w:t xml:space="preserve"> </w:t>
      </w:r>
      <w:r>
        <w:rPr>
          <w:lang w:val="en-US"/>
        </w:rPr>
        <w:tab/>
      </w:r>
      <w:r w:rsidRPr="00ED75F9">
        <w:rPr>
          <w:rFonts w:ascii="Gill Sans MT" w:hAnsi="Gill Sans MT"/>
          <w:sz w:val="18"/>
          <w:szCs w:val="18"/>
          <w:lang w:val="en-GB"/>
        </w:rPr>
        <w:t>We note, in passing, that the evaluations include political economy analysis (PEA) only to a rather limited extent. This reflects the virtual absence of PEA from the design processes for the operations in these 7 countries. More recent guidelines (e.</w:t>
      </w:r>
      <w:r>
        <w:rPr>
          <w:rFonts w:ascii="Gill Sans MT" w:hAnsi="Gill Sans MT"/>
          <w:sz w:val="18"/>
          <w:szCs w:val="18"/>
          <w:lang w:val="en-GB"/>
        </w:rPr>
        <w:t xml:space="preserve">g., EU, 2012) </w:t>
      </w:r>
      <w:r w:rsidRPr="00ED75F9">
        <w:rPr>
          <w:rFonts w:ascii="Gill Sans MT" w:hAnsi="Gill Sans MT"/>
          <w:sz w:val="18"/>
          <w:szCs w:val="18"/>
          <w:lang w:val="en-GB"/>
        </w:rPr>
        <w:t xml:space="preserve">require a </w:t>
      </w:r>
      <w:r>
        <w:rPr>
          <w:rFonts w:ascii="Gill Sans MT" w:hAnsi="Gill Sans MT"/>
          <w:sz w:val="18"/>
          <w:szCs w:val="18"/>
          <w:lang w:val="en-GB"/>
        </w:rPr>
        <w:t>more detailed analysis, using PEA techniques.</w:t>
      </w:r>
    </w:p>
  </w:footnote>
  <w:footnote w:id="8">
    <w:p w14:paraId="2E1A59E3" w14:textId="77777777" w:rsidR="00A751F4" w:rsidRPr="007162D2" w:rsidRDefault="00A751F4">
      <w:pPr>
        <w:pStyle w:val="FootnoteText"/>
        <w:rPr>
          <w:lang w:val="en-US"/>
        </w:rPr>
      </w:pPr>
      <w:r>
        <w:rPr>
          <w:rStyle w:val="FootnoteReference"/>
        </w:rPr>
        <w:footnoteRef/>
      </w:r>
      <w:r>
        <w:t xml:space="preserve"> </w:t>
      </w:r>
      <w:r>
        <w:rPr>
          <w:lang w:val="en-US"/>
        </w:rPr>
        <w:tab/>
      </w:r>
      <w:r w:rsidRPr="00DE028A">
        <w:rPr>
          <w:rFonts w:ascii="Gill Sans MT" w:hAnsi="Gill Sans MT"/>
          <w:sz w:val="18"/>
          <w:szCs w:val="18"/>
          <w:lang w:val="en-US"/>
        </w:rPr>
        <w:t>In the latter years of the evaluation period, Zambia became classified as a Lower</w:t>
      </w:r>
      <w:r>
        <w:rPr>
          <w:rFonts w:ascii="Gill Sans MT" w:hAnsi="Gill Sans MT"/>
          <w:sz w:val="18"/>
          <w:szCs w:val="18"/>
          <w:lang w:val="en-US"/>
        </w:rPr>
        <w:t xml:space="preserve"> Middle Income Country, </w:t>
      </w:r>
      <w:r w:rsidRPr="00DE028A">
        <w:rPr>
          <w:rFonts w:ascii="Gill Sans MT" w:hAnsi="Gill Sans MT"/>
          <w:sz w:val="18"/>
          <w:szCs w:val="18"/>
          <w:lang w:val="en-US"/>
        </w:rPr>
        <w:t xml:space="preserve">as a consequence of fast economic growth driven </w:t>
      </w:r>
      <w:r>
        <w:rPr>
          <w:rFonts w:ascii="Gill Sans MT" w:hAnsi="Gill Sans MT"/>
          <w:sz w:val="18"/>
          <w:szCs w:val="18"/>
          <w:lang w:val="en-US"/>
        </w:rPr>
        <w:t>by increases i</w:t>
      </w:r>
      <w:r w:rsidRPr="00DE028A">
        <w:rPr>
          <w:rFonts w:ascii="Gill Sans MT" w:hAnsi="Gill Sans MT"/>
          <w:sz w:val="18"/>
          <w:szCs w:val="18"/>
          <w:lang w:val="en-US"/>
        </w:rPr>
        <w:t xml:space="preserve">n the volume </w:t>
      </w:r>
      <w:r>
        <w:rPr>
          <w:rFonts w:ascii="Gill Sans MT" w:hAnsi="Gill Sans MT"/>
          <w:sz w:val="18"/>
          <w:szCs w:val="18"/>
          <w:lang w:val="en-US"/>
        </w:rPr>
        <w:t xml:space="preserve">and prices </w:t>
      </w:r>
      <w:r w:rsidRPr="00DE028A">
        <w:rPr>
          <w:rFonts w:ascii="Gill Sans MT" w:hAnsi="Gill Sans MT"/>
          <w:sz w:val="18"/>
          <w:szCs w:val="18"/>
          <w:lang w:val="en-US"/>
        </w:rPr>
        <w:t>of copper exports (copper prices increased five-fold from 2002-2006.) In 2004, it</w:t>
      </w:r>
      <w:r>
        <w:rPr>
          <w:rFonts w:ascii="Gill Sans MT" w:hAnsi="Gill Sans MT"/>
          <w:sz w:val="18"/>
          <w:szCs w:val="18"/>
          <w:lang w:val="en-US"/>
        </w:rPr>
        <w:t xml:space="preserve"> was still a Low Income Country</w:t>
      </w:r>
      <w:r w:rsidRPr="00DE028A">
        <w:rPr>
          <w:rFonts w:ascii="Gill Sans MT" w:hAnsi="Gill Sans MT"/>
          <w:sz w:val="18"/>
          <w:szCs w:val="18"/>
          <w:lang w:val="en-US"/>
        </w:rPr>
        <w:t>.</w:t>
      </w:r>
    </w:p>
  </w:footnote>
  <w:footnote w:id="9">
    <w:p w14:paraId="43F71EA0" w14:textId="77777777" w:rsidR="00A751F4" w:rsidRPr="00BD6D6D" w:rsidRDefault="00A751F4">
      <w:pPr>
        <w:pStyle w:val="FootnoteText"/>
        <w:rPr>
          <w:lang w:val="en-US"/>
        </w:rPr>
      </w:pPr>
      <w:r>
        <w:rPr>
          <w:rStyle w:val="FootnoteReference"/>
        </w:rPr>
        <w:footnoteRef/>
      </w:r>
      <w:r>
        <w:t xml:space="preserve"> </w:t>
      </w:r>
      <w:r>
        <w:rPr>
          <w:lang w:val="en-US"/>
        </w:rPr>
        <w:tab/>
      </w:r>
      <w:r w:rsidRPr="00BD6D6D">
        <w:rPr>
          <w:rFonts w:ascii="Gill Sans MT" w:hAnsi="Gill Sans MT"/>
          <w:sz w:val="18"/>
          <w:szCs w:val="18"/>
          <w:lang w:val="en-GB"/>
        </w:rPr>
        <w:t xml:space="preserve">Details of the WGI methodology are presented in </w:t>
      </w:r>
      <w:proofErr w:type="spellStart"/>
      <w:r w:rsidRPr="00BD6D6D">
        <w:rPr>
          <w:rFonts w:ascii="Gill Sans MT" w:hAnsi="Gill Sans MT"/>
          <w:sz w:val="18"/>
          <w:szCs w:val="18"/>
          <w:lang w:val="en-GB"/>
        </w:rPr>
        <w:t>Kraay</w:t>
      </w:r>
      <w:proofErr w:type="spellEnd"/>
      <w:r w:rsidRPr="00BD6D6D">
        <w:rPr>
          <w:rFonts w:ascii="Gill Sans MT" w:hAnsi="Gill Sans MT"/>
          <w:sz w:val="18"/>
          <w:szCs w:val="18"/>
          <w:lang w:val="en-GB"/>
        </w:rPr>
        <w:t xml:space="preserve">, Kaufmann &amp; </w:t>
      </w:r>
      <w:proofErr w:type="spellStart"/>
      <w:r w:rsidRPr="00BD6D6D">
        <w:rPr>
          <w:rFonts w:ascii="Gill Sans MT" w:hAnsi="Gill Sans MT"/>
          <w:sz w:val="18"/>
          <w:szCs w:val="18"/>
          <w:lang w:val="en-GB"/>
        </w:rPr>
        <w:t>Mastruzzi</w:t>
      </w:r>
      <w:proofErr w:type="spellEnd"/>
      <w:r w:rsidRPr="00BD6D6D">
        <w:rPr>
          <w:rFonts w:ascii="Gill Sans MT" w:hAnsi="Gill Sans MT"/>
          <w:sz w:val="18"/>
          <w:szCs w:val="18"/>
          <w:lang w:val="en-GB"/>
        </w:rPr>
        <w:t xml:space="preserve"> (2010). As the authors explain: ‘Indicators are based on several hundred variables obtained from 31 different data sources, capturing governance perceptions as reported by survey respondents, NGOs, commercial business information providers and public sector organisations worldwide</w:t>
      </w:r>
      <w:r>
        <w:rPr>
          <w:rFonts w:ascii="Gill Sans MT" w:hAnsi="Gill Sans MT"/>
          <w:sz w:val="18"/>
          <w:szCs w:val="18"/>
          <w:lang w:val="en-US"/>
        </w:rPr>
        <w:t>.’</w:t>
      </w:r>
    </w:p>
  </w:footnote>
  <w:footnote w:id="10">
    <w:p w14:paraId="7A5EACB3" w14:textId="77777777" w:rsidR="00A751F4" w:rsidRPr="00C04C6A" w:rsidRDefault="00A751F4">
      <w:pPr>
        <w:pStyle w:val="FootnoteText"/>
        <w:rPr>
          <w:lang w:val="en-US"/>
        </w:rPr>
      </w:pPr>
      <w:r>
        <w:rPr>
          <w:rStyle w:val="FootnoteReference"/>
        </w:rPr>
        <w:footnoteRef/>
      </w:r>
      <w:r>
        <w:t xml:space="preserve"> </w:t>
      </w:r>
      <w:r>
        <w:tab/>
      </w:r>
      <w:r w:rsidRPr="00810FC2">
        <w:rPr>
          <w:rFonts w:ascii="Gill Sans MT" w:hAnsi="Gill Sans MT"/>
          <w:sz w:val="18"/>
          <w:szCs w:val="18"/>
          <w:lang w:val="en-US"/>
        </w:rPr>
        <w:t xml:space="preserve">Clearly this is a generalization, given that standard errors do differ by dimension and by country but it is a useful rule of thumb for interpreting the </w:t>
      </w:r>
      <w:r>
        <w:rPr>
          <w:rFonts w:ascii="Gill Sans MT" w:hAnsi="Gill Sans MT"/>
          <w:sz w:val="18"/>
          <w:szCs w:val="18"/>
          <w:lang w:val="en-US"/>
        </w:rPr>
        <w:t>WGI rankings. For example, regarding</w:t>
      </w:r>
      <w:r w:rsidRPr="00810FC2">
        <w:rPr>
          <w:rFonts w:ascii="Gill Sans MT" w:hAnsi="Gill Sans MT"/>
          <w:sz w:val="18"/>
          <w:szCs w:val="18"/>
          <w:lang w:val="en-US"/>
        </w:rPr>
        <w:t xml:space="preserve"> control of corruption, Mali has the highest estimate of the 4 countries, -0.5 but with a standard error of +/- 0.2; Zambia has the lowest estimate, -0.7 but also with a standard error of +/- 0.2, thus the difference is not statistically significant.</w:t>
      </w:r>
    </w:p>
  </w:footnote>
  <w:footnote w:id="11">
    <w:p w14:paraId="1D14414C" w14:textId="77777777" w:rsidR="00A751F4" w:rsidRPr="00F97C9F" w:rsidRDefault="00A751F4">
      <w:pPr>
        <w:pStyle w:val="FootnoteText"/>
        <w:rPr>
          <w:lang w:val="en-US"/>
        </w:rPr>
      </w:pPr>
      <w:r>
        <w:rPr>
          <w:rStyle w:val="FootnoteReference"/>
        </w:rPr>
        <w:footnoteRef/>
      </w:r>
      <w:r>
        <w:t xml:space="preserve"> </w:t>
      </w:r>
      <w:r>
        <w:rPr>
          <w:lang w:val="en-US"/>
        </w:rPr>
        <w:tab/>
      </w:r>
      <w:r w:rsidRPr="001A62F2">
        <w:rPr>
          <w:rFonts w:ascii="Gill Sans MT" w:hAnsi="Gill Sans MT"/>
          <w:sz w:val="18"/>
          <w:szCs w:val="18"/>
          <w:lang w:val="en-US"/>
        </w:rPr>
        <w:t>There were</w:t>
      </w:r>
      <w:r>
        <w:rPr>
          <w:lang w:val="en-US"/>
        </w:rPr>
        <w:t xml:space="preserve"> </w:t>
      </w:r>
      <w:r>
        <w:rPr>
          <w:rFonts w:ascii="Gill Sans MT" w:hAnsi="Gill Sans MT"/>
          <w:sz w:val="18"/>
          <w:szCs w:val="18"/>
          <w:lang w:val="en-US"/>
        </w:rPr>
        <w:t xml:space="preserve">delays </w:t>
      </w:r>
      <w:r w:rsidRPr="00F97C9F">
        <w:rPr>
          <w:rFonts w:ascii="Gill Sans MT" w:hAnsi="Gill Sans MT"/>
          <w:sz w:val="18"/>
          <w:szCs w:val="18"/>
          <w:lang w:val="en-US"/>
        </w:rPr>
        <w:t>in Mali in the release of some variable tranches of</w:t>
      </w:r>
      <w:r>
        <w:rPr>
          <w:rFonts w:ascii="Gill Sans MT" w:hAnsi="Gill Sans MT"/>
          <w:sz w:val="18"/>
          <w:szCs w:val="18"/>
          <w:lang w:val="en-US"/>
        </w:rPr>
        <w:t xml:space="preserve"> SBS - </w:t>
      </w:r>
      <w:r w:rsidRPr="00F97C9F">
        <w:rPr>
          <w:rFonts w:ascii="Gill Sans MT" w:hAnsi="Gill Sans MT"/>
          <w:sz w:val="18"/>
          <w:szCs w:val="18"/>
          <w:lang w:val="en-US"/>
        </w:rPr>
        <w:t>not due to disagreements over underlying</w:t>
      </w:r>
      <w:r>
        <w:rPr>
          <w:rFonts w:ascii="Gill Sans MT" w:hAnsi="Gill Sans MT"/>
          <w:sz w:val="18"/>
          <w:szCs w:val="18"/>
          <w:lang w:val="en-US"/>
        </w:rPr>
        <w:t xml:space="preserve"> principles but </w:t>
      </w:r>
      <w:r w:rsidRPr="00F97C9F">
        <w:rPr>
          <w:rFonts w:ascii="Gill Sans MT" w:hAnsi="Gill Sans MT"/>
          <w:sz w:val="18"/>
          <w:szCs w:val="18"/>
          <w:lang w:val="en-US"/>
        </w:rPr>
        <w:t>to administr</w:t>
      </w:r>
      <w:r>
        <w:rPr>
          <w:rFonts w:ascii="Gill Sans MT" w:hAnsi="Gill Sans MT"/>
          <w:sz w:val="18"/>
          <w:szCs w:val="18"/>
          <w:lang w:val="en-US"/>
        </w:rPr>
        <w:t>ative reasons, such as delays in making reports available</w:t>
      </w:r>
      <w:r w:rsidRPr="00F97C9F">
        <w:rPr>
          <w:rFonts w:ascii="Gill Sans MT" w:hAnsi="Gill Sans MT"/>
          <w:sz w:val="18"/>
          <w:szCs w:val="18"/>
          <w:lang w:val="en-US"/>
        </w:rPr>
        <w:t>.</w:t>
      </w:r>
    </w:p>
  </w:footnote>
  <w:footnote w:id="12">
    <w:p w14:paraId="2D19B43D" w14:textId="77777777" w:rsidR="00A751F4" w:rsidRPr="00F237A5" w:rsidRDefault="00A751F4" w:rsidP="000D5934">
      <w:pPr>
        <w:pStyle w:val="FootnoteText"/>
        <w:rPr>
          <w:lang w:val="en-US"/>
        </w:rPr>
      </w:pPr>
      <w:r>
        <w:rPr>
          <w:rStyle w:val="FootnoteReference"/>
        </w:rPr>
        <w:footnoteRef/>
      </w:r>
      <w:r>
        <w:t xml:space="preserve"> </w:t>
      </w:r>
      <w:r>
        <w:rPr>
          <w:lang w:val="en-US"/>
        </w:rPr>
        <w:tab/>
      </w:r>
      <w:r>
        <w:rPr>
          <w:rFonts w:ascii="Gill Sans MT" w:hAnsi="Gill Sans MT"/>
          <w:sz w:val="18"/>
          <w:szCs w:val="18"/>
          <w:lang w:val="en-US"/>
        </w:rPr>
        <w:t xml:space="preserve">Within this </w:t>
      </w:r>
      <w:r w:rsidRPr="001D02B6">
        <w:rPr>
          <w:rFonts w:ascii="Gill Sans MT" w:hAnsi="Gill Sans MT"/>
          <w:sz w:val="18"/>
          <w:szCs w:val="18"/>
          <w:lang w:val="en-US"/>
        </w:rPr>
        <w:t>categorization, Malawi, Ethi</w:t>
      </w:r>
      <w:r>
        <w:rPr>
          <w:rFonts w:ascii="Gill Sans MT" w:hAnsi="Gill Sans MT"/>
          <w:sz w:val="18"/>
          <w:szCs w:val="18"/>
          <w:lang w:val="en-US"/>
        </w:rPr>
        <w:t xml:space="preserve">opia and </w:t>
      </w:r>
      <w:r w:rsidRPr="001D02B6">
        <w:rPr>
          <w:rFonts w:ascii="Gill Sans MT" w:hAnsi="Gill Sans MT"/>
          <w:sz w:val="18"/>
          <w:szCs w:val="18"/>
          <w:lang w:val="en-US"/>
        </w:rPr>
        <w:t xml:space="preserve">Uganda would be characterized as countries experiencing </w:t>
      </w:r>
      <w:r w:rsidRPr="001D02B6">
        <w:rPr>
          <w:rFonts w:ascii="Gill Sans MT" w:hAnsi="Gill Sans MT"/>
          <w:sz w:val="18"/>
          <w:szCs w:val="18"/>
          <w:u w:val="single"/>
          <w:lang w:val="en-US"/>
        </w:rPr>
        <w:t xml:space="preserve">high </w:t>
      </w:r>
      <w:r w:rsidRPr="001D02B6">
        <w:rPr>
          <w:rFonts w:ascii="Gill Sans MT" w:hAnsi="Gill Sans MT"/>
          <w:sz w:val="18"/>
          <w:szCs w:val="18"/>
          <w:lang w:val="en-US"/>
        </w:rPr>
        <w:t>tension</w:t>
      </w:r>
      <w:r>
        <w:rPr>
          <w:rFonts w:ascii="Gill Sans MT" w:hAnsi="Gill Sans MT"/>
          <w:sz w:val="18"/>
          <w:szCs w:val="18"/>
          <w:lang w:val="en-US"/>
        </w:rPr>
        <w:t xml:space="preserve"> in relations because </w:t>
      </w:r>
      <w:r w:rsidRPr="001D02B6">
        <w:rPr>
          <w:rFonts w:ascii="Gill Sans MT" w:hAnsi="Gill Sans MT"/>
          <w:sz w:val="18"/>
          <w:szCs w:val="18"/>
          <w:lang w:val="en-US"/>
        </w:rPr>
        <w:t>budget support suspensions had more significant financial effects due to the length of t</w:t>
      </w:r>
      <w:r>
        <w:rPr>
          <w:rFonts w:ascii="Gill Sans MT" w:hAnsi="Gill Sans MT"/>
          <w:sz w:val="18"/>
          <w:szCs w:val="18"/>
          <w:lang w:val="en-US"/>
        </w:rPr>
        <w:t xml:space="preserve">he suspensions </w:t>
      </w:r>
      <w:r w:rsidRPr="001D02B6">
        <w:rPr>
          <w:rFonts w:ascii="Gill Sans MT" w:hAnsi="Gill Sans MT"/>
          <w:sz w:val="18"/>
          <w:szCs w:val="18"/>
          <w:lang w:val="en-US"/>
        </w:rPr>
        <w:t xml:space="preserve">or the scale of resources involved. See also </w:t>
      </w:r>
      <w:proofErr w:type="spellStart"/>
      <w:r w:rsidRPr="001D02B6">
        <w:rPr>
          <w:rFonts w:ascii="Gill Sans MT" w:hAnsi="Gill Sans MT"/>
          <w:sz w:val="18"/>
          <w:szCs w:val="18"/>
          <w:lang w:val="en-US"/>
        </w:rPr>
        <w:t>Molenaers</w:t>
      </w:r>
      <w:proofErr w:type="spellEnd"/>
      <w:r w:rsidRPr="001D02B6">
        <w:rPr>
          <w:rFonts w:ascii="Gill Sans MT" w:hAnsi="Gill Sans MT"/>
          <w:sz w:val="18"/>
          <w:szCs w:val="18"/>
          <w:lang w:val="en-US"/>
        </w:rPr>
        <w:t xml:space="preserve"> et al., 2013.</w:t>
      </w:r>
    </w:p>
  </w:footnote>
  <w:footnote w:id="13">
    <w:p w14:paraId="4E244168" w14:textId="77777777" w:rsidR="00A751F4" w:rsidRPr="00592AF2" w:rsidRDefault="00A751F4">
      <w:pPr>
        <w:pStyle w:val="FootnoteText"/>
        <w:rPr>
          <w:lang w:val="en-US"/>
        </w:rPr>
      </w:pPr>
      <w:r>
        <w:rPr>
          <w:rStyle w:val="FootnoteReference"/>
        </w:rPr>
        <w:footnoteRef/>
      </w:r>
      <w:r>
        <w:t xml:space="preserve"> </w:t>
      </w:r>
      <w:r>
        <w:rPr>
          <w:lang w:val="en-US"/>
        </w:rPr>
        <w:tab/>
      </w:r>
      <w:r w:rsidRPr="00592AF2">
        <w:rPr>
          <w:rFonts w:ascii="Gill Sans MT" w:hAnsi="Gill Sans MT"/>
          <w:sz w:val="18"/>
          <w:szCs w:val="18"/>
          <w:lang w:val="en-US"/>
        </w:rPr>
        <w:t>In Tanzania this shift in attitudes followed the revelation of the “Richmond” and Bank of Tanzania External Payments Account corruption scandals in 2008</w:t>
      </w:r>
      <w:r>
        <w:rPr>
          <w:rFonts w:ascii="Gill Sans MT" w:hAnsi="Gill Sans MT"/>
          <w:sz w:val="18"/>
          <w:szCs w:val="18"/>
          <w:lang w:val="en-US"/>
        </w:rPr>
        <w:t>. In Zambia, this shift (in 200() was prompted by poor poverty results, disagreements over fertilizer subsidies, and a corruption scandal in the health sector.</w:t>
      </w:r>
    </w:p>
  </w:footnote>
  <w:footnote w:id="14">
    <w:p w14:paraId="690043DA" w14:textId="77777777" w:rsidR="00A751F4" w:rsidRPr="00562A93" w:rsidRDefault="00A751F4" w:rsidP="00C91602">
      <w:pPr>
        <w:pStyle w:val="FootnoteText"/>
        <w:rPr>
          <w:lang w:val="en-US"/>
        </w:rPr>
      </w:pPr>
      <w:r w:rsidRPr="00562A93">
        <w:rPr>
          <w:rStyle w:val="FootnoteReference"/>
          <w:rFonts w:ascii="Gill Sans MT" w:hAnsi="Gill Sans MT"/>
          <w:sz w:val="18"/>
          <w:szCs w:val="18"/>
        </w:rPr>
        <w:footnoteRef/>
      </w:r>
      <w:r w:rsidRPr="00562A93">
        <w:rPr>
          <w:rStyle w:val="FootnoteReference"/>
          <w:rFonts w:ascii="Gill Sans MT" w:hAnsi="Gill Sans MT"/>
          <w:sz w:val="18"/>
          <w:szCs w:val="18"/>
        </w:rPr>
        <w:t xml:space="preserve"> </w:t>
      </w:r>
      <w:r w:rsidRPr="00562A93">
        <w:rPr>
          <w:rStyle w:val="FootnoteReference"/>
          <w:rFonts w:ascii="Gill Sans MT" w:hAnsi="Gill Sans MT"/>
          <w:sz w:val="18"/>
          <w:szCs w:val="18"/>
        </w:rPr>
        <w:tab/>
      </w:r>
      <w:r w:rsidRPr="00562A93">
        <w:rPr>
          <w:rFonts w:ascii="Gill Sans MT" w:hAnsi="Gill Sans MT"/>
          <w:sz w:val="18"/>
          <w:szCs w:val="18"/>
          <w:lang w:val="en-US"/>
        </w:rPr>
        <w:t>The OECD-DAC Creditor Reporting System tends to overstate project and common basket fund disbursements but is the only available international source. By way of example, the Tan</w:t>
      </w:r>
      <w:r>
        <w:rPr>
          <w:rFonts w:ascii="Gill Sans MT" w:hAnsi="Gill Sans MT"/>
          <w:sz w:val="18"/>
          <w:szCs w:val="18"/>
          <w:lang w:val="en-US"/>
        </w:rPr>
        <w:t xml:space="preserve">zania Ministry of Finance </w:t>
      </w:r>
      <w:r w:rsidRPr="00562A93">
        <w:rPr>
          <w:rFonts w:ascii="Gill Sans MT" w:hAnsi="Gill Sans MT"/>
          <w:sz w:val="18"/>
          <w:szCs w:val="18"/>
          <w:lang w:val="en-US"/>
        </w:rPr>
        <w:t>estimates that Budget Support averaged 37% of O</w:t>
      </w:r>
      <w:r>
        <w:rPr>
          <w:rFonts w:ascii="Gill Sans MT" w:hAnsi="Gill Sans MT"/>
          <w:sz w:val="18"/>
          <w:szCs w:val="18"/>
          <w:lang w:val="en-US"/>
        </w:rPr>
        <w:t>DA</w:t>
      </w:r>
      <w:r w:rsidRPr="00562A93">
        <w:rPr>
          <w:rFonts w:ascii="Gill Sans MT" w:hAnsi="Gill Sans MT"/>
          <w:sz w:val="18"/>
          <w:szCs w:val="18"/>
          <w:lang w:val="en-US"/>
        </w:rPr>
        <w:t>.</w:t>
      </w:r>
    </w:p>
  </w:footnote>
  <w:footnote w:id="15">
    <w:p w14:paraId="5FEE03ED" w14:textId="77777777" w:rsidR="00A751F4" w:rsidRPr="00791D48" w:rsidRDefault="00A751F4">
      <w:pPr>
        <w:pStyle w:val="FootnoteText"/>
        <w:rPr>
          <w:lang w:val="en-US"/>
        </w:rPr>
      </w:pPr>
      <w:r>
        <w:rPr>
          <w:rStyle w:val="FootnoteReference"/>
        </w:rPr>
        <w:footnoteRef/>
      </w:r>
      <w:r>
        <w:t xml:space="preserve"> </w:t>
      </w:r>
      <w:r>
        <w:rPr>
          <w:lang w:val="en-US"/>
        </w:rPr>
        <w:tab/>
      </w:r>
      <w:r w:rsidRPr="00791D48">
        <w:rPr>
          <w:rFonts w:ascii="Gill Sans MT" w:hAnsi="Gill Sans MT"/>
          <w:sz w:val="18"/>
          <w:szCs w:val="18"/>
          <w:lang w:val="en-GB"/>
        </w:rPr>
        <w:t>The Cotton SBS was concluded in 2006 and was thus not analysed in the evaluation.</w:t>
      </w:r>
    </w:p>
  </w:footnote>
  <w:footnote w:id="16">
    <w:p w14:paraId="4919906F" w14:textId="77777777" w:rsidR="00A751F4" w:rsidRPr="00DD5DD7" w:rsidRDefault="00A751F4" w:rsidP="00C56A53">
      <w:pPr>
        <w:pStyle w:val="FootnoteText"/>
        <w:rPr>
          <w:lang w:val="en-US"/>
        </w:rPr>
      </w:pPr>
      <w:r>
        <w:rPr>
          <w:rStyle w:val="FootnoteReference"/>
        </w:rPr>
        <w:footnoteRef/>
      </w:r>
      <w:r>
        <w:t xml:space="preserve"> </w:t>
      </w:r>
      <w:r>
        <w:rPr>
          <w:lang w:val="en-US"/>
        </w:rPr>
        <w:tab/>
      </w:r>
      <w:r>
        <w:rPr>
          <w:rFonts w:ascii="Gill Sans MT" w:hAnsi="Gill Sans MT"/>
          <w:sz w:val="18"/>
          <w:szCs w:val="18"/>
          <w:lang w:val="en-US"/>
        </w:rPr>
        <w:t xml:space="preserve">Precise </w:t>
      </w:r>
      <w:r w:rsidRPr="00DD5DD7">
        <w:rPr>
          <w:rFonts w:ascii="Gill Sans MT" w:hAnsi="Gill Sans MT"/>
          <w:sz w:val="18"/>
          <w:szCs w:val="18"/>
          <w:lang w:val="en-US"/>
        </w:rPr>
        <w:t>data on the value of v</w:t>
      </w:r>
      <w:r>
        <w:rPr>
          <w:rFonts w:ascii="Gill Sans MT" w:hAnsi="Gill Sans MT"/>
          <w:sz w:val="18"/>
          <w:szCs w:val="18"/>
          <w:lang w:val="en-US"/>
        </w:rPr>
        <w:t>ariable tranche disbursements are</w:t>
      </w:r>
      <w:r w:rsidRPr="00DD5DD7">
        <w:rPr>
          <w:rFonts w:ascii="Gill Sans MT" w:hAnsi="Gill Sans MT"/>
          <w:sz w:val="18"/>
          <w:szCs w:val="18"/>
          <w:lang w:val="en-US"/>
        </w:rPr>
        <w:t xml:space="preserve"> not presented in the evaluations but in Zambia</w:t>
      </w:r>
      <w:r>
        <w:rPr>
          <w:rFonts w:ascii="Gill Sans MT" w:hAnsi="Gill Sans MT"/>
          <w:sz w:val="18"/>
          <w:szCs w:val="18"/>
          <w:lang w:val="en-US"/>
        </w:rPr>
        <w:t xml:space="preserve"> they are reported to comprise</w:t>
      </w:r>
      <w:r w:rsidRPr="00DD5DD7">
        <w:rPr>
          <w:rFonts w:ascii="Gill Sans MT" w:hAnsi="Gill Sans MT"/>
          <w:sz w:val="18"/>
          <w:szCs w:val="18"/>
          <w:lang w:val="en-US"/>
        </w:rPr>
        <w:t xml:space="preserve"> 16% of the total in</w:t>
      </w:r>
      <w:r>
        <w:rPr>
          <w:rFonts w:ascii="Gill Sans MT" w:hAnsi="Gill Sans MT"/>
          <w:sz w:val="18"/>
          <w:szCs w:val="18"/>
          <w:lang w:val="en-US"/>
        </w:rPr>
        <w:t xml:space="preserve"> 2007 (</w:t>
      </w:r>
      <w:proofErr w:type="spellStart"/>
      <w:r>
        <w:rPr>
          <w:rFonts w:ascii="Gill Sans MT" w:hAnsi="Gill Sans MT"/>
          <w:sz w:val="18"/>
          <w:szCs w:val="18"/>
          <w:lang w:val="en-US"/>
        </w:rPr>
        <w:t>Gerster</w:t>
      </w:r>
      <w:proofErr w:type="spellEnd"/>
      <w:r>
        <w:rPr>
          <w:rFonts w:ascii="Gill Sans MT" w:hAnsi="Gill Sans MT"/>
          <w:sz w:val="18"/>
          <w:szCs w:val="18"/>
          <w:lang w:val="en-US"/>
        </w:rPr>
        <w:t xml:space="preserve"> &amp; </w:t>
      </w:r>
      <w:proofErr w:type="spellStart"/>
      <w:r>
        <w:rPr>
          <w:rFonts w:ascii="Gill Sans MT" w:hAnsi="Gill Sans MT"/>
          <w:sz w:val="18"/>
          <w:szCs w:val="18"/>
          <w:lang w:val="en-US"/>
        </w:rPr>
        <w:t>Chikwekwe</w:t>
      </w:r>
      <w:proofErr w:type="spellEnd"/>
      <w:r>
        <w:rPr>
          <w:rFonts w:ascii="Gill Sans MT" w:hAnsi="Gill Sans MT"/>
          <w:sz w:val="18"/>
          <w:szCs w:val="18"/>
          <w:lang w:val="en-US"/>
        </w:rPr>
        <w:t>, 2007)</w:t>
      </w:r>
      <w:r w:rsidRPr="00DD5DD7">
        <w:rPr>
          <w:rFonts w:ascii="Gill Sans MT" w:hAnsi="Gill Sans MT"/>
          <w:sz w:val="18"/>
          <w:szCs w:val="18"/>
          <w:lang w:val="en-US"/>
        </w:rPr>
        <w:t>, and 11</w:t>
      </w:r>
      <w:r>
        <w:rPr>
          <w:rFonts w:ascii="Gill Sans MT" w:hAnsi="Gill Sans MT"/>
          <w:sz w:val="18"/>
          <w:szCs w:val="18"/>
          <w:lang w:val="en-US"/>
        </w:rPr>
        <w:t xml:space="preserve"> - 15</w:t>
      </w:r>
      <w:r w:rsidRPr="00DD5DD7">
        <w:rPr>
          <w:rFonts w:ascii="Gill Sans MT" w:hAnsi="Gill Sans MT"/>
          <w:sz w:val="18"/>
          <w:szCs w:val="18"/>
          <w:lang w:val="en-US"/>
        </w:rPr>
        <w:t>% of the total in Mozambique</w:t>
      </w:r>
      <w:r>
        <w:rPr>
          <w:rFonts w:ascii="Gill Sans MT" w:hAnsi="Gill Sans MT"/>
          <w:sz w:val="18"/>
          <w:szCs w:val="18"/>
          <w:lang w:val="en-US"/>
        </w:rPr>
        <w:t xml:space="preserve"> in 2012.</w:t>
      </w:r>
      <w:r w:rsidRPr="00DD5DD7">
        <w:rPr>
          <w:rFonts w:ascii="Gill Sans MT" w:hAnsi="Gill Sans MT"/>
          <w:sz w:val="18"/>
          <w:szCs w:val="18"/>
          <w:lang w:val="en-US"/>
        </w:rPr>
        <w:t xml:space="preserve"> (US$ 49 m. </w:t>
      </w:r>
      <w:r>
        <w:rPr>
          <w:rFonts w:ascii="Gill Sans MT" w:hAnsi="Gill Sans MT"/>
          <w:sz w:val="18"/>
          <w:szCs w:val="18"/>
          <w:lang w:val="en-US"/>
        </w:rPr>
        <w:t xml:space="preserve">disbursed </w:t>
      </w:r>
      <w:r w:rsidRPr="00DD5DD7">
        <w:rPr>
          <w:rFonts w:ascii="Gill Sans MT" w:hAnsi="Gill Sans MT"/>
          <w:sz w:val="18"/>
          <w:szCs w:val="18"/>
          <w:lang w:val="en-US"/>
        </w:rPr>
        <w:t>out of a potential US$ 70m: ITAD, 2013, p.74)</w:t>
      </w:r>
    </w:p>
  </w:footnote>
  <w:footnote w:id="17">
    <w:p w14:paraId="0C285B30" w14:textId="77777777" w:rsidR="00A751F4" w:rsidRPr="00540C2D" w:rsidRDefault="00A751F4">
      <w:pPr>
        <w:pStyle w:val="FootnoteText"/>
        <w:rPr>
          <w:lang w:val="en-US"/>
        </w:rPr>
      </w:pPr>
      <w:r>
        <w:rPr>
          <w:rStyle w:val="FootnoteReference"/>
        </w:rPr>
        <w:footnoteRef/>
      </w:r>
      <w:r>
        <w:t xml:space="preserve"> </w:t>
      </w:r>
      <w:r>
        <w:rPr>
          <w:lang w:val="en-US"/>
        </w:rPr>
        <w:tab/>
      </w:r>
      <w:r w:rsidRPr="00540C2D">
        <w:rPr>
          <w:rFonts w:ascii="Gill Sans MT" w:hAnsi="Gill Sans MT"/>
          <w:sz w:val="18"/>
          <w:szCs w:val="18"/>
          <w:lang w:val="en-US"/>
        </w:rPr>
        <w:t xml:space="preserve">Two problems reported in Mali are relevant in this respect: 1) some of the indicators incorporated in the </w:t>
      </w:r>
      <w:proofErr w:type="spellStart"/>
      <w:r w:rsidRPr="00540C2D">
        <w:rPr>
          <w:rFonts w:ascii="Gill Sans MT" w:hAnsi="Gill Sans MT"/>
          <w:sz w:val="18"/>
          <w:szCs w:val="18"/>
          <w:lang w:val="en-US"/>
        </w:rPr>
        <w:t>Decentralisation</w:t>
      </w:r>
      <w:proofErr w:type="spellEnd"/>
      <w:r w:rsidRPr="00540C2D">
        <w:rPr>
          <w:rFonts w:ascii="Gill Sans MT" w:hAnsi="Gill Sans MT"/>
          <w:sz w:val="18"/>
          <w:szCs w:val="18"/>
          <w:lang w:val="en-US"/>
        </w:rPr>
        <w:t xml:space="preserve"> SBS were not based on existing data sources and therefore proved impossible to report upon; 2) for the health and education SBSs, certain indicators were not automatically generated by existing reporting systems and therefore required apparently complex re-calculations from existing data.</w:t>
      </w:r>
    </w:p>
  </w:footnote>
  <w:footnote w:id="18">
    <w:p w14:paraId="033EFEB5" w14:textId="77777777" w:rsidR="00A751F4" w:rsidRPr="005E5271" w:rsidRDefault="00A751F4">
      <w:pPr>
        <w:pStyle w:val="FootnoteText"/>
        <w:rPr>
          <w:lang w:val="en-US"/>
        </w:rPr>
      </w:pPr>
      <w:r>
        <w:rPr>
          <w:rStyle w:val="FootnoteReference"/>
        </w:rPr>
        <w:footnoteRef/>
      </w:r>
      <w:r>
        <w:t xml:space="preserve"> </w:t>
      </w:r>
      <w:r>
        <w:rPr>
          <w:lang w:val="en-US"/>
        </w:rPr>
        <w:tab/>
      </w:r>
      <w:r w:rsidRPr="00BD4BC9">
        <w:rPr>
          <w:rFonts w:ascii="Gill Sans MT" w:hAnsi="Gill Sans MT"/>
          <w:sz w:val="18"/>
          <w:szCs w:val="18"/>
          <w:lang w:val="en-US"/>
        </w:rPr>
        <w:t xml:space="preserve">A study by </w:t>
      </w:r>
      <w:proofErr w:type="spellStart"/>
      <w:r w:rsidRPr="00BD4BC9">
        <w:rPr>
          <w:rFonts w:ascii="Gill Sans MT" w:hAnsi="Gill Sans MT"/>
          <w:sz w:val="18"/>
          <w:szCs w:val="18"/>
          <w:lang w:val="en-US"/>
        </w:rPr>
        <w:t>Celasun</w:t>
      </w:r>
      <w:proofErr w:type="spellEnd"/>
      <w:r w:rsidRPr="00BD4BC9">
        <w:rPr>
          <w:rFonts w:ascii="Gill Sans MT" w:hAnsi="Gill Sans MT"/>
          <w:sz w:val="18"/>
          <w:szCs w:val="18"/>
          <w:lang w:val="en-US"/>
        </w:rPr>
        <w:t xml:space="preserve"> and </w:t>
      </w:r>
      <w:proofErr w:type="spellStart"/>
      <w:r w:rsidRPr="00BD4BC9">
        <w:rPr>
          <w:rFonts w:ascii="Gill Sans MT" w:hAnsi="Gill Sans MT"/>
          <w:sz w:val="18"/>
          <w:szCs w:val="18"/>
          <w:lang w:val="en-US"/>
        </w:rPr>
        <w:t>Walliser</w:t>
      </w:r>
      <w:proofErr w:type="spellEnd"/>
      <w:r w:rsidRPr="00BD4BC9">
        <w:rPr>
          <w:rFonts w:ascii="Gill Sans MT" w:hAnsi="Gill Sans MT"/>
          <w:sz w:val="18"/>
          <w:szCs w:val="18"/>
          <w:lang w:val="en-US"/>
        </w:rPr>
        <w:t xml:space="preserve"> (2006) shows that the greater the differences between commitments and disbursements, the fewer budget support funds are used for additional expenditures: in such cases, it is much more likely that domestic debt increases or reduces.</w:t>
      </w:r>
      <w:r>
        <w:rPr>
          <w:lang w:val="en-US"/>
        </w:rPr>
        <w:t xml:space="preserve"> </w:t>
      </w:r>
    </w:p>
  </w:footnote>
  <w:footnote w:id="19">
    <w:p w14:paraId="22BE170F" w14:textId="77777777" w:rsidR="00A751F4" w:rsidRPr="00EE7F73" w:rsidRDefault="00A751F4">
      <w:pPr>
        <w:pStyle w:val="FootnoteText"/>
        <w:rPr>
          <w:lang w:val="en-US"/>
        </w:rPr>
      </w:pPr>
      <w:r>
        <w:rPr>
          <w:rStyle w:val="FootnoteReference"/>
        </w:rPr>
        <w:footnoteRef/>
      </w:r>
      <w:r>
        <w:t xml:space="preserve"> </w:t>
      </w:r>
      <w:r>
        <w:rPr>
          <w:lang w:val="en-US"/>
        </w:rPr>
        <w:tab/>
      </w:r>
      <w:r w:rsidRPr="008768B9">
        <w:rPr>
          <w:rFonts w:ascii="Gill Sans MT" w:hAnsi="Gill Sans MT"/>
          <w:sz w:val="18"/>
          <w:szCs w:val="18"/>
          <w:lang w:val="en-US"/>
        </w:rPr>
        <w:t>Most significantly, in no case did these s</w:t>
      </w:r>
      <w:r>
        <w:rPr>
          <w:rFonts w:ascii="Gill Sans MT" w:hAnsi="Gill Sans MT"/>
          <w:sz w:val="18"/>
          <w:szCs w:val="18"/>
          <w:lang w:val="en-US"/>
        </w:rPr>
        <w:t>uspensions affect</w:t>
      </w:r>
      <w:r w:rsidRPr="008768B9">
        <w:rPr>
          <w:rFonts w:ascii="Gill Sans MT" w:hAnsi="Gill Sans MT"/>
          <w:sz w:val="18"/>
          <w:szCs w:val="18"/>
          <w:lang w:val="en-US"/>
        </w:rPr>
        <w:t xml:space="preserve"> disbursement by the World Bank through its PRSC operations. EU budget support arrangements were also unaffected, because the </w:t>
      </w:r>
      <w:proofErr w:type="spellStart"/>
      <w:r w:rsidRPr="008768B9">
        <w:rPr>
          <w:rFonts w:ascii="Gill Sans MT" w:hAnsi="Gill Sans MT"/>
          <w:sz w:val="18"/>
          <w:szCs w:val="18"/>
          <w:lang w:val="en-US"/>
        </w:rPr>
        <w:t>Cotonou</w:t>
      </w:r>
      <w:proofErr w:type="spellEnd"/>
      <w:r w:rsidRPr="008768B9">
        <w:rPr>
          <w:rFonts w:ascii="Gill Sans MT" w:hAnsi="Gill Sans MT"/>
          <w:sz w:val="18"/>
          <w:szCs w:val="18"/>
          <w:lang w:val="en-US"/>
        </w:rPr>
        <w:t xml:space="preserve"> agreement includes a different procedure for addressing breaches of underlying principles.</w:t>
      </w:r>
    </w:p>
  </w:footnote>
  <w:footnote w:id="20">
    <w:p w14:paraId="718761DB" w14:textId="77777777" w:rsidR="00A751F4" w:rsidRPr="00A166E8" w:rsidRDefault="00A751F4">
      <w:pPr>
        <w:pStyle w:val="FootnoteText"/>
        <w:rPr>
          <w:lang w:val="en-US"/>
        </w:rPr>
      </w:pPr>
      <w:r>
        <w:rPr>
          <w:rStyle w:val="FootnoteReference"/>
        </w:rPr>
        <w:footnoteRef/>
      </w:r>
      <w:r>
        <w:t xml:space="preserve"> </w:t>
      </w:r>
      <w:r>
        <w:rPr>
          <w:lang w:val="en-US"/>
        </w:rPr>
        <w:tab/>
      </w:r>
      <w:r w:rsidRPr="00E759C7">
        <w:rPr>
          <w:rFonts w:ascii="Gill Sans MT" w:hAnsi="Gill Sans MT"/>
          <w:sz w:val="18"/>
          <w:szCs w:val="18"/>
          <w:lang w:val="en-US"/>
        </w:rPr>
        <w:t>Further evidence for this conclusion is provided by a World Bank study of 2005, which calculates that $142 could be disbursed through PRSCs for every one dollar of preparation &amp; sup</w:t>
      </w:r>
      <w:r>
        <w:rPr>
          <w:rFonts w:ascii="Gill Sans MT" w:hAnsi="Gill Sans MT"/>
          <w:sz w:val="18"/>
          <w:szCs w:val="18"/>
          <w:lang w:val="en-US"/>
        </w:rPr>
        <w:t>ervision costs, as opposed to only $</w:t>
      </w:r>
      <w:r w:rsidRPr="00E759C7">
        <w:rPr>
          <w:rFonts w:ascii="Gill Sans MT" w:hAnsi="Gill Sans MT"/>
          <w:sz w:val="18"/>
          <w:szCs w:val="18"/>
          <w:lang w:val="en-US"/>
        </w:rPr>
        <w:t>32 for projects. (Quoted in ODI, 2007 and NAO, 2008.)</w:t>
      </w:r>
    </w:p>
  </w:footnote>
  <w:footnote w:id="21">
    <w:p w14:paraId="71C2035E" w14:textId="77777777" w:rsidR="00A751F4" w:rsidRPr="00783390" w:rsidRDefault="00A751F4">
      <w:pPr>
        <w:pStyle w:val="FootnoteText"/>
        <w:rPr>
          <w:lang w:val="en-US"/>
        </w:rPr>
      </w:pPr>
      <w:r>
        <w:rPr>
          <w:rStyle w:val="FootnoteReference"/>
        </w:rPr>
        <w:footnoteRef/>
      </w:r>
      <w:r>
        <w:t xml:space="preserve"> </w:t>
      </w:r>
      <w:r>
        <w:rPr>
          <w:lang w:val="en-US"/>
        </w:rPr>
        <w:tab/>
      </w:r>
      <w:r>
        <w:rPr>
          <w:rFonts w:ascii="Gill Sans MT" w:hAnsi="Gill Sans MT"/>
          <w:sz w:val="18"/>
          <w:szCs w:val="18"/>
          <w:lang w:val="en-US"/>
        </w:rPr>
        <w:t xml:space="preserve">As </w:t>
      </w:r>
      <w:r w:rsidRPr="00783390">
        <w:rPr>
          <w:rFonts w:ascii="Gill Sans MT" w:hAnsi="Gill Sans MT"/>
          <w:sz w:val="18"/>
          <w:szCs w:val="18"/>
          <w:lang w:val="en-US"/>
        </w:rPr>
        <w:t>example</w:t>
      </w:r>
      <w:r>
        <w:rPr>
          <w:rFonts w:ascii="Gill Sans MT" w:hAnsi="Gill Sans MT"/>
          <w:sz w:val="18"/>
          <w:szCs w:val="18"/>
          <w:lang w:val="en-US"/>
        </w:rPr>
        <w:t>s</w:t>
      </w:r>
      <w:r w:rsidRPr="00783390">
        <w:rPr>
          <w:rFonts w:ascii="Gill Sans MT" w:hAnsi="Gill Sans MT"/>
          <w:sz w:val="18"/>
          <w:szCs w:val="18"/>
          <w:lang w:val="en-US"/>
        </w:rPr>
        <w:t xml:space="preserve"> of this unfinished business, the Mali evaluation </w:t>
      </w:r>
      <w:r>
        <w:rPr>
          <w:rFonts w:ascii="Gill Sans MT" w:hAnsi="Gill Sans MT"/>
          <w:sz w:val="18"/>
          <w:szCs w:val="18"/>
          <w:lang w:val="en-US"/>
        </w:rPr>
        <w:t xml:space="preserve">points to the lack of coherence between the demand for indicators and the existing supply of information. It also notes a lack of coherence between sectoral and central levels, for example: </w:t>
      </w:r>
      <w:r w:rsidRPr="00783390">
        <w:rPr>
          <w:rFonts w:ascii="Gill Sans MT" w:hAnsi="Gill Sans MT"/>
          <w:sz w:val="18"/>
          <w:szCs w:val="18"/>
          <w:lang w:val="en-US"/>
        </w:rPr>
        <w:t>for the health and education sectors, different indicators were included in the SBS PAFs and in the GBS PAFs in order to measure progress within the same reform areas</w:t>
      </w:r>
      <w:r>
        <w:rPr>
          <w:rFonts w:ascii="Gill Sans MT" w:hAnsi="Gill Sans MT"/>
          <w:sz w:val="18"/>
          <w:szCs w:val="18"/>
          <w:lang w:val="en-US"/>
        </w:rPr>
        <w:t>.</w:t>
      </w:r>
      <w:r>
        <w:rPr>
          <w:lang w:val="en-US"/>
        </w:rPr>
        <w:t xml:space="preserve"> </w:t>
      </w:r>
    </w:p>
  </w:footnote>
  <w:footnote w:id="22">
    <w:p w14:paraId="3B08343F" w14:textId="77777777" w:rsidR="00A751F4" w:rsidRPr="00EC1A3E" w:rsidRDefault="00A751F4">
      <w:pPr>
        <w:pStyle w:val="FootnoteText"/>
        <w:rPr>
          <w:lang w:val="fr-BE"/>
        </w:rPr>
      </w:pPr>
      <w:r>
        <w:rPr>
          <w:rStyle w:val="FootnoteReference"/>
        </w:rPr>
        <w:footnoteRef/>
      </w:r>
      <w:r w:rsidRPr="00EC1A3E">
        <w:rPr>
          <w:lang w:val="fr-BE"/>
        </w:rPr>
        <w:t xml:space="preserve"> </w:t>
      </w:r>
      <w:r w:rsidRPr="00EC1A3E">
        <w:rPr>
          <w:lang w:val="fr-BE"/>
        </w:rPr>
        <w:tab/>
      </w:r>
      <w:r w:rsidRPr="00EC1A3E">
        <w:rPr>
          <w:rFonts w:ascii="Gill Sans MT" w:hAnsi="Gill Sans MT"/>
          <w:sz w:val="18"/>
          <w:szCs w:val="18"/>
          <w:lang w:val="fr-BE"/>
        </w:rPr>
        <w:t xml:space="preserve">The Mali evaluation is perhaps still more explicit about the importance of this achievement: </w:t>
      </w:r>
      <w:r w:rsidRPr="003A613B">
        <w:rPr>
          <w:rFonts w:ascii="Gill Sans MT" w:hAnsi="Gill Sans MT"/>
          <w:i/>
          <w:sz w:val="18"/>
          <w:szCs w:val="18"/>
          <w:lang w:val="fr-FR"/>
        </w:rPr>
        <w:t>‘Le fait que ce cadre commun de suivi soit en place, qu’il se fonde sur un système de programmation stratégique basé sur des résultats, qu’il permette des discussions relativement ouvertes en faisant participer la société civile, est un acquis fondamental de l’ABG. Avant 2007, un tel cadre commun n’existait pas.’</w:t>
      </w:r>
      <w:r w:rsidRPr="00EC1A3E">
        <w:rPr>
          <w:lang w:val="fr-BE"/>
        </w:rPr>
        <w:t xml:space="preserve">  </w:t>
      </w:r>
      <w:r w:rsidRPr="00EC1A3E">
        <w:rPr>
          <w:rFonts w:ascii="Gill Sans MT" w:hAnsi="Gill Sans MT"/>
          <w:sz w:val="18"/>
          <w:szCs w:val="18"/>
          <w:lang w:val="fr-BE"/>
        </w:rPr>
        <w:t>(ECO-Consult, 2011; p. 30)</w:t>
      </w:r>
    </w:p>
  </w:footnote>
  <w:footnote w:id="23">
    <w:p w14:paraId="44C91B8B" w14:textId="77777777" w:rsidR="00A751F4" w:rsidRPr="008E156A" w:rsidRDefault="00A751F4">
      <w:pPr>
        <w:pStyle w:val="FootnoteText"/>
        <w:rPr>
          <w:lang w:val="en-US"/>
        </w:rPr>
      </w:pPr>
      <w:r>
        <w:rPr>
          <w:rStyle w:val="FootnoteReference"/>
        </w:rPr>
        <w:footnoteRef/>
      </w:r>
      <w:r>
        <w:t xml:space="preserve"> </w:t>
      </w:r>
      <w:r>
        <w:rPr>
          <w:lang w:val="en-US"/>
        </w:rPr>
        <w:tab/>
      </w:r>
      <w:r w:rsidRPr="008E156A">
        <w:rPr>
          <w:rFonts w:ascii="Gill Sans MT" w:hAnsi="Gill Sans MT"/>
          <w:sz w:val="18"/>
          <w:szCs w:val="18"/>
          <w:lang w:val="en-US"/>
        </w:rPr>
        <w:t>In Tanzania, it was said that far from being a tool for monitoring the government’s own targets, the PAF had become ‘the sum total of all Development Partners’ individual preferences and requirements’. (Claussen and Martinsen, 2011).</w:t>
      </w:r>
    </w:p>
  </w:footnote>
  <w:footnote w:id="24">
    <w:p w14:paraId="72328859" w14:textId="77777777" w:rsidR="00A751F4" w:rsidRPr="008D48D0" w:rsidRDefault="00A751F4">
      <w:pPr>
        <w:pStyle w:val="FootnoteText"/>
        <w:rPr>
          <w:lang w:val="en-US"/>
        </w:rPr>
      </w:pPr>
      <w:r>
        <w:rPr>
          <w:rStyle w:val="FootnoteReference"/>
        </w:rPr>
        <w:footnoteRef/>
      </w:r>
      <w:r>
        <w:t xml:space="preserve"> </w:t>
      </w:r>
      <w:r>
        <w:rPr>
          <w:lang w:val="en-US"/>
        </w:rPr>
        <w:tab/>
      </w:r>
      <w:r w:rsidRPr="008D48D0">
        <w:rPr>
          <w:rFonts w:ascii="Gill Sans MT" w:hAnsi="Gill Sans MT"/>
          <w:sz w:val="18"/>
          <w:szCs w:val="18"/>
          <w:lang w:val="en-US"/>
        </w:rPr>
        <w:t xml:space="preserve">12 % of the indicators were found to be in practice unmeasureable; </w:t>
      </w:r>
      <w:r>
        <w:rPr>
          <w:rFonts w:ascii="Gill Sans MT" w:hAnsi="Gill Sans MT"/>
          <w:sz w:val="18"/>
          <w:szCs w:val="18"/>
          <w:lang w:val="en-US"/>
        </w:rPr>
        <w:t xml:space="preserve">and </w:t>
      </w:r>
      <w:r w:rsidRPr="008D48D0">
        <w:rPr>
          <w:rFonts w:ascii="Gill Sans MT" w:hAnsi="Gill Sans MT"/>
          <w:sz w:val="18"/>
          <w:szCs w:val="18"/>
          <w:lang w:val="en-US"/>
        </w:rPr>
        <w:t>over a third of the indicators were changed each year, suggesting at best a rather transient strategic significance</w:t>
      </w:r>
      <w:r>
        <w:rPr>
          <w:rFonts w:ascii="Gill Sans MT" w:hAnsi="Gill Sans MT"/>
          <w:sz w:val="18"/>
          <w:szCs w:val="18"/>
          <w:lang w:val="en-US"/>
        </w:rPr>
        <w:t>.</w:t>
      </w:r>
    </w:p>
  </w:footnote>
  <w:footnote w:id="25">
    <w:p w14:paraId="17A5AAE8" w14:textId="77777777" w:rsidR="00A751F4" w:rsidRPr="00DB2EF5" w:rsidRDefault="00A751F4">
      <w:pPr>
        <w:pStyle w:val="FootnoteText"/>
        <w:rPr>
          <w:lang w:val="en-US"/>
        </w:rPr>
      </w:pPr>
      <w:r>
        <w:rPr>
          <w:rStyle w:val="FootnoteReference"/>
        </w:rPr>
        <w:footnoteRef/>
      </w:r>
      <w:r>
        <w:t xml:space="preserve"> </w:t>
      </w:r>
      <w:r>
        <w:rPr>
          <w:lang w:val="en-US"/>
        </w:rPr>
        <w:tab/>
      </w:r>
      <w:r>
        <w:rPr>
          <w:rFonts w:ascii="Gill Sans MT" w:hAnsi="Gill Sans MT"/>
          <w:sz w:val="18"/>
          <w:szCs w:val="18"/>
          <w:lang w:val="en-US"/>
        </w:rPr>
        <w:t xml:space="preserve">A </w:t>
      </w:r>
      <w:r w:rsidRPr="00DB2EF5">
        <w:rPr>
          <w:rFonts w:ascii="Gill Sans MT" w:hAnsi="Gill Sans MT"/>
          <w:sz w:val="18"/>
          <w:szCs w:val="18"/>
          <w:lang w:val="en-US"/>
        </w:rPr>
        <w:t xml:space="preserve">good number of the </w:t>
      </w:r>
      <w:r>
        <w:rPr>
          <w:rFonts w:ascii="Gill Sans MT" w:hAnsi="Gill Sans MT"/>
          <w:sz w:val="18"/>
          <w:szCs w:val="18"/>
          <w:lang w:val="en-US"/>
        </w:rPr>
        <w:t xml:space="preserve">Donors’ </w:t>
      </w:r>
      <w:r w:rsidRPr="00DB2EF5">
        <w:rPr>
          <w:rFonts w:ascii="Gill Sans MT" w:hAnsi="Gill Sans MT"/>
          <w:sz w:val="18"/>
          <w:szCs w:val="18"/>
          <w:lang w:val="en-US"/>
        </w:rPr>
        <w:t xml:space="preserve">sector staff </w:t>
      </w:r>
      <w:proofErr w:type="gramStart"/>
      <w:r w:rsidRPr="00DB2EF5">
        <w:rPr>
          <w:rFonts w:ascii="Gill Sans MT" w:hAnsi="Gill Sans MT"/>
          <w:sz w:val="18"/>
          <w:szCs w:val="18"/>
          <w:lang w:val="en-US"/>
        </w:rPr>
        <w:t>were</w:t>
      </w:r>
      <w:proofErr w:type="gramEnd"/>
      <w:r w:rsidRPr="00DB2EF5">
        <w:rPr>
          <w:rFonts w:ascii="Gill Sans MT" w:hAnsi="Gill Sans MT"/>
          <w:sz w:val="18"/>
          <w:szCs w:val="18"/>
          <w:lang w:val="en-US"/>
        </w:rPr>
        <w:t xml:space="preserve"> Malian staff members,</w:t>
      </w:r>
      <w:r>
        <w:rPr>
          <w:rFonts w:ascii="Gill Sans MT" w:hAnsi="Gill Sans MT"/>
          <w:sz w:val="18"/>
          <w:szCs w:val="18"/>
          <w:lang w:val="en-US"/>
        </w:rPr>
        <w:t xml:space="preserve"> with a long-term presence</w:t>
      </w:r>
      <w:r w:rsidRPr="00DB2EF5">
        <w:rPr>
          <w:rFonts w:ascii="Gill Sans MT" w:hAnsi="Gill Sans MT"/>
          <w:sz w:val="18"/>
          <w:szCs w:val="18"/>
          <w:lang w:val="en-US"/>
        </w:rPr>
        <w:t>.</w:t>
      </w:r>
    </w:p>
  </w:footnote>
  <w:footnote w:id="26">
    <w:p w14:paraId="499A4166" w14:textId="188811EC" w:rsidR="00A751F4" w:rsidRPr="00B60534" w:rsidRDefault="00A751F4" w:rsidP="007B78E8">
      <w:pPr>
        <w:pStyle w:val="FootnoteText"/>
        <w:rPr>
          <w:lang w:val="en-US"/>
        </w:rPr>
      </w:pPr>
      <w:r>
        <w:rPr>
          <w:rStyle w:val="FootnoteReference"/>
        </w:rPr>
        <w:footnoteRef/>
      </w:r>
      <w:r>
        <w:t xml:space="preserve"> </w:t>
      </w:r>
      <w:r w:rsidRPr="009C53FA">
        <w:rPr>
          <w:rFonts w:ascii="Gill Sans MT" w:hAnsi="Gill Sans MT"/>
          <w:sz w:val="18"/>
          <w:szCs w:val="18"/>
          <w:lang w:val="en-US"/>
        </w:rPr>
        <w:tab/>
        <w:t xml:space="preserve">We use the word “outcomes’ in a generic sense because we are following the ‘realist synthesis’ approach of </w:t>
      </w:r>
      <w:proofErr w:type="spellStart"/>
      <w:r w:rsidRPr="009C53FA">
        <w:rPr>
          <w:rFonts w:ascii="Gill Sans MT" w:hAnsi="Gill Sans MT"/>
          <w:sz w:val="18"/>
          <w:szCs w:val="18"/>
          <w:lang w:val="en-US"/>
        </w:rPr>
        <w:t>Pawson</w:t>
      </w:r>
      <w:proofErr w:type="spellEnd"/>
      <w:r w:rsidRPr="009C53FA">
        <w:rPr>
          <w:rFonts w:ascii="Gill Sans MT" w:hAnsi="Gill Sans MT"/>
          <w:sz w:val="18"/>
          <w:szCs w:val="18"/>
          <w:lang w:val="en-US"/>
        </w:rPr>
        <w:t xml:space="preserve"> and </w:t>
      </w:r>
      <w:proofErr w:type="spellStart"/>
      <w:r w:rsidRPr="009C53FA">
        <w:rPr>
          <w:rFonts w:ascii="Gill Sans MT" w:hAnsi="Gill Sans MT"/>
          <w:sz w:val="18"/>
          <w:szCs w:val="18"/>
          <w:lang w:val="en-US"/>
        </w:rPr>
        <w:t>Pawson</w:t>
      </w:r>
      <w:proofErr w:type="spellEnd"/>
      <w:r w:rsidRPr="009C53FA">
        <w:rPr>
          <w:rFonts w:ascii="Gill Sans MT" w:hAnsi="Gill Sans MT"/>
          <w:sz w:val="18"/>
          <w:szCs w:val="18"/>
          <w:lang w:val="en-US"/>
        </w:rPr>
        <w:t xml:space="preserve"> &amp; Tilley, described in Cha</w:t>
      </w:r>
      <w:r>
        <w:rPr>
          <w:rFonts w:ascii="Gill Sans MT" w:hAnsi="Gill Sans MT"/>
          <w:sz w:val="18"/>
          <w:szCs w:val="18"/>
          <w:lang w:val="en-US"/>
        </w:rPr>
        <w:t>pter 1. The OECD-DAC methodological approach</w:t>
      </w:r>
      <w:r w:rsidRPr="009C53FA">
        <w:rPr>
          <w:rFonts w:ascii="Gill Sans MT" w:hAnsi="Gill Sans MT"/>
          <w:sz w:val="18"/>
          <w:szCs w:val="18"/>
          <w:lang w:val="en-US"/>
        </w:rPr>
        <w:t xml:space="preserve"> distinguishes induced outputs, outcomes and impacts as separate components.</w:t>
      </w:r>
      <w:r>
        <w:rPr>
          <w:lang w:val="en-US"/>
        </w:rPr>
        <w:t xml:space="preserve"> </w:t>
      </w:r>
    </w:p>
  </w:footnote>
  <w:footnote w:id="27">
    <w:p w14:paraId="3DCBCBF5" w14:textId="77777777" w:rsidR="00A751F4" w:rsidRPr="007A3AB0" w:rsidRDefault="00A751F4" w:rsidP="00DB4238">
      <w:pPr>
        <w:pStyle w:val="FootnoteText"/>
        <w:rPr>
          <w:lang w:val="en-US"/>
        </w:rPr>
      </w:pPr>
      <w:r>
        <w:rPr>
          <w:rStyle w:val="FootnoteReference"/>
        </w:rPr>
        <w:footnoteRef/>
      </w:r>
      <w:r>
        <w:t xml:space="preserve"> </w:t>
      </w:r>
      <w:r>
        <w:rPr>
          <w:lang w:val="en-US"/>
        </w:rPr>
        <w:tab/>
      </w:r>
      <w:r w:rsidRPr="007A3AB0">
        <w:rPr>
          <w:rFonts w:ascii="Gill Sans MT" w:hAnsi="Gill Sans MT"/>
          <w:sz w:val="18"/>
          <w:szCs w:val="18"/>
          <w:lang w:val="en-US"/>
        </w:rPr>
        <w:t>In Mali, Mozambique and Tanzania, it was also associated with salary increases, which were reportedly long overdue. The parallel increase in domestic revenues made these increases possible without threatening the sustainability of the government cost structure.</w:t>
      </w:r>
      <w:r>
        <w:rPr>
          <w:lang w:val="en-US"/>
        </w:rPr>
        <w:t xml:space="preserve"> </w:t>
      </w:r>
      <w:r w:rsidRPr="00493968">
        <w:rPr>
          <w:rFonts w:ascii="Gill Sans MT" w:hAnsi="Gill Sans MT"/>
          <w:sz w:val="18"/>
          <w:szCs w:val="18"/>
          <w:lang w:val="en-US"/>
        </w:rPr>
        <w:t>In Zambia, the wage</w:t>
      </w:r>
      <w:r>
        <w:rPr>
          <w:rFonts w:ascii="Gill Sans MT" w:hAnsi="Gill Sans MT"/>
          <w:sz w:val="18"/>
          <w:szCs w:val="18"/>
          <w:lang w:val="en-US"/>
        </w:rPr>
        <w:t xml:space="preserve"> bill expansion was driven predominantly </w:t>
      </w:r>
      <w:r w:rsidRPr="00493968">
        <w:rPr>
          <w:rFonts w:ascii="Gill Sans MT" w:hAnsi="Gill Sans MT"/>
          <w:sz w:val="18"/>
          <w:szCs w:val="18"/>
          <w:lang w:val="en-US"/>
        </w:rPr>
        <w:t>by salary increases, which for example comprised 78% of wage bill expansion in the education sector</w:t>
      </w:r>
      <w:r>
        <w:rPr>
          <w:rFonts w:ascii="Gill Sans MT" w:hAnsi="Gill Sans MT"/>
          <w:sz w:val="18"/>
          <w:szCs w:val="18"/>
          <w:lang w:val="en-US"/>
        </w:rPr>
        <w:t xml:space="preserve"> over 2005-2009</w:t>
      </w:r>
      <w:r w:rsidRPr="00493968">
        <w:rPr>
          <w:rFonts w:ascii="Gill Sans MT" w:hAnsi="Gill Sans MT"/>
          <w:sz w:val="18"/>
          <w:szCs w:val="18"/>
          <w:lang w:val="en-US"/>
        </w:rPr>
        <w:t>.</w:t>
      </w:r>
      <w:r>
        <w:rPr>
          <w:rFonts w:ascii="Gill Sans MT" w:hAnsi="Gill Sans MT"/>
          <w:sz w:val="18"/>
          <w:szCs w:val="18"/>
          <w:lang w:val="en-US"/>
        </w:rPr>
        <w:t xml:space="preserve"> (De Kemp &amp; </w:t>
      </w:r>
      <w:proofErr w:type="spellStart"/>
      <w:r>
        <w:rPr>
          <w:rFonts w:ascii="Gill Sans MT" w:hAnsi="Gill Sans MT"/>
          <w:sz w:val="18"/>
          <w:szCs w:val="18"/>
          <w:lang w:val="en-US"/>
        </w:rPr>
        <w:t>Ndakala</w:t>
      </w:r>
      <w:proofErr w:type="spellEnd"/>
      <w:r>
        <w:rPr>
          <w:rFonts w:ascii="Gill Sans MT" w:hAnsi="Gill Sans MT"/>
          <w:sz w:val="18"/>
          <w:szCs w:val="18"/>
          <w:lang w:val="en-US"/>
        </w:rPr>
        <w:t>, 2011.)</w:t>
      </w:r>
      <w:r w:rsidRPr="00493968">
        <w:rPr>
          <w:rFonts w:ascii="Gill Sans MT" w:hAnsi="Gill Sans MT"/>
          <w:sz w:val="18"/>
          <w:szCs w:val="18"/>
          <w:lang w:val="en-US"/>
        </w:rPr>
        <w:t xml:space="preserve"> The evaluation identifies this as a potential threat to the continuation of investment in poverty-reducing programmes</w:t>
      </w:r>
      <w:r>
        <w:rPr>
          <w:lang w:val="en-US"/>
        </w:rPr>
        <w:t xml:space="preserve">. </w:t>
      </w:r>
    </w:p>
  </w:footnote>
  <w:footnote w:id="28">
    <w:p w14:paraId="4E5C510B" w14:textId="77777777" w:rsidR="00A751F4" w:rsidRPr="006C198A" w:rsidRDefault="00A751F4">
      <w:pPr>
        <w:pStyle w:val="FootnoteText"/>
        <w:rPr>
          <w:lang w:val="en-US"/>
        </w:rPr>
      </w:pPr>
      <w:r>
        <w:rPr>
          <w:rStyle w:val="FootnoteReference"/>
        </w:rPr>
        <w:footnoteRef/>
      </w:r>
      <w:r>
        <w:t xml:space="preserve"> </w:t>
      </w:r>
      <w:r>
        <w:rPr>
          <w:lang w:val="en-US"/>
        </w:rPr>
        <w:tab/>
      </w:r>
      <w:r w:rsidRPr="007061D0">
        <w:rPr>
          <w:rFonts w:ascii="Gill Sans MT" w:hAnsi="Gill Sans MT"/>
          <w:sz w:val="18"/>
          <w:szCs w:val="18"/>
          <w:lang w:val="en-GB" w:eastAsia="x-none"/>
        </w:rPr>
        <w:t>De Renzio, P., M.</w:t>
      </w:r>
      <w:r>
        <w:rPr>
          <w:rFonts w:ascii="Gill Sans MT" w:hAnsi="Gill Sans MT"/>
          <w:sz w:val="18"/>
          <w:szCs w:val="18"/>
          <w:lang w:val="en-GB" w:eastAsia="x-none"/>
        </w:rPr>
        <w:t xml:space="preserve"> </w:t>
      </w:r>
      <w:r w:rsidRPr="007061D0">
        <w:rPr>
          <w:rFonts w:ascii="Gill Sans MT" w:hAnsi="Gill Sans MT"/>
          <w:sz w:val="18"/>
          <w:szCs w:val="18"/>
          <w:lang w:val="en-GB" w:eastAsia="x-none"/>
        </w:rPr>
        <w:t>Andrews and Z.</w:t>
      </w:r>
      <w:r>
        <w:rPr>
          <w:rFonts w:ascii="Gill Sans MT" w:hAnsi="Gill Sans MT"/>
          <w:sz w:val="18"/>
          <w:szCs w:val="18"/>
          <w:lang w:val="en-GB" w:eastAsia="x-none"/>
        </w:rPr>
        <w:t xml:space="preserve"> </w:t>
      </w:r>
      <w:r w:rsidRPr="007061D0">
        <w:rPr>
          <w:rFonts w:ascii="Gill Sans MT" w:hAnsi="Gill Sans MT"/>
          <w:sz w:val="18"/>
          <w:szCs w:val="18"/>
          <w:lang w:val="en-GB" w:eastAsia="x-none"/>
        </w:rPr>
        <w:t xml:space="preserve">Mills (November 2010), </w:t>
      </w:r>
      <w:r w:rsidRPr="00022086">
        <w:rPr>
          <w:rFonts w:ascii="Gill Sans MT" w:hAnsi="Gill Sans MT"/>
          <w:sz w:val="18"/>
          <w:szCs w:val="18"/>
          <w:u w:val="single"/>
          <w:lang w:val="en-GB" w:eastAsia="x-none"/>
        </w:rPr>
        <w:t>Evaluation of Donor Support to PFM Reforms in Developing Countries: Analytical Study of quantitative cross-country evidence</w:t>
      </w:r>
      <w:r w:rsidRPr="007061D0">
        <w:rPr>
          <w:rFonts w:ascii="Gill Sans MT" w:hAnsi="Gill Sans MT"/>
          <w:sz w:val="18"/>
          <w:szCs w:val="18"/>
          <w:lang w:val="en-GB" w:eastAsia="x-none"/>
        </w:rPr>
        <w:t>, Overseas Development Institute, London.</w:t>
      </w:r>
    </w:p>
  </w:footnote>
  <w:footnote w:id="29">
    <w:p w14:paraId="469DE112" w14:textId="77777777" w:rsidR="00A751F4" w:rsidRPr="00D92A2E" w:rsidRDefault="00A751F4">
      <w:pPr>
        <w:pStyle w:val="FootnoteText"/>
        <w:rPr>
          <w:lang w:val="en-US"/>
        </w:rPr>
      </w:pPr>
      <w:r>
        <w:rPr>
          <w:rStyle w:val="FootnoteReference"/>
        </w:rPr>
        <w:footnoteRef/>
      </w:r>
      <w:r>
        <w:t xml:space="preserve"> </w:t>
      </w:r>
      <w:r>
        <w:rPr>
          <w:lang w:val="en-US"/>
        </w:rPr>
        <w:tab/>
      </w:r>
      <w:r w:rsidRPr="00D92A2E">
        <w:rPr>
          <w:rFonts w:ascii="Gill Sans MT" w:hAnsi="Gill Sans MT"/>
          <w:sz w:val="18"/>
          <w:szCs w:val="18"/>
        </w:rPr>
        <w:t>Drawing on a wider set of case studies, IEG (2010) also point to the difficulties which have been faced in addressing more complex PFM reforms, such as bringing extra-budgetary funds on-budget or managing contingent liabilities.</w:t>
      </w:r>
    </w:p>
  </w:footnote>
  <w:footnote w:id="30">
    <w:p w14:paraId="31D053B8" w14:textId="77777777" w:rsidR="00A751F4" w:rsidRPr="002E5075" w:rsidRDefault="00A751F4">
      <w:pPr>
        <w:pStyle w:val="FootnoteText"/>
        <w:rPr>
          <w:lang w:val="en-US"/>
        </w:rPr>
      </w:pPr>
      <w:r>
        <w:rPr>
          <w:rStyle w:val="FootnoteReference"/>
        </w:rPr>
        <w:footnoteRef/>
      </w:r>
      <w:r>
        <w:t xml:space="preserve"> </w:t>
      </w:r>
      <w:r w:rsidRPr="009A3760">
        <w:rPr>
          <w:rFonts w:ascii="Gill Sans MT" w:hAnsi="Gill Sans MT"/>
          <w:sz w:val="18"/>
          <w:szCs w:val="18"/>
          <w:lang w:val="en-US"/>
        </w:rPr>
        <w:tab/>
        <w:t>Zambia also saw some improvement in the road network, in part fac</w:t>
      </w:r>
      <w:r>
        <w:rPr>
          <w:rFonts w:ascii="Gill Sans MT" w:hAnsi="Gill Sans MT"/>
          <w:sz w:val="18"/>
          <w:szCs w:val="18"/>
          <w:lang w:val="en-US"/>
        </w:rPr>
        <w:t>ilitated by budget support. E</w:t>
      </w:r>
      <w:r w:rsidRPr="009A3760">
        <w:rPr>
          <w:rFonts w:ascii="Gill Sans MT" w:hAnsi="Gill Sans MT"/>
          <w:sz w:val="18"/>
          <w:szCs w:val="18"/>
          <w:lang w:val="en-US"/>
        </w:rPr>
        <w:t>conometric analysis showed that roads have a significant positive effect on income and on school attendance in rural areas. It seems likely that this would also hold true in Tanzania, where population densities and income levels in rural areas are broadly similar</w:t>
      </w:r>
      <w:r>
        <w:rPr>
          <w:lang w:val="en-US"/>
        </w:rPr>
        <w:t>.</w:t>
      </w:r>
    </w:p>
  </w:footnote>
  <w:footnote w:id="31">
    <w:p w14:paraId="20288E11" w14:textId="77777777" w:rsidR="00A751F4" w:rsidRPr="00AF1403" w:rsidRDefault="00A751F4">
      <w:pPr>
        <w:pStyle w:val="FootnoteText"/>
        <w:rPr>
          <w:lang w:val="en-US"/>
        </w:rPr>
      </w:pPr>
      <w:r>
        <w:rPr>
          <w:rStyle w:val="FootnoteReference"/>
        </w:rPr>
        <w:footnoteRef/>
      </w:r>
      <w:r>
        <w:t xml:space="preserve"> </w:t>
      </w:r>
      <w:r>
        <w:rPr>
          <w:lang w:val="en-US"/>
        </w:rPr>
        <w:tab/>
      </w:r>
      <w:r w:rsidRPr="000514E9">
        <w:rPr>
          <w:rFonts w:ascii="Gill Sans MT" w:hAnsi="Gill Sans MT"/>
          <w:sz w:val="18"/>
          <w:szCs w:val="18"/>
          <w:lang w:val="en-US"/>
        </w:rPr>
        <w:t>As we have noted in the case of Mali, a proportion o</w:t>
      </w:r>
      <w:r>
        <w:rPr>
          <w:rFonts w:ascii="Gill Sans MT" w:hAnsi="Gill Sans MT"/>
          <w:sz w:val="18"/>
          <w:szCs w:val="18"/>
          <w:lang w:val="en-US"/>
        </w:rPr>
        <w:t xml:space="preserve">f budget support was used </w:t>
      </w:r>
      <w:r w:rsidRPr="000514E9">
        <w:rPr>
          <w:rFonts w:ascii="Gill Sans MT" w:hAnsi="Gill Sans MT"/>
          <w:sz w:val="18"/>
          <w:szCs w:val="18"/>
          <w:lang w:val="en-US"/>
        </w:rPr>
        <w:t>to reduce domestic debt, which would therefore have increased the availability of credit to the private sector, either directly through the payment of arrears to contractors or through increasing bank liquidity by buying back Treasury Bills.</w:t>
      </w:r>
      <w:r>
        <w:rPr>
          <w:lang w:val="en-US"/>
        </w:rPr>
        <w:t xml:space="preserve"> </w:t>
      </w:r>
    </w:p>
  </w:footnote>
  <w:footnote w:id="32">
    <w:p w14:paraId="4EDEDBF2" w14:textId="77777777" w:rsidR="00A751F4" w:rsidRPr="003F2369" w:rsidRDefault="00A751F4">
      <w:pPr>
        <w:pStyle w:val="FootnoteText"/>
        <w:rPr>
          <w:lang w:val="en-US"/>
        </w:rPr>
      </w:pPr>
      <w:r>
        <w:rPr>
          <w:rStyle w:val="FootnoteReference"/>
        </w:rPr>
        <w:footnoteRef/>
      </w:r>
      <w:r>
        <w:t xml:space="preserve"> </w:t>
      </w:r>
      <w:r>
        <w:rPr>
          <w:lang w:val="en-US"/>
        </w:rPr>
        <w:tab/>
      </w:r>
      <w:r w:rsidRPr="00924B03">
        <w:rPr>
          <w:rFonts w:ascii="Gill Sans MT" w:hAnsi="Gill Sans MT"/>
          <w:sz w:val="18"/>
          <w:szCs w:val="18"/>
          <w:lang w:val="en-GB"/>
        </w:rPr>
        <w:t>These were</w:t>
      </w:r>
      <w:r>
        <w:rPr>
          <w:lang w:val="en-US"/>
        </w:rPr>
        <w:t xml:space="preserve"> </w:t>
      </w:r>
      <w:r>
        <w:rPr>
          <w:rFonts w:ascii="Gill Sans MT" w:hAnsi="Gill Sans MT"/>
          <w:sz w:val="18"/>
          <w:szCs w:val="18"/>
          <w:lang w:val="en-GB"/>
        </w:rPr>
        <w:t>e</w:t>
      </w:r>
      <w:r w:rsidRPr="00924B03">
        <w:rPr>
          <w:rFonts w:ascii="Gill Sans MT" w:hAnsi="Gill Sans MT"/>
          <w:sz w:val="18"/>
          <w:szCs w:val="18"/>
          <w:lang w:val="en-GB"/>
        </w:rPr>
        <w:t>nergy &amp; natural gas, agriculture, water, education, transport and mobili</w:t>
      </w:r>
      <w:r>
        <w:rPr>
          <w:rFonts w:ascii="Gill Sans MT" w:hAnsi="Gill Sans MT"/>
          <w:sz w:val="18"/>
          <w:szCs w:val="18"/>
          <w:lang w:val="en-GB"/>
        </w:rPr>
        <w:t>sation of resources</w:t>
      </w:r>
      <w:r w:rsidRPr="00924B03">
        <w:rPr>
          <w:rFonts w:ascii="Gill Sans MT" w:hAnsi="Gill Sans MT"/>
          <w:sz w:val="18"/>
          <w:szCs w:val="18"/>
          <w:lang w:val="en-GB"/>
        </w:rPr>
        <w:t>.</w:t>
      </w:r>
      <w:r>
        <w:rPr>
          <w:rFonts w:ascii="Gill Sans MT" w:hAnsi="Gill Sans MT"/>
          <w:szCs w:val="12"/>
        </w:rPr>
        <w:t xml:space="preserve"> </w:t>
      </w:r>
    </w:p>
  </w:footnote>
  <w:footnote w:id="33">
    <w:p w14:paraId="56A8AE7A" w14:textId="77777777" w:rsidR="00A751F4" w:rsidRPr="003F2369" w:rsidRDefault="00A751F4">
      <w:pPr>
        <w:pStyle w:val="FootnoteText"/>
        <w:rPr>
          <w:lang w:val="en-US"/>
        </w:rPr>
      </w:pPr>
      <w:r>
        <w:rPr>
          <w:rStyle w:val="FootnoteReference"/>
        </w:rPr>
        <w:footnoteRef/>
      </w:r>
      <w:r>
        <w:t xml:space="preserve"> </w:t>
      </w:r>
      <w:r>
        <w:rPr>
          <w:lang w:val="en-US"/>
        </w:rPr>
        <w:tab/>
      </w:r>
      <w:r w:rsidRPr="00E16EBB">
        <w:rPr>
          <w:rFonts w:ascii="Gill Sans MT" w:hAnsi="Gill Sans MT"/>
          <w:sz w:val="18"/>
          <w:szCs w:val="18"/>
          <w:lang w:val="en-US"/>
        </w:rPr>
        <w:t xml:space="preserve">The “Independent Monitoring Group”, established in Tanzania in the wake of the </w:t>
      </w:r>
      <w:proofErr w:type="spellStart"/>
      <w:r w:rsidRPr="00E16EBB">
        <w:rPr>
          <w:rFonts w:ascii="Gill Sans MT" w:hAnsi="Gill Sans MT"/>
          <w:sz w:val="18"/>
          <w:szCs w:val="18"/>
          <w:lang w:val="en-US"/>
        </w:rPr>
        <w:t>Helleiner</w:t>
      </w:r>
      <w:proofErr w:type="spellEnd"/>
      <w:r w:rsidRPr="00E16EBB">
        <w:rPr>
          <w:rFonts w:ascii="Gill Sans MT" w:hAnsi="Gill Sans MT"/>
          <w:sz w:val="18"/>
          <w:szCs w:val="18"/>
          <w:lang w:val="en-US"/>
        </w:rPr>
        <w:t xml:space="preserve"> report of 1995 is an interesting model in this respect. However, it seems that the IMG lost some influence, following the decision to make it a group of purely Tanzanian academics</w:t>
      </w:r>
      <w:r>
        <w:rPr>
          <w:rFonts w:ascii="Gill Sans MT" w:hAnsi="Gill Sans MT"/>
          <w:sz w:val="18"/>
          <w:szCs w:val="18"/>
          <w:lang w:val="en-US"/>
        </w:rPr>
        <w:t>; maintenance of a mixed national-international membership would appear to be desirable.</w:t>
      </w:r>
    </w:p>
  </w:footnote>
  <w:footnote w:id="34">
    <w:p w14:paraId="203A56D0" w14:textId="77777777" w:rsidR="00A751F4" w:rsidRPr="00BC6B52" w:rsidRDefault="00A751F4">
      <w:pPr>
        <w:pStyle w:val="FootnoteText"/>
        <w:rPr>
          <w:lang w:val="en-US"/>
        </w:rPr>
      </w:pPr>
      <w:r>
        <w:rPr>
          <w:rStyle w:val="FootnoteReference"/>
        </w:rPr>
        <w:footnoteRef/>
      </w:r>
      <w:r>
        <w:t xml:space="preserve"> </w:t>
      </w:r>
      <w:r>
        <w:rPr>
          <w:lang w:val="en-US"/>
        </w:rPr>
        <w:tab/>
      </w:r>
      <w:r w:rsidRPr="0045687E">
        <w:rPr>
          <w:rFonts w:ascii="Gill Sans MT" w:hAnsi="Gill Sans MT"/>
          <w:sz w:val="18"/>
          <w:szCs w:val="18"/>
          <w:lang w:val="en-GB"/>
        </w:rPr>
        <w:t>In both the Tanzania and the Mozambique evaluations, confidential stories were shared with the evaluation team of inappropriate behaviour on both sides of the relationship: fists being banged on tables, voices being raised inappropriately, disrespect shown to Ministers and Ambassadors, etc.</w:t>
      </w:r>
    </w:p>
  </w:footnote>
  <w:footnote w:id="35">
    <w:p w14:paraId="792130E4" w14:textId="77777777" w:rsidR="00A751F4" w:rsidRPr="00BD6D6D" w:rsidRDefault="00A751F4" w:rsidP="00DB0726">
      <w:pPr>
        <w:pStyle w:val="FootnoteText"/>
        <w:rPr>
          <w:lang w:val="en-US"/>
        </w:rPr>
      </w:pPr>
      <w:r>
        <w:rPr>
          <w:rStyle w:val="FootnoteReference"/>
        </w:rPr>
        <w:footnoteRef/>
      </w:r>
      <w:r>
        <w:t xml:space="preserve"> </w:t>
      </w:r>
      <w:r>
        <w:rPr>
          <w:lang w:val="en-US"/>
        </w:rPr>
        <w:tab/>
      </w:r>
      <w:r w:rsidRPr="00BD6D6D">
        <w:rPr>
          <w:rFonts w:ascii="Gill Sans MT" w:hAnsi="Gill Sans MT"/>
          <w:sz w:val="18"/>
          <w:szCs w:val="18"/>
          <w:lang w:val="en-GB"/>
        </w:rPr>
        <w:t xml:space="preserve">Details of the WGI methodology are presented in </w:t>
      </w:r>
      <w:proofErr w:type="spellStart"/>
      <w:r w:rsidRPr="00BD6D6D">
        <w:rPr>
          <w:rFonts w:ascii="Gill Sans MT" w:hAnsi="Gill Sans MT"/>
          <w:sz w:val="18"/>
          <w:szCs w:val="18"/>
          <w:lang w:val="en-GB"/>
        </w:rPr>
        <w:t>Kra</w:t>
      </w:r>
      <w:r>
        <w:rPr>
          <w:rFonts w:ascii="Gill Sans MT" w:hAnsi="Gill Sans MT"/>
          <w:sz w:val="18"/>
          <w:szCs w:val="18"/>
          <w:lang w:val="en-GB"/>
        </w:rPr>
        <w:t>ay</w:t>
      </w:r>
      <w:proofErr w:type="spellEnd"/>
      <w:r>
        <w:rPr>
          <w:rFonts w:ascii="Gill Sans MT" w:hAnsi="Gill Sans MT"/>
          <w:sz w:val="18"/>
          <w:szCs w:val="18"/>
          <w:lang w:val="en-GB"/>
        </w:rPr>
        <w:t xml:space="preserve">, Kaufmann &amp; </w:t>
      </w:r>
      <w:proofErr w:type="spellStart"/>
      <w:r>
        <w:rPr>
          <w:rFonts w:ascii="Gill Sans MT" w:hAnsi="Gill Sans MT"/>
          <w:sz w:val="18"/>
          <w:szCs w:val="18"/>
          <w:lang w:val="en-GB"/>
        </w:rPr>
        <w:t>Mastruzzi</w:t>
      </w:r>
      <w:proofErr w:type="spellEnd"/>
      <w:r>
        <w:rPr>
          <w:rFonts w:ascii="Gill Sans MT" w:hAnsi="Gill Sans MT"/>
          <w:sz w:val="18"/>
          <w:szCs w:val="18"/>
          <w:lang w:val="en-GB"/>
        </w:rPr>
        <w:t xml:space="preserve"> (2010)</w:t>
      </w:r>
      <w:r w:rsidRPr="00BD6D6D">
        <w:rPr>
          <w:rFonts w:ascii="Gill Sans MT" w:hAnsi="Gill Sans MT"/>
          <w:sz w:val="18"/>
          <w:szCs w:val="18"/>
          <w:lang w:val="en-GB"/>
        </w:rPr>
        <w:t>: ‘Indicators are based on several hundred variables obtained from 31 different data sources, capturing governance perceptions as reported by survey respondents, NGOs, commercial business information providers and public sector organisations worldwide</w:t>
      </w:r>
      <w:r>
        <w:rPr>
          <w:rFonts w:ascii="Gill Sans MT" w:hAnsi="Gill Sans MT"/>
          <w:sz w:val="18"/>
          <w:szCs w:val="18"/>
          <w:lang w:val="en-US"/>
        </w:rPr>
        <w:t xml:space="preserve">.’ </w:t>
      </w:r>
      <w:r>
        <w:rPr>
          <w:rFonts w:ascii="Gill Sans MT" w:hAnsi="Gill Sans MT"/>
          <w:sz w:val="18"/>
          <w:szCs w:val="18"/>
          <w:lang w:val="en-GB"/>
        </w:rPr>
        <w:t xml:space="preserve">For each of the </w:t>
      </w:r>
      <w:r w:rsidRPr="00686FB1">
        <w:rPr>
          <w:rFonts w:ascii="Gill Sans MT" w:hAnsi="Gill Sans MT"/>
          <w:sz w:val="18"/>
          <w:szCs w:val="18"/>
          <w:lang w:val="en-GB"/>
        </w:rPr>
        <w:t>dimensions of governance, the WGI produces estimates ranging from – 2.5 to + 2.5. From these estimates, a percentile ranking is produced (from 0 = lowest to 1</w:t>
      </w:r>
      <w:r>
        <w:rPr>
          <w:rFonts w:ascii="Gill Sans MT" w:hAnsi="Gill Sans MT"/>
          <w:sz w:val="18"/>
          <w:szCs w:val="18"/>
          <w:lang w:val="en-GB"/>
        </w:rPr>
        <w:t xml:space="preserve">00 = highest) of the </w:t>
      </w:r>
      <w:r w:rsidRPr="00686FB1">
        <w:rPr>
          <w:rFonts w:ascii="Gill Sans MT" w:hAnsi="Gill Sans MT"/>
          <w:sz w:val="18"/>
          <w:szCs w:val="18"/>
          <w:lang w:val="en-GB"/>
        </w:rPr>
        <w:t xml:space="preserve">scores within each dimension for the more than 200 countries and territories </w:t>
      </w:r>
      <w:r>
        <w:rPr>
          <w:rFonts w:ascii="Gill Sans MT" w:hAnsi="Gill Sans MT"/>
          <w:sz w:val="18"/>
          <w:szCs w:val="18"/>
          <w:lang w:val="en-GB"/>
        </w:rPr>
        <w:t xml:space="preserve">it covers. </w:t>
      </w:r>
    </w:p>
  </w:footnote>
  <w:footnote w:id="36">
    <w:p w14:paraId="095D9809" w14:textId="77777777" w:rsidR="00A751F4" w:rsidRPr="00686FB1" w:rsidRDefault="00A751F4" w:rsidP="00DB0726">
      <w:pPr>
        <w:pStyle w:val="FootnoteText"/>
        <w:rPr>
          <w:rFonts w:ascii="Gill Sans MT" w:hAnsi="Gill Sans MT"/>
          <w:sz w:val="18"/>
          <w:szCs w:val="18"/>
          <w:lang w:val="en-US"/>
        </w:rPr>
      </w:pPr>
      <w:r>
        <w:rPr>
          <w:rStyle w:val="FootnoteReference"/>
        </w:rPr>
        <w:footnoteRef/>
      </w:r>
      <w:r>
        <w:t xml:space="preserve"> </w:t>
      </w:r>
      <w:r>
        <w:rPr>
          <w:lang w:val="en-US"/>
        </w:rPr>
        <w:tab/>
      </w:r>
      <w:r>
        <w:rPr>
          <w:rFonts w:ascii="Gill Sans MT" w:hAnsi="Gill Sans MT"/>
          <w:sz w:val="18"/>
          <w:szCs w:val="18"/>
          <w:lang w:val="en-US"/>
        </w:rPr>
        <w:t xml:space="preserve">An </w:t>
      </w:r>
      <w:r w:rsidRPr="00686FB1">
        <w:rPr>
          <w:rFonts w:ascii="Gill Sans MT" w:hAnsi="Gill Sans MT"/>
          <w:sz w:val="18"/>
          <w:szCs w:val="18"/>
          <w:lang w:val="en-GB"/>
        </w:rPr>
        <w:t>important feature of the WGI is that for each dimension and each country, it publishes both the estimated score and the standard error.  These standard errors are relatively high, which means that in many cases, the differences in scores between countries ranked within the same decile are not in fact statis</w:t>
      </w:r>
      <w:r>
        <w:rPr>
          <w:rFonts w:ascii="Gill Sans MT" w:hAnsi="Gill Sans MT"/>
          <w:sz w:val="18"/>
          <w:szCs w:val="18"/>
          <w:lang w:val="en-GB"/>
        </w:rPr>
        <w:t>tically significant. In Table 12</w:t>
      </w:r>
      <w:r w:rsidRPr="00686FB1">
        <w:rPr>
          <w:rFonts w:ascii="Gill Sans MT" w:hAnsi="Gill Sans MT"/>
          <w:sz w:val="18"/>
          <w:szCs w:val="18"/>
          <w:lang w:val="en-GB"/>
        </w:rPr>
        <w:t>, where all scores are equivalently low (i.e. with no statistically significant differences), they are shown in red; where one score is significantly superior to all the others, it is marked in green</w:t>
      </w:r>
      <w:r>
        <w:rPr>
          <w:rFonts w:ascii="Gill Sans MT" w:hAnsi="Gill Sans MT"/>
          <w:sz w:val="18"/>
          <w:szCs w:val="18"/>
          <w:lang w:val="en-GB"/>
        </w:rPr>
        <w:t>.</w:t>
      </w:r>
    </w:p>
  </w:footnote>
  <w:footnote w:id="37">
    <w:p w14:paraId="669E58D3" w14:textId="77777777" w:rsidR="00A751F4" w:rsidRPr="00B17B94" w:rsidRDefault="00A751F4">
      <w:pPr>
        <w:pStyle w:val="FootnoteText"/>
        <w:rPr>
          <w:lang w:val="en-US"/>
        </w:rPr>
      </w:pPr>
      <w:r>
        <w:rPr>
          <w:rStyle w:val="FootnoteReference"/>
        </w:rPr>
        <w:footnoteRef/>
      </w:r>
      <w:r>
        <w:t xml:space="preserve"> </w:t>
      </w:r>
      <w:r>
        <w:tab/>
      </w:r>
      <w:r w:rsidRPr="00B17B94">
        <w:rPr>
          <w:rFonts w:ascii="Gill Sans MT" w:hAnsi="Gill Sans MT"/>
          <w:sz w:val="18"/>
          <w:szCs w:val="18"/>
        </w:rPr>
        <w:t>See Chapter 2, Section 2.1 for an explanation of the rationale for this dual focus on consistency in leadership and accountability of the political leadership</w:t>
      </w:r>
      <w:r>
        <w:t>.</w:t>
      </w:r>
    </w:p>
  </w:footnote>
  <w:footnote w:id="38">
    <w:p w14:paraId="63C28266" w14:textId="77777777" w:rsidR="00A751F4" w:rsidRPr="00893DC2" w:rsidRDefault="00A751F4" w:rsidP="00DB0726">
      <w:pPr>
        <w:pStyle w:val="FootnoteText"/>
        <w:rPr>
          <w:lang w:val="en-US"/>
        </w:rPr>
      </w:pPr>
      <w:r>
        <w:rPr>
          <w:rStyle w:val="FootnoteReference"/>
        </w:rPr>
        <w:footnoteRef/>
      </w:r>
      <w:r>
        <w:t xml:space="preserve"> </w:t>
      </w:r>
      <w:r>
        <w:rPr>
          <w:lang w:val="en-US"/>
        </w:rPr>
        <w:tab/>
      </w:r>
      <w:r w:rsidRPr="00000A0D">
        <w:rPr>
          <w:rFonts w:ascii="Gill Sans MT" w:hAnsi="Gill Sans MT"/>
          <w:sz w:val="18"/>
          <w:szCs w:val="18"/>
          <w:lang w:val="en-GB"/>
        </w:rPr>
        <w:t>Ki</w:t>
      </w:r>
      <w:r>
        <w:rPr>
          <w:rFonts w:ascii="Gill Sans MT" w:hAnsi="Gill Sans MT"/>
          <w:sz w:val="18"/>
          <w:szCs w:val="18"/>
          <w:lang w:val="en-GB"/>
        </w:rPr>
        <w:t xml:space="preserve">ng Mohammed VI has </w:t>
      </w:r>
      <w:proofErr w:type="gramStart"/>
      <w:r>
        <w:rPr>
          <w:rFonts w:ascii="Gill Sans MT" w:hAnsi="Gill Sans MT"/>
          <w:sz w:val="18"/>
          <w:szCs w:val="18"/>
          <w:lang w:val="en-GB"/>
        </w:rPr>
        <w:t>reigned</w:t>
      </w:r>
      <w:proofErr w:type="gramEnd"/>
      <w:r w:rsidRPr="00000A0D">
        <w:rPr>
          <w:rFonts w:ascii="Gill Sans MT" w:hAnsi="Gill Sans MT"/>
          <w:sz w:val="18"/>
          <w:szCs w:val="18"/>
          <w:lang w:val="en-GB"/>
        </w:rPr>
        <w:t xml:space="preserve"> since July 1999, after taking over upon the death of his father, King Hassan II, who had ruled since 1961.</w:t>
      </w:r>
      <w:r>
        <w:rPr>
          <w:lang w:val="en-US"/>
        </w:rPr>
        <w:t xml:space="preserve"> </w:t>
      </w:r>
    </w:p>
  </w:footnote>
  <w:footnote w:id="39">
    <w:p w14:paraId="3811648A" w14:textId="77777777" w:rsidR="00A751F4" w:rsidRPr="00893DC2" w:rsidRDefault="00A751F4" w:rsidP="00DB0726">
      <w:pPr>
        <w:pStyle w:val="FootnoteText"/>
        <w:rPr>
          <w:lang w:val="en-US"/>
        </w:rPr>
      </w:pPr>
      <w:r>
        <w:rPr>
          <w:rStyle w:val="FootnoteReference"/>
        </w:rPr>
        <w:footnoteRef/>
      </w:r>
      <w:r>
        <w:t xml:space="preserve"> </w:t>
      </w:r>
      <w:r>
        <w:rPr>
          <w:lang w:val="en-US"/>
        </w:rPr>
        <w:tab/>
      </w:r>
      <w:r w:rsidRPr="00893DC2">
        <w:rPr>
          <w:rFonts w:ascii="Gill Sans MT" w:hAnsi="Gill Sans MT"/>
          <w:sz w:val="18"/>
          <w:szCs w:val="18"/>
          <w:lang w:val="en-US"/>
        </w:rPr>
        <w:t xml:space="preserve">African Development Bank &amp; OECD, (2008), </w:t>
      </w:r>
      <w:r w:rsidRPr="00893DC2">
        <w:rPr>
          <w:rFonts w:ascii="Gill Sans MT" w:hAnsi="Gill Sans MT"/>
          <w:sz w:val="18"/>
          <w:szCs w:val="18"/>
          <w:u w:val="single"/>
          <w:lang w:val="en-US"/>
        </w:rPr>
        <w:t>Morocco: Economic Perspectives</w:t>
      </w:r>
      <w:r w:rsidRPr="00893DC2">
        <w:rPr>
          <w:rFonts w:ascii="Gill Sans MT" w:hAnsi="Gill Sans MT"/>
          <w:sz w:val="18"/>
          <w:szCs w:val="18"/>
          <w:lang w:val="en-US"/>
        </w:rPr>
        <w:t>, Paris &amp; Tunis.</w:t>
      </w:r>
    </w:p>
  </w:footnote>
  <w:footnote w:id="40">
    <w:p w14:paraId="0E4AC1AD" w14:textId="77777777" w:rsidR="00A751F4" w:rsidRPr="00924FE1" w:rsidRDefault="00A751F4" w:rsidP="00DB0726">
      <w:pPr>
        <w:pStyle w:val="FootnoteText"/>
        <w:rPr>
          <w:lang w:val="en-US"/>
        </w:rPr>
      </w:pPr>
      <w:r>
        <w:rPr>
          <w:rStyle w:val="FootnoteReference"/>
        </w:rPr>
        <w:footnoteRef/>
      </w:r>
      <w:r>
        <w:t xml:space="preserve"> </w:t>
      </w:r>
      <w:r>
        <w:rPr>
          <w:lang w:val="en-US"/>
        </w:rPr>
        <w:tab/>
      </w:r>
      <w:r w:rsidRPr="00924FE1">
        <w:rPr>
          <w:rFonts w:ascii="Gill Sans MT" w:hAnsi="Gill Sans MT"/>
          <w:sz w:val="18"/>
          <w:szCs w:val="18"/>
          <w:lang w:val="en-US"/>
        </w:rPr>
        <w:t>The Tunisia evaluation was limited to EU budget support operations, and thus the estimate of annual BS disbursements is likely to be an under-estimate.</w:t>
      </w:r>
      <w:r w:rsidRPr="00AB79F4">
        <w:rPr>
          <w:rFonts w:ascii="Gill Sans MT" w:hAnsi="Gill Sans MT"/>
          <w:sz w:val="18"/>
          <w:szCs w:val="18"/>
          <w:highlight w:val="yellow"/>
          <w:lang w:val="en-US"/>
        </w:rPr>
        <w:t xml:space="preserve"> </w:t>
      </w:r>
    </w:p>
  </w:footnote>
  <w:footnote w:id="41">
    <w:p w14:paraId="64F4BE85" w14:textId="2AEBD1BF" w:rsidR="00A751F4" w:rsidRPr="002F338F" w:rsidRDefault="00A751F4" w:rsidP="00DB0726">
      <w:pPr>
        <w:pStyle w:val="FootnoteText"/>
        <w:rPr>
          <w:lang w:val="en-US"/>
        </w:rPr>
      </w:pPr>
      <w:r>
        <w:rPr>
          <w:rStyle w:val="FootnoteReference"/>
        </w:rPr>
        <w:footnoteRef/>
      </w:r>
      <w:r>
        <w:t xml:space="preserve"> </w:t>
      </w:r>
      <w:r>
        <w:rPr>
          <w:lang w:val="en-US"/>
        </w:rPr>
        <w:tab/>
      </w:r>
      <w:r w:rsidRPr="002F338F">
        <w:rPr>
          <w:rFonts w:ascii="Gill Sans MT" w:hAnsi="Gill Sans MT"/>
          <w:sz w:val="18"/>
          <w:szCs w:val="18"/>
          <w:lang w:val="en-GB"/>
        </w:rPr>
        <w:t>These are the largest SBS arrangeme</w:t>
      </w:r>
      <w:r w:rsidR="00A37CA0">
        <w:rPr>
          <w:rFonts w:ascii="Gill Sans MT" w:hAnsi="Gill Sans MT"/>
          <w:sz w:val="18"/>
          <w:szCs w:val="18"/>
          <w:lang w:val="en-GB"/>
        </w:rPr>
        <w:t xml:space="preserve">nts, representing </w:t>
      </w:r>
      <w:r>
        <w:rPr>
          <w:rFonts w:ascii="Gill Sans MT" w:hAnsi="Gill Sans MT"/>
          <w:sz w:val="18"/>
          <w:szCs w:val="18"/>
          <w:lang w:val="en-GB"/>
        </w:rPr>
        <w:t>46</w:t>
      </w:r>
      <w:r w:rsidRPr="002F338F">
        <w:rPr>
          <w:rFonts w:ascii="Gill Sans MT" w:hAnsi="Gill Sans MT"/>
          <w:sz w:val="18"/>
          <w:szCs w:val="18"/>
          <w:lang w:val="en-GB"/>
        </w:rPr>
        <w:t>% of total budget support disbursements.</w:t>
      </w:r>
    </w:p>
  </w:footnote>
  <w:footnote w:id="42">
    <w:p w14:paraId="1C3DE8C2" w14:textId="77777777" w:rsidR="00A751F4" w:rsidRPr="00B60534" w:rsidRDefault="00A751F4">
      <w:pPr>
        <w:pStyle w:val="FootnoteText"/>
        <w:rPr>
          <w:lang w:val="en-US"/>
        </w:rPr>
      </w:pPr>
      <w:r>
        <w:rPr>
          <w:rStyle w:val="FootnoteReference"/>
        </w:rPr>
        <w:footnoteRef/>
      </w:r>
      <w:r>
        <w:t xml:space="preserve"> </w:t>
      </w:r>
      <w:r w:rsidRPr="009C53FA">
        <w:rPr>
          <w:rFonts w:ascii="Gill Sans MT" w:hAnsi="Gill Sans MT"/>
          <w:sz w:val="18"/>
          <w:szCs w:val="18"/>
          <w:lang w:val="en-US"/>
        </w:rPr>
        <w:tab/>
        <w:t xml:space="preserve">We use the word “outcomes’ in a generic sense because we are following the ‘realist synthesis’ approach of </w:t>
      </w:r>
      <w:proofErr w:type="spellStart"/>
      <w:r w:rsidRPr="009C53FA">
        <w:rPr>
          <w:rFonts w:ascii="Gill Sans MT" w:hAnsi="Gill Sans MT"/>
          <w:sz w:val="18"/>
          <w:szCs w:val="18"/>
          <w:lang w:val="en-US"/>
        </w:rPr>
        <w:t>Pawson</w:t>
      </w:r>
      <w:proofErr w:type="spellEnd"/>
      <w:r w:rsidRPr="009C53FA">
        <w:rPr>
          <w:rFonts w:ascii="Gill Sans MT" w:hAnsi="Gill Sans MT"/>
          <w:sz w:val="18"/>
          <w:szCs w:val="18"/>
          <w:lang w:val="en-US"/>
        </w:rPr>
        <w:t xml:space="preserve"> and </w:t>
      </w:r>
      <w:proofErr w:type="spellStart"/>
      <w:r w:rsidRPr="009C53FA">
        <w:rPr>
          <w:rFonts w:ascii="Gill Sans MT" w:hAnsi="Gill Sans MT"/>
          <w:sz w:val="18"/>
          <w:szCs w:val="18"/>
          <w:lang w:val="en-US"/>
        </w:rPr>
        <w:t>Pawson</w:t>
      </w:r>
      <w:proofErr w:type="spellEnd"/>
      <w:r w:rsidRPr="009C53FA">
        <w:rPr>
          <w:rFonts w:ascii="Gill Sans MT" w:hAnsi="Gill Sans MT"/>
          <w:sz w:val="18"/>
          <w:szCs w:val="18"/>
          <w:lang w:val="en-US"/>
        </w:rPr>
        <w:t xml:space="preserve"> &amp; Tilley, described in Chapter 1. The OECD-DAC evaluation methodology distinguishes induced outputs, outcomes and impacts as separate components.</w:t>
      </w:r>
      <w:r>
        <w:rPr>
          <w:lang w:val="en-US"/>
        </w:rPr>
        <w:t xml:space="preserve"> </w:t>
      </w:r>
    </w:p>
  </w:footnote>
  <w:footnote w:id="43">
    <w:p w14:paraId="0E17184C" w14:textId="77777777" w:rsidR="00A751F4" w:rsidRPr="002201BB" w:rsidRDefault="00A751F4">
      <w:pPr>
        <w:pStyle w:val="FootnoteText"/>
        <w:rPr>
          <w:lang w:val="en-US"/>
        </w:rPr>
      </w:pPr>
      <w:r>
        <w:rPr>
          <w:rStyle w:val="FootnoteReference"/>
        </w:rPr>
        <w:footnoteRef/>
      </w:r>
      <w:r>
        <w:t xml:space="preserve"> </w:t>
      </w:r>
      <w:r>
        <w:rPr>
          <w:lang w:val="en-US"/>
        </w:rPr>
        <w:tab/>
      </w:r>
      <w:r w:rsidRPr="00E1405A">
        <w:rPr>
          <w:rFonts w:ascii="Gill Sans MT" w:hAnsi="Gill Sans MT"/>
          <w:sz w:val="18"/>
          <w:szCs w:val="18"/>
          <w:lang w:val="en-US"/>
        </w:rPr>
        <w:t xml:space="preserve">Caputo, E., A. de Kemp and A. Lawson (October 2011), </w:t>
      </w:r>
      <w:r w:rsidRPr="00E1405A">
        <w:rPr>
          <w:rFonts w:ascii="Gill Sans MT" w:hAnsi="Gill Sans MT"/>
          <w:sz w:val="18"/>
          <w:szCs w:val="18"/>
          <w:u w:val="single"/>
          <w:lang w:val="en-US"/>
        </w:rPr>
        <w:t>Assessing the Impacts of Budget Support: Case studies in Mali, Tunisia and Zambia</w:t>
      </w:r>
      <w:r w:rsidRPr="00E1405A">
        <w:rPr>
          <w:rFonts w:ascii="Gill Sans MT" w:hAnsi="Gill Sans MT"/>
          <w:sz w:val="18"/>
          <w:szCs w:val="18"/>
          <w:lang w:val="en-US"/>
        </w:rPr>
        <w:t>, OECD-DAC Evaluation Insights; Paris</w:t>
      </w:r>
    </w:p>
  </w:footnote>
  <w:footnote w:id="44">
    <w:p w14:paraId="270BC978" w14:textId="77777777" w:rsidR="00A751F4" w:rsidRPr="00BC6B52" w:rsidRDefault="00A751F4" w:rsidP="008F339F">
      <w:pPr>
        <w:pStyle w:val="FootnoteText"/>
        <w:rPr>
          <w:lang w:val="en-US"/>
        </w:rPr>
      </w:pPr>
      <w:r>
        <w:rPr>
          <w:rStyle w:val="FootnoteReference"/>
        </w:rPr>
        <w:footnoteRef/>
      </w:r>
      <w:r>
        <w:t xml:space="preserve"> </w:t>
      </w:r>
      <w:r>
        <w:rPr>
          <w:lang w:val="en-US"/>
        </w:rPr>
        <w:tab/>
      </w:r>
      <w:r>
        <w:rPr>
          <w:rFonts w:ascii="Gill Sans MT" w:hAnsi="Gill Sans MT"/>
          <w:sz w:val="18"/>
          <w:szCs w:val="18"/>
          <w:lang w:val="en-GB"/>
        </w:rPr>
        <w:t>I</w:t>
      </w:r>
      <w:r w:rsidRPr="0045687E">
        <w:rPr>
          <w:rFonts w:ascii="Gill Sans MT" w:hAnsi="Gill Sans MT"/>
          <w:sz w:val="18"/>
          <w:szCs w:val="18"/>
          <w:lang w:val="en-GB"/>
        </w:rPr>
        <w:t>n both the Tanzania and the Mozambique evaluations, confidential stories were shared with the evaluation team of inappropriate behaviour on both sides of the relationship: fists being banged on tables, voices being raised inappropriately, disrespect shown to Ministers and Ambassadors, etc.</w:t>
      </w:r>
    </w:p>
  </w:footnote>
  <w:footnote w:id="45">
    <w:p w14:paraId="0A3CBA5E" w14:textId="77777777" w:rsidR="00A751F4" w:rsidRPr="00A22848" w:rsidRDefault="00A751F4" w:rsidP="008F339F">
      <w:pPr>
        <w:pStyle w:val="FootnoteText"/>
        <w:rPr>
          <w:lang w:val="en-US"/>
        </w:rPr>
      </w:pPr>
      <w:r>
        <w:rPr>
          <w:rStyle w:val="FootnoteReference"/>
        </w:rPr>
        <w:footnoteRef/>
      </w:r>
      <w:r>
        <w:t xml:space="preserve"> </w:t>
      </w:r>
      <w:r>
        <w:rPr>
          <w:lang w:val="en-US"/>
        </w:rPr>
        <w:tab/>
      </w:r>
      <w:r w:rsidRPr="00EA4CEA">
        <w:rPr>
          <w:rFonts w:ascii="Gill Sans MT" w:hAnsi="Gill Sans MT"/>
          <w:sz w:val="18"/>
          <w:szCs w:val="18"/>
          <w:lang w:val="en-US"/>
        </w:rPr>
        <w:t xml:space="preserve">The Tanzania evaluation </w:t>
      </w:r>
      <w:r>
        <w:rPr>
          <w:rFonts w:ascii="Gill Sans MT" w:hAnsi="Gill Sans MT"/>
          <w:sz w:val="18"/>
          <w:szCs w:val="18"/>
          <w:lang w:val="en-US"/>
        </w:rPr>
        <w:t xml:space="preserve">in fact </w:t>
      </w:r>
      <w:r w:rsidRPr="00EA4CEA">
        <w:rPr>
          <w:rFonts w:ascii="Gill Sans MT" w:hAnsi="Gill Sans MT"/>
          <w:sz w:val="18"/>
          <w:szCs w:val="18"/>
          <w:lang w:val="en-US"/>
        </w:rPr>
        <w:t>recommended a full separation of the two functions with an independent team taking responsibility for assessing</w:t>
      </w:r>
      <w:r>
        <w:rPr>
          <w:rFonts w:ascii="Gill Sans MT" w:hAnsi="Gill Sans MT"/>
          <w:sz w:val="18"/>
          <w:szCs w:val="18"/>
          <w:lang w:val="en-US"/>
        </w:rPr>
        <w:t xml:space="preserve"> progress annually and reporting back to donors</w:t>
      </w:r>
      <w:r w:rsidRPr="00EA4CEA">
        <w:rPr>
          <w:rFonts w:ascii="Gill Sans MT" w:hAnsi="Gill Sans MT"/>
          <w:sz w:val="18"/>
          <w:szCs w:val="18"/>
          <w:lang w:val="en-US"/>
        </w:rPr>
        <w:t>. The donor stakeholders did not support this recommendation, however, partly because they felt that a donor engagement in both monitoring and forward-thinking was needed and, partly, out of doubts over the difficulties of identifying an objective and appropriately qualified team.</w:t>
      </w:r>
    </w:p>
  </w:footnote>
  <w:footnote w:id="46">
    <w:p w14:paraId="56C65D59" w14:textId="77777777" w:rsidR="00A751F4" w:rsidRPr="00E36DB7" w:rsidRDefault="00A751F4" w:rsidP="008F339F">
      <w:pPr>
        <w:pStyle w:val="FootnoteText"/>
        <w:rPr>
          <w:lang w:val="en-US"/>
        </w:rPr>
      </w:pPr>
      <w:r>
        <w:rPr>
          <w:rStyle w:val="FootnoteReference"/>
        </w:rPr>
        <w:footnoteRef/>
      </w:r>
      <w:r>
        <w:t xml:space="preserve"> </w:t>
      </w:r>
      <w:r>
        <w:rPr>
          <w:lang w:val="en-US"/>
        </w:rPr>
        <w:tab/>
      </w:r>
      <w:r w:rsidRPr="00E36DB7">
        <w:rPr>
          <w:rFonts w:ascii="Gill Sans MT" w:hAnsi="Gill Sans MT"/>
          <w:sz w:val="18"/>
          <w:szCs w:val="18"/>
          <w:lang w:val="en-US"/>
        </w:rPr>
        <w:t>For Mali, the West African Economic and Monetary Union (WAEMU; UEMOA in French)</w:t>
      </w:r>
      <w:r>
        <w:rPr>
          <w:rFonts w:ascii="Gill Sans MT" w:hAnsi="Gill Sans MT"/>
          <w:sz w:val="18"/>
          <w:szCs w:val="18"/>
          <w:lang w:val="en-US"/>
        </w:rPr>
        <w:t xml:space="preserve"> showed itself to be an influential and respected organization. Efforts to connect the donor-government dialogue more closely to WAEMU initiatives and interests might prove fruitful, as an alternative way of approaching this objective. </w:t>
      </w:r>
    </w:p>
  </w:footnote>
  <w:footnote w:id="47">
    <w:p w14:paraId="12F7F7D3" w14:textId="77777777" w:rsidR="00A751F4" w:rsidRPr="006D4CFE" w:rsidRDefault="00A751F4">
      <w:pPr>
        <w:pStyle w:val="FootnoteText"/>
        <w:rPr>
          <w:lang w:val="en-US"/>
        </w:rPr>
      </w:pPr>
      <w:r>
        <w:rPr>
          <w:rStyle w:val="FootnoteReference"/>
        </w:rPr>
        <w:footnoteRef/>
      </w:r>
      <w:r>
        <w:t xml:space="preserve"> </w:t>
      </w:r>
      <w:r>
        <w:rPr>
          <w:lang w:val="en-US"/>
        </w:rPr>
        <w:tab/>
      </w:r>
      <w:r w:rsidRPr="006D4CFE">
        <w:rPr>
          <w:rFonts w:ascii="Gill Sans MT" w:hAnsi="Gill Sans MT"/>
          <w:sz w:val="18"/>
          <w:szCs w:val="18"/>
          <w:lang w:val="en-US"/>
        </w:rPr>
        <w:t>By way of example, it was pointed out by the South African Government representative at the dissemination seminar where the draft of this synthesis report was presented that the level of private funding available through Corporate Social Responsibility (CSR) schemes in South Africa far exceeds the value of Official Development Assistance. The scope of the SBS programmes in South Africa could thus be dramatically expanded by “crowding in” these CSR resources</w:t>
      </w:r>
      <w:r>
        <w:rPr>
          <w:lang w:val="en-US"/>
        </w:rPr>
        <w:t>.</w:t>
      </w:r>
    </w:p>
  </w:footnote>
  <w:footnote w:id="48">
    <w:p w14:paraId="4DEB20FC" w14:textId="77777777" w:rsidR="00A751F4" w:rsidRPr="005B5A57" w:rsidRDefault="00A751F4" w:rsidP="00F84419">
      <w:pPr>
        <w:pStyle w:val="FootnoteText"/>
        <w:rPr>
          <w:lang w:val="en-US"/>
        </w:rPr>
      </w:pPr>
      <w:r>
        <w:rPr>
          <w:rStyle w:val="FootnoteReference"/>
        </w:rPr>
        <w:footnoteRef/>
      </w:r>
      <w:r>
        <w:t xml:space="preserve"> </w:t>
      </w:r>
      <w:r>
        <w:tab/>
      </w:r>
      <w:r w:rsidRPr="00AF12C4">
        <w:rPr>
          <w:rFonts w:ascii="Gill Sans MT" w:hAnsi="Gill Sans MT"/>
          <w:sz w:val="18"/>
          <w:szCs w:val="18"/>
          <w:lang w:val="en-GB"/>
        </w:rPr>
        <w:t xml:space="preserve">In addition to the 14 countries listed in </w:t>
      </w:r>
      <w:r>
        <w:rPr>
          <w:rFonts w:ascii="Gill Sans MT" w:hAnsi="Gill Sans MT"/>
          <w:sz w:val="18"/>
          <w:szCs w:val="18"/>
          <w:lang w:val="en-GB"/>
        </w:rPr>
        <w:t>Table 15</w:t>
      </w:r>
      <w:r w:rsidRPr="00AF12C4">
        <w:rPr>
          <w:rFonts w:ascii="Gill Sans MT" w:hAnsi="Gill Sans MT"/>
          <w:sz w:val="18"/>
          <w:szCs w:val="18"/>
          <w:lang w:val="en-GB"/>
        </w:rPr>
        <w:t>, country evaluations of budget support have also been undertaken in Armenia, Benin, Burundi, Cape Verde, DRC, Ethiopia, Lao PDR and Pakistan. See Ronsholt, 2014, Annex B as well as the source documents: IEG (2010), ICAI (2012), IOB (2012), Austrian Development Cooperation (2010), ODI (2010) and Oxfam (2011).</w:t>
      </w:r>
      <w:r>
        <w:t xml:space="preserve"> </w:t>
      </w:r>
    </w:p>
  </w:footnote>
  <w:footnote w:id="49">
    <w:p w14:paraId="505D3A63" w14:textId="77777777" w:rsidR="00A751F4" w:rsidRPr="00113EB6" w:rsidRDefault="00A751F4" w:rsidP="003241B0">
      <w:pPr>
        <w:pStyle w:val="FootnoteText"/>
        <w:rPr>
          <w:rFonts w:ascii="Gill Sans MT" w:hAnsi="Gill Sans MT"/>
          <w:sz w:val="18"/>
          <w:szCs w:val="18"/>
          <w:lang w:val="en-US"/>
        </w:rPr>
      </w:pPr>
      <w:r>
        <w:rPr>
          <w:rStyle w:val="FootnoteReference"/>
        </w:rPr>
        <w:footnoteRef/>
      </w:r>
      <w:r>
        <w:t xml:space="preserve"> </w:t>
      </w:r>
      <w:r>
        <w:rPr>
          <w:rFonts w:ascii="Gill Sans MT" w:hAnsi="Gill Sans MT"/>
          <w:sz w:val="18"/>
          <w:szCs w:val="18"/>
          <w:lang w:val="en-US"/>
        </w:rPr>
        <w:tab/>
        <w:t xml:space="preserve">There was a further suspension in 2010 by the Netherlands, due to a ‘lack of sufficient action to improve the business environment’. This suspension caused considerable resentment from the Tanzania Government, because evidence was drawn only in part from the PAF, and in part from the case of one Dutch businessman, who was considered to have been treated in an irregular manner through the Tanzanian court system. </w:t>
      </w:r>
    </w:p>
  </w:footnote>
  <w:footnote w:id="50">
    <w:p w14:paraId="2395D5D0" w14:textId="77777777" w:rsidR="00A751F4" w:rsidRPr="00A15B24" w:rsidRDefault="00A751F4" w:rsidP="003241B0">
      <w:pPr>
        <w:pStyle w:val="FootnoteText"/>
        <w:rPr>
          <w:lang w:val="en-US"/>
        </w:rPr>
      </w:pPr>
      <w:r>
        <w:rPr>
          <w:rStyle w:val="FootnoteReference"/>
        </w:rPr>
        <w:footnoteRef/>
      </w:r>
      <w:r>
        <w:t xml:space="preserve"> </w:t>
      </w:r>
      <w:r>
        <w:rPr>
          <w:lang w:val="en-US"/>
        </w:rPr>
        <w:tab/>
      </w:r>
      <w:r w:rsidRPr="00A15B24">
        <w:rPr>
          <w:rFonts w:ascii="Gill Sans MT" w:hAnsi="Gill Sans MT"/>
          <w:sz w:val="18"/>
          <w:szCs w:val="18"/>
          <w:lang w:val="en-US"/>
        </w:rPr>
        <w:t>As a rough indication of the impact this might have had, if MDM had won the same percentage of parliamentary as presidential votes (8.59 %), th</w:t>
      </w:r>
      <w:r>
        <w:rPr>
          <w:rFonts w:ascii="Gill Sans MT" w:hAnsi="Gill Sans MT"/>
          <w:sz w:val="18"/>
          <w:szCs w:val="18"/>
          <w:lang w:val="en-US"/>
        </w:rPr>
        <w:t>ey would have won some 15-</w:t>
      </w:r>
      <w:r w:rsidRPr="00A15B24">
        <w:rPr>
          <w:rFonts w:ascii="Gill Sans MT" w:hAnsi="Gill Sans MT"/>
          <w:sz w:val="18"/>
          <w:szCs w:val="18"/>
          <w:lang w:val="en-US"/>
        </w:rPr>
        <w:t>20 seats, as opposed to the 8, they actua</w:t>
      </w:r>
      <w:r>
        <w:rPr>
          <w:rFonts w:ascii="Gill Sans MT" w:hAnsi="Gill Sans MT"/>
          <w:sz w:val="18"/>
          <w:szCs w:val="18"/>
          <w:lang w:val="en-US"/>
        </w:rPr>
        <w:t xml:space="preserve">lly won. </w:t>
      </w:r>
    </w:p>
  </w:footnote>
  <w:footnote w:id="51">
    <w:p w14:paraId="46384AFA" w14:textId="77777777" w:rsidR="00A751F4" w:rsidRPr="00263915" w:rsidRDefault="00A751F4" w:rsidP="003241B0">
      <w:pPr>
        <w:pStyle w:val="FootnoteText"/>
        <w:rPr>
          <w:lang w:val="en-US"/>
        </w:rPr>
      </w:pPr>
      <w:r>
        <w:rPr>
          <w:rStyle w:val="FootnoteReference"/>
        </w:rPr>
        <w:footnoteRef/>
      </w:r>
      <w:r>
        <w:t xml:space="preserve"> </w:t>
      </w:r>
      <w:r>
        <w:rPr>
          <w:lang w:val="en-US"/>
        </w:rPr>
        <w:tab/>
      </w:r>
      <w:r w:rsidRPr="00263915">
        <w:rPr>
          <w:rFonts w:ascii="Gill Sans MT" w:hAnsi="Gill Sans MT"/>
          <w:sz w:val="18"/>
          <w:szCs w:val="18"/>
          <w:lang w:val="en-GB"/>
        </w:rPr>
        <w:t>Normally, MDM w</w:t>
      </w:r>
      <w:r>
        <w:rPr>
          <w:rFonts w:ascii="Gill Sans MT" w:hAnsi="Gill Sans MT"/>
          <w:sz w:val="18"/>
          <w:szCs w:val="18"/>
          <w:lang w:val="en-GB"/>
        </w:rPr>
        <w:t xml:space="preserve">ould have required </w:t>
      </w:r>
      <w:r w:rsidRPr="00263915">
        <w:rPr>
          <w:rFonts w:ascii="Gill Sans MT" w:hAnsi="Gill Sans MT"/>
          <w:sz w:val="18"/>
          <w:szCs w:val="18"/>
          <w:lang w:val="en-GB"/>
        </w:rPr>
        <w:t xml:space="preserve">10 seats to obtain the status of a </w:t>
      </w:r>
      <w:proofErr w:type="spellStart"/>
      <w:r w:rsidRPr="00263915">
        <w:rPr>
          <w:rFonts w:ascii="Gill Sans MT" w:hAnsi="Gill Sans MT"/>
          <w:i/>
          <w:sz w:val="18"/>
          <w:szCs w:val="18"/>
          <w:lang w:val="en-GB"/>
        </w:rPr>
        <w:t>bancada</w:t>
      </w:r>
      <w:proofErr w:type="spellEnd"/>
      <w:r w:rsidRPr="00263915">
        <w:rPr>
          <w:rFonts w:ascii="Gill Sans MT" w:hAnsi="Gill Sans MT"/>
          <w:i/>
          <w:sz w:val="18"/>
          <w:szCs w:val="18"/>
          <w:lang w:val="en-GB"/>
        </w:rPr>
        <w:t xml:space="preserve">; </w:t>
      </w:r>
      <w:r>
        <w:rPr>
          <w:rFonts w:ascii="Gill Sans MT" w:hAnsi="Gill Sans MT"/>
          <w:sz w:val="18"/>
          <w:szCs w:val="18"/>
          <w:lang w:val="en-GB"/>
        </w:rPr>
        <w:t>without which</w:t>
      </w:r>
      <w:r w:rsidRPr="00263915">
        <w:rPr>
          <w:rFonts w:ascii="Gill Sans MT" w:hAnsi="Gill Sans MT"/>
          <w:sz w:val="18"/>
          <w:szCs w:val="18"/>
          <w:lang w:val="en-GB"/>
        </w:rPr>
        <w:t>, their rights to debating time and other such parliamentary privileges would have been significantly restricted</w:t>
      </w:r>
      <w:r>
        <w:rPr>
          <w:rFonts w:ascii="Gill Sans MT" w:hAnsi="Gill Sans MT"/>
          <w:lang w:val="en-GB"/>
        </w:rPr>
        <w:t>.</w:t>
      </w:r>
    </w:p>
  </w:footnote>
  <w:footnote w:id="52">
    <w:p w14:paraId="78A13E6C" w14:textId="77777777" w:rsidR="00A751F4" w:rsidRPr="001B6F42" w:rsidRDefault="00A751F4" w:rsidP="00FC7B45">
      <w:pPr>
        <w:pStyle w:val="FootnoteText"/>
        <w:rPr>
          <w:lang w:val="en-US"/>
        </w:rPr>
      </w:pPr>
      <w:r>
        <w:rPr>
          <w:rStyle w:val="FootnoteReference"/>
        </w:rPr>
        <w:footnoteRef/>
      </w:r>
      <w:r>
        <w:t xml:space="preserve"> </w:t>
      </w:r>
      <w:r>
        <w:rPr>
          <w:lang w:val="en-US"/>
        </w:rPr>
        <w:tab/>
      </w:r>
      <w:r w:rsidRPr="001B6F42">
        <w:rPr>
          <w:rFonts w:ascii="Gill Sans MT" w:hAnsi="Gill Sans MT"/>
          <w:sz w:val="18"/>
          <w:szCs w:val="18"/>
          <w:lang w:val="en-GB"/>
        </w:rPr>
        <w:t>Interestingly, Ireland abandoned its use of variable tranches during the evaluation period. We have unfortunately not been able to obtain documentation on the reasons for this change</w:t>
      </w:r>
      <w:r w:rsidRPr="001B6F42">
        <w:rPr>
          <w:rFonts w:ascii="Gill Sans MT" w:hAnsi="Gill Sans MT"/>
          <w:lang w:val="en-GB"/>
        </w:rPr>
        <w:t>.</w:t>
      </w:r>
      <w:r>
        <w:rPr>
          <w:lang w:val="en-US"/>
        </w:rPr>
        <w:t xml:space="preserve">  </w:t>
      </w:r>
    </w:p>
  </w:footnote>
  <w:footnote w:id="53">
    <w:p w14:paraId="5CE49AC3" w14:textId="77777777" w:rsidR="00A751F4" w:rsidRPr="001B6F42" w:rsidRDefault="00A751F4" w:rsidP="00FC7B45">
      <w:pPr>
        <w:pStyle w:val="FootnoteText"/>
        <w:rPr>
          <w:lang w:val="en-US"/>
        </w:rPr>
      </w:pPr>
      <w:r>
        <w:rPr>
          <w:rStyle w:val="FootnoteReference"/>
        </w:rPr>
        <w:footnoteRef/>
      </w:r>
      <w:r>
        <w:t xml:space="preserve"> </w:t>
      </w:r>
      <w:r>
        <w:rPr>
          <w:lang w:val="en-US"/>
        </w:rPr>
        <w:tab/>
      </w:r>
      <w:r w:rsidRPr="001B6F42">
        <w:rPr>
          <w:rFonts w:ascii="Gill Sans MT" w:hAnsi="Gill Sans MT"/>
          <w:sz w:val="18"/>
          <w:szCs w:val="18"/>
          <w:lang w:val="en-US"/>
        </w:rPr>
        <w:t xml:space="preserve">We are indebted to Dieter </w:t>
      </w:r>
      <w:proofErr w:type="spellStart"/>
      <w:r w:rsidRPr="001B6F42">
        <w:rPr>
          <w:rFonts w:ascii="Gill Sans MT" w:hAnsi="Gill Sans MT"/>
          <w:sz w:val="18"/>
          <w:szCs w:val="18"/>
          <w:lang w:val="en-US"/>
        </w:rPr>
        <w:t>Orlowski</w:t>
      </w:r>
      <w:proofErr w:type="spellEnd"/>
      <w:r w:rsidRPr="001B6F42">
        <w:rPr>
          <w:rFonts w:ascii="Gill Sans MT" w:hAnsi="Gill Sans MT"/>
          <w:sz w:val="18"/>
          <w:szCs w:val="18"/>
          <w:lang w:val="en-US"/>
        </w:rPr>
        <w:t xml:space="preserve"> for the provision of information presented in this section: </w:t>
      </w:r>
      <w:proofErr w:type="spellStart"/>
      <w:r w:rsidRPr="001B6F42">
        <w:rPr>
          <w:rFonts w:ascii="Gill Sans MT" w:hAnsi="Gill Sans MT"/>
          <w:sz w:val="18"/>
          <w:szCs w:val="18"/>
          <w:lang w:val="en-US"/>
        </w:rPr>
        <w:t>Orlowski</w:t>
      </w:r>
      <w:proofErr w:type="spellEnd"/>
      <w:r w:rsidRPr="001B6F42">
        <w:rPr>
          <w:rFonts w:ascii="Gill Sans MT" w:hAnsi="Gill Sans MT"/>
          <w:sz w:val="18"/>
          <w:szCs w:val="18"/>
          <w:lang w:val="en-US"/>
        </w:rPr>
        <w:t xml:space="preserve">, D. (September, 2013), </w:t>
      </w:r>
      <w:r w:rsidRPr="001B6F42">
        <w:rPr>
          <w:rFonts w:ascii="Gill Sans MT" w:hAnsi="Gill Sans MT"/>
          <w:i/>
          <w:sz w:val="18"/>
          <w:szCs w:val="18"/>
          <w:lang w:val="en-US"/>
        </w:rPr>
        <w:t xml:space="preserve">Impact of variable tranches on policy and reforms, </w:t>
      </w:r>
      <w:r w:rsidRPr="001B6F42">
        <w:rPr>
          <w:rFonts w:ascii="Gill Sans MT" w:hAnsi="Gill Sans MT"/>
          <w:sz w:val="18"/>
          <w:szCs w:val="18"/>
          <w:lang w:val="en-US"/>
        </w:rPr>
        <w:t>Internal Note for Danida, Maputo.</w:t>
      </w:r>
      <w:r>
        <w:rPr>
          <w:lang w:val="en-US"/>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439"/>
      <w:gridCol w:w="1572"/>
    </w:tblGrid>
    <w:tr w:rsidR="00A751F4" w:rsidRPr="00175496" w14:paraId="7EABB82C" w14:textId="77777777" w:rsidTr="00003A6B">
      <w:trPr>
        <w:trHeight w:val="340"/>
      </w:trPr>
      <w:tc>
        <w:tcPr>
          <w:tcW w:w="4215" w:type="pct"/>
        </w:tcPr>
        <w:p w14:paraId="0F704A56" w14:textId="77777777" w:rsidR="00A751F4" w:rsidRPr="003436CC" w:rsidRDefault="00A751F4" w:rsidP="00003A6B">
          <w:pPr>
            <w:pStyle w:val="Header"/>
            <w:jc w:val="right"/>
            <w:rPr>
              <w:rFonts w:ascii="Cambria" w:hAnsi="Cambria"/>
              <w:sz w:val="20"/>
              <w:szCs w:val="20"/>
              <w:lang w:val="en-GB"/>
            </w:rPr>
          </w:pPr>
          <w:r>
            <w:rPr>
              <w:rFonts w:ascii="Cambria" w:hAnsi="Cambria"/>
              <w:sz w:val="20"/>
              <w:szCs w:val="20"/>
              <w:lang w:val="en-GB"/>
            </w:rPr>
            <w:t>Synthesis of Budget Support Evaluations – Volume 1: Synthesis Analysis of Findings, Conclusions &amp; Recommendations of seven country evaluations</w:t>
          </w:r>
          <w:r w:rsidRPr="003436CC">
            <w:rPr>
              <w:rFonts w:ascii="Cambria" w:hAnsi="Cambria"/>
              <w:sz w:val="20"/>
              <w:szCs w:val="20"/>
              <w:lang w:val="en-GB"/>
            </w:rPr>
            <w:t xml:space="preserve"> </w:t>
          </w:r>
        </w:p>
      </w:tc>
      <w:tc>
        <w:tcPr>
          <w:tcW w:w="785" w:type="pct"/>
        </w:tcPr>
        <w:p w14:paraId="61E08DC5" w14:textId="77777777" w:rsidR="00A751F4" w:rsidRPr="00175496" w:rsidRDefault="00A751F4" w:rsidP="00003A6B">
          <w:pPr>
            <w:pStyle w:val="Header"/>
            <w:rPr>
              <w:rFonts w:ascii="Cambria" w:hAnsi="Cambria"/>
              <w:b/>
              <w:bCs/>
              <w:color w:val="4F81BD"/>
              <w:sz w:val="20"/>
              <w:szCs w:val="20"/>
            </w:rPr>
          </w:pPr>
          <w:r w:rsidRPr="00175496">
            <w:rPr>
              <w:rFonts w:ascii="Cambria" w:hAnsi="Cambria"/>
              <w:b/>
              <w:bCs/>
              <w:sz w:val="20"/>
              <w:szCs w:val="20"/>
              <w:lang w:val="en-US"/>
            </w:rPr>
            <w:t>201</w:t>
          </w:r>
          <w:r>
            <w:rPr>
              <w:rFonts w:ascii="Cambria" w:hAnsi="Cambria"/>
              <w:b/>
              <w:bCs/>
              <w:sz w:val="20"/>
              <w:szCs w:val="20"/>
              <w:lang w:val="en-US"/>
            </w:rPr>
            <w:t>4</w:t>
          </w:r>
        </w:p>
      </w:tc>
    </w:tr>
  </w:tbl>
  <w:p w14:paraId="1CC5689F" w14:textId="77777777" w:rsidR="00A751F4" w:rsidRDefault="00A751F4">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439"/>
      <w:gridCol w:w="1572"/>
    </w:tblGrid>
    <w:tr w:rsidR="00A751F4" w:rsidRPr="00175496" w14:paraId="7CF05205" w14:textId="77777777" w:rsidTr="00003A6B">
      <w:trPr>
        <w:trHeight w:val="340"/>
      </w:trPr>
      <w:tc>
        <w:tcPr>
          <w:tcW w:w="4215" w:type="pct"/>
        </w:tcPr>
        <w:p w14:paraId="15274BA0" w14:textId="77777777" w:rsidR="00A751F4" w:rsidRPr="003436CC" w:rsidRDefault="00A751F4" w:rsidP="00003A6B">
          <w:pPr>
            <w:pStyle w:val="Header"/>
            <w:jc w:val="right"/>
            <w:rPr>
              <w:rFonts w:ascii="Cambria" w:hAnsi="Cambria"/>
              <w:sz w:val="20"/>
              <w:szCs w:val="20"/>
              <w:lang w:val="en-GB"/>
            </w:rPr>
          </w:pPr>
          <w:r>
            <w:rPr>
              <w:rFonts w:ascii="Cambria" w:hAnsi="Cambria"/>
              <w:sz w:val="20"/>
              <w:szCs w:val="20"/>
              <w:lang w:val="en-GB"/>
            </w:rPr>
            <w:t>Synthesis of Budget Support Evaluations – Volume 1: Synthesis Analysis of Findings, Conclusions &amp; Recommendations of seven country evaluations</w:t>
          </w:r>
          <w:r w:rsidRPr="003436CC">
            <w:rPr>
              <w:rFonts w:ascii="Cambria" w:hAnsi="Cambria"/>
              <w:sz w:val="20"/>
              <w:szCs w:val="20"/>
              <w:lang w:val="en-GB"/>
            </w:rPr>
            <w:t xml:space="preserve"> </w:t>
          </w:r>
        </w:p>
      </w:tc>
      <w:tc>
        <w:tcPr>
          <w:tcW w:w="785" w:type="pct"/>
        </w:tcPr>
        <w:p w14:paraId="1F8CF06D" w14:textId="77777777" w:rsidR="00A751F4" w:rsidRPr="00175496" w:rsidRDefault="00A751F4" w:rsidP="00003A6B">
          <w:pPr>
            <w:pStyle w:val="Header"/>
            <w:rPr>
              <w:rFonts w:ascii="Cambria" w:hAnsi="Cambria"/>
              <w:b/>
              <w:bCs/>
              <w:color w:val="4F81BD"/>
              <w:sz w:val="20"/>
              <w:szCs w:val="20"/>
            </w:rPr>
          </w:pPr>
          <w:r w:rsidRPr="00175496">
            <w:rPr>
              <w:rFonts w:ascii="Cambria" w:hAnsi="Cambria"/>
              <w:b/>
              <w:bCs/>
              <w:sz w:val="20"/>
              <w:szCs w:val="20"/>
              <w:lang w:val="en-US"/>
            </w:rPr>
            <w:t>201</w:t>
          </w:r>
          <w:r>
            <w:rPr>
              <w:rFonts w:ascii="Cambria" w:hAnsi="Cambria"/>
              <w:b/>
              <w:bCs/>
              <w:sz w:val="20"/>
              <w:szCs w:val="20"/>
              <w:lang w:val="en-US"/>
            </w:rPr>
            <w:t>4</w:t>
          </w:r>
        </w:p>
      </w:tc>
    </w:tr>
  </w:tbl>
  <w:p w14:paraId="2A879483" w14:textId="77777777" w:rsidR="00A751F4" w:rsidRDefault="00A751F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360"/>
        </w:tabs>
        <w:ind w:left="360" w:hanging="360"/>
      </w:pPr>
      <w:rPr>
        <w:rFonts w:ascii="Wingdings" w:hAnsi="Wingdings"/>
        <w:color w:val="999999"/>
      </w:rPr>
    </w:lvl>
  </w:abstractNum>
  <w:abstractNum w:abstractNumId="1">
    <w:nsid w:val="07CA0B33"/>
    <w:multiLevelType w:val="hybridMultilevel"/>
    <w:tmpl w:val="99586670"/>
    <w:lvl w:ilvl="0" w:tplc="04090001">
      <w:start w:val="1"/>
      <w:numFmt w:val="bullet"/>
      <w:lvlText w:val=""/>
      <w:lvlJc w:val="left"/>
      <w:pPr>
        <w:ind w:left="1219" w:hanging="360"/>
      </w:pPr>
      <w:rPr>
        <w:rFonts w:ascii="Wingdings" w:hAnsi="Wingdings" w:hint="default"/>
        <w:color w:val="800080"/>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2">
    <w:nsid w:val="083E53E2"/>
    <w:multiLevelType w:val="hybridMultilevel"/>
    <w:tmpl w:val="A086DB3A"/>
    <w:lvl w:ilvl="0" w:tplc="04090001">
      <w:start w:val="1"/>
      <w:numFmt w:val="bullet"/>
      <w:lvlText w:val=""/>
      <w:lvlJc w:val="left"/>
      <w:pPr>
        <w:ind w:left="1219" w:hanging="360"/>
      </w:pPr>
      <w:rPr>
        <w:rFonts w:ascii="Wingdings" w:hAnsi="Wingdings" w:hint="default"/>
        <w:color w:val="800080"/>
      </w:rPr>
    </w:lvl>
    <w:lvl w:ilvl="1" w:tplc="04090003">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3">
    <w:nsid w:val="0894517B"/>
    <w:multiLevelType w:val="hybridMultilevel"/>
    <w:tmpl w:val="4B986A2A"/>
    <w:lvl w:ilvl="0" w:tplc="04090001">
      <w:start w:val="1"/>
      <w:numFmt w:val="bullet"/>
      <w:lvlText w:val=""/>
      <w:lvlJc w:val="left"/>
      <w:pPr>
        <w:ind w:left="859" w:hanging="360"/>
      </w:pPr>
      <w:rPr>
        <w:rFonts w:ascii="Wingdings" w:hAnsi="Wingdings" w:hint="default"/>
        <w:color w:val="800080"/>
      </w:rPr>
    </w:lvl>
    <w:lvl w:ilvl="1" w:tplc="04090003" w:tentative="1">
      <w:start w:val="1"/>
      <w:numFmt w:val="bullet"/>
      <w:lvlText w:val="o"/>
      <w:lvlJc w:val="left"/>
      <w:pPr>
        <w:ind w:left="1579" w:hanging="360"/>
      </w:pPr>
      <w:rPr>
        <w:rFonts w:ascii="Courier New" w:hAnsi="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4">
    <w:nsid w:val="0C013124"/>
    <w:multiLevelType w:val="hybridMultilevel"/>
    <w:tmpl w:val="EBCA2762"/>
    <w:lvl w:ilvl="0" w:tplc="89C6DFE8">
      <w:start w:val="1"/>
      <w:numFmt w:val="decimal"/>
      <w:lvlText w:val="%1."/>
      <w:lvlJc w:val="left"/>
      <w:pPr>
        <w:ind w:left="1280" w:hanging="360"/>
      </w:pPr>
      <w:rPr>
        <w:rFonts w:hint="default"/>
        <w:color w:val="auto"/>
        <w:sz w:val="22"/>
        <w:szCs w:val="22"/>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5">
    <w:nsid w:val="0FC3603C"/>
    <w:multiLevelType w:val="multilevel"/>
    <w:tmpl w:val="E86039C4"/>
    <w:lvl w:ilvl="0">
      <w:start w:val="1"/>
      <w:numFmt w:val="decimal"/>
      <w:lvlText w:val="%1."/>
      <w:lvlJc w:val="left"/>
      <w:pPr>
        <w:tabs>
          <w:tab w:val="num" w:pos="502"/>
        </w:tabs>
        <w:ind w:left="502" w:hanging="360"/>
      </w:pPr>
      <w:rPr>
        <w:rFonts w:hint="default"/>
        <w:color w:val="990099"/>
        <w:sz w:val="24"/>
        <w:szCs w:val="24"/>
      </w:rPr>
    </w:lvl>
    <w:lvl w:ilvl="1">
      <w:start w:val="1"/>
      <w:numFmt w:val="bullet"/>
      <w:lvlText w:val=""/>
      <w:lvlJc w:val="left"/>
      <w:pPr>
        <w:ind w:left="1080" w:hanging="720"/>
      </w:pPr>
      <w:rPr>
        <w:rFonts w:ascii="Wingdings" w:hAnsi="Wingdings" w:hint="default"/>
        <w:color w:val="800080"/>
      </w:rPr>
    </w:lvl>
    <w:lvl w:ilvl="2">
      <w:start w:val="1"/>
      <w:numFmt w:val="bullet"/>
      <w:lvlText w:val=""/>
      <w:lvlJc w:val="left"/>
      <w:pPr>
        <w:ind w:left="1440" w:hanging="720"/>
      </w:pPr>
      <w:rPr>
        <w:rFonts w:ascii="Symbol" w:hAnsi="Symbol" w:hint="default"/>
      </w:rPr>
    </w:lvl>
    <w:lvl w:ilvl="3">
      <w:start w:val="1"/>
      <w:numFmt w:val="bullet"/>
      <w:lvlText w:val="o"/>
      <w:lvlJc w:val="left"/>
      <w:pPr>
        <w:ind w:left="2160" w:hanging="1080"/>
      </w:pPr>
      <w:rPr>
        <w:rFonts w:ascii="Courier New" w:hAnsi="Courier New" w:cs="Courier New"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040" w:hanging="2160"/>
      </w:pPr>
      <w:rPr>
        <w:rFonts w:hint="default"/>
      </w:rPr>
    </w:lvl>
  </w:abstractNum>
  <w:abstractNum w:abstractNumId="6">
    <w:nsid w:val="0FEB6F2C"/>
    <w:multiLevelType w:val="hybridMultilevel"/>
    <w:tmpl w:val="975E6D8C"/>
    <w:lvl w:ilvl="0" w:tplc="04090001">
      <w:start w:val="1"/>
      <w:numFmt w:val="bullet"/>
      <w:lvlText w:val=""/>
      <w:lvlJc w:val="left"/>
      <w:pPr>
        <w:ind w:left="1280" w:hanging="360"/>
      </w:pPr>
      <w:rPr>
        <w:rFonts w:ascii="Wingdings" w:hAnsi="Wingdings" w:hint="default"/>
        <w:color w:val="800080"/>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7">
    <w:nsid w:val="11703BB9"/>
    <w:multiLevelType w:val="hybridMultilevel"/>
    <w:tmpl w:val="C3B0D73A"/>
    <w:lvl w:ilvl="0" w:tplc="04090001">
      <w:start w:val="1"/>
      <w:numFmt w:val="bullet"/>
      <w:lvlText w:val=""/>
      <w:lvlJc w:val="left"/>
      <w:pPr>
        <w:ind w:left="1219" w:hanging="360"/>
      </w:pPr>
      <w:rPr>
        <w:rFonts w:ascii="Wingdings" w:hAnsi="Wingdings" w:hint="default"/>
        <w:color w:val="800080"/>
      </w:rPr>
    </w:lvl>
    <w:lvl w:ilvl="1" w:tplc="04090003" w:tentative="1">
      <w:start w:val="1"/>
      <w:numFmt w:val="bullet"/>
      <w:lvlText w:val="o"/>
      <w:lvlJc w:val="left"/>
      <w:pPr>
        <w:ind w:left="1939" w:hanging="360"/>
      </w:pPr>
      <w:rPr>
        <w:rFonts w:ascii="Courier New" w:hAnsi="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8">
    <w:nsid w:val="11A062E6"/>
    <w:multiLevelType w:val="hybridMultilevel"/>
    <w:tmpl w:val="D1900392"/>
    <w:lvl w:ilvl="0" w:tplc="04090001">
      <w:start w:val="1"/>
      <w:numFmt w:val="bullet"/>
      <w:lvlText w:val=""/>
      <w:lvlJc w:val="left"/>
      <w:pPr>
        <w:ind w:left="1219" w:hanging="360"/>
      </w:pPr>
      <w:rPr>
        <w:rFonts w:ascii="Wingdings" w:hAnsi="Wingdings" w:hint="default"/>
        <w:color w:val="800080"/>
      </w:rPr>
    </w:lvl>
    <w:lvl w:ilvl="1" w:tplc="04090003" w:tentative="1">
      <w:start w:val="1"/>
      <w:numFmt w:val="bullet"/>
      <w:lvlText w:val="o"/>
      <w:lvlJc w:val="left"/>
      <w:pPr>
        <w:ind w:left="1939" w:hanging="360"/>
      </w:pPr>
      <w:rPr>
        <w:rFonts w:ascii="Courier New" w:hAnsi="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9">
    <w:nsid w:val="125626CD"/>
    <w:multiLevelType w:val="hybridMultilevel"/>
    <w:tmpl w:val="733C21AC"/>
    <w:lvl w:ilvl="0" w:tplc="04090001">
      <w:start w:val="1"/>
      <w:numFmt w:val="bullet"/>
      <w:lvlText w:val=""/>
      <w:lvlJc w:val="left"/>
      <w:pPr>
        <w:ind w:left="1219" w:hanging="360"/>
      </w:pPr>
      <w:rPr>
        <w:rFonts w:ascii="Wingdings" w:hAnsi="Wingdings" w:hint="default"/>
        <w:color w:val="800080"/>
      </w:rPr>
    </w:lvl>
    <w:lvl w:ilvl="1" w:tplc="04090003" w:tentative="1">
      <w:start w:val="1"/>
      <w:numFmt w:val="bullet"/>
      <w:lvlText w:val="o"/>
      <w:lvlJc w:val="left"/>
      <w:pPr>
        <w:ind w:left="1939" w:hanging="360"/>
      </w:pPr>
      <w:rPr>
        <w:rFonts w:ascii="Courier New" w:hAnsi="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10">
    <w:nsid w:val="14FA7A03"/>
    <w:multiLevelType w:val="multilevel"/>
    <w:tmpl w:val="E86039C4"/>
    <w:lvl w:ilvl="0">
      <w:start w:val="1"/>
      <w:numFmt w:val="decimal"/>
      <w:lvlText w:val="%1."/>
      <w:lvlJc w:val="left"/>
      <w:pPr>
        <w:tabs>
          <w:tab w:val="num" w:pos="502"/>
        </w:tabs>
        <w:ind w:left="502" w:hanging="360"/>
      </w:pPr>
      <w:rPr>
        <w:rFonts w:hint="default"/>
        <w:color w:val="990099"/>
        <w:sz w:val="24"/>
        <w:szCs w:val="24"/>
      </w:rPr>
    </w:lvl>
    <w:lvl w:ilvl="1">
      <w:start w:val="1"/>
      <w:numFmt w:val="bullet"/>
      <w:lvlText w:val=""/>
      <w:lvlJc w:val="left"/>
      <w:pPr>
        <w:ind w:left="1080" w:hanging="720"/>
      </w:pPr>
      <w:rPr>
        <w:rFonts w:ascii="Wingdings" w:hAnsi="Wingdings" w:hint="default"/>
        <w:color w:val="800080"/>
      </w:rPr>
    </w:lvl>
    <w:lvl w:ilvl="2">
      <w:start w:val="1"/>
      <w:numFmt w:val="bullet"/>
      <w:lvlText w:val=""/>
      <w:lvlJc w:val="left"/>
      <w:pPr>
        <w:ind w:left="1440" w:hanging="720"/>
      </w:pPr>
      <w:rPr>
        <w:rFonts w:ascii="Symbol" w:hAnsi="Symbol" w:hint="default"/>
      </w:rPr>
    </w:lvl>
    <w:lvl w:ilvl="3">
      <w:start w:val="1"/>
      <w:numFmt w:val="bullet"/>
      <w:lvlText w:val="o"/>
      <w:lvlJc w:val="left"/>
      <w:pPr>
        <w:ind w:left="2160" w:hanging="1080"/>
      </w:pPr>
      <w:rPr>
        <w:rFonts w:ascii="Courier New" w:hAnsi="Courier New" w:cs="Courier New"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040" w:hanging="2160"/>
      </w:pPr>
      <w:rPr>
        <w:rFonts w:hint="default"/>
      </w:rPr>
    </w:lvl>
  </w:abstractNum>
  <w:abstractNum w:abstractNumId="11">
    <w:nsid w:val="17E554DB"/>
    <w:multiLevelType w:val="hybridMultilevel"/>
    <w:tmpl w:val="417E131C"/>
    <w:lvl w:ilvl="0" w:tplc="04090001">
      <w:start w:val="1"/>
      <w:numFmt w:val="bullet"/>
      <w:lvlText w:val=""/>
      <w:lvlJc w:val="left"/>
      <w:pPr>
        <w:ind w:left="1219" w:hanging="360"/>
      </w:pPr>
      <w:rPr>
        <w:rFonts w:ascii="Wingdings" w:hAnsi="Wingdings" w:hint="default"/>
        <w:color w:val="800080"/>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12">
    <w:nsid w:val="1B956466"/>
    <w:multiLevelType w:val="hybridMultilevel"/>
    <w:tmpl w:val="B42CB42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C8305D8"/>
    <w:multiLevelType w:val="hybridMultilevel"/>
    <w:tmpl w:val="9AF2D0D0"/>
    <w:lvl w:ilvl="0" w:tplc="04090001">
      <w:start w:val="1"/>
      <w:numFmt w:val="bullet"/>
      <w:lvlText w:val=""/>
      <w:lvlJc w:val="left"/>
      <w:pPr>
        <w:ind w:left="1219" w:hanging="360"/>
      </w:pPr>
      <w:rPr>
        <w:rFonts w:ascii="Wingdings" w:hAnsi="Wingdings" w:hint="default"/>
        <w:color w:val="800080"/>
      </w:rPr>
    </w:lvl>
    <w:lvl w:ilvl="1" w:tplc="04090003" w:tentative="1">
      <w:start w:val="1"/>
      <w:numFmt w:val="bullet"/>
      <w:lvlText w:val="o"/>
      <w:lvlJc w:val="left"/>
      <w:pPr>
        <w:ind w:left="1939" w:hanging="360"/>
      </w:pPr>
      <w:rPr>
        <w:rFonts w:ascii="Courier New" w:hAnsi="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14">
    <w:nsid w:val="1D504AB2"/>
    <w:multiLevelType w:val="hybridMultilevel"/>
    <w:tmpl w:val="A6AA7C12"/>
    <w:lvl w:ilvl="0" w:tplc="04090001">
      <w:start w:val="1"/>
      <w:numFmt w:val="bullet"/>
      <w:lvlText w:val=""/>
      <w:lvlJc w:val="left"/>
      <w:pPr>
        <w:ind w:left="1440" w:hanging="360"/>
      </w:pPr>
      <w:rPr>
        <w:rFonts w:ascii="Wingdings" w:hAnsi="Wingdings" w:hint="default"/>
        <w:color w:val="80008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DEE6F60"/>
    <w:multiLevelType w:val="multilevel"/>
    <w:tmpl w:val="E8104C3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EA013C8"/>
    <w:multiLevelType w:val="hybridMultilevel"/>
    <w:tmpl w:val="32AC6522"/>
    <w:lvl w:ilvl="0" w:tplc="04090001">
      <w:start w:val="1"/>
      <w:numFmt w:val="bullet"/>
      <w:lvlText w:val=""/>
      <w:lvlJc w:val="left"/>
      <w:pPr>
        <w:ind w:left="859" w:hanging="360"/>
      </w:pPr>
      <w:rPr>
        <w:rFonts w:ascii="Wingdings" w:hAnsi="Wingdings" w:hint="default"/>
        <w:color w:val="800080"/>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17">
    <w:nsid w:val="1EB94530"/>
    <w:multiLevelType w:val="hybridMultilevel"/>
    <w:tmpl w:val="11FE8BF6"/>
    <w:lvl w:ilvl="0" w:tplc="04090001">
      <w:start w:val="1"/>
      <w:numFmt w:val="bullet"/>
      <w:lvlText w:val=""/>
      <w:lvlJc w:val="left"/>
      <w:pPr>
        <w:ind w:left="1219" w:hanging="360"/>
      </w:pPr>
      <w:rPr>
        <w:rFonts w:ascii="Wingdings" w:hAnsi="Wingdings" w:hint="default"/>
        <w:color w:val="800080"/>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18">
    <w:nsid w:val="1FB80E68"/>
    <w:multiLevelType w:val="hybridMultilevel"/>
    <w:tmpl w:val="DCBA5CEE"/>
    <w:lvl w:ilvl="0" w:tplc="04090001">
      <w:start w:val="1"/>
      <w:numFmt w:val="bullet"/>
      <w:lvlText w:val=""/>
      <w:lvlJc w:val="left"/>
      <w:pPr>
        <w:ind w:left="1219" w:hanging="360"/>
      </w:pPr>
      <w:rPr>
        <w:rFonts w:ascii="Wingdings" w:hAnsi="Wingdings" w:hint="default"/>
        <w:color w:val="800080"/>
      </w:rPr>
    </w:lvl>
    <w:lvl w:ilvl="1" w:tplc="04090003" w:tentative="1">
      <w:start w:val="1"/>
      <w:numFmt w:val="bullet"/>
      <w:lvlText w:val="o"/>
      <w:lvlJc w:val="left"/>
      <w:pPr>
        <w:ind w:left="1939" w:hanging="360"/>
      </w:pPr>
      <w:rPr>
        <w:rFonts w:ascii="Courier New" w:hAnsi="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19">
    <w:nsid w:val="233F6F7A"/>
    <w:multiLevelType w:val="hybridMultilevel"/>
    <w:tmpl w:val="F314FC44"/>
    <w:lvl w:ilvl="0" w:tplc="04090001">
      <w:start w:val="1"/>
      <w:numFmt w:val="bullet"/>
      <w:lvlText w:val=""/>
      <w:lvlJc w:val="left"/>
      <w:pPr>
        <w:ind w:left="1219" w:hanging="360"/>
      </w:pPr>
      <w:rPr>
        <w:rFonts w:ascii="Wingdings" w:hAnsi="Wingdings" w:hint="default"/>
        <w:color w:val="800080"/>
      </w:rPr>
    </w:lvl>
    <w:lvl w:ilvl="1" w:tplc="04090003" w:tentative="1">
      <w:start w:val="1"/>
      <w:numFmt w:val="bullet"/>
      <w:lvlText w:val="o"/>
      <w:lvlJc w:val="left"/>
      <w:pPr>
        <w:ind w:left="1939" w:hanging="360"/>
      </w:pPr>
      <w:rPr>
        <w:rFonts w:ascii="Courier New" w:hAnsi="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20">
    <w:nsid w:val="24A7459C"/>
    <w:multiLevelType w:val="hybridMultilevel"/>
    <w:tmpl w:val="4560E57A"/>
    <w:lvl w:ilvl="0" w:tplc="04090001">
      <w:start w:val="1"/>
      <w:numFmt w:val="bullet"/>
      <w:lvlText w:val=""/>
      <w:lvlJc w:val="left"/>
      <w:pPr>
        <w:ind w:left="1219" w:hanging="360"/>
      </w:pPr>
      <w:rPr>
        <w:rFonts w:ascii="Wingdings" w:hAnsi="Wingdings" w:hint="default"/>
        <w:color w:val="800080"/>
      </w:rPr>
    </w:lvl>
    <w:lvl w:ilvl="1" w:tplc="04090003" w:tentative="1">
      <w:start w:val="1"/>
      <w:numFmt w:val="bullet"/>
      <w:lvlText w:val="o"/>
      <w:lvlJc w:val="left"/>
      <w:pPr>
        <w:ind w:left="1939" w:hanging="360"/>
      </w:pPr>
      <w:rPr>
        <w:rFonts w:ascii="Courier New" w:hAnsi="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21">
    <w:nsid w:val="274D7C63"/>
    <w:multiLevelType w:val="hybridMultilevel"/>
    <w:tmpl w:val="874AA904"/>
    <w:lvl w:ilvl="0" w:tplc="04090001">
      <w:start w:val="1"/>
      <w:numFmt w:val="bullet"/>
      <w:lvlText w:val=""/>
      <w:lvlJc w:val="left"/>
      <w:pPr>
        <w:ind w:left="1080" w:hanging="360"/>
      </w:pPr>
      <w:rPr>
        <w:rFonts w:ascii="Wingdings" w:hAnsi="Wingdings" w:hint="default"/>
        <w:color w:val="80008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2C696C6B"/>
    <w:multiLevelType w:val="hybridMultilevel"/>
    <w:tmpl w:val="21D8D71C"/>
    <w:lvl w:ilvl="0" w:tplc="04090001">
      <w:start w:val="1"/>
      <w:numFmt w:val="bullet"/>
      <w:lvlText w:val=""/>
      <w:lvlJc w:val="left"/>
      <w:pPr>
        <w:ind w:left="1080" w:hanging="360"/>
      </w:pPr>
      <w:rPr>
        <w:rFonts w:ascii="Wingdings" w:hAnsi="Wingdings" w:hint="default"/>
        <w:color w:val="80008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2E647FAA"/>
    <w:multiLevelType w:val="hybridMultilevel"/>
    <w:tmpl w:val="EC1ED698"/>
    <w:lvl w:ilvl="0" w:tplc="04090001">
      <w:start w:val="1"/>
      <w:numFmt w:val="bullet"/>
      <w:lvlText w:val=""/>
      <w:lvlJc w:val="left"/>
      <w:pPr>
        <w:ind w:left="859" w:hanging="360"/>
      </w:pPr>
      <w:rPr>
        <w:rFonts w:ascii="Wingdings" w:hAnsi="Wingdings" w:hint="default"/>
        <w:color w:val="800080"/>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24">
    <w:nsid w:val="315F3F3D"/>
    <w:multiLevelType w:val="hybridMultilevel"/>
    <w:tmpl w:val="7DDCC6DE"/>
    <w:lvl w:ilvl="0" w:tplc="04090001">
      <w:start w:val="1"/>
      <w:numFmt w:val="bullet"/>
      <w:lvlText w:val=""/>
      <w:lvlJc w:val="left"/>
      <w:pPr>
        <w:ind w:left="1219" w:hanging="360"/>
      </w:pPr>
      <w:rPr>
        <w:rFonts w:ascii="Wingdings" w:hAnsi="Wingdings" w:hint="default"/>
        <w:color w:val="800080"/>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25">
    <w:nsid w:val="361878B5"/>
    <w:multiLevelType w:val="hybridMultilevel"/>
    <w:tmpl w:val="35DA70AC"/>
    <w:lvl w:ilvl="0" w:tplc="BBA40F32">
      <w:start w:val="1"/>
      <w:numFmt w:val="decimal"/>
      <w:lvlText w:val="%1."/>
      <w:lvlJc w:val="left"/>
      <w:pPr>
        <w:ind w:left="1280" w:hanging="360"/>
      </w:pPr>
      <w:rPr>
        <w:rFonts w:hint="default"/>
        <w:color w:val="auto"/>
        <w:sz w:val="22"/>
        <w:szCs w:val="22"/>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26">
    <w:nsid w:val="38CE05C8"/>
    <w:multiLevelType w:val="hybridMultilevel"/>
    <w:tmpl w:val="F67A3C6A"/>
    <w:lvl w:ilvl="0" w:tplc="04090001">
      <w:start w:val="1"/>
      <w:numFmt w:val="bullet"/>
      <w:lvlText w:val=""/>
      <w:lvlJc w:val="left"/>
      <w:pPr>
        <w:ind w:left="1280" w:hanging="360"/>
      </w:pPr>
      <w:rPr>
        <w:rFonts w:ascii="Wingdings" w:hAnsi="Wingdings" w:hint="default"/>
        <w:color w:val="800080"/>
      </w:rPr>
    </w:lvl>
    <w:lvl w:ilvl="1" w:tplc="04090003" w:tentative="1">
      <w:start w:val="1"/>
      <w:numFmt w:val="bullet"/>
      <w:lvlText w:val="o"/>
      <w:lvlJc w:val="left"/>
      <w:pPr>
        <w:ind w:left="2000" w:hanging="360"/>
      </w:pPr>
      <w:rPr>
        <w:rFonts w:ascii="Courier New" w:hAnsi="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27">
    <w:nsid w:val="3954140E"/>
    <w:multiLevelType w:val="hybridMultilevel"/>
    <w:tmpl w:val="07C0B65A"/>
    <w:lvl w:ilvl="0" w:tplc="04090001">
      <w:start w:val="1"/>
      <w:numFmt w:val="bullet"/>
      <w:lvlText w:val=""/>
      <w:lvlJc w:val="left"/>
      <w:pPr>
        <w:ind w:left="859" w:hanging="360"/>
      </w:pPr>
      <w:rPr>
        <w:rFonts w:ascii="Wingdings" w:hAnsi="Wingdings" w:hint="default"/>
        <w:color w:val="800080"/>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28">
    <w:nsid w:val="42EA41D5"/>
    <w:multiLevelType w:val="hybridMultilevel"/>
    <w:tmpl w:val="B88EAA56"/>
    <w:lvl w:ilvl="0" w:tplc="04090001">
      <w:start w:val="1"/>
      <w:numFmt w:val="bullet"/>
      <w:lvlText w:val=""/>
      <w:lvlJc w:val="left"/>
      <w:pPr>
        <w:ind w:left="859" w:hanging="360"/>
      </w:pPr>
      <w:rPr>
        <w:rFonts w:ascii="Wingdings" w:hAnsi="Wingdings" w:hint="default"/>
        <w:color w:val="800080"/>
      </w:rPr>
    </w:lvl>
    <w:lvl w:ilvl="1" w:tplc="04090003" w:tentative="1">
      <w:start w:val="1"/>
      <w:numFmt w:val="bullet"/>
      <w:lvlText w:val="o"/>
      <w:lvlJc w:val="left"/>
      <w:pPr>
        <w:ind w:left="1579" w:hanging="360"/>
      </w:pPr>
      <w:rPr>
        <w:rFonts w:ascii="Courier New" w:hAnsi="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29">
    <w:nsid w:val="43FE3C27"/>
    <w:multiLevelType w:val="hybridMultilevel"/>
    <w:tmpl w:val="B512F648"/>
    <w:lvl w:ilvl="0" w:tplc="04090001">
      <w:start w:val="1"/>
      <w:numFmt w:val="bullet"/>
      <w:lvlText w:val=""/>
      <w:lvlJc w:val="left"/>
      <w:pPr>
        <w:ind w:left="1219" w:hanging="360"/>
      </w:pPr>
      <w:rPr>
        <w:rFonts w:ascii="Wingdings" w:hAnsi="Wingdings" w:hint="default"/>
        <w:color w:val="800080"/>
      </w:rPr>
    </w:lvl>
    <w:lvl w:ilvl="1" w:tplc="04090003" w:tentative="1">
      <w:start w:val="1"/>
      <w:numFmt w:val="bullet"/>
      <w:lvlText w:val="o"/>
      <w:lvlJc w:val="left"/>
      <w:pPr>
        <w:ind w:left="1939" w:hanging="360"/>
      </w:pPr>
      <w:rPr>
        <w:rFonts w:ascii="Courier New" w:hAnsi="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30">
    <w:nsid w:val="45FF1767"/>
    <w:multiLevelType w:val="multilevel"/>
    <w:tmpl w:val="EE6E9BB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4921366D"/>
    <w:multiLevelType w:val="hybridMultilevel"/>
    <w:tmpl w:val="66CE4486"/>
    <w:lvl w:ilvl="0" w:tplc="7E748C12">
      <w:start w:val="1"/>
      <w:numFmt w:val="lowerRoman"/>
      <w:lvlText w:val="(%1)"/>
      <w:lvlJc w:val="left"/>
      <w:pPr>
        <w:ind w:left="1219" w:hanging="360"/>
      </w:pPr>
      <w:rPr>
        <w:rFonts w:cs="Times New Roman" w:hint="default"/>
      </w:rPr>
    </w:lvl>
    <w:lvl w:ilvl="1" w:tplc="04090019" w:tentative="1">
      <w:start w:val="1"/>
      <w:numFmt w:val="lowerLetter"/>
      <w:lvlText w:val="%2."/>
      <w:lvlJc w:val="left"/>
      <w:pPr>
        <w:ind w:left="1939" w:hanging="360"/>
      </w:pPr>
    </w:lvl>
    <w:lvl w:ilvl="2" w:tplc="0409001B" w:tentative="1">
      <w:start w:val="1"/>
      <w:numFmt w:val="lowerRoman"/>
      <w:lvlText w:val="%3."/>
      <w:lvlJc w:val="right"/>
      <w:pPr>
        <w:ind w:left="2659" w:hanging="180"/>
      </w:pPr>
    </w:lvl>
    <w:lvl w:ilvl="3" w:tplc="0409000F" w:tentative="1">
      <w:start w:val="1"/>
      <w:numFmt w:val="decimal"/>
      <w:lvlText w:val="%4."/>
      <w:lvlJc w:val="left"/>
      <w:pPr>
        <w:ind w:left="3379" w:hanging="360"/>
      </w:pPr>
    </w:lvl>
    <w:lvl w:ilvl="4" w:tplc="04090019" w:tentative="1">
      <w:start w:val="1"/>
      <w:numFmt w:val="lowerLetter"/>
      <w:lvlText w:val="%5."/>
      <w:lvlJc w:val="left"/>
      <w:pPr>
        <w:ind w:left="4099" w:hanging="360"/>
      </w:pPr>
    </w:lvl>
    <w:lvl w:ilvl="5" w:tplc="0409001B" w:tentative="1">
      <w:start w:val="1"/>
      <w:numFmt w:val="lowerRoman"/>
      <w:lvlText w:val="%6."/>
      <w:lvlJc w:val="right"/>
      <w:pPr>
        <w:ind w:left="4819" w:hanging="180"/>
      </w:pPr>
    </w:lvl>
    <w:lvl w:ilvl="6" w:tplc="0409000F" w:tentative="1">
      <w:start w:val="1"/>
      <w:numFmt w:val="decimal"/>
      <w:lvlText w:val="%7."/>
      <w:lvlJc w:val="left"/>
      <w:pPr>
        <w:ind w:left="5539" w:hanging="360"/>
      </w:pPr>
    </w:lvl>
    <w:lvl w:ilvl="7" w:tplc="04090019" w:tentative="1">
      <w:start w:val="1"/>
      <w:numFmt w:val="lowerLetter"/>
      <w:lvlText w:val="%8."/>
      <w:lvlJc w:val="left"/>
      <w:pPr>
        <w:ind w:left="6259" w:hanging="360"/>
      </w:pPr>
    </w:lvl>
    <w:lvl w:ilvl="8" w:tplc="0409001B" w:tentative="1">
      <w:start w:val="1"/>
      <w:numFmt w:val="lowerRoman"/>
      <w:lvlText w:val="%9."/>
      <w:lvlJc w:val="right"/>
      <w:pPr>
        <w:ind w:left="6979" w:hanging="180"/>
      </w:pPr>
    </w:lvl>
  </w:abstractNum>
  <w:abstractNum w:abstractNumId="32">
    <w:nsid w:val="4B6B0B87"/>
    <w:multiLevelType w:val="hybridMultilevel"/>
    <w:tmpl w:val="C2360902"/>
    <w:lvl w:ilvl="0" w:tplc="04090001">
      <w:start w:val="1"/>
      <w:numFmt w:val="bullet"/>
      <w:lvlText w:val=""/>
      <w:lvlJc w:val="left"/>
      <w:pPr>
        <w:ind w:left="720" w:hanging="360"/>
      </w:pPr>
      <w:rPr>
        <w:rFonts w:ascii="Wingdings" w:hAnsi="Wingdings" w:hint="default"/>
        <w:color w:val="8000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43A7227"/>
    <w:multiLevelType w:val="hybridMultilevel"/>
    <w:tmpl w:val="2762309A"/>
    <w:lvl w:ilvl="0" w:tplc="FFFFFFFF">
      <w:start w:val="1"/>
      <w:numFmt w:val="bullet"/>
      <w:pStyle w:val="Realizaes"/>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nsid w:val="59096512"/>
    <w:multiLevelType w:val="hybridMultilevel"/>
    <w:tmpl w:val="49FE1B18"/>
    <w:lvl w:ilvl="0" w:tplc="04090001">
      <w:start w:val="1"/>
      <w:numFmt w:val="bullet"/>
      <w:lvlText w:val=""/>
      <w:lvlJc w:val="left"/>
      <w:pPr>
        <w:ind w:left="1219" w:hanging="360"/>
      </w:pPr>
      <w:rPr>
        <w:rFonts w:ascii="Wingdings" w:hAnsi="Wingdings" w:hint="default"/>
        <w:color w:val="800080"/>
      </w:rPr>
    </w:lvl>
    <w:lvl w:ilvl="1" w:tplc="04090003" w:tentative="1">
      <w:start w:val="1"/>
      <w:numFmt w:val="bullet"/>
      <w:lvlText w:val="o"/>
      <w:lvlJc w:val="left"/>
      <w:pPr>
        <w:ind w:left="1939" w:hanging="360"/>
      </w:pPr>
      <w:rPr>
        <w:rFonts w:ascii="Courier New" w:hAnsi="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35">
    <w:nsid w:val="5BA34C18"/>
    <w:multiLevelType w:val="hybridMultilevel"/>
    <w:tmpl w:val="5D3651AA"/>
    <w:lvl w:ilvl="0" w:tplc="D1D6B428">
      <w:start w:val="15"/>
      <w:numFmt w:val="decimal"/>
      <w:pStyle w:val="BodyText"/>
      <w:lvlText w:val="%1."/>
      <w:lvlJc w:val="left"/>
      <w:pPr>
        <w:tabs>
          <w:tab w:val="num" w:pos="284"/>
        </w:tabs>
        <w:ind w:left="0" w:firstLine="0"/>
      </w:pPr>
      <w:rPr>
        <w:rFonts w:hint="default"/>
      </w:rPr>
    </w:lvl>
    <w:lvl w:ilvl="1" w:tplc="064CE0BC">
      <w:start w:val="1"/>
      <w:numFmt w:val="lowerLetter"/>
      <w:lvlText w:val="%2."/>
      <w:lvlJc w:val="left"/>
      <w:pPr>
        <w:tabs>
          <w:tab w:val="num" w:pos="1440"/>
        </w:tabs>
        <w:ind w:left="1440" w:hanging="360"/>
      </w:pPr>
    </w:lvl>
    <w:lvl w:ilvl="2" w:tplc="05CE0B08">
      <w:start w:val="1"/>
      <w:numFmt w:val="bullet"/>
      <w:lvlText w:val=""/>
      <w:lvlJc w:val="left"/>
      <w:pPr>
        <w:tabs>
          <w:tab w:val="num" w:pos="2340"/>
        </w:tabs>
        <w:ind w:left="2340" w:hanging="360"/>
      </w:pPr>
      <w:rPr>
        <w:rFonts w:ascii="Symbol" w:hAnsi="Symbol" w:hint="default"/>
      </w:rPr>
    </w:lvl>
    <w:lvl w:ilvl="3" w:tplc="835014CC" w:tentative="1">
      <w:start w:val="1"/>
      <w:numFmt w:val="decimal"/>
      <w:lvlText w:val="%4."/>
      <w:lvlJc w:val="left"/>
      <w:pPr>
        <w:tabs>
          <w:tab w:val="num" w:pos="2880"/>
        </w:tabs>
        <w:ind w:left="2880" w:hanging="360"/>
      </w:pPr>
    </w:lvl>
    <w:lvl w:ilvl="4" w:tplc="22DA6FE8" w:tentative="1">
      <w:start w:val="1"/>
      <w:numFmt w:val="lowerLetter"/>
      <w:lvlText w:val="%5."/>
      <w:lvlJc w:val="left"/>
      <w:pPr>
        <w:tabs>
          <w:tab w:val="num" w:pos="3600"/>
        </w:tabs>
        <w:ind w:left="3600" w:hanging="360"/>
      </w:pPr>
    </w:lvl>
    <w:lvl w:ilvl="5" w:tplc="735AA28C" w:tentative="1">
      <w:start w:val="1"/>
      <w:numFmt w:val="lowerRoman"/>
      <w:lvlText w:val="%6."/>
      <w:lvlJc w:val="right"/>
      <w:pPr>
        <w:tabs>
          <w:tab w:val="num" w:pos="4320"/>
        </w:tabs>
        <w:ind w:left="4320" w:hanging="180"/>
      </w:pPr>
    </w:lvl>
    <w:lvl w:ilvl="6" w:tplc="60065EAE" w:tentative="1">
      <w:start w:val="1"/>
      <w:numFmt w:val="decimal"/>
      <w:lvlText w:val="%7."/>
      <w:lvlJc w:val="left"/>
      <w:pPr>
        <w:tabs>
          <w:tab w:val="num" w:pos="5040"/>
        </w:tabs>
        <w:ind w:left="5040" w:hanging="360"/>
      </w:pPr>
    </w:lvl>
    <w:lvl w:ilvl="7" w:tplc="D024A9A6" w:tentative="1">
      <w:start w:val="1"/>
      <w:numFmt w:val="lowerLetter"/>
      <w:lvlText w:val="%8."/>
      <w:lvlJc w:val="left"/>
      <w:pPr>
        <w:tabs>
          <w:tab w:val="num" w:pos="5760"/>
        </w:tabs>
        <w:ind w:left="5760" w:hanging="360"/>
      </w:pPr>
    </w:lvl>
    <w:lvl w:ilvl="8" w:tplc="CA908FC2" w:tentative="1">
      <w:start w:val="1"/>
      <w:numFmt w:val="lowerRoman"/>
      <w:lvlText w:val="%9."/>
      <w:lvlJc w:val="right"/>
      <w:pPr>
        <w:tabs>
          <w:tab w:val="num" w:pos="6480"/>
        </w:tabs>
        <w:ind w:left="6480" w:hanging="180"/>
      </w:pPr>
    </w:lvl>
  </w:abstractNum>
  <w:abstractNum w:abstractNumId="36">
    <w:nsid w:val="5D0F54EE"/>
    <w:multiLevelType w:val="hybridMultilevel"/>
    <w:tmpl w:val="D8222B36"/>
    <w:lvl w:ilvl="0" w:tplc="04090001">
      <w:start w:val="1"/>
      <w:numFmt w:val="bullet"/>
      <w:lvlText w:val=""/>
      <w:lvlJc w:val="left"/>
      <w:pPr>
        <w:ind w:left="1219" w:hanging="360"/>
      </w:pPr>
      <w:rPr>
        <w:rFonts w:ascii="Wingdings" w:hAnsi="Wingdings" w:hint="default"/>
        <w:color w:val="800080"/>
      </w:rPr>
    </w:lvl>
    <w:lvl w:ilvl="1" w:tplc="04090003" w:tentative="1">
      <w:start w:val="1"/>
      <w:numFmt w:val="bullet"/>
      <w:lvlText w:val="o"/>
      <w:lvlJc w:val="left"/>
      <w:pPr>
        <w:ind w:left="1939" w:hanging="360"/>
      </w:pPr>
      <w:rPr>
        <w:rFonts w:ascii="Courier New" w:hAnsi="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37">
    <w:nsid w:val="5D53776D"/>
    <w:multiLevelType w:val="hybridMultilevel"/>
    <w:tmpl w:val="DC820BE8"/>
    <w:lvl w:ilvl="0" w:tplc="04090001">
      <w:start w:val="1"/>
      <w:numFmt w:val="bullet"/>
      <w:lvlText w:val=""/>
      <w:lvlJc w:val="left"/>
      <w:pPr>
        <w:ind w:left="1280" w:hanging="360"/>
      </w:pPr>
      <w:rPr>
        <w:rFonts w:ascii="Wingdings" w:hAnsi="Wingdings" w:hint="default"/>
        <w:color w:val="800080"/>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38">
    <w:nsid w:val="5F1E59FE"/>
    <w:multiLevelType w:val="hybridMultilevel"/>
    <w:tmpl w:val="3DEE3802"/>
    <w:lvl w:ilvl="0" w:tplc="04090001">
      <w:start w:val="1"/>
      <w:numFmt w:val="bullet"/>
      <w:lvlText w:val=""/>
      <w:lvlJc w:val="left"/>
      <w:pPr>
        <w:ind w:left="1280" w:hanging="360"/>
      </w:pPr>
      <w:rPr>
        <w:rFonts w:ascii="Wingdings" w:hAnsi="Wingdings" w:hint="default"/>
        <w:color w:val="800080"/>
      </w:rPr>
    </w:lvl>
    <w:lvl w:ilvl="1" w:tplc="04090003" w:tentative="1">
      <w:start w:val="1"/>
      <w:numFmt w:val="bullet"/>
      <w:lvlText w:val="o"/>
      <w:lvlJc w:val="left"/>
      <w:pPr>
        <w:ind w:left="2000" w:hanging="360"/>
      </w:pPr>
      <w:rPr>
        <w:rFonts w:ascii="Courier New" w:hAnsi="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39">
    <w:nsid w:val="612C2672"/>
    <w:multiLevelType w:val="hybridMultilevel"/>
    <w:tmpl w:val="00921B52"/>
    <w:lvl w:ilvl="0" w:tplc="68748700">
      <w:start w:val="1"/>
      <w:numFmt w:val="bullet"/>
      <w:pStyle w:val="BSBulletpoints"/>
      <w:lvlText w:val=""/>
      <w:lvlJc w:val="left"/>
      <w:pPr>
        <w:ind w:left="1077" w:hanging="360"/>
      </w:pPr>
      <w:rPr>
        <w:rFonts w:ascii="Wingdings" w:hAnsi="Wingdings" w:hint="default"/>
        <w:color w:val="365F91"/>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0">
    <w:nsid w:val="64EB6800"/>
    <w:multiLevelType w:val="multilevel"/>
    <w:tmpl w:val="1234C5C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66C272BE"/>
    <w:multiLevelType w:val="hybridMultilevel"/>
    <w:tmpl w:val="6D1E9156"/>
    <w:lvl w:ilvl="0" w:tplc="04090001">
      <w:start w:val="1"/>
      <w:numFmt w:val="bullet"/>
      <w:lvlText w:val=""/>
      <w:lvlJc w:val="left"/>
      <w:pPr>
        <w:ind w:left="1219" w:hanging="360"/>
      </w:pPr>
      <w:rPr>
        <w:rFonts w:ascii="Wingdings" w:hAnsi="Wingdings" w:hint="default"/>
        <w:color w:val="800080"/>
      </w:rPr>
    </w:lvl>
    <w:lvl w:ilvl="1" w:tplc="04090003" w:tentative="1">
      <w:start w:val="1"/>
      <w:numFmt w:val="bullet"/>
      <w:lvlText w:val="o"/>
      <w:lvlJc w:val="left"/>
      <w:pPr>
        <w:ind w:left="1939" w:hanging="360"/>
      </w:pPr>
      <w:rPr>
        <w:rFonts w:ascii="Courier New" w:hAnsi="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42">
    <w:nsid w:val="68380127"/>
    <w:multiLevelType w:val="hybridMultilevel"/>
    <w:tmpl w:val="AA32D270"/>
    <w:lvl w:ilvl="0" w:tplc="04090001">
      <w:start w:val="1"/>
      <w:numFmt w:val="bullet"/>
      <w:lvlText w:val=""/>
      <w:lvlJc w:val="left"/>
      <w:pPr>
        <w:ind w:left="1219" w:hanging="360"/>
      </w:pPr>
      <w:rPr>
        <w:rFonts w:ascii="Wingdings" w:hAnsi="Wingdings" w:hint="default"/>
        <w:color w:val="800080"/>
      </w:rPr>
    </w:lvl>
    <w:lvl w:ilvl="1" w:tplc="04090003">
      <w:start w:val="1"/>
      <w:numFmt w:val="bullet"/>
      <w:lvlText w:val="o"/>
      <w:lvlJc w:val="left"/>
      <w:pPr>
        <w:ind w:left="1939" w:hanging="360"/>
      </w:pPr>
      <w:rPr>
        <w:rFonts w:ascii="Courier New" w:hAnsi="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43">
    <w:nsid w:val="6D0C3284"/>
    <w:multiLevelType w:val="hybridMultilevel"/>
    <w:tmpl w:val="459E0AC4"/>
    <w:lvl w:ilvl="0" w:tplc="04090001">
      <w:start w:val="1"/>
      <w:numFmt w:val="bullet"/>
      <w:lvlText w:val=""/>
      <w:lvlJc w:val="left"/>
      <w:pPr>
        <w:ind w:left="1219" w:hanging="360"/>
      </w:pPr>
      <w:rPr>
        <w:rFonts w:ascii="Wingdings" w:hAnsi="Wingdings" w:hint="default"/>
        <w:color w:val="800080"/>
      </w:rPr>
    </w:lvl>
    <w:lvl w:ilvl="1" w:tplc="04090003" w:tentative="1">
      <w:start w:val="1"/>
      <w:numFmt w:val="bullet"/>
      <w:lvlText w:val="o"/>
      <w:lvlJc w:val="left"/>
      <w:pPr>
        <w:ind w:left="1939" w:hanging="360"/>
      </w:pPr>
      <w:rPr>
        <w:rFonts w:ascii="Courier New" w:hAnsi="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44">
    <w:nsid w:val="6DED7774"/>
    <w:multiLevelType w:val="hybridMultilevel"/>
    <w:tmpl w:val="02E0AE8E"/>
    <w:lvl w:ilvl="0" w:tplc="04090001">
      <w:start w:val="1"/>
      <w:numFmt w:val="bullet"/>
      <w:lvlText w:val=""/>
      <w:lvlJc w:val="left"/>
      <w:pPr>
        <w:ind w:left="1219" w:hanging="360"/>
      </w:pPr>
      <w:rPr>
        <w:rFonts w:ascii="Wingdings" w:hAnsi="Wingdings" w:hint="default"/>
        <w:color w:val="800080"/>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45">
    <w:nsid w:val="6E284DAE"/>
    <w:multiLevelType w:val="hybridMultilevel"/>
    <w:tmpl w:val="B8205A92"/>
    <w:lvl w:ilvl="0" w:tplc="04090001">
      <w:start w:val="1"/>
      <w:numFmt w:val="bullet"/>
      <w:lvlText w:val=""/>
      <w:lvlJc w:val="left"/>
      <w:pPr>
        <w:ind w:left="1440" w:hanging="360"/>
      </w:pPr>
      <w:rPr>
        <w:rFonts w:ascii="Wingdings" w:hAnsi="Wingdings" w:hint="default"/>
        <w:color w:val="80008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70B06400"/>
    <w:multiLevelType w:val="hybridMultilevel"/>
    <w:tmpl w:val="46C8D4DC"/>
    <w:lvl w:ilvl="0" w:tplc="04090001">
      <w:start w:val="1"/>
      <w:numFmt w:val="bullet"/>
      <w:lvlText w:val=""/>
      <w:lvlJc w:val="left"/>
      <w:pPr>
        <w:ind w:left="1219" w:hanging="360"/>
      </w:pPr>
      <w:rPr>
        <w:rFonts w:ascii="Wingdings" w:hAnsi="Wingdings" w:hint="default"/>
        <w:color w:val="800080"/>
      </w:rPr>
    </w:lvl>
    <w:lvl w:ilvl="1" w:tplc="04090003" w:tentative="1">
      <w:start w:val="1"/>
      <w:numFmt w:val="bullet"/>
      <w:lvlText w:val="o"/>
      <w:lvlJc w:val="left"/>
      <w:pPr>
        <w:ind w:left="1939" w:hanging="360"/>
      </w:pPr>
      <w:rPr>
        <w:rFonts w:ascii="Courier New" w:hAnsi="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47">
    <w:nsid w:val="717B4EDE"/>
    <w:multiLevelType w:val="hybridMultilevel"/>
    <w:tmpl w:val="DB88894E"/>
    <w:lvl w:ilvl="0" w:tplc="04090001">
      <w:start w:val="1"/>
      <w:numFmt w:val="bullet"/>
      <w:lvlText w:val=""/>
      <w:lvlJc w:val="left"/>
      <w:pPr>
        <w:ind w:left="1219" w:hanging="360"/>
      </w:pPr>
      <w:rPr>
        <w:rFonts w:ascii="Wingdings" w:hAnsi="Wingdings" w:hint="default"/>
        <w:color w:val="800080"/>
      </w:rPr>
    </w:lvl>
    <w:lvl w:ilvl="1" w:tplc="04090003" w:tentative="1">
      <w:start w:val="1"/>
      <w:numFmt w:val="bullet"/>
      <w:lvlText w:val="o"/>
      <w:lvlJc w:val="left"/>
      <w:pPr>
        <w:ind w:left="1939" w:hanging="360"/>
      </w:pPr>
      <w:rPr>
        <w:rFonts w:ascii="Courier New" w:hAnsi="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48">
    <w:nsid w:val="72E9246C"/>
    <w:multiLevelType w:val="hybridMultilevel"/>
    <w:tmpl w:val="DBD635CA"/>
    <w:lvl w:ilvl="0" w:tplc="04090001">
      <w:start w:val="1"/>
      <w:numFmt w:val="bullet"/>
      <w:lvlText w:val=""/>
      <w:lvlJc w:val="left"/>
      <w:pPr>
        <w:ind w:left="1280" w:hanging="360"/>
      </w:pPr>
      <w:rPr>
        <w:rFonts w:ascii="Wingdings" w:hAnsi="Wingdings" w:hint="default"/>
        <w:color w:val="800080"/>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49">
    <w:nsid w:val="778151D8"/>
    <w:multiLevelType w:val="hybridMultilevel"/>
    <w:tmpl w:val="46F8E91C"/>
    <w:lvl w:ilvl="0" w:tplc="04090001">
      <w:start w:val="1"/>
      <w:numFmt w:val="bullet"/>
      <w:lvlText w:val=""/>
      <w:lvlJc w:val="left"/>
      <w:pPr>
        <w:ind w:left="1219" w:hanging="360"/>
      </w:pPr>
      <w:rPr>
        <w:rFonts w:ascii="Wingdings" w:hAnsi="Wingdings" w:hint="default"/>
        <w:color w:val="800080"/>
      </w:rPr>
    </w:lvl>
    <w:lvl w:ilvl="1" w:tplc="04090003" w:tentative="1">
      <w:start w:val="1"/>
      <w:numFmt w:val="bullet"/>
      <w:lvlText w:val="o"/>
      <w:lvlJc w:val="left"/>
      <w:pPr>
        <w:ind w:left="1939" w:hanging="360"/>
      </w:pPr>
      <w:rPr>
        <w:rFonts w:ascii="Courier New" w:hAnsi="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50">
    <w:nsid w:val="7FAF3B32"/>
    <w:multiLevelType w:val="hybridMultilevel"/>
    <w:tmpl w:val="505648AE"/>
    <w:lvl w:ilvl="0" w:tplc="04090001">
      <w:start w:val="1"/>
      <w:numFmt w:val="bullet"/>
      <w:lvlText w:val=""/>
      <w:lvlJc w:val="left"/>
      <w:pPr>
        <w:ind w:left="1219" w:hanging="360"/>
      </w:pPr>
      <w:rPr>
        <w:rFonts w:ascii="Wingdings" w:hAnsi="Wingdings" w:hint="default"/>
        <w:color w:val="800080"/>
      </w:rPr>
    </w:lvl>
    <w:lvl w:ilvl="1" w:tplc="04090003" w:tentative="1">
      <w:start w:val="1"/>
      <w:numFmt w:val="bullet"/>
      <w:lvlText w:val="o"/>
      <w:lvlJc w:val="left"/>
      <w:pPr>
        <w:ind w:left="1939" w:hanging="360"/>
      </w:pPr>
      <w:rPr>
        <w:rFonts w:ascii="Courier New" w:hAnsi="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hint="default"/>
      </w:rPr>
    </w:lvl>
    <w:lvl w:ilvl="8" w:tplc="04090005" w:tentative="1">
      <w:start w:val="1"/>
      <w:numFmt w:val="bullet"/>
      <w:lvlText w:val=""/>
      <w:lvlJc w:val="left"/>
      <w:pPr>
        <w:ind w:left="6979" w:hanging="360"/>
      </w:pPr>
      <w:rPr>
        <w:rFonts w:ascii="Wingdings" w:hAnsi="Wingdings" w:hint="default"/>
      </w:rPr>
    </w:lvl>
  </w:abstractNum>
  <w:num w:numId="1">
    <w:abstractNumId w:val="35"/>
  </w:num>
  <w:num w:numId="2">
    <w:abstractNumId w:val="5"/>
  </w:num>
  <w:num w:numId="3">
    <w:abstractNumId w:val="33"/>
  </w:num>
  <w:num w:numId="4">
    <w:abstractNumId w:val="15"/>
  </w:num>
  <w:num w:numId="5">
    <w:abstractNumId w:val="11"/>
  </w:num>
  <w:num w:numId="6">
    <w:abstractNumId w:val="48"/>
  </w:num>
  <w:num w:numId="7">
    <w:abstractNumId w:val="32"/>
  </w:num>
  <w:num w:numId="8">
    <w:abstractNumId w:val="2"/>
  </w:num>
  <w:num w:numId="9">
    <w:abstractNumId w:val="27"/>
  </w:num>
  <w:num w:numId="10">
    <w:abstractNumId w:val="44"/>
  </w:num>
  <w:num w:numId="11">
    <w:abstractNumId w:val="37"/>
  </w:num>
  <w:num w:numId="12">
    <w:abstractNumId w:val="1"/>
  </w:num>
  <w:num w:numId="13">
    <w:abstractNumId w:val="24"/>
  </w:num>
  <w:num w:numId="14">
    <w:abstractNumId w:val="23"/>
  </w:num>
  <w:num w:numId="15">
    <w:abstractNumId w:val="6"/>
  </w:num>
  <w:num w:numId="16">
    <w:abstractNumId w:val="22"/>
  </w:num>
  <w:num w:numId="17">
    <w:abstractNumId w:val="47"/>
  </w:num>
  <w:num w:numId="18">
    <w:abstractNumId w:val="41"/>
  </w:num>
  <w:num w:numId="19">
    <w:abstractNumId w:val="18"/>
  </w:num>
  <w:num w:numId="20">
    <w:abstractNumId w:val="28"/>
  </w:num>
  <w:num w:numId="21">
    <w:abstractNumId w:val="36"/>
  </w:num>
  <w:num w:numId="22">
    <w:abstractNumId w:val="19"/>
  </w:num>
  <w:num w:numId="23">
    <w:abstractNumId w:val="3"/>
  </w:num>
  <w:num w:numId="24">
    <w:abstractNumId w:val="26"/>
  </w:num>
  <w:num w:numId="25">
    <w:abstractNumId w:val="21"/>
  </w:num>
  <w:num w:numId="26">
    <w:abstractNumId w:val="30"/>
  </w:num>
  <w:num w:numId="27">
    <w:abstractNumId w:val="20"/>
  </w:num>
  <w:num w:numId="28">
    <w:abstractNumId w:val="14"/>
  </w:num>
  <w:num w:numId="29">
    <w:abstractNumId w:val="50"/>
  </w:num>
  <w:num w:numId="30">
    <w:abstractNumId w:val="8"/>
  </w:num>
  <w:num w:numId="31">
    <w:abstractNumId w:val="9"/>
  </w:num>
  <w:num w:numId="32">
    <w:abstractNumId w:val="38"/>
  </w:num>
  <w:num w:numId="33">
    <w:abstractNumId w:val="7"/>
  </w:num>
  <w:num w:numId="34">
    <w:abstractNumId w:val="31"/>
  </w:num>
  <w:num w:numId="35">
    <w:abstractNumId w:val="40"/>
  </w:num>
  <w:num w:numId="36">
    <w:abstractNumId w:val="46"/>
  </w:num>
  <w:num w:numId="37">
    <w:abstractNumId w:val="42"/>
  </w:num>
  <w:num w:numId="38">
    <w:abstractNumId w:val="4"/>
  </w:num>
  <w:num w:numId="39">
    <w:abstractNumId w:val="29"/>
  </w:num>
  <w:num w:numId="40">
    <w:abstractNumId w:val="43"/>
  </w:num>
  <w:num w:numId="41">
    <w:abstractNumId w:val="10"/>
  </w:num>
  <w:num w:numId="42">
    <w:abstractNumId w:val="34"/>
  </w:num>
  <w:num w:numId="43">
    <w:abstractNumId w:val="45"/>
  </w:num>
  <w:num w:numId="44">
    <w:abstractNumId w:val="13"/>
  </w:num>
  <w:num w:numId="45">
    <w:abstractNumId w:val="49"/>
  </w:num>
  <w:num w:numId="46">
    <w:abstractNumId w:val="25"/>
  </w:num>
  <w:num w:numId="47">
    <w:abstractNumId w:val="12"/>
  </w:num>
  <w:num w:numId="48">
    <w:abstractNumId w:val="16"/>
  </w:num>
  <w:num w:numId="49">
    <w:abstractNumId w:val="39"/>
  </w:num>
  <w:num w:numId="50">
    <w:abstractNumId w:val="35"/>
  </w:num>
  <w:num w:numId="51">
    <w:abstractNumId w:val="35"/>
  </w:num>
  <w:num w:numId="52">
    <w:abstractNumId w:val="1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7EA"/>
    <w:rsid w:val="00000503"/>
    <w:rsid w:val="00000678"/>
    <w:rsid w:val="00001320"/>
    <w:rsid w:val="000013B7"/>
    <w:rsid w:val="000015EF"/>
    <w:rsid w:val="000017DC"/>
    <w:rsid w:val="0000262A"/>
    <w:rsid w:val="000027F8"/>
    <w:rsid w:val="0000367A"/>
    <w:rsid w:val="00003A36"/>
    <w:rsid w:val="00003A6B"/>
    <w:rsid w:val="00004025"/>
    <w:rsid w:val="000047D5"/>
    <w:rsid w:val="00005276"/>
    <w:rsid w:val="00005C59"/>
    <w:rsid w:val="000069A3"/>
    <w:rsid w:val="00006FF7"/>
    <w:rsid w:val="000071DB"/>
    <w:rsid w:val="000072F6"/>
    <w:rsid w:val="0001199F"/>
    <w:rsid w:val="000119A8"/>
    <w:rsid w:val="00011D66"/>
    <w:rsid w:val="0001266E"/>
    <w:rsid w:val="00012928"/>
    <w:rsid w:val="00013035"/>
    <w:rsid w:val="00013301"/>
    <w:rsid w:val="00013545"/>
    <w:rsid w:val="00014319"/>
    <w:rsid w:val="00014956"/>
    <w:rsid w:val="000151C3"/>
    <w:rsid w:val="00015D91"/>
    <w:rsid w:val="0001612E"/>
    <w:rsid w:val="00016A25"/>
    <w:rsid w:val="00016EEB"/>
    <w:rsid w:val="000172C2"/>
    <w:rsid w:val="0001766C"/>
    <w:rsid w:val="000203DE"/>
    <w:rsid w:val="00020663"/>
    <w:rsid w:val="000211D9"/>
    <w:rsid w:val="0002140C"/>
    <w:rsid w:val="00022322"/>
    <w:rsid w:val="00022AC0"/>
    <w:rsid w:val="00022B42"/>
    <w:rsid w:val="00022D92"/>
    <w:rsid w:val="000232D1"/>
    <w:rsid w:val="00023C92"/>
    <w:rsid w:val="00023DAE"/>
    <w:rsid w:val="00024220"/>
    <w:rsid w:val="00024999"/>
    <w:rsid w:val="000250F0"/>
    <w:rsid w:val="00025382"/>
    <w:rsid w:val="00025BDA"/>
    <w:rsid w:val="00025FB2"/>
    <w:rsid w:val="00027DCD"/>
    <w:rsid w:val="00030077"/>
    <w:rsid w:val="00030EBE"/>
    <w:rsid w:val="00031B2B"/>
    <w:rsid w:val="00031B49"/>
    <w:rsid w:val="0003218C"/>
    <w:rsid w:val="00032248"/>
    <w:rsid w:val="000333A8"/>
    <w:rsid w:val="00033992"/>
    <w:rsid w:val="00034BFC"/>
    <w:rsid w:val="00034E47"/>
    <w:rsid w:val="0003563D"/>
    <w:rsid w:val="00035CFF"/>
    <w:rsid w:val="0003652E"/>
    <w:rsid w:val="00036CDB"/>
    <w:rsid w:val="00037C72"/>
    <w:rsid w:val="000406F0"/>
    <w:rsid w:val="00040ADD"/>
    <w:rsid w:val="00041434"/>
    <w:rsid w:val="000415B7"/>
    <w:rsid w:val="00042E69"/>
    <w:rsid w:val="00043407"/>
    <w:rsid w:val="0004344D"/>
    <w:rsid w:val="000435A2"/>
    <w:rsid w:val="00043721"/>
    <w:rsid w:val="000449A1"/>
    <w:rsid w:val="00044EF2"/>
    <w:rsid w:val="00044FAA"/>
    <w:rsid w:val="0004632A"/>
    <w:rsid w:val="000467B1"/>
    <w:rsid w:val="00046C7F"/>
    <w:rsid w:val="0005027C"/>
    <w:rsid w:val="00050B29"/>
    <w:rsid w:val="00050CDB"/>
    <w:rsid w:val="000514E9"/>
    <w:rsid w:val="00051B76"/>
    <w:rsid w:val="000524EC"/>
    <w:rsid w:val="000526A5"/>
    <w:rsid w:val="00052A96"/>
    <w:rsid w:val="00053EFA"/>
    <w:rsid w:val="00054C6C"/>
    <w:rsid w:val="00054E37"/>
    <w:rsid w:val="00055824"/>
    <w:rsid w:val="00055B83"/>
    <w:rsid w:val="00056056"/>
    <w:rsid w:val="0005629F"/>
    <w:rsid w:val="000568BC"/>
    <w:rsid w:val="00056965"/>
    <w:rsid w:val="00057E3B"/>
    <w:rsid w:val="00057F46"/>
    <w:rsid w:val="000600AA"/>
    <w:rsid w:val="000600C6"/>
    <w:rsid w:val="0006035E"/>
    <w:rsid w:val="0006058D"/>
    <w:rsid w:val="000605CD"/>
    <w:rsid w:val="000610FC"/>
    <w:rsid w:val="0006133A"/>
    <w:rsid w:val="000613ED"/>
    <w:rsid w:val="0006187E"/>
    <w:rsid w:val="00061D27"/>
    <w:rsid w:val="00061D89"/>
    <w:rsid w:val="00062388"/>
    <w:rsid w:val="00062670"/>
    <w:rsid w:val="00063612"/>
    <w:rsid w:val="000636C9"/>
    <w:rsid w:val="00063D0B"/>
    <w:rsid w:val="00063DC6"/>
    <w:rsid w:val="00063F80"/>
    <w:rsid w:val="000641DC"/>
    <w:rsid w:val="00065008"/>
    <w:rsid w:val="00065043"/>
    <w:rsid w:val="0006589A"/>
    <w:rsid w:val="00065B76"/>
    <w:rsid w:val="00066210"/>
    <w:rsid w:val="0006638A"/>
    <w:rsid w:val="0006671C"/>
    <w:rsid w:val="000673D6"/>
    <w:rsid w:val="0006748B"/>
    <w:rsid w:val="00067EC0"/>
    <w:rsid w:val="00070414"/>
    <w:rsid w:val="00070AEB"/>
    <w:rsid w:val="00071454"/>
    <w:rsid w:val="000721DE"/>
    <w:rsid w:val="0007230C"/>
    <w:rsid w:val="0007291B"/>
    <w:rsid w:val="000745EB"/>
    <w:rsid w:val="00074673"/>
    <w:rsid w:val="00075078"/>
    <w:rsid w:val="00075201"/>
    <w:rsid w:val="00075BB9"/>
    <w:rsid w:val="00075D3D"/>
    <w:rsid w:val="0007655E"/>
    <w:rsid w:val="00076C02"/>
    <w:rsid w:val="00076C7C"/>
    <w:rsid w:val="00077151"/>
    <w:rsid w:val="00077323"/>
    <w:rsid w:val="00077654"/>
    <w:rsid w:val="0008066B"/>
    <w:rsid w:val="00080E49"/>
    <w:rsid w:val="00080F4C"/>
    <w:rsid w:val="00081877"/>
    <w:rsid w:val="00081DE4"/>
    <w:rsid w:val="0008259B"/>
    <w:rsid w:val="00082678"/>
    <w:rsid w:val="0008370E"/>
    <w:rsid w:val="00084164"/>
    <w:rsid w:val="000842FB"/>
    <w:rsid w:val="000851AD"/>
    <w:rsid w:val="000862D2"/>
    <w:rsid w:val="000865E9"/>
    <w:rsid w:val="000865EE"/>
    <w:rsid w:val="0008683B"/>
    <w:rsid w:val="00087480"/>
    <w:rsid w:val="0008779E"/>
    <w:rsid w:val="00090F00"/>
    <w:rsid w:val="0009108F"/>
    <w:rsid w:val="00091411"/>
    <w:rsid w:val="000919FE"/>
    <w:rsid w:val="00091D15"/>
    <w:rsid w:val="0009246E"/>
    <w:rsid w:val="00093526"/>
    <w:rsid w:val="00093B43"/>
    <w:rsid w:val="00093CE8"/>
    <w:rsid w:val="00095F34"/>
    <w:rsid w:val="00096C56"/>
    <w:rsid w:val="000A0088"/>
    <w:rsid w:val="000A0B3C"/>
    <w:rsid w:val="000A1531"/>
    <w:rsid w:val="000A1B15"/>
    <w:rsid w:val="000A2BE9"/>
    <w:rsid w:val="000A3059"/>
    <w:rsid w:val="000A3B14"/>
    <w:rsid w:val="000A468B"/>
    <w:rsid w:val="000A46A7"/>
    <w:rsid w:val="000A48FB"/>
    <w:rsid w:val="000A4A2C"/>
    <w:rsid w:val="000A4AA1"/>
    <w:rsid w:val="000A4C2E"/>
    <w:rsid w:val="000A54FC"/>
    <w:rsid w:val="000A552E"/>
    <w:rsid w:val="000A5946"/>
    <w:rsid w:val="000A5B5E"/>
    <w:rsid w:val="000A5C0E"/>
    <w:rsid w:val="000A6593"/>
    <w:rsid w:val="000A6E4A"/>
    <w:rsid w:val="000B0953"/>
    <w:rsid w:val="000B09E1"/>
    <w:rsid w:val="000B0AC3"/>
    <w:rsid w:val="000B0F56"/>
    <w:rsid w:val="000B1362"/>
    <w:rsid w:val="000B167C"/>
    <w:rsid w:val="000B1899"/>
    <w:rsid w:val="000B2004"/>
    <w:rsid w:val="000B260B"/>
    <w:rsid w:val="000B2DA8"/>
    <w:rsid w:val="000B2F5B"/>
    <w:rsid w:val="000B3138"/>
    <w:rsid w:val="000B3E9C"/>
    <w:rsid w:val="000B45A0"/>
    <w:rsid w:val="000B4611"/>
    <w:rsid w:val="000B50D9"/>
    <w:rsid w:val="000B5413"/>
    <w:rsid w:val="000B543C"/>
    <w:rsid w:val="000B58AC"/>
    <w:rsid w:val="000B5A5B"/>
    <w:rsid w:val="000B61C6"/>
    <w:rsid w:val="000B6328"/>
    <w:rsid w:val="000C013D"/>
    <w:rsid w:val="000C075C"/>
    <w:rsid w:val="000C0A4D"/>
    <w:rsid w:val="000C0C94"/>
    <w:rsid w:val="000C1020"/>
    <w:rsid w:val="000C10E5"/>
    <w:rsid w:val="000C2BD0"/>
    <w:rsid w:val="000C3264"/>
    <w:rsid w:val="000C3C5A"/>
    <w:rsid w:val="000C4A23"/>
    <w:rsid w:val="000C5BA8"/>
    <w:rsid w:val="000C5D39"/>
    <w:rsid w:val="000C6931"/>
    <w:rsid w:val="000C6EE0"/>
    <w:rsid w:val="000C71BF"/>
    <w:rsid w:val="000C7700"/>
    <w:rsid w:val="000C7CA7"/>
    <w:rsid w:val="000D00FC"/>
    <w:rsid w:val="000D0B2D"/>
    <w:rsid w:val="000D0FBC"/>
    <w:rsid w:val="000D1A54"/>
    <w:rsid w:val="000D2889"/>
    <w:rsid w:val="000D5273"/>
    <w:rsid w:val="000D5934"/>
    <w:rsid w:val="000D5CD6"/>
    <w:rsid w:val="000D6875"/>
    <w:rsid w:val="000D6F75"/>
    <w:rsid w:val="000D7132"/>
    <w:rsid w:val="000E0AB8"/>
    <w:rsid w:val="000E133F"/>
    <w:rsid w:val="000E2941"/>
    <w:rsid w:val="000E29BE"/>
    <w:rsid w:val="000E3789"/>
    <w:rsid w:val="000E39DC"/>
    <w:rsid w:val="000E3AF8"/>
    <w:rsid w:val="000E408E"/>
    <w:rsid w:val="000E4548"/>
    <w:rsid w:val="000E5095"/>
    <w:rsid w:val="000E5558"/>
    <w:rsid w:val="000E5674"/>
    <w:rsid w:val="000E5A21"/>
    <w:rsid w:val="000E5E9D"/>
    <w:rsid w:val="000E68B1"/>
    <w:rsid w:val="000E7778"/>
    <w:rsid w:val="000E7981"/>
    <w:rsid w:val="000E7DDD"/>
    <w:rsid w:val="000F0825"/>
    <w:rsid w:val="000F0C16"/>
    <w:rsid w:val="000F1524"/>
    <w:rsid w:val="000F23BD"/>
    <w:rsid w:val="000F290F"/>
    <w:rsid w:val="000F2BFC"/>
    <w:rsid w:val="000F2CDE"/>
    <w:rsid w:val="000F36CF"/>
    <w:rsid w:val="000F3FE4"/>
    <w:rsid w:val="000F410D"/>
    <w:rsid w:val="000F4EB1"/>
    <w:rsid w:val="000F59EB"/>
    <w:rsid w:val="000F5EC7"/>
    <w:rsid w:val="000F6403"/>
    <w:rsid w:val="000F6B18"/>
    <w:rsid w:val="000F73CF"/>
    <w:rsid w:val="000F7669"/>
    <w:rsid w:val="000F7821"/>
    <w:rsid w:val="000F7B99"/>
    <w:rsid w:val="00101137"/>
    <w:rsid w:val="00101811"/>
    <w:rsid w:val="001027C2"/>
    <w:rsid w:val="001052E4"/>
    <w:rsid w:val="00105BD3"/>
    <w:rsid w:val="00105F94"/>
    <w:rsid w:val="0010609F"/>
    <w:rsid w:val="0010657F"/>
    <w:rsid w:val="0010671B"/>
    <w:rsid w:val="00107CF1"/>
    <w:rsid w:val="00110181"/>
    <w:rsid w:val="001107DC"/>
    <w:rsid w:val="00111329"/>
    <w:rsid w:val="00111852"/>
    <w:rsid w:val="001118E9"/>
    <w:rsid w:val="00111EF3"/>
    <w:rsid w:val="00111F00"/>
    <w:rsid w:val="00112B1E"/>
    <w:rsid w:val="00113DD0"/>
    <w:rsid w:val="001141F9"/>
    <w:rsid w:val="00115F76"/>
    <w:rsid w:val="00116267"/>
    <w:rsid w:val="00116648"/>
    <w:rsid w:val="00116B38"/>
    <w:rsid w:val="00116FFB"/>
    <w:rsid w:val="0011772D"/>
    <w:rsid w:val="00117C0A"/>
    <w:rsid w:val="00117DC6"/>
    <w:rsid w:val="001207D2"/>
    <w:rsid w:val="00120F47"/>
    <w:rsid w:val="0012263F"/>
    <w:rsid w:val="00122730"/>
    <w:rsid w:val="0012283C"/>
    <w:rsid w:val="00122B97"/>
    <w:rsid w:val="001234DF"/>
    <w:rsid w:val="001235E7"/>
    <w:rsid w:val="00123A88"/>
    <w:rsid w:val="00123DD4"/>
    <w:rsid w:val="0012507C"/>
    <w:rsid w:val="00125F7B"/>
    <w:rsid w:val="00126171"/>
    <w:rsid w:val="0012648E"/>
    <w:rsid w:val="00126FAD"/>
    <w:rsid w:val="00127101"/>
    <w:rsid w:val="0012793E"/>
    <w:rsid w:val="00127AC7"/>
    <w:rsid w:val="00127B9C"/>
    <w:rsid w:val="001300A1"/>
    <w:rsid w:val="0013058A"/>
    <w:rsid w:val="00130BB4"/>
    <w:rsid w:val="00130E11"/>
    <w:rsid w:val="00130FDA"/>
    <w:rsid w:val="0013137B"/>
    <w:rsid w:val="001320FE"/>
    <w:rsid w:val="001329FB"/>
    <w:rsid w:val="0013361E"/>
    <w:rsid w:val="001336A7"/>
    <w:rsid w:val="0013618D"/>
    <w:rsid w:val="0013699B"/>
    <w:rsid w:val="00136A3E"/>
    <w:rsid w:val="0013722B"/>
    <w:rsid w:val="00137471"/>
    <w:rsid w:val="00140777"/>
    <w:rsid w:val="0014085D"/>
    <w:rsid w:val="001410C4"/>
    <w:rsid w:val="001416EF"/>
    <w:rsid w:val="00143091"/>
    <w:rsid w:val="001430E9"/>
    <w:rsid w:val="0014425A"/>
    <w:rsid w:val="001448D1"/>
    <w:rsid w:val="001453CB"/>
    <w:rsid w:val="00146C36"/>
    <w:rsid w:val="00147472"/>
    <w:rsid w:val="0014754A"/>
    <w:rsid w:val="0014769A"/>
    <w:rsid w:val="0015030C"/>
    <w:rsid w:val="001503FE"/>
    <w:rsid w:val="00150571"/>
    <w:rsid w:val="00151F67"/>
    <w:rsid w:val="00152FEF"/>
    <w:rsid w:val="00153460"/>
    <w:rsid w:val="00153A5D"/>
    <w:rsid w:val="00153B7E"/>
    <w:rsid w:val="00153FB5"/>
    <w:rsid w:val="001547C7"/>
    <w:rsid w:val="00154837"/>
    <w:rsid w:val="001549E8"/>
    <w:rsid w:val="00154CE5"/>
    <w:rsid w:val="001558C1"/>
    <w:rsid w:val="00155B5A"/>
    <w:rsid w:val="001561B2"/>
    <w:rsid w:val="00156360"/>
    <w:rsid w:val="00156368"/>
    <w:rsid w:val="00156468"/>
    <w:rsid w:val="00156856"/>
    <w:rsid w:val="00156A13"/>
    <w:rsid w:val="00156D23"/>
    <w:rsid w:val="00157143"/>
    <w:rsid w:val="00157759"/>
    <w:rsid w:val="00160A06"/>
    <w:rsid w:val="00160A07"/>
    <w:rsid w:val="00160FD1"/>
    <w:rsid w:val="00161232"/>
    <w:rsid w:val="001614AD"/>
    <w:rsid w:val="00161B43"/>
    <w:rsid w:val="0016266D"/>
    <w:rsid w:val="00162951"/>
    <w:rsid w:val="001629B4"/>
    <w:rsid w:val="00162FDA"/>
    <w:rsid w:val="00163DEA"/>
    <w:rsid w:val="00164C4C"/>
    <w:rsid w:val="001652C5"/>
    <w:rsid w:val="001659AF"/>
    <w:rsid w:val="00165C3C"/>
    <w:rsid w:val="00165F16"/>
    <w:rsid w:val="001665A4"/>
    <w:rsid w:val="001671C4"/>
    <w:rsid w:val="001673A0"/>
    <w:rsid w:val="00167A7C"/>
    <w:rsid w:val="00167FE0"/>
    <w:rsid w:val="00170604"/>
    <w:rsid w:val="0017084C"/>
    <w:rsid w:val="00171197"/>
    <w:rsid w:val="00171A1A"/>
    <w:rsid w:val="00171C09"/>
    <w:rsid w:val="00171C51"/>
    <w:rsid w:val="0017269D"/>
    <w:rsid w:val="001733D1"/>
    <w:rsid w:val="00173AE3"/>
    <w:rsid w:val="00174A79"/>
    <w:rsid w:val="00174D8A"/>
    <w:rsid w:val="00175147"/>
    <w:rsid w:val="00175372"/>
    <w:rsid w:val="00175496"/>
    <w:rsid w:val="00176807"/>
    <w:rsid w:val="00176E80"/>
    <w:rsid w:val="00176F09"/>
    <w:rsid w:val="0017752D"/>
    <w:rsid w:val="0018030C"/>
    <w:rsid w:val="00180E6B"/>
    <w:rsid w:val="0018160C"/>
    <w:rsid w:val="0018195D"/>
    <w:rsid w:val="00181A39"/>
    <w:rsid w:val="00181CC7"/>
    <w:rsid w:val="0018208F"/>
    <w:rsid w:val="001823C1"/>
    <w:rsid w:val="0018298D"/>
    <w:rsid w:val="00182ED5"/>
    <w:rsid w:val="0018328A"/>
    <w:rsid w:val="001834BB"/>
    <w:rsid w:val="00183BA2"/>
    <w:rsid w:val="00183FE3"/>
    <w:rsid w:val="00184A27"/>
    <w:rsid w:val="00184C40"/>
    <w:rsid w:val="001858A6"/>
    <w:rsid w:val="00190626"/>
    <w:rsid w:val="001907D1"/>
    <w:rsid w:val="00191158"/>
    <w:rsid w:val="00191199"/>
    <w:rsid w:val="00192088"/>
    <w:rsid w:val="001929FA"/>
    <w:rsid w:val="00193570"/>
    <w:rsid w:val="0019377E"/>
    <w:rsid w:val="001947B1"/>
    <w:rsid w:val="00194C40"/>
    <w:rsid w:val="001952C2"/>
    <w:rsid w:val="001956AB"/>
    <w:rsid w:val="001958BF"/>
    <w:rsid w:val="00195DC6"/>
    <w:rsid w:val="00196477"/>
    <w:rsid w:val="00196CB8"/>
    <w:rsid w:val="001975AE"/>
    <w:rsid w:val="00197AAF"/>
    <w:rsid w:val="00197DBE"/>
    <w:rsid w:val="00197FE9"/>
    <w:rsid w:val="001A03F6"/>
    <w:rsid w:val="001A189B"/>
    <w:rsid w:val="001A1934"/>
    <w:rsid w:val="001A1F80"/>
    <w:rsid w:val="001A29E2"/>
    <w:rsid w:val="001A3236"/>
    <w:rsid w:val="001A3671"/>
    <w:rsid w:val="001A36AB"/>
    <w:rsid w:val="001A4372"/>
    <w:rsid w:val="001A4879"/>
    <w:rsid w:val="001A4965"/>
    <w:rsid w:val="001A4B4D"/>
    <w:rsid w:val="001A508D"/>
    <w:rsid w:val="001A518D"/>
    <w:rsid w:val="001A62F2"/>
    <w:rsid w:val="001A698E"/>
    <w:rsid w:val="001A6F04"/>
    <w:rsid w:val="001A70A3"/>
    <w:rsid w:val="001A7155"/>
    <w:rsid w:val="001A75CF"/>
    <w:rsid w:val="001B0318"/>
    <w:rsid w:val="001B049C"/>
    <w:rsid w:val="001B08A4"/>
    <w:rsid w:val="001B13F8"/>
    <w:rsid w:val="001B13FE"/>
    <w:rsid w:val="001B1C2B"/>
    <w:rsid w:val="001B220A"/>
    <w:rsid w:val="001B27D9"/>
    <w:rsid w:val="001B3DE5"/>
    <w:rsid w:val="001B426E"/>
    <w:rsid w:val="001B5064"/>
    <w:rsid w:val="001B533F"/>
    <w:rsid w:val="001B55A5"/>
    <w:rsid w:val="001B5647"/>
    <w:rsid w:val="001B56AA"/>
    <w:rsid w:val="001B5774"/>
    <w:rsid w:val="001B5887"/>
    <w:rsid w:val="001B5890"/>
    <w:rsid w:val="001B5D40"/>
    <w:rsid w:val="001B5DA8"/>
    <w:rsid w:val="001B64D4"/>
    <w:rsid w:val="001B712D"/>
    <w:rsid w:val="001B7B69"/>
    <w:rsid w:val="001C0028"/>
    <w:rsid w:val="001C0A6C"/>
    <w:rsid w:val="001C0C5D"/>
    <w:rsid w:val="001C144C"/>
    <w:rsid w:val="001C1695"/>
    <w:rsid w:val="001C23A9"/>
    <w:rsid w:val="001C3B0B"/>
    <w:rsid w:val="001C3D6B"/>
    <w:rsid w:val="001C43D3"/>
    <w:rsid w:val="001C4CFC"/>
    <w:rsid w:val="001C4DE4"/>
    <w:rsid w:val="001C5185"/>
    <w:rsid w:val="001C5ECA"/>
    <w:rsid w:val="001C790A"/>
    <w:rsid w:val="001D02B6"/>
    <w:rsid w:val="001D031C"/>
    <w:rsid w:val="001D1D6A"/>
    <w:rsid w:val="001D2941"/>
    <w:rsid w:val="001D33FA"/>
    <w:rsid w:val="001D3998"/>
    <w:rsid w:val="001D3CC3"/>
    <w:rsid w:val="001D4728"/>
    <w:rsid w:val="001D497E"/>
    <w:rsid w:val="001D4A3A"/>
    <w:rsid w:val="001D4A46"/>
    <w:rsid w:val="001D5722"/>
    <w:rsid w:val="001D5CA7"/>
    <w:rsid w:val="001D6208"/>
    <w:rsid w:val="001D696F"/>
    <w:rsid w:val="001D7280"/>
    <w:rsid w:val="001D750D"/>
    <w:rsid w:val="001D78D0"/>
    <w:rsid w:val="001D7A3A"/>
    <w:rsid w:val="001D7E4F"/>
    <w:rsid w:val="001E008C"/>
    <w:rsid w:val="001E04BD"/>
    <w:rsid w:val="001E083E"/>
    <w:rsid w:val="001E0B49"/>
    <w:rsid w:val="001E0D7B"/>
    <w:rsid w:val="001E1150"/>
    <w:rsid w:val="001E2060"/>
    <w:rsid w:val="001E2601"/>
    <w:rsid w:val="001E29A7"/>
    <w:rsid w:val="001E2AC6"/>
    <w:rsid w:val="001E3DCE"/>
    <w:rsid w:val="001E421D"/>
    <w:rsid w:val="001E5B8D"/>
    <w:rsid w:val="001E5C5C"/>
    <w:rsid w:val="001E665D"/>
    <w:rsid w:val="001E66CE"/>
    <w:rsid w:val="001E6784"/>
    <w:rsid w:val="001E7A99"/>
    <w:rsid w:val="001E7ABC"/>
    <w:rsid w:val="001F057B"/>
    <w:rsid w:val="001F0692"/>
    <w:rsid w:val="001F0E89"/>
    <w:rsid w:val="001F19EA"/>
    <w:rsid w:val="001F1C81"/>
    <w:rsid w:val="001F1CC6"/>
    <w:rsid w:val="001F205E"/>
    <w:rsid w:val="001F31B0"/>
    <w:rsid w:val="001F3F8C"/>
    <w:rsid w:val="001F40C0"/>
    <w:rsid w:val="001F4BC8"/>
    <w:rsid w:val="001F5265"/>
    <w:rsid w:val="001F597E"/>
    <w:rsid w:val="001F66F8"/>
    <w:rsid w:val="001F6B4C"/>
    <w:rsid w:val="001F74A3"/>
    <w:rsid w:val="001F7AC1"/>
    <w:rsid w:val="001F7AF8"/>
    <w:rsid w:val="00200047"/>
    <w:rsid w:val="002000AF"/>
    <w:rsid w:val="00200468"/>
    <w:rsid w:val="002013EC"/>
    <w:rsid w:val="0020192B"/>
    <w:rsid w:val="0020291A"/>
    <w:rsid w:val="00203353"/>
    <w:rsid w:val="002034AE"/>
    <w:rsid w:val="00203953"/>
    <w:rsid w:val="00203957"/>
    <w:rsid w:val="0020409C"/>
    <w:rsid w:val="00206385"/>
    <w:rsid w:val="002063EF"/>
    <w:rsid w:val="0020651B"/>
    <w:rsid w:val="00206850"/>
    <w:rsid w:val="00206F20"/>
    <w:rsid w:val="002075AE"/>
    <w:rsid w:val="00210C58"/>
    <w:rsid w:val="002110BF"/>
    <w:rsid w:val="002127AA"/>
    <w:rsid w:val="00212E89"/>
    <w:rsid w:val="002134BA"/>
    <w:rsid w:val="002134D9"/>
    <w:rsid w:val="00213B42"/>
    <w:rsid w:val="00214219"/>
    <w:rsid w:val="00215854"/>
    <w:rsid w:val="00217CCD"/>
    <w:rsid w:val="002200BB"/>
    <w:rsid w:val="002201BB"/>
    <w:rsid w:val="002205D0"/>
    <w:rsid w:val="00220EAD"/>
    <w:rsid w:val="00221148"/>
    <w:rsid w:val="002212A3"/>
    <w:rsid w:val="002217A7"/>
    <w:rsid w:val="0022197D"/>
    <w:rsid w:val="00221F67"/>
    <w:rsid w:val="0022209B"/>
    <w:rsid w:val="00222A42"/>
    <w:rsid w:val="00223323"/>
    <w:rsid w:val="00223887"/>
    <w:rsid w:val="0022418B"/>
    <w:rsid w:val="00224F00"/>
    <w:rsid w:val="002254E8"/>
    <w:rsid w:val="00225CC7"/>
    <w:rsid w:val="002264B9"/>
    <w:rsid w:val="00226811"/>
    <w:rsid w:val="00226CBA"/>
    <w:rsid w:val="00226EB5"/>
    <w:rsid w:val="00227382"/>
    <w:rsid w:val="002274FC"/>
    <w:rsid w:val="00227F21"/>
    <w:rsid w:val="00230A8A"/>
    <w:rsid w:val="00232BA2"/>
    <w:rsid w:val="00232EBE"/>
    <w:rsid w:val="00233262"/>
    <w:rsid w:val="00233C14"/>
    <w:rsid w:val="00233FA8"/>
    <w:rsid w:val="00234A09"/>
    <w:rsid w:val="00234CD6"/>
    <w:rsid w:val="00234DAF"/>
    <w:rsid w:val="00235F98"/>
    <w:rsid w:val="00236024"/>
    <w:rsid w:val="00236364"/>
    <w:rsid w:val="0023706C"/>
    <w:rsid w:val="00237477"/>
    <w:rsid w:val="00240405"/>
    <w:rsid w:val="002418F7"/>
    <w:rsid w:val="00241F78"/>
    <w:rsid w:val="0024226D"/>
    <w:rsid w:val="00242977"/>
    <w:rsid w:val="00244040"/>
    <w:rsid w:val="00244E1E"/>
    <w:rsid w:val="00244E7A"/>
    <w:rsid w:val="00245406"/>
    <w:rsid w:val="00245993"/>
    <w:rsid w:val="00245F5C"/>
    <w:rsid w:val="002464CD"/>
    <w:rsid w:val="00246652"/>
    <w:rsid w:val="00247A9D"/>
    <w:rsid w:val="00247F1A"/>
    <w:rsid w:val="00250C78"/>
    <w:rsid w:val="0025281B"/>
    <w:rsid w:val="002529E5"/>
    <w:rsid w:val="00252E9C"/>
    <w:rsid w:val="00254F92"/>
    <w:rsid w:val="002563F7"/>
    <w:rsid w:val="002566D9"/>
    <w:rsid w:val="00257026"/>
    <w:rsid w:val="00257EE6"/>
    <w:rsid w:val="002601BE"/>
    <w:rsid w:val="00261305"/>
    <w:rsid w:val="00262221"/>
    <w:rsid w:val="0026263C"/>
    <w:rsid w:val="002629F9"/>
    <w:rsid w:val="00262D9D"/>
    <w:rsid w:val="00262E31"/>
    <w:rsid w:val="00262E75"/>
    <w:rsid w:val="002634A1"/>
    <w:rsid w:val="002638ED"/>
    <w:rsid w:val="00263915"/>
    <w:rsid w:val="00263983"/>
    <w:rsid w:val="002644B2"/>
    <w:rsid w:val="00266191"/>
    <w:rsid w:val="0026652D"/>
    <w:rsid w:val="00270C1F"/>
    <w:rsid w:val="00272079"/>
    <w:rsid w:val="002741B0"/>
    <w:rsid w:val="00275146"/>
    <w:rsid w:val="00275A8F"/>
    <w:rsid w:val="00276F10"/>
    <w:rsid w:val="00277895"/>
    <w:rsid w:val="00280538"/>
    <w:rsid w:val="00280959"/>
    <w:rsid w:val="00280CB8"/>
    <w:rsid w:val="00281604"/>
    <w:rsid w:val="00281663"/>
    <w:rsid w:val="002818CB"/>
    <w:rsid w:val="00281C7F"/>
    <w:rsid w:val="00281E7D"/>
    <w:rsid w:val="00281EB1"/>
    <w:rsid w:val="00282456"/>
    <w:rsid w:val="0028250E"/>
    <w:rsid w:val="002827FB"/>
    <w:rsid w:val="0028350F"/>
    <w:rsid w:val="00283F55"/>
    <w:rsid w:val="0028452E"/>
    <w:rsid w:val="002847EA"/>
    <w:rsid w:val="00285DDD"/>
    <w:rsid w:val="00286265"/>
    <w:rsid w:val="002866F5"/>
    <w:rsid w:val="00286782"/>
    <w:rsid w:val="00286E60"/>
    <w:rsid w:val="00290456"/>
    <w:rsid w:val="00290A5A"/>
    <w:rsid w:val="00291282"/>
    <w:rsid w:val="00291358"/>
    <w:rsid w:val="00291420"/>
    <w:rsid w:val="00291575"/>
    <w:rsid w:val="00291B88"/>
    <w:rsid w:val="00291DD2"/>
    <w:rsid w:val="0029236A"/>
    <w:rsid w:val="00292581"/>
    <w:rsid w:val="0029340B"/>
    <w:rsid w:val="0029367A"/>
    <w:rsid w:val="00293709"/>
    <w:rsid w:val="0029382B"/>
    <w:rsid w:val="00293FAC"/>
    <w:rsid w:val="00293FDD"/>
    <w:rsid w:val="00294AF9"/>
    <w:rsid w:val="002963F2"/>
    <w:rsid w:val="00297404"/>
    <w:rsid w:val="002975E7"/>
    <w:rsid w:val="0029777A"/>
    <w:rsid w:val="002977E3"/>
    <w:rsid w:val="00297EF9"/>
    <w:rsid w:val="00297FC6"/>
    <w:rsid w:val="002A05F6"/>
    <w:rsid w:val="002A0B59"/>
    <w:rsid w:val="002A0D3B"/>
    <w:rsid w:val="002A2943"/>
    <w:rsid w:val="002A3872"/>
    <w:rsid w:val="002A3F45"/>
    <w:rsid w:val="002A4680"/>
    <w:rsid w:val="002A47DB"/>
    <w:rsid w:val="002A4804"/>
    <w:rsid w:val="002A568C"/>
    <w:rsid w:val="002A5BDF"/>
    <w:rsid w:val="002A6676"/>
    <w:rsid w:val="002A6AE8"/>
    <w:rsid w:val="002A6BFA"/>
    <w:rsid w:val="002A6E32"/>
    <w:rsid w:val="002A6F41"/>
    <w:rsid w:val="002A73F8"/>
    <w:rsid w:val="002A782D"/>
    <w:rsid w:val="002B014C"/>
    <w:rsid w:val="002B02F9"/>
    <w:rsid w:val="002B0E53"/>
    <w:rsid w:val="002B1839"/>
    <w:rsid w:val="002B1D1C"/>
    <w:rsid w:val="002B2269"/>
    <w:rsid w:val="002B253E"/>
    <w:rsid w:val="002B2644"/>
    <w:rsid w:val="002B28EA"/>
    <w:rsid w:val="002B2901"/>
    <w:rsid w:val="002B2BBB"/>
    <w:rsid w:val="002B2D47"/>
    <w:rsid w:val="002B2DB6"/>
    <w:rsid w:val="002B3005"/>
    <w:rsid w:val="002B3B78"/>
    <w:rsid w:val="002B4336"/>
    <w:rsid w:val="002B4591"/>
    <w:rsid w:val="002B520D"/>
    <w:rsid w:val="002B6B08"/>
    <w:rsid w:val="002B6B8B"/>
    <w:rsid w:val="002B7257"/>
    <w:rsid w:val="002B74DE"/>
    <w:rsid w:val="002B7DB8"/>
    <w:rsid w:val="002C0A21"/>
    <w:rsid w:val="002C0A9C"/>
    <w:rsid w:val="002C1B29"/>
    <w:rsid w:val="002C1B52"/>
    <w:rsid w:val="002C2E97"/>
    <w:rsid w:val="002C2EE8"/>
    <w:rsid w:val="002C3078"/>
    <w:rsid w:val="002C3A46"/>
    <w:rsid w:val="002C3CC3"/>
    <w:rsid w:val="002C4D8B"/>
    <w:rsid w:val="002C589B"/>
    <w:rsid w:val="002C5E61"/>
    <w:rsid w:val="002C5E80"/>
    <w:rsid w:val="002C653A"/>
    <w:rsid w:val="002D025C"/>
    <w:rsid w:val="002D02BA"/>
    <w:rsid w:val="002D22BB"/>
    <w:rsid w:val="002D3129"/>
    <w:rsid w:val="002D3221"/>
    <w:rsid w:val="002D3C80"/>
    <w:rsid w:val="002D48F9"/>
    <w:rsid w:val="002D4EB0"/>
    <w:rsid w:val="002D4EB8"/>
    <w:rsid w:val="002D5207"/>
    <w:rsid w:val="002D64D7"/>
    <w:rsid w:val="002D653B"/>
    <w:rsid w:val="002E071E"/>
    <w:rsid w:val="002E0C2E"/>
    <w:rsid w:val="002E1575"/>
    <w:rsid w:val="002E2676"/>
    <w:rsid w:val="002E30BD"/>
    <w:rsid w:val="002E37A7"/>
    <w:rsid w:val="002E3A59"/>
    <w:rsid w:val="002E4144"/>
    <w:rsid w:val="002E5075"/>
    <w:rsid w:val="002E50CA"/>
    <w:rsid w:val="002E58AF"/>
    <w:rsid w:val="002E5930"/>
    <w:rsid w:val="002E6105"/>
    <w:rsid w:val="002E6426"/>
    <w:rsid w:val="002E659E"/>
    <w:rsid w:val="002E696D"/>
    <w:rsid w:val="002E6EF0"/>
    <w:rsid w:val="002E71A0"/>
    <w:rsid w:val="002E7302"/>
    <w:rsid w:val="002E7713"/>
    <w:rsid w:val="002E7FEE"/>
    <w:rsid w:val="002F0843"/>
    <w:rsid w:val="002F0B62"/>
    <w:rsid w:val="002F13FA"/>
    <w:rsid w:val="002F1796"/>
    <w:rsid w:val="002F19F8"/>
    <w:rsid w:val="002F1CAF"/>
    <w:rsid w:val="002F3524"/>
    <w:rsid w:val="002F35D9"/>
    <w:rsid w:val="002F3700"/>
    <w:rsid w:val="002F38F9"/>
    <w:rsid w:val="002F4815"/>
    <w:rsid w:val="002F4C16"/>
    <w:rsid w:val="002F4F03"/>
    <w:rsid w:val="002F590B"/>
    <w:rsid w:val="002F6D13"/>
    <w:rsid w:val="002F6F08"/>
    <w:rsid w:val="002F70AE"/>
    <w:rsid w:val="002F7150"/>
    <w:rsid w:val="002F7471"/>
    <w:rsid w:val="002F7F83"/>
    <w:rsid w:val="00300943"/>
    <w:rsid w:val="00300CE2"/>
    <w:rsid w:val="00300D01"/>
    <w:rsid w:val="00301A2D"/>
    <w:rsid w:val="00301BF6"/>
    <w:rsid w:val="0030212D"/>
    <w:rsid w:val="00302D96"/>
    <w:rsid w:val="003033A1"/>
    <w:rsid w:val="003042D4"/>
    <w:rsid w:val="0030446C"/>
    <w:rsid w:val="00304520"/>
    <w:rsid w:val="003046AB"/>
    <w:rsid w:val="0030509E"/>
    <w:rsid w:val="00305D80"/>
    <w:rsid w:val="0030609E"/>
    <w:rsid w:val="00307639"/>
    <w:rsid w:val="00310228"/>
    <w:rsid w:val="003102B9"/>
    <w:rsid w:val="00310805"/>
    <w:rsid w:val="0031082F"/>
    <w:rsid w:val="003111C7"/>
    <w:rsid w:val="00312390"/>
    <w:rsid w:val="003125A3"/>
    <w:rsid w:val="00312C16"/>
    <w:rsid w:val="00312FE1"/>
    <w:rsid w:val="003132DD"/>
    <w:rsid w:val="003134D4"/>
    <w:rsid w:val="00313690"/>
    <w:rsid w:val="003136FB"/>
    <w:rsid w:val="00314ABD"/>
    <w:rsid w:val="00314BB9"/>
    <w:rsid w:val="00314CF8"/>
    <w:rsid w:val="00315DBD"/>
    <w:rsid w:val="00316279"/>
    <w:rsid w:val="00316F86"/>
    <w:rsid w:val="003173D5"/>
    <w:rsid w:val="0032066E"/>
    <w:rsid w:val="00321402"/>
    <w:rsid w:val="00322092"/>
    <w:rsid w:val="003223F5"/>
    <w:rsid w:val="003227BE"/>
    <w:rsid w:val="00323206"/>
    <w:rsid w:val="00323918"/>
    <w:rsid w:val="00324105"/>
    <w:rsid w:val="003241B0"/>
    <w:rsid w:val="003248F0"/>
    <w:rsid w:val="00324F59"/>
    <w:rsid w:val="003256D4"/>
    <w:rsid w:val="00325890"/>
    <w:rsid w:val="003260F0"/>
    <w:rsid w:val="00326951"/>
    <w:rsid w:val="00326C07"/>
    <w:rsid w:val="00326C91"/>
    <w:rsid w:val="00327351"/>
    <w:rsid w:val="00327630"/>
    <w:rsid w:val="00330744"/>
    <w:rsid w:val="00330903"/>
    <w:rsid w:val="00331224"/>
    <w:rsid w:val="0033188E"/>
    <w:rsid w:val="0033200C"/>
    <w:rsid w:val="00332671"/>
    <w:rsid w:val="00332B5D"/>
    <w:rsid w:val="0033429B"/>
    <w:rsid w:val="00335363"/>
    <w:rsid w:val="00335C70"/>
    <w:rsid w:val="003360B8"/>
    <w:rsid w:val="003367C0"/>
    <w:rsid w:val="00337CC8"/>
    <w:rsid w:val="00337EA1"/>
    <w:rsid w:val="00340157"/>
    <w:rsid w:val="00341998"/>
    <w:rsid w:val="00341DEA"/>
    <w:rsid w:val="003436CC"/>
    <w:rsid w:val="003437A4"/>
    <w:rsid w:val="003437CC"/>
    <w:rsid w:val="003439C8"/>
    <w:rsid w:val="003440B1"/>
    <w:rsid w:val="0034419D"/>
    <w:rsid w:val="003441AF"/>
    <w:rsid w:val="003445D7"/>
    <w:rsid w:val="00344852"/>
    <w:rsid w:val="003452EC"/>
    <w:rsid w:val="0034530E"/>
    <w:rsid w:val="003455F7"/>
    <w:rsid w:val="00345CD7"/>
    <w:rsid w:val="0034616E"/>
    <w:rsid w:val="00346187"/>
    <w:rsid w:val="00346A3C"/>
    <w:rsid w:val="00346C7E"/>
    <w:rsid w:val="0034733A"/>
    <w:rsid w:val="00347646"/>
    <w:rsid w:val="003505E7"/>
    <w:rsid w:val="0035070A"/>
    <w:rsid w:val="00351C3F"/>
    <w:rsid w:val="00351C9A"/>
    <w:rsid w:val="0035217C"/>
    <w:rsid w:val="003526CD"/>
    <w:rsid w:val="00353DA0"/>
    <w:rsid w:val="00354380"/>
    <w:rsid w:val="00354552"/>
    <w:rsid w:val="00354746"/>
    <w:rsid w:val="003551EF"/>
    <w:rsid w:val="00355723"/>
    <w:rsid w:val="003558DC"/>
    <w:rsid w:val="00355FAB"/>
    <w:rsid w:val="003565E9"/>
    <w:rsid w:val="00356B99"/>
    <w:rsid w:val="0035731B"/>
    <w:rsid w:val="00357512"/>
    <w:rsid w:val="00357888"/>
    <w:rsid w:val="00357D7A"/>
    <w:rsid w:val="00357D80"/>
    <w:rsid w:val="00357FBB"/>
    <w:rsid w:val="00360401"/>
    <w:rsid w:val="003605F6"/>
    <w:rsid w:val="00361080"/>
    <w:rsid w:val="0036161C"/>
    <w:rsid w:val="00361B97"/>
    <w:rsid w:val="00361C22"/>
    <w:rsid w:val="00362413"/>
    <w:rsid w:val="00362A94"/>
    <w:rsid w:val="00362BE1"/>
    <w:rsid w:val="00362EEB"/>
    <w:rsid w:val="003630D6"/>
    <w:rsid w:val="003633E1"/>
    <w:rsid w:val="00363AE9"/>
    <w:rsid w:val="0036531C"/>
    <w:rsid w:val="0036568E"/>
    <w:rsid w:val="00366B7B"/>
    <w:rsid w:val="00366BC9"/>
    <w:rsid w:val="003675F0"/>
    <w:rsid w:val="003676DD"/>
    <w:rsid w:val="0036799C"/>
    <w:rsid w:val="00367C84"/>
    <w:rsid w:val="003700FB"/>
    <w:rsid w:val="00370E76"/>
    <w:rsid w:val="00371153"/>
    <w:rsid w:val="0037123F"/>
    <w:rsid w:val="003715E3"/>
    <w:rsid w:val="003715F3"/>
    <w:rsid w:val="00371EFB"/>
    <w:rsid w:val="00372BA2"/>
    <w:rsid w:val="00372CF5"/>
    <w:rsid w:val="0037301A"/>
    <w:rsid w:val="00373C6D"/>
    <w:rsid w:val="00373D04"/>
    <w:rsid w:val="00373D1C"/>
    <w:rsid w:val="003742AF"/>
    <w:rsid w:val="0037431F"/>
    <w:rsid w:val="003744E7"/>
    <w:rsid w:val="00375899"/>
    <w:rsid w:val="00375CBD"/>
    <w:rsid w:val="00376184"/>
    <w:rsid w:val="003762F0"/>
    <w:rsid w:val="003764D4"/>
    <w:rsid w:val="003764F2"/>
    <w:rsid w:val="00377E0D"/>
    <w:rsid w:val="0038008D"/>
    <w:rsid w:val="0038070A"/>
    <w:rsid w:val="00380AC9"/>
    <w:rsid w:val="00380D2C"/>
    <w:rsid w:val="00380D79"/>
    <w:rsid w:val="0038117E"/>
    <w:rsid w:val="003813BA"/>
    <w:rsid w:val="0038145C"/>
    <w:rsid w:val="00381F08"/>
    <w:rsid w:val="003828C5"/>
    <w:rsid w:val="00382E11"/>
    <w:rsid w:val="00382FA4"/>
    <w:rsid w:val="0038413F"/>
    <w:rsid w:val="00385119"/>
    <w:rsid w:val="003851AE"/>
    <w:rsid w:val="003851D6"/>
    <w:rsid w:val="003861DE"/>
    <w:rsid w:val="00386FEB"/>
    <w:rsid w:val="00387AD5"/>
    <w:rsid w:val="00390090"/>
    <w:rsid w:val="00391C9A"/>
    <w:rsid w:val="00391E54"/>
    <w:rsid w:val="00392127"/>
    <w:rsid w:val="003923DF"/>
    <w:rsid w:val="0039275C"/>
    <w:rsid w:val="00392DC3"/>
    <w:rsid w:val="0039341C"/>
    <w:rsid w:val="003936F3"/>
    <w:rsid w:val="00393C50"/>
    <w:rsid w:val="00393DAB"/>
    <w:rsid w:val="003940F3"/>
    <w:rsid w:val="00394D58"/>
    <w:rsid w:val="00395543"/>
    <w:rsid w:val="00396546"/>
    <w:rsid w:val="003965BA"/>
    <w:rsid w:val="00396EBE"/>
    <w:rsid w:val="00396F0D"/>
    <w:rsid w:val="00397E48"/>
    <w:rsid w:val="003A0672"/>
    <w:rsid w:val="003A081C"/>
    <w:rsid w:val="003A08F4"/>
    <w:rsid w:val="003A0C60"/>
    <w:rsid w:val="003A1037"/>
    <w:rsid w:val="003A1105"/>
    <w:rsid w:val="003A13AE"/>
    <w:rsid w:val="003A3827"/>
    <w:rsid w:val="003A412F"/>
    <w:rsid w:val="003A51B8"/>
    <w:rsid w:val="003A529D"/>
    <w:rsid w:val="003A5D95"/>
    <w:rsid w:val="003A613B"/>
    <w:rsid w:val="003A6A5F"/>
    <w:rsid w:val="003A6D28"/>
    <w:rsid w:val="003A720E"/>
    <w:rsid w:val="003A74CE"/>
    <w:rsid w:val="003A78C8"/>
    <w:rsid w:val="003A7B83"/>
    <w:rsid w:val="003B17BA"/>
    <w:rsid w:val="003B1C7C"/>
    <w:rsid w:val="003B28D2"/>
    <w:rsid w:val="003B29F7"/>
    <w:rsid w:val="003B2ED9"/>
    <w:rsid w:val="003B331E"/>
    <w:rsid w:val="003B417F"/>
    <w:rsid w:val="003B49F4"/>
    <w:rsid w:val="003B4BAD"/>
    <w:rsid w:val="003B5162"/>
    <w:rsid w:val="003B5399"/>
    <w:rsid w:val="003B7529"/>
    <w:rsid w:val="003B7C94"/>
    <w:rsid w:val="003C06CA"/>
    <w:rsid w:val="003C0B8E"/>
    <w:rsid w:val="003C18C7"/>
    <w:rsid w:val="003C1CE1"/>
    <w:rsid w:val="003C1DC6"/>
    <w:rsid w:val="003C2B9D"/>
    <w:rsid w:val="003C2BEF"/>
    <w:rsid w:val="003C35BD"/>
    <w:rsid w:val="003C3838"/>
    <w:rsid w:val="003C3C32"/>
    <w:rsid w:val="003C4772"/>
    <w:rsid w:val="003C5395"/>
    <w:rsid w:val="003C5AD7"/>
    <w:rsid w:val="003C5ECC"/>
    <w:rsid w:val="003C6D99"/>
    <w:rsid w:val="003C7EA5"/>
    <w:rsid w:val="003D02A6"/>
    <w:rsid w:val="003D087D"/>
    <w:rsid w:val="003D0913"/>
    <w:rsid w:val="003D28D1"/>
    <w:rsid w:val="003D3377"/>
    <w:rsid w:val="003D3837"/>
    <w:rsid w:val="003D466E"/>
    <w:rsid w:val="003D4B0D"/>
    <w:rsid w:val="003D5012"/>
    <w:rsid w:val="003D5E07"/>
    <w:rsid w:val="003D6DBE"/>
    <w:rsid w:val="003D7473"/>
    <w:rsid w:val="003E0259"/>
    <w:rsid w:val="003E0BEA"/>
    <w:rsid w:val="003E0CA9"/>
    <w:rsid w:val="003E1BB6"/>
    <w:rsid w:val="003E1CC9"/>
    <w:rsid w:val="003E2091"/>
    <w:rsid w:val="003E3952"/>
    <w:rsid w:val="003E3AD4"/>
    <w:rsid w:val="003E41DC"/>
    <w:rsid w:val="003E5C79"/>
    <w:rsid w:val="003E6A8D"/>
    <w:rsid w:val="003E7EA4"/>
    <w:rsid w:val="003F0EE5"/>
    <w:rsid w:val="003F1768"/>
    <w:rsid w:val="003F1B0F"/>
    <w:rsid w:val="003F1B41"/>
    <w:rsid w:val="003F1D3C"/>
    <w:rsid w:val="003F2369"/>
    <w:rsid w:val="003F273C"/>
    <w:rsid w:val="003F28CD"/>
    <w:rsid w:val="003F2B3E"/>
    <w:rsid w:val="003F32D7"/>
    <w:rsid w:val="003F494B"/>
    <w:rsid w:val="003F4B1D"/>
    <w:rsid w:val="003F538F"/>
    <w:rsid w:val="003F6356"/>
    <w:rsid w:val="003F6CB1"/>
    <w:rsid w:val="003F6DE0"/>
    <w:rsid w:val="003F6E2C"/>
    <w:rsid w:val="003F72C3"/>
    <w:rsid w:val="00400DE9"/>
    <w:rsid w:val="00401776"/>
    <w:rsid w:val="00401EA8"/>
    <w:rsid w:val="0040352D"/>
    <w:rsid w:val="00403556"/>
    <w:rsid w:val="00403F60"/>
    <w:rsid w:val="00404741"/>
    <w:rsid w:val="00404E70"/>
    <w:rsid w:val="00405117"/>
    <w:rsid w:val="00405B85"/>
    <w:rsid w:val="00405D5B"/>
    <w:rsid w:val="00406419"/>
    <w:rsid w:val="004075EC"/>
    <w:rsid w:val="004078ED"/>
    <w:rsid w:val="00407DD8"/>
    <w:rsid w:val="00407F42"/>
    <w:rsid w:val="00410110"/>
    <w:rsid w:val="00410589"/>
    <w:rsid w:val="004105FD"/>
    <w:rsid w:val="004106DA"/>
    <w:rsid w:val="00412251"/>
    <w:rsid w:val="004125DA"/>
    <w:rsid w:val="0041279A"/>
    <w:rsid w:val="00412D3C"/>
    <w:rsid w:val="0041339D"/>
    <w:rsid w:val="00413B05"/>
    <w:rsid w:val="00414CAD"/>
    <w:rsid w:val="004156F1"/>
    <w:rsid w:val="004160F2"/>
    <w:rsid w:val="00416274"/>
    <w:rsid w:val="00416A17"/>
    <w:rsid w:val="00416D5F"/>
    <w:rsid w:val="0041710E"/>
    <w:rsid w:val="004209A7"/>
    <w:rsid w:val="004209AF"/>
    <w:rsid w:val="00420A86"/>
    <w:rsid w:val="00420F1C"/>
    <w:rsid w:val="0042137A"/>
    <w:rsid w:val="004216BB"/>
    <w:rsid w:val="00421890"/>
    <w:rsid w:val="00421E99"/>
    <w:rsid w:val="00422308"/>
    <w:rsid w:val="00422DD5"/>
    <w:rsid w:val="00422ECD"/>
    <w:rsid w:val="00422FAC"/>
    <w:rsid w:val="00423A37"/>
    <w:rsid w:val="00424359"/>
    <w:rsid w:val="00424B40"/>
    <w:rsid w:val="00425195"/>
    <w:rsid w:val="00425940"/>
    <w:rsid w:val="00425CAC"/>
    <w:rsid w:val="00425F5F"/>
    <w:rsid w:val="004262AA"/>
    <w:rsid w:val="00426A36"/>
    <w:rsid w:val="00426AC5"/>
    <w:rsid w:val="00426B59"/>
    <w:rsid w:val="00426C07"/>
    <w:rsid w:val="00427306"/>
    <w:rsid w:val="00427392"/>
    <w:rsid w:val="00431548"/>
    <w:rsid w:val="0043186E"/>
    <w:rsid w:val="00431E3B"/>
    <w:rsid w:val="00432834"/>
    <w:rsid w:val="00432BF1"/>
    <w:rsid w:val="0043300D"/>
    <w:rsid w:val="004334D5"/>
    <w:rsid w:val="00433759"/>
    <w:rsid w:val="00433C4B"/>
    <w:rsid w:val="00433F1A"/>
    <w:rsid w:val="00435FFC"/>
    <w:rsid w:val="0043602D"/>
    <w:rsid w:val="00436C1A"/>
    <w:rsid w:val="0043709B"/>
    <w:rsid w:val="00440194"/>
    <w:rsid w:val="00440CEC"/>
    <w:rsid w:val="00441C7D"/>
    <w:rsid w:val="00441F39"/>
    <w:rsid w:val="004421EC"/>
    <w:rsid w:val="00442AA4"/>
    <w:rsid w:val="004430CE"/>
    <w:rsid w:val="00444617"/>
    <w:rsid w:val="00445ECB"/>
    <w:rsid w:val="00445F6E"/>
    <w:rsid w:val="00445F99"/>
    <w:rsid w:val="00446AE8"/>
    <w:rsid w:val="00450426"/>
    <w:rsid w:val="00450567"/>
    <w:rsid w:val="004509D8"/>
    <w:rsid w:val="00450EBF"/>
    <w:rsid w:val="00451336"/>
    <w:rsid w:val="0045184E"/>
    <w:rsid w:val="004521D8"/>
    <w:rsid w:val="00452E0D"/>
    <w:rsid w:val="004554DC"/>
    <w:rsid w:val="0045649E"/>
    <w:rsid w:val="004565F1"/>
    <w:rsid w:val="0045687E"/>
    <w:rsid w:val="004569C5"/>
    <w:rsid w:val="00457C4B"/>
    <w:rsid w:val="00457CE6"/>
    <w:rsid w:val="00460BD9"/>
    <w:rsid w:val="00461916"/>
    <w:rsid w:val="00461DB2"/>
    <w:rsid w:val="00461FCE"/>
    <w:rsid w:val="004625CB"/>
    <w:rsid w:val="00462FA5"/>
    <w:rsid w:val="004636EE"/>
    <w:rsid w:val="00463783"/>
    <w:rsid w:val="0046389C"/>
    <w:rsid w:val="00463BAB"/>
    <w:rsid w:val="00463FD6"/>
    <w:rsid w:val="00464AE7"/>
    <w:rsid w:val="00464C8B"/>
    <w:rsid w:val="004654CF"/>
    <w:rsid w:val="00466346"/>
    <w:rsid w:val="004664E6"/>
    <w:rsid w:val="00466C3B"/>
    <w:rsid w:val="00467A14"/>
    <w:rsid w:val="00467FF5"/>
    <w:rsid w:val="0047115A"/>
    <w:rsid w:val="004716F2"/>
    <w:rsid w:val="00471735"/>
    <w:rsid w:val="00471A68"/>
    <w:rsid w:val="00472EBD"/>
    <w:rsid w:val="00473398"/>
    <w:rsid w:val="00473E01"/>
    <w:rsid w:val="00473E9B"/>
    <w:rsid w:val="00474105"/>
    <w:rsid w:val="00474517"/>
    <w:rsid w:val="004753D9"/>
    <w:rsid w:val="004754F1"/>
    <w:rsid w:val="00475BB6"/>
    <w:rsid w:val="004764D4"/>
    <w:rsid w:val="004765A3"/>
    <w:rsid w:val="004768BB"/>
    <w:rsid w:val="00477388"/>
    <w:rsid w:val="0047783D"/>
    <w:rsid w:val="00477B5E"/>
    <w:rsid w:val="00480503"/>
    <w:rsid w:val="00480D49"/>
    <w:rsid w:val="0048137E"/>
    <w:rsid w:val="004817EE"/>
    <w:rsid w:val="00481D54"/>
    <w:rsid w:val="004829F9"/>
    <w:rsid w:val="00483748"/>
    <w:rsid w:val="004846A0"/>
    <w:rsid w:val="00484792"/>
    <w:rsid w:val="00484FEA"/>
    <w:rsid w:val="004860A7"/>
    <w:rsid w:val="00486144"/>
    <w:rsid w:val="0048641F"/>
    <w:rsid w:val="00486546"/>
    <w:rsid w:val="00486F75"/>
    <w:rsid w:val="00487583"/>
    <w:rsid w:val="00487C79"/>
    <w:rsid w:val="00490290"/>
    <w:rsid w:val="00490D8D"/>
    <w:rsid w:val="00491008"/>
    <w:rsid w:val="00491A07"/>
    <w:rsid w:val="00491D82"/>
    <w:rsid w:val="00492107"/>
    <w:rsid w:val="00492879"/>
    <w:rsid w:val="004928FC"/>
    <w:rsid w:val="004929C4"/>
    <w:rsid w:val="004930A5"/>
    <w:rsid w:val="00493639"/>
    <w:rsid w:val="0049363A"/>
    <w:rsid w:val="00493968"/>
    <w:rsid w:val="004945A8"/>
    <w:rsid w:val="0049615E"/>
    <w:rsid w:val="00496CDA"/>
    <w:rsid w:val="00496D32"/>
    <w:rsid w:val="0049705F"/>
    <w:rsid w:val="004971F8"/>
    <w:rsid w:val="0049724B"/>
    <w:rsid w:val="00497382"/>
    <w:rsid w:val="00497AEE"/>
    <w:rsid w:val="00497E4D"/>
    <w:rsid w:val="004A0106"/>
    <w:rsid w:val="004A0675"/>
    <w:rsid w:val="004A0685"/>
    <w:rsid w:val="004A0F83"/>
    <w:rsid w:val="004A10DF"/>
    <w:rsid w:val="004A1217"/>
    <w:rsid w:val="004A2601"/>
    <w:rsid w:val="004A2ACF"/>
    <w:rsid w:val="004A33F7"/>
    <w:rsid w:val="004A44B0"/>
    <w:rsid w:val="004A4BC9"/>
    <w:rsid w:val="004A5F33"/>
    <w:rsid w:val="004A60FC"/>
    <w:rsid w:val="004A664A"/>
    <w:rsid w:val="004A6B26"/>
    <w:rsid w:val="004B11DF"/>
    <w:rsid w:val="004B16E6"/>
    <w:rsid w:val="004B17A2"/>
    <w:rsid w:val="004B1BED"/>
    <w:rsid w:val="004B1F1E"/>
    <w:rsid w:val="004B2323"/>
    <w:rsid w:val="004B4305"/>
    <w:rsid w:val="004B4A7B"/>
    <w:rsid w:val="004B50F3"/>
    <w:rsid w:val="004B56CC"/>
    <w:rsid w:val="004B5C06"/>
    <w:rsid w:val="004B742D"/>
    <w:rsid w:val="004B7565"/>
    <w:rsid w:val="004B763F"/>
    <w:rsid w:val="004B78F2"/>
    <w:rsid w:val="004C029B"/>
    <w:rsid w:val="004C02E8"/>
    <w:rsid w:val="004C0FEA"/>
    <w:rsid w:val="004C1105"/>
    <w:rsid w:val="004C14D3"/>
    <w:rsid w:val="004C1822"/>
    <w:rsid w:val="004C1AFF"/>
    <w:rsid w:val="004C1C8D"/>
    <w:rsid w:val="004C2833"/>
    <w:rsid w:val="004C321F"/>
    <w:rsid w:val="004C3399"/>
    <w:rsid w:val="004C3D7A"/>
    <w:rsid w:val="004C3E75"/>
    <w:rsid w:val="004C414A"/>
    <w:rsid w:val="004C4493"/>
    <w:rsid w:val="004C45D8"/>
    <w:rsid w:val="004C48B7"/>
    <w:rsid w:val="004C48DD"/>
    <w:rsid w:val="004C5562"/>
    <w:rsid w:val="004C56B7"/>
    <w:rsid w:val="004C585F"/>
    <w:rsid w:val="004C5DCD"/>
    <w:rsid w:val="004C6A1B"/>
    <w:rsid w:val="004C6D52"/>
    <w:rsid w:val="004C7D34"/>
    <w:rsid w:val="004C7D6D"/>
    <w:rsid w:val="004D0658"/>
    <w:rsid w:val="004D06C0"/>
    <w:rsid w:val="004D0B8A"/>
    <w:rsid w:val="004D166F"/>
    <w:rsid w:val="004D180A"/>
    <w:rsid w:val="004D18EF"/>
    <w:rsid w:val="004D1C9F"/>
    <w:rsid w:val="004D205E"/>
    <w:rsid w:val="004D3984"/>
    <w:rsid w:val="004D44BB"/>
    <w:rsid w:val="004D4BCA"/>
    <w:rsid w:val="004D5060"/>
    <w:rsid w:val="004D51FC"/>
    <w:rsid w:val="004D5900"/>
    <w:rsid w:val="004D6A91"/>
    <w:rsid w:val="004E03B1"/>
    <w:rsid w:val="004E06F1"/>
    <w:rsid w:val="004E076D"/>
    <w:rsid w:val="004E0CA9"/>
    <w:rsid w:val="004E1509"/>
    <w:rsid w:val="004E2239"/>
    <w:rsid w:val="004E23BB"/>
    <w:rsid w:val="004E2C3F"/>
    <w:rsid w:val="004E3C4F"/>
    <w:rsid w:val="004E4F84"/>
    <w:rsid w:val="004E51D8"/>
    <w:rsid w:val="004E53E8"/>
    <w:rsid w:val="004E6134"/>
    <w:rsid w:val="004E6686"/>
    <w:rsid w:val="004E7636"/>
    <w:rsid w:val="004E7637"/>
    <w:rsid w:val="004E78DA"/>
    <w:rsid w:val="004F0629"/>
    <w:rsid w:val="004F0745"/>
    <w:rsid w:val="004F08D9"/>
    <w:rsid w:val="004F141E"/>
    <w:rsid w:val="004F174B"/>
    <w:rsid w:val="004F347B"/>
    <w:rsid w:val="004F36EC"/>
    <w:rsid w:val="004F44AE"/>
    <w:rsid w:val="004F45DA"/>
    <w:rsid w:val="004F4A3D"/>
    <w:rsid w:val="004F538C"/>
    <w:rsid w:val="004F53DF"/>
    <w:rsid w:val="004F57AE"/>
    <w:rsid w:val="004F6D28"/>
    <w:rsid w:val="004F72CE"/>
    <w:rsid w:val="004F779E"/>
    <w:rsid w:val="004F7F7F"/>
    <w:rsid w:val="005008A0"/>
    <w:rsid w:val="00500E26"/>
    <w:rsid w:val="0050226A"/>
    <w:rsid w:val="0050234D"/>
    <w:rsid w:val="00502564"/>
    <w:rsid w:val="00502890"/>
    <w:rsid w:val="00503035"/>
    <w:rsid w:val="00503313"/>
    <w:rsid w:val="0050403F"/>
    <w:rsid w:val="00504635"/>
    <w:rsid w:val="00504A35"/>
    <w:rsid w:val="0050555D"/>
    <w:rsid w:val="0050607B"/>
    <w:rsid w:val="00506D9D"/>
    <w:rsid w:val="005074C2"/>
    <w:rsid w:val="00507C5D"/>
    <w:rsid w:val="0051052A"/>
    <w:rsid w:val="005107E4"/>
    <w:rsid w:val="005110D2"/>
    <w:rsid w:val="00511296"/>
    <w:rsid w:val="0051187D"/>
    <w:rsid w:val="005118DA"/>
    <w:rsid w:val="00511C0F"/>
    <w:rsid w:val="0051262B"/>
    <w:rsid w:val="0051360F"/>
    <w:rsid w:val="005147C2"/>
    <w:rsid w:val="00514BF1"/>
    <w:rsid w:val="00515D7A"/>
    <w:rsid w:val="0051672F"/>
    <w:rsid w:val="00516B0A"/>
    <w:rsid w:val="0052012F"/>
    <w:rsid w:val="00520500"/>
    <w:rsid w:val="005210CF"/>
    <w:rsid w:val="00521AA5"/>
    <w:rsid w:val="005223B5"/>
    <w:rsid w:val="00523644"/>
    <w:rsid w:val="005237EA"/>
    <w:rsid w:val="00523BDB"/>
    <w:rsid w:val="00524C0D"/>
    <w:rsid w:val="0052500B"/>
    <w:rsid w:val="0052631F"/>
    <w:rsid w:val="005278F6"/>
    <w:rsid w:val="00527D5E"/>
    <w:rsid w:val="005300C9"/>
    <w:rsid w:val="005317D9"/>
    <w:rsid w:val="005321E1"/>
    <w:rsid w:val="005325F1"/>
    <w:rsid w:val="005326A6"/>
    <w:rsid w:val="0053270F"/>
    <w:rsid w:val="0053292F"/>
    <w:rsid w:val="00532960"/>
    <w:rsid w:val="0053380F"/>
    <w:rsid w:val="005339E7"/>
    <w:rsid w:val="00534A28"/>
    <w:rsid w:val="005356B9"/>
    <w:rsid w:val="00535BAA"/>
    <w:rsid w:val="00536D21"/>
    <w:rsid w:val="005373C6"/>
    <w:rsid w:val="00540253"/>
    <w:rsid w:val="005402C0"/>
    <w:rsid w:val="00540B6A"/>
    <w:rsid w:val="00540C2D"/>
    <w:rsid w:val="00541241"/>
    <w:rsid w:val="005418F2"/>
    <w:rsid w:val="00542D7B"/>
    <w:rsid w:val="0054338C"/>
    <w:rsid w:val="005437AE"/>
    <w:rsid w:val="00544130"/>
    <w:rsid w:val="00544663"/>
    <w:rsid w:val="00544A95"/>
    <w:rsid w:val="00545016"/>
    <w:rsid w:val="00545248"/>
    <w:rsid w:val="005453A8"/>
    <w:rsid w:val="0054589B"/>
    <w:rsid w:val="005467BA"/>
    <w:rsid w:val="005468DB"/>
    <w:rsid w:val="00546C08"/>
    <w:rsid w:val="00547C21"/>
    <w:rsid w:val="00547D4F"/>
    <w:rsid w:val="00547D62"/>
    <w:rsid w:val="00547F5F"/>
    <w:rsid w:val="0055109E"/>
    <w:rsid w:val="00551427"/>
    <w:rsid w:val="00551968"/>
    <w:rsid w:val="00552533"/>
    <w:rsid w:val="00553F21"/>
    <w:rsid w:val="0055550A"/>
    <w:rsid w:val="00555B1A"/>
    <w:rsid w:val="00555C94"/>
    <w:rsid w:val="00555D09"/>
    <w:rsid w:val="00556AB9"/>
    <w:rsid w:val="005577B4"/>
    <w:rsid w:val="005607C5"/>
    <w:rsid w:val="00560880"/>
    <w:rsid w:val="00560C6E"/>
    <w:rsid w:val="00561D29"/>
    <w:rsid w:val="00562A93"/>
    <w:rsid w:val="00562E63"/>
    <w:rsid w:val="00562F98"/>
    <w:rsid w:val="00563371"/>
    <w:rsid w:val="00564178"/>
    <w:rsid w:val="00564C66"/>
    <w:rsid w:val="00564DB9"/>
    <w:rsid w:val="00565734"/>
    <w:rsid w:val="0056585C"/>
    <w:rsid w:val="00566B80"/>
    <w:rsid w:val="005670EC"/>
    <w:rsid w:val="00570690"/>
    <w:rsid w:val="00570839"/>
    <w:rsid w:val="005708A8"/>
    <w:rsid w:val="00570B43"/>
    <w:rsid w:val="005719E7"/>
    <w:rsid w:val="005724AF"/>
    <w:rsid w:val="00572ED1"/>
    <w:rsid w:val="00573654"/>
    <w:rsid w:val="00573B4F"/>
    <w:rsid w:val="00573B6E"/>
    <w:rsid w:val="00573F32"/>
    <w:rsid w:val="005750B5"/>
    <w:rsid w:val="00575BCC"/>
    <w:rsid w:val="00575C68"/>
    <w:rsid w:val="00575CFB"/>
    <w:rsid w:val="00576A59"/>
    <w:rsid w:val="005770FF"/>
    <w:rsid w:val="0057759C"/>
    <w:rsid w:val="00577FEF"/>
    <w:rsid w:val="00580A27"/>
    <w:rsid w:val="00580B12"/>
    <w:rsid w:val="00580C98"/>
    <w:rsid w:val="00580FC7"/>
    <w:rsid w:val="00581D42"/>
    <w:rsid w:val="00582593"/>
    <w:rsid w:val="005829C4"/>
    <w:rsid w:val="005832FF"/>
    <w:rsid w:val="0058334A"/>
    <w:rsid w:val="00583AEB"/>
    <w:rsid w:val="00583D84"/>
    <w:rsid w:val="00583FE2"/>
    <w:rsid w:val="00584F61"/>
    <w:rsid w:val="00585460"/>
    <w:rsid w:val="00585664"/>
    <w:rsid w:val="0058575A"/>
    <w:rsid w:val="00585B3C"/>
    <w:rsid w:val="00585D16"/>
    <w:rsid w:val="005865BC"/>
    <w:rsid w:val="005866F8"/>
    <w:rsid w:val="00586FB8"/>
    <w:rsid w:val="0058756B"/>
    <w:rsid w:val="005876E7"/>
    <w:rsid w:val="00587C36"/>
    <w:rsid w:val="00590509"/>
    <w:rsid w:val="00590BB7"/>
    <w:rsid w:val="00590F23"/>
    <w:rsid w:val="005913E7"/>
    <w:rsid w:val="005921B2"/>
    <w:rsid w:val="00592AF2"/>
    <w:rsid w:val="00592EBE"/>
    <w:rsid w:val="00592F34"/>
    <w:rsid w:val="00593179"/>
    <w:rsid w:val="005934B8"/>
    <w:rsid w:val="00593637"/>
    <w:rsid w:val="00593EF1"/>
    <w:rsid w:val="005942E6"/>
    <w:rsid w:val="00594869"/>
    <w:rsid w:val="00594F05"/>
    <w:rsid w:val="00594F81"/>
    <w:rsid w:val="005958C1"/>
    <w:rsid w:val="005960B0"/>
    <w:rsid w:val="0059614A"/>
    <w:rsid w:val="0059701F"/>
    <w:rsid w:val="005A3460"/>
    <w:rsid w:val="005A4727"/>
    <w:rsid w:val="005A47CA"/>
    <w:rsid w:val="005A49F6"/>
    <w:rsid w:val="005A4D78"/>
    <w:rsid w:val="005A6527"/>
    <w:rsid w:val="005A6DCE"/>
    <w:rsid w:val="005A79DD"/>
    <w:rsid w:val="005A7BB1"/>
    <w:rsid w:val="005A7EF4"/>
    <w:rsid w:val="005B0143"/>
    <w:rsid w:val="005B1343"/>
    <w:rsid w:val="005B1E74"/>
    <w:rsid w:val="005B1EFE"/>
    <w:rsid w:val="005B24DA"/>
    <w:rsid w:val="005B2678"/>
    <w:rsid w:val="005B4CB9"/>
    <w:rsid w:val="005B5235"/>
    <w:rsid w:val="005B5519"/>
    <w:rsid w:val="005B5A57"/>
    <w:rsid w:val="005B5E10"/>
    <w:rsid w:val="005B5EBB"/>
    <w:rsid w:val="005B5F2D"/>
    <w:rsid w:val="005B5FBF"/>
    <w:rsid w:val="005B67EB"/>
    <w:rsid w:val="005B73D4"/>
    <w:rsid w:val="005B78BD"/>
    <w:rsid w:val="005C0E36"/>
    <w:rsid w:val="005C147E"/>
    <w:rsid w:val="005C23FD"/>
    <w:rsid w:val="005C263A"/>
    <w:rsid w:val="005C26CB"/>
    <w:rsid w:val="005C3949"/>
    <w:rsid w:val="005C4015"/>
    <w:rsid w:val="005C50F3"/>
    <w:rsid w:val="005C6148"/>
    <w:rsid w:val="005C725E"/>
    <w:rsid w:val="005C73DE"/>
    <w:rsid w:val="005D0747"/>
    <w:rsid w:val="005D0B82"/>
    <w:rsid w:val="005D0C5C"/>
    <w:rsid w:val="005D1319"/>
    <w:rsid w:val="005D1482"/>
    <w:rsid w:val="005D1C35"/>
    <w:rsid w:val="005D1D95"/>
    <w:rsid w:val="005D28AD"/>
    <w:rsid w:val="005D37EC"/>
    <w:rsid w:val="005D40E2"/>
    <w:rsid w:val="005D40F8"/>
    <w:rsid w:val="005D51BF"/>
    <w:rsid w:val="005D560A"/>
    <w:rsid w:val="005D5768"/>
    <w:rsid w:val="005D58F9"/>
    <w:rsid w:val="005D5932"/>
    <w:rsid w:val="005D5E7F"/>
    <w:rsid w:val="005D61A9"/>
    <w:rsid w:val="005D62A1"/>
    <w:rsid w:val="005D68EF"/>
    <w:rsid w:val="005D693A"/>
    <w:rsid w:val="005D69EF"/>
    <w:rsid w:val="005E0006"/>
    <w:rsid w:val="005E00BD"/>
    <w:rsid w:val="005E0B94"/>
    <w:rsid w:val="005E16B1"/>
    <w:rsid w:val="005E1922"/>
    <w:rsid w:val="005E2996"/>
    <w:rsid w:val="005E2E28"/>
    <w:rsid w:val="005E34B9"/>
    <w:rsid w:val="005E3742"/>
    <w:rsid w:val="005E3E9C"/>
    <w:rsid w:val="005E3F56"/>
    <w:rsid w:val="005E3FD1"/>
    <w:rsid w:val="005E4821"/>
    <w:rsid w:val="005E4B7F"/>
    <w:rsid w:val="005E4BFA"/>
    <w:rsid w:val="005E508C"/>
    <w:rsid w:val="005E5271"/>
    <w:rsid w:val="005E5B61"/>
    <w:rsid w:val="005E5E71"/>
    <w:rsid w:val="005E6F54"/>
    <w:rsid w:val="005E7166"/>
    <w:rsid w:val="005E7667"/>
    <w:rsid w:val="005E78D2"/>
    <w:rsid w:val="005F0162"/>
    <w:rsid w:val="005F057D"/>
    <w:rsid w:val="005F0AAB"/>
    <w:rsid w:val="005F130C"/>
    <w:rsid w:val="005F31E6"/>
    <w:rsid w:val="005F4717"/>
    <w:rsid w:val="005F4B1B"/>
    <w:rsid w:val="005F4B58"/>
    <w:rsid w:val="005F56A6"/>
    <w:rsid w:val="005F6163"/>
    <w:rsid w:val="005F68EB"/>
    <w:rsid w:val="005F6DFA"/>
    <w:rsid w:val="005F7236"/>
    <w:rsid w:val="005F7DE4"/>
    <w:rsid w:val="00600B16"/>
    <w:rsid w:val="00600CAD"/>
    <w:rsid w:val="00601097"/>
    <w:rsid w:val="006011B3"/>
    <w:rsid w:val="00601E3E"/>
    <w:rsid w:val="0060272F"/>
    <w:rsid w:val="00603A88"/>
    <w:rsid w:val="00603F85"/>
    <w:rsid w:val="0060430C"/>
    <w:rsid w:val="00605870"/>
    <w:rsid w:val="00605B16"/>
    <w:rsid w:val="006064FA"/>
    <w:rsid w:val="00606DE9"/>
    <w:rsid w:val="006075D4"/>
    <w:rsid w:val="00607690"/>
    <w:rsid w:val="00607741"/>
    <w:rsid w:val="00607ABE"/>
    <w:rsid w:val="00610508"/>
    <w:rsid w:val="00610BA2"/>
    <w:rsid w:val="00610F83"/>
    <w:rsid w:val="00611743"/>
    <w:rsid w:val="00611E09"/>
    <w:rsid w:val="006122B5"/>
    <w:rsid w:val="00612831"/>
    <w:rsid w:val="00612B48"/>
    <w:rsid w:val="00613ABF"/>
    <w:rsid w:val="00614318"/>
    <w:rsid w:val="00614943"/>
    <w:rsid w:val="006166B0"/>
    <w:rsid w:val="00617068"/>
    <w:rsid w:val="00617B5B"/>
    <w:rsid w:val="00617E1D"/>
    <w:rsid w:val="00617EF1"/>
    <w:rsid w:val="00620D99"/>
    <w:rsid w:val="006215E2"/>
    <w:rsid w:val="006217AB"/>
    <w:rsid w:val="00621FA0"/>
    <w:rsid w:val="00622D9F"/>
    <w:rsid w:val="00622F4E"/>
    <w:rsid w:val="00623A73"/>
    <w:rsid w:val="00624562"/>
    <w:rsid w:val="00624686"/>
    <w:rsid w:val="00624D19"/>
    <w:rsid w:val="00624E99"/>
    <w:rsid w:val="00624F28"/>
    <w:rsid w:val="00624F6B"/>
    <w:rsid w:val="006252FF"/>
    <w:rsid w:val="00625561"/>
    <w:rsid w:val="00626E2E"/>
    <w:rsid w:val="00630106"/>
    <w:rsid w:val="00630E2A"/>
    <w:rsid w:val="006311FC"/>
    <w:rsid w:val="0063161C"/>
    <w:rsid w:val="00631648"/>
    <w:rsid w:val="00631A12"/>
    <w:rsid w:val="00631D3D"/>
    <w:rsid w:val="00633341"/>
    <w:rsid w:val="006338BF"/>
    <w:rsid w:val="00633FAD"/>
    <w:rsid w:val="006347AB"/>
    <w:rsid w:val="00634DCC"/>
    <w:rsid w:val="00634F10"/>
    <w:rsid w:val="00635602"/>
    <w:rsid w:val="00635A1B"/>
    <w:rsid w:val="00635C70"/>
    <w:rsid w:val="00635F5D"/>
    <w:rsid w:val="00635F7B"/>
    <w:rsid w:val="00636407"/>
    <w:rsid w:val="00636DA1"/>
    <w:rsid w:val="00637081"/>
    <w:rsid w:val="006379E3"/>
    <w:rsid w:val="00637BCC"/>
    <w:rsid w:val="0064015B"/>
    <w:rsid w:val="006406BD"/>
    <w:rsid w:val="00640DE8"/>
    <w:rsid w:val="006410DD"/>
    <w:rsid w:val="00641608"/>
    <w:rsid w:val="006418FC"/>
    <w:rsid w:val="006419C6"/>
    <w:rsid w:val="00641C1F"/>
    <w:rsid w:val="00641FA7"/>
    <w:rsid w:val="00642016"/>
    <w:rsid w:val="00642713"/>
    <w:rsid w:val="0064369F"/>
    <w:rsid w:val="006442E5"/>
    <w:rsid w:val="0064444A"/>
    <w:rsid w:val="00644B3F"/>
    <w:rsid w:val="00645FE2"/>
    <w:rsid w:val="006464B6"/>
    <w:rsid w:val="00646BE4"/>
    <w:rsid w:val="00646ED7"/>
    <w:rsid w:val="006507CA"/>
    <w:rsid w:val="00650A4E"/>
    <w:rsid w:val="00650CDE"/>
    <w:rsid w:val="0065168D"/>
    <w:rsid w:val="006519B5"/>
    <w:rsid w:val="00651D1B"/>
    <w:rsid w:val="006524C2"/>
    <w:rsid w:val="00653099"/>
    <w:rsid w:val="00653D17"/>
    <w:rsid w:val="00653F57"/>
    <w:rsid w:val="00655469"/>
    <w:rsid w:val="00656E81"/>
    <w:rsid w:val="00656FB0"/>
    <w:rsid w:val="00660D2E"/>
    <w:rsid w:val="0066115C"/>
    <w:rsid w:val="006618FD"/>
    <w:rsid w:val="00662AC3"/>
    <w:rsid w:val="0066396F"/>
    <w:rsid w:val="00663DE0"/>
    <w:rsid w:val="00663DE2"/>
    <w:rsid w:val="00664350"/>
    <w:rsid w:val="00664416"/>
    <w:rsid w:val="0066457C"/>
    <w:rsid w:val="00664590"/>
    <w:rsid w:val="00664770"/>
    <w:rsid w:val="00665309"/>
    <w:rsid w:val="00665D49"/>
    <w:rsid w:val="0066614A"/>
    <w:rsid w:val="00666679"/>
    <w:rsid w:val="006667CF"/>
    <w:rsid w:val="00666D67"/>
    <w:rsid w:val="0066712E"/>
    <w:rsid w:val="00667795"/>
    <w:rsid w:val="0066786B"/>
    <w:rsid w:val="0066799E"/>
    <w:rsid w:val="00670256"/>
    <w:rsid w:val="00670353"/>
    <w:rsid w:val="00670EA1"/>
    <w:rsid w:val="006714A0"/>
    <w:rsid w:val="00671554"/>
    <w:rsid w:val="006720C8"/>
    <w:rsid w:val="0067266D"/>
    <w:rsid w:val="00674293"/>
    <w:rsid w:val="006749E5"/>
    <w:rsid w:val="006752D7"/>
    <w:rsid w:val="006763B9"/>
    <w:rsid w:val="00676AD5"/>
    <w:rsid w:val="00676B6B"/>
    <w:rsid w:val="0068014F"/>
    <w:rsid w:val="006805D4"/>
    <w:rsid w:val="0068131D"/>
    <w:rsid w:val="00681C0C"/>
    <w:rsid w:val="006820ED"/>
    <w:rsid w:val="00682285"/>
    <w:rsid w:val="006826DB"/>
    <w:rsid w:val="00682787"/>
    <w:rsid w:val="00682BEA"/>
    <w:rsid w:val="00682D39"/>
    <w:rsid w:val="00685415"/>
    <w:rsid w:val="0068559E"/>
    <w:rsid w:val="0068574C"/>
    <w:rsid w:val="00686324"/>
    <w:rsid w:val="00686FEC"/>
    <w:rsid w:val="00687023"/>
    <w:rsid w:val="006878C3"/>
    <w:rsid w:val="00687C19"/>
    <w:rsid w:val="00690497"/>
    <w:rsid w:val="006905DB"/>
    <w:rsid w:val="00690C87"/>
    <w:rsid w:val="00690D99"/>
    <w:rsid w:val="00690F52"/>
    <w:rsid w:val="00691570"/>
    <w:rsid w:val="00691587"/>
    <w:rsid w:val="0069191E"/>
    <w:rsid w:val="0069197D"/>
    <w:rsid w:val="00691AAD"/>
    <w:rsid w:val="00691BD4"/>
    <w:rsid w:val="006925EC"/>
    <w:rsid w:val="0069292C"/>
    <w:rsid w:val="00692B32"/>
    <w:rsid w:val="00693258"/>
    <w:rsid w:val="00693781"/>
    <w:rsid w:val="00693E55"/>
    <w:rsid w:val="0069476C"/>
    <w:rsid w:val="006957C1"/>
    <w:rsid w:val="00696572"/>
    <w:rsid w:val="006968FC"/>
    <w:rsid w:val="0069701D"/>
    <w:rsid w:val="00697ADD"/>
    <w:rsid w:val="006A0097"/>
    <w:rsid w:val="006A0BCB"/>
    <w:rsid w:val="006A0E5A"/>
    <w:rsid w:val="006A0EE5"/>
    <w:rsid w:val="006A1DCB"/>
    <w:rsid w:val="006A20E2"/>
    <w:rsid w:val="006A3122"/>
    <w:rsid w:val="006A4B33"/>
    <w:rsid w:val="006A5B2E"/>
    <w:rsid w:val="006A5D0E"/>
    <w:rsid w:val="006A60CE"/>
    <w:rsid w:val="006A6147"/>
    <w:rsid w:val="006A6534"/>
    <w:rsid w:val="006A723D"/>
    <w:rsid w:val="006A75D1"/>
    <w:rsid w:val="006B01A1"/>
    <w:rsid w:val="006B0760"/>
    <w:rsid w:val="006B0B73"/>
    <w:rsid w:val="006B0E88"/>
    <w:rsid w:val="006B0FCE"/>
    <w:rsid w:val="006B10DC"/>
    <w:rsid w:val="006B113B"/>
    <w:rsid w:val="006B1E5A"/>
    <w:rsid w:val="006B209B"/>
    <w:rsid w:val="006B39BB"/>
    <w:rsid w:val="006B3BC8"/>
    <w:rsid w:val="006B4C0C"/>
    <w:rsid w:val="006B5011"/>
    <w:rsid w:val="006B53B3"/>
    <w:rsid w:val="006B58EA"/>
    <w:rsid w:val="006B5F76"/>
    <w:rsid w:val="006B7EDC"/>
    <w:rsid w:val="006C01EE"/>
    <w:rsid w:val="006C022D"/>
    <w:rsid w:val="006C0C58"/>
    <w:rsid w:val="006C0E04"/>
    <w:rsid w:val="006C10BD"/>
    <w:rsid w:val="006C178B"/>
    <w:rsid w:val="006C198A"/>
    <w:rsid w:val="006C2341"/>
    <w:rsid w:val="006C271B"/>
    <w:rsid w:val="006C2A2A"/>
    <w:rsid w:val="006C2C33"/>
    <w:rsid w:val="006C2FBB"/>
    <w:rsid w:val="006C3DBC"/>
    <w:rsid w:val="006C3E01"/>
    <w:rsid w:val="006C4139"/>
    <w:rsid w:val="006C42DF"/>
    <w:rsid w:val="006C4CE1"/>
    <w:rsid w:val="006C52BD"/>
    <w:rsid w:val="006C590B"/>
    <w:rsid w:val="006C61F3"/>
    <w:rsid w:val="006C686F"/>
    <w:rsid w:val="006C6A10"/>
    <w:rsid w:val="006C6F9C"/>
    <w:rsid w:val="006C710C"/>
    <w:rsid w:val="006C7A09"/>
    <w:rsid w:val="006C7BD4"/>
    <w:rsid w:val="006D04FD"/>
    <w:rsid w:val="006D0636"/>
    <w:rsid w:val="006D1280"/>
    <w:rsid w:val="006D2098"/>
    <w:rsid w:val="006D287F"/>
    <w:rsid w:val="006D2994"/>
    <w:rsid w:val="006D2B85"/>
    <w:rsid w:val="006D2E13"/>
    <w:rsid w:val="006D3F61"/>
    <w:rsid w:val="006D43B5"/>
    <w:rsid w:val="006D4CFE"/>
    <w:rsid w:val="006D4E95"/>
    <w:rsid w:val="006D5061"/>
    <w:rsid w:val="006D579F"/>
    <w:rsid w:val="006D5865"/>
    <w:rsid w:val="006D5BE0"/>
    <w:rsid w:val="006D5EBA"/>
    <w:rsid w:val="006D6602"/>
    <w:rsid w:val="006D6A15"/>
    <w:rsid w:val="006D6B7C"/>
    <w:rsid w:val="006D6B95"/>
    <w:rsid w:val="006D705D"/>
    <w:rsid w:val="006D7C07"/>
    <w:rsid w:val="006D7CEF"/>
    <w:rsid w:val="006E0131"/>
    <w:rsid w:val="006E058A"/>
    <w:rsid w:val="006E0B0A"/>
    <w:rsid w:val="006E1070"/>
    <w:rsid w:val="006E1359"/>
    <w:rsid w:val="006E1436"/>
    <w:rsid w:val="006E1470"/>
    <w:rsid w:val="006E1EDD"/>
    <w:rsid w:val="006E22AF"/>
    <w:rsid w:val="006E33CC"/>
    <w:rsid w:val="006E42F3"/>
    <w:rsid w:val="006E4769"/>
    <w:rsid w:val="006E52BC"/>
    <w:rsid w:val="006E55C9"/>
    <w:rsid w:val="006E59BD"/>
    <w:rsid w:val="006E5C06"/>
    <w:rsid w:val="006E63E9"/>
    <w:rsid w:val="006E6CF3"/>
    <w:rsid w:val="006E6E3B"/>
    <w:rsid w:val="006F146F"/>
    <w:rsid w:val="006F2315"/>
    <w:rsid w:val="006F2F7D"/>
    <w:rsid w:val="006F32EC"/>
    <w:rsid w:val="006F380C"/>
    <w:rsid w:val="006F38B6"/>
    <w:rsid w:val="006F3A71"/>
    <w:rsid w:val="006F4030"/>
    <w:rsid w:val="006F452D"/>
    <w:rsid w:val="006F53B1"/>
    <w:rsid w:val="006F53FD"/>
    <w:rsid w:val="006F5546"/>
    <w:rsid w:val="006F555E"/>
    <w:rsid w:val="006F5684"/>
    <w:rsid w:val="006F5BE8"/>
    <w:rsid w:val="006F62DD"/>
    <w:rsid w:val="006F6590"/>
    <w:rsid w:val="006F6BF5"/>
    <w:rsid w:val="006F7885"/>
    <w:rsid w:val="006F7AD2"/>
    <w:rsid w:val="006F7FC7"/>
    <w:rsid w:val="007002E9"/>
    <w:rsid w:val="00702C23"/>
    <w:rsid w:val="007035EB"/>
    <w:rsid w:val="00703812"/>
    <w:rsid w:val="0070480F"/>
    <w:rsid w:val="0070516E"/>
    <w:rsid w:val="007053BD"/>
    <w:rsid w:val="007061D0"/>
    <w:rsid w:val="007064C5"/>
    <w:rsid w:val="007067C4"/>
    <w:rsid w:val="00707110"/>
    <w:rsid w:val="00707476"/>
    <w:rsid w:val="0070761D"/>
    <w:rsid w:val="0070793A"/>
    <w:rsid w:val="00707DF3"/>
    <w:rsid w:val="007100BD"/>
    <w:rsid w:val="0071027C"/>
    <w:rsid w:val="007103E4"/>
    <w:rsid w:val="00710AF4"/>
    <w:rsid w:val="00711474"/>
    <w:rsid w:val="0071160A"/>
    <w:rsid w:val="0071216C"/>
    <w:rsid w:val="0071248F"/>
    <w:rsid w:val="00712AA2"/>
    <w:rsid w:val="00712EDE"/>
    <w:rsid w:val="00712F22"/>
    <w:rsid w:val="007136AD"/>
    <w:rsid w:val="00713B82"/>
    <w:rsid w:val="007140DD"/>
    <w:rsid w:val="007140EA"/>
    <w:rsid w:val="007141C9"/>
    <w:rsid w:val="007146F6"/>
    <w:rsid w:val="00715ED8"/>
    <w:rsid w:val="00716214"/>
    <w:rsid w:val="00716257"/>
    <w:rsid w:val="007162D2"/>
    <w:rsid w:val="007165EB"/>
    <w:rsid w:val="007168A9"/>
    <w:rsid w:val="00716985"/>
    <w:rsid w:val="00717D00"/>
    <w:rsid w:val="00717DBE"/>
    <w:rsid w:val="00717F9B"/>
    <w:rsid w:val="00720033"/>
    <w:rsid w:val="0072204F"/>
    <w:rsid w:val="00722151"/>
    <w:rsid w:val="0072256C"/>
    <w:rsid w:val="00723F98"/>
    <w:rsid w:val="0072438C"/>
    <w:rsid w:val="007249D0"/>
    <w:rsid w:val="00724AFA"/>
    <w:rsid w:val="007265DB"/>
    <w:rsid w:val="007272CC"/>
    <w:rsid w:val="0073080E"/>
    <w:rsid w:val="00730A12"/>
    <w:rsid w:val="00731377"/>
    <w:rsid w:val="0073185C"/>
    <w:rsid w:val="00732034"/>
    <w:rsid w:val="00732890"/>
    <w:rsid w:val="00733E10"/>
    <w:rsid w:val="00734444"/>
    <w:rsid w:val="00734AA5"/>
    <w:rsid w:val="00735119"/>
    <w:rsid w:val="00735154"/>
    <w:rsid w:val="00735ECF"/>
    <w:rsid w:val="007362D6"/>
    <w:rsid w:val="00736F17"/>
    <w:rsid w:val="0074035D"/>
    <w:rsid w:val="00740F44"/>
    <w:rsid w:val="00741178"/>
    <w:rsid w:val="007416EE"/>
    <w:rsid w:val="00742E47"/>
    <w:rsid w:val="00742F51"/>
    <w:rsid w:val="0074372B"/>
    <w:rsid w:val="00743FF9"/>
    <w:rsid w:val="00744252"/>
    <w:rsid w:val="00744559"/>
    <w:rsid w:val="007445D8"/>
    <w:rsid w:val="00744867"/>
    <w:rsid w:val="00744B5D"/>
    <w:rsid w:val="00744EAC"/>
    <w:rsid w:val="007450B7"/>
    <w:rsid w:val="007462FF"/>
    <w:rsid w:val="007464D5"/>
    <w:rsid w:val="00746919"/>
    <w:rsid w:val="00746A3E"/>
    <w:rsid w:val="00746AED"/>
    <w:rsid w:val="00747A5C"/>
    <w:rsid w:val="00747B4F"/>
    <w:rsid w:val="00747D68"/>
    <w:rsid w:val="007504F4"/>
    <w:rsid w:val="00750647"/>
    <w:rsid w:val="00750731"/>
    <w:rsid w:val="007526E1"/>
    <w:rsid w:val="00752702"/>
    <w:rsid w:val="00752DD0"/>
    <w:rsid w:val="0075403E"/>
    <w:rsid w:val="0075473D"/>
    <w:rsid w:val="00754A00"/>
    <w:rsid w:val="0075645B"/>
    <w:rsid w:val="0075736F"/>
    <w:rsid w:val="00760653"/>
    <w:rsid w:val="007607AF"/>
    <w:rsid w:val="0076128D"/>
    <w:rsid w:val="007624EF"/>
    <w:rsid w:val="00762B52"/>
    <w:rsid w:val="00762D4C"/>
    <w:rsid w:val="007630FF"/>
    <w:rsid w:val="0076316B"/>
    <w:rsid w:val="007631B6"/>
    <w:rsid w:val="00763301"/>
    <w:rsid w:val="007634AC"/>
    <w:rsid w:val="00763C1E"/>
    <w:rsid w:val="0076428D"/>
    <w:rsid w:val="007644FF"/>
    <w:rsid w:val="00764A8C"/>
    <w:rsid w:val="00764CBD"/>
    <w:rsid w:val="00764DC7"/>
    <w:rsid w:val="007650FD"/>
    <w:rsid w:val="007655FC"/>
    <w:rsid w:val="00765C79"/>
    <w:rsid w:val="00765F2C"/>
    <w:rsid w:val="007663D2"/>
    <w:rsid w:val="00766519"/>
    <w:rsid w:val="00766AD8"/>
    <w:rsid w:val="007671EF"/>
    <w:rsid w:val="007677FD"/>
    <w:rsid w:val="00767BD7"/>
    <w:rsid w:val="0077001B"/>
    <w:rsid w:val="00770131"/>
    <w:rsid w:val="0077039B"/>
    <w:rsid w:val="007715D0"/>
    <w:rsid w:val="0077162A"/>
    <w:rsid w:val="00771989"/>
    <w:rsid w:val="00771A4D"/>
    <w:rsid w:val="00771DB1"/>
    <w:rsid w:val="00773D89"/>
    <w:rsid w:val="007742DE"/>
    <w:rsid w:val="00775418"/>
    <w:rsid w:val="00775713"/>
    <w:rsid w:val="0077593E"/>
    <w:rsid w:val="00775A01"/>
    <w:rsid w:val="00775F3F"/>
    <w:rsid w:val="0077603A"/>
    <w:rsid w:val="00776078"/>
    <w:rsid w:val="007765F9"/>
    <w:rsid w:val="0077680A"/>
    <w:rsid w:val="007774BC"/>
    <w:rsid w:val="00777CC6"/>
    <w:rsid w:val="00781102"/>
    <w:rsid w:val="007811B6"/>
    <w:rsid w:val="00782280"/>
    <w:rsid w:val="00782470"/>
    <w:rsid w:val="00783390"/>
    <w:rsid w:val="0078397F"/>
    <w:rsid w:val="00784223"/>
    <w:rsid w:val="00785B10"/>
    <w:rsid w:val="00785C9B"/>
    <w:rsid w:val="00785D13"/>
    <w:rsid w:val="00786A1F"/>
    <w:rsid w:val="00786AD7"/>
    <w:rsid w:val="00787846"/>
    <w:rsid w:val="00787E18"/>
    <w:rsid w:val="00790446"/>
    <w:rsid w:val="00791D48"/>
    <w:rsid w:val="00791EBF"/>
    <w:rsid w:val="0079205D"/>
    <w:rsid w:val="007924B9"/>
    <w:rsid w:val="007930BD"/>
    <w:rsid w:val="007936EF"/>
    <w:rsid w:val="00793EFD"/>
    <w:rsid w:val="0079450B"/>
    <w:rsid w:val="00795081"/>
    <w:rsid w:val="00795749"/>
    <w:rsid w:val="0079642A"/>
    <w:rsid w:val="00796525"/>
    <w:rsid w:val="007967AA"/>
    <w:rsid w:val="00796CDF"/>
    <w:rsid w:val="00797245"/>
    <w:rsid w:val="00797C1A"/>
    <w:rsid w:val="00797E06"/>
    <w:rsid w:val="007A09D4"/>
    <w:rsid w:val="007A0A43"/>
    <w:rsid w:val="007A0AB1"/>
    <w:rsid w:val="007A0ADB"/>
    <w:rsid w:val="007A0E24"/>
    <w:rsid w:val="007A1883"/>
    <w:rsid w:val="007A1C08"/>
    <w:rsid w:val="007A3071"/>
    <w:rsid w:val="007A351A"/>
    <w:rsid w:val="007A372F"/>
    <w:rsid w:val="007A37DB"/>
    <w:rsid w:val="007A3AB0"/>
    <w:rsid w:val="007A413C"/>
    <w:rsid w:val="007A48F9"/>
    <w:rsid w:val="007A4A8E"/>
    <w:rsid w:val="007A652B"/>
    <w:rsid w:val="007A7EA2"/>
    <w:rsid w:val="007B049A"/>
    <w:rsid w:val="007B0F26"/>
    <w:rsid w:val="007B1A5C"/>
    <w:rsid w:val="007B1AB4"/>
    <w:rsid w:val="007B1F68"/>
    <w:rsid w:val="007B3866"/>
    <w:rsid w:val="007B4DF5"/>
    <w:rsid w:val="007B5115"/>
    <w:rsid w:val="007B5330"/>
    <w:rsid w:val="007B6DF6"/>
    <w:rsid w:val="007B76AC"/>
    <w:rsid w:val="007B779A"/>
    <w:rsid w:val="007B78E8"/>
    <w:rsid w:val="007C00B5"/>
    <w:rsid w:val="007C0CC1"/>
    <w:rsid w:val="007C1014"/>
    <w:rsid w:val="007C1724"/>
    <w:rsid w:val="007C2DB8"/>
    <w:rsid w:val="007C38F5"/>
    <w:rsid w:val="007C3DEB"/>
    <w:rsid w:val="007C664C"/>
    <w:rsid w:val="007C768C"/>
    <w:rsid w:val="007D0324"/>
    <w:rsid w:val="007D0C8E"/>
    <w:rsid w:val="007D1C0C"/>
    <w:rsid w:val="007D1F9F"/>
    <w:rsid w:val="007D27FE"/>
    <w:rsid w:val="007D44BD"/>
    <w:rsid w:val="007D4747"/>
    <w:rsid w:val="007D512C"/>
    <w:rsid w:val="007D540C"/>
    <w:rsid w:val="007D5B35"/>
    <w:rsid w:val="007D62A0"/>
    <w:rsid w:val="007D64A5"/>
    <w:rsid w:val="007D678B"/>
    <w:rsid w:val="007D6A3E"/>
    <w:rsid w:val="007D6E6E"/>
    <w:rsid w:val="007D7793"/>
    <w:rsid w:val="007E10CA"/>
    <w:rsid w:val="007E10D7"/>
    <w:rsid w:val="007E17A5"/>
    <w:rsid w:val="007E2AC6"/>
    <w:rsid w:val="007E32AC"/>
    <w:rsid w:val="007E38C6"/>
    <w:rsid w:val="007E40E5"/>
    <w:rsid w:val="007E4163"/>
    <w:rsid w:val="007E4213"/>
    <w:rsid w:val="007E4D55"/>
    <w:rsid w:val="007E550F"/>
    <w:rsid w:val="007E57C6"/>
    <w:rsid w:val="007E63FF"/>
    <w:rsid w:val="007F0879"/>
    <w:rsid w:val="007F0916"/>
    <w:rsid w:val="007F0E0A"/>
    <w:rsid w:val="007F1245"/>
    <w:rsid w:val="007F2951"/>
    <w:rsid w:val="007F29E6"/>
    <w:rsid w:val="007F2BE8"/>
    <w:rsid w:val="007F2E0A"/>
    <w:rsid w:val="007F37CF"/>
    <w:rsid w:val="007F41BF"/>
    <w:rsid w:val="007F4E01"/>
    <w:rsid w:val="007F53B6"/>
    <w:rsid w:val="007F63F5"/>
    <w:rsid w:val="007F7825"/>
    <w:rsid w:val="00800890"/>
    <w:rsid w:val="00800940"/>
    <w:rsid w:val="0080097A"/>
    <w:rsid w:val="0080137D"/>
    <w:rsid w:val="00801B92"/>
    <w:rsid w:val="00802428"/>
    <w:rsid w:val="00802618"/>
    <w:rsid w:val="0080291B"/>
    <w:rsid w:val="0080476E"/>
    <w:rsid w:val="008051E7"/>
    <w:rsid w:val="0080549A"/>
    <w:rsid w:val="00805527"/>
    <w:rsid w:val="008056AB"/>
    <w:rsid w:val="00805854"/>
    <w:rsid w:val="00805ED5"/>
    <w:rsid w:val="00806579"/>
    <w:rsid w:val="008069A6"/>
    <w:rsid w:val="00807FF8"/>
    <w:rsid w:val="008100C2"/>
    <w:rsid w:val="008101BD"/>
    <w:rsid w:val="008107C7"/>
    <w:rsid w:val="00810822"/>
    <w:rsid w:val="00810FC2"/>
    <w:rsid w:val="00810FFD"/>
    <w:rsid w:val="008110DC"/>
    <w:rsid w:val="00811932"/>
    <w:rsid w:val="00813216"/>
    <w:rsid w:val="008133D7"/>
    <w:rsid w:val="00813989"/>
    <w:rsid w:val="00813C7D"/>
    <w:rsid w:val="008146D8"/>
    <w:rsid w:val="00814FD7"/>
    <w:rsid w:val="0081505C"/>
    <w:rsid w:val="00815791"/>
    <w:rsid w:val="0082029B"/>
    <w:rsid w:val="00820F6D"/>
    <w:rsid w:val="0082161C"/>
    <w:rsid w:val="00821C65"/>
    <w:rsid w:val="00822080"/>
    <w:rsid w:val="0082233A"/>
    <w:rsid w:val="0082293C"/>
    <w:rsid w:val="00822D29"/>
    <w:rsid w:val="00822DC3"/>
    <w:rsid w:val="00823102"/>
    <w:rsid w:val="008232BC"/>
    <w:rsid w:val="00823649"/>
    <w:rsid w:val="00823969"/>
    <w:rsid w:val="008239D8"/>
    <w:rsid w:val="00824146"/>
    <w:rsid w:val="00824839"/>
    <w:rsid w:val="008249F4"/>
    <w:rsid w:val="00824A6E"/>
    <w:rsid w:val="00826695"/>
    <w:rsid w:val="00827632"/>
    <w:rsid w:val="00827DE1"/>
    <w:rsid w:val="00827ED8"/>
    <w:rsid w:val="008308A0"/>
    <w:rsid w:val="00830FEF"/>
    <w:rsid w:val="00831042"/>
    <w:rsid w:val="0083146D"/>
    <w:rsid w:val="00831843"/>
    <w:rsid w:val="00831CB8"/>
    <w:rsid w:val="0083269C"/>
    <w:rsid w:val="008326F4"/>
    <w:rsid w:val="00833013"/>
    <w:rsid w:val="00833169"/>
    <w:rsid w:val="00833506"/>
    <w:rsid w:val="00833DC6"/>
    <w:rsid w:val="00833F77"/>
    <w:rsid w:val="008342B7"/>
    <w:rsid w:val="00834F47"/>
    <w:rsid w:val="00834FE8"/>
    <w:rsid w:val="0083620F"/>
    <w:rsid w:val="008364D1"/>
    <w:rsid w:val="00836990"/>
    <w:rsid w:val="00836CBF"/>
    <w:rsid w:val="00836EAE"/>
    <w:rsid w:val="00837084"/>
    <w:rsid w:val="0083721F"/>
    <w:rsid w:val="00837561"/>
    <w:rsid w:val="008377F2"/>
    <w:rsid w:val="00837B99"/>
    <w:rsid w:val="00841148"/>
    <w:rsid w:val="008412CF"/>
    <w:rsid w:val="00841332"/>
    <w:rsid w:val="00841BE7"/>
    <w:rsid w:val="00841CD6"/>
    <w:rsid w:val="00841D48"/>
    <w:rsid w:val="0084275F"/>
    <w:rsid w:val="008429F1"/>
    <w:rsid w:val="00843E4B"/>
    <w:rsid w:val="008446EB"/>
    <w:rsid w:val="0084497D"/>
    <w:rsid w:val="00845B60"/>
    <w:rsid w:val="00846BB6"/>
    <w:rsid w:val="00847C2C"/>
    <w:rsid w:val="00851B6F"/>
    <w:rsid w:val="00851CB7"/>
    <w:rsid w:val="00852907"/>
    <w:rsid w:val="00852E49"/>
    <w:rsid w:val="008531EC"/>
    <w:rsid w:val="00853D6B"/>
    <w:rsid w:val="00854997"/>
    <w:rsid w:val="008549E1"/>
    <w:rsid w:val="00854B5C"/>
    <w:rsid w:val="00855A83"/>
    <w:rsid w:val="00856F53"/>
    <w:rsid w:val="00857D60"/>
    <w:rsid w:val="008607C3"/>
    <w:rsid w:val="00861282"/>
    <w:rsid w:val="00861896"/>
    <w:rsid w:val="008618BE"/>
    <w:rsid w:val="00862182"/>
    <w:rsid w:val="008621B8"/>
    <w:rsid w:val="00863617"/>
    <w:rsid w:val="00863A41"/>
    <w:rsid w:val="00864910"/>
    <w:rsid w:val="00864E7F"/>
    <w:rsid w:val="008657D5"/>
    <w:rsid w:val="008662AD"/>
    <w:rsid w:val="00866C4A"/>
    <w:rsid w:val="00866F63"/>
    <w:rsid w:val="00866FB6"/>
    <w:rsid w:val="00867A79"/>
    <w:rsid w:val="00870A90"/>
    <w:rsid w:val="00871178"/>
    <w:rsid w:val="0087212F"/>
    <w:rsid w:val="0087241D"/>
    <w:rsid w:val="00872442"/>
    <w:rsid w:val="00872626"/>
    <w:rsid w:val="008726E4"/>
    <w:rsid w:val="00872FEE"/>
    <w:rsid w:val="00873F18"/>
    <w:rsid w:val="00873F2F"/>
    <w:rsid w:val="008742FE"/>
    <w:rsid w:val="0087488F"/>
    <w:rsid w:val="00874974"/>
    <w:rsid w:val="00874A23"/>
    <w:rsid w:val="008761C4"/>
    <w:rsid w:val="008768B9"/>
    <w:rsid w:val="008769FA"/>
    <w:rsid w:val="00877136"/>
    <w:rsid w:val="0087734C"/>
    <w:rsid w:val="008779C6"/>
    <w:rsid w:val="00877DF4"/>
    <w:rsid w:val="00877DFE"/>
    <w:rsid w:val="00877EDF"/>
    <w:rsid w:val="00880272"/>
    <w:rsid w:val="00880A1E"/>
    <w:rsid w:val="00880F97"/>
    <w:rsid w:val="00881124"/>
    <w:rsid w:val="008815B0"/>
    <w:rsid w:val="008815C4"/>
    <w:rsid w:val="00881946"/>
    <w:rsid w:val="00881C76"/>
    <w:rsid w:val="00882424"/>
    <w:rsid w:val="008824A1"/>
    <w:rsid w:val="00882DF1"/>
    <w:rsid w:val="008837A1"/>
    <w:rsid w:val="0088397E"/>
    <w:rsid w:val="00883F28"/>
    <w:rsid w:val="00884650"/>
    <w:rsid w:val="00884682"/>
    <w:rsid w:val="008846D3"/>
    <w:rsid w:val="00884C60"/>
    <w:rsid w:val="00884E53"/>
    <w:rsid w:val="00884EFC"/>
    <w:rsid w:val="0088561B"/>
    <w:rsid w:val="008861BF"/>
    <w:rsid w:val="0088648F"/>
    <w:rsid w:val="008866A6"/>
    <w:rsid w:val="008873ED"/>
    <w:rsid w:val="00887A2A"/>
    <w:rsid w:val="00890848"/>
    <w:rsid w:val="00891216"/>
    <w:rsid w:val="00891254"/>
    <w:rsid w:val="00891C52"/>
    <w:rsid w:val="00891DB9"/>
    <w:rsid w:val="008920EA"/>
    <w:rsid w:val="0089211C"/>
    <w:rsid w:val="008940D1"/>
    <w:rsid w:val="008948A4"/>
    <w:rsid w:val="00896061"/>
    <w:rsid w:val="008967D5"/>
    <w:rsid w:val="0089707D"/>
    <w:rsid w:val="00897277"/>
    <w:rsid w:val="00897613"/>
    <w:rsid w:val="008979A1"/>
    <w:rsid w:val="008A1B79"/>
    <w:rsid w:val="008A1D64"/>
    <w:rsid w:val="008A1E16"/>
    <w:rsid w:val="008A386B"/>
    <w:rsid w:val="008A3A33"/>
    <w:rsid w:val="008A3EF7"/>
    <w:rsid w:val="008A3FAC"/>
    <w:rsid w:val="008A4708"/>
    <w:rsid w:val="008A5674"/>
    <w:rsid w:val="008A63FD"/>
    <w:rsid w:val="008A6719"/>
    <w:rsid w:val="008A680B"/>
    <w:rsid w:val="008A6C68"/>
    <w:rsid w:val="008A6DF7"/>
    <w:rsid w:val="008A7A36"/>
    <w:rsid w:val="008A7A73"/>
    <w:rsid w:val="008B0671"/>
    <w:rsid w:val="008B072A"/>
    <w:rsid w:val="008B0B7A"/>
    <w:rsid w:val="008B0D9C"/>
    <w:rsid w:val="008B1CCF"/>
    <w:rsid w:val="008B2032"/>
    <w:rsid w:val="008B231A"/>
    <w:rsid w:val="008B28F8"/>
    <w:rsid w:val="008B2BFB"/>
    <w:rsid w:val="008B30EB"/>
    <w:rsid w:val="008B3D3A"/>
    <w:rsid w:val="008B3E0D"/>
    <w:rsid w:val="008B3E26"/>
    <w:rsid w:val="008B4415"/>
    <w:rsid w:val="008B44A8"/>
    <w:rsid w:val="008B47BD"/>
    <w:rsid w:val="008B4EA0"/>
    <w:rsid w:val="008B535B"/>
    <w:rsid w:val="008B583A"/>
    <w:rsid w:val="008B665A"/>
    <w:rsid w:val="008B6D1D"/>
    <w:rsid w:val="008B7FEE"/>
    <w:rsid w:val="008C0D4A"/>
    <w:rsid w:val="008C0DFC"/>
    <w:rsid w:val="008C110B"/>
    <w:rsid w:val="008C14CA"/>
    <w:rsid w:val="008C14E4"/>
    <w:rsid w:val="008C18E8"/>
    <w:rsid w:val="008C2DFE"/>
    <w:rsid w:val="008C345D"/>
    <w:rsid w:val="008C3467"/>
    <w:rsid w:val="008C4D9C"/>
    <w:rsid w:val="008C4EA4"/>
    <w:rsid w:val="008C51D1"/>
    <w:rsid w:val="008C609D"/>
    <w:rsid w:val="008C6793"/>
    <w:rsid w:val="008C762A"/>
    <w:rsid w:val="008C7651"/>
    <w:rsid w:val="008C7D1A"/>
    <w:rsid w:val="008D06C4"/>
    <w:rsid w:val="008D09F3"/>
    <w:rsid w:val="008D12FE"/>
    <w:rsid w:val="008D16B2"/>
    <w:rsid w:val="008D1CC0"/>
    <w:rsid w:val="008D3CD0"/>
    <w:rsid w:val="008D45F5"/>
    <w:rsid w:val="008D48D0"/>
    <w:rsid w:val="008D4BAB"/>
    <w:rsid w:val="008D5125"/>
    <w:rsid w:val="008D551E"/>
    <w:rsid w:val="008D5799"/>
    <w:rsid w:val="008D648D"/>
    <w:rsid w:val="008D6898"/>
    <w:rsid w:val="008D7CB9"/>
    <w:rsid w:val="008E156A"/>
    <w:rsid w:val="008E15C4"/>
    <w:rsid w:val="008E168D"/>
    <w:rsid w:val="008E1BC7"/>
    <w:rsid w:val="008E2627"/>
    <w:rsid w:val="008E2A8A"/>
    <w:rsid w:val="008E3221"/>
    <w:rsid w:val="008E3F8F"/>
    <w:rsid w:val="008E55D7"/>
    <w:rsid w:val="008E5AEC"/>
    <w:rsid w:val="008E61B7"/>
    <w:rsid w:val="008E621E"/>
    <w:rsid w:val="008E67EC"/>
    <w:rsid w:val="008E6D1D"/>
    <w:rsid w:val="008E7A3F"/>
    <w:rsid w:val="008E7BBF"/>
    <w:rsid w:val="008F0CA1"/>
    <w:rsid w:val="008F2DEB"/>
    <w:rsid w:val="008F32E3"/>
    <w:rsid w:val="008F339F"/>
    <w:rsid w:val="008F389F"/>
    <w:rsid w:val="008F4690"/>
    <w:rsid w:val="008F49F2"/>
    <w:rsid w:val="008F4E88"/>
    <w:rsid w:val="008F58C6"/>
    <w:rsid w:val="008F5CAF"/>
    <w:rsid w:val="0090083C"/>
    <w:rsid w:val="0090126E"/>
    <w:rsid w:val="00901E87"/>
    <w:rsid w:val="009029C1"/>
    <w:rsid w:val="0090300C"/>
    <w:rsid w:val="00903D16"/>
    <w:rsid w:val="009057B3"/>
    <w:rsid w:val="00905E94"/>
    <w:rsid w:val="00907AE1"/>
    <w:rsid w:val="0091101A"/>
    <w:rsid w:val="00911595"/>
    <w:rsid w:val="00911AB6"/>
    <w:rsid w:val="00911D12"/>
    <w:rsid w:val="00912955"/>
    <w:rsid w:val="00912A51"/>
    <w:rsid w:val="00912E81"/>
    <w:rsid w:val="009134D5"/>
    <w:rsid w:val="00913DEE"/>
    <w:rsid w:val="00914266"/>
    <w:rsid w:val="009143BD"/>
    <w:rsid w:val="00914AB9"/>
    <w:rsid w:val="00915932"/>
    <w:rsid w:val="00915A7C"/>
    <w:rsid w:val="00915AB0"/>
    <w:rsid w:val="009177E1"/>
    <w:rsid w:val="009179E4"/>
    <w:rsid w:val="00917F76"/>
    <w:rsid w:val="00920AB4"/>
    <w:rsid w:val="009218BB"/>
    <w:rsid w:val="00921C6A"/>
    <w:rsid w:val="00921EA2"/>
    <w:rsid w:val="00922F69"/>
    <w:rsid w:val="00923052"/>
    <w:rsid w:val="00924440"/>
    <w:rsid w:val="00924B03"/>
    <w:rsid w:val="00924D49"/>
    <w:rsid w:val="00924DCD"/>
    <w:rsid w:val="009252BE"/>
    <w:rsid w:val="00925373"/>
    <w:rsid w:val="009255B0"/>
    <w:rsid w:val="009268BF"/>
    <w:rsid w:val="00926D56"/>
    <w:rsid w:val="00927602"/>
    <w:rsid w:val="00927CE3"/>
    <w:rsid w:val="0093025B"/>
    <w:rsid w:val="009307B2"/>
    <w:rsid w:val="009341C1"/>
    <w:rsid w:val="00934E60"/>
    <w:rsid w:val="0093544B"/>
    <w:rsid w:val="00935CFE"/>
    <w:rsid w:val="00936CD8"/>
    <w:rsid w:val="00937E3F"/>
    <w:rsid w:val="00937EC3"/>
    <w:rsid w:val="00937ED3"/>
    <w:rsid w:val="009406DA"/>
    <w:rsid w:val="009414AF"/>
    <w:rsid w:val="00941D42"/>
    <w:rsid w:val="00942060"/>
    <w:rsid w:val="00942391"/>
    <w:rsid w:val="0094269E"/>
    <w:rsid w:val="00943820"/>
    <w:rsid w:val="00943D28"/>
    <w:rsid w:val="009443A1"/>
    <w:rsid w:val="009449BB"/>
    <w:rsid w:val="00944BC6"/>
    <w:rsid w:val="00945B83"/>
    <w:rsid w:val="00945BEB"/>
    <w:rsid w:val="00946215"/>
    <w:rsid w:val="00946452"/>
    <w:rsid w:val="009464DA"/>
    <w:rsid w:val="00946776"/>
    <w:rsid w:val="009501A4"/>
    <w:rsid w:val="00950968"/>
    <w:rsid w:val="00951B5A"/>
    <w:rsid w:val="00952794"/>
    <w:rsid w:val="00952D6E"/>
    <w:rsid w:val="00953269"/>
    <w:rsid w:val="00953844"/>
    <w:rsid w:val="00954208"/>
    <w:rsid w:val="00954BCD"/>
    <w:rsid w:val="00954DDC"/>
    <w:rsid w:val="00954E08"/>
    <w:rsid w:val="00955697"/>
    <w:rsid w:val="009558DB"/>
    <w:rsid w:val="00955A90"/>
    <w:rsid w:val="00956DFD"/>
    <w:rsid w:val="00957490"/>
    <w:rsid w:val="00957CE3"/>
    <w:rsid w:val="00957D94"/>
    <w:rsid w:val="00957DC5"/>
    <w:rsid w:val="00957F0B"/>
    <w:rsid w:val="0096065B"/>
    <w:rsid w:val="0096128C"/>
    <w:rsid w:val="009621AB"/>
    <w:rsid w:val="00962B7B"/>
    <w:rsid w:val="009639B3"/>
    <w:rsid w:val="00963F80"/>
    <w:rsid w:val="0096462B"/>
    <w:rsid w:val="0096511C"/>
    <w:rsid w:val="00965635"/>
    <w:rsid w:val="00965BAD"/>
    <w:rsid w:val="00965C5F"/>
    <w:rsid w:val="00966064"/>
    <w:rsid w:val="009670A7"/>
    <w:rsid w:val="00967582"/>
    <w:rsid w:val="00970D8B"/>
    <w:rsid w:val="0097190F"/>
    <w:rsid w:val="0097217A"/>
    <w:rsid w:val="0097278B"/>
    <w:rsid w:val="00973D47"/>
    <w:rsid w:val="009741D6"/>
    <w:rsid w:val="00974588"/>
    <w:rsid w:val="0097458A"/>
    <w:rsid w:val="00974AA6"/>
    <w:rsid w:val="00975CCA"/>
    <w:rsid w:val="0097634B"/>
    <w:rsid w:val="0097796B"/>
    <w:rsid w:val="00977F1A"/>
    <w:rsid w:val="00980288"/>
    <w:rsid w:val="00980361"/>
    <w:rsid w:val="00981331"/>
    <w:rsid w:val="0098275E"/>
    <w:rsid w:val="00984420"/>
    <w:rsid w:val="00984E64"/>
    <w:rsid w:val="0098565F"/>
    <w:rsid w:val="00985771"/>
    <w:rsid w:val="009864C5"/>
    <w:rsid w:val="009865A1"/>
    <w:rsid w:val="00986607"/>
    <w:rsid w:val="00986CDA"/>
    <w:rsid w:val="00990183"/>
    <w:rsid w:val="009906E6"/>
    <w:rsid w:val="0099083E"/>
    <w:rsid w:val="00990A99"/>
    <w:rsid w:val="00990B69"/>
    <w:rsid w:val="00991845"/>
    <w:rsid w:val="009921EC"/>
    <w:rsid w:val="00992537"/>
    <w:rsid w:val="0099277B"/>
    <w:rsid w:val="0099350A"/>
    <w:rsid w:val="0099488C"/>
    <w:rsid w:val="009949E3"/>
    <w:rsid w:val="00994B91"/>
    <w:rsid w:val="00995624"/>
    <w:rsid w:val="00995648"/>
    <w:rsid w:val="009964E1"/>
    <w:rsid w:val="0099724F"/>
    <w:rsid w:val="009972E3"/>
    <w:rsid w:val="009A004D"/>
    <w:rsid w:val="009A0BDF"/>
    <w:rsid w:val="009A103D"/>
    <w:rsid w:val="009A12F5"/>
    <w:rsid w:val="009A17CB"/>
    <w:rsid w:val="009A1805"/>
    <w:rsid w:val="009A1DB1"/>
    <w:rsid w:val="009A2236"/>
    <w:rsid w:val="009A2A3A"/>
    <w:rsid w:val="009A2E79"/>
    <w:rsid w:val="009A32F3"/>
    <w:rsid w:val="009A3535"/>
    <w:rsid w:val="009A370B"/>
    <w:rsid w:val="009A3760"/>
    <w:rsid w:val="009A3779"/>
    <w:rsid w:val="009A39FB"/>
    <w:rsid w:val="009A3D48"/>
    <w:rsid w:val="009A4378"/>
    <w:rsid w:val="009A4EE2"/>
    <w:rsid w:val="009A528E"/>
    <w:rsid w:val="009A54B3"/>
    <w:rsid w:val="009A5630"/>
    <w:rsid w:val="009A5F98"/>
    <w:rsid w:val="009A6621"/>
    <w:rsid w:val="009A6C05"/>
    <w:rsid w:val="009A6F6A"/>
    <w:rsid w:val="009A7184"/>
    <w:rsid w:val="009A7CB0"/>
    <w:rsid w:val="009B04DE"/>
    <w:rsid w:val="009B0A9D"/>
    <w:rsid w:val="009B1782"/>
    <w:rsid w:val="009B1D2E"/>
    <w:rsid w:val="009B3D33"/>
    <w:rsid w:val="009B4353"/>
    <w:rsid w:val="009B524A"/>
    <w:rsid w:val="009B5B5A"/>
    <w:rsid w:val="009C095C"/>
    <w:rsid w:val="009C135F"/>
    <w:rsid w:val="009C13BC"/>
    <w:rsid w:val="009C18E0"/>
    <w:rsid w:val="009C22A0"/>
    <w:rsid w:val="009C23D8"/>
    <w:rsid w:val="009C2B0C"/>
    <w:rsid w:val="009C3345"/>
    <w:rsid w:val="009C3565"/>
    <w:rsid w:val="009C3691"/>
    <w:rsid w:val="009C3754"/>
    <w:rsid w:val="009C3BE4"/>
    <w:rsid w:val="009C3CF4"/>
    <w:rsid w:val="009C4988"/>
    <w:rsid w:val="009C4EBC"/>
    <w:rsid w:val="009C4F39"/>
    <w:rsid w:val="009C53FA"/>
    <w:rsid w:val="009C5EA1"/>
    <w:rsid w:val="009C7331"/>
    <w:rsid w:val="009C7771"/>
    <w:rsid w:val="009C7B8F"/>
    <w:rsid w:val="009D00D1"/>
    <w:rsid w:val="009D069A"/>
    <w:rsid w:val="009D190A"/>
    <w:rsid w:val="009D19DB"/>
    <w:rsid w:val="009D2FE9"/>
    <w:rsid w:val="009D39E9"/>
    <w:rsid w:val="009D3F07"/>
    <w:rsid w:val="009E041F"/>
    <w:rsid w:val="009E046A"/>
    <w:rsid w:val="009E0820"/>
    <w:rsid w:val="009E1061"/>
    <w:rsid w:val="009E1622"/>
    <w:rsid w:val="009E2557"/>
    <w:rsid w:val="009E4606"/>
    <w:rsid w:val="009E5040"/>
    <w:rsid w:val="009E51C1"/>
    <w:rsid w:val="009E5BCD"/>
    <w:rsid w:val="009E682C"/>
    <w:rsid w:val="009E6FC7"/>
    <w:rsid w:val="009E72A6"/>
    <w:rsid w:val="009E75D5"/>
    <w:rsid w:val="009E7CAE"/>
    <w:rsid w:val="009F04A9"/>
    <w:rsid w:val="009F0636"/>
    <w:rsid w:val="009F13F1"/>
    <w:rsid w:val="009F183A"/>
    <w:rsid w:val="009F24B3"/>
    <w:rsid w:val="009F28F0"/>
    <w:rsid w:val="009F2991"/>
    <w:rsid w:val="009F2EBA"/>
    <w:rsid w:val="009F402D"/>
    <w:rsid w:val="009F435E"/>
    <w:rsid w:val="009F53C9"/>
    <w:rsid w:val="009F7494"/>
    <w:rsid w:val="00A006F2"/>
    <w:rsid w:val="00A00F7A"/>
    <w:rsid w:val="00A01058"/>
    <w:rsid w:val="00A01172"/>
    <w:rsid w:val="00A01422"/>
    <w:rsid w:val="00A029FA"/>
    <w:rsid w:val="00A0409E"/>
    <w:rsid w:val="00A047F4"/>
    <w:rsid w:val="00A0499A"/>
    <w:rsid w:val="00A06308"/>
    <w:rsid w:val="00A06AC8"/>
    <w:rsid w:val="00A06C5E"/>
    <w:rsid w:val="00A0774B"/>
    <w:rsid w:val="00A07A7B"/>
    <w:rsid w:val="00A07AEE"/>
    <w:rsid w:val="00A07B58"/>
    <w:rsid w:val="00A07F23"/>
    <w:rsid w:val="00A10597"/>
    <w:rsid w:val="00A11518"/>
    <w:rsid w:val="00A11EA6"/>
    <w:rsid w:val="00A125AC"/>
    <w:rsid w:val="00A12BF2"/>
    <w:rsid w:val="00A1335A"/>
    <w:rsid w:val="00A135A5"/>
    <w:rsid w:val="00A151D1"/>
    <w:rsid w:val="00A166E8"/>
    <w:rsid w:val="00A16D90"/>
    <w:rsid w:val="00A16FE1"/>
    <w:rsid w:val="00A17453"/>
    <w:rsid w:val="00A20E9F"/>
    <w:rsid w:val="00A20F59"/>
    <w:rsid w:val="00A211D6"/>
    <w:rsid w:val="00A21758"/>
    <w:rsid w:val="00A22406"/>
    <w:rsid w:val="00A22848"/>
    <w:rsid w:val="00A233B2"/>
    <w:rsid w:val="00A24534"/>
    <w:rsid w:val="00A24FA5"/>
    <w:rsid w:val="00A250BC"/>
    <w:rsid w:val="00A25328"/>
    <w:rsid w:val="00A25C25"/>
    <w:rsid w:val="00A267FC"/>
    <w:rsid w:val="00A26C34"/>
    <w:rsid w:val="00A26D13"/>
    <w:rsid w:val="00A26E43"/>
    <w:rsid w:val="00A27A83"/>
    <w:rsid w:val="00A27B88"/>
    <w:rsid w:val="00A30965"/>
    <w:rsid w:val="00A30BAE"/>
    <w:rsid w:val="00A315F7"/>
    <w:rsid w:val="00A3477D"/>
    <w:rsid w:val="00A34914"/>
    <w:rsid w:val="00A352D1"/>
    <w:rsid w:val="00A355B9"/>
    <w:rsid w:val="00A35C0D"/>
    <w:rsid w:val="00A37478"/>
    <w:rsid w:val="00A37866"/>
    <w:rsid w:val="00A37AA9"/>
    <w:rsid w:val="00A37CA0"/>
    <w:rsid w:val="00A413B7"/>
    <w:rsid w:val="00A41598"/>
    <w:rsid w:val="00A41B1A"/>
    <w:rsid w:val="00A41BF7"/>
    <w:rsid w:val="00A43761"/>
    <w:rsid w:val="00A4390C"/>
    <w:rsid w:val="00A4405D"/>
    <w:rsid w:val="00A45083"/>
    <w:rsid w:val="00A45711"/>
    <w:rsid w:val="00A45884"/>
    <w:rsid w:val="00A45AD0"/>
    <w:rsid w:val="00A46588"/>
    <w:rsid w:val="00A47C5E"/>
    <w:rsid w:val="00A47CB2"/>
    <w:rsid w:val="00A506A9"/>
    <w:rsid w:val="00A50B2C"/>
    <w:rsid w:val="00A51769"/>
    <w:rsid w:val="00A51E6D"/>
    <w:rsid w:val="00A5274A"/>
    <w:rsid w:val="00A539BD"/>
    <w:rsid w:val="00A53BBE"/>
    <w:rsid w:val="00A53C07"/>
    <w:rsid w:val="00A54AF5"/>
    <w:rsid w:val="00A54B14"/>
    <w:rsid w:val="00A557E4"/>
    <w:rsid w:val="00A55D46"/>
    <w:rsid w:val="00A5650C"/>
    <w:rsid w:val="00A566D8"/>
    <w:rsid w:val="00A57354"/>
    <w:rsid w:val="00A57E48"/>
    <w:rsid w:val="00A60088"/>
    <w:rsid w:val="00A605E9"/>
    <w:rsid w:val="00A607F2"/>
    <w:rsid w:val="00A60BDF"/>
    <w:rsid w:val="00A60F53"/>
    <w:rsid w:val="00A61C0B"/>
    <w:rsid w:val="00A61C95"/>
    <w:rsid w:val="00A62DB9"/>
    <w:rsid w:val="00A62FD4"/>
    <w:rsid w:val="00A631C4"/>
    <w:rsid w:val="00A6420E"/>
    <w:rsid w:val="00A64F2B"/>
    <w:rsid w:val="00A650D3"/>
    <w:rsid w:val="00A655E9"/>
    <w:rsid w:val="00A66426"/>
    <w:rsid w:val="00A665CB"/>
    <w:rsid w:val="00A667F7"/>
    <w:rsid w:val="00A66A13"/>
    <w:rsid w:val="00A70184"/>
    <w:rsid w:val="00A7087F"/>
    <w:rsid w:val="00A7100E"/>
    <w:rsid w:val="00A71203"/>
    <w:rsid w:val="00A71257"/>
    <w:rsid w:val="00A7248C"/>
    <w:rsid w:val="00A72A03"/>
    <w:rsid w:val="00A72AC3"/>
    <w:rsid w:val="00A72B28"/>
    <w:rsid w:val="00A72C30"/>
    <w:rsid w:val="00A735C3"/>
    <w:rsid w:val="00A73FA4"/>
    <w:rsid w:val="00A74999"/>
    <w:rsid w:val="00A749DE"/>
    <w:rsid w:val="00A751F4"/>
    <w:rsid w:val="00A75F15"/>
    <w:rsid w:val="00A76C3F"/>
    <w:rsid w:val="00A778FF"/>
    <w:rsid w:val="00A77DE3"/>
    <w:rsid w:val="00A800E5"/>
    <w:rsid w:val="00A801B3"/>
    <w:rsid w:val="00A8088E"/>
    <w:rsid w:val="00A80A2A"/>
    <w:rsid w:val="00A8138D"/>
    <w:rsid w:val="00A8150D"/>
    <w:rsid w:val="00A81D81"/>
    <w:rsid w:val="00A82A7C"/>
    <w:rsid w:val="00A82B4B"/>
    <w:rsid w:val="00A83C89"/>
    <w:rsid w:val="00A8416A"/>
    <w:rsid w:val="00A8479A"/>
    <w:rsid w:val="00A84928"/>
    <w:rsid w:val="00A8492A"/>
    <w:rsid w:val="00A85054"/>
    <w:rsid w:val="00A853DA"/>
    <w:rsid w:val="00A8550D"/>
    <w:rsid w:val="00A86770"/>
    <w:rsid w:val="00A8679E"/>
    <w:rsid w:val="00A86B66"/>
    <w:rsid w:val="00A86BFE"/>
    <w:rsid w:val="00A87198"/>
    <w:rsid w:val="00A87664"/>
    <w:rsid w:val="00A87C2B"/>
    <w:rsid w:val="00A9121F"/>
    <w:rsid w:val="00A92952"/>
    <w:rsid w:val="00A92D83"/>
    <w:rsid w:val="00A93014"/>
    <w:rsid w:val="00A938A8"/>
    <w:rsid w:val="00A93F6B"/>
    <w:rsid w:val="00A9451E"/>
    <w:rsid w:val="00A952D1"/>
    <w:rsid w:val="00A95F70"/>
    <w:rsid w:val="00A961AB"/>
    <w:rsid w:val="00A961AF"/>
    <w:rsid w:val="00A97803"/>
    <w:rsid w:val="00AA0614"/>
    <w:rsid w:val="00AA2852"/>
    <w:rsid w:val="00AA2AB8"/>
    <w:rsid w:val="00AA2CC9"/>
    <w:rsid w:val="00AA3150"/>
    <w:rsid w:val="00AA35A9"/>
    <w:rsid w:val="00AA3F98"/>
    <w:rsid w:val="00AA4683"/>
    <w:rsid w:val="00AA52D6"/>
    <w:rsid w:val="00AA54FA"/>
    <w:rsid w:val="00AA69AA"/>
    <w:rsid w:val="00AA6F61"/>
    <w:rsid w:val="00AA77C2"/>
    <w:rsid w:val="00AB0188"/>
    <w:rsid w:val="00AB04DB"/>
    <w:rsid w:val="00AB072A"/>
    <w:rsid w:val="00AB1377"/>
    <w:rsid w:val="00AB13DD"/>
    <w:rsid w:val="00AB1ECE"/>
    <w:rsid w:val="00AB2185"/>
    <w:rsid w:val="00AB21E2"/>
    <w:rsid w:val="00AB2BB9"/>
    <w:rsid w:val="00AB2D8B"/>
    <w:rsid w:val="00AB589B"/>
    <w:rsid w:val="00AB5B60"/>
    <w:rsid w:val="00AB5BF3"/>
    <w:rsid w:val="00AB6165"/>
    <w:rsid w:val="00AB6906"/>
    <w:rsid w:val="00AB6CE5"/>
    <w:rsid w:val="00AB6DDC"/>
    <w:rsid w:val="00AB79F4"/>
    <w:rsid w:val="00AC09CA"/>
    <w:rsid w:val="00AC09F0"/>
    <w:rsid w:val="00AC0B17"/>
    <w:rsid w:val="00AC0FD3"/>
    <w:rsid w:val="00AC179D"/>
    <w:rsid w:val="00AC18CB"/>
    <w:rsid w:val="00AC1900"/>
    <w:rsid w:val="00AC190C"/>
    <w:rsid w:val="00AC1FF0"/>
    <w:rsid w:val="00AC257D"/>
    <w:rsid w:val="00AC2EA9"/>
    <w:rsid w:val="00AC45F8"/>
    <w:rsid w:val="00AC4A17"/>
    <w:rsid w:val="00AC4CA2"/>
    <w:rsid w:val="00AC57DA"/>
    <w:rsid w:val="00AC5D3A"/>
    <w:rsid w:val="00AC689E"/>
    <w:rsid w:val="00AC6BE2"/>
    <w:rsid w:val="00AC7070"/>
    <w:rsid w:val="00AC766D"/>
    <w:rsid w:val="00AD0F73"/>
    <w:rsid w:val="00AD4BA3"/>
    <w:rsid w:val="00AD4CEF"/>
    <w:rsid w:val="00AD58C8"/>
    <w:rsid w:val="00AD5E92"/>
    <w:rsid w:val="00AD67DD"/>
    <w:rsid w:val="00AE141D"/>
    <w:rsid w:val="00AE1D5A"/>
    <w:rsid w:val="00AE1EBF"/>
    <w:rsid w:val="00AE1F94"/>
    <w:rsid w:val="00AE2771"/>
    <w:rsid w:val="00AE3556"/>
    <w:rsid w:val="00AE3C66"/>
    <w:rsid w:val="00AE40F7"/>
    <w:rsid w:val="00AE596B"/>
    <w:rsid w:val="00AE5B6E"/>
    <w:rsid w:val="00AE7085"/>
    <w:rsid w:val="00AE745E"/>
    <w:rsid w:val="00AE7847"/>
    <w:rsid w:val="00AE7CBC"/>
    <w:rsid w:val="00AF0419"/>
    <w:rsid w:val="00AF0DD2"/>
    <w:rsid w:val="00AF0E8D"/>
    <w:rsid w:val="00AF1250"/>
    <w:rsid w:val="00AF12C4"/>
    <w:rsid w:val="00AF12FD"/>
    <w:rsid w:val="00AF1403"/>
    <w:rsid w:val="00AF1AC5"/>
    <w:rsid w:val="00AF298B"/>
    <w:rsid w:val="00AF2D9D"/>
    <w:rsid w:val="00AF358F"/>
    <w:rsid w:val="00AF36C3"/>
    <w:rsid w:val="00AF3C8B"/>
    <w:rsid w:val="00AF43C1"/>
    <w:rsid w:val="00AF4B41"/>
    <w:rsid w:val="00AF4C6D"/>
    <w:rsid w:val="00AF4F9E"/>
    <w:rsid w:val="00AF508B"/>
    <w:rsid w:val="00AF5419"/>
    <w:rsid w:val="00AF61C3"/>
    <w:rsid w:val="00AF6CE5"/>
    <w:rsid w:val="00AF7FEF"/>
    <w:rsid w:val="00B0088C"/>
    <w:rsid w:val="00B00A6C"/>
    <w:rsid w:val="00B00ED1"/>
    <w:rsid w:val="00B01953"/>
    <w:rsid w:val="00B01998"/>
    <w:rsid w:val="00B0238F"/>
    <w:rsid w:val="00B0338B"/>
    <w:rsid w:val="00B034B0"/>
    <w:rsid w:val="00B04812"/>
    <w:rsid w:val="00B04A71"/>
    <w:rsid w:val="00B04D40"/>
    <w:rsid w:val="00B05005"/>
    <w:rsid w:val="00B05608"/>
    <w:rsid w:val="00B06009"/>
    <w:rsid w:val="00B06289"/>
    <w:rsid w:val="00B06565"/>
    <w:rsid w:val="00B07292"/>
    <w:rsid w:val="00B0772E"/>
    <w:rsid w:val="00B078C1"/>
    <w:rsid w:val="00B10AEE"/>
    <w:rsid w:val="00B111CE"/>
    <w:rsid w:val="00B111F1"/>
    <w:rsid w:val="00B113AD"/>
    <w:rsid w:val="00B113F5"/>
    <w:rsid w:val="00B12F05"/>
    <w:rsid w:val="00B130EF"/>
    <w:rsid w:val="00B13BC2"/>
    <w:rsid w:val="00B1419D"/>
    <w:rsid w:val="00B14346"/>
    <w:rsid w:val="00B15650"/>
    <w:rsid w:val="00B15997"/>
    <w:rsid w:val="00B16CFE"/>
    <w:rsid w:val="00B17781"/>
    <w:rsid w:val="00B17B94"/>
    <w:rsid w:val="00B17C77"/>
    <w:rsid w:val="00B209EC"/>
    <w:rsid w:val="00B20FB2"/>
    <w:rsid w:val="00B21466"/>
    <w:rsid w:val="00B2152C"/>
    <w:rsid w:val="00B218B7"/>
    <w:rsid w:val="00B22126"/>
    <w:rsid w:val="00B22CB3"/>
    <w:rsid w:val="00B23424"/>
    <w:rsid w:val="00B2391F"/>
    <w:rsid w:val="00B23D8C"/>
    <w:rsid w:val="00B2508D"/>
    <w:rsid w:val="00B255F4"/>
    <w:rsid w:val="00B259E7"/>
    <w:rsid w:val="00B273CD"/>
    <w:rsid w:val="00B300D0"/>
    <w:rsid w:val="00B30987"/>
    <w:rsid w:val="00B318FB"/>
    <w:rsid w:val="00B31B24"/>
    <w:rsid w:val="00B329B5"/>
    <w:rsid w:val="00B32ABA"/>
    <w:rsid w:val="00B330A8"/>
    <w:rsid w:val="00B33F0A"/>
    <w:rsid w:val="00B34752"/>
    <w:rsid w:val="00B34E7B"/>
    <w:rsid w:val="00B35BD3"/>
    <w:rsid w:val="00B36333"/>
    <w:rsid w:val="00B36864"/>
    <w:rsid w:val="00B37FEF"/>
    <w:rsid w:val="00B40883"/>
    <w:rsid w:val="00B40D56"/>
    <w:rsid w:val="00B41C92"/>
    <w:rsid w:val="00B41D0B"/>
    <w:rsid w:val="00B43CA8"/>
    <w:rsid w:val="00B456DE"/>
    <w:rsid w:val="00B45987"/>
    <w:rsid w:val="00B4599D"/>
    <w:rsid w:val="00B45D9D"/>
    <w:rsid w:val="00B46A3A"/>
    <w:rsid w:val="00B4789D"/>
    <w:rsid w:val="00B47B02"/>
    <w:rsid w:val="00B50A25"/>
    <w:rsid w:val="00B511A1"/>
    <w:rsid w:val="00B51848"/>
    <w:rsid w:val="00B51E56"/>
    <w:rsid w:val="00B51FD2"/>
    <w:rsid w:val="00B52ABA"/>
    <w:rsid w:val="00B53B3B"/>
    <w:rsid w:val="00B53B5C"/>
    <w:rsid w:val="00B53CA1"/>
    <w:rsid w:val="00B53DDC"/>
    <w:rsid w:val="00B54130"/>
    <w:rsid w:val="00B55235"/>
    <w:rsid w:val="00B55308"/>
    <w:rsid w:val="00B55A5D"/>
    <w:rsid w:val="00B56465"/>
    <w:rsid w:val="00B56CAF"/>
    <w:rsid w:val="00B56E6C"/>
    <w:rsid w:val="00B57885"/>
    <w:rsid w:val="00B60534"/>
    <w:rsid w:val="00B60671"/>
    <w:rsid w:val="00B609FF"/>
    <w:rsid w:val="00B61189"/>
    <w:rsid w:val="00B6218D"/>
    <w:rsid w:val="00B6237E"/>
    <w:rsid w:val="00B63926"/>
    <w:rsid w:val="00B63C5E"/>
    <w:rsid w:val="00B63D22"/>
    <w:rsid w:val="00B64442"/>
    <w:rsid w:val="00B64F8A"/>
    <w:rsid w:val="00B6573A"/>
    <w:rsid w:val="00B66138"/>
    <w:rsid w:val="00B661FF"/>
    <w:rsid w:val="00B671A0"/>
    <w:rsid w:val="00B671A6"/>
    <w:rsid w:val="00B67256"/>
    <w:rsid w:val="00B673A2"/>
    <w:rsid w:val="00B67452"/>
    <w:rsid w:val="00B674EF"/>
    <w:rsid w:val="00B676ED"/>
    <w:rsid w:val="00B677F3"/>
    <w:rsid w:val="00B67BB6"/>
    <w:rsid w:val="00B70D10"/>
    <w:rsid w:val="00B7126A"/>
    <w:rsid w:val="00B72527"/>
    <w:rsid w:val="00B72562"/>
    <w:rsid w:val="00B72EF7"/>
    <w:rsid w:val="00B7417E"/>
    <w:rsid w:val="00B74696"/>
    <w:rsid w:val="00B746B6"/>
    <w:rsid w:val="00B74DDB"/>
    <w:rsid w:val="00B74F1F"/>
    <w:rsid w:val="00B7532F"/>
    <w:rsid w:val="00B75D82"/>
    <w:rsid w:val="00B76398"/>
    <w:rsid w:val="00B76C86"/>
    <w:rsid w:val="00B7749A"/>
    <w:rsid w:val="00B77537"/>
    <w:rsid w:val="00B80E6F"/>
    <w:rsid w:val="00B818F6"/>
    <w:rsid w:val="00B81966"/>
    <w:rsid w:val="00B81A18"/>
    <w:rsid w:val="00B81E32"/>
    <w:rsid w:val="00B8271E"/>
    <w:rsid w:val="00B82817"/>
    <w:rsid w:val="00B83384"/>
    <w:rsid w:val="00B8442F"/>
    <w:rsid w:val="00B84DC4"/>
    <w:rsid w:val="00B8569F"/>
    <w:rsid w:val="00B864A6"/>
    <w:rsid w:val="00B86805"/>
    <w:rsid w:val="00B86CB2"/>
    <w:rsid w:val="00B87CF3"/>
    <w:rsid w:val="00B907C1"/>
    <w:rsid w:val="00B935EF"/>
    <w:rsid w:val="00B937F8"/>
    <w:rsid w:val="00B9421F"/>
    <w:rsid w:val="00B94EAE"/>
    <w:rsid w:val="00B95480"/>
    <w:rsid w:val="00B96688"/>
    <w:rsid w:val="00B968EF"/>
    <w:rsid w:val="00B96FBC"/>
    <w:rsid w:val="00B978D4"/>
    <w:rsid w:val="00B97AFD"/>
    <w:rsid w:val="00B97CF9"/>
    <w:rsid w:val="00B97D85"/>
    <w:rsid w:val="00BA0020"/>
    <w:rsid w:val="00BA01E8"/>
    <w:rsid w:val="00BA036D"/>
    <w:rsid w:val="00BA20BB"/>
    <w:rsid w:val="00BA21FC"/>
    <w:rsid w:val="00BA2610"/>
    <w:rsid w:val="00BA30F6"/>
    <w:rsid w:val="00BA3ED6"/>
    <w:rsid w:val="00BA46AE"/>
    <w:rsid w:val="00BA54E7"/>
    <w:rsid w:val="00BA5BAF"/>
    <w:rsid w:val="00BA6286"/>
    <w:rsid w:val="00BA665C"/>
    <w:rsid w:val="00BA6C6D"/>
    <w:rsid w:val="00BB0A89"/>
    <w:rsid w:val="00BB0BBE"/>
    <w:rsid w:val="00BB19B1"/>
    <w:rsid w:val="00BB1A23"/>
    <w:rsid w:val="00BB2999"/>
    <w:rsid w:val="00BB3E6E"/>
    <w:rsid w:val="00BB5E29"/>
    <w:rsid w:val="00BB665F"/>
    <w:rsid w:val="00BB6DCA"/>
    <w:rsid w:val="00BB7475"/>
    <w:rsid w:val="00BB77EC"/>
    <w:rsid w:val="00BC0DF7"/>
    <w:rsid w:val="00BC1C76"/>
    <w:rsid w:val="00BC30AF"/>
    <w:rsid w:val="00BC3AF3"/>
    <w:rsid w:val="00BC3D37"/>
    <w:rsid w:val="00BC53E9"/>
    <w:rsid w:val="00BC54D9"/>
    <w:rsid w:val="00BC5E79"/>
    <w:rsid w:val="00BC6161"/>
    <w:rsid w:val="00BC6986"/>
    <w:rsid w:val="00BC6B52"/>
    <w:rsid w:val="00BC6E4F"/>
    <w:rsid w:val="00BC7B70"/>
    <w:rsid w:val="00BC7CB0"/>
    <w:rsid w:val="00BD1B35"/>
    <w:rsid w:val="00BD29FA"/>
    <w:rsid w:val="00BD366C"/>
    <w:rsid w:val="00BD3782"/>
    <w:rsid w:val="00BD3815"/>
    <w:rsid w:val="00BD495D"/>
    <w:rsid w:val="00BD4BC9"/>
    <w:rsid w:val="00BD4DFA"/>
    <w:rsid w:val="00BD53BD"/>
    <w:rsid w:val="00BD66D1"/>
    <w:rsid w:val="00BD6D6D"/>
    <w:rsid w:val="00BE017A"/>
    <w:rsid w:val="00BE035C"/>
    <w:rsid w:val="00BE0833"/>
    <w:rsid w:val="00BE1B9D"/>
    <w:rsid w:val="00BE1E74"/>
    <w:rsid w:val="00BE2160"/>
    <w:rsid w:val="00BE3F96"/>
    <w:rsid w:val="00BE4EEE"/>
    <w:rsid w:val="00BE509B"/>
    <w:rsid w:val="00BE53F9"/>
    <w:rsid w:val="00BE5976"/>
    <w:rsid w:val="00BE612D"/>
    <w:rsid w:val="00BE6781"/>
    <w:rsid w:val="00BE6A2F"/>
    <w:rsid w:val="00BE6BFE"/>
    <w:rsid w:val="00BE700E"/>
    <w:rsid w:val="00BE7DE3"/>
    <w:rsid w:val="00BE7E79"/>
    <w:rsid w:val="00BF1112"/>
    <w:rsid w:val="00BF1619"/>
    <w:rsid w:val="00BF1F48"/>
    <w:rsid w:val="00BF212B"/>
    <w:rsid w:val="00BF274D"/>
    <w:rsid w:val="00BF2795"/>
    <w:rsid w:val="00BF39B5"/>
    <w:rsid w:val="00BF48DB"/>
    <w:rsid w:val="00BF4A22"/>
    <w:rsid w:val="00BF5660"/>
    <w:rsid w:val="00BF5E76"/>
    <w:rsid w:val="00BF6927"/>
    <w:rsid w:val="00BF6D5D"/>
    <w:rsid w:val="00BF71C5"/>
    <w:rsid w:val="00BF7897"/>
    <w:rsid w:val="00C01E64"/>
    <w:rsid w:val="00C0204E"/>
    <w:rsid w:val="00C02DFB"/>
    <w:rsid w:val="00C030C9"/>
    <w:rsid w:val="00C03550"/>
    <w:rsid w:val="00C03554"/>
    <w:rsid w:val="00C03E17"/>
    <w:rsid w:val="00C04C6A"/>
    <w:rsid w:val="00C04DEC"/>
    <w:rsid w:val="00C05713"/>
    <w:rsid w:val="00C05869"/>
    <w:rsid w:val="00C058A9"/>
    <w:rsid w:val="00C05910"/>
    <w:rsid w:val="00C060ED"/>
    <w:rsid w:val="00C079AF"/>
    <w:rsid w:val="00C10129"/>
    <w:rsid w:val="00C108D2"/>
    <w:rsid w:val="00C11208"/>
    <w:rsid w:val="00C1145F"/>
    <w:rsid w:val="00C1180D"/>
    <w:rsid w:val="00C11839"/>
    <w:rsid w:val="00C11CE9"/>
    <w:rsid w:val="00C12228"/>
    <w:rsid w:val="00C12964"/>
    <w:rsid w:val="00C12CF9"/>
    <w:rsid w:val="00C13B6F"/>
    <w:rsid w:val="00C13B9A"/>
    <w:rsid w:val="00C14581"/>
    <w:rsid w:val="00C147CA"/>
    <w:rsid w:val="00C15DCA"/>
    <w:rsid w:val="00C16356"/>
    <w:rsid w:val="00C165B6"/>
    <w:rsid w:val="00C16B61"/>
    <w:rsid w:val="00C16F05"/>
    <w:rsid w:val="00C1789F"/>
    <w:rsid w:val="00C17A8B"/>
    <w:rsid w:val="00C20BE9"/>
    <w:rsid w:val="00C20F81"/>
    <w:rsid w:val="00C21061"/>
    <w:rsid w:val="00C226EA"/>
    <w:rsid w:val="00C22930"/>
    <w:rsid w:val="00C23B06"/>
    <w:rsid w:val="00C23EBD"/>
    <w:rsid w:val="00C245E5"/>
    <w:rsid w:val="00C247C4"/>
    <w:rsid w:val="00C250CB"/>
    <w:rsid w:val="00C25464"/>
    <w:rsid w:val="00C25668"/>
    <w:rsid w:val="00C256BD"/>
    <w:rsid w:val="00C25B4B"/>
    <w:rsid w:val="00C26587"/>
    <w:rsid w:val="00C26ABD"/>
    <w:rsid w:val="00C27EEC"/>
    <w:rsid w:val="00C306ED"/>
    <w:rsid w:val="00C30970"/>
    <w:rsid w:val="00C30FF7"/>
    <w:rsid w:val="00C32C9D"/>
    <w:rsid w:val="00C33B92"/>
    <w:rsid w:val="00C33CC7"/>
    <w:rsid w:val="00C34214"/>
    <w:rsid w:val="00C343F1"/>
    <w:rsid w:val="00C3463F"/>
    <w:rsid w:val="00C3541D"/>
    <w:rsid w:val="00C3599D"/>
    <w:rsid w:val="00C35AC4"/>
    <w:rsid w:val="00C3758E"/>
    <w:rsid w:val="00C37720"/>
    <w:rsid w:val="00C40093"/>
    <w:rsid w:val="00C40522"/>
    <w:rsid w:val="00C40C2A"/>
    <w:rsid w:val="00C40D3F"/>
    <w:rsid w:val="00C413BD"/>
    <w:rsid w:val="00C41ADE"/>
    <w:rsid w:val="00C41DD5"/>
    <w:rsid w:val="00C42216"/>
    <w:rsid w:val="00C423D7"/>
    <w:rsid w:val="00C42521"/>
    <w:rsid w:val="00C42742"/>
    <w:rsid w:val="00C4295D"/>
    <w:rsid w:val="00C44739"/>
    <w:rsid w:val="00C44831"/>
    <w:rsid w:val="00C44C91"/>
    <w:rsid w:val="00C44DD1"/>
    <w:rsid w:val="00C45869"/>
    <w:rsid w:val="00C45F2B"/>
    <w:rsid w:val="00C46F9D"/>
    <w:rsid w:val="00C47825"/>
    <w:rsid w:val="00C47ED3"/>
    <w:rsid w:val="00C5065C"/>
    <w:rsid w:val="00C50851"/>
    <w:rsid w:val="00C50FCC"/>
    <w:rsid w:val="00C519D8"/>
    <w:rsid w:val="00C520B7"/>
    <w:rsid w:val="00C531E4"/>
    <w:rsid w:val="00C53625"/>
    <w:rsid w:val="00C53A98"/>
    <w:rsid w:val="00C53F30"/>
    <w:rsid w:val="00C54E28"/>
    <w:rsid w:val="00C55399"/>
    <w:rsid w:val="00C55606"/>
    <w:rsid w:val="00C55C8E"/>
    <w:rsid w:val="00C56114"/>
    <w:rsid w:val="00C562EC"/>
    <w:rsid w:val="00C566D2"/>
    <w:rsid w:val="00C56A53"/>
    <w:rsid w:val="00C56D02"/>
    <w:rsid w:val="00C57E27"/>
    <w:rsid w:val="00C60220"/>
    <w:rsid w:val="00C607D1"/>
    <w:rsid w:val="00C60978"/>
    <w:rsid w:val="00C6104A"/>
    <w:rsid w:val="00C613F5"/>
    <w:rsid w:val="00C61B21"/>
    <w:rsid w:val="00C61E30"/>
    <w:rsid w:val="00C61F50"/>
    <w:rsid w:val="00C61FC1"/>
    <w:rsid w:val="00C621D0"/>
    <w:rsid w:val="00C62515"/>
    <w:rsid w:val="00C62DD5"/>
    <w:rsid w:val="00C62E7C"/>
    <w:rsid w:val="00C63805"/>
    <w:rsid w:val="00C638ED"/>
    <w:rsid w:val="00C63B35"/>
    <w:rsid w:val="00C641BE"/>
    <w:rsid w:val="00C641E0"/>
    <w:rsid w:val="00C64749"/>
    <w:rsid w:val="00C647CE"/>
    <w:rsid w:val="00C64ABE"/>
    <w:rsid w:val="00C65116"/>
    <w:rsid w:val="00C653B6"/>
    <w:rsid w:val="00C6545D"/>
    <w:rsid w:val="00C663DE"/>
    <w:rsid w:val="00C669EF"/>
    <w:rsid w:val="00C70172"/>
    <w:rsid w:val="00C7094C"/>
    <w:rsid w:val="00C711FF"/>
    <w:rsid w:val="00C72082"/>
    <w:rsid w:val="00C72B1C"/>
    <w:rsid w:val="00C73125"/>
    <w:rsid w:val="00C736C6"/>
    <w:rsid w:val="00C73D59"/>
    <w:rsid w:val="00C7478F"/>
    <w:rsid w:val="00C7502C"/>
    <w:rsid w:val="00C766A0"/>
    <w:rsid w:val="00C77774"/>
    <w:rsid w:val="00C80AC8"/>
    <w:rsid w:val="00C81855"/>
    <w:rsid w:val="00C823F8"/>
    <w:rsid w:val="00C84499"/>
    <w:rsid w:val="00C851EE"/>
    <w:rsid w:val="00C85653"/>
    <w:rsid w:val="00C856C5"/>
    <w:rsid w:val="00C858AE"/>
    <w:rsid w:val="00C85C7D"/>
    <w:rsid w:val="00C85D60"/>
    <w:rsid w:val="00C8642D"/>
    <w:rsid w:val="00C8661F"/>
    <w:rsid w:val="00C876EE"/>
    <w:rsid w:val="00C877DB"/>
    <w:rsid w:val="00C87FED"/>
    <w:rsid w:val="00C91602"/>
    <w:rsid w:val="00C918F9"/>
    <w:rsid w:val="00C91BB2"/>
    <w:rsid w:val="00C923A5"/>
    <w:rsid w:val="00C92628"/>
    <w:rsid w:val="00C92988"/>
    <w:rsid w:val="00C92C18"/>
    <w:rsid w:val="00C93024"/>
    <w:rsid w:val="00C94A60"/>
    <w:rsid w:val="00C94FD2"/>
    <w:rsid w:val="00C952E7"/>
    <w:rsid w:val="00C95410"/>
    <w:rsid w:val="00C9752F"/>
    <w:rsid w:val="00C97B0F"/>
    <w:rsid w:val="00CA0125"/>
    <w:rsid w:val="00CA08B0"/>
    <w:rsid w:val="00CA0A8C"/>
    <w:rsid w:val="00CA299A"/>
    <w:rsid w:val="00CA29BC"/>
    <w:rsid w:val="00CA3261"/>
    <w:rsid w:val="00CA39B5"/>
    <w:rsid w:val="00CA3B70"/>
    <w:rsid w:val="00CA3CC8"/>
    <w:rsid w:val="00CA3F25"/>
    <w:rsid w:val="00CA452E"/>
    <w:rsid w:val="00CA4638"/>
    <w:rsid w:val="00CA504E"/>
    <w:rsid w:val="00CA50F1"/>
    <w:rsid w:val="00CA5159"/>
    <w:rsid w:val="00CA5C1D"/>
    <w:rsid w:val="00CA5CDA"/>
    <w:rsid w:val="00CA6B51"/>
    <w:rsid w:val="00CA768C"/>
    <w:rsid w:val="00CA795E"/>
    <w:rsid w:val="00CA7C50"/>
    <w:rsid w:val="00CB0196"/>
    <w:rsid w:val="00CB038F"/>
    <w:rsid w:val="00CB06E1"/>
    <w:rsid w:val="00CB06E7"/>
    <w:rsid w:val="00CB0E78"/>
    <w:rsid w:val="00CB10E6"/>
    <w:rsid w:val="00CB1E9C"/>
    <w:rsid w:val="00CB23B9"/>
    <w:rsid w:val="00CB23EE"/>
    <w:rsid w:val="00CB2AEC"/>
    <w:rsid w:val="00CB2F12"/>
    <w:rsid w:val="00CB3DC6"/>
    <w:rsid w:val="00CB4612"/>
    <w:rsid w:val="00CB4701"/>
    <w:rsid w:val="00CB4A67"/>
    <w:rsid w:val="00CB629D"/>
    <w:rsid w:val="00CB69E5"/>
    <w:rsid w:val="00CB6EC6"/>
    <w:rsid w:val="00CB72D6"/>
    <w:rsid w:val="00CC2318"/>
    <w:rsid w:val="00CC43F8"/>
    <w:rsid w:val="00CC55F0"/>
    <w:rsid w:val="00CC5A37"/>
    <w:rsid w:val="00CC5AF8"/>
    <w:rsid w:val="00CC5E88"/>
    <w:rsid w:val="00CC671F"/>
    <w:rsid w:val="00CC7574"/>
    <w:rsid w:val="00CC77B7"/>
    <w:rsid w:val="00CC7F0B"/>
    <w:rsid w:val="00CD0751"/>
    <w:rsid w:val="00CD1A2A"/>
    <w:rsid w:val="00CD1FB8"/>
    <w:rsid w:val="00CD2A90"/>
    <w:rsid w:val="00CD3638"/>
    <w:rsid w:val="00CD3A71"/>
    <w:rsid w:val="00CD3BD4"/>
    <w:rsid w:val="00CD3EB8"/>
    <w:rsid w:val="00CD4228"/>
    <w:rsid w:val="00CD5698"/>
    <w:rsid w:val="00CD5C55"/>
    <w:rsid w:val="00CD6322"/>
    <w:rsid w:val="00CD6B2C"/>
    <w:rsid w:val="00CD6C8B"/>
    <w:rsid w:val="00CD7983"/>
    <w:rsid w:val="00CD7E35"/>
    <w:rsid w:val="00CE1D97"/>
    <w:rsid w:val="00CE2590"/>
    <w:rsid w:val="00CE3407"/>
    <w:rsid w:val="00CE3446"/>
    <w:rsid w:val="00CE3806"/>
    <w:rsid w:val="00CE389B"/>
    <w:rsid w:val="00CE3F8C"/>
    <w:rsid w:val="00CE5D06"/>
    <w:rsid w:val="00CE5D2E"/>
    <w:rsid w:val="00CE613D"/>
    <w:rsid w:val="00CE6333"/>
    <w:rsid w:val="00CE699C"/>
    <w:rsid w:val="00CE6E48"/>
    <w:rsid w:val="00CE7280"/>
    <w:rsid w:val="00CE7D4F"/>
    <w:rsid w:val="00CE7E7F"/>
    <w:rsid w:val="00CF0153"/>
    <w:rsid w:val="00CF047E"/>
    <w:rsid w:val="00CF16FE"/>
    <w:rsid w:val="00CF1B02"/>
    <w:rsid w:val="00CF2098"/>
    <w:rsid w:val="00CF2660"/>
    <w:rsid w:val="00CF2BBF"/>
    <w:rsid w:val="00CF2C86"/>
    <w:rsid w:val="00CF3910"/>
    <w:rsid w:val="00CF3DCD"/>
    <w:rsid w:val="00CF4C7F"/>
    <w:rsid w:val="00CF5FA3"/>
    <w:rsid w:val="00CF6D3F"/>
    <w:rsid w:val="00CF6E53"/>
    <w:rsid w:val="00CF700A"/>
    <w:rsid w:val="00CF7FAC"/>
    <w:rsid w:val="00D0001F"/>
    <w:rsid w:val="00D012B6"/>
    <w:rsid w:val="00D01369"/>
    <w:rsid w:val="00D017F5"/>
    <w:rsid w:val="00D01CB6"/>
    <w:rsid w:val="00D01D1D"/>
    <w:rsid w:val="00D023F8"/>
    <w:rsid w:val="00D0369D"/>
    <w:rsid w:val="00D03A23"/>
    <w:rsid w:val="00D043E7"/>
    <w:rsid w:val="00D04E1A"/>
    <w:rsid w:val="00D04EFB"/>
    <w:rsid w:val="00D052E6"/>
    <w:rsid w:val="00D06E34"/>
    <w:rsid w:val="00D07476"/>
    <w:rsid w:val="00D103BB"/>
    <w:rsid w:val="00D108D4"/>
    <w:rsid w:val="00D10945"/>
    <w:rsid w:val="00D10BC4"/>
    <w:rsid w:val="00D11438"/>
    <w:rsid w:val="00D119D6"/>
    <w:rsid w:val="00D11F1F"/>
    <w:rsid w:val="00D120E8"/>
    <w:rsid w:val="00D12258"/>
    <w:rsid w:val="00D12285"/>
    <w:rsid w:val="00D1304C"/>
    <w:rsid w:val="00D1328E"/>
    <w:rsid w:val="00D13FF3"/>
    <w:rsid w:val="00D14843"/>
    <w:rsid w:val="00D1575B"/>
    <w:rsid w:val="00D15793"/>
    <w:rsid w:val="00D15799"/>
    <w:rsid w:val="00D15D63"/>
    <w:rsid w:val="00D1680E"/>
    <w:rsid w:val="00D16DF2"/>
    <w:rsid w:val="00D1715D"/>
    <w:rsid w:val="00D17AA2"/>
    <w:rsid w:val="00D17F94"/>
    <w:rsid w:val="00D2014C"/>
    <w:rsid w:val="00D207AF"/>
    <w:rsid w:val="00D21A6C"/>
    <w:rsid w:val="00D21CF2"/>
    <w:rsid w:val="00D21CFE"/>
    <w:rsid w:val="00D229FA"/>
    <w:rsid w:val="00D22D58"/>
    <w:rsid w:val="00D22EC6"/>
    <w:rsid w:val="00D238EE"/>
    <w:rsid w:val="00D239E7"/>
    <w:rsid w:val="00D23C51"/>
    <w:rsid w:val="00D23C70"/>
    <w:rsid w:val="00D23D71"/>
    <w:rsid w:val="00D23EA2"/>
    <w:rsid w:val="00D23EEE"/>
    <w:rsid w:val="00D24251"/>
    <w:rsid w:val="00D24D87"/>
    <w:rsid w:val="00D2529D"/>
    <w:rsid w:val="00D259C4"/>
    <w:rsid w:val="00D2640C"/>
    <w:rsid w:val="00D26C14"/>
    <w:rsid w:val="00D272EE"/>
    <w:rsid w:val="00D27891"/>
    <w:rsid w:val="00D279CA"/>
    <w:rsid w:val="00D27B0D"/>
    <w:rsid w:val="00D30097"/>
    <w:rsid w:val="00D303BC"/>
    <w:rsid w:val="00D305F8"/>
    <w:rsid w:val="00D30B30"/>
    <w:rsid w:val="00D30D0F"/>
    <w:rsid w:val="00D3155C"/>
    <w:rsid w:val="00D3163D"/>
    <w:rsid w:val="00D32C3C"/>
    <w:rsid w:val="00D32EA9"/>
    <w:rsid w:val="00D33AA1"/>
    <w:rsid w:val="00D341AD"/>
    <w:rsid w:val="00D34936"/>
    <w:rsid w:val="00D35894"/>
    <w:rsid w:val="00D35ED4"/>
    <w:rsid w:val="00D36752"/>
    <w:rsid w:val="00D3675B"/>
    <w:rsid w:val="00D37047"/>
    <w:rsid w:val="00D37EB3"/>
    <w:rsid w:val="00D40A13"/>
    <w:rsid w:val="00D4165B"/>
    <w:rsid w:val="00D41F14"/>
    <w:rsid w:val="00D4290C"/>
    <w:rsid w:val="00D42960"/>
    <w:rsid w:val="00D42BEC"/>
    <w:rsid w:val="00D430B0"/>
    <w:rsid w:val="00D43582"/>
    <w:rsid w:val="00D453AD"/>
    <w:rsid w:val="00D454F9"/>
    <w:rsid w:val="00D45755"/>
    <w:rsid w:val="00D45BDF"/>
    <w:rsid w:val="00D45BE2"/>
    <w:rsid w:val="00D46AF6"/>
    <w:rsid w:val="00D46C8C"/>
    <w:rsid w:val="00D46D1D"/>
    <w:rsid w:val="00D47139"/>
    <w:rsid w:val="00D4744E"/>
    <w:rsid w:val="00D47491"/>
    <w:rsid w:val="00D47891"/>
    <w:rsid w:val="00D5017D"/>
    <w:rsid w:val="00D50328"/>
    <w:rsid w:val="00D508AF"/>
    <w:rsid w:val="00D50B1C"/>
    <w:rsid w:val="00D50BBA"/>
    <w:rsid w:val="00D5137C"/>
    <w:rsid w:val="00D5416A"/>
    <w:rsid w:val="00D54920"/>
    <w:rsid w:val="00D5579C"/>
    <w:rsid w:val="00D557FA"/>
    <w:rsid w:val="00D55DEA"/>
    <w:rsid w:val="00D56E0E"/>
    <w:rsid w:val="00D5704F"/>
    <w:rsid w:val="00D570C0"/>
    <w:rsid w:val="00D57212"/>
    <w:rsid w:val="00D5739B"/>
    <w:rsid w:val="00D57694"/>
    <w:rsid w:val="00D5789A"/>
    <w:rsid w:val="00D57E5E"/>
    <w:rsid w:val="00D57EC1"/>
    <w:rsid w:val="00D60007"/>
    <w:rsid w:val="00D6064C"/>
    <w:rsid w:val="00D60669"/>
    <w:rsid w:val="00D60F9C"/>
    <w:rsid w:val="00D62A1E"/>
    <w:rsid w:val="00D63E13"/>
    <w:rsid w:val="00D641FF"/>
    <w:rsid w:val="00D65A73"/>
    <w:rsid w:val="00D664EB"/>
    <w:rsid w:val="00D6663B"/>
    <w:rsid w:val="00D709A9"/>
    <w:rsid w:val="00D70D39"/>
    <w:rsid w:val="00D72769"/>
    <w:rsid w:val="00D72813"/>
    <w:rsid w:val="00D72A38"/>
    <w:rsid w:val="00D72CED"/>
    <w:rsid w:val="00D72F9D"/>
    <w:rsid w:val="00D73471"/>
    <w:rsid w:val="00D736B3"/>
    <w:rsid w:val="00D73873"/>
    <w:rsid w:val="00D73D27"/>
    <w:rsid w:val="00D741A9"/>
    <w:rsid w:val="00D7437D"/>
    <w:rsid w:val="00D7439D"/>
    <w:rsid w:val="00D74681"/>
    <w:rsid w:val="00D75F21"/>
    <w:rsid w:val="00D761A2"/>
    <w:rsid w:val="00D76600"/>
    <w:rsid w:val="00D76AC6"/>
    <w:rsid w:val="00D76B2F"/>
    <w:rsid w:val="00D76E11"/>
    <w:rsid w:val="00D7725C"/>
    <w:rsid w:val="00D77501"/>
    <w:rsid w:val="00D77AB3"/>
    <w:rsid w:val="00D80186"/>
    <w:rsid w:val="00D8044E"/>
    <w:rsid w:val="00D809D4"/>
    <w:rsid w:val="00D80D40"/>
    <w:rsid w:val="00D81AD6"/>
    <w:rsid w:val="00D81DB3"/>
    <w:rsid w:val="00D826F6"/>
    <w:rsid w:val="00D828A1"/>
    <w:rsid w:val="00D82A0E"/>
    <w:rsid w:val="00D8339C"/>
    <w:rsid w:val="00D834FA"/>
    <w:rsid w:val="00D83974"/>
    <w:rsid w:val="00D843C5"/>
    <w:rsid w:val="00D84627"/>
    <w:rsid w:val="00D84B02"/>
    <w:rsid w:val="00D85028"/>
    <w:rsid w:val="00D85748"/>
    <w:rsid w:val="00D85CF8"/>
    <w:rsid w:val="00D87019"/>
    <w:rsid w:val="00D87326"/>
    <w:rsid w:val="00D87D22"/>
    <w:rsid w:val="00D87E1B"/>
    <w:rsid w:val="00D91190"/>
    <w:rsid w:val="00D91362"/>
    <w:rsid w:val="00D924CA"/>
    <w:rsid w:val="00D92A2E"/>
    <w:rsid w:val="00D92E3D"/>
    <w:rsid w:val="00D92FD9"/>
    <w:rsid w:val="00D930B8"/>
    <w:rsid w:val="00D934E1"/>
    <w:rsid w:val="00D93D4D"/>
    <w:rsid w:val="00D94454"/>
    <w:rsid w:val="00D948E1"/>
    <w:rsid w:val="00D94942"/>
    <w:rsid w:val="00D94F40"/>
    <w:rsid w:val="00D965B7"/>
    <w:rsid w:val="00D967DD"/>
    <w:rsid w:val="00D96865"/>
    <w:rsid w:val="00D97068"/>
    <w:rsid w:val="00D972AB"/>
    <w:rsid w:val="00D9781C"/>
    <w:rsid w:val="00D97BCF"/>
    <w:rsid w:val="00DA0D37"/>
    <w:rsid w:val="00DA112E"/>
    <w:rsid w:val="00DA154D"/>
    <w:rsid w:val="00DA37BC"/>
    <w:rsid w:val="00DA3E71"/>
    <w:rsid w:val="00DA4327"/>
    <w:rsid w:val="00DA4838"/>
    <w:rsid w:val="00DA593C"/>
    <w:rsid w:val="00DA5A4F"/>
    <w:rsid w:val="00DA5C03"/>
    <w:rsid w:val="00DA71C9"/>
    <w:rsid w:val="00DA73C0"/>
    <w:rsid w:val="00DA76B7"/>
    <w:rsid w:val="00DA776F"/>
    <w:rsid w:val="00DA792E"/>
    <w:rsid w:val="00DA7E14"/>
    <w:rsid w:val="00DB0060"/>
    <w:rsid w:val="00DB0726"/>
    <w:rsid w:val="00DB0887"/>
    <w:rsid w:val="00DB0CCD"/>
    <w:rsid w:val="00DB1084"/>
    <w:rsid w:val="00DB18AC"/>
    <w:rsid w:val="00DB2B77"/>
    <w:rsid w:val="00DB2CAE"/>
    <w:rsid w:val="00DB2D72"/>
    <w:rsid w:val="00DB2EF5"/>
    <w:rsid w:val="00DB4190"/>
    <w:rsid w:val="00DB4238"/>
    <w:rsid w:val="00DB45D8"/>
    <w:rsid w:val="00DB48CE"/>
    <w:rsid w:val="00DB5CDF"/>
    <w:rsid w:val="00DB63AC"/>
    <w:rsid w:val="00DB63D2"/>
    <w:rsid w:val="00DB6453"/>
    <w:rsid w:val="00DB732B"/>
    <w:rsid w:val="00DB7851"/>
    <w:rsid w:val="00DB7853"/>
    <w:rsid w:val="00DB7A05"/>
    <w:rsid w:val="00DB7E95"/>
    <w:rsid w:val="00DC0458"/>
    <w:rsid w:val="00DC0CA2"/>
    <w:rsid w:val="00DC16C3"/>
    <w:rsid w:val="00DC1912"/>
    <w:rsid w:val="00DC1BCC"/>
    <w:rsid w:val="00DC2BCE"/>
    <w:rsid w:val="00DC3222"/>
    <w:rsid w:val="00DC4DA2"/>
    <w:rsid w:val="00DC6BA9"/>
    <w:rsid w:val="00DC7463"/>
    <w:rsid w:val="00DC7A78"/>
    <w:rsid w:val="00DC7CA2"/>
    <w:rsid w:val="00DD017F"/>
    <w:rsid w:val="00DD0780"/>
    <w:rsid w:val="00DD09F5"/>
    <w:rsid w:val="00DD0B2F"/>
    <w:rsid w:val="00DD0E0A"/>
    <w:rsid w:val="00DD15B7"/>
    <w:rsid w:val="00DD1709"/>
    <w:rsid w:val="00DD1A31"/>
    <w:rsid w:val="00DD1C13"/>
    <w:rsid w:val="00DD1FE2"/>
    <w:rsid w:val="00DD21E0"/>
    <w:rsid w:val="00DD24AE"/>
    <w:rsid w:val="00DD293C"/>
    <w:rsid w:val="00DD2B4B"/>
    <w:rsid w:val="00DD2D72"/>
    <w:rsid w:val="00DD2E71"/>
    <w:rsid w:val="00DD489C"/>
    <w:rsid w:val="00DD4F90"/>
    <w:rsid w:val="00DD5D3D"/>
    <w:rsid w:val="00DD5DD7"/>
    <w:rsid w:val="00DD6710"/>
    <w:rsid w:val="00DD673C"/>
    <w:rsid w:val="00DD6911"/>
    <w:rsid w:val="00DD6D30"/>
    <w:rsid w:val="00DD72F6"/>
    <w:rsid w:val="00DD7D08"/>
    <w:rsid w:val="00DE028A"/>
    <w:rsid w:val="00DE1CA2"/>
    <w:rsid w:val="00DE2320"/>
    <w:rsid w:val="00DE2685"/>
    <w:rsid w:val="00DE2B02"/>
    <w:rsid w:val="00DE36B7"/>
    <w:rsid w:val="00DE36DF"/>
    <w:rsid w:val="00DE3D13"/>
    <w:rsid w:val="00DE4680"/>
    <w:rsid w:val="00DE48DD"/>
    <w:rsid w:val="00DE4B12"/>
    <w:rsid w:val="00DE4E40"/>
    <w:rsid w:val="00DE52D7"/>
    <w:rsid w:val="00DE5522"/>
    <w:rsid w:val="00DE5D22"/>
    <w:rsid w:val="00DE6AC1"/>
    <w:rsid w:val="00DE6C9E"/>
    <w:rsid w:val="00DE7C07"/>
    <w:rsid w:val="00DF02B3"/>
    <w:rsid w:val="00DF0345"/>
    <w:rsid w:val="00DF0A22"/>
    <w:rsid w:val="00DF1605"/>
    <w:rsid w:val="00DF1663"/>
    <w:rsid w:val="00DF1876"/>
    <w:rsid w:val="00DF29C2"/>
    <w:rsid w:val="00DF29FC"/>
    <w:rsid w:val="00DF29FF"/>
    <w:rsid w:val="00DF2CD7"/>
    <w:rsid w:val="00DF2D38"/>
    <w:rsid w:val="00DF33B1"/>
    <w:rsid w:val="00DF3769"/>
    <w:rsid w:val="00DF441C"/>
    <w:rsid w:val="00DF4F5A"/>
    <w:rsid w:val="00DF5284"/>
    <w:rsid w:val="00DF5566"/>
    <w:rsid w:val="00DF587C"/>
    <w:rsid w:val="00DF5D2A"/>
    <w:rsid w:val="00DF68D4"/>
    <w:rsid w:val="00DF71F4"/>
    <w:rsid w:val="00DF7A6A"/>
    <w:rsid w:val="00DF7E13"/>
    <w:rsid w:val="00E007F2"/>
    <w:rsid w:val="00E012D8"/>
    <w:rsid w:val="00E016BD"/>
    <w:rsid w:val="00E016D3"/>
    <w:rsid w:val="00E01C6A"/>
    <w:rsid w:val="00E0211B"/>
    <w:rsid w:val="00E02A2F"/>
    <w:rsid w:val="00E0479F"/>
    <w:rsid w:val="00E04B30"/>
    <w:rsid w:val="00E04B4C"/>
    <w:rsid w:val="00E04C21"/>
    <w:rsid w:val="00E04DCD"/>
    <w:rsid w:val="00E059E6"/>
    <w:rsid w:val="00E06086"/>
    <w:rsid w:val="00E070E5"/>
    <w:rsid w:val="00E07732"/>
    <w:rsid w:val="00E07BB7"/>
    <w:rsid w:val="00E10240"/>
    <w:rsid w:val="00E10451"/>
    <w:rsid w:val="00E109A8"/>
    <w:rsid w:val="00E10E5E"/>
    <w:rsid w:val="00E11D77"/>
    <w:rsid w:val="00E120E6"/>
    <w:rsid w:val="00E12664"/>
    <w:rsid w:val="00E12753"/>
    <w:rsid w:val="00E12B3B"/>
    <w:rsid w:val="00E12D46"/>
    <w:rsid w:val="00E13FEF"/>
    <w:rsid w:val="00E1405A"/>
    <w:rsid w:val="00E1430B"/>
    <w:rsid w:val="00E14680"/>
    <w:rsid w:val="00E152E0"/>
    <w:rsid w:val="00E156DE"/>
    <w:rsid w:val="00E15CE3"/>
    <w:rsid w:val="00E16292"/>
    <w:rsid w:val="00E163AA"/>
    <w:rsid w:val="00E16DE4"/>
    <w:rsid w:val="00E16EBB"/>
    <w:rsid w:val="00E1750F"/>
    <w:rsid w:val="00E1753C"/>
    <w:rsid w:val="00E17728"/>
    <w:rsid w:val="00E17830"/>
    <w:rsid w:val="00E20790"/>
    <w:rsid w:val="00E20909"/>
    <w:rsid w:val="00E20AD4"/>
    <w:rsid w:val="00E20F89"/>
    <w:rsid w:val="00E21204"/>
    <w:rsid w:val="00E2202A"/>
    <w:rsid w:val="00E2202C"/>
    <w:rsid w:val="00E22087"/>
    <w:rsid w:val="00E2223B"/>
    <w:rsid w:val="00E22BD1"/>
    <w:rsid w:val="00E22E98"/>
    <w:rsid w:val="00E234D7"/>
    <w:rsid w:val="00E23CDB"/>
    <w:rsid w:val="00E23D98"/>
    <w:rsid w:val="00E24118"/>
    <w:rsid w:val="00E242D3"/>
    <w:rsid w:val="00E2467F"/>
    <w:rsid w:val="00E25EF4"/>
    <w:rsid w:val="00E265C3"/>
    <w:rsid w:val="00E26638"/>
    <w:rsid w:val="00E2749D"/>
    <w:rsid w:val="00E2750E"/>
    <w:rsid w:val="00E27DBA"/>
    <w:rsid w:val="00E318C1"/>
    <w:rsid w:val="00E31BBD"/>
    <w:rsid w:val="00E3207E"/>
    <w:rsid w:val="00E32EA5"/>
    <w:rsid w:val="00E339E6"/>
    <w:rsid w:val="00E33C5C"/>
    <w:rsid w:val="00E34220"/>
    <w:rsid w:val="00E3431E"/>
    <w:rsid w:val="00E34690"/>
    <w:rsid w:val="00E353ED"/>
    <w:rsid w:val="00E355F5"/>
    <w:rsid w:val="00E3569F"/>
    <w:rsid w:val="00E358C9"/>
    <w:rsid w:val="00E35BEA"/>
    <w:rsid w:val="00E360F5"/>
    <w:rsid w:val="00E36446"/>
    <w:rsid w:val="00E36729"/>
    <w:rsid w:val="00E36A0C"/>
    <w:rsid w:val="00E36B14"/>
    <w:rsid w:val="00E36DB7"/>
    <w:rsid w:val="00E37B34"/>
    <w:rsid w:val="00E40033"/>
    <w:rsid w:val="00E414E0"/>
    <w:rsid w:val="00E4242E"/>
    <w:rsid w:val="00E42948"/>
    <w:rsid w:val="00E42B40"/>
    <w:rsid w:val="00E43C16"/>
    <w:rsid w:val="00E43D81"/>
    <w:rsid w:val="00E43F06"/>
    <w:rsid w:val="00E442B5"/>
    <w:rsid w:val="00E44B3F"/>
    <w:rsid w:val="00E451C3"/>
    <w:rsid w:val="00E453C1"/>
    <w:rsid w:val="00E459B2"/>
    <w:rsid w:val="00E45A9F"/>
    <w:rsid w:val="00E45C9C"/>
    <w:rsid w:val="00E45E35"/>
    <w:rsid w:val="00E4650A"/>
    <w:rsid w:val="00E50DDC"/>
    <w:rsid w:val="00E51239"/>
    <w:rsid w:val="00E514A5"/>
    <w:rsid w:val="00E514E5"/>
    <w:rsid w:val="00E51553"/>
    <w:rsid w:val="00E51C42"/>
    <w:rsid w:val="00E5231E"/>
    <w:rsid w:val="00E52CF7"/>
    <w:rsid w:val="00E52F0C"/>
    <w:rsid w:val="00E5316A"/>
    <w:rsid w:val="00E532C0"/>
    <w:rsid w:val="00E545AD"/>
    <w:rsid w:val="00E54A9A"/>
    <w:rsid w:val="00E55E86"/>
    <w:rsid w:val="00E602DA"/>
    <w:rsid w:val="00E60B0A"/>
    <w:rsid w:val="00E6167A"/>
    <w:rsid w:val="00E61B89"/>
    <w:rsid w:val="00E62000"/>
    <w:rsid w:val="00E623A3"/>
    <w:rsid w:val="00E62DCF"/>
    <w:rsid w:val="00E63194"/>
    <w:rsid w:val="00E631F3"/>
    <w:rsid w:val="00E637B9"/>
    <w:rsid w:val="00E645A8"/>
    <w:rsid w:val="00E64645"/>
    <w:rsid w:val="00E64649"/>
    <w:rsid w:val="00E64A9A"/>
    <w:rsid w:val="00E657A0"/>
    <w:rsid w:val="00E65805"/>
    <w:rsid w:val="00E6597A"/>
    <w:rsid w:val="00E662A8"/>
    <w:rsid w:val="00E6714B"/>
    <w:rsid w:val="00E7067E"/>
    <w:rsid w:val="00E706CF"/>
    <w:rsid w:val="00E70CA2"/>
    <w:rsid w:val="00E716B6"/>
    <w:rsid w:val="00E71A72"/>
    <w:rsid w:val="00E71D03"/>
    <w:rsid w:val="00E724C1"/>
    <w:rsid w:val="00E734D5"/>
    <w:rsid w:val="00E73F6B"/>
    <w:rsid w:val="00E7410A"/>
    <w:rsid w:val="00E745D2"/>
    <w:rsid w:val="00E745E7"/>
    <w:rsid w:val="00E757CA"/>
    <w:rsid w:val="00E759C7"/>
    <w:rsid w:val="00E75EA1"/>
    <w:rsid w:val="00E75F48"/>
    <w:rsid w:val="00E76568"/>
    <w:rsid w:val="00E76CC3"/>
    <w:rsid w:val="00E77449"/>
    <w:rsid w:val="00E77E8E"/>
    <w:rsid w:val="00E80A8A"/>
    <w:rsid w:val="00E80C0D"/>
    <w:rsid w:val="00E811FE"/>
    <w:rsid w:val="00E81CA6"/>
    <w:rsid w:val="00E81D09"/>
    <w:rsid w:val="00E81EFF"/>
    <w:rsid w:val="00E8203B"/>
    <w:rsid w:val="00E82526"/>
    <w:rsid w:val="00E825F5"/>
    <w:rsid w:val="00E827E1"/>
    <w:rsid w:val="00E82C32"/>
    <w:rsid w:val="00E84ACA"/>
    <w:rsid w:val="00E86367"/>
    <w:rsid w:val="00E87C17"/>
    <w:rsid w:val="00E87E24"/>
    <w:rsid w:val="00E87FF3"/>
    <w:rsid w:val="00E9211A"/>
    <w:rsid w:val="00E925EB"/>
    <w:rsid w:val="00E92997"/>
    <w:rsid w:val="00E93BE8"/>
    <w:rsid w:val="00E9402E"/>
    <w:rsid w:val="00E9488C"/>
    <w:rsid w:val="00E95162"/>
    <w:rsid w:val="00E959CF"/>
    <w:rsid w:val="00E95A1D"/>
    <w:rsid w:val="00E95AF2"/>
    <w:rsid w:val="00E96118"/>
    <w:rsid w:val="00E96127"/>
    <w:rsid w:val="00E963B7"/>
    <w:rsid w:val="00E972B8"/>
    <w:rsid w:val="00E97CAD"/>
    <w:rsid w:val="00E97F47"/>
    <w:rsid w:val="00EA0621"/>
    <w:rsid w:val="00EA0776"/>
    <w:rsid w:val="00EA0B81"/>
    <w:rsid w:val="00EA1242"/>
    <w:rsid w:val="00EA214E"/>
    <w:rsid w:val="00EA25EB"/>
    <w:rsid w:val="00EA28D9"/>
    <w:rsid w:val="00EA2D40"/>
    <w:rsid w:val="00EA3469"/>
    <w:rsid w:val="00EA35BF"/>
    <w:rsid w:val="00EA3B2A"/>
    <w:rsid w:val="00EA46BD"/>
    <w:rsid w:val="00EA4827"/>
    <w:rsid w:val="00EA4CEA"/>
    <w:rsid w:val="00EA5B6C"/>
    <w:rsid w:val="00EA6191"/>
    <w:rsid w:val="00EA650A"/>
    <w:rsid w:val="00EA6E6C"/>
    <w:rsid w:val="00EA7007"/>
    <w:rsid w:val="00EB00B0"/>
    <w:rsid w:val="00EB0AE7"/>
    <w:rsid w:val="00EB2400"/>
    <w:rsid w:val="00EB2D3D"/>
    <w:rsid w:val="00EB34FF"/>
    <w:rsid w:val="00EB3688"/>
    <w:rsid w:val="00EB3BAB"/>
    <w:rsid w:val="00EB3E65"/>
    <w:rsid w:val="00EB4009"/>
    <w:rsid w:val="00EB46D4"/>
    <w:rsid w:val="00EB5184"/>
    <w:rsid w:val="00EB5502"/>
    <w:rsid w:val="00EB691D"/>
    <w:rsid w:val="00EC00E0"/>
    <w:rsid w:val="00EC093D"/>
    <w:rsid w:val="00EC0F1F"/>
    <w:rsid w:val="00EC10A4"/>
    <w:rsid w:val="00EC18DF"/>
    <w:rsid w:val="00EC1A3E"/>
    <w:rsid w:val="00EC1B93"/>
    <w:rsid w:val="00EC1EF0"/>
    <w:rsid w:val="00EC2838"/>
    <w:rsid w:val="00EC3134"/>
    <w:rsid w:val="00EC33B0"/>
    <w:rsid w:val="00EC33F9"/>
    <w:rsid w:val="00EC4243"/>
    <w:rsid w:val="00EC429B"/>
    <w:rsid w:val="00EC53A6"/>
    <w:rsid w:val="00EC607A"/>
    <w:rsid w:val="00EC6651"/>
    <w:rsid w:val="00EC66B7"/>
    <w:rsid w:val="00EC79A1"/>
    <w:rsid w:val="00ED0FB9"/>
    <w:rsid w:val="00ED105F"/>
    <w:rsid w:val="00ED2327"/>
    <w:rsid w:val="00ED4258"/>
    <w:rsid w:val="00ED4802"/>
    <w:rsid w:val="00ED4FBA"/>
    <w:rsid w:val="00ED549C"/>
    <w:rsid w:val="00ED55A6"/>
    <w:rsid w:val="00ED592D"/>
    <w:rsid w:val="00ED5DA5"/>
    <w:rsid w:val="00ED608E"/>
    <w:rsid w:val="00ED6769"/>
    <w:rsid w:val="00ED692F"/>
    <w:rsid w:val="00ED6CC9"/>
    <w:rsid w:val="00ED75F9"/>
    <w:rsid w:val="00ED7844"/>
    <w:rsid w:val="00EE0148"/>
    <w:rsid w:val="00EE0869"/>
    <w:rsid w:val="00EE15E7"/>
    <w:rsid w:val="00EE15EC"/>
    <w:rsid w:val="00EE1BA9"/>
    <w:rsid w:val="00EE2C9E"/>
    <w:rsid w:val="00EE3610"/>
    <w:rsid w:val="00EE4E91"/>
    <w:rsid w:val="00EE5F34"/>
    <w:rsid w:val="00EE621D"/>
    <w:rsid w:val="00EE69ED"/>
    <w:rsid w:val="00EE7420"/>
    <w:rsid w:val="00EE7569"/>
    <w:rsid w:val="00EE7F73"/>
    <w:rsid w:val="00EF0108"/>
    <w:rsid w:val="00EF06BD"/>
    <w:rsid w:val="00EF0BCA"/>
    <w:rsid w:val="00EF10E8"/>
    <w:rsid w:val="00EF1F6D"/>
    <w:rsid w:val="00EF259A"/>
    <w:rsid w:val="00EF26C0"/>
    <w:rsid w:val="00EF2A5F"/>
    <w:rsid w:val="00EF2FA7"/>
    <w:rsid w:val="00EF35DD"/>
    <w:rsid w:val="00EF363E"/>
    <w:rsid w:val="00EF36A3"/>
    <w:rsid w:val="00EF4082"/>
    <w:rsid w:val="00EF40D9"/>
    <w:rsid w:val="00EF4108"/>
    <w:rsid w:val="00EF53CF"/>
    <w:rsid w:val="00EF69F7"/>
    <w:rsid w:val="00EF725D"/>
    <w:rsid w:val="00EF7395"/>
    <w:rsid w:val="00F00506"/>
    <w:rsid w:val="00F008A9"/>
    <w:rsid w:val="00F00AB9"/>
    <w:rsid w:val="00F00FF9"/>
    <w:rsid w:val="00F01F22"/>
    <w:rsid w:val="00F02925"/>
    <w:rsid w:val="00F02D14"/>
    <w:rsid w:val="00F03B12"/>
    <w:rsid w:val="00F03F5C"/>
    <w:rsid w:val="00F0405F"/>
    <w:rsid w:val="00F053A7"/>
    <w:rsid w:val="00F0633F"/>
    <w:rsid w:val="00F06A8A"/>
    <w:rsid w:val="00F0708B"/>
    <w:rsid w:val="00F07770"/>
    <w:rsid w:val="00F078DC"/>
    <w:rsid w:val="00F117F7"/>
    <w:rsid w:val="00F12387"/>
    <w:rsid w:val="00F128B3"/>
    <w:rsid w:val="00F13841"/>
    <w:rsid w:val="00F13E02"/>
    <w:rsid w:val="00F141AC"/>
    <w:rsid w:val="00F14DE8"/>
    <w:rsid w:val="00F14DF5"/>
    <w:rsid w:val="00F15ABB"/>
    <w:rsid w:val="00F1639F"/>
    <w:rsid w:val="00F16691"/>
    <w:rsid w:val="00F1688F"/>
    <w:rsid w:val="00F17162"/>
    <w:rsid w:val="00F1753F"/>
    <w:rsid w:val="00F17590"/>
    <w:rsid w:val="00F1791F"/>
    <w:rsid w:val="00F20352"/>
    <w:rsid w:val="00F218D2"/>
    <w:rsid w:val="00F21E14"/>
    <w:rsid w:val="00F22F15"/>
    <w:rsid w:val="00F2329E"/>
    <w:rsid w:val="00F237A5"/>
    <w:rsid w:val="00F2402B"/>
    <w:rsid w:val="00F24D31"/>
    <w:rsid w:val="00F25BAC"/>
    <w:rsid w:val="00F25E22"/>
    <w:rsid w:val="00F26203"/>
    <w:rsid w:val="00F27599"/>
    <w:rsid w:val="00F3210A"/>
    <w:rsid w:val="00F329AC"/>
    <w:rsid w:val="00F32C00"/>
    <w:rsid w:val="00F32EE4"/>
    <w:rsid w:val="00F335A4"/>
    <w:rsid w:val="00F3381B"/>
    <w:rsid w:val="00F338C9"/>
    <w:rsid w:val="00F33DFB"/>
    <w:rsid w:val="00F33E9E"/>
    <w:rsid w:val="00F33EFC"/>
    <w:rsid w:val="00F35949"/>
    <w:rsid w:val="00F368F9"/>
    <w:rsid w:val="00F3690A"/>
    <w:rsid w:val="00F36B5A"/>
    <w:rsid w:val="00F36C6A"/>
    <w:rsid w:val="00F36E8A"/>
    <w:rsid w:val="00F3797C"/>
    <w:rsid w:val="00F37A8E"/>
    <w:rsid w:val="00F37AD6"/>
    <w:rsid w:val="00F37BE1"/>
    <w:rsid w:val="00F37CDF"/>
    <w:rsid w:val="00F37F70"/>
    <w:rsid w:val="00F4047E"/>
    <w:rsid w:val="00F405F2"/>
    <w:rsid w:val="00F40C97"/>
    <w:rsid w:val="00F40F24"/>
    <w:rsid w:val="00F40F67"/>
    <w:rsid w:val="00F4117A"/>
    <w:rsid w:val="00F41C2F"/>
    <w:rsid w:val="00F423FC"/>
    <w:rsid w:val="00F42E3B"/>
    <w:rsid w:val="00F43F10"/>
    <w:rsid w:val="00F44451"/>
    <w:rsid w:val="00F4487D"/>
    <w:rsid w:val="00F4554E"/>
    <w:rsid w:val="00F4584E"/>
    <w:rsid w:val="00F45E43"/>
    <w:rsid w:val="00F45F81"/>
    <w:rsid w:val="00F46E01"/>
    <w:rsid w:val="00F47760"/>
    <w:rsid w:val="00F47BBF"/>
    <w:rsid w:val="00F47C8F"/>
    <w:rsid w:val="00F5020E"/>
    <w:rsid w:val="00F50A0D"/>
    <w:rsid w:val="00F5157C"/>
    <w:rsid w:val="00F519F1"/>
    <w:rsid w:val="00F5270C"/>
    <w:rsid w:val="00F52751"/>
    <w:rsid w:val="00F52946"/>
    <w:rsid w:val="00F52EA7"/>
    <w:rsid w:val="00F52EE7"/>
    <w:rsid w:val="00F538BF"/>
    <w:rsid w:val="00F55344"/>
    <w:rsid w:val="00F56F1B"/>
    <w:rsid w:val="00F56FB4"/>
    <w:rsid w:val="00F57BCF"/>
    <w:rsid w:val="00F604ED"/>
    <w:rsid w:val="00F605E4"/>
    <w:rsid w:val="00F60929"/>
    <w:rsid w:val="00F60DA3"/>
    <w:rsid w:val="00F60FC1"/>
    <w:rsid w:val="00F613A2"/>
    <w:rsid w:val="00F61786"/>
    <w:rsid w:val="00F61CCF"/>
    <w:rsid w:val="00F61E01"/>
    <w:rsid w:val="00F623C2"/>
    <w:rsid w:val="00F626BE"/>
    <w:rsid w:val="00F62866"/>
    <w:rsid w:val="00F64D4C"/>
    <w:rsid w:val="00F67142"/>
    <w:rsid w:val="00F67BE6"/>
    <w:rsid w:val="00F67C6A"/>
    <w:rsid w:val="00F719AA"/>
    <w:rsid w:val="00F7206A"/>
    <w:rsid w:val="00F720C8"/>
    <w:rsid w:val="00F7338F"/>
    <w:rsid w:val="00F73D1E"/>
    <w:rsid w:val="00F73D46"/>
    <w:rsid w:val="00F746C7"/>
    <w:rsid w:val="00F74EA8"/>
    <w:rsid w:val="00F75A18"/>
    <w:rsid w:val="00F7685B"/>
    <w:rsid w:val="00F77587"/>
    <w:rsid w:val="00F8035B"/>
    <w:rsid w:val="00F80615"/>
    <w:rsid w:val="00F80835"/>
    <w:rsid w:val="00F80E5E"/>
    <w:rsid w:val="00F816CD"/>
    <w:rsid w:val="00F82831"/>
    <w:rsid w:val="00F83AE4"/>
    <w:rsid w:val="00F83ECB"/>
    <w:rsid w:val="00F84419"/>
    <w:rsid w:val="00F84823"/>
    <w:rsid w:val="00F84F03"/>
    <w:rsid w:val="00F84FB3"/>
    <w:rsid w:val="00F86880"/>
    <w:rsid w:val="00F86BC0"/>
    <w:rsid w:val="00F86F56"/>
    <w:rsid w:val="00F90071"/>
    <w:rsid w:val="00F905B5"/>
    <w:rsid w:val="00F91619"/>
    <w:rsid w:val="00F9295B"/>
    <w:rsid w:val="00F92C0B"/>
    <w:rsid w:val="00F92FE8"/>
    <w:rsid w:val="00F9311A"/>
    <w:rsid w:val="00F93FE4"/>
    <w:rsid w:val="00F945D3"/>
    <w:rsid w:val="00F9533C"/>
    <w:rsid w:val="00F95425"/>
    <w:rsid w:val="00F96A98"/>
    <w:rsid w:val="00F96DED"/>
    <w:rsid w:val="00F9794B"/>
    <w:rsid w:val="00F97C9F"/>
    <w:rsid w:val="00F97D83"/>
    <w:rsid w:val="00FA052C"/>
    <w:rsid w:val="00FA0CF6"/>
    <w:rsid w:val="00FA0EE2"/>
    <w:rsid w:val="00FA217C"/>
    <w:rsid w:val="00FA2650"/>
    <w:rsid w:val="00FA28F8"/>
    <w:rsid w:val="00FA2F31"/>
    <w:rsid w:val="00FA2FF5"/>
    <w:rsid w:val="00FA3091"/>
    <w:rsid w:val="00FA5101"/>
    <w:rsid w:val="00FA5F13"/>
    <w:rsid w:val="00FA6E56"/>
    <w:rsid w:val="00FA7C23"/>
    <w:rsid w:val="00FA7FA2"/>
    <w:rsid w:val="00FB03D7"/>
    <w:rsid w:val="00FB0AC5"/>
    <w:rsid w:val="00FB0CA1"/>
    <w:rsid w:val="00FB106E"/>
    <w:rsid w:val="00FB13A6"/>
    <w:rsid w:val="00FB18E5"/>
    <w:rsid w:val="00FB2526"/>
    <w:rsid w:val="00FB26CE"/>
    <w:rsid w:val="00FB2E20"/>
    <w:rsid w:val="00FB2FFB"/>
    <w:rsid w:val="00FB4096"/>
    <w:rsid w:val="00FB6075"/>
    <w:rsid w:val="00FB6173"/>
    <w:rsid w:val="00FB64C3"/>
    <w:rsid w:val="00FB6A12"/>
    <w:rsid w:val="00FB6E91"/>
    <w:rsid w:val="00FB79E5"/>
    <w:rsid w:val="00FC0599"/>
    <w:rsid w:val="00FC0A83"/>
    <w:rsid w:val="00FC13B5"/>
    <w:rsid w:val="00FC1819"/>
    <w:rsid w:val="00FC1DFD"/>
    <w:rsid w:val="00FC1F24"/>
    <w:rsid w:val="00FC27FE"/>
    <w:rsid w:val="00FC359E"/>
    <w:rsid w:val="00FC3A5A"/>
    <w:rsid w:val="00FC3D67"/>
    <w:rsid w:val="00FC459B"/>
    <w:rsid w:val="00FC46C7"/>
    <w:rsid w:val="00FC6E9F"/>
    <w:rsid w:val="00FC748D"/>
    <w:rsid w:val="00FC77C5"/>
    <w:rsid w:val="00FC78E6"/>
    <w:rsid w:val="00FC7B45"/>
    <w:rsid w:val="00FD009F"/>
    <w:rsid w:val="00FD03E4"/>
    <w:rsid w:val="00FD0C1F"/>
    <w:rsid w:val="00FD14E1"/>
    <w:rsid w:val="00FD19EE"/>
    <w:rsid w:val="00FD1B63"/>
    <w:rsid w:val="00FD1DA6"/>
    <w:rsid w:val="00FD23A9"/>
    <w:rsid w:val="00FD2604"/>
    <w:rsid w:val="00FD2BA3"/>
    <w:rsid w:val="00FD395A"/>
    <w:rsid w:val="00FD4965"/>
    <w:rsid w:val="00FD5C3C"/>
    <w:rsid w:val="00FD6E79"/>
    <w:rsid w:val="00FD7693"/>
    <w:rsid w:val="00FD7E15"/>
    <w:rsid w:val="00FE0EB1"/>
    <w:rsid w:val="00FE10E5"/>
    <w:rsid w:val="00FE1246"/>
    <w:rsid w:val="00FE133A"/>
    <w:rsid w:val="00FE1520"/>
    <w:rsid w:val="00FE2049"/>
    <w:rsid w:val="00FE21BB"/>
    <w:rsid w:val="00FE2AFE"/>
    <w:rsid w:val="00FE3378"/>
    <w:rsid w:val="00FE55C4"/>
    <w:rsid w:val="00FE582D"/>
    <w:rsid w:val="00FE642F"/>
    <w:rsid w:val="00FE67A7"/>
    <w:rsid w:val="00FE6CF9"/>
    <w:rsid w:val="00FE719B"/>
    <w:rsid w:val="00FE7801"/>
    <w:rsid w:val="00FE7980"/>
    <w:rsid w:val="00FF0C04"/>
    <w:rsid w:val="00FF0E62"/>
    <w:rsid w:val="00FF1EB2"/>
    <w:rsid w:val="00FF2DB0"/>
    <w:rsid w:val="00FF59BE"/>
    <w:rsid w:val="00FF6A74"/>
    <w:rsid w:val="00FF6A7B"/>
    <w:rsid w:val="00FF6BC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AFA7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footnote text" w:uiPriority="99" w:qFormat="1"/>
    <w:lsdException w:name="caption" w:qFormat="1"/>
    <w:lsdException w:name="table of figures" w:uiPriority="99"/>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73F2F"/>
    <w:rPr>
      <w:lang w:val="pt-PT" w:eastAsia="en-US"/>
    </w:rPr>
  </w:style>
  <w:style w:type="paragraph" w:styleId="Heading1">
    <w:name w:val="heading 1"/>
    <w:basedOn w:val="Normal"/>
    <w:next w:val="Normal"/>
    <w:link w:val="Heading1Char"/>
    <w:qFormat/>
    <w:rsid w:val="00B56E6C"/>
    <w:pPr>
      <w:keepNext/>
      <w:spacing w:line="280" w:lineRule="atLeast"/>
      <w:outlineLvl w:val="0"/>
    </w:pPr>
    <w:rPr>
      <w:rFonts w:ascii="Gill Sans MT" w:hAnsi="Gill Sans MT"/>
      <w:b/>
      <w:color w:val="604278"/>
      <w:kern w:val="32"/>
      <w:sz w:val="36"/>
      <w:szCs w:val="36"/>
      <w:lang w:val="en-GB"/>
    </w:rPr>
  </w:style>
  <w:style w:type="paragraph" w:styleId="Heading2">
    <w:name w:val="heading 2"/>
    <w:basedOn w:val="Normal"/>
    <w:next w:val="Normal"/>
    <w:link w:val="Heading2Char"/>
    <w:qFormat/>
    <w:rsid w:val="00760653"/>
    <w:pPr>
      <w:keepNext/>
      <w:spacing w:line="280" w:lineRule="atLeast"/>
      <w:outlineLvl w:val="1"/>
    </w:pPr>
    <w:rPr>
      <w:rFonts w:ascii="Gill Sans MT" w:hAnsi="Gill Sans MT" w:cs="Courier New"/>
      <w:bCs/>
      <w:color w:val="990099"/>
      <w:sz w:val="28"/>
      <w:szCs w:val="28"/>
      <w:lang w:val="en-GB"/>
    </w:rPr>
  </w:style>
  <w:style w:type="paragraph" w:styleId="Heading3">
    <w:name w:val="heading 3"/>
    <w:basedOn w:val="Normal"/>
    <w:next w:val="Normal"/>
    <w:qFormat/>
    <w:rsid w:val="00797E06"/>
    <w:pPr>
      <w:keepNext/>
      <w:spacing w:line="280" w:lineRule="atLeast"/>
      <w:outlineLvl w:val="2"/>
    </w:pPr>
    <w:rPr>
      <w:rFonts w:ascii="Gill Sans MT" w:hAnsi="Gill Sans MT"/>
      <w:color w:val="131313"/>
      <w:sz w:val="28"/>
      <w:szCs w:val="26"/>
      <w:lang w:val="en-GB"/>
    </w:rPr>
  </w:style>
  <w:style w:type="paragraph" w:styleId="Heading4">
    <w:name w:val="heading 4"/>
    <w:basedOn w:val="Normal"/>
    <w:next w:val="Normal"/>
    <w:link w:val="Heading4Char"/>
    <w:qFormat/>
    <w:rsid w:val="00560C6E"/>
    <w:pPr>
      <w:keepNext/>
      <w:spacing w:before="240" w:after="60"/>
      <w:outlineLvl w:val="3"/>
    </w:pPr>
    <w:rPr>
      <w:rFonts w:ascii="Calibri" w:hAnsi="Calibri"/>
      <w:b/>
      <w:bCs/>
      <w:sz w:val="28"/>
      <w:szCs w:val="28"/>
    </w:rPr>
  </w:style>
  <w:style w:type="paragraph" w:styleId="Heading5">
    <w:name w:val="heading 5"/>
    <w:aliases w:val=" Char"/>
    <w:basedOn w:val="Normal"/>
    <w:next w:val="Normal"/>
    <w:link w:val="Heading5Char"/>
    <w:qFormat/>
    <w:rsid w:val="00560C6E"/>
    <w:pPr>
      <w:spacing w:before="240" w:after="60"/>
      <w:outlineLvl w:val="4"/>
    </w:pPr>
    <w:rPr>
      <w:rFonts w:ascii="Calibri" w:hAnsi="Calibri"/>
      <w:b/>
      <w:bCs/>
      <w:i/>
      <w:iCs/>
      <w:sz w:val="26"/>
      <w:szCs w:val="26"/>
    </w:rPr>
  </w:style>
  <w:style w:type="paragraph" w:styleId="Heading8">
    <w:name w:val="heading 8"/>
    <w:basedOn w:val="Normal"/>
    <w:next w:val="Normal"/>
    <w:link w:val="Heading8Char"/>
    <w:qFormat/>
    <w:rsid w:val="00D50B1C"/>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semiHidden/>
    <w:rsid w:val="00560C6E"/>
    <w:rPr>
      <w:rFonts w:ascii="Calibri" w:eastAsia="Times New Roman" w:hAnsi="Calibri" w:cs="Times New Roman"/>
      <w:b/>
      <w:bCs/>
      <w:sz w:val="28"/>
      <w:szCs w:val="28"/>
      <w:lang w:val="pt-PT" w:eastAsia="en-US"/>
    </w:rPr>
  </w:style>
  <w:style w:type="paragraph" w:customStyle="1" w:styleId="a">
    <w:basedOn w:val="Normal"/>
    <w:rsid w:val="001D031C"/>
    <w:pPr>
      <w:spacing w:after="160" w:line="240" w:lineRule="exact"/>
    </w:pPr>
    <w:rPr>
      <w:rFonts w:cs="Arial"/>
      <w:sz w:val="20"/>
      <w:szCs w:val="20"/>
      <w:lang w:val="en-US"/>
    </w:rPr>
  </w:style>
  <w:style w:type="character" w:customStyle="1" w:styleId="Heading5Char">
    <w:name w:val="Heading 5 Char"/>
    <w:aliases w:val=" Char Char"/>
    <w:link w:val="Heading5"/>
    <w:semiHidden/>
    <w:rsid w:val="00560C6E"/>
    <w:rPr>
      <w:rFonts w:ascii="Calibri" w:eastAsia="Times New Roman" w:hAnsi="Calibri" w:cs="Times New Roman"/>
      <w:b/>
      <w:bCs/>
      <w:i/>
      <w:iCs/>
      <w:sz w:val="26"/>
      <w:szCs w:val="26"/>
      <w:lang w:val="pt-PT" w:eastAsia="en-US"/>
    </w:rPr>
  </w:style>
  <w:style w:type="table" w:styleId="TableGrid">
    <w:name w:val="Table Grid"/>
    <w:basedOn w:val="TableNormal"/>
    <w:uiPriority w:val="59"/>
    <w:rsid w:val="00285D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2E69"/>
    <w:pPr>
      <w:numPr>
        <w:numId w:val="1"/>
      </w:numPr>
      <w:spacing w:before="120" w:after="120" w:line="280" w:lineRule="atLeast"/>
      <w:jc w:val="both"/>
    </w:pPr>
    <w:rPr>
      <w:szCs w:val="20"/>
      <w:lang w:val="en-NZ"/>
    </w:rPr>
  </w:style>
  <w:style w:type="character" w:customStyle="1" w:styleId="BodyTextChar">
    <w:name w:val="Body Text Char"/>
    <w:link w:val="BodyText"/>
    <w:rsid w:val="001F5265"/>
    <w:rPr>
      <w:szCs w:val="20"/>
      <w:lang w:val="en-NZ" w:eastAsia="en-US"/>
    </w:rPr>
  </w:style>
  <w:style w:type="paragraph" w:customStyle="1" w:styleId="BoldLeft">
    <w:name w:val="Bold Left"/>
    <w:basedOn w:val="Normal"/>
    <w:next w:val="BodyText"/>
    <w:rsid w:val="00042E69"/>
    <w:pPr>
      <w:keepNext/>
      <w:keepLines/>
      <w:spacing w:before="240" w:after="120"/>
    </w:pPr>
    <w:rPr>
      <w:b/>
      <w:caps/>
      <w:kern w:val="28"/>
      <w:sz w:val="36"/>
      <w:szCs w:val="20"/>
      <w:lang w:val="en-NZ"/>
    </w:rPr>
  </w:style>
  <w:style w:type="character" w:styleId="Hyperlink">
    <w:name w:val="Hyperlink"/>
    <w:uiPriority w:val="99"/>
    <w:rsid w:val="00042E69"/>
    <w:rPr>
      <w:color w:val="0000FF"/>
      <w:u w:val="single"/>
    </w:rPr>
  </w:style>
  <w:style w:type="paragraph" w:styleId="Header">
    <w:name w:val="header"/>
    <w:aliases w:val="hd,address,ContentsHeader,heading 3 after h2,h,h3+"/>
    <w:basedOn w:val="Normal"/>
    <w:link w:val="HeaderChar"/>
    <w:rsid w:val="004D6A91"/>
    <w:pPr>
      <w:tabs>
        <w:tab w:val="center" w:pos="4320"/>
        <w:tab w:val="right" w:pos="8640"/>
      </w:tabs>
    </w:pPr>
  </w:style>
  <w:style w:type="paragraph" w:styleId="Footer">
    <w:name w:val="footer"/>
    <w:basedOn w:val="Normal"/>
    <w:rsid w:val="004D6A91"/>
    <w:pPr>
      <w:tabs>
        <w:tab w:val="center" w:pos="4320"/>
        <w:tab w:val="right" w:pos="8640"/>
      </w:tabs>
    </w:pPr>
  </w:style>
  <w:style w:type="character" w:styleId="PageNumber">
    <w:name w:val="page number"/>
    <w:basedOn w:val="DefaultParagraphFont"/>
    <w:rsid w:val="008B4415"/>
  </w:style>
  <w:style w:type="character" w:styleId="CommentReference">
    <w:name w:val="annotation reference"/>
    <w:semiHidden/>
    <w:rsid w:val="007D1F9F"/>
    <w:rPr>
      <w:sz w:val="16"/>
      <w:szCs w:val="16"/>
    </w:rPr>
  </w:style>
  <w:style w:type="paragraph" w:styleId="CommentText">
    <w:name w:val="annotation text"/>
    <w:basedOn w:val="Normal"/>
    <w:semiHidden/>
    <w:rsid w:val="007D1F9F"/>
    <w:rPr>
      <w:sz w:val="20"/>
      <w:szCs w:val="20"/>
    </w:rPr>
  </w:style>
  <w:style w:type="paragraph" w:styleId="CommentSubject">
    <w:name w:val="annotation subject"/>
    <w:basedOn w:val="CommentText"/>
    <w:next w:val="CommentText"/>
    <w:semiHidden/>
    <w:rsid w:val="007D1F9F"/>
    <w:rPr>
      <w:b/>
      <w:bCs/>
    </w:rPr>
  </w:style>
  <w:style w:type="paragraph" w:styleId="BalloonText">
    <w:name w:val="Balloon Text"/>
    <w:basedOn w:val="Normal"/>
    <w:semiHidden/>
    <w:rsid w:val="007D1F9F"/>
    <w:rPr>
      <w:rFonts w:ascii="Tahoma" w:hAnsi="Tahoma" w:cs="Tahoma"/>
      <w:sz w:val="16"/>
      <w:szCs w:val="16"/>
    </w:rPr>
  </w:style>
  <w:style w:type="paragraph" w:styleId="TOC1">
    <w:name w:val="toc 1"/>
    <w:basedOn w:val="Normal"/>
    <w:next w:val="Normal"/>
    <w:autoRedefine/>
    <w:uiPriority w:val="39"/>
    <w:rsid w:val="00CC5E88"/>
    <w:pPr>
      <w:spacing w:before="120"/>
    </w:pPr>
    <w:rPr>
      <w:rFonts w:ascii="Cambria" w:hAnsi="Cambria"/>
      <w:b/>
      <w:caps/>
      <w:sz w:val="22"/>
      <w:szCs w:val="22"/>
    </w:rPr>
  </w:style>
  <w:style w:type="paragraph" w:styleId="TOC2">
    <w:name w:val="toc 2"/>
    <w:basedOn w:val="Normal"/>
    <w:next w:val="Normal"/>
    <w:autoRedefine/>
    <w:uiPriority w:val="39"/>
    <w:rsid w:val="00851CB7"/>
    <w:pPr>
      <w:ind w:left="240"/>
    </w:pPr>
    <w:rPr>
      <w:rFonts w:ascii="Cambria" w:hAnsi="Cambria"/>
      <w:smallCaps/>
      <w:sz w:val="22"/>
      <w:szCs w:val="22"/>
    </w:rPr>
  </w:style>
  <w:style w:type="paragraph" w:customStyle="1" w:styleId="Review">
    <w:name w:val="Review"/>
    <w:basedOn w:val="Normal"/>
    <w:rsid w:val="00797E06"/>
    <w:pPr>
      <w:widowControl w:val="0"/>
      <w:tabs>
        <w:tab w:val="left" w:pos="227"/>
      </w:tabs>
      <w:suppressAutoHyphens/>
      <w:autoSpaceDE w:val="0"/>
      <w:autoSpaceDN w:val="0"/>
      <w:adjustRightInd w:val="0"/>
      <w:spacing w:line="280" w:lineRule="atLeast"/>
      <w:jc w:val="both"/>
      <w:textAlignment w:val="center"/>
    </w:pPr>
    <w:rPr>
      <w:rFonts w:ascii="Gill Sans MT" w:hAnsi="Gill Sans MT"/>
      <w:caps/>
      <w:color w:val="000000"/>
      <w:spacing w:val="12"/>
      <w:sz w:val="20"/>
      <w:szCs w:val="20"/>
      <w:lang w:val="en-GB"/>
    </w:rPr>
  </w:style>
  <w:style w:type="paragraph" w:customStyle="1" w:styleId="MainTitle">
    <w:name w:val="MainTitle"/>
    <w:basedOn w:val="Normal"/>
    <w:rsid w:val="00797E06"/>
    <w:pPr>
      <w:widowControl w:val="0"/>
      <w:tabs>
        <w:tab w:val="left" w:pos="227"/>
      </w:tabs>
      <w:suppressAutoHyphens/>
      <w:autoSpaceDE w:val="0"/>
      <w:autoSpaceDN w:val="0"/>
      <w:adjustRightInd w:val="0"/>
      <w:spacing w:line="400" w:lineRule="atLeast"/>
      <w:textAlignment w:val="center"/>
    </w:pPr>
    <w:rPr>
      <w:rFonts w:ascii="Gill Sans MT" w:hAnsi="Gill Sans MT"/>
      <w:color w:val="604278"/>
      <w:sz w:val="32"/>
      <w:szCs w:val="32"/>
      <w:lang w:val="en-GB"/>
    </w:rPr>
  </w:style>
  <w:style w:type="paragraph" w:customStyle="1" w:styleId="Author">
    <w:name w:val="Author"/>
    <w:basedOn w:val="Normal"/>
    <w:rsid w:val="00797E06"/>
    <w:pPr>
      <w:widowControl w:val="0"/>
      <w:tabs>
        <w:tab w:val="left" w:pos="227"/>
      </w:tabs>
      <w:suppressAutoHyphens/>
      <w:autoSpaceDE w:val="0"/>
      <w:autoSpaceDN w:val="0"/>
      <w:adjustRightInd w:val="0"/>
      <w:spacing w:after="120" w:line="340" w:lineRule="atLeast"/>
      <w:jc w:val="both"/>
      <w:textAlignment w:val="center"/>
    </w:pPr>
    <w:rPr>
      <w:rFonts w:ascii="Gill Sans MT" w:hAnsi="Gill Sans MT"/>
      <w:i/>
      <w:color w:val="000000"/>
      <w:sz w:val="26"/>
      <w:szCs w:val="26"/>
      <w:lang w:val="en-GB"/>
    </w:rPr>
  </w:style>
  <w:style w:type="paragraph" w:customStyle="1" w:styleId="ReportHeading">
    <w:name w:val="ReportHeading"/>
    <w:basedOn w:val="Normal"/>
    <w:rsid w:val="00797E06"/>
    <w:pPr>
      <w:widowControl w:val="0"/>
      <w:tabs>
        <w:tab w:val="left" w:pos="227"/>
      </w:tabs>
      <w:suppressAutoHyphens/>
      <w:autoSpaceDE w:val="0"/>
      <w:autoSpaceDN w:val="0"/>
      <w:adjustRightInd w:val="0"/>
      <w:spacing w:line="240" w:lineRule="atLeast"/>
      <w:jc w:val="both"/>
      <w:textAlignment w:val="center"/>
    </w:pPr>
    <w:rPr>
      <w:rFonts w:ascii="Gill Sans MT" w:hAnsi="Gill Sans MT"/>
      <w:color w:val="000000"/>
      <w:sz w:val="20"/>
      <w:lang w:val="en-GB"/>
    </w:rPr>
  </w:style>
  <w:style w:type="paragraph" w:customStyle="1" w:styleId="ReportDate">
    <w:name w:val="ReportDate"/>
    <w:basedOn w:val="Normal"/>
    <w:rsid w:val="00797E06"/>
    <w:pPr>
      <w:widowControl w:val="0"/>
      <w:tabs>
        <w:tab w:val="left" w:pos="227"/>
      </w:tabs>
      <w:suppressAutoHyphens/>
      <w:autoSpaceDE w:val="0"/>
      <w:autoSpaceDN w:val="0"/>
      <w:adjustRightInd w:val="0"/>
      <w:spacing w:before="80" w:line="280" w:lineRule="atLeast"/>
      <w:jc w:val="both"/>
      <w:textAlignment w:val="center"/>
    </w:pPr>
    <w:rPr>
      <w:rFonts w:ascii="Gill Sans MT" w:hAnsi="Gill Sans MT"/>
      <w:color w:val="000000"/>
      <w:sz w:val="20"/>
      <w:lang w:val="en-GB"/>
    </w:rPr>
  </w:style>
  <w:style w:type="paragraph" w:customStyle="1" w:styleId="Consultants">
    <w:name w:val="Consultants"/>
    <w:basedOn w:val="Normal"/>
    <w:rsid w:val="00DD0B2F"/>
    <w:pPr>
      <w:widowControl w:val="0"/>
      <w:autoSpaceDE w:val="0"/>
      <w:autoSpaceDN w:val="0"/>
      <w:adjustRightInd w:val="0"/>
      <w:spacing w:line="240" w:lineRule="atLeast"/>
      <w:jc w:val="center"/>
      <w:textAlignment w:val="center"/>
    </w:pPr>
    <w:rPr>
      <w:rFonts w:ascii="Gill Sans MT" w:hAnsi="Gill Sans MT"/>
      <w:caps/>
      <w:color w:val="604278"/>
      <w:spacing w:val="10"/>
      <w:sz w:val="16"/>
      <w:szCs w:val="16"/>
      <w:lang w:val="en-GB"/>
    </w:rPr>
  </w:style>
  <w:style w:type="paragraph" w:customStyle="1" w:styleId="Address">
    <w:name w:val="Address"/>
    <w:basedOn w:val="Normal"/>
    <w:rsid w:val="00DD0B2F"/>
    <w:pPr>
      <w:widowControl w:val="0"/>
      <w:autoSpaceDE w:val="0"/>
      <w:autoSpaceDN w:val="0"/>
      <w:adjustRightInd w:val="0"/>
      <w:spacing w:line="260" w:lineRule="atLeast"/>
      <w:jc w:val="center"/>
      <w:textAlignment w:val="center"/>
    </w:pPr>
    <w:rPr>
      <w:rFonts w:ascii="Gill Sans MT" w:hAnsi="Gill Sans MT"/>
      <w:color w:val="604278"/>
      <w:sz w:val="22"/>
      <w:szCs w:val="22"/>
      <w:lang w:val="en-GB"/>
    </w:rPr>
  </w:style>
  <w:style w:type="paragraph" w:customStyle="1" w:styleId="Registration">
    <w:name w:val="Registration"/>
    <w:basedOn w:val="Normal"/>
    <w:rsid w:val="00DD0B2F"/>
    <w:pPr>
      <w:widowControl w:val="0"/>
      <w:autoSpaceDE w:val="0"/>
      <w:autoSpaceDN w:val="0"/>
      <w:adjustRightInd w:val="0"/>
      <w:spacing w:line="200" w:lineRule="atLeast"/>
      <w:jc w:val="center"/>
      <w:textAlignment w:val="center"/>
    </w:pPr>
    <w:rPr>
      <w:rFonts w:ascii="Gill Sans MT" w:hAnsi="Gill Sans MT"/>
      <w:caps/>
      <w:color w:val="604278"/>
      <w:spacing w:val="5"/>
      <w:sz w:val="12"/>
      <w:szCs w:val="12"/>
      <w:lang w:val="en-GB"/>
    </w:rPr>
  </w:style>
  <w:style w:type="paragraph" w:customStyle="1" w:styleId="marginalnote">
    <w:name w:val="marginal note"/>
    <w:rsid w:val="00A43761"/>
    <w:pPr>
      <w:framePr w:w="1134" w:wrap="around" w:vAnchor="text" w:hAnchor="page" w:x="398" w:y="1"/>
      <w:tabs>
        <w:tab w:val="left" w:pos="567"/>
        <w:tab w:val="left" w:pos="1701"/>
        <w:tab w:val="left" w:pos="2835"/>
        <w:tab w:val="left" w:pos="3969"/>
        <w:tab w:val="center" w:pos="4253"/>
        <w:tab w:val="left" w:pos="5103"/>
        <w:tab w:val="left" w:pos="6237"/>
        <w:tab w:val="left" w:pos="7371"/>
        <w:tab w:val="right" w:pos="8505"/>
      </w:tabs>
      <w:spacing w:before="120"/>
    </w:pPr>
    <w:rPr>
      <w:i/>
      <w:lang w:val="en-NZ" w:eastAsia="en-US"/>
    </w:rPr>
  </w:style>
  <w:style w:type="character" w:customStyle="1" w:styleId="mbibi">
    <w:name w:val="mbibi"/>
    <w:semiHidden/>
    <w:rsid w:val="00A43761"/>
    <w:rPr>
      <w:rFonts w:ascii="Arial" w:hAnsi="Arial" w:cs="Arial"/>
      <w:b w:val="0"/>
      <w:bCs w:val="0"/>
      <w:i w:val="0"/>
      <w:iCs w:val="0"/>
      <w:strike w:val="0"/>
      <w:color w:val="auto"/>
      <w:sz w:val="20"/>
      <w:szCs w:val="20"/>
      <w:u w:val="none"/>
    </w:rPr>
  </w:style>
  <w:style w:type="character" w:styleId="FootnoteReference">
    <w:name w:val="footnote reference"/>
    <w:aliases w:val="ftref,Ref,de nota al pie,16 Point,Superscript 6 Point, BVI fnr,Char Char9,BVI fnr,BVI fnr Car Car,BVI fnr Car,BVI fnr Car Car Car Car,BVI fnr Car Car Car Car Char Car,Footnotes refss,Error-Fußnotenzeichen5,Error-Fußnotenzeichen6,fr"/>
    <w:uiPriority w:val="99"/>
    <w:rsid w:val="00946452"/>
    <w:rPr>
      <w:vertAlign w:val="superscript"/>
    </w:rPr>
  </w:style>
  <w:style w:type="paragraph" w:styleId="FootnoteText">
    <w:name w:val="footnote text"/>
    <w:aliases w:val="single space,FOOTNOTES,fn,Footnote Text Char Char Char Char,Footnote Text Char Char Char,footnote text,ADB,Footnote Text Char Char Char Char Char,Footnote Text Char Char1,ft,f,Geneva 9,Font: Geneva 9,Boston 10,Footnote Text Char1"/>
    <w:basedOn w:val="Normal"/>
    <w:link w:val="FootnoteTextChar"/>
    <w:uiPriority w:val="99"/>
    <w:qFormat/>
    <w:rsid w:val="00946452"/>
    <w:pPr>
      <w:spacing w:before="120" w:after="120"/>
      <w:ind w:left="284" w:hanging="284"/>
    </w:pPr>
    <w:rPr>
      <w:sz w:val="20"/>
      <w:szCs w:val="20"/>
      <w:lang w:val="en-NZ"/>
    </w:rPr>
  </w:style>
  <w:style w:type="paragraph" w:styleId="TOC3">
    <w:name w:val="toc 3"/>
    <w:basedOn w:val="Normal"/>
    <w:next w:val="Normal"/>
    <w:autoRedefine/>
    <w:semiHidden/>
    <w:rsid w:val="005E0B94"/>
    <w:pPr>
      <w:ind w:left="480"/>
    </w:pPr>
    <w:rPr>
      <w:rFonts w:ascii="Cambria" w:hAnsi="Cambria"/>
      <w:i/>
      <w:sz w:val="22"/>
      <w:szCs w:val="22"/>
    </w:rPr>
  </w:style>
  <w:style w:type="paragraph" w:styleId="Caption">
    <w:name w:val="caption"/>
    <w:aliases w:val=" Char Char Char,Char Char Char"/>
    <w:basedOn w:val="Normal"/>
    <w:next w:val="Normal"/>
    <w:link w:val="CaptionChar"/>
    <w:qFormat/>
    <w:rsid w:val="00CF2098"/>
    <w:rPr>
      <w:b/>
      <w:bCs/>
      <w:sz w:val="20"/>
      <w:szCs w:val="20"/>
    </w:rPr>
  </w:style>
  <w:style w:type="character" w:styleId="FollowedHyperlink">
    <w:name w:val="FollowedHyperlink"/>
    <w:rsid w:val="001320FE"/>
    <w:rPr>
      <w:color w:val="800080"/>
      <w:u w:val="single"/>
    </w:rPr>
  </w:style>
  <w:style w:type="paragraph" w:styleId="NormalWeb">
    <w:name w:val="Normal (Web)"/>
    <w:basedOn w:val="Normal"/>
    <w:uiPriority w:val="99"/>
    <w:rsid w:val="000333A8"/>
    <w:pPr>
      <w:spacing w:before="100" w:beforeAutospacing="1" w:after="100" w:afterAutospacing="1"/>
    </w:pPr>
    <w:rPr>
      <w:lang w:val="en-US"/>
    </w:rPr>
  </w:style>
  <w:style w:type="paragraph" w:styleId="BodyText3">
    <w:name w:val="Body Text 3"/>
    <w:basedOn w:val="Normal"/>
    <w:rsid w:val="006C6A10"/>
    <w:pPr>
      <w:spacing w:after="120"/>
    </w:pPr>
    <w:rPr>
      <w:sz w:val="16"/>
      <w:szCs w:val="16"/>
    </w:rPr>
  </w:style>
  <w:style w:type="paragraph" w:customStyle="1" w:styleId="Default">
    <w:name w:val="Default"/>
    <w:rsid w:val="00545016"/>
    <w:pPr>
      <w:autoSpaceDE w:val="0"/>
      <w:autoSpaceDN w:val="0"/>
      <w:adjustRightInd w:val="0"/>
    </w:pPr>
    <w:rPr>
      <w:color w:val="000000"/>
      <w:lang w:val="en-US" w:eastAsia="en-US"/>
    </w:rPr>
  </w:style>
  <w:style w:type="paragraph" w:customStyle="1" w:styleId="MediumGrid1-Accent21">
    <w:name w:val="Medium Grid 1 - Accent 21"/>
    <w:basedOn w:val="Normal"/>
    <w:uiPriority w:val="34"/>
    <w:qFormat/>
    <w:rsid w:val="004F347B"/>
    <w:pPr>
      <w:ind w:left="720"/>
    </w:pPr>
  </w:style>
  <w:style w:type="character" w:customStyle="1" w:styleId="CharChar">
    <w:name w:val="Char Char"/>
    <w:rsid w:val="005A6DCE"/>
    <w:rPr>
      <w:sz w:val="24"/>
      <w:lang w:val="en-NZ" w:eastAsia="en-US" w:bidi="ar-SA"/>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 Char Char Char Char"/>
    <w:basedOn w:val="Normal"/>
    <w:rsid w:val="000A5C0E"/>
    <w:pPr>
      <w:spacing w:after="160" w:line="240" w:lineRule="exact"/>
    </w:pPr>
    <w:rPr>
      <w:rFonts w:cs="Arial"/>
      <w:sz w:val="20"/>
      <w:szCs w:val="20"/>
      <w:lang w:val="en-US"/>
    </w:rPr>
  </w:style>
  <w:style w:type="paragraph" w:styleId="ListBullet">
    <w:name w:val="List Bullet"/>
    <w:aliases w:val=" Char Char Char Char Char Char Char Char Char Char, Char Char1 Char Char Char Char Char Char Char Char Char Char Char Char Char Char, Car1 Char Car Char Car Char Car Char Car Char Car Char Car Char Car Char Char Char Char Char Char"/>
    <w:basedOn w:val="Normal"/>
    <w:autoRedefine/>
    <w:rsid w:val="000E5558"/>
    <w:pPr>
      <w:ind w:left="720"/>
    </w:pPr>
    <w:rPr>
      <w:snapToGrid w:val="0"/>
      <w:lang w:val="en-GB" w:eastAsia="en-GB"/>
    </w:rPr>
  </w:style>
  <w:style w:type="paragraph" w:styleId="TableofFigures">
    <w:name w:val="table of figures"/>
    <w:basedOn w:val="Normal"/>
    <w:next w:val="Normal"/>
    <w:uiPriority w:val="99"/>
    <w:rsid w:val="004A2ACF"/>
  </w:style>
  <w:style w:type="character" w:customStyle="1" w:styleId="HeaderChar">
    <w:name w:val="Header Char"/>
    <w:aliases w:val="hd Char,address Char,ContentsHeader Char,heading 3 after h2 Char,h Char,h3+ Char"/>
    <w:link w:val="Header"/>
    <w:rsid w:val="00A57E48"/>
    <w:rPr>
      <w:sz w:val="24"/>
      <w:szCs w:val="24"/>
      <w:lang w:val="pt-PT" w:eastAsia="en-US"/>
    </w:rPr>
  </w:style>
  <w:style w:type="paragraph" w:styleId="EndnoteText">
    <w:name w:val="endnote text"/>
    <w:basedOn w:val="Normal"/>
    <w:link w:val="EndnoteTextChar"/>
    <w:rsid w:val="004B1F1E"/>
    <w:rPr>
      <w:sz w:val="20"/>
      <w:szCs w:val="20"/>
    </w:rPr>
  </w:style>
  <w:style w:type="character" w:customStyle="1" w:styleId="EndnoteTextChar">
    <w:name w:val="Endnote Text Char"/>
    <w:link w:val="EndnoteText"/>
    <w:rsid w:val="004B1F1E"/>
    <w:rPr>
      <w:lang w:val="pt-PT" w:eastAsia="en-US"/>
    </w:rPr>
  </w:style>
  <w:style w:type="character" w:styleId="EndnoteReference">
    <w:name w:val="endnote reference"/>
    <w:rsid w:val="004B1F1E"/>
    <w:rPr>
      <w:vertAlign w:val="superscript"/>
    </w:rPr>
  </w:style>
  <w:style w:type="table" w:styleId="TableClassic2">
    <w:name w:val="Table Classic 2"/>
    <w:basedOn w:val="TableNormal"/>
    <w:rsid w:val="00B51848"/>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MessageHeaderLast">
    <w:name w:val="Message Header Last"/>
    <w:rsid w:val="00E61B89"/>
  </w:style>
  <w:style w:type="paragraph" w:customStyle="1" w:styleId="CVstyle">
    <w:name w:val="CV style"/>
    <w:rsid w:val="00E61B89"/>
    <w:rPr>
      <w:rFonts w:ascii="Garamond" w:hAnsi="Garamond"/>
      <w:lang w:eastAsia="en-US"/>
    </w:rPr>
  </w:style>
  <w:style w:type="paragraph" w:styleId="MessageHeader">
    <w:name w:val="Message Header"/>
    <w:basedOn w:val="Normal"/>
    <w:link w:val="MessageHeaderChar"/>
    <w:rsid w:val="00E61B8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MessageHeaderChar">
    <w:name w:val="Message Header Char"/>
    <w:link w:val="MessageHeader"/>
    <w:rsid w:val="00E61B89"/>
    <w:rPr>
      <w:rFonts w:ascii="Cambria" w:eastAsia="Times New Roman" w:hAnsi="Cambria" w:cs="Times New Roman"/>
      <w:sz w:val="24"/>
      <w:szCs w:val="24"/>
      <w:shd w:val="pct20" w:color="auto" w:fill="auto"/>
      <w:lang w:val="pt-PT" w:eastAsia="en-US"/>
    </w:rPr>
  </w:style>
  <w:style w:type="paragraph" w:customStyle="1" w:styleId="normal9">
    <w:name w:val="normal9"/>
    <w:basedOn w:val="Normal"/>
    <w:link w:val="normal9Char"/>
    <w:rsid w:val="00D50B1C"/>
    <w:pPr>
      <w:spacing w:after="60"/>
    </w:pPr>
    <w:rPr>
      <w:rFonts w:ascii="Arial" w:hAnsi="Arial"/>
      <w:sz w:val="18"/>
      <w:szCs w:val="20"/>
    </w:rPr>
  </w:style>
  <w:style w:type="character" w:customStyle="1" w:styleId="normal9Char">
    <w:name w:val="normal9 Char"/>
    <w:link w:val="normal9"/>
    <w:rsid w:val="00D50B1C"/>
    <w:rPr>
      <w:rFonts w:ascii="Arial" w:hAnsi="Arial"/>
      <w:sz w:val="18"/>
      <w:lang w:eastAsia="en-US"/>
    </w:rPr>
  </w:style>
  <w:style w:type="paragraph" w:styleId="BodyTextIndent2">
    <w:name w:val="Body Text Indent 2"/>
    <w:basedOn w:val="Normal"/>
    <w:link w:val="BodyTextIndent2Char"/>
    <w:rsid w:val="00D50B1C"/>
    <w:pPr>
      <w:autoSpaceDE w:val="0"/>
      <w:autoSpaceDN w:val="0"/>
      <w:spacing w:after="120" w:line="480" w:lineRule="auto"/>
      <w:ind w:left="283"/>
    </w:pPr>
    <w:rPr>
      <w:sz w:val="20"/>
      <w:szCs w:val="20"/>
      <w:lang w:eastAsia="fr-FR"/>
    </w:rPr>
  </w:style>
  <w:style w:type="character" w:customStyle="1" w:styleId="BodyTextIndent2Char">
    <w:name w:val="Body Text Indent 2 Char"/>
    <w:link w:val="BodyTextIndent2"/>
    <w:rsid w:val="00D50B1C"/>
    <w:rPr>
      <w:lang w:eastAsia="fr-FR"/>
    </w:rPr>
  </w:style>
  <w:style w:type="paragraph" w:customStyle="1" w:styleId="1AutoList1">
    <w:name w:val="1AutoList1"/>
    <w:rsid w:val="00D50B1C"/>
    <w:pPr>
      <w:widowControl w:val="0"/>
      <w:tabs>
        <w:tab w:val="left" w:pos="720"/>
      </w:tabs>
      <w:ind w:left="720" w:hanging="720"/>
      <w:jc w:val="both"/>
    </w:pPr>
    <w:rPr>
      <w:snapToGrid w:val="0"/>
      <w:lang w:eastAsia="en-US"/>
    </w:rPr>
  </w:style>
  <w:style w:type="paragraph" w:styleId="Subtitle">
    <w:name w:val="Subtitle"/>
    <w:basedOn w:val="Normal"/>
    <w:link w:val="SubtitleChar"/>
    <w:qFormat/>
    <w:rsid w:val="00D50B1C"/>
    <w:rPr>
      <w:rFonts w:ascii="Garamond" w:hAnsi="Garamond"/>
      <w:szCs w:val="20"/>
    </w:rPr>
  </w:style>
  <w:style w:type="character" w:customStyle="1" w:styleId="SubtitleChar">
    <w:name w:val="Subtitle Char"/>
    <w:link w:val="Subtitle"/>
    <w:rsid w:val="00D50B1C"/>
    <w:rPr>
      <w:rFonts w:ascii="Garamond" w:hAnsi="Garamond"/>
      <w:sz w:val="24"/>
      <w:lang w:val="pt-PT" w:eastAsia="en-US"/>
    </w:rPr>
  </w:style>
  <w:style w:type="paragraph" w:customStyle="1" w:styleId="Nomedaempresa">
    <w:name w:val="Nome da empresa"/>
    <w:basedOn w:val="Normal"/>
    <w:next w:val="Cargo"/>
    <w:rsid w:val="00D50B1C"/>
    <w:pPr>
      <w:tabs>
        <w:tab w:val="left" w:pos="1440"/>
        <w:tab w:val="right" w:pos="6480"/>
      </w:tabs>
      <w:spacing w:before="220" w:line="220" w:lineRule="atLeast"/>
    </w:pPr>
    <w:rPr>
      <w:rFonts w:ascii="Garamond" w:hAnsi="Garamond"/>
      <w:sz w:val="22"/>
      <w:szCs w:val="20"/>
      <w:lang w:eastAsia="pt-PT"/>
    </w:rPr>
  </w:style>
  <w:style w:type="paragraph" w:customStyle="1" w:styleId="Cargo">
    <w:name w:val="Cargo"/>
    <w:next w:val="Normal"/>
    <w:rsid w:val="00D50B1C"/>
    <w:pPr>
      <w:spacing w:before="40" w:after="40" w:line="220" w:lineRule="atLeast"/>
    </w:pPr>
    <w:rPr>
      <w:rFonts w:ascii="Garamond" w:hAnsi="Garamond"/>
      <w:i/>
      <w:spacing w:val="5"/>
      <w:sz w:val="23"/>
      <w:lang w:val="pt-PT" w:eastAsia="pt-PT"/>
    </w:rPr>
  </w:style>
  <w:style w:type="paragraph" w:customStyle="1" w:styleId="Objectivo">
    <w:name w:val="Objectivo"/>
    <w:basedOn w:val="Normal"/>
    <w:next w:val="BodyText"/>
    <w:rsid w:val="00D50B1C"/>
    <w:pPr>
      <w:spacing w:before="60" w:after="220" w:line="220" w:lineRule="atLeast"/>
      <w:jc w:val="both"/>
    </w:pPr>
    <w:rPr>
      <w:rFonts w:ascii="Garamond" w:hAnsi="Garamond"/>
      <w:sz w:val="22"/>
      <w:szCs w:val="20"/>
      <w:lang w:eastAsia="pt-PT"/>
    </w:rPr>
  </w:style>
  <w:style w:type="paragraph" w:customStyle="1" w:styleId="Realizaes">
    <w:name w:val="Realizações"/>
    <w:basedOn w:val="BodyText"/>
    <w:rsid w:val="00D50B1C"/>
    <w:pPr>
      <w:numPr>
        <w:numId w:val="3"/>
      </w:numPr>
      <w:spacing w:before="0" w:after="60" w:line="240" w:lineRule="atLeast"/>
    </w:pPr>
    <w:rPr>
      <w:rFonts w:ascii="Garamond" w:eastAsia="MS Mincho" w:hAnsi="Garamond"/>
      <w:sz w:val="22"/>
      <w:lang w:val="pt-PT" w:eastAsia="pt-PT"/>
    </w:rPr>
  </w:style>
  <w:style w:type="character" w:customStyle="1" w:styleId="MessageHeaderLabel">
    <w:name w:val="Message Header Label"/>
    <w:rsid w:val="00D50B1C"/>
    <w:rPr>
      <w:rFonts w:ascii="Helvetica" w:hAnsi="Helvetica"/>
      <w:b/>
      <w:caps/>
      <w:sz w:val="18"/>
    </w:rPr>
  </w:style>
  <w:style w:type="paragraph" w:customStyle="1" w:styleId="CVHEAD">
    <w:name w:val="CVHEAD"/>
    <w:basedOn w:val="Normal"/>
    <w:next w:val="Normal"/>
    <w:rsid w:val="00D50B1C"/>
    <w:pPr>
      <w:tabs>
        <w:tab w:val="left" w:pos="0"/>
        <w:tab w:val="right" w:pos="9066"/>
      </w:tabs>
      <w:spacing w:before="480" w:after="240" w:line="260" w:lineRule="exact"/>
      <w:jc w:val="both"/>
    </w:pPr>
    <w:rPr>
      <w:rFonts w:ascii="Times" w:hAnsi="Times"/>
      <w:b/>
      <w:noProof/>
      <w:sz w:val="22"/>
      <w:szCs w:val="20"/>
      <w:lang w:val="en-GB"/>
    </w:rPr>
  </w:style>
  <w:style w:type="table" w:customStyle="1" w:styleId="CVTable">
    <w:name w:val="CV_Table"/>
    <w:basedOn w:val="TableNormal"/>
    <w:rsid w:val="00D50B1C"/>
    <w:rPr>
      <w:rFonts w:ascii="Arial" w:hAnsi="Arial"/>
      <w:sz w:val="22"/>
    </w:rPr>
    <w:tblPr>
      <w:tblInd w:w="0" w:type="dxa"/>
      <w:tblCellMar>
        <w:top w:w="0" w:type="dxa"/>
        <w:left w:w="0" w:type="dxa"/>
        <w:bottom w:w="0" w:type="dxa"/>
        <w:right w:w="0" w:type="dxa"/>
      </w:tblCellMar>
    </w:tblPr>
    <w:tblStylePr w:type="firstCol">
      <w:pPr>
        <w:wordWrap/>
        <w:spacing w:afterLines="100" w:afterAutospacing="0"/>
      </w:pPr>
      <w:rPr>
        <w:rFonts w:ascii="Arial" w:hAnsi="Arial"/>
        <w:b/>
        <w:caps/>
        <w:smallCaps w:val="0"/>
        <w:sz w:val="22"/>
      </w:rPr>
    </w:tblStylePr>
    <w:tblStylePr w:type="lastCol">
      <w:pPr>
        <w:wordWrap/>
        <w:spacing w:afterLines="100" w:afterAutospacing="0"/>
        <w:jc w:val="both"/>
      </w:pPr>
      <w:rPr>
        <w:rFonts w:ascii="Arial" w:hAnsi="Arial"/>
        <w:sz w:val="22"/>
      </w:rPr>
      <w:tblPr/>
      <w:trPr>
        <w:cantSplit/>
      </w:trPr>
    </w:tblStylePr>
  </w:style>
  <w:style w:type="paragraph" w:customStyle="1" w:styleId="BodyText1">
    <w:name w:val="Body Text1"/>
    <w:aliases w:val="OPM"/>
    <w:basedOn w:val="Normal"/>
    <w:rsid w:val="00D50B1C"/>
    <w:pPr>
      <w:spacing w:after="240"/>
      <w:jc w:val="both"/>
    </w:pPr>
    <w:rPr>
      <w:rFonts w:ascii="Arial" w:hAnsi="Arial"/>
      <w:sz w:val="22"/>
      <w:szCs w:val="20"/>
      <w:lang w:val="en-GB"/>
    </w:rPr>
  </w:style>
  <w:style w:type="paragraph" w:customStyle="1" w:styleId="CVHeaders">
    <w:name w:val="CV Headers"/>
    <w:link w:val="CVHeadersCharChar"/>
    <w:rsid w:val="00D50B1C"/>
    <w:pPr>
      <w:spacing w:before="120" w:after="120"/>
    </w:pPr>
    <w:rPr>
      <w:b/>
      <w:sz w:val="22"/>
      <w:szCs w:val="22"/>
      <w:lang w:eastAsia="en-US"/>
    </w:rPr>
  </w:style>
  <w:style w:type="character" w:customStyle="1" w:styleId="CVHeadersCharChar">
    <w:name w:val="CV Headers Char Char"/>
    <w:link w:val="CVHeaders"/>
    <w:rsid w:val="00D50B1C"/>
    <w:rPr>
      <w:b/>
      <w:sz w:val="22"/>
      <w:szCs w:val="22"/>
      <w:lang w:val="en-GB" w:eastAsia="en-US" w:bidi="ar-SA"/>
    </w:rPr>
  </w:style>
  <w:style w:type="paragraph" w:customStyle="1" w:styleId="CVTableHeading">
    <w:name w:val="CV Table Heading"/>
    <w:basedOn w:val="Normal"/>
    <w:rsid w:val="00D50B1C"/>
    <w:pPr>
      <w:keepNext/>
      <w:spacing w:before="120"/>
      <w:jc w:val="center"/>
    </w:pPr>
    <w:rPr>
      <w:b/>
      <w:bCs/>
      <w:sz w:val="22"/>
      <w:szCs w:val="20"/>
      <w:lang w:val="en-GB"/>
    </w:rPr>
  </w:style>
  <w:style w:type="paragraph" w:customStyle="1" w:styleId="CVTableText">
    <w:name w:val="CV Table Text"/>
    <w:rsid w:val="00D50B1C"/>
    <w:pPr>
      <w:spacing w:before="120"/>
    </w:pPr>
    <w:rPr>
      <w:sz w:val="22"/>
      <w:lang w:eastAsia="en-US"/>
    </w:rPr>
  </w:style>
  <w:style w:type="paragraph" w:styleId="BodyTextIndent">
    <w:name w:val="Body Text Indent"/>
    <w:basedOn w:val="Normal"/>
    <w:link w:val="BodyTextIndentChar"/>
    <w:rsid w:val="00D50B1C"/>
    <w:pPr>
      <w:spacing w:after="120"/>
      <w:ind w:left="283"/>
    </w:pPr>
  </w:style>
  <w:style w:type="character" w:customStyle="1" w:styleId="BodyTextIndentChar">
    <w:name w:val="Body Text Indent Char"/>
    <w:link w:val="BodyTextIndent"/>
    <w:rsid w:val="00D50B1C"/>
    <w:rPr>
      <w:sz w:val="24"/>
      <w:szCs w:val="24"/>
      <w:lang w:val="pt-PT" w:eastAsia="en-US"/>
    </w:rPr>
  </w:style>
  <w:style w:type="character" w:customStyle="1" w:styleId="Heading8Char">
    <w:name w:val="Heading 8 Char"/>
    <w:link w:val="Heading8"/>
    <w:rsid w:val="00D50B1C"/>
    <w:rPr>
      <w:i/>
      <w:iCs/>
      <w:sz w:val="24"/>
      <w:szCs w:val="24"/>
      <w:lang w:val="pt-PT" w:eastAsia="en-US"/>
    </w:rPr>
  </w:style>
  <w:style w:type="paragraph" w:styleId="PlainText">
    <w:name w:val="Plain Text"/>
    <w:basedOn w:val="Normal"/>
    <w:link w:val="PlainTextChar"/>
    <w:rsid w:val="00D50B1C"/>
    <w:rPr>
      <w:rFonts w:ascii="Arial" w:hAnsi="Arial"/>
      <w:color w:val="0000FF"/>
      <w:sz w:val="20"/>
      <w:szCs w:val="20"/>
      <w:lang w:val="en-US"/>
    </w:rPr>
  </w:style>
  <w:style w:type="character" w:customStyle="1" w:styleId="PlainTextChar">
    <w:name w:val="Plain Text Char"/>
    <w:link w:val="PlainText"/>
    <w:rsid w:val="00D50B1C"/>
    <w:rPr>
      <w:rFonts w:ascii="Arial" w:hAnsi="Arial" w:cs="Arial"/>
      <w:color w:val="0000FF"/>
      <w:lang w:val="en-US" w:eastAsia="en-US"/>
    </w:rPr>
  </w:style>
  <w:style w:type="character" w:styleId="Emphasis">
    <w:name w:val="Emphasis"/>
    <w:qFormat/>
    <w:rsid w:val="00D50B1C"/>
    <w:rPr>
      <w:b/>
      <w:bCs/>
      <w:i w:val="0"/>
      <w:iCs w:val="0"/>
    </w:rPr>
  </w:style>
  <w:style w:type="paragraph" w:customStyle="1" w:styleId="Style1">
    <w:name w:val="Style1"/>
    <w:basedOn w:val="Normal"/>
    <w:rsid w:val="005934B8"/>
    <w:pPr>
      <w:spacing w:after="120"/>
    </w:pPr>
    <w:rPr>
      <w:rFonts w:ascii="Arial" w:hAnsi="Arial"/>
      <w:sz w:val="20"/>
      <w:lang w:val="en-GB"/>
    </w:rPr>
  </w:style>
  <w:style w:type="character" w:customStyle="1" w:styleId="Puesto">
    <w:name w:val="Puesto"/>
    <w:rsid w:val="005934B8"/>
    <w:rPr>
      <w:i/>
      <w:iCs/>
    </w:rPr>
  </w:style>
  <w:style w:type="paragraph" w:styleId="BodyText2">
    <w:name w:val="Body Text 2"/>
    <w:basedOn w:val="Normal"/>
    <w:link w:val="BodyText2Char"/>
    <w:rsid w:val="001F74A3"/>
    <w:pPr>
      <w:spacing w:after="120" w:line="480" w:lineRule="auto"/>
    </w:pPr>
  </w:style>
  <w:style w:type="character" w:customStyle="1" w:styleId="BodyText2Char">
    <w:name w:val="Body Text 2 Char"/>
    <w:link w:val="BodyText2"/>
    <w:rsid w:val="001F74A3"/>
    <w:rPr>
      <w:sz w:val="24"/>
      <w:szCs w:val="24"/>
      <w:lang w:val="pt-PT" w:eastAsia="en-US"/>
    </w:rPr>
  </w:style>
  <w:style w:type="character" w:customStyle="1" w:styleId="normal10Char">
    <w:name w:val="normal10 Char"/>
    <w:rsid w:val="00CC77B7"/>
    <w:rPr>
      <w:rFonts w:ascii="Arial" w:hAnsi="Arial"/>
      <w:sz w:val="18"/>
      <w:lang w:val="en-GB" w:eastAsia="ar-SA" w:bidi="ar-SA"/>
    </w:rPr>
  </w:style>
  <w:style w:type="character" w:customStyle="1" w:styleId="greytitleChar">
    <w:name w:val="greytitle Char"/>
    <w:rsid w:val="00CC77B7"/>
    <w:rPr>
      <w:rFonts w:ascii="Arial" w:hAnsi="Arial"/>
      <w:b/>
      <w:color w:val="808080"/>
      <w:lang w:val="en-GB" w:eastAsia="ar-SA" w:bidi="ar-SA"/>
    </w:rPr>
  </w:style>
  <w:style w:type="paragraph" w:customStyle="1" w:styleId="normal10">
    <w:name w:val="normal10"/>
    <w:basedOn w:val="normal9"/>
    <w:rsid w:val="00CC77B7"/>
    <w:pPr>
      <w:suppressAutoHyphens/>
    </w:pPr>
    <w:rPr>
      <w:sz w:val="20"/>
      <w:lang w:eastAsia="ar-SA"/>
    </w:rPr>
  </w:style>
  <w:style w:type="paragraph" w:customStyle="1" w:styleId="greytitle">
    <w:name w:val="greytitle"/>
    <w:basedOn w:val="Normal"/>
    <w:rsid w:val="00CC77B7"/>
    <w:pPr>
      <w:suppressAutoHyphens/>
      <w:spacing w:after="60"/>
    </w:pPr>
    <w:rPr>
      <w:rFonts w:ascii="Arial" w:hAnsi="Arial"/>
      <w:b/>
      <w:color w:val="808080"/>
      <w:sz w:val="20"/>
      <w:szCs w:val="20"/>
      <w:lang w:val="en-GB" w:eastAsia="ar-SA"/>
    </w:rPr>
  </w:style>
  <w:style w:type="paragraph" w:customStyle="1" w:styleId="Detailsin10">
    <w:name w:val="Details in 10"/>
    <w:basedOn w:val="Normal"/>
    <w:rsid w:val="00CC77B7"/>
    <w:pPr>
      <w:suppressAutoHyphens/>
      <w:spacing w:after="60"/>
    </w:pPr>
    <w:rPr>
      <w:rFonts w:ascii="Arial" w:hAnsi="Arial"/>
      <w:sz w:val="20"/>
      <w:szCs w:val="20"/>
      <w:lang w:val="en-GB" w:eastAsia="ar-SA"/>
    </w:rPr>
  </w:style>
  <w:style w:type="character" w:customStyle="1" w:styleId="FootnoteTextChar">
    <w:name w:val="Footnote Text Char"/>
    <w:aliases w:val="single space Char,FOOTNOTES Char,fn Char,Footnote Text Char Char Char Char Char1,Footnote Text Char Char Char Char1,footnote text Char,ADB Char,Footnote Text Char Char Char Char Char Char,Footnote Text Char Char1 Char,ft Char,f Char"/>
    <w:link w:val="FootnoteText"/>
    <w:uiPriority w:val="99"/>
    <w:rsid w:val="009B1D2E"/>
    <w:rPr>
      <w:lang w:val="en-NZ" w:eastAsia="en-US"/>
    </w:rPr>
  </w:style>
  <w:style w:type="paragraph" w:customStyle="1" w:styleId="FreeForm">
    <w:name w:val="Free Form"/>
    <w:rsid w:val="00E64A9A"/>
    <w:rPr>
      <w:rFonts w:eastAsia="ヒラギノ角ゴ Pro W3"/>
      <w:color w:val="000000"/>
    </w:rPr>
  </w:style>
  <w:style w:type="paragraph" w:customStyle="1" w:styleId="Header1">
    <w:name w:val="Header1"/>
    <w:rsid w:val="00E64A9A"/>
    <w:pPr>
      <w:tabs>
        <w:tab w:val="center" w:pos="4320"/>
        <w:tab w:val="right" w:pos="8640"/>
      </w:tabs>
    </w:pPr>
    <w:rPr>
      <w:rFonts w:ascii="Arial" w:eastAsia="ヒラギノ角ゴ Pro W3" w:hAnsi="Arial"/>
      <w:color w:val="000000"/>
      <w:lang w:val="en-US"/>
    </w:rPr>
  </w:style>
  <w:style w:type="paragraph" w:customStyle="1" w:styleId="Heading1AA">
    <w:name w:val="Heading 1 A A"/>
    <w:next w:val="Normal"/>
    <w:rsid w:val="001D4728"/>
    <w:pPr>
      <w:keepNext/>
      <w:tabs>
        <w:tab w:val="left" w:pos="0"/>
      </w:tabs>
      <w:suppressAutoHyphens/>
      <w:spacing w:before="240" w:after="60"/>
      <w:outlineLvl w:val="0"/>
    </w:pPr>
    <w:rPr>
      <w:rFonts w:ascii="Arial Bold" w:eastAsia="ヒラギノ角ゴ Pro W3" w:hAnsi="Arial Bold"/>
      <w:color w:val="000000"/>
      <w:kern w:val="1"/>
      <w:sz w:val="32"/>
    </w:rPr>
  </w:style>
  <w:style w:type="paragraph" w:customStyle="1" w:styleId="Heading2AA">
    <w:name w:val="Heading 2 A A"/>
    <w:next w:val="Normal"/>
    <w:autoRedefine/>
    <w:rsid w:val="001D4728"/>
    <w:pPr>
      <w:keepNext/>
      <w:tabs>
        <w:tab w:val="left" w:pos="0"/>
      </w:tabs>
      <w:suppressAutoHyphens/>
      <w:spacing w:after="120"/>
      <w:jc w:val="center"/>
      <w:outlineLvl w:val="1"/>
    </w:pPr>
    <w:rPr>
      <w:rFonts w:ascii="Arial" w:eastAsia="ヒラギノ角ゴ Pro W3" w:hAnsi="Arial"/>
      <w:color w:val="000000"/>
    </w:rPr>
  </w:style>
  <w:style w:type="character" w:customStyle="1" w:styleId="Hyperlink1">
    <w:name w:val="Hyperlink1"/>
    <w:rsid w:val="001D4728"/>
    <w:rPr>
      <w:color w:val="003AD1"/>
      <w:sz w:val="20"/>
      <w:u w:val="single"/>
    </w:rPr>
  </w:style>
  <w:style w:type="paragraph" w:customStyle="1" w:styleId="Heading3AA">
    <w:name w:val="Heading 3 A A"/>
    <w:next w:val="Normal"/>
    <w:autoRedefine/>
    <w:rsid w:val="00682787"/>
    <w:pPr>
      <w:keepNext/>
      <w:tabs>
        <w:tab w:val="left" w:pos="0"/>
      </w:tabs>
      <w:suppressAutoHyphens/>
      <w:spacing w:before="60" w:after="60"/>
      <w:outlineLvl w:val="2"/>
    </w:pPr>
    <w:rPr>
      <w:rFonts w:ascii="Arial Bold" w:eastAsia="ヒラギノ角ゴ Pro W3" w:hAnsi="Arial Bold"/>
      <w:color w:val="000000"/>
    </w:rPr>
  </w:style>
  <w:style w:type="paragraph" w:customStyle="1" w:styleId="FreeFormA">
    <w:name w:val="Free Form A"/>
    <w:rsid w:val="001D4728"/>
    <w:rPr>
      <w:rFonts w:eastAsia="ヒラギノ角ゴ Pro W3"/>
      <w:color w:val="000000"/>
    </w:rPr>
  </w:style>
  <w:style w:type="paragraph" w:customStyle="1" w:styleId="BodyText10">
    <w:name w:val="Body Text1"/>
    <w:rsid w:val="00D32EA9"/>
    <w:pPr>
      <w:tabs>
        <w:tab w:val="left" w:pos="284"/>
      </w:tabs>
      <w:spacing w:before="120" w:after="120" w:line="280" w:lineRule="atLeast"/>
      <w:jc w:val="both"/>
    </w:pPr>
    <w:rPr>
      <w:rFonts w:eastAsia="ヒラギノ角ゴ Pro W3"/>
      <w:color w:val="000000"/>
      <w:lang w:val="en-US"/>
    </w:rPr>
  </w:style>
  <w:style w:type="paragraph" w:customStyle="1" w:styleId="FreeFormB">
    <w:name w:val="Free Form B"/>
    <w:rsid w:val="00D32EA9"/>
    <w:rPr>
      <w:rFonts w:eastAsia="ヒラギノ角ゴ Pro W3"/>
      <w:color w:val="000000"/>
    </w:rPr>
  </w:style>
  <w:style w:type="paragraph" w:styleId="Title">
    <w:name w:val="Title"/>
    <w:basedOn w:val="Normal"/>
    <w:link w:val="TitleChar"/>
    <w:qFormat/>
    <w:rsid w:val="006763B9"/>
    <w:pPr>
      <w:widowControl w:val="0"/>
      <w:autoSpaceDE w:val="0"/>
      <w:autoSpaceDN w:val="0"/>
      <w:adjustRightInd w:val="0"/>
      <w:jc w:val="center"/>
    </w:pPr>
    <w:rPr>
      <w:rFonts w:ascii="Arial" w:hAnsi="Arial"/>
      <w:sz w:val="48"/>
    </w:rPr>
  </w:style>
  <w:style w:type="character" w:customStyle="1" w:styleId="TitleChar">
    <w:name w:val="Title Char"/>
    <w:link w:val="Title"/>
    <w:rsid w:val="006763B9"/>
    <w:rPr>
      <w:rFonts w:ascii="Arial" w:hAnsi="Arial"/>
      <w:sz w:val="48"/>
      <w:szCs w:val="24"/>
      <w:lang w:eastAsia="en-US"/>
    </w:rPr>
  </w:style>
  <w:style w:type="character" w:customStyle="1" w:styleId="1">
    <w:name w:val="1"/>
    <w:semiHidden/>
    <w:rsid w:val="000B260B"/>
    <w:rPr>
      <w:rFonts w:ascii="Arial" w:hAnsi="Arial" w:cs="Arial"/>
      <w:color w:val="000080"/>
      <w:sz w:val="20"/>
      <w:szCs w:val="20"/>
    </w:rPr>
  </w:style>
  <w:style w:type="character" w:customStyle="1" w:styleId="apple-style-span">
    <w:name w:val="apple-style-span"/>
    <w:basedOn w:val="DefaultParagraphFont"/>
    <w:rsid w:val="000B260B"/>
  </w:style>
  <w:style w:type="paragraph" w:customStyle="1" w:styleId="summaryhead">
    <w:name w:val="summary head"/>
    <w:basedOn w:val="Normal"/>
    <w:rsid w:val="00EE7420"/>
    <w:pPr>
      <w:widowControl w:val="0"/>
    </w:pPr>
    <w:rPr>
      <w:b/>
      <w:bCs/>
      <w:snapToGrid w:val="0"/>
      <w:sz w:val="23"/>
      <w:szCs w:val="23"/>
      <w:lang w:val="en-GB"/>
    </w:rPr>
  </w:style>
  <w:style w:type="paragraph" w:customStyle="1" w:styleId="Body">
    <w:name w:val="Body"/>
    <w:rsid w:val="008A680B"/>
    <w:rPr>
      <w:rFonts w:ascii="Helvetica" w:eastAsia="ヒラギノ角ゴ Pro W3" w:hAnsi="Helvetica"/>
      <w:color w:val="000000"/>
      <w:lang w:val="en-US"/>
    </w:rPr>
  </w:style>
  <w:style w:type="character" w:customStyle="1" w:styleId="Heading">
    <w:name w:val="Heading"/>
    <w:rsid w:val="00E87FF3"/>
    <w:rPr>
      <w:b/>
      <w:bCs/>
      <w:sz w:val="44"/>
      <w:szCs w:val="44"/>
    </w:rPr>
  </w:style>
  <w:style w:type="character" w:customStyle="1" w:styleId="Heading1Char">
    <w:name w:val="Heading 1 Char"/>
    <w:link w:val="Heading1"/>
    <w:rsid w:val="00B56E6C"/>
    <w:rPr>
      <w:rFonts w:ascii="Gill Sans MT" w:hAnsi="Gill Sans MT"/>
      <w:b/>
      <w:color w:val="604278"/>
      <w:kern w:val="32"/>
      <w:sz w:val="36"/>
      <w:szCs w:val="36"/>
      <w:lang w:eastAsia="en-US"/>
    </w:rPr>
  </w:style>
  <w:style w:type="paragraph" w:customStyle="1" w:styleId="StyleassignheadArial10ptJustifiedLeft0Hanging0">
    <w:name w:val="Style assign head + Arial 10 pt Justified Left:  0&quot; Hanging:  0..."/>
    <w:basedOn w:val="Normal"/>
    <w:next w:val="StyleCVassignmenttextLeft067Firstline0"/>
    <w:rsid w:val="00E87FF3"/>
    <w:pPr>
      <w:keepNext/>
      <w:tabs>
        <w:tab w:val="left" w:pos="965"/>
      </w:tabs>
      <w:ind w:left="965" w:hanging="965"/>
      <w:jc w:val="both"/>
    </w:pPr>
    <w:rPr>
      <w:rFonts w:ascii="Arial" w:hAnsi="Arial"/>
      <w:b/>
      <w:bCs/>
      <w:snapToGrid w:val="0"/>
      <w:sz w:val="20"/>
      <w:szCs w:val="20"/>
      <w:lang w:val="en-US"/>
    </w:rPr>
  </w:style>
  <w:style w:type="paragraph" w:customStyle="1" w:styleId="StyleCVassignmenttextLeft067Firstline0">
    <w:name w:val="Style CV assignment text + Left:  0.67&quot; First line:  0&quot;"/>
    <w:basedOn w:val="Normal"/>
    <w:next w:val="StyleassignheadArial10ptJustifiedLeft0Hanging0"/>
    <w:rsid w:val="00E87FF3"/>
    <w:pPr>
      <w:tabs>
        <w:tab w:val="left" w:pos="1080"/>
      </w:tabs>
      <w:spacing w:after="120"/>
      <w:ind w:left="965"/>
      <w:jc w:val="both"/>
    </w:pPr>
    <w:rPr>
      <w:snapToGrid w:val="0"/>
      <w:sz w:val="22"/>
      <w:szCs w:val="20"/>
      <w:lang w:val="en-GB"/>
    </w:rPr>
  </w:style>
  <w:style w:type="paragraph" w:customStyle="1" w:styleId="CVassignmenttext">
    <w:name w:val="CV assignment text"/>
    <w:basedOn w:val="Normal"/>
    <w:next w:val="StyleassignheadArial10ptJustifiedLeft0Hanging0"/>
    <w:link w:val="CVassignmenttextChar"/>
    <w:autoRedefine/>
    <w:rsid w:val="00E87FF3"/>
    <w:pPr>
      <w:tabs>
        <w:tab w:val="left" w:pos="1080"/>
      </w:tabs>
      <w:spacing w:after="120"/>
      <w:ind w:left="965"/>
      <w:jc w:val="both"/>
    </w:pPr>
    <w:rPr>
      <w:snapToGrid w:val="0"/>
      <w:sz w:val="22"/>
      <w:szCs w:val="23"/>
    </w:rPr>
  </w:style>
  <w:style w:type="character" w:customStyle="1" w:styleId="CVassignmenttextChar">
    <w:name w:val="CV assignment text Char"/>
    <w:link w:val="CVassignmenttext"/>
    <w:rsid w:val="00E87FF3"/>
    <w:rPr>
      <w:snapToGrid w:val="0"/>
      <w:sz w:val="22"/>
      <w:szCs w:val="23"/>
      <w:lang w:eastAsia="en-US"/>
    </w:rPr>
  </w:style>
  <w:style w:type="paragraph" w:customStyle="1" w:styleId="StyleStyleassignheadArial10ptJustifiedLeft0Hanging">
    <w:name w:val="Style Style assign head + Arial 10 pt Justified Left:  0&quot; Hanging: ..."/>
    <w:basedOn w:val="Normal"/>
    <w:rsid w:val="00E87FF3"/>
    <w:pPr>
      <w:keepNext/>
      <w:ind w:left="965" w:hanging="965"/>
      <w:jc w:val="both"/>
    </w:pPr>
    <w:rPr>
      <w:rFonts w:ascii="Arial" w:hAnsi="Arial"/>
      <w:b/>
      <w:bCs/>
      <w:snapToGrid w:val="0"/>
      <w:sz w:val="22"/>
      <w:szCs w:val="22"/>
      <w:lang w:val="en-US"/>
    </w:rPr>
  </w:style>
  <w:style w:type="paragraph" w:customStyle="1" w:styleId="assignhead">
    <w:name w:val="assign head"/>
    <w:basedOn w:val="Normal"/>
    <w:link w:val="assignheadChar"/>
    <w:rsid w:val="008E15C4"/>
    <w:pPr>
      <w:widowControl w:val="0"/>
    </w:pPr>
    <w:rPr>
      <w:rFonts w:ascii="CG Times" w:hAnsi="CG Times"/>
      <w:b/>
      <w:snapToGrid w:val="0"/>
      <w:szCs w:val="20"/>
      <w:lang w:val="en-US"/>
    </w:rPr>
  </w:style>
  <w:style w:type="paragraph" w:customStyle="1" w:styleId="GeneralText">
    <w:name w:val="General Text"/>
    <w:basedOn w:val="Normal"/>
    <w:rsid w:val="008E15C4"/>
    <w:pPr>
      <w:spacing w:after="120"/>
      <w:jc w:val="both"/>
    </w:pPr>
    <w:rPr>
      <w:sz w:val="21"/>
      <w:szCs w:val="21"/>
      <w:lang w:val="en-GB"/>
    </w:rPr>
  </w:style>
  <w:style w:type="character" w:customStyle="1" w:styleId="assignheadChar">
    <w:name w:val="assign head Char"/>
    <w:link w:val="assignhead"/>
    <w:rsid w:val="00A961AF"/>
    <w:rPr>
      <w:rFonts w:ascii="CG Times" w:hAnsi="CG Times"/>
      <w:b/>
      <w:snapToGrid w:val="0"/>
      <w:sz w:val="24"/>
      <w:lang w:val="en-US" w:eastAsia="en-US"/>
    </w:rPr>
  </w:style>
  <w:style w:type="paragraph" w:customStyle="1" w:styleId="StyleStyleassignhead11ptJustified">
    <w:name w:val="Style Style assign head + 11 pt + Justified"/>
    <w:basedOn w:val="Normal"/>
    <w:rsid w:val="00A961AF"/>
    <w:pPr>
      <w:keepNext/>
      <w:widowControl w:val="0"/>
      <w:jc w:val="both"/>
    </w:pPr>
    <w:rPr>
      <w:rFonts w:ascii="CG Times" w:hAnsi="CG Times"/>
      <w:b/>
      <w:bCs/>
      <w:snapToGrid w:val="0"/>
      <w:sz w:val="22"/>
      <w:szCs w:val="20"/>
      <w:lang w:val="en-US"/>
    </w:rPr>
  </w:style>
  <w:style w:type="paragraph" w:customStyle="1" w:styleId="NoSpacing1">
    <w:name w:val="No Spacing1"/>
    <w:uiPriority w:val="1"/>
    <w:qFormat/>
    <w:rsid w:val="00CD6B2C"/>
    <w:rPr>
      <w:rFonts w:ascii="Calibri" w:eastAsia="Calibri" w:hAnsi="Calibri"/>
      <w:sz w:val="22"/>
      <w:szCs w:val="22"/>
      <w:lang w:eastAsia="en-US"/>
    </w:rPr>
  </w:style>
  <w:style w:type="paragraph" w:customStyle="1" w:styleId="Heading2NONUM">
    <w:name w:val="Heading 2 NO NUM"/>
    <w:basedOn w:val="Heading2"/>
    <w:next w:val="BodyText"/>
    <w:qFormat/>
    <w:rsid w:val="00582593"/>
    <w:pPr>
      <w:spacing w:before="160" w:after="240" w:line="240" w:lineRule="auto"/>
    </w:pPr>
    <w:rPr>
      <w:rFonts w:ascii="Arial" w:hAnsi="Arial"/>
      <w:b/>
      <w:color w:val="auto"/>
      <w:sz w:val="24"/>
      <w:szCs w:val="20"/>
    </w:rPr>
  </w:style>
  <w:style w:type="character" w:customStyle="1" w:styleId="red">
    <w:name w:val="red"/>
    <w:basedOn w:val="DefaultParagraphFont"/>
    <w:rsid w:val="00D42BEC"/>
  </w:style>
  <w:style w:type="paragraph" w:styleId="TOC4">
    <w:name w:val="toc 4"/>
    <w:basedOn w:val="Normal"/>
    <w:next w:val="Normal"/>
    <w:autoRedefine/>
    <w:rsid w:val="006F62DD"/>
    <w:pPr>
      <w:ind w:left="720"/>
    </w:pPr>
    <w:rPr>
      <w:rFonts w:ascii="Cambria" w:hAnsi="Cambria"/>
      <w:sz w:val="18"/>
      <w:szCs w:val="18"/>
    </w:rPr>
  </w:style>
  <w:style w:type="paragraph" w:styleId="TOC5">
    <w:name w:val="toc 5"/>
    <w:basedOn w:val="Normal"/>
    <w:next w:val="Normal"/>
    <w:autoRedefine/>
    <w:rsid w:val="006F62DD"/>
    <w:pPr>
      <w:ind w:left="960"/>
    </w:pPr>
    <w:rPr>
      <w:rFonts w:ascii="Cambria" w:hAnsi="Cambria"/>
      <w:sz w:val="18"/>
      <w:szCs w:val="18"/>
    </w:rPr>
  </w:style>
  <w:style w:type="paragraph" w:styleId="TOC6">
    <w:name w:val="toc 6"/>
    <w:basedOn w:val="Normal"/>
    <w:next w:val="Normal"/>
    <w:autoRedefine/>
    <w:rsid w:val="006F62DD"/>
    <w:pPr>
      <w:ind w:left="1200"/>
    </w:pPr>
    <w:rPr>
      <w:rFonts w:ascii="Cambria" w:hAnsi="Cambria"/>
      <w:sz w:val="18"/>
      <w:szCs w:val="18"/>
    </w:rPr>
  </w:style>
  <w:style w:type="paragraph" w:styleId="TOC7">
    <w:name w:val="toc 7"/>
    <w:basedOn w:val="Normal"/>
    <w:next w:val="Normal"/>
    <w:autoRedefine/>
    <w:rsid w:val="006F62DD"/>
    <w:pPr>
      <w:ind w:left="1440"/>
    </w:pPr>
    <w:rPr>
      <w:rFonts w:ascii="Cambria" w:hAnsi="Cambria"/>
      <w:sz w:val="18"/>
      <w:szCs w:val="18"/>
    </w:rPr>
  </w:style>
  <w:style w:type="paragraph" w:styleId="TOC8">
    <w:name w:val="toc 8"/>
    <w:basedOn w:val="Normal"/>
    <w:next w:val="Normal"/>
    <w:autoRedefine/>
    <w:rsid w:val="006F62DD"/>
    <w:pPr>
      <w:ind w:left="1680"/>
    </w:pPr>
    <w:rPr>
      <w:rFonts w:ascii="Cambria" w:hAnsi="Cambria"/>
      <w:sz w:val="18"/>
      <w:szCs w:val="18"/>
    </w:rPr>
  </w:style>
  <w:style w:type="paragraph" w:styleId="TOC9">
    <w:name w:val="toc 9"/>
    <w:basedOn w:val="Normal"/>
    <w:next w:val="Normal"/>
    <w:autoRedefine/>
    <w:rsid w:val="006F62DD"/>
    <w:pPr>
      <w:ind w:left="1920"/>
    </w:pPr>
    <w:rPr>
      <w:rFonts w:ascii="Cambria" w:hAnsi="Cambria"/>
      <w:sz w:val="18"/>
      <w:szCs w:val="18"/>
    </w:rPr>
  </w:style>
  <w:style w:type="paragraph" w:customStyle="1" w:styleId="TOCHeading1">
    <w:name w:val="TOC Heading1"/>
    <w:basedOn w:val="Heading1"/>
    <w:next w:val="Normal"/>
    <w:uiPriority w:val="39"/>
    <w:unhideWhenUsed/>
    <w:qFormat/>
    <w:rsid w:val="00F141AC"/>
    <w:pPr>
      <w:keepLines/>
      <w:spacing w:before="480" w:line="276" w:lineRule="auto"/>
      <w:outlineLvl w:val="9"/>
    </w:pPr>
    <w:rPr>
      <w:rFonts w:ascii="Calibri" w:eastAsia="MS Gothic" w:hAnsi="Calibri"/>
      <w:bCs/>
      <w:color w:val="365F91"/>
      <w:kern w:val="0"/>
      <w:sz w:val="28"/>
      <w:szCs w:val="28"/>
      <w:lang w:val="en-US"/>
    </w:rPr>
  </w:style>
  <w:style w:type="paragraph" w:customStyle="1" w:styleId="BoxtextTNR">
    <w:name w:val="Box text TNR"/>
    <w:basedOn w:val="Normal"/>
    <w:rsid w:val="00BF6927"/>
    <w:pPr>
      <w:spacing w:before="60" w:after="60"/>
    </w:pPr>
    <w:rPr>
      <w:rFonts w:ascii="Arial" w:hAnsi="Arial" w:cs="Arial"/>
      <w:sz w:val="20"/>
      <w:szCs w:val="20"/>
      <w:lang w:val="en-GB"/>
    </w:rPr>
  </w:style>
  <w:style w:type="table" w:styleId="TableClassic3">
    <w:name w:val="Table Classic 3"/>
    <w:basedOn w:val="TableNormal"/>
    <w:rsid w:val="0015030C"/>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Colorful2">
    <w:name w:val="Table Colorful 2"/>
    <w:basedOn w:val="TableNormal"/>
    <w:rsid w:val="0015030C"/>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character" w:styleId="BookTitle">
    <w:name w:val="Book Title"/>
    <w:uiPriority w:val="33"/>
    <w:qFormat/>
    <w:rsid w:val="001561B2"/>
    <w:rPr>
      <w:caps/>
      <w:color w:val="004D6C"/>
      <w:spacing w:val="5"/>
      <w:u w:color="004D6C"/>
    </w:rPr>
  </w:style>
  <w:style w:type="paragraph" w:styleId="ListParagraph">
    <w:name w:val="List Paragraph"/>
    <w:basedOn w:val="Normal"/>
    <w:uiPriority w:val="34"/>
    <w:qFormat/>
    <w:rsid w:val="00B80E6F"/>
    <w:pPr>
      <w:ind w:left="720"/>
      <w:contextualSpacing/>
    </w:pPr>
  </w:style>
  <w:style w:type="table" w:styleId="TableGrid8">
    <w:name w:val="Table Grid 8"/>
    <w:basedOn w:val="TableNormal"/>
    <w:rsid w:val="0011626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lorfulList-Accent11">
    <w:name w:val="Colorful List - Accent 11"/>
    <w:basedOn w:val="Normal"/>
    <w:uiPriority w:val="99"/>
    <w:qFormat/>
    <w:rsid w:val="00D47891"/>
    <w:pPr>
      <w:spacing w:after="200" w:line="252" w:lineRule="auto"/>
      <w:ind w:left="720"/>
      <w:contextualSpacing/>
    </w:pPr>
    <w:rPr>
      <w:rFonts w:ascii="Cambria" w:hAnsi="Cambria"/>
      <w:sz w:val="22"/>
      <w:szCs w:val="22"/>
      <w:lang w:val="en-US" w:bidi="en-US"/>
    </w:rPr>
  </w:style>
  <w:style w:type="character" w:customStyle="1" w:styleId="CaptionChar">
    <w:name w:val="Caption Char"/>
    <w:aliases w:val=" Char Char Char Char1,Char Char Char Char"/>
    <w:link w:val="Caption"/>
    <w:rsid w:val="00D12258"/>
    <w:rPr>
      <w:b/>
      <w:bCs/>
      <w:lang w:val="pt-PT" w:eastAsia="en-US"/>
    </w:rPr>
  </w:style>
  <w:style w:type="table" w:styleId="LightShading-Accent1">
    <w:name w:val="Light Shading Accent 1"/>
    <w:basedOn w:val="TableNormal"/>
    <w:uiPriority w:val="60"/>
    <w:rsid w:val="00E734D5"/>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hpara">
    <w:name w:val="hpara"/>
    <w:basedOn w:val="BodyText"/>
    <w:qFormat/>
    <w:rsid w:val="001453CB"/>
    <w:pPr>
      <w:numPr>
        <w:numId w:val="0"/>
      </w:numPr>
      <w:tabs>
        <w:tab w:val="num" w:pos="360"/>
      </w:tabs>
      <w:spacing w:before="240" w:after="0" w:line="240" w:lineRule="auto"/>
      <w:ind w:left="360" w:hanging="360"/>
    </w:pPr>
    <w:rPr>
      <w:rFonts w:ascii="Gill Sans MT" w:hAnsi="Gill Sans MT"/>
      <w:sz w:val="20"/>
      <w:lang w:val="en-GB"/>
    </w:rPr>
  </w:style>
  <w:style w:type="table" w:styleId="TableColorful3">
    <w:name w:val="Table Colorful 3"/>
    <w:basedOn w:val="TableNormal"/>
    <w:rsid w:val="00BE2160"/>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character" w:customStyle="1" w:styleId="Heading2Char">
    <w:name w:val="Heading 2 Char"/>
    <w:basedOn w:val="DefaultParagraphFont"/>
    <w:link w:val="Heading2"/>
    <w:rsid w:val="00DB0726"/>
    <w:rPr>
      <w:rFonts w:ascii="Gill Sans MT" w:hAnsi="Gill Sans MT" w:cs="Courier New"/>
      <w:bCs/>
      <w:color w:val="990099"/>
      <w:sz w:val="28"/>
      <w:szCs w:val="28"/>
      <w:lang w:eastAsia="en-US"/>
    </w:rPr>
  </w:style>
  <w:style w:type="paragraph" w:customStyle="1" w:styleId="Stdtext">
    <w:name w:val="Stdtext"/>
    <w:rsid w:val="00FC7B45"/>
    <w:pPr>
      <w:tabs>
        <w:tab w:val="left" w:pos="480"/>
        <w:tab w:val="left" w:pos="960"/>
        <w:tab w:val="right" w:pos="7182"/>
      </w:tabs>
      <w:spacing w:before="240"/>
    </w:pPr>
    <w:rPr>
      <w:sz w:val="22"/>
      <w:szCs w:val="20"/>
      <w:lang w:eastAsia="en-US"/>
    </w:rPr>
  </w:style>
  <w:style w:type="paragraph" w:customStyle="1" w:styleId="Tab1">
    <w:name w:val="Tab1"/>
    <w:basedOn w:val="Stdtext"/>
    <w:rsid w:val="00FC7B45"/>
    <w:pPr>
      <w:tabs>
        <w:tab w:val="clear" w:pos="480"/>
        <w:tab w:val="clear" w:pos="960"/>
        <w:tab w:val="left" w:pos="360"/>
      </w:tabs>
      <w:spacing w:before="120"/>
    </w:pPr>
    <w:rPr>
      <w:sz w:val="20"/>
    </w:rPr>
  </w:style>
  <w:style w:type="paragraph" w:customStyle="1" w:styleId="Tabfoot">
    <w:name w:val="Tabfoot"/>
    <w:basedOn w:val="Tab1"/>
    <w:rsid w:val="00FC7B45"/>
    <w:pPr>
      <w:keepLines/>
      <w:spacing w:before="60"/>
    </w:pPr>
    <w:rPr>
      <w:sz w:val="18"/>
    </w:rPr>
  </w:style>
  <w:style w:type="paragraph" w:customStyle="1" w:styleId="BSBulletpoints">
    <w:name w:val="BS Bullet points"/>
    <w:basedOn w:val="BodyText"/>
    <w:link w:val="BSBulletpointsChar"/>
    <w:qFormat/>
    <w:rsid w:val="00FC7B45"/>
    <w:pPr>
      <w:numPr>
        <w:numId w:val="49"/>
      </w:numPr>
      <w:spacing w:line="360" w:lineRule="auto"/>
    </w:pPr>
    <w:rPr>
      <w:rFonts w:ascii="Gill Sans MT" w:hAnsi="Gill Sans MT"/>
      <w:sz w:val="20"/>
    </w:rPr>
  </w:style>
  <w:style w:type="character" w:customStyle="1" w:styleId="BSBulletpointsChar">
    <w:name w:val="BS Bullet points Char"/>
    <w:basedOn w:val="BodyTextChar"/>
    <w:link w:val="BSBulletpoints"/>
    <w:rsid w:val="00FC7B45"/>
    <w:rPr>
      <w:rFonts w:ascii="Gill Sans MT" w:hAnsi="Gill Sans MT"/>
      <w:sz w:val="20"/>
      <w:szCs w:val="20"/>
      <w:lang w:val="en-NZ"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footnote text" w:uiPriority="99" w:qFormat="1"/>
    <w:lsdException w:name="caption" w:qFormat="1"/>
    <w:lsdException w:name="table of figures" w:uiPriority="99"/>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73F2F"/>
    <w:rPr>
      <w:lang w:val="pt-PT" w:eastAsia="en-US"/>
    </w:rPr>
  </w:style>
  <w:style w:type="paragraph" w:styleId="Heading1">
    <w:name w:val="heading 1"/>
    <w:basedOn w:val="Normal"/>
    <w:next w:val="Normal"/>
    <w:link w:val="Heading1Char"/>
    <w:qFormat/>
    <w:rsid w:val="00B56E6C"/>
    <w:pPr>
      <w:keepNext/>
      <w:spacing w:line="280" w:lineRule="atLeast"/>
      <w:outlineLvl w:val="0"/>
    </w:pPr>
    <w:rPr>
      <w:rFonts w:ascii="Gill Sans MT" w:hAnsi="Gill Sans MT"/>
      <w:b/>
      <w:color w:val="604278"/>
      <w:kern w:val="32"/>
      <w:sz w:val="36"/>
      <w:szCs w:val="36"/>
      <w:lang w:val="en-GB"/>
    </w:rPr>
  </w:style>
  <w:style w:type="paragraph" w:styleId="Heading2">
    <w:name w:val="heading 2"/>
    <w:basedOn w:val="Normal"/>
    <w:next w:val="Normal"/>
    <w:link w:val="Heading2Char"/>
    <w:qFormat/>
    <w:rsid w:val="00760653"/>
    <w:pPr>
      <w:keepNext/>
      <w:spacing w:line="280" w:lineRule="atLeast"/>
      <w:outlineLvl w:val="1"/>
    </w:pPr>
    <w:rPr>
      <w:rFonts w:ascii="Gill Sans MT" w:hAnsi="Gill Sans MT" w:cs="Courier New"/>
      <w:bCs/>
      <w:color w:val="990099"/>
      <w:sz w:val="28"/>
      <w:szCs w:val="28"/>
      <w:lang w:val="en-GB"/>
    </w:rPr>
  </w:style>
  <w:style w:type="paragraph" w:styleId="Heading3">
    <w:name w:val="heading 3"/>
    <w:basedOn w:val="Normal"/>
    <w:next w:val="Normal"/>
    <w:qFormat/>
    <w:rsid w:val="00797E06"/>
    <w:pPr>
      <w:keepNext/>
      <w:spacing w:line="280" w:lineRule="atLeast"/>
      <w:outlineLvl w:val="2"/>
    </w:pPr>
    <w:rPr>
      <w:rFonts w:ascii="Gill Sans MT" w:hAnsi="Gill Sans MT"/>
      <w:color w:val="131313"/>
      <w:sz w:val="28"/>
      <w:szCs w:val="26"/>
      <w:lang w:val="en-GB"/>
    </w:rPr>
  </w:style>
  <w:style w:type="paragraph" w:styleId="Heading4">
    <w:name w:val="heading 4"/>
    <w:basedOn w:val="Normal"/>
    <w:next w:val="Normal"/>
    <w:link w:val="Heading4Char"/>
    <w:qFormat/>
    <w:rsid w:val="00560C6E"/>
    <w:pPr>
      <w:keepNext/>
      <w:spacing w:before="240" w:after="60"/>
      <w:outlineLvl w:val="3"/>
    </w:pPr>
    <w:rPr>
      <w:rFonts w:ascii="Calibri" w:hAnsi="Calibri"/>
      <w:b/>
      <w:bCs/>
      <w:sz w:val="28"/>
      <w:szCs w:val="28"/>
    </w:rPr>
  </w:style>
  <w:style w:type="paragraph" w:styleId="Heading5">
    <w:name w:val="heading 5"/>
    <w:aliases w:val=" Char"/>
    <w:basedOn w:val="Normal"/>
    <w:next w:val="Normal"/>
    <w:link w:val="Heading5Char"/>
    <w:qFormat/>
    <w:rsid w:val="00560C6E"/>
    <w:pPr>
      <w:spacing w:before="240" w:after="60"/>
      <w:outlineLvl w:val="4"/>
    </w:pPr>
    <w:rPr>
      <w:rFonts w:ascii="Calibri" w:hAnsi="Calibri"/>
      <w:b/>
      <w:bCs/>
      <w:i/>
      <w:iCs/>
      <w:sz w:val="26"/>
      <w:szCs w:val="26"/>
    </w:rPr>
  </w:style>
  <w:style w:type="paragraph" w:styleId="Heading8">
    <w:name w:val="heading 8"/>
    <w:basedOn w:val="Normal"/>
    <w:next w:val="Normal"/>
    <w:link w:val="Heading8Char"/>
    <w:qFormat/>
    <w:rsid w:val="00D50B1C"/>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semiHidden/>
    <w:rsid w:val="00560C6E"/>
    <w:rPr>
      <w:rFonts w:ascii="Calibri" w:eastAsia="Times New Roman" w:hAnsi="Calibri" w:cs="Times New Roman"/>
      <w:b/>
      <w:bCs/>
      <w:sz w:val="28"/>
      <w:szCs w:val="28"/>
      <w:lang w:val="pt-PT" w:eastAsia="en-US"/>
    </w:rPr>
  </w:style>
  <w:style w:type="paragraph" w:customStyle="1" w:styleId="a">
    <w:basedOn w:val="Normal"/>
    <w:rsid w:val="001D031C"/>
    <w:pPr>
      <w:spacing w:after="160" w:line="240" w:lineRule="exact"/>
    </w:pPr>
    <w:rPr>
      <w:rFonts w:cs="Arial"/>
      <w:sz w:val="20"/>
      <w:szCs w:val="20"/>
      <w:lang w:val="en-US"/>
    </w:rPr>
  </w:style>
  <w:style w:type="character" w:customStyle="1" w:styleId="Heading5Char">
    <w:name w:val="Heading 5 Char"/>
    <w:aliases w:val=" Char Char"/>
    <w:link w:val="Heading5"/>
    <w:semiHidden/>
    <w:rsid w:val="00560C6E"/>
    <w:rPr>
      <w:rFonts w:ascii="Calibri" w:eastAsia="Times New Roman" w:hAnsi="Calibri" w:cs="Times New Roman"/>
      <w:b/>
      <w:bCs/>
      <w:i/>
      <w:iCs/>
      <w:sz w:val="26"/>
      <w:szCs w:val="26"/>
      <w:lang w:val="pt-PT" w:eastAsia="en-US"/>
    </w:rPr>
  </w:style>
  <w:style w:type="table" w:styleId="TableGrid">
    <w:name w:val="Table Grid"/>
    <w:basedOn w:val="TableNormal"/>
    <w:uiPriority w:val="59"/>
    <w:rsid w:val="00285D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2E69"/>
    <w:pPr>
      <w:numPr>
        <w:numId w:val="1"/>
      </w:numPr>
      <w:spacing w:before="120" w:after="120" w:line="280" w:lineRule="atLeast"/>
      <w:jc w:val="both"/>
    </w:pPr>
    <w:rPr>
      <w:szCs w:val="20"/>
      <w:lang w:val="en-NZ"/>
    </w:rPr>
  </w:style>
  <w:style w:type="character" w:customStyle="1" w:styleId="BodyTextChar">
    <w:name w:val="Body Text Char"/>
    <w:link w:val="BodyText"/>
    <w:rsid w:val="001F5265"/>
    <w:rPr>
      <w:szCs w:val="20"/>
      <w:lang w:val="en-NZ" w:eastAsia="en-US"/>
    </w:rPr>
  </w:style>
  <w:style w:type="paragraph" w:customStyle="1" w:styleId="BoldLeft">
    <w:name w:val="Bold Left"/>
    <w:basedOn w:val="Normal"/>
    <w:next w:val="BodyText"/>
    <w:rsid w:val="00042E69"/>
    <w:pPr>
      <w:keepNext/>
      <w:keepLines/>
      <w:spacing w:before="240" w:after="120"/>
    </w:pPr>
    <w:rPr>
      <w:b/>
      <w:caps/>
      <w:kern w:val="28"/>
      <w:sz w:val="36"/>
      <w:szCs w:val="20"/>
      <w:lang w:val="en-NZ"/>
    </w:rPr>
  </w:style>
  <w:style w:type="character" w:styleId="Hyperlink">
    <w:name w:val="Hyperlink"/>
    <w:uiPriority w:val="99"/>
    <w:rsid w:val="00042E69"/>
    <w:rPr>
      <w:color w:val="0000FF"/>
      <w:u w:val="single"/>
    </w:rPr>
  </w:style>
  <w:style w:type="paragraph" w:styleId="Header">
    <w:name w:val="header"/>
    <w:aliases w:val="hd,address,ContentsHeader,heading 3 after h2,h,h3+"/>
    <w:basedOn w:val="Normal"/>
    <w:link w:val="HeaderChar"/>
    <w:rsid w:val="004D6A91"/>
    <w:pPr>
      <w:tabs>
        <w:tab w:val="center" w:pos="4320"/>
        <w:tab w:val="right" w:pos="8640"/>
      </w:tabs>
    </w:pPr>
  </w:style>
  <w:style w:type="paragraph" w:styleId="Footer">
    <w:name w:val="footer"/>
    <w:basedOn w:val="Normal"/>
    <w:rsid w:val="004D6A91"/>
    <w:pPr>
      <w:tabs>
        <w:tab w:val="center" w:pos="4320"/>
        <w:tab w:val="right" w:pos="8640"/>
      </w:tabs>
    </w:pPr>
  </w:style>
  <w:style w:type="character" w:styleId="PageNumber">
    <w:name w:val="page number"/>
    <w:basedOn w:val="DefaultParagraphFont"/>
    <w:rsid w:val="008B4415"/>
  </w:style>
  <w:style w:type="character" w:styleId="CommentReference">
    <w:name w:val="annotation reference"/>
    <w:semiHidden/>
    <w:rsid w:val="007D1F9F"/>
    <w:rPr>
      <w:sz w:val="16"/>
      <w:szCs w:val="16"/>
    </w:rPr>
  </w:style>
  <w:style w:type="paragraph" w:styleId="CommentText">
    <w:name w:val="annotation text"/>
    <w:basedOn w:val="Normal"/>
    <w:semiHidden/>
    <w:rsid w:val="007D1F9F"/>
    <w:rPr>
      <w:sz w:val="20"/>
      <w:szCs w:val="20"/>
    </w:rPr>
  </w:style>
  <w:style w:type="paragraph" w:styleId="CommentSubject">
    <w:name w:val="annotation subject"/>
    <w:basedOn w:val="CommentText"/>
    <w:next w:val="CommentText"/>
    <w:semiHidden/>
    <w:rsid w:val="007D1F9F"/>
    <w:rPr>
      <w:b/>
      <w:bCs/>
    </w:rPr>
  </w:style>
  <w:style w:type="paragraph" w:styleId="BalloonText">
    <w:name w:val="Balloon Text"/>
    <w:basedOn w:val="Normal"/>
    <w:semiHidden/>
    <w:rsid w:val="007D1F9F"/>
    <w:rPr>
      <w:rFonts w:ascii="Tahoma" w:hAnsi="Tahoma" w:cs="Tahoma"/>
      <w:sz w:val="16"/>
      <w:szCs w:val="16"/>
    </w:rPr>
  </w:style>
  <w:style w:type="paragraph" w:styleId="TOC1">
    <w:name w:val="toc 1"/>
    <w:basedOn w:val="Normal"/>
    <w:next w:val="Normal"/>
    <w:autoRedefine/>
    <w:uiPriority w:val="39"/>
    <w:rsid w:val="00CC5E88"/>
    <w:pPr>
      <w:spacing w:before="120"/>
    </w:pPr>
    <w:rPr>
      <w:rFonts w:ascii="Cambria" w:hAnsi="Cambria"/>
      <w:b/>
      <w:caps/>
      <w:sz w:val="22"/>
      <w:szCs w:val="22"/>
    </w:rPr>
  </w:style>
  <w:style w:type="paragraph" w:styleId="TOC2">
    <w:name w:val="toc 2"/>
    <w:basedOn w:val="Normal"/>
    <w:next w:val="Normal"/>
    <w:autoRedefine/>
    <w:uiPriority w:val="39"/>
    <w:rsid w:val="00851CB7"/>
    <w:pPr>
      <w:ind w:left="240"/>
    </w:pPr>
    <w:rPr>
      <w:rFonts w:ascii="Cambria" w:hAnsi="Cambria"/>
      <w:smallCaps/>
      <w:sz w:val="22"/>
      <w:szCs w:val="22"/>
    </w:rPr>
  </w:style>
  <w:style w:type="paragraph" w:customStyle="1" w:styleId="Review">
    <w:name w:val="Review"/>
    <w:basedOn w:val="Normal"/>
    <w:rsid w:val="00797E06"/>
    <w:pPr>
      <w:widowControl w:val="0"/>
      <w:tabs>
        <w:tab w:val="left" w:pos="227"/>
      </w:tabs>
      <w:suppressAutoHyphens/>
      <w:autoSpaceDE w:val="0"/>
      <w:autoSpaceDN w:val="0"/>
      <w:adjustRightInd w:val="0"/>
      <w:spacing w:line="280" w:lineRule="atLeast"/>
      <w:jc w:val="both"/>
      <w:textAlignment w:val="center"/>
    </w:pPr>
    <w:rPr>
      <w:rFonts w:ascii="Gill Sans MT" w:hAnsi="Gill Sans MT"/>
      <w:caps/>
      <w:color w:val="000000"/>
      <w:spacing w:val="12"/>
      <w:sz w:val="20"/>
      <w:szCs w:val="20"/>
      <w:lang w:val="en-GB"/>
    </w:rPr>
  </w:style>
  <w:style w:type="paragraph" w:customStyle="1" w:styleId="MainTitle">
    <w:name w:val="MainTitle"/>
    <w:basedOn w:val="Normal"/>
    <w:rsid w:val="00797E06"/>
    <w:pPr>
      <w:widowControl w:val="0"/>
      <w:tabs>
        <w:tab w:val="left" w:pos="227"/>
      </w:tabs>
      <w:suppressAutoHyphens/>
      <w:autoSpaceDE w:val="0"/>
      <w:autoSpaceDN w:val="0"/>
      <w:adjustRightInd w:val="0"/>
      <w:spacing w:line="400" w:lineRule="atLeast"/>
      <w:textAlignment w:val="center"/>
    </w:pPr>
    <w:rPr>
      <w:rFonts w:ascii="Gill Sans MT" w:hAnsi="Gill Sans MT"/>
      <w:color w:val="604278"/>
      <w:sz w:val="32"/>
      <w:szCs w:val="32"/>
      <w:lang w:val="en-GB"/>
    </w:rPr>
  </w:style>
  <w:style w:type="paragraph" w:customStyle="1" w:styleId="Author">
    <w:name w:val="Author"/>
    <w:basedOn w:val="Normal"/>
    <w:rsid w:val="00797E06"/>
    <w:pPr>
      <w:widowControl w:val="0"/>
      <w:tabs>
        <w:tab w:val="left" w:pos="227"/>
      </w:tabs>
      <w:suppressAutoHyphens/>
      <w:autoSpaceDE w:val="0"/>
      <w:autoSpaceDN w:val="0"/>
      <w:adjustRightInd w:val="0"/>
      <w:spacing w:after="120" w:line="340" w:lineRule="atLeast"/>
      <w:jc w:val="both"/>
      <w:textAlignment w:val="center"/>
    </w:pPr>
    <w:rPr>
      <w:rFonts w:ascii="Gill Sans MT" w:hAnsi="Gill Sans MT"/>
      <w:i/>
      <w:color w:val="000000"/>
      <w:sz w:val="26"/>
      <w:szCs w:val="26"/>
      <w:lang w:val="en-GB"/>
    </w:rPr>
  </w:style>
  <w:style w:type="paragraph" w:customStyle="1" w:styleId="ReportHeading">
    <w:name w:val="ReportHeading"/>
    <w:basedOn w:val="Normal"/>
    <w:rsid w:val="00797E06"/>
    <w:pPr>
      <w:widowControl w:val="0"/>
      <w:tabs>
        <w:tab w:val="left" w:pos="227"/>
      </w:tabs>
      <w:suppressAutoHyphens/>
      <w:autoSpaceDE w:val="0"/>
      <w:autoSpaceDN w:val="0"/>
      <w:adjustRightInd w:val="0"/>
      <w:spacing w:line="240" w:lineRule="atLeast"/>
      <w:jc w:val="both"/>
      <w:textAlignment w:val="center"/>
    </w:pPr>
    <w:rPr>
      <w:rFonts w:ascii="Gill Sans MT" w:hAnsi="Gill Sans MT"/>
      <w:color w:val="000000"/>
      <w:sz w:val="20"/>
      <w:lang w:val="en-GB"/>
    </w:rPr>
  </w:style>
  <w:style w:type="paragraph" w:customStyle="1" w:styleId="ReportDate">
    <w:name w:val="ReportDate"/>
    <w:basedOn w:val="Normal"/>
    <w:rsid w:val="00797E06"/>
    <w:pPr>
      <w:widowControl w:val="0"/>
      <w:tabs>
        <w:tab w:val="left" w:pos="227"/>
      </w:tabs>
      <w:suppressAutoHyphens/>
      <w:autoSpaceDE w:val="0"/>
      <w:autoSpaceDN w:val="0"/>
      <w:adjustRightInd w:val="0"/>
      <w:spacing w:before="80" w:line="280" w:lineRule="atLeast"/>
      <w:jc w:val="both"/>
      <w:textAlignment w:val="center"/>
    </w:pPr>
    <w:rPr>
      <w:rFonts w:ascii="Gill Sans MT" w:hAnsi="Gill Sans MT"/>
      <w:color w:val="000000"/>
      <w:sz w:val="20"/>
      <w:lang w:val="en-GB"/>
    </w:rPr>
  </w:style>
  <w:style w:type="paragraph" w:customStyle="1" w:styleId="Consultants">
    <w:name w:val="Consultants"/>
    <w:basedOn w:val="Normal"/>
    <w:rsid w:val="00DD0B2F"/>
    <w:pPr>
      <w:widowControl w:val="0"/>
      <w:autoSpaceDE w:val="0"/>
      <w:autoSpaceDN w:val="0"/>
      <w:adjustRightInd w:val="0"/>
      <w:spacing w:line="240" w:lineRule="atLeast"/>
      <w:jc w:val="center"/>
      <w:textAlignment w:val="center"/>
    </w:pPr>
    <w:rPr>
      <w:rFonts w:ascii="Gill Sans MT" w:hAnsi="Gill Sans MT"/>
      <w:caps/>
      <w:color w:val="604278"/>
      <w:spacing w:val="10"/>
      <w:sz w:val="16"/>
      <w:szCs w:val="16"/>
      <w:lang w:val="en-GB"/>
    </w:rPr>
  </w:style>
  <w:style w:type="paragraph" w:customStyle="1" w:styleId="Address">
    <w:name w:val="Address"/>
    <w:basedOn w:val="Normal"/>
    <w:rsid w:val="00DD0B2F"/>
    <w:pPr>
      <w:widowControl w:val="0"/>
      <w:autoSpaceDE w:val="0"/>
      <w:autoSpaceDN w:val="0"/>
      <w:adjustRightInd w:val="0"/>
      <w:spacing w:line="260" w:lineRule="atLeast"/>
      <w:jc w:val="center"/>
      <w:textAlignment w:val="center"/>
    </w:pPr>
    <w:rPr>
      <w:rFonts w:ascii="Gill Sans MT" w:hAnsi="Gill Sans MT"/>
      <w:color w:val="604278"/>
      <w:sz w:val="22"/>
      <w:szCs w:val="22"/>
      <w:lang w:val="en-GB"/>
    </w:rPr>
  </w:style>
  <w:style w:type="paragraph" w:customStyle="1" w:styleId="Registration">
    <w:name w:val="Registration"/>
    <w:basedOn w:val="Normal"/>
    <w:rsid w:val="00DD0B2F"/>
    <w:pPr>
      <w:widowControl w:val="0"/>
      <w:autoSpaceDE w:val="0"/>
      <w:autoSpaceDN w:val="0"/>
      <w:adjustRightInd w:val="0"/>
      <w:spacing w:line="200" w:lineRule="atLeast"/>
      <w:jc w:val="center"/>
      <w:textAlignment w:val="center"/>
    </w:pPr>
    <w:rPr>
      <w:rFonts w:ascii="Gill Sans MT" w:hAnsi="Gill Sans MT"/>
      <w:caps/>
      <w:color w:val="604278"/>
      <w:spacing w:val="5"/>
      <w:sz w:val="12"/>
      <w:szCs w:val="12"/>
      <w:lang w:val="en-GB"/>
    </w:rPr>
  </w:style>
  <w:style w:type="paragraph" w:customStyle="1" w:styleId="marginalnote">
    <w:name w:val="marginal note"/>
    <w:rsid w:val="00A43761"/>
    <w:pPr>
      <w:framePr w:w="1134" w:wrap="around" w:vAnchor="text" w:hAnchor="page" w:x="398" w:y="1"/>
      <w:tabs>
        <w:tab w:val="left" w:pos="567"/>
        <w:tab w:val="left" w:pos="1701"/>
        <w:tab w:val="left" w:pos="2835"/>
        <w:tab w:val="left" w:pos="3969"/>
        <w:tab w:val="center" w:pos="4253"/>
        <w:tab w:val="left" w:pos="5103"/>
        <w:tab w:val="left" w:pos="6237"/>
        <w:tab w:val="left" w:pos="7371"/>
        <w:tab w:val="right" w:pos="8505"/>
      </w:tabs>
      <w:spacing w:before="120"/>
    </w:pPr>
    <w:rPr>
      <w:i/>
      <w:lang w:val="en-NZ" w:eastAsia="en-US"/>
    </w:rPr>
  </w:style>
  <w:style w:type="character" w:customStyle="1" w:styleId="mbibi">
    <w:name w:val="mbibi"/>
    <w:semiHidden/>
    <w:rsid w:val="00A43761"/>
    <w:rPr>
      <w:rFonts w:ascii="Arial" w:hAnsi="Arial" w:cs="Arial"/>
      <w:b w:val="0"/>
      <w:bCs w:val="0"/>
      <w:i w:val="0"/>
      <w:iCs w:val="0"/>
      <w:strike w:val="0"/>
      <w:color w:val="auto"/>
      <w:sz w:val="20"/>
      <w:szCs w:val="20"/>
      <w:u w:val="none"/>
    </w:rPr>
  </w:style>
  <w:style w:type="character" w:styleId="FootnoteReference">
    <w:name w:val="footnote reference"/>
    <w:aliases w:val="ftref,Ref,de nota al pie,16 Point,Superscript 6 Point, BVI fnr,Char Char9,BVI fnr,BVI fnr Car Car,BVI fnr Car,BVI fnr Car Car Car Car,BVI fnr Car Car Car Car Char Car,Footnotes refss,Error-Fußnotenzeichen5,Error-Fußnotenzeichen6,fr"/>
    <w:uiPriority w:val="99"/>
    <w:rsid w:val="00946452"/>
    <w:rPr>
      <w:vertAlign w:val="superscript"/>
    </w:rPr>
  </w:style>
  <w:style w:type="paragraph" w:styleId="FootnoteText">
    <w:name w:val="footnote text"/>
    <w:aliases w:val="single space,FOOTNOTES,fn,Footnote Text Char Char Char Char,Footnote Text Char Char Char,footnote text,ADB,Footnote Text Char Char Char Char Char,Footnote Text Char Char1,ft,f,Geneva 9,Font: Geneva 9,Boston 10,Footnote Text Char1"/>
    <w:basedOn w:val="Normal"/>
    <w:link w:val="FootnoteTextChar"/>
    <w:uiPriority w:val="99"/>
    <w:qFormat/>
    <w:rsid w:val="00946452"/>
    <w:pPr>
      <w:spacing w:before="120" w:after="120"/>
      <w:ind w:left="284" w:hanging="284"/>
    </w:pPr>
    <w:rPr>
      <w:sz w:val="20"/>
      <w:szCs w:val="20"/>
      <w:lang w:val="en-NZ"/>
    </w:rPr>
  </w:style>
  <w:style w:type="paragraph" w:styleId="TOC3">
    <w:name w:val="toc 3"/>
    <w:basedOn w:val="Normal"/>
    <w:next w:val="Normal"/>
    <w:autoRedefine/>
    <w:semiHidden/>
    <w:rsid w:val="005E0B94"/>
    <w:pPr>
      <w:ind w:left="480"/>
    </w:pPr>
    <w:rPr>
      <w:rFonts w:ascii="Cambria" w:hAnsi="Cambria"/>
      <w:i/>
      <w:sz w:val="22"/>
      <w:szCs w:val="22"/>
    </w:rPr>
  </w:style>
  <w:style w:type="paragraph" w:styleId="Caption">
    <w:name w:val="caption"/>
    <w:aliases w:val=" Char Char Char,Char Char Char"/>
    <w:basedOn w:val="Normal"/>
    <w:next w:val="Normal"/>
    <w:link w:val="CaptionChar"/>
    <w:qFormat/>
    <w:rsid w:val="00CF2098"/>
    <w:rPr>
      <w:b/>
      <w:bCs/>
      <w:sz w:val="20"/>
      <w:szCs w:val="20"/>
    </w:rPr>
  </w:style>
  <w:style w:type="character" w:styleId="FollowedHyperlink">
    <w:name w:val="FollowedHyperlink"/>
    <w:rsid w:val="001320FE"/>
    <w:rPr>
      <w:color w:val="800080"/>
      <w:u w:val="single"/>
    </w:rPr>
  </w:style>
  <w:style w:type="paragraph" w:styleId="NormalWeb">
    <w:name w:val="Normal (Web)"/>
    <w:basedOn w:val="Normal"/>
    <w:uiPriority w:val="99"/>
    <w:rsid w:val="000333A8"/>
    <w:pPr>
      <w:spacing w:before="100" w:beforeAutospacing="1" w:after="100" w:afterAutospacing="1"/>
    </w:pPr>
    <w:rPr>
      <w:lang w:val="en-US"/>
    </w:rPr>
  </w:style>
  <w:style w:type="paragraph" w:styleId="BodyText3">
    <w:name w:val="Body Text 3"/>
    <w:basedOn w:val="Normal"/>
    <w:rsid w:val="006C6A10"/>
    <w:pPr>
      <w:spacing w:after="120"/>
    </w:pPr>
    <w:rPr>
      <w:sz w:val="16"/>
      <w:szCs w:val="16"/>
    </w:rPr>
  </w:style>
  <w:style w:type="paragraph" w:customStyle="1" w:styleId="Default">
    <w:name w:val="Default"/>
    <w:rsid w:val="00545016"/>
    <w:pPr>
      <w:autoSpaceDE w:val="0"/>
      <w:autoSpaceDN w:val="0"/>
      <w:adjustRightInd w:val="0"/>
    </w:pPr>
    <w:rPr>
      <w:color w:val="000000"/>
      <w:lang w:val="en-US" w:eastAsia="en-US"/>
    </w:rPr>
  </w:style>
  <w:style w:type="paragraph" w:customStyle="1" w:styleId="MediumGrid1-Accent21">
    <w:name w:val="Medium Grid 1 - Accent 21"/>
    <w:basedOn w:val="Normal"/>
    <w:uiPriority w:val="34"/>
    <w:qFormat/>
    <w:rsid w:val="004F347B"/>
    <w:pPr>
      <w:ind w:left="720"/>
    </w:pPr>
  </w:style>
  <w:style w:type="character" w:customStyle="1" w:styleId="CharChar">
    <w:name w:val="Char Char"/>
    <w:rsid w:val="005A6DCE"/>
    <w:rPr>
      <w:sz w:val="24"/>
      <w:lang w:val="en-NZ" w:eastAsia="en-US" w:bidi="ar-SA"/>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 Char Char Char Char"/>
    <w:basedOn w:val="Normal"/>
    <w:rsid w:val="000A5C0E"/>
    <w:pPr>
      <w:spacing w:after="160" w:line="240" w:lineRule="exact"/>
    </w:pPr>
    <w:rPr>
      <w:rFonts w:cs="Arial"/>
      <w:sz w:val="20"/>
      <w:szCs w:val="20"/>
      <w:lang w:val="en-US"/>
    </w:rPr>
  </w:style>
  <w:style w:type="paragraph" w:styleId="ListBullet">
    <w:name w:val="List Bullet"/>
    <w:aliases w:val=" Char Char Char Char Char Char Char Char Char Char, Char Char1 Char Char Char Char Char Char Char Char Char Char Char Char Char Char, Car1 Char Car Char Car Char Car Char Car Char Car Char Car Char Car Char Char Char Char Char Char"/>
    <w:basedOn w:val="Normal"/>
    <w:autoRedefine/>
    <w:rsid w:val="000E5558"/>
    <w:pPr>
      <w:ind w:left="720"/>
    </w:pPr>
    <w:rPr>
      <w:snapToGrid w:val="0"/>
      <w:lang w:val="en-GB" w:eastAsia="en-GB"/>
    </w:rPr>
  </w:style>
  <w:style w:type="paragraph" w:styleId="TableofFigures">
    <w:name w:val="table of figures"/>
    <w:basedOn w:val="Normal"/>
    <w:next w:val="Normal"/>
    <w:uiPriority w:val="99"/>
    <w:rsid w:val="004A2ACF"/>
  </w:style>
  <w:style w:type="character" w:customStyle="1" w:styleId="HeaderChar">
    <w:name w:val="Header Char"/>
    <w:aliases w:val="hd Char,address Char,ContentsHeader Char,heading 3 after h2 Char,h Char,h3+ Char"/>
    <w:link w:val="Header"/>
    <w:rsid w:val="00A57E48"/>
    <w:rPr>
      <w:sz w:val="24"/>
      <w:szCs w:val="24"/>
      <w:lang w:val="pt-PT" w:eastAsia="en-US"/>
    </w:rPr>
  </w:style>
  <w:style w:type="paragraph" w:styleId="EndnoteText">
    <w:name w:val="endnote text"/>
    <w:basedOn w:val="Normal"/>
    <w:link w:val="EndnoteTextChar"/>
    <w:rsid w:val="004B1F1E"/>
    <w:rPr>
      <w:sz w:val="20"/>
      <w:szCs w:val="20"/>
    </w:rPr>
  </w:style>
  <w:style w:type="character" w:customStyle="1" w:styleId="EndnoteTextChar">
    <w:name w:val="Endnote Text Char"/>
    <w:link w:val="EndnoteText"/>
    <w:rsid w:val="004B1F1E"/>
    <w:rPr>
      <w:lang w:val="pt-PT" w:eastAsia="en-US"/>
    </w:rPr>
  </w:style>
  <w:style w:type="character" w:styleId="EndnoteReference">
    <w:name w:val="endnote reference"/>
    <w:rsid w:val="004B1F1E"/>
    <w:rPr>
      <w:vertAlign w:val="superscript"/>
    </w:rPr>
  </w:style>
  <w:style w:type="table" w:styleId="TableClassic2">
    <w:name w:val="Table Classic 2"/>
    <w:basedOn w:val="TableNormal"/>
    <w:rsid w:val="00B51848"/>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MessageHeaderLast">
    <w:name w:val="Message Header Last"/>
    <w:rsid w:val="00E61B89"/>
  </w:style>
  <w:style w:type="paragraph" w:customStyle="1" w:styleId="CVstyle">
    <w:name w:val="CV style"/>
    <w:rsid w:val="00E61B89"/>
    <w:rPr>
      <w:rFonts w:ascii="Garamond" w:hAnsi="Garamond"/>
      <w:lang w:eastAsia="en-US"/>
    </w:rPr>
  </w:style>
  <w:style w:type="paragraph" w:styleId="MessageHeader">
    <w:name w:val="Message Header"/>
    <w:basedOn w:val="Normal"/>
    <w:link w:val="MessageHeaderChar"/>
    <w:rsid w:val="00E61B8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MessageHeaderChar">
    <w:name w:val="Message Header Char"/>
    <w:link w:val="MessageHeader"/>
    <w:rsid w:val="00E61B89"/>
    <w:rPr>
      <w:rFonts w:ascii="Cambria" w:eastAsia="Times New Roman" w:hAnsi="Cambria" w:cs="Times New Roman"/>
      <w:sz w:val="24"/>
      <w:szCs w:val="24"/>
      <w:shd w:val="pct20" w:color="auto" w:fill="auto"/>
      <w:lang w:val="pt-PT" w:eastAsia="en-US"/>
    </w:rPr>
  </w:style>
  <w:style w:type="paragraph" w:customStyle="1" w:styleId="normal9">
    <w:name w:val="normal9"/>
    <w:basedOn w:val="Normal"/>
    <w:link w:val="normal9Char"/>
    <w:rsid w:val="00D50B1C"/>
    <w:pPr>
      <w:spacing w:after="60"/>
    </w:pPr>
    <w:rPr>
      <w:rFonts w:ascii="Arial" w:hAnsi="Arial"/>
      <w:sz w:val="18"/>
      <w:szCs w:val="20"/>
    </w:rPr>
  </w:style>
  <w:style w:type="character" w:customStyle="1" w:styleId="normal9Char">
    <w:name w:val="normal9 Char"/>
    <w:link w:val="normal9"/>
    <w:rsid w:val="00D50B1C"/>
    <w:rPr>
      <w:rFonts w:ascii="Arial" w:hAnsi="Arial"/>
      <w:sz w:val="18"/>
      <w:lang w:eastAsia="en-US"/>
    </w:rPr>
  </w:style>
  <w:style w:type="paragraph" w:styleId="BodyTextIndent2">
    <w:name w:val="Body Text Indent 2"/>
    <w:basedOn w:val="Normal"/>
    <w:link w:val="BodyTextIndent2Char"/>
    <w:rsid w:val="00D50B1C"/>
    <w:pPr>
      <w:autoSpaceDE w:val="0"/>
      <w:autoSpaceDN w:val="0"/>
      <w:spacing w:after="120" w:line="480" w:lineRule="auto"/>
      <w:ind w:left="283"/>
    </w:pPr>
    <w:rPr>
      <w:sz w:val="20"/>
      <w:szCs w:val="20"/>
      <w:lang w:eastAsia="fr-FR"/>
    </w:rPr>
  </w:style>
  <w:style w:type="character" w:customStyle="1" w:styleId="BodyTextIndent2Char">
    <w:name w:val="Body Text Indent 2 Char"/>
    <w:link w:val="BodyTextIndent2"/>
    <w:rsid w:val="00D50B1C"/>
    <w:rPr>
      <w:lang w:eastAsia="fr-FR"/>
    </w:rPr>
  </w:style>
  <w:style w:type="paragraph" w:customStyle="1" w:styleId="1AutoList1">
    <w:name w:val="1AutoList1"/>
    <w:rsid w:val="00D50B1C"/>
    <w:pPr>
      <w:widowControl w:val="0"/>
      <w:tabs>
        <w:tab w:val="left" w:pos="720"/>
      </w:tabs>
      <w:ind w:left="720" w:hanging="720"/>
      <w:jc w:val="both"/>
    </w:pPr>
    <w:rPr>
      <w:snapToGrid w:val="0"/>
      <w:lang w:eastAsia="en-US"/>
    </w:rPr>
  </w:style>
  <w:style w:type="paragraph" w:styleId="Subtitle">
    <w:name w:val="Subtitle"/>
    <w:basedOn w:val="Normal"/>
    <w:link w:val="SubtitleChar"/>
    <w:qFormat/>
    <w:rsid w:val="00D50B1C"/>
    <w:rPr>
      <w:rFonts w:ascii="Garamond" w:hAnsi="Garamond"/>
      <w:szCs w:val="20"/>
    </w:rPr>
  </w:style>
  <w:style w:type="character" w:customStyle="1" w:styleId="SubtitleChar">
    <w:name w:val="Subtitle Char"/>
    <w:link w:val="Subtitle"/>
    <w:rsid w:val="00D50B1C"/>
    <w:rPr>
      <w:rFonts w:ascii="Garamond" w:hAnsi="Garamond"/>
      <w:sz w:val="24"/>
      <w:lang w:val="pt-PT" w:eastAsia="en-US"/>
    </w:rPr>
  </w:style>
  <w:style w:type="paragraph" w:customStyle="1" w:styleId="Nomedaempresa">
    <w:name w:val="Nome da empresa"/>
    <w:basedOn w:val="Normal"/>
    <w:next w:val="Cargo"/>
    <w:rsid w:val="00D50B1C"/>
    <w:pPr>
      <w:tabs>
        <w:tab w:val="left" w:pos="1440"/>
        <w:tab w:val="right" w:pos="6480"/>
      </w:tabs>
      <w:spacing w:before="220" w:line="220" w:lineRule="atLeast"/>
    </w:pPr>
    <w:rPr>
      <w:rFonts w:ascii="Garamond" w:hAnsi="Garamond"/>
      <w:sz w:val="22"/>
      <w:szCs w:val="20"/>
      <w:lang w:eastAsia="pt-PT"/>
    </w:rPr>
  </w:style>
  <w:style w:type="paragraph" w:customStyle="1" w:styleId="Cargo">
    <w:name w:val="Cargo"/>
    <w:next w:val="Normal"/>
    <w:rsid w:val="00D50B1C"/>
    <w:pPr>
      <w:spacing w:before="40" w:after="40" w:line="220" w:lineRule="atLeast"/>
    </w:pPr>
    <w:rPr>
      <w:rFonts w:ascii="Garamond" w:hAnsi="Garamond"/>
      <w:i/>
      <w:spacing w:val="5"/>
      <w:sz w:val="23"/>
      <w:lang w:val="pt-PT" w:eastAsia="pt-PT"/>
    </w:rPr>
  </w:style>
  <w:style w:type="paragraph" w:customStyle="1" w:styleId="Objectivo">
    <w:name w:val="Objectivo"/>
    <w:basedOn w:val="Normal"/>
    <w:next w:val="BodyText"/>
    <w:rsid w:val="00D50B1C"/>
    <w:pPr>
      <w:spacing w:before="60" w:after="220" w:line="220" w:lineRule="atLeast"/>
      <w:jc w:val="both"/>
    </w:pPr>
    <w:rPr>
      <w:rFonts w:ascii="Garamond" w:hAnsi="Garamond"/>
      <w:sz w:val="22"/>
      <w:szCs w:val="20"/>
      <w:lang w:eastAsia="pt-PT"/>
    </w:rPr>
  </w:style>
  <w:style w:type="paragraph" w:customStyle="1" w:styleId="Realizaes">
    <w:name w:val="Realizações"/>
    <w:basedOn w:val="BodyText"/>
    <w:rsid w:val="00D50B1C"/>
    <w:pPr>
      <w:numPr>
        <w:numId w:val="3"/>
      </w:numPr>
      <w:spacing w:before="0" w:after="60" w:line="240" w:lineRule="atLeast"/>
    </w:pPr>
    <w:rPr>
      <w:rFonts w:ascii="Garamond" w:eastAsia="MS Mincho" w:hAnsi="Garamond"/>
      <w:sz w:val="22"/>
      <w:lang w:val="pt-PT" w:eastAsia="pt-PT"/>
    </w:rPr>
  </w:style>
  <w:style w:type="character" w:customStyle="1" w:styleId="MessageHeaderLabel">
    <w:name w:val="Message Header Label"/>
    <w:rsid w:val="00D50B1C"/>
    <w:rPr>
      <w:rFonts w:ascii="Helvetica" w:hAnsi="Helvetica"/>
      <w:b/>
      <w:caps/>
      <w:sz w:val="18"/>
    </w:rPr>
  </w:style>
  <w:style w:type="paragraph" w:customStyle="1" w:styleId="CVHEAD">
    <w:name w:val="CVHEAD"/>
    <w:basedOn w:val="Normal"/>
    <w:next w:val="Normal"/>
    <w:rsid w:val="00D50B1C"/>
    <w:pPr>
      <w:tabs>
        <w:tab w:val="left" w:pos="0"/>
        <w:tab w:val="right" w:pos="9066"/>
      </w:tabs>
      <w:spacing w:before="480" w:after="240" w:line="260" w:lineRule="exact"/>
      <w:jc w:val="both"/>
    </w:pPr>
    <w:rPr>
      <w:rFonts w:ascii="Times" w:hAnsi="Times"/>
      <w:b/>
      <w:noProof/>
      <w:sz w:val="22"/>
      <w:szCs w:val="20"/>
      <w:lang w:val="en-GB"/>
    </w:rPr>
  </w:style>
  <w:style w:type="table" w:customStyle="1" w:styleId="CVTable">
    <w:name w:val="CV_Table"/>
    <w:basedOn w:val="TableNormal"/>
    <w:rsid w:val="00D50B1C"/>
    <w:rPr>
      <w:rFonts w:ascii="Arial" w:hAnsi="Arial"/>
      <w:sz w:val="22"/>
    </w:rPr>
    <w:tblPr>
      <w:tblInd w:w="0" w:type="dxa"/>
      <w:tblCellMar>
        <w:top w:w="0" w:type="dxa"/>
        <w:left w:w="0" w:type="dxa"/>
        <w:bottom w:w="0" w:type="dxa"/>
        <w:right w:w="0" w:type="dxa"/>
      </w:tblCellMar>
    </w:tblPr>
    <w:tblStylePr w:type="firstCol">
      <w:pPr>
        <w:wordWrap/>
        <w:spacing w:afterLines="100" w:afterAutospacing="0"/>
      </w:pPr>
      <w:rPr>
        <w:rFonts w:ascii="Arial" w:hAnsi="Arial"/>
        <w:b/>
        <w:caps/>
        <w:smallCaps w:val="0"/>
        <w:sz w:val="22"/>
      </w:rPr>
    </w:tblStylePr>
    <w:tblStylePr w:type="lastCol">
      <w:pPr>
        <w:wordWrap/>
        <w:spacing w:afterLines="100" w:afterAutospacing="0"/>
        <w:jc w:val="both"/>
      </w:pPr>
      <w:rPr>
        <w:rFonts w:ascii="Arial" w:hAnsi="Arial"/>
        <w:sz w:val="22"/>
      </w:rPr>
      <w:tblPr/>
      <w:trPr>
        <w:cantSplit/>
      </w:trPr>
    </w:tblStylePr>
  </w:style>
  <w:style w:type="paragraph" w:customStyle="1" w:styleId="BodyText1">
    <w:name w:val="Body Text1"/>
    <w:aliases w:val="OPM"/>
    <w:basedOn w:val="Normal"/>
    <w:rsid w:val="00D50B1C"/>
    <w:pPr>
      <w:spacing w:after="240"/>
      <w:jc w:val="both"/>
    </w:pPr>
    <w:rPr>
      <w:rFonts w:ascii="Arial" w:hAnsi="Arial"/>
      <w:sz w:val="22"/>
      <w:szCs w:val="20"/>
      <w:lang w:val="en-GB"/>
    </w:rPr>
  </w:style>
  <w:style w:type="paragraph" w:customStyle="1" w:styleId="CVHeaders">
    <w:name w:val="CV Headers"/>
    <w:link w:val="CVHeadersCharChar"/>
    <w:rsid w:val="00D50B1C"/>
    <w:pPr>
      <w:spacing w:before="120" w:after="120"/>
    </w:pPr>
    <w:rPr>
      <w:b/>
      <w:sz w:val="22"/>
      <w:szCs w:val="22"/>
      <w:lang w:eastAsia="en-US"/>
    </w:rPr>
  </w:style>
  <w:style w:type="character" w:customStyle="1" w:styleId="CVHeadersCharChar">
    <w:name w:val="CV Headers Char Char"/>
    <w:link w:val="CVHeaders"/>
    <w:rsid w:val="00D50B1C"/>
    <w:rPr>
      <w:b/>
      <w:sz w:val="22"/>
      <w:szCs w:val="22"/>
      <w:lang w:val="en-GB" w:eastAsia="en-US" w:bidi="ar-SA"/>
    </w:rPr>
  </w:style>
  <w:style w:type="paragraph" w:customStyle="1" w:styleId="CVTableHeading">
    <w:name w:val="CV Table Heading"/>
    <w:basedOn w:val="Normal"/>
    <w:rsid w:val="00D50B1C"/>
    <w:pPr>
      <w:keepNext/>
      <w:spacing w:before="120"/>
      <w:jc w:val="center"/>
    </w:pPr>
    <w:rPr>
      <w:b/>
      <w:bCs/>
      <w:sz w:val="22"/>
      <w:szCs w:val="20"/>
      <w:lang w:val="en-GB"/>
    </w:rPr>
  </w:style>
  <w:style w:type="paragraph" w:customStyle="1" w:styleId="CVTableText">
    <w:name w:val="CV Table Text"/>
    <w:rsid w:val="00D50B1C"/>
    <w:pPr>
      <w:spacing w:before="120"/>
    </w:pPr>
    <w:rPr>
      <w:sz w:val="22"/>
      <w:lang w:eastAsia="en-US"/>
    </w:rPr>
  </w:style>
  <w:style w:type="paragraph" w:styleId="BodyTextIndent">
    <w:name w:val="Body Text Indent"/>
    <w:basedOn w:val="Normal"/>
    <w:link w:val="BodyTextIndentChar"/>
    <w:rsid w:val="00D50B1C"/>
    <w:pPr>
      <w:spacing w:after="120"/>
      <w:ind w:left="283"/>
    </w:pPr>
  </w:style>
  <w:style w:type="character" w:customStyle="1" w:styleId="BodyTextIndentChar">
    <w:name w:val="Body Text Indent Char"/>
    <w:link w:val="BodyTextIndent"/>
    <w:rsid w:val="00D50B1C"/>
    <w:rPr>
      <w:sz w:val="24"/>
      <w:szCs w:val="24"/>
      <w:lang w:val="pt-PT" w:eastAsia="en-US"/>
    </w:rPr>
  </w:style>
  <w:style w:type="character" w:customStyle="1" w:styleId="Heading8Char">
    <w:name w:val="Heading 8 Char"/>
    <w:link w:val="Heading8"/>
    <w:rsid w:val="00D50B1C"/>
    <w:rPr>
      <w:i/>
      <w:iCs/>
      <w:sz w:val="24"/>
      <w:szCs w:val="24"/>
      <w:lang w:val="pt-PT" w:eastAsia="en-US"/>
    </w:rPr>
  </w:style>
  <w:style w:type="paragraph" w:styleId="PlainText">
    <w:name w:val="Plain Text"/>
    <w:basedOn w:val="Normal"/>
    <w:link w:val="PlainTextChar"/>
    <w:rsid w:val="00D50B1C"/>
    <w:rPr>
      <w:rFonts w:ascii="Arial" w:hAnsi="Arial"/>
      <w:color w:val="0000FF"/>
      <w:sz w:val="20"/>
      <w:szCs w:val="20"/>
      <w:lang w:val="en-US"/>
    </w:rPr>
  </w:style>
  <w:style w:type="character" w:customStyle="1" w:styleId="PlainTextChar">
    <w:name w:val="Plain Text Char"/>
    <w:link w:val="PlainText"/>
    <w:rsid w:val="00D50B1C"/>
    <w:rPr>
      <w:rFonts w:ascii="Arial" w:hAnsi="Arial" w:cs="Arial"/>
      <w:color w:val="0000FF"/>
      <w:lang w:val="en-US" w:eastAsia="en-US"/>
    </w:rPr>
  </w:style>
  <w:style w:type="character" w:styleId="Emphasis">
    <w:name w:val="Emphasis"/>
    <w:qFormat/>
    <w:rsid w:val="00D50B1C"/>
    <w:rPr>
      <w:b/>
      <w:bCs/>
      <w:i w:val="0"/>
      <w:iCs w:val="0"/>
    </w:rPr>
  </w:style>
  <w:style w:type="paragraph" w:customStyle="1" w:styleId="Style1">
    <w:name w:val="Style1"/>
    <w:basedOn w:val="Normal"/>
    <w:rsid w:val="005934B8"/>
    <w:pPr>
      <w:spacing w:after="120"/>
    </w:pPr>
    <w:rPr>
      <w:rFonts w:ascii="Arial" w:hAnsi="Arial"/>
      <w:sz w:val="20"/>
      <w:lang w:val="en-GB"/>
    </w:rPr>
  </w:style>
  <w:style w:type="character" w:customStyle="1" w:styleId="Puesto">
    <w:name w:val="Puesto"/>
    <w:rsid w:val="005934B8"/>
    <w:rPr>
      <w:i/>
      <w:iCs/>
    </w:rPr>
  </w:style>
  <w:style w:type="paragraph" w:styleId="BodyText2">
    <w:name w:val="Body Text 2"/>
    <w:basedOn w:val="Normal"/>
    <w:link w:val="BodyText2Char"/>
    <w:rsid w:val="001F74A3"/>
    <w:pPr>
      <w:spacing w:after="120" w:line="480" w:lineRule="auto"/>
    </w:pPr>
  </w:style>
  <w:style w:type="character" w:customStyle="1" w:styleId="BodyText2Char">
    <w:name w:val="Body Text 2 Char"/>
    <w:link w:val="BodyText2"/>
    <w:rsid w:val="001F74A3"/>
    <w:rPr>
      <w:sz w:val="24"/>
      <w:szCs w:val="24"/>
      <w:lang w:val="pt-PT" w:eastAsia="en-US"/>
    </w:rPr>
  </w:style>
  <w:style w:type="character" w:customStyle="1" w:styleId="normal10Char">
    <w:name w:val="normal10 Char"/>
    <w:rsid w:val="00CC77B7"/>
    <w:rPr>
      <w:rFonts w:ascii="Arial" w:hAnsi="Arial"/>
      <w:sz w:val="18"/>
      <w:lang w:val="en-GB" w:eastAsia="ar-SA" w:bidi="ar-SA"/>
    </w:rPr>
  </w:style>
  <w:style w:type="character" w:customStyle="1" w:styleId="greytitleChar">
    <w:name w:val="greytitle Char"/>
    <w:rsid w:val="00CC77B7"/>
    <w:rPr>
      <w:rFonts w:ascii="Arial" w:hAnsi="Arial"/>
      <w:b/>
      <w:color w:val="808080"/>
      <w:lang w:val="en-GB" w:eastAsia="ar-SA" w:bidi="ar-SA"/>
    </w:rPr>
  </w:style>
  <w:style w:type="paragraph" w:customStyle="1" w:styleId="normal10">
    <w:name w:val="normal10"/>
    <w:basedOn w:val="normal9"/>
    <w:rsid w:val="00CC77B7"/>
    <w:pPr>
      <w:suppressAutoHyphens/>
    </w:pPr>
    <w:rPr>
      <w:sz w:val="20"/>
      <w:lang w:eastAsia="ar-SA"/>
    </w:rPr>
  </w:style>
  <w:style w:type="paragraph" w:customStyle="1" w:styleId="greytitle">
    <w:name w:val="greytitle"/>
    <w:basedOn w:val="Normal"/>
    <w:rsid w:val="00CC77B7"/>
    <w:pPr>
      <w:suppressAutoHyphens/>
      <w:spacing w:after="60"/>
    </w:pPr>
    <w:rPr>
      <w:rFonts w:ascii="Arial" w:hAnsi="Arial"/>
      <w:b/>
      <w:color w:val="808080"/>
      <w:sz w:val="20"/>
      <w:szCs w:val="20"/>
      <w:lang w:val="en-GB" w:eastAsia="ar-SA"/>
    </w:rPr>
  </w:style>
  <w:style w:type="paragraph" w:customStyle="1" w:styleId="Detailsin10">
    <w:name w:val="Details in 10"/>
    <w:basedOn w:val="Normal"/>
    <w:rsid w:val="00CC77B7"/>
    <w:pPr>
      <w:suppressAutoHyphens/>
      <w:spacing w:after="60"/>
    </w:pPr>
    <w:rPr>
      <w:rFonts w:ascii="Arial" w:hAnsi="Arial"/>
      <w:sz w:val="20"/>
      <w:szCs w:val="20"/>
      <w:lang w:val="en-GB" w:eastAsia="ar-SA"/>
    </w:rPr>
  </w:style>
  <w:style w:type="character" w:customStyle="1" w:styleId="FootnoteTextChar">
    <w:name w:val="Footnote Text Char"/>
    <w:aliases w:val="single space Char,FOOTNOTES Char,fn Char,Footnote Text Char Char Char Char Char1,Footnote Text Char Char Char Char1,footnote text Char,ADB Char,Footnote Text Char Char Char Char Char Char,Footnote Text Char Char1 Char,ft Char,f Char"/>
    <w:link w:val="FootnoteText"/>
    <w:uiPriority w:val="99"/>
    <w:rsid w:val="009B1D2E"/>
    <w:rPr>
      <w:lang w:val="en-NZ" w:eastAsia="en-US"/>
    </w:rPr>
  </w:style>
  <w:style w:type="paragraph" w:customStyle="1" w:styleId="FreeForm">
    <w:name w:val="Free Form"/>
    <w:rsid w:val="00E64A9A"/>
    <w:rPr>
      <w:rFonts w:eastAsia="ヒラギノ角ゴ Pro W3"/>
      <w:color w:val="000000"/>
    </w:rPr>
  </w:style>
  <w:style w:type="paragraph" w:customStyle="1" w:styleId="Header1">
    <w:name w:val="Header1"/>
    <w:rsid w:val="00E64A9A"/>
    <w:pPr>
      <w:tabs>
        <w:tab w:val="center" w:pos="4320"/>
        <w:tab w:val="right" w:pos="8640"/>
      </w:tabs>
    </w:pPr>
    <w:rPr>
      <w:rFonts w:ascii="Arial" w:eastAsia="ヒラギノ角ゴ Pro W3" w:hAnsi="Arial"/>
      <w:color w:val="000000"/>
      <w:lang w:val="en-US"/>
    </w:rPr>
  </w:style>
  <w:style w:type="paragraph" w:customStyle="1" w:styleId="Heading1AA">
    <w:name w:val="Heading 1 A A"/>
    <w:next w:val="Normal"/>
    <w:rsid w:val="001D4728"/>
    <w:pPr>
      <w:keepNext/>
      <w:tabs>
        <w:tab w:val="left" w:pos="0"/>
      </w:tabs>
      <w:suppressAutoHyphens/>
      <w:spacing w:before="240" w:after="60"/>
      <w:outlineLvl w:val="0"/>
    </w:pPr>
    <w:rPr>
      <w:rFonts w:ascii="Arial Bold" w:eastAsia="ヒラギノ角ゴ Pro W3" w:hAnsi="Arial Bold"/>
      <w:color w:val="000000"/>
      <w:kern w:val="1"/>
      <w:sz w:val="32"/>
    </w:rPr>
  </w:style>
  <w:style w:type="paragraph" w:customStyle="1" w:styleId="Heading2AA">
    <w:name w:val="Heading 2 A A"/>
    <w:next w:val="Normal"/>
    <w:autoRedefine/>
    <w:rsid w:val="001D4728"/>
    <w:pPr>
      <w:keepNext/>
      <w:tabs>
        <w:tab w:val="left" w:pos="0"/>
      </w:tabs>
      <w:suppressAutoHyphens/>
      <w:spacing w:after="120"/>
      <w:jc w:val="center"/>
      <w:outlineLvl w:val="1"/>
    </w:pPr>
    <w:rPr>
      <w:rFonts w:ascii="Arial" w:eastAsia="ヒラギノ角ゴ Pro W3" w:hAnsi="Arial"/>
      <w:color w:val="000000"/>
    </w:rPr>
  </w:style>
  <w:style w:type="character" w:customStyle="1" w:styleId="Hyperlink1">
    <w:name w:val="Hyperlink1"/>
    <w:rsid w:val="001D4728"/>
    <w:rPr>
      <w:color w:val="003AD1"/>
      <w:sz w:val="20"/>
      <w:u w:val="single"/>
    </w:rPr>
  </w:style>
  <w:style w:type="paragraph" w:customStyle="1" w:styleId="Heading3AA">
    <w:name w:val="Heading 3 A A"/>
    <w:next w:val="Normal"/>
    <w:autoRedefine/>
    <w:rsid w:val="00682787"/>
    <w:pPr>
      <w:keepNext/>
      <w:tabs>
        <w:tab w:val="left" w:pos="0"/>
      </w:tabs>
      <w:suppressAutoHyphens/>
      <w:spacing w:before="60" w:after="60"/>
      <w:outlineLvl w:val="2"/>
    </w:pPr>
    <w:rPr>
      <w:rFonts w:ascii="Arial Bold" w:eastAsia="ヒラギノ角ゴ Pro W3" w:hAnsi="Arial Bold"/>
      <w:color w:val="000000"/>
    </w:rPr>
  </w:style>
  <w:style w:type="paragraph" w:customStyle="1" w:styleId="FreeFormA">
    <w:name w:val="Free Form A"/>
    <w:rsid w:val="001D4728"/>
    <w:rPr>
      <w:rFonts w:eastAsia="ヒラギノ角ゴ Pro W3"/>
      <w:color w:val="000000"/>
    </w:rPr>
  </w:style>
  <w:style w:type="paragraph" w:customStyle="1" w:styleId="BodyText10">
    <w:name w:val="Body Text1"/>
    <w:rsid w:val="00D32EA9"/>
    <w:pPr>
      <w:tabs>
        <w:tab w:val="left" w:pos="284"/>
      </w:tabs>
      <w:spacing w:before="120" w:after="120" w:line="280" w:lineRule="atLeast"/>
      <w:jc w:val="both"/>
    </w:pPr>
    <w:rPr>
      <w:rFonts w:eastAsia="ヒラギノ角ゴ Pro W3"/>
      <w:color w:val="000000"/>
      <w:lang w:val="en-US"/>
    </w:rPr>
  </w:style>
  <w:style w:type="paragraph" w:customStyle="1" w:styleId="FreeFormB">
    <w:name w:val="Free Form B"/>
    <w:rsid w:val="00D32EA9"/>
    <w:rPr>
      <w:rFonts w:eastAsia="ヒラギノ角ゴ Pro W3"/>
      <w:color w:val="000000"/>
    </w:rPr>
  </w:style>
  <w:style w:type="paragraph" w:styleId="Title">
    <w:name w:val="Title"/>
    <w:basedOn w:val="Normal"/>
    <w:link w:val="TitleChar"/>
    <w:qFormat/>
    <w:rsid w:val="006763B9"/>
    <w:pPr>
      <w:widowControl w:val="0"/>
      <w:autoSpaceDE w:val="0"/>
      <w:autoSpaceDN w:val="0"/>
      <w:adjustRightInd w:val="0"/>
      <w:jc w:val="center"/>
    </w:pPr>
    <w:rPr>
      <w:rFonts w:ascii="Arial" w:hAnsi="Arial"/>
      <w:sz w:val="48"/>
    </w:rPr>
  </w:style>
  <w:style w:type="character" w:customStyle="1" w:styleId="TitleChar">
    <w:name w:val="Title Char"/>
    <w:link w:val="Title"/>
    <w:rsid w:val="006763B9"/>
    <w:rPr>
      <w:rFonts w:ascii="Arial" w:hAnsi="Arial"/>
      <w:sz w:val="48"/>
      <w:szCs w:val="24"/>
      <w:lang w:eastAsia="en-US"/>
    </w:rPr>
  </w:style>
  <w:style w:type="character" w:customStyle="1" w:styleId="1">
    <w:name w:val="1"/>
    <w:semiHidden/>
    <w:rsid w:val="000B260B"/>
    <w:rPr>
      <w:rFonts w:ascii="Arial" w:hAnsi="Arial" w:cs="Arial"/>
      <w:color w:val="000080"/>
      <w:sz w:val="20"/>
      <w:szCs w:val="20"/>
    </w:rPr>
  </w:style>
  <w:style w:type="character" w:customStyle="1" w:styleId="apple-style-span">
    <w:name w:val="apple-style-span"/>
    <w:basedOn w:val="DefaultParagraphFont"/>
    <w:rsid w:val="000B260B"/>
  </w:style>
  <w:style w:type="paragraph" w:customStyle="1" w:styleId="summaryhead">
    <w:name w:val="summary head"/>
    <w:basedOn w:val="Normal"/>
    <w:rsid w:val="00EE7420"/>
    <w:pPr>
      <w:widowControl w:val="0"/>
    </w:pPr>
    <w:rPr>
      <w:b/>
      <w:bCs/>
      <w:snapToGrid w:val="0"/>
      <w:sz w:val="23"/>
      <w:szCs w:val="23"/>
      <w:lang w:val="en-GB"/>
    </w:rPr>
  </w:style>
  <w:style w:type="paragraph" w:customStyle="1" w:styleId="Body">
    <w:name w:val="Body"/>
    <w:rsid w:val="008A680B"/>
    <w:rPr>
      <w:rFonts w:ascii="Helvetica" w:eastAsia="ヒラギノ角ゴ Pro W3" w:hAnsi="Helvetica"/>
      <w:color w:val="000000"/>
      <w:lang w:val="en-US"/>
    </w:rPr>
  </w:style>
  <w:style w:type="character" w:customStyle="1" w:styleId="Heading">
    <w:name w:val="Heading"/>
    <w:rsid w:val="00E87FF3"/>
    <w:rPr>
      <w:b/>
      <w:bCs/>
      <w:sz w:val="44"/>
      <w:szCs w:val="44"/>
    </w:rPr>
  </w:style>
  <w:style w:type="character" w:customStyle="1" w:styleId="Heading1Char">
    <w:name w:val="Heading 1 Char"/>
    <w:link w:val="Heading1"/>
    <w:rsid w:val="00B56E6C"/>
    <w:rPr>
      <w:rFonts w:ascii="Gill Sans MT" w:hAnsi="Gill Sans MT"/>
      <w:b/>
      <w:color w:val="604278"/>
      <w:kern w:val="32"/>
      <w:sz w:val="36"/>
      <w:szCs w:val="36"/>
      <w:lang w:eastAsia="en-US"/>
    </w:rPr>
  </w:style>
  <w:style w:type="paragraph" w:customStyle="1" w:styleId="StyleassignheadArial10ptJustifiedLeft0Hanging0">
    <w:name w:val="Style assign head + Arial 10 pt Justified Left:  0&quot; Hanging:  0..."/>
    <w:basedOn w:val="Normal"/>
    <w:next w:val="StyleCVassignmenttextLeft067Firstline0"/>
    <w:rsid w:val="00E87FF3"/>
    <w:pPr>
      <w:keepNext/>
      <w:tabs>
        <w:tab w:val="left" w:pos="965"/>
      </w:tabs>
      <w:ind w:left="965" w:hanging="965"/>
      <w:jc w:val="both"/>
    </w:pPr>
    <w:rPr>
      <w:rFonts w:ascii="Arial" w:hAnsi="Arial"/>
      <w:b/>
      <w:bCs/>
      <w:snapToGrid w:val="0"/>
      <w:sz w:val="20"/>
      <w:szCs w:val="20"/>
      <w:lang w:val="en-US"/>
    </w:rPr>
  </w:style>
  <w:style w:type="paragraph" w:customStyle="1" w:styleId="StyleCVassignmenttextLeft067Firstline0">
    <w:name w:val="Style CV assignment text + Left:  0.67&quot; First line:  0&quot;"/>
    <w:basedOn w:val="Normal"/>
    <w:next w:val="StyleassignheadArial10ptJustifiedLeft0Hanging0"/>
    <w:rsid w:val="00E87FF3"/>
    <w:pPr>
      <w:tabs>
        <w:tab w:val="left" w:pos="1080"/>
      </w:tabs>
      <w:spacing w:after="120"/>
      <w:ind w:left="965"/>
      <w:jc w:val="both"/>
    </w:pPr>
    <w:rPr>
      <w:snapToGrid w:val="0"/>
      <w:sz w:val="22"/>
      <w:szCs w:val="20"/>
      <w:lang w:val="en-GB"/>
    </w:rPr>
  </w:style>
  <w:style w:type="paragraph" w:customStyle="1" w:styleId="CVassignmenttext">
    <w:name w:val="CV assignment text"/>
    <w:basedOn w:val="Normal"/>
    <w:next w:val="StyleassignheadArial10ptJustifiedLeft0Hanging0"/>
    <w:link w:val="CVassignmenttextChar"/>
    <w:autoRedefine/>
    <w:rsid w:val="00E87FF3"/>
    <w:pPr>
      <w:tabs>
        <w:tab w:val="left" w:pos="1080"/>
      </w:tabs>
      <w:spacing w:after="120"/>
      <w:ind w:left="965"/>
      <w:jc w:val="both"/>
    </w:pPr>
    <w:rPr>
      <w:snapToGrid w:val="0"/>
      <w:sz w:val="22"/>
      <w:szCs w:val="23"/>
    </w:rPr>
  </w:style>
  <w:style w:type="character" w:customStyle="1" w:styleId="CVassignmenttextChar">
    <w:name w:val="CV assignment text Char"/>
    <w:link w:val="CVassignmenttext"/>
    <w:rsid w:val="00E87FF3"/>
    <w:rPr>
      <w:snapToGrid w:val="0"/>
      <w:sz w:val="22"/>
      <w:szCs w:val="23"/>
      <w:lang w:eastAsia="en-US"/>
    </w:rPr>
  </w:style>
  <w:style w:type="paragraph" w:customStyle="1" w:styleId="StyleStyleassignheadArial10ptJustifiedLeft0Hanging">
    <w:name w:val="Style Style assign head + Arial 10 pt Justified Left:  0&quot; Hanging: ..."/>
    <w:basedOn w:val="Normal"/>
    <w:rsid w:val="00E87FF3"/>
    <w:pPr>
      <w:keepNext/>
      <w:ind w:left="965" w:hanging="965"/>
      <w:jc w:val="both"/>
    </w:pPr>
    <w:rPr>
      <w:rFonts w:ascii="Arial" w:hAnsi="Arial"/>
      <w:b/>
      <w:bCs/>
      <w:snapToGrid w:val="0"/>
      <w:sz w:val="22"/>
      <w:szCs w:val="22"/>
      <w:lang w:val="en-US"/>
    </w:rPr>
  </w:style>
  <w:style w:type="paragraph" w:customStyle="1" w:styleId="assignhead">
    <w:name w:val="assign head"/>
    <w:basedOn w:val="Normal"/>
    <w:link w:val="assignheadChar"/>
    <w:rsid w:val="008E15C4"/>
    <w:pPr>
      <w:widowControl w:val="0"/>
    </w:pPr>
    <w:rPr>
      <w:rFonts w:ascii="CG Times" w:hAnsi="CG Times"/>
      <w:b/>
      <w:snapToGrid w:val="0"/>
      <w:szCs w:val="20"/>
      <w:lang w:val="en-US"/>
    </w:rPr>
  </w:style>
  <w:style w:type="paragraph" w:customStyle="1" w:styleId="GeneralText">
    <w:name w:val="General Text"/>
    <w:basedOn w:val="Normal"/>
    <w:rsid w:val="008E15C4"/>
    <w:pPr>
      <w:spacing w:after="120"/>
      <w:jc w:val="both"/>
    </w:pPr>
    <w:rPr>
      <w:sz w:val="21"/>
      <w:szCs w:val="21"/>
      <w:lang w:val="en-GB"/>
    </w:rPr>
  </w:style>
  <w:style w:type="character" w:customStyle="1" w:styleId="assignheadChar">
    <w:name w:val="assign head Char"/>
    <w:link w:val="assignhead"/>
    <w:rsid w:val="00A961AF"/>
    <w:rPr>
      <w:rFonts w:ascii="CG Times" w:hAnsi="CG Times"/>
      <w:b/>
      <w:snapToGrid w:val="0"/>
      <w:sz w:val="24"/>
      <w:lang w:val="en-US" w:eastAsia="en-US"/>
    </w:rPr>
  </w:style>
  <w:style w:type="paragraph" w:customStyle="1" w:styleId="StyleStyleassignhead11ptJustified">
    <w:name w:val="Style Style assign head + 11 pt + Justified"/>
    <w:basedOn w:val="Normal"/>
    <w:rsid w:val="00A961AF"/>
    <w:pPr>
      <w:keepNext/>
      <w:widowControl w:val="0"/>
      <w:jc w:val="both"/>
    </w:pPr>
    <w:rPr>
      <w:rFonts w:ascii="CG Times" w:hAnsi="CG Times"/>
      <w:b/>
      <w:bCs/>
      <w:snapToGrid w:val="0"/>
      <w:sz w:val="22"/>
      <w:szCs w:val="20"/>
      <w:lang w:val="en-US"/>
    </w:rPr>
  </w:style>
  <w:style w:type="paragraph" w:customStyle="1" w:styleId="NoSpacing1">
    <w:name w:val="No Spacing1"/>
    <w:uiPriority w:val="1"/>
    <w:qFormat/>
    <w:rsid w:val="00CD6B2C"/>
    <w:rPr>
      <w:rFonts w:ascii="Calibri" w:eastAsia="Calibri" w:hAnsi="Calibri"/>
      <w:sz w:val="22"/>
      <w:szCs w:val="22"/>
      <w:lang w:eastAsia="en-US"/>
    </w:rPr>
  </w:style>
  <w:style w:type="paragraph" w:customStyle="1" w:styleId="Heading2NONUM">
    <w:name w:val="Heading 2 NO NUM"/>
    <w:basedOn w:val="Heading2"/>
    <w:next w:val="BodyText"/>
    <w:qFormat/>
    <w:rsid w:val="00582593"/>
    <w:pPr>
      <w:spacing w:before="160" w:after="240" w:line="240" w:lineRule="auto"/>
    </w:pPr>
    <w:rPr>
      <w:rFonts w:ascii="Arial" w:hAnsi="Arial"/>
      <w:b/>
      <w:color w:val="auto"/>
      <w:sz w:val="24"/>
      <w:szCs w:val="20"/>
    </w:rPr>
  </w:style>
  <w:style w:type="character" w:customStyle="1" w:styleId="red">
    <w:name w:val="red"/>
    <w:basedOn w:val="DefaultParagraphFont"/>
    <w:rsid w:val="00D42BEC"/>
  </w:style>
  <w:style w:type="paragraph" w:styleId="TOC4">
    <w:name w:val="toc 4"/>
    <w:basedOn w:val="Normal"/>
    <w:next w:val="Normal"/>
    <w:autoRedefine/>
    <w:rsid w:val="006F62DD"/>
    <w:pPr>
      <w:ind w:left="720"/>
    </w:pPr>
    <w:rPr>
      <w:rFonts w:ascii="Cambria" w:hAnsi="Cambria"/>
      <w:sz w:val="18"/>
      <w:szCs w:val="18"/>
    </w:rPr>
  </w:style>
  <w:style w:type="paragraph" w:styleId="TOC5">
    <w:name w:val="toc 5"/>
    <w:basedOn w:val="Normal"/>
    <w:next w:val="Normal"/>
    <w:autoRedefine/>
    <w:rsid w:val="006F62DD"/>
    <w:pPr>
      <w:ind w:left="960"/>
    </w:pPr>
    <w:rPr>
      <w:rFonts w:ascii="Cambria" w:hAnsi="Cambria"/>
      <w:sz w:val="18"/>
      <w:szCs w:val="18"/>
    </w:rPr>
  </w:style>
  <w:style w:type="paragraph" w:styleId="TOC6">
    <w:name w:val="toc 6"/>
    <w:basedOn w:val="Normal"/>
    <w:next w:val="Normal"/>
    <w:autoRedefine/>
    <w:rsid w:val="006F62DD"/>
    <w:pPr>
      <w:ind w:left="1200"/>
    </w:pPr>
    <w:rPr>
      <w:rFonts w:ascii="Cambria" w:hAnsi="Cambria"/>
      <w:sz w:val="18"/>
      <w:szCs w:val="18"/>
    </w:rPr>
  </w:style>
  <w:style w:type="paragraph" w:styleId="TOC7">
    <w:name w:val="toc 7"/>
    <w:basedOn w:val="Normal"/>
    <w:next w:val="Normal"/>
    <w:autoRedefine/>
    <w:rsid w:val="006F62DD"/>
    <w:pPr>
      <w:ind w:left="1440"/>
    </w:pPr>
    <w:rPr>
      <w:rFonts w:ascii="Cambria" w:hAnsi="Cambria"/>
      <w:sz w:val="18"/>
      <w:szCs w:val="18"/>
    </w:rPr>
  </w:style>
  <w:style w:type="paragraph" w:styleId="TOC8">
    <w:name w:val="toc 8"/>
    <w:basedOn w:val="Normal"/>
    <w:next w:val="Normal"/>
    <w:autoRedefine/>
    <w:rsid w:val="006F62DD"/>
    <w:pPr>
      <w:ind w:left="1680"/>
    </w:pPr>
    <w:rPr>
      <w:rFonts w:ascii="Cambria" w:hAnsi="Cambria"/>
      <w:sz w:val="18"/>
      <w:szCs w:val="18"/>
    </w:rPr>
  </w:style>
  <w:style w:type="paragraph" w:styleId="TOC9">
    <w:name w:val="toc 9"/>
    <w:basedOn w:val="Normal"/>
    <w:next w:val="Normal"/>
    <w:autoRedefine/>
    <w:rsid w:val="006F62DD"/>
    <w:pPr>
      <w:ind w:left="1920"/>
    </w:pPr>
    <w:rPr>
      <w:rFonts w:ascii="Cambria" w:hAnsi="Cambria"/>
      <w:sz w:val="18"/>
      <w:szCs w:val="18"/>
    </w:rPr>
  </w:style>
  <w:style w:type="paragraph" w:customStyle="1" w:styleId="TOCHeading1">
    <w:name w:val="TOC Heading1"/>
    <w:basedOn w:val="Heading1"/>
    <w:next w:val="Normal"/>
    <w:uiPriority w:val="39"/>
    <w:unhideWhenUsed/>
    <w:qFormat/>
    <w:rsid w:val="00F141AC"/>
    <w:pPr>
      <w:keepLines/>
      <w:spacing w:before="480" w:line="276" w:lineRule="auto"/>
      <w:outlineLvl w:val="9"/>
    </w:pPr>
    <w:rPr>
      <w:rFonts w:ascii="Calibri" w:eastAsia="MS Gothic" w:hAnsi="Calibri"/>
      <w:bCs/>
      <w:color w:val="365F91"/>
      <w:kern w:val="0"/>
      <w:sz w:val="28"/>
      <w:szCs w:val="28"/>
      <w:lang w:val="en-US"/>
    </w:rPr>
  </w:style>
  <w:style w:type="paragraph" w:customStyle="1" w:styleId="BoxtextTNR">
    <w:name w:val="Box text TNR"/>
    <w:basedOn w:val="Normal"/>
    <w:rsid w:val="00BF6927"/>
    <w:pPr>
      <w:spacing w:before="60" w:after="60"/>
    </w:pPr>
    <w:rPr>
      <w:rFonts w:ascii="Arial" w:hAnsi="Arial" w:cs="Arial"/>
      <w:sz w:val="20"/>
      <w:szCs w:val="20"/>
      <w:lang w:val="en-GB"/>
    </w:rPr>
  </w:style>
  <w:style w:type="table" w:styleId="TableClassic3">
    <w:name w:val="Table Classic 3"/>
    <w:basedOn w:val="TableNormal"/>
    <w:rsid w:val="0015030C"/>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Colorful2">
    <w:name w:val="Table Colorful 2"/>
    <w:basedOn w:val="TableNormal"/>
    <w:rsid w:val="0015030C"/>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character" w:styleId="BookTitle">
    <w:name w:val="Book Title"/>
    <w:uiPriority w:val="33"/>
    <w:qFormat/>
    <w:rsid w:val="001561B2"/>
    <w:rPr>
      <w:caps/>
      <w:color w:val="004D6C"/>
      <w:spacing w:val="5"/>
      <w:u w:color="004D6C"/>
    </w:rPr>
  </w:style>
  <w:style w:type="paragraph" w:styleId="ListParagraph">
    <w:name w:val="List Paragraph"/>
    <w:basedOn w:val="Normal"/>
    <w:uiPriority w:val="34"/>
    <w:qFormat/>
    <w:rsid w:val="00B80E6F"/>
    <w:pPr>
      <w:ind w:left="720"/>
      <w:contextualSpacing/>
    </w:pPr>
  </w:style>
  <w:style w:type="table" w:styleId="TableGrid8">
    <w:name w:val="Table Grid 8"/>
    <w:basedOn w:val="TableNormal"/>
    <w:rsid w:val="0011626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lorfulList-Accent11">
    <w:name w:val="Colorful List - Accent 11"/>
    <w:basedOn w:val="Normal"/>
    <w:uiPriority w:val="99"/>
    <w:qFormat/>
    <w:rsid w:val="00D47891"/>
    <w:pPr>
      <w:spacing w:after="200" w:line="252" w:lineRule="auto"/>
      <w:ind w:left="720"/>
      <w:contextualSpacing/>
    </w:pPr>
    <w:rPr>
      <w:rFonts w:ascii="Cambria" w:hAnsi="Cambria"/>
      <w:sz w:val="22"/>
      <w:szCs w:val="22"/>
      <w:lang w:val="en-US" w:bidi="en-US"/>
    </w:rPr>
  </w:style>
  <w:style w:type="character" w:customStyle="1" w:styleId="CaptionChar">
    <w:name w:val="Caption Char"/>
    <w:aliases w:val=" Char Char Char Char1,Char Char Char Char"/>
    <w:link w:val="Caption"/>
    <w:rsid w:val="00D12258"/>
    <w:rPr>
      <w:b/>
      <w:bCs/>
      <w:lang w:val="pt-PT" w:eastAsia="en-US"/>
    </w:rPr>
  </w:style>
  <w:style w:type="table" w:styleId="LightShading-Accent1">
    <w:name w:val="Light Shading Accent 1"/>
    <w:basedOn w:val="TableNormal"/>
    <w:uiPriority w:val="60"/>
    <w:rsid w:val="00E734D5"/>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hpara">
    <w:name w:val="hpara"/>
    <w:basedOn w:val="BodyText"/>
    <w:qFormat/>
    <w:rsid w:val="001453CB"/>
    <w:pPr>
      <w:numPr>
        <w:numId w:val="0"/>
      </w:numPr>
      <w:tabs>
        <w:tab w:val="num" w:pos="360"/>
      </w:tabs>
      <w:spacing w:before="240" w:after="0" w:line="240" w:lineRule="auto"/>
      <w:ind w:left="360" w:hanging="360"/>
    </w:pPr>
    <w:rPr>
      <w:rFonts w:ascii="Gill Sans MT" w:hAnsi="Gill Sans MT"/>
      <w:sz w:val="20"/>
      <w:lang w:val="en-GB"/>
    </w:rPr>
  </w:style>
  <w:style w:type="table" w:styleId="TableColorful3">
    <w:name w:val="Table Colorful 3"/>
    <w:basedOn w:val="TableNormal"/>
    <w:rsid w:val="00BE2160"/>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character" w:customStyle="1" w:styleId="Heading2Char">
    <w:name w:val="Heading 2 Char"/>
    <w:basedOn w:val="DefaultParagraphFont"/>
    <w:link w:val="Heading2"/>
    <w:rsid w:val="00DB0726"/>
    <w:rPr>
      <w:rFonts w:ascii="Gill Sans MT" w:hAnsi="Gill Sans MT" w:cs="Courier New"/>
      <w:bCs/>
      <w:color w:val="990099"/>
      <w:sz w:val="28"/>
      <w:szCs w:val="28"/>
      <w:lang w:eastAsia="en-US"/>
    </w:rPr>
  </w:style>
  <w:style w:type="paragraph" w:customStyle="1" w:styleId="Stdtext">
    <w:name w:val="Stdtext"/>
    <w:rsid w:val="00FC7B45"/>
    <w:pPr>
      <w:tabs>
        <w:tab w:val="left" w:pos="480"/>
        <w:tab w:val="left" w:pos="960"/>
        <w:tab w:val="right" w:pos="7182"/>
      </w:tabs>
      <w:spacing w:before="240"/>
    </w:pPr>
    <w:rPr>
      <w:sz w:val="22"/>
      <w:szCs w:val="20"/>
      <w:lang w:eastAsia="en-US"/>
    </w:rPr>
  </w:style>
  <w:style w:type="paragraph" w:customStyle="1" w:styleId="Tab1">
    <w:name w:val="Tab1"/>
    <w:basedOn w:val="Stdtext"/>
    <w:rsid w:val="00FC7B45"/>
    <w:pPr>
      <w:tabs>
        <w:tab w:val="clear" w:pos="480"/>
        <w:tab w:val="clear" w:pos="960"/>
        <w:tab w:val="left" w:pos="360"/>
      </w:tabs>
      <w:spacing w:before="120"/>
    </w:pPr>
    <w:rPr>
      <w:sz w:val="20"/>
    </w:rPr>
  </w:style>
  <w:style w:type="paragraph" w:customStyle="1" w:styleId="Tabfoot">
    <w:name w:val="Tabfoot"/>
    <w:basedOn w:val="Tab1"/>
    <w:rsid w:val="00FC7B45"/>
    <w:pPr>
      <w:keepLines/>
      <w:spacing w:before="60"/>
    </w:pPr>
    <w:rPr>
      <w:sz w:val="18"/>
    </w:rPr>
  </w:style>
  <w:style w:type="paragraph" w:customStyle="1" w:styleId="BSBulletpoints">
    <w:name w:val="BS Bullet points"/>
    <w:basedOn w:val="BodyText"/>
    <w:link w:val="BSBulletpointsChar"/>
    <w:qFormat/>
    <w:rsid w:val="00FC7B45"/>
    <w:pPr>
      <w:numPr>
        <w:numId w:val="49"/>
      </w:numPr>
      <w:spacing w:line="360" w:lineRule="auto"/>
    </w:pPr>
    <w:rPr>
      <w:rFonts w:ascii="Gill Sans MT" w:hAnsi="Gill Sans MT"/>
      <w:sz w:val="20"/>
    </w:rPr>
  </w:style>
  <w:style w:type="character" w:customStyle="1" w:styleId="BSBulletpointsChar">
    <w:name w:val="BS Bullet points Char"/>
    <w:basedOn w:val="BodyTextChar"/>
    <w:link w:val="BSBulletpoints"/>
    <w:rsid w:val="00FC7B45"/>
    <w:rPr>
      <w:rFonts w:ascii="Gill Sans MT" w:hAnsi="Gill Sans MT"/>
      <w:sz w:val="20"/>
      <w:szCs w:val="20"/>
      <w:lang w:val="en-N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335245">
      <w:bodyDiv w:val="1"/>
      <w:marLeft w:val="0"/>
      <w:marRight w:val="0"/>
      <w:marTop w:val="0"/>
      <w:marBottom w:val="0"/>
      <w:divBdr>
        <w:top w:val="none" w:sz="0" w:space="0" w:color="auto"/>
        <w:left w:val="none" w:sz="0" w:space="0" w:color="auto"/>
        <w:bottom w:val="none" w:sz="0" w:space="0" w:color="auto"/>
        <w:right w:val="none" w:sz="0" w:space="0" w:color="auto"/>
      </w:divBdr>
    </w:div>
    <w:div w:id="1344892779">
      <w:bodyDiv w:val="1"/>
      <w:marLeft w:val="0"/>
      <w:marRight w:val="0"/>
      <w:marTop w:val="0"/>
      <w:marBottom w:val="0"/>
      <w:divBdr>
        <w:top w:val="none" w:sz="0" w:space="0" w:color="auto"/>
        <w:left w:val="none" w:sz="0" w:space="0" w:color="auto"/>
        <w:bottom w:val="none" w:sz="0" w:space="0" w:color="auto"/>
        <w:right w:val="none" w:sz="0" w:space="0" w:color="auto"/>
      </w:divBdr>
      <w:divsChild>
        <w:div w:id="875973736">
          <w:marLeft w:val="0"/>
          <w:marRight w:val="0"/>
          <w:marTop w:val="0"/>
          <w:marBottom w:val="0"/>
          <w:divBdr>
            <w:top w:val="single" w:sz="48" w:space="0" w:color="B6C8E2"/>
            <w:left w:val="none" w:sz="0" w:space="0" w:color="auto"/>
            <w:bottom w:val="none" w:sz="0" w:space="0" w:color="auto"/>
            <w:right w:val="none" w:sz="0" w:space="0" w:color="auto"/>
          </w:divBdr>
          <w:divsChild>
            <w:div w:id="1440757585">
              <w:marLeft w:val="0"/>
              <w:marRight w:val="0"/>
              <w:marTop w:val="0"/>
              <w:marBottom w:val="0"/>
              <w:divBdr>
                <w:top w:val="none" w:sz="0" w:space="0" w:color="auto"/>
                <w:left w:val="none" w:sz="0" w:space="0" w:color="auto"/>
                <w:bottom w:val="none" w:sz="0" w:space="0" w:color="auto"/>
                <w:right w:val="none" w:sz="0" w:space="0" w:color="auto"/>
              </w:divBdr>
              <w:divsChild>
                <w:div w:id="1573659212">
                  <w:marLeft w:val="0"/>
                  <w:marRight w:val="0"/>
                  <w:marTop w:val="0"/>
                  <w:marBottom w:val="0"/>
                  <w:divBdr>
                    <w:top w:val="none" w:sz="0" w:space="0" w:color="auto"/>
                    <w:left w:val="none" w:sz="0" w:space="0" w:color="auto"/>
                    <w:bottom w:val="none" w:sz="0" w:space="0" w:color="auto"/>
                    <w:right w:val="none" w:sz="0" w:space="0" w:color="auto"/>
                  </w:divBdr>
                  <w:divsChild>
                    <w:div w:id="288895459">
                      <w:marLeft w:val="0"/>
                      <w:marRight w:val="0"/>
                      <w:marTop w:val="0"/>
                      <w:marBottom w:val="0"/>
                      <w:divBdr>
                        <w:top w:val="none" w:sz="0" w:space="0" w:color="auto"/>
                        <w:left w:val="none" w:sz="0" w:space="0" w:color="auto"/>
                        <w:bottom w:val="none" w:sz="0" w:space="0" w:color="auto"/>
                        <w:right w:val="none" w:sz="0" w:space="0" w:color="auto"/>
                      </w:divBdr>
                      <w:divsChild>
                        <w:div w:id="12662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41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image" Target="media/image7.png"/><Relationship Id="rId21" Type="http://schemas.openxmlformats.org/officeDocument/2006/relationships/image" Target="media/image8.emf"/><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wmf"/><Relationship Id="rId25" Type="http://schemas.openxmlformats.org/officeDocument/2006/relationships/image" Target="media/image12.wmf"/><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jp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header" Target="header2.xml"/><Relationship Id="rId17" Type="http://schemas.openxmlformats.org/officeDocument/2006/relationships/footer" Target="footer2.xml"/><Relationship Id="rId18" Type="http://schemas.openxmlformats.org/officeDocument/2006/relationships/hyperlink" Target="mailto:EUROPEAID-08@ec.europa.eu" TargetMode="External"/><Relationship Id="rId19" Type="http://schemas.openxmlformats.org/officeDocument/2006/relationships/image" Target="media/image6.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FC58C-1BA3-4A49-B4D6-A90A9B1B6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106</Pages>
  <Words>39002</Words>
  <Characters>222315</Characters>
  <Application>Microsoft Macintosh Word</Application>
  <DocSecurity>0</DocSecurity>
  <Lines>1852</Lines>
  <Paragraphs>521</Paragraphs>
  <ScaleCrop>false</ScaleCrop>
  <HeadingPairs>
    <vt:vector size="2" baseType="variant">
      <vt:variant>
        <vt:lpstr>Title</vt:lpstr>
      </vt:variant>
      <vt:variant>
        <vt:i4>1</vt:i4>
      </vt:variant>
    </vt:vector>
  </HeadingPairs>
  <TitlesOfParts>
    <vt:vector size="1" baseType="lpstr">
      <vt:lpstr>Proposal for a Comprehensive Diagnostic Assessment of Financial Managment in the Mozambican Ministry of Health</vt:lpstr>
    </vt:vector>
  </TitlesOfParts>
  <Company>HP</Company>
  <LinksUpToDate>false</LinksUpToDate>
  <CharactersWithSpaces>260796</CharactersWithSpaces>
  <SharedDoc>false</SharedDoc>
  <HLinks>
    <vt:vector size="6" baseType="variant">
      <vt:variant>
        <vt:i4>6357084</vt:i4>
      </vt:variant>
      <vt:variant>
        <vt:i4>0</vt:i4>
      </vt:variant>
      <vt:variant>
        <vt:i4>0</vt:i4>
      </vt:variant>
      <vt:variant>
        <vt:i4>5</vt:i4>
      </vt:variant>
      <vt:variant>
        <vt:lpwstr>http://www.pefa.org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 a Comprehensive Diagnostic Assessment of Financial Managment in the Mozambican Ministry of Health</dc:title>
  <dc:creator>mbibi</dc:creator>
  <cp:lastModifiedBy>Andrew I. Lawson</cp:lastModifiedBy>
  <cp:revision>2</cp:revision>
  <cp:lastPrinted>2014-11-11T13:00:00Z</cp:lastPrinted>
  <dcterms:created xsi:type="dcterms:W3CDTF">2014-12-10T17:09:00Z</dcterms:created>
  <dcterms:modified xsi:type="dcterms:W3CDTF">2014-12-10T17:09:00Z</dcterms:modified>
</cp:coreProperties>
</file>