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D5" w:rsidRPr="0086394F" w:rsidRDefault="00FE610E" w:rsidP="004B4C35">
      <w:pPr>
        <w:jc w:val="center"/>
        <w:rPr>
          <w:b/>
          <w:lang w:val="en-US"/>
        </w:rPr>
      </w:pPr>
      <w:bookmarkStart w:id="0" w:name="_GoBack"/>
      <w:bookmarkEnd w:id="0"/>
      <w:r w:rsidRPr="0086394F">
        <w:rPr>
          <w:b/>
          <w:lang w:val="en-US"/>
        </w:rPr>
        <w:t xml:space="preserve">Component </w:t>
      </w:r>
      <w:r w:rsidR="00DF07D0">
        <w:rPr>
          <w:b/>
          <w:lang w:val="en-US"/>
        </w:rPr>
        <w:t>4.</w:t>
      </w:r>
      <w:r w:rsidR="00DC00E0">
        <w:rPr>
          <w:b/>
          <w:lang w:val="en-US"/>
        </w:rPr>
        <w:t>2</w:t>
      </w:r>
    </w:p>
    <w:p w:rsidR="00FE610E" w:rsidRPr="0086394F" w:rsidRDefault="00FE7706" w:rsidP="004B4C35">
      <w:pPr>
        <w:jc w:val="center"/>
        <w:rPr>
          <w:b/>
          <w:lang w:val="en-US"/>
        </w:rPr>
      </w:pPr>
      <w:r>
        <w:rPr>
          <w:b/>
          <w:lang w:val="en-US"/>
        </w:rPr>
        <w:t>M</w:t>
      </w:r>
      <w:r w:rsidR="00DC00E0">
        <w:rPr>
          <w:b/>
          <w:lang w:val="en-US"/>
        </w:rPr>
        <w:t>anage financial forecasts</w:t>
      </w:r>
    </w:p>
    <w:p w:rsidR="00FE610E" w:rsidRDefault="00FE610E" w:rsidP="004B4C35">
      <w:pPr>
        <w:jc w:val="center"/>
        <w:rPr>
          <w:b/>
        </w:rPr>
      </w:pPr>
      <w:r w:rsidRPr="00FE610E">
        <w:rPr>
          <w:b/>
        </w:rPr>
        <w:t>High level business requirements</w:t>
      </w:r>
    </w:p>
    <w:p w:rsidR="003421FB" w:rsidRPr="003421FB" w:rsidRDefault="003421FB" w:rsidP="004B4C35">
      <w:pPr>
        <w:jc w:val="both"/>
      </w:pPr>
      <w:r w:rsidRPr="003421FB">
        <w:t xml:space="preserve">Version: </w:t>
      </w:r>
      <w:r w:rsidR="00C539EE">
        <w:t>v0.</w:t>
      </w:r>
      <w:r w:rsidR="00C66306">
        <w:t>3 15</w:t>
      </w:r>
      <w:r w:rsidRPr="003421FB">
        <w:t>/</w:t>
      </w:r>
      <w:r w:rsidR="00C66306">
        <w:t>04</w:t>
      </w:r>
      <w:r w:rsidRPr="003421FB">
        <w:t>/2015</w:t>
      </w:r>
    </w:p>
    <w:p w:rsidR="003421FB" w:rsidRDefault="003421FB" w:rsidP="004B4C35">
      <w:pPr>
        <w:jc w:val="both"/>
      </w:pPr>
      <w:r w:rsidRPr="003421FB">
        <w:t>Author: TF/</w:t>
      </w:r>
      <w:r w:rsidR="00DC00E0">
        <w:t>C Martinez</w:t>
      </w:r>
      <w:r w:rsidR="00DF07D0">
        <w:t xml:space="preserve"> and </w:t>
      </w:r>
      <w:r w:rsidRPr="003421FB">
        <w:t>D</w:t>
      </w:r>
      <w:r w:rsidR="003D1828">
        <w:t xml:space="preserve"> </w:t>
      </w:r>
      <w:r w:rsidRPr="003421FB">
        <w:t>T</w:t>
      </w:r>
      <w:r w:rsidR="00696D4D">
        <w:t>hieulin</w:t>
      </w:r>
    </w:p>
    <w:p w:rsidR="00E062E7" w:rsidRDefault="00E062E7" w:rsidP="004B4C35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421FB" w:rsidTr="003421FB">
        <w:tc>
          <w:tcPr>
            <w:tcW w:w="9212" w:type="dxa"/>
          </w:tcPr>
          <w:p w:rsidR="003421FB" w:rsidRDefault="00C00FA7" w:rsidP="004B4C35">
            <w:pPr>
              <w:spacing w:after="120"/>
              <w:jc w:val="both"/>
            </w:pPr>
            <w:r>
              <w:t>Context and s</w:t>
            </w:r>
            <w:r w:rsidR="003421FB">
              <w:t>ummary:</w:t>
            </w:r>
          </w:p>
          <w:p w:rsidR="00B91F8D" w:rsidRDefault="00113359" w:rsidP="004B4C35">
            <w:pPr>
              <w:spacing w:after="120"/>
              <w:jc w:val="both"/>
            </w:pPr>
            <w:r>
              <w:t xml:space="preserve">Financial forecasting has gained in importance with the increasing </w:t>
            </w:r>
            <w:r w:rsidR="002519C9">
              <w:t xml:space="preserve">pressure on </w:t>
            </w:r>
            <w:r>
              <w:t xml:space="preserve">financial resources in order to match at best </w:t>
            </w:r>
            <w:r w:rsidR="002519C9">
              <w:t xml:space="preserve">scarce </w:t>
            </w:r>
            <w:r>
              <w:t>financial resources with needs. Reliability of financial forecast is essential in discussions with resource providers (DG B</w:t>
            </w:r>
            <w:r w:rsidR="002519C9">
              <w:t>UDG for budget resources</w:t>
            </w:r>
            <w:r>
              <w:t xml:space="preserve"> or EU Member States for EDF). Accountability of EU Del and units in their financial forecast</w:t>
            </w:r>
            <w:r w:rsidR="002519C9">
              <w:t xml:space="preserve"> is therefore important</w:t>
            </w:r>
            <w:r>
              <w:t xml:space="preserve"> requiring a </w:t>
            </w:r>
            <w:r w:rsidR="002519C9">
              <w:t>close follow up of forecast execution</w:t>
            </w:r>
            <w:r>
              <w:t>.</w:t>
            </w:r>
          </w:p>
          <w:p w:rsidR="005D0969" w:rsidRDefault="005D0969" w:rsidP="004B4C35">
            <w:pPr>
              <w:spacing w:after="120"/>
              <w:jc w:val="both"/>
            </w:pPr>
            <w:r>
              <w:t>Three tools are currently in use within DEVCO and NEAR for financial forecasting:</w:t>
            </w:r>
          </w:p>
          <w:p w:rsidR="005D0969" w:rsidRDefault="005D0969" w:rsidP="004B4C35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</w:pPr>
            <w:r>
              <w:t xml:space="preserve">BPC, a </w:t>
            </w:r>
            <w:r w:rsidR="00435D6E">
              <w:t xml:space="preserve">recent </w:t>
            </w:r>
            <w:r>
              <w:t>DEVCO tool to capture financial forecasts, to report and to manage budget constraints</w:t>
            </w:r>
            <w:r w:rsidR="005279B2">
              <w:t>; BPC is plugged on CRIS (</w:t>
            </w:r>
            <w:r w:rsidR="009D0BDC">
              <w:t xml:space="preserve">to build a </w:t>
            </w:r>
            <w:r w:rsidR="005279B2">
              <w:t xml:space="preserve">portfolio of </w:t>
            </w:r>
            <w:r w:rsidR="006B74DA">
              <w:t>programme</w:t>
            </w:r>
            <w:r w:rsidR="005279B2">
              <w:t xml:space="preserve">s) and uses its own </w:t>
            </w:r>
            <w:r w:rsidR="006B74DA">
              <w:t>programme</w:t>
            </w:r>
            <w:r w:rsidR="005279B2">
              <w:t xml:space="preserve"> references to address CRIS incoherencies</w:t>
            </w:r>
            <w:r w:rsidR="009D0BDC">
              <w:t xml:space="preserve"> and to facilitate reporting and budget management</w:t>
            </w:r>
            <w:r w:rsidR="005279B2">
              <w:t>;</w:t>
            </w:r>
            <w:r w:rsidR="009D0BDC">
              <w:t xml:space="preserve"> it requires the re-encoding of forecasts by users and additional checks (portfolio)</w:t>
            </w:r>
          </w:p>
          <w:p w:rsidR="005D0969" w:rsidRDefault="005D0969" w:rsidP="004B4C35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lang w:val="en-US"/>
              </w:rPr>
            </w:pPr>
            <w:r w:rsidRPr="005D0969">
              <w:rPr>
                <w:lang w:val="en-US"/>
              </w:rPr>
              <w:t>MIS a NEAR (ELARG) tool us</w:t>
            </w:r>
            <w:r>
              <w:rPr>
                <w:lang w:val="en-US"/>
              </w:rPr>
              <w:t xml:space="preserve">ed so far for enlargement countries, capturing milestones and </w:t>
            </w:r>
            <w:r w:rsidR="00435D6E">
              <w:rPr>
                <w:lang w:val="en-US"/>
              </w:rPr>
              <w:t>establish</w:t>
            </w:r>
            <w:r>
              <w:rPr>
                <w:lang w:val="en-US"/>
              </w:rPr>
              <w:t>ing financial forecasts as well as reporting and budget management</w:t>
            </w:r>
            <w:r w:rsidR="005279B2">
              <w:rPr>
                <w:lang w:val="en-US"/>
              </w:rPr>
              <w:t xml:space="preserve">; MIS was designed for </w:t>
            </w:r>
            <w:r w:rsidR="00132080">
              <w:rPr>
                <w:lang w:val="en-US"/>
              </w:rPr>
              <w:t xml:space="preserve">the rather </w:t>
            </w:r>
            <w:r w:rsidR="009D0BDC">
              <w:rPr>
                <w:lang w:val="en-US"/>
              </w:rPr>
              <w:t>standardized</w:t>
            </w:r>
            <w:r w:rsidR="00347E20">
              <w:rPr>
                <w:lang w:val="en-US"/>
              </w:rPr>
              <w:t xml:space="preserve">DG Enlargement </w:t>
            </w:r>
            <w:r w:rsidR="00132080">
              <w:rPr>
                <w:lang w:val="en-US"/>
              </w:rPr>
              <w:t xml:space="preserve">portfolio and </w:t>
            </w:r>
            <w:r w:rsidR="009D0BDC">
              <w:rPr>
                <w:lang w:val="en-US"/>
              </w:rPr>
              <w:t xml:space="preserve">would </w:t>
            </w:r>
            <w:r w:rsidR="00132080">
              <w:rPr>
                <w:lang w:val="en-US"/>
              </w:rPr>
              <w:t xml:space="preserve">require a re-foundation to </w:t>
            </w:r>
            <w:r w:rsidR="009D0BDC">
              <w:rPr>
                <w:lang w:val="en-US"/>
              </w:rPr>
              <w:t xml:space="preserve">be </w:t>
            </w:r>
            <w:r w:rsidR="00132080">
              <w:rPr>
                <w:lang w:val="en-US"/>
              </w:rPr>
              <w:t>adapt</w:t>
            </w:r>
            <w:r w:rsidR="009D0BDC">
              <w:rPr>
                <w:lang w:val="en-US"/>
              </w:rPr>
              <w:t>ed</w:t>
            </w:r>
            <w:r w:rsidR="00132080">
              <w:rPr>
                <w:lang w:val="en-US"/>
              </w:rPr>
              <w:t xml:space="preserve"> to the </w:t>
            </w:r>
            <w:r w:rsidR="009D0BDC">
              <w:rPr>
                <w:lang w:val="en-US"/>
              </w:rPr>
              <w:t xml:space="preserve">more </w:t>
            </w:r>
            <w:r w:rsidR="00132080">
              <w:rPr>
                <w:lang w:val="en-US"/>
              </w:rPr>
              <w:t>complex Neighborhood portfolio;</w:t>
            </w:r>
          </w:p>
          <w:p w:rsidR="005D0969" w:rsidRPr="005D0969" w:rsidRDefault="005D0969" w:rsidP="004B4C35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CRIS forecasting module, temporarily used </w:t>
            </w:r>
            <w:r w:rsidR="008C7434">
              <w:rPr>
                <w:lang w:val="en-US"/>
              </w:rPr>
              <w:t xml:space="preserve">for </w:t>
            </w:r>
            <w:r>
              <w:rPr>
                <w:lang w:val="en-US"/>
              </w:rPr>
              <w:t>Neighborhood countries</w:t>
            </w:r>
            <w:r w:rsidR="00DE5A20">
              <w:rPr>
                <w:lang w:val="en-US"/>
              </w:rPr>
              <w:t xml:space="preserve"> (ex directorate F)</w:t>
            </w:r>
          </w:p>
          <w:p w:rsidR="0034323C" w:rsidRDefault="0034323C" w:rsidP="004B4C35">
            <w:pPr>
              <w:spacing w:after="120"/>
              <w:jc w:val="both"/>
            </w:pPr>
            <w:r>
              <w:t>Forecast are requested with a precision level of a month, and reported every 6 months.</w:t>
            </w:r>
          </w:p>
          <w:p w:rsidR="00425689" w:rsidRDefault="00425689" w:rsidP="004B4C35">
            <w:pPr>
              <w:spacing w:after="120"/>
              <w:jc w:val="both"/>
            </w:pPr>
            <w:r>
              <w:t xml:space="preserve">With regard to </w:t>
            </w:r>
            <w:r w:rsidR="00DC00E0">
              <w:t>financial forecasts</w:t>
            </w:r>
            <w:r>
              <w:t xml:space="preserve"> the system:</w:t>
            </w:r>
          </w:p>
          <w:p w:rsidR="00970D9E" w:rsidRDefault="00D97017" w:rsidP="004B4C35">
            <w:pPr>
              <w:pStyle w:val="ListParagraph"/>
              <w:numPr>
                <w:ilvl w:val="0"/>
                <w:numId w:val="25"/>
              </w:numPr>
              <w:spacing w:after="120"/>
              <w:jc w:val="both"/>
            </w:pPr>
            <w:r>
              <w:t>Should allow establishing a first draft of financial forecasts based on data available and particularly on planning of operations</w:t>
            </w:r>
            <w:r w:rsidR="008869C7">
              <w:t>, or distribution of payments by contract</w:t>
            </w:r>
            <w:r>
              <w:t xml:space="preserve">; </w:t>
            </w:r>
            <w:r w:rsidR="00970D9E">
              <w:t>and then completed, amended by the operational manager</w:t>
            </w:r>
          </w:p>
          <w:p w:rsidR="00970D9E" w:rsidRDefault="00970D9E" w:rsidP="004B4C35">
            <w:pPr>
              <w:pStyle w:val="ListParagraph"/>
              <w:numPr>
                <w:ilvl w:val="0"/>
                <w:numId w:val="25"/>
              </w:numPr>
              <w:spacing w:after="120"/>
              <w:jc w:val="both"/>
            </w:pPr>
            <w:r>
              <w:t>must</w:t>
            </w:r>
            <w:r w:rsidR="00691001">
              <w:t xml:space="preserve"> cover approved actions and actions under preparation, existing contracts and contracts under preparation; </w:t>
            </w:r>
            <w:r w:rsidR="00E062E7">
              <w:t>it requires that draft decisions and draft contracts could be created could be created at least at the time of forecasting (</w:t>
            </w:r>
            <w:proofErr w:type="spellStart"/>
            <w:r w:rsidR="00E062E7">
              <w:t>eg</w:t>
            </w:r>
            <w:proofErr w:type="spellEnd"/>
            <w:r w:rsidR="00E062E7">
              <w:t xml:space="preserve"> January)</w:t>
            </w:r>
          </w:p>
          <w:p w:rsidR="00970D9E" w:rsidRDefault="00970D9E" w:rsidP="004B4C35">
            <w:pPr>
              <w:pStyle w:val="ListParagraph"/>
              <w:numPr>
                <w:ilvl w:val="0"/>
                <w:numId w:val="25"/>
              </w:numPr>
              <w:spacing w:after="120"/>
              <w:jc w:val="both"/>
            </w:pPr>
            <w:r>
              <w:t>must</w:t>
            </w:r>
            <w:r w:rsidR="00691001">
              <w:t xml:space="preserve"> cover two years (N and N+1), being extensible to a third year</w:t>
            </w:r>
            <w:r w:rsidR="007D5069">
              <w:t xml:space="preserve"> (N+2)</w:t>
            </w:r>
            <w:r w:rsidR="0034323C">
              <w:t>, with a precision level of one month</w:t>
            </w:r>
            <w:r w:rsidR="00691001">
              <w:t xml:space="preserve">; </w:t>
            </w:r>
          </w:p>
          <w:p w:rsidR="00970D9E" w:rsidRDefault="00970D9E" w:rsidP="004B4C35">
            <w:pPr>
              <w:pStyle w:val="ListParagraph"/>
              <w:numPr>
                <w:ilvl w:val="0"/>
                <w:numId w:val="25"/>
              </w:numPr>
              <w:spacing w:after="120"/>
              <w:jc w:val="both"/>
            </w:pPr>
            <w:r>
              <w:t>must allow to</w:t>
            </w:r>
            <w:r w:rsidR="00E062E7">
              <w:t xml:space="preserve"> </w:t>
            </w:r>
            <w:r w:rsidR="008869C7">
              <w:t>complete</w:t>
            </w:r>
            <w:r>
              <w:t xml:space="preserve"> financial forecasts</w:t>
            </w:r>
            <w:r w:rsidR="008869C7">
              <w:t xml:space="preserve"> with the level of risk</w:t>
            </w:r>
            <w:r w:rsidR="00691001">
              <w:t xml:space="preserve"> justified with a possible comments (</w:t>
            </w:r>
            <w:proofErr w:type="spellStart"/>
            <w:r>
              <w:t>ie</w:t>
            </w:r>
            <w:proofErr w:type="spellEnd"/>
            <w:r w:rsidR="00E062E7">
              <w:t xml:space="preserve"> </w:t>
            </w:r>
            <w:r w:rsidR="00691001">
              <w:t xml:space="preserve">for </w:t>
            </w:r>
            <w:r>
              <w:t>high</w:t>
            </w:r>
            <w:r w:rsidR="00691001">
              <w:t xml:space="preserve"> risk</w:t>
            </w:r>
            <w:r>
              <w:t xml:space="preserve"> situation</w:t>
            </w:r>
            <w:r w:rsidR="00691001">
              <w:t>)</w:t>
            </w:r>
            <w:r w:rsidR="008869C7">
              <w:t xml:space="preserve">, </w:t>
            </w:r>
          </w:p>
          <w:p w:rsidR="00AB3063" w:rsidRDefault="00970D9E" w:rsidP="004B4C35">
            <w:pPr>
              <w:pStyle w:val="ListParagraph"/>
              <w:numPr>
                <w:ilvl w:val="0"/>
                <w:numId w:val="25"/>
              </w:numPr>
              <w:spacing w:after="120"/>
              <w:jc w:val="both"/>
            </w:pPr>
            <w:r>
              <w:t xml:space="preserve">must be validated by operational and financial staff </w:t>
            </w:r>
            <w:r w:rsidR="009B37FE">
              <w:t>and finally by HQ verification units for forecasting</w:t>
            </w:r>
            <w:r w:rsidR="00D97017">
              <w:t>;</w:t>
            </w:r>
            <w:r>
              <w:t xml:space="preserve"> operational staffs remain first responsible for their </w:t>
            </w:r>
            <w:proofErr w:type="spellStart"/>
            <w:r>
              <w:t>forescasts</w:t>
            </w:r>
            <w:proofErr w:type="spellEnd"/>
            <w:r>
              <w:t>;</w:t>
            </w:r>
          </w:p>
          <w:p w:rsidR="00E062E7" w:rsidRDefault="00E062E7" w:rsidP="004B4C35">
            <w:pPr>
              <w:pStyle w:val="ListParagraph"/>
              <w:numPr>
                <w:ilvl w:val="0"/>
                <w:numId w:val="25"/>
              </w:numPr>
              <w:spacing w:after="120"/>
              <w:jc w:val="both"/>
            </w:pPr>
            <w:r>
              <w:t>should allow minor corrections agreed internally without re-doing the full visa circuit (</w:t>
            </w:r>
            <w:proofErr w:type="spellStart"/>
            <w:r>
              <w:t>eg</w:t>
            </w:r>
            <w:proofErr w:type="spellEnd"/>
            <w:r>
              <w:t xml:space="preserve"> at finance and contract level)</w:t>
            </w:r>
          </w:p>
          <w:p w:rsidR="00D97017" w:rsidRDefault="00D97017" w:rsidP="004B4C35">
            <w:pPr>
              <w:pStyle w:val="ListParagraph"/>
              <w:numPr>
                <w:ilvl w:val="0"/>
                <w:numId w:val="25"/>
              </w:numPr>
              <w:spacing w:after="120"/>
              <w:jc w:val="both"/>
            </w:pPr>
            <w:r>
              <w:t>Must provide inputs (financial forecasts) to reporting tools</w:t>
            </w:r>
          </w:p>
          <w:p w:rsidR="00D97017" w:rsidRDefault="00D97017" w:rsidP="004B4C35">
            <w:pPr>
              <w:pStyle w:val="ListParagraph"/>
              <w:numPr>
                <w:ilvl w:val="0"/>
                <w:numId w:val="25"/>
              </w:numPr>
              <w:spacing w:after="120"/>
              <w:jc w:val="both"/>
            </w:pPr>
            <w:r>
              <w:t>Must capture the follow up of forecasts</w:t>
            </w:r>
            <w:r w:rsidR="008869C7">
              <w:t xml:space="preserve"> versus real commitments and disbursements and feed the corresponding KPI of the DEVCO EAMR report</w:t>
            </w:r>
          </w:p>
          <w:p w:rsidR="00E062E7" w:rsidRDefault="00E062E7" w:rsidP="004B4C35">
            <w:pPr>
              <w:pStyle w:val="ListParagraph"/>
              <w:numPr>
                <w:ilvl w:val="0"/>
                <w:numId w:val="25"/>
              </w:numPr>
              <w:spacing w:after="120"/>
              <w:jc w:val="both"/>
            </w:pPr>
            <w:r>
              <w:t xml:space="preserve">Should offer an update of forecast in real time while keeping the memory of validated </w:t>
            </w:r>
            <w:r>
              <w:lastRenderedPageBreak/>
              <w:t>forecast (</w:t>
            </w:r>
            <w:proofErr w:type="spellStart"/>
            <w:r>
              <w:t>eg</w:t>
            </w:r>
            <w:proofErr w:type="spellEnd"/>
            <w:r>
              <w:t xml:space="preserve"> when a contract is cancelled, when a timeline changes)</w:t>
            </w:r>
          </w:p>
          <w:p w:rsidR="008B292E" w:rsidRDefault="008B292E" w:rsidP="004B4C35">
            <w:pPr>
              <w:pStyle w:val="ListParagraph"/>
              <w:numPr>
                <w:ilvl w:val="0"/>
                <w:numId w:val="25"/>
              </w:numPr>
              <w:spacing w:after="120"/>
              <w:jc w:val="both"/>
            </w:pPr>
            <w:r>
              <w:t>Must allow operational staff and financial staff to consult their financial forecasts and to include their follow up in their personal dashboard</w:t>
            </w:r>
          </w:p>
          <w:p w:rsidR="00DA5BED" w:rsidRDefault="00DA5BED" w:rsidP="004B4C35">
            <w:pPr>
              <w:spacing w:after="120"/>
              <w:jc w:val="both"/>
            </w:pPr>
            <w:r>
              <w:t>Existing tools BPC and MIS are providing a partial answer to that; the interaction with them should be explored (</w:t>
            </w:r>
            <w:r w:rsidR="00FD3A5C">
              <w:t xml:space="preserve">at least </w:t>
            </w:r>
            <w:r>
              <w:t xml:space="preserve">providing </w:t>
            </w:r>
            <w:r w:rsidR="00FD3A5C">
              <w:t xml:space="preserve">relevant </w:t>
            </w:r>
            <w:r>
              <w:t>data).</w:t>
            </w:r>
          </w:p>
        </w:tc>
      </w:tr>
    </w:tbl>
    <w:p w:rsidR="003421FB" w:rsidRDefault="003421FB" w:rsidP="004B4C35">
      <w:pPr>
        <w:spacing w:after="120"/>
        <w:jc w:val="both"/>
      </w:pPr>
    </w:p>
    <w:p w:rsidR="001274D2" w:rsidRDefault="001274D2" w:rsidP="004B4C35">
      <w:pPr>
        <w:spacing w:after="120"/>
        <w:jc w:val="both"/>
      </w:pPr>
      <w:r>
        <w:t>Glossary: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86394F" w:rsidTr="007C498C">
        <w:tc>
          <w:tcPr>
            <w:tcW w:w="2376" w:type="dxa"/>
          </w:tcPr>
          <w:p w:rsidR="0086394F" w:rsidRDefault="0086394F" w:rsidP="004B4C35">
            <w:pPr>
              <w:jc w:val="both"/>
            </w:pPr>
            <w:r>
              <w:t>CUD</w:t>
            </w:r>
          </w:p>
        </w:tc>
        <w:tc>
          <w:tcPr>
            <w:tcW w:w="7088" w:type="dxa"/>
          </w:tcPr>
          <w:p w:rsidR="0086394F" w:rsidRDefault="007C498C" w:rsidP="004B4C35">
            <w:pPr>
              <w:jc w:val="both"/>
            </w:pPr>
            <w:r>
              <w:t>Create, Update, Delete (mode of interaction with the system)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4B4C35">
            <w:pPr>
              <w:jc w:val="both"/>
            </w:pPr>
            <w:r>
              <w:t>Dir geo</w:t>
            </w:r>
          </w:p>
        </w:tc>
        <w:tc>
          <w:tcPr>
            <w:tcW w:w="7088" w:type="dxa"/>
          </w:tcPr>
          <w:p w:rsidR="0086394F" w:rsidRDefault="007C498C" w:rsidP="004B4C35">
            <w:pPr>
              <w:jc w:val="both"/>
            </w:pPr>
            <w:r>
              <w:t>Director of the concerned geographic directorate (Dir geo is a visa)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4B4C35">
            <w:pPr>
              <w:jc w:val="both"/>
            </w:pPr>
            <w:r>
              <w:t>Geo desk, unit, director</w:t>
            </w:r>
          </w:p>
        </w:tc>
        <w:tc>
          <w:tcPr>
            <w:tcW w:w="7088" w:type="dxa"/>
          </w:tcPr>
          <w:p w:rsidR="0086394F" w:rsidRDefault="007C498C" w:rsidP="004B4C35">
            <w:pPr>
              <w:jc w:val="both"/>
            </w:pPr>
            <w:proofErr w:type="spellStart"/>
            <w:r>
              <w:t>Resp</w:t>
            </w:r>
            <w:proofErr w:type="spellEnd"/>
            <w:r>
              <w:t xml:space="preserve"> the concerned geographical desk, unit or director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4B4C35">
            <w:pPr>
              <w:jc w:val="both"/>
            </w:pPr>
            <w:proofErr w:type="spellStart"/>
            <w:r>
              <w:t>HoS</w:t>
            </w:r>
            <w:proofErr w:type="spellEnd"/>
          </w:p>
        </w:tc>
        <w:tc>
          <w:tcPr>
            <w:tcW w:w="7088" w:type="dxa"/>
          </w:tcPr>
          <w:p w:rsidR="0086394F" w:rsidRDefault="007C498C" w:rsidP="004B4C35">
            <w:pPr>
              <w:jc w:val="both"/>
            </w:pPr>
            <w:r>
              <w:t>Head of operational section in a Delegation (could be a team leader at HQ)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4B4C35">
            <w:pPr>
              <w:jc w:val="both"/>
            </w:pPr>
            <w:proofErr w:type="spellStart"/>
            <w:r>
              <w:t>HoC</w:t>
            </w:r>
            <w:proofErr w:type="spellEnd"/>
          </w:p>
        </w:tc>
        <w:tc>
          <w:tcPr>
            <w:tcW w:w="7088" w:type="dxa"/>
          </w:tcPr>
          <w:p w:rsidR="0086394F" w:rsidRDefault="007C498C" w:rsidP="004B4C35">
            <w:pPr>
              <w:jc w:val="both"/>
            </w:pPr>
            <w:r>
              <w:t xml:space="preserve">Head of Cooperation (could be the head of operational section in Delegations with a single operational section, or the senior </w:t>
            </w:r>
            <w:proofErr w:type="spellStart"/>
            <w:r>
              <w:t>HoS</w:t>
            </w:r>
            <w:proofErr w:type="spellEnd"/>
            <w:r>
              <w:t xml:space="preserve"> in Delegations with two operational sections or more and no formal </w:t>
            </w:r>
            <w:proofErr w:type="spellStart"/>
            <w:r>
              <w:t>HoC</w:t>
            </w:r>
            <w:proofErr w:type="spellEnd"/>
            <w:r>
              <w:t xml:space="preserve"> position)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4B4C35">
            <w:pPr>
              <w:jc w:val="both"/>
            </w:pPr>
            <w:proofErr w:type="spellStart"/>
            <w:r>
              <w:t>HoD</w:t>
            </w:r>
            <w:proofErr w:type="spellEnd"/>
          </w:p>
        </w:tc>
        <w:tc>
          <w:tcPr>
            <w:tcW w:w="7088" w:type="dxa"/>
          </w:tcPr>
          <w:p w:rsidR="0086394F" w:rsidRDefault="007C498C" w:rsidP="004B4C35">
            <w:pPr>
              <w:jc w:val="both"/>
            </w:pPr>
            <w:r>
              <w:t>Head of Delegation (double “hatted” staff: EEAS and DEVCO)</w:t>
            </w:r>
          </w:p>
        </w:tc>
      </w:tr>
      <w:tr w:rsidR="00111B88" w:rsidTr="007C498C">
        <w:tc>
          <w:tcPr>
            <w:tcW w:w="2376" w:type="dxa"/>
          </w:tcPr>
          <w:p w:rsidR="00111B88" w:rsidRDefault="00111B88" w:rsidP="004B4C35">
            <w:pPr>
              <w:jc w:val="both"/>
            </w:pPr>
            <w:r>
              <w:t>OM</w:t>
            </w:r>
          </w:p>
        </w:tc>
        <w:tc>
          <w:tcPr>
            <w:tcW w:w="7088" w:type="dxa"/>
          </w:tcPr>
          <w:p w:rsidR="00111B88" w:rsidRDefault="00111B88" w:rsidP="004B4C35">
            <w:pPr>
              <w:jc w:val="both"/>
            </w:pPr>
            <w:r>
              <w:t>Operation Manager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4B4C35">
            <w:pPr>
              <w:jc w:val="both"/>
            </w:pPr>
            <w:r>
              <w:t>R</w:t>
            </w:r>
          </w:p>
        </w:tc>
        <w:tc>
          <w:tcPr>
            <w:tcW w:w="7088" w:type="dxa"/>
          </w:tcPr>
          <w:p w:rsidR="0086394F" w:rsidRDefault="007C498C" w:rsidP="004B4C35">
            <w:pPr>
              <w:jc w:val="both"/>
            </w:pPr>
            <w:r>
              <w:t>Read only (mode of interaction with the system)</w:t>
            </w:r>
          </w:p>
        </w:tc>
      </w:tr>
      <w:tr w:rsidR="0086394F" w:rsidTr="007C498C">
        <w:tc>
          <w:tcPr>
            <w:tcW w:w="2376" w:type="dxa"/>
          </w:tcPr>
          <w:p w:rsidR="0086394F" w:rsidRDefault="0086394F" w:rsidP="004B4C35">
            <w:pPr>
              <w:jc w:val="both"/>
            </w:pPr>
            <w:r>
              <w:t>SPSP</w:t>
            </w:r>
          </w:p>
        </w:tc>
        <w:tc>
          <w:tcPr>
            <w:tcW w:w="7088" w:type="dxa"/>
          </w:tcPr>
          <w:p w:rsidR="0086394F" w:rsidRDefault="007C498C" w:rsidP="004B4C35">
            <w:pPr>
              <w:jc w:val="both"/>
            </w:pPr>
            <w:r>
              <w:t>Sector Policy Support Programme (could be a mix of sector budget support and project approach as for capacity building)</w:t>
            </w:r>
          </w:p>
        </w:tc>
      </w:tr>
      <w:tr w:rsidR="00A8221F" w:rsidTr="00A8221F">
        <w:tc>
          <w:tcPr>
            <w:tcW w:w="2376" w:type="dxa"/>
          </w:tcPr>
          <w:p w:rsidR="00A8221F" w:rsidRDefault="00DC00E0" w:rsidP="004B4C35">
            <w:pPr>
              <w:jc w:val="both"/>
            </w:pPr>
            <w:r>
              <w:t>BPC</w:t>
            </w:r>
          </w:p>
        </w:tc>
        <w:tc>
          <w:tcPr>
            <w:tcW w:w="7088" w:type="dxa"/>
          </w:tcPr>
          <w:p w:rsidR="00A8221F" w:rsidRDefault="00C42A3B" w:rsidP="004B4C35">
            <w:pPr>
              <w:jc w:val="both"/>
            </w:pPr>
            <w:r>
              <w:t>Tool used by DEVCO to capture financial forecasts by users, to report on budget forecast, to prepare EDF call for contributions, to monitor internally and externally the budget execution.</w:t>
            </w:r>
          </w:p>
        </w:tc>
      </w:tr>
      <w:tr w:rsidR="00A8221F" w:rsidTr="00A8221F">
        <w:tc>
          <w:tcPr>
            <w:tcW w:w="2376" w:type="dxa"/>
          </w:tcPr>
          <w:p w:rsidR="00A8221F" w:rsidRDefault="00DC00E0" w:rsidP="004B4C35">
            <w:pPr>
              <w:jc w:val="both"/>
            </w:pPr>
            <w:r>
              <w:t>MIS</w:t>
            </w:r>
          </w:p>
        </w:tc>
        <w:tc>
          <w:tcPr>
            <w:tcW w:w="7088" w:type="dxa"/>
          </w:tcPr>
          <w:p w:rsidR="00A8221F" w:rsidRDefault="00DC00E0" w:rsidP="007B30D7">
            <w:pPr>
              <w:jc w:val="both"/>
            </w:pPr>
            <w:r>
              <w:t xml:space="preserve">Management Information System used by </w:t>
            </w:r>
            <w:r w:rsidR="007B30D7">
              <w:t xml:space="preserve">DG </w:t>
            </w:r>
            <w:r>
              <w:t xml:space="preserve">NEAR (ex </w:t>
            </w:r>
            <w:r w:rsidR="007B30D7">
              <w:t xml:space="preserve">DG </w:t>
            </w:r>
            <w:r>
              <w:t>ELARG) for operation management and financial forecasting</w:t>
            </w:r>
          </w:p>
        </w:tc>
      </w:tr>
      <w:tr w:rsidR="00A8221F" w:rsidRPr="009B37FE" w:rsidTr="00A8221F">
        <w:tc>
          <w:tcPr>
            <w:tcW w:w="2376" w:type="dxa"/>
          </w:tcPr>
          <w:p w:rsidR="00A8221F" w:rsidRDefault="009B37FE" w:rsidP="004B4C35">
            <w:pPr>
              <w:jc w:val="both"/>
            </w:pPr>
            <w:r>
              <w:t>Verification units for forecasting</w:t>
            </w:r>
          </w:p>
        </w:tc>
        <w:tc>
          <w:tcPr>
            <w:tcW w:w="7088" w:type="dxa"/>
          </w:tcPr>
          <w:p w:rsidR="00A8221F" w:rsidRDefault="009B37FE" w:rsidP="004B4C35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Financial units of the concerned directorate for budget lines</w:t>
            </w:r>
          </w:p>
          <w:p w:rsidR="009B37FE" w:rsidRPr="00F75D35" w:rsidRDefault="009B37FE" w:rsidP="004B4C35">
            <w:pPr>
              <w:pStyle w:val="ListParagraph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r w:rsidRPr="00F75D35">
              <w:rPr>
                <w:lang w:val="en-US"/>
              </w:rPr>
              <w:t>Unit D3 “ACP horizontal maters” for EDF</w:t>
            </w:r>
          </w:p>
        </w:tc>
      </w:tr>
    </w:tbl>
    <w:p w:rsidR="0086394F" w:rsidRPr="009B37FE" w:rsidRDefault="0086394F" w:rsidP="004B4C35">
      <w:pPr>
        <w:spacing w:after="120"/>
        <w:jc w:val="both"/>
        <w:rPr>
          <w:lang w:val="en-US"/>
        </w:rPr>
      </w:pPr>
    </w:p>
    <w:p w:rsidR="001C6B97" w:rsidRDefault="008F566C" w:rsidP="004B4C35">
      <w:pPr>
        <w:spacing w:after="120"/>
        <w:jc w:val="both"/>
      </w:pPr>
      <w:r>
        <w:t>"</w:t>
      </w:r>
      <w:r w:rsidR="009F5B9E">
        <w:t>Manage financial forecasts</w:t>
      </w:r>
      <w:r>
        <w:t>"</w:t>
      </w:r>
      <w:r w:rsidR="007E17C9">
        <w:t xml:space="preserve">component </w:t>
      </w:r>
      <w:r w:rsidR="005B6715">
        <w:t>has the following main</w:t>
      </w:r>
      <w:r w:rsidR="001C6B97">
        <w:t>purpos</w:t>
      </w:r>
      <w:r w:rsidR="00FE610E">
        <w:t xml:space="preserve">es: </w:t>
      </w:r>
    </w:p>
    <w:p w:rsidR="0001213D" w:rsidRDefault="009F5B9E" w:rsidP="004B4C35">
      <w:pPr>
        <w:pStyle w:val="ListParagraph"/>
        <w:numPr>
          <w:ilvl w:val="0"/>
          <w:numId w:val="2"/>
        </w:numPr>
        <w:spacing w:after="120"/>
        <w:jc w:val="both"/>
      </w:pPr>
      <w:r>
        <w:t>Supporting operational managers and financial staff in setting up financial forecasts based on actions planned and ongoing (decisions, tender, call for proposals, contracts)</w:t>
      </w:r>
    </w:p>
    <w:p w:rsidR="009F5B9E" w:rsidRPr="00C276A3" w:rsidRDefault="009F5B9E" w:rsidP="004B4C35">
      <w:pPr>
        <w:pStyle w:val="ListParagraph"/>
        <w:numPr>
          <w:ilvl w:val="0"/>
          <w:numId w:val="2"/>
        </w:numPr>
        <w:spacing w:after="120"/>
        <w:jc w:val="both"/>
      </w:pPr>
      <w:r>
        <w:t>Providing data to reporting tools</w:t>
      </w:r>
    </w:p>
    <w:p w:rsidR="004438F2" w:rsidRDefault="004438F2" w:rsidP="004B4C35">
      <w:pPr>
        <w:spacing w:after="120"/>
        <w:jc w:val="both"/>
      </w:pPr>
      <w:r>
        <w:t xml:space="preserve">This component has </w:t>
      </w:r>
      <w:r w:rsidR="005B6715">
        <w:t xml:space="preserve">strong </w:t>
      </w:r>
      <w:r>
        <w:t>interactions and overlaps with:</w:t>
      </w:r>
    </w:p>
    <w:p w:rsidR="004438F2" w:rsidRDefault="004438F2" w:rsidP="004B4C35">
      <w:pPr>
        <w:pStyle w:val="ListParagraph"/>
        <w:numPr>
          <w:ilvl w:val="0"/>
          <w:numId w:val="1"/>
        </w:numPr>
        <w:spacing w:after="120"/>
        <w:jc w:val="both"/>
      </w:pPr>
      <w:r w:rsidRPr="001C6B97">
        <w:rPr>
          <w:u w:val="single"/>
        </w:rPr>
        <w:t xml:space="preserve">Component </w:t>
      </w:r>
      <w:r w:rsidR="005B6715">
        <w:rPr>
          <w:u w:val="single"/>
        </w:rPr>
        <w:t>4.</w:t>
      </w:r>
      <w:r w:rsidR="009F5B9E">
        <w:rPr>
          <w:u w:val="single"/>
        </w:rPr>
        <w:t>1</w:t>
      </w:r>
      <w:r>
        <w:t>:</w:t>
      </w:r>
      <w:r w:rsidR="00DF07D0">
        <w:t xml:space="preserve">as </w:t>
      </w:r>
      <w:r w:rsidR="009F5B9E">
        <w:t xml:space="preserve">planning of operations has </w:t>
      </w:r>
      <w:r w:rsidR="009618D3">
        <w:t>a direct link with forecasting on planned and ongoing operations</w:t>
      </w:r>
    </w:p>
    <w:p w:rsidR="00367C55" w:rsidRDefault="009618D3" w:rsidP="004B4C35">
      <w:pPr>
        <w:pStyle w:val="ListParagraph"/>
        <w:numPr>
          <w:ilvl w:val="0"/>
          <w:numId w:val="1"/>
        </w:numPr>
        <w:spacing w:after="120"/>
        <w:jc w:val="both"/>
      </w:pPr>
      <w:r>
        <w:rPr>
          <w:u w:val="single"/>
        </w:rPr>
        <w:t>Component 4</w:t>
      </w:r>
      <w:r w:rsidRPr="00431C4E">
        <w:rPr>
          <w:u w:val="single"/>
        </w:rPr>
        <w:t>.4</w:t>
      </w:r>
      <w:r>
        <w:t>: as financial commitments for decisions and contracts while linked to planning of operations are key milestones for forecasting</w:t>
      </w:r>
    </w:p>
    <w:p w:rsidR="007A4F4C" w:rsidRPr="00367C55" w:rsidRDefault="007A4F4C" w:rsidP="004B4C35">
      <w:pPr>
        <w:pStyle w:val="ListParagraph"/>
        <w:numPr>
          <w:ilvl w:val="0"/>
          <w:numId w:val="1"/>
        </w:numPr>
        <w:spacing w:after="120"/>
        <w:jc w:val="both"/>
      </w:pPr>
      <w:r>
        <w:rPr>
          <w:u w:val="single"/>
        </w:rPr>
        <w:t>Component 4</w:t>
      </w:r>
      <w:r w:rsidRPr="00431C4E">
        <w:rPr>
          <w:u w:val="single"/>
        </w:rPr>
        <w:t>.5</w:t>
      </w:r>
      <w:r>
        <w:t>: as deliverables are milestones leading to a payment process</w:t>
      </w:r>
    </w:p>
    <w:p w:rsidR="009E7895" w:rsidRDefault="009E7895" w:rsidP="004B4C35">
      <w:pPr>
        <w:spacing w:after="120"/>
        <w:jc w:val="both"/>
        <w:rPr>
          <w:u w:val="single"/>
        </w:rPr>
      </w:pPr>
    </w:p>
    <w:p w:rsidR="004438F2" w:rsidRDefault="001C6B97" w:rsidP="004B4C35">
      <w:pPr>
        <w:spacing w:after="120"/>
        <w:jc w:val="both"/>
      </w:pPr>
      <w:r w:rsidRPr="00310780">
        <w:rPr>
          <w:u w:val="single"/>
        </w:rPr>
        <w:t>Actors involved</w:t>
      </w:r>
      <w:r>
        <w:t xml:space="preserve"> in </w:t>
      </w:r>
      <w:r w:rsidR="00111F4D">
        <w:t>financial forecasting</w:t>
      </w:r>
      <w:r>
        <w:t>:</w:t>
      </w:r>
    </w:p>
    <w:p w:rsidR="00027886" w:rsidRDefault="003B6603" w:rsidP="004B4C35">
      <w:pPr>
        <w:pStyle w:val="ListParagraph"/>
        <w:numPr>
          <w:ilvl w:val="0"/>
          <w:numId w:val="4"/>
        </w:numPr>
        <w:spacing w:after="120"/>
        <w:jc w:val="both"/>
      </w:pPr>
      <w:r>
        <w:t>At country/region level: operational staff (operation manager, head of section, head of cooperation), Head of Delegation, financial staff (finance and contract section)</w:t>
      </w:r>
    </w:p>
    <w:p w:rsidR="00027886" w:rsidRDefault="00027886" w:rsidP="004B4C35">
      <w:pPr>
        <w:pStyle w:val="ListParagraph"/>
        <w:numPr>
          <w:ilvl w:val="0"/>
          <w:numId w:val="4"/>
        </w:numPr>
        <w:spacing w:after="120"/>
        <w:jc w:val="both"/>
      </w:pPr>
      <w:r>
        <w:lastRenderedPageBreak/>
        <w:t xml:space="preserve">At HQ level: </w:t>
      </w:r>
      <w:r w:rsidR="005B6715">
        <w:t>operational staff (geographical unit</w:t>
      </w:r>
      <w:r w:rsidR="00D261AA">
        <w:t>s and thematic units)</w:t>
      </w:r>
      <w:r w:rsidR="008525F9">
        <w:t xml:space="preserve">, </w:t>
      </w:r>
      <w:r w:rsidR="00F11CF0">
        <w:t>financial staff (finance and contract unit</w:t>
      </w:r>
      <w:r w:rsidR="00D261AA">
        <w:t>s</w:t>
      </w:r>
      <w:r w:rsidR="00F11CF0">
        <w:t>)</w:t>
      </w:r>
      <w:r w:rsidR="00783DBB">
        <w:t xml:space="preserve">, </w:t>
      </w:r>
      <w:r w:rsidR="00E536D6">
        <w:t>verification units for forecasting</w:t>
      </w:r>
    </w:p>
    <w:p w:rsidR="00F01C3C" w:rsidRDefault="001B4263" w:rsidP="004B4C35">
      <w:pPr>
        <w:pStyle w:val="ListParagraph"/>
        <w:numPr>
          <w:ilvl w:val="0"/>
          <w:numId w:val="4"/>
        </w:numPr>
        <w:spacing w:after="120"/>
        <w:jc w:val="both"/>
      </w:pPr>
      <w:r>
        <w:t>External partners:</w:t>
      </w:r>
      <w:r w:rsidR="00D6421A">
        <w:t>implementing</w:t>
      </w:r>
      <w:r w:rsidR="00F01C3C">
        <w:t xml:space="preserve"> experts, </w:t>
      </w:r>
      <w:r w:rsidR="00D6421A">
        <w:t>contractors</w:t>
      </w:r>
    </w:p>
    <w:p w:rsidR="001274D2" w:rsidRDefault="001274D2" w:rsidP="004B4C35">
      <w:pPr>
        <w:spacing w:after="120"/>
        <w:jc w:val="both"/>
      </w:pPr>
      <w:r>
        <w:rPr>
          <w:u w:val="single"/>
        </w:rPr>
        <w:t xml:space="preserve">DEVCO Processes involved </w:t>
      </w:r>
      <w:r w:rsidRPr="001274D2">
        <w:t xml:space="preserve">in </w:t>
      </w:r>
      <w:r w:rsidR="00111F4D">
        <w:t>financial forecasting</w:t>
      </w:r>
      <w:r w:rsidRPr="001274D2">
        <w:t>:</w:t>
      </w:r>
    </w:p>
    <w:p w:rsidR="001274D2" w:rsidRDefault="003D556D" w:rsidP="004B4C35">
      <w:pPr>
        <w:pStyle w:val="ListParagraph"/>
        <w:numPr>
          <w:ilvl w:val="0"/>
          <w:numId w:val="8"/>
        </w:numPr>
        <w:spacing w:after="120"/>
        <w:jc w:val="both"/>
      </w:pPr>
      <w:r>
        <w:t>programming</w:t>
      </w:r>
      <w:r w:rsidR="00111F4D">
        <w:t>and identification/formulation: forecast for decisions (level 1), key step for forecasts for contracts and payments (level 2)</w:t>
      </w:r>
    </w:p>
    <w:p w:rsidR="003D556D" w:rsidRDefault="003D556D" w:rsidP="004B4C35">
      <w:pPr>
        <w:pStyle w:val="ListParagraph"/>
        <w:numPr>
          <w:ilvl w:val="0"/>
          <w:numId w:val="8"/>
        </w:numPr>
        <w:spacing w:after="120"/>
        <w:jc w:val="both"/>
      </w:pPr>
      <w:r>
        <w:t xml:space="preserve">implementation </w:t>
      </w:r>
      <w:r w:rsidR="00111F4D">
        <w:t>: for contracts and payments</w:t>
      </w:r>
    </w:p>
    <w:p w:rsidR="00BB6D42" w:rsidRDefault="00DA0D28" w:rsidP="004B4C35">
      <w:pPr>
        <w:pStyle w:val="ListParagraph"/>
        <w:numPr>
          <w:ilvl w:val="0"/>
          <w:numId w:val="8"/>
        </w:numPr>
        <w:spacing w:after="120"/>
        <w:jc w:val="both"/>
      </w:pPr>
      <w:r>
        <w:t>audit: for its impact on disbursements (level of payment or recovery of ineligible expenditures)</w:t>
      </w:r>
    </w:p>
    <w:p w:rsidR="001274D2" w:rsidRDefault="001274D2" w:rsidP="004B4C35">
      <w:pPr>
        <w:spacing w:after="120"/>
        <w:jc w:val="both"/>
        <w:rPr>
          <w:u w:val="single"/>
        </w:rPr>
      </w:pPr>
    </w:p>
    <w:p w:rsidR="00310780" w:rsidRDefault="00310780" w:rsidP="004B4C35">
      <w:pPr>
        <w:spacing w:after="120"/>
        <w:jc w:val="both"/>
      </w:pPr>
      <w:r w:rsidRPr="00310780">
        <w:rPr>
          <w:u w:val="single"/>
        </w:rPr>
        <w:t>Triggers/prioritisation/internal reporting needs</w:t>
      </w:r>
      <w:r>
        <w:t xml:space="preserve"> (dashboards):</w:t>
      </w:r>
    </w:p>
    <w:p w:rsidR="00E40F3D" w:rsidRDefault="00E40F3D" w:rsidP="004B4C35">
      <w:pPr>
        <w:pStyle w:val="ListParagraph"/>
        <w:numPr>
          <w:ilvl w:val="0"/>
          <w:numId w:val="14"/>
        </w:numPr>
        <w:spacing w:after="120"/>
        <w:jc w:val="both"/>
      </w:pPr>
      <w:r>
        <w:t>At country/region level: operational staff (operation manager, head of section, head of cooperation), Head of Delegation, financial staff(finance and contract section):</w:t>
      </w:r>
    </w:p>
    <w:p w:rsidR="009F47C0" w:rsidRDefault="00550B3E" w:rsidP="004B4C35">
      <w:pPr>
        <w:pStyle w:val="ListParagraph"/>
        <w:numPr>
          <w:ilvl w:val="0"/>
          <w:numId w:val="15"/>
        </w:numPr>
        <w:spacing w:after="120"/>
        <w:jc w:val="both"/>
      </w:pPr>
      <w:r>
        <w:t>The operational manager should be able to initiate the forecasting process by requesting the system to provide a first draft for the next two years (N, N+1)</w:t>
      </w:r>
      <w:r w:rsidR="00A44535">
        <w:t>, for commitments level 1, commitments level 2 (contracts) and disbursements</w:t>
      </w:r>
      <w:r>
        <w:t xml:space="preserve"> based on existing data: </w:t>
      </w:r>
      <w:r w:rsidR="006B74DA">
        <w:t>programme</w:t>
      </w:r>
      <w:r>
        <w:t xml:space="preserve"> portfolio, draft action documents, action documents approved, on-going and planned tender and call for proposal processes</w:t>
      </w:r>
      <w:r>
        <w:rPr>
          <w:rStyle w:val="FootnoteReference"/>
        </w:rPr>
        <w:footnoteReference w:id="1"/>
      </w:r>
      <w:r>
        <w:t>, existing contracts with their distribution of payments</w:t>
      </w:r>
      <w:r w:rsidR="00A44535">
        <w:t xml:space="preserve">, expected </w:t>
      </w:r>
      <w:proofErr w:type="spellStart"/>
      <w:r w:rsidR="00A44535">
        <w:t>decommitments</w:t>
      </w:r>
      <w:proofErr w:type="spellEnd"/>
      <w:r w:rsidR="00A44535">
        <w:t xml:space="preserve"> and recovery orders</w:t>
      </w:r>
      <w:r>
        <w:t>; then the operational manager will amend, complete and validate the forecast based on its own experience and judgement</w:t>
      </w:r>
      <w:r w:rsidR="00A44535">
        <w:t>; the forecasting exercise should be extensible to a third year</w:t>
      </w:r>
      <w:r>
        <w:t>- CUD</w:t>
      </w:r>
    </w:p>
    <w:p w:rsidR="00550B3E" w:rsidRDefault="00A44535" w:rsidP="004B4C35">
      <w:pPr>
        <w:pStyle w:val="ListParagraph"/>
        <w:numPr>
          <w:ilvl w:val="0"/>
          <w:numId w:val="15"/>
        </w:numPr>
        <w:spacing w:after="120"/>
        <w:jc w:val="both"/>
      </w:pPr>
      <w:r>
        <w:t>The system must provide a support in providing the “</w:t>
      </w:r>
      <w:proofErr w:type="spellStart"/>
      <w:r>
        <w:t>reste</w:t>
      </w:r>
      <w:proofErr w:type="spellEnd"/>
      <w:r>
        <w:t xml:space="preserve"> à engager”, “</w:t>
      </w:r>
      <w:proofErr w:type="spellStart"/>
      <w:r>
        <w:t>reste</w:t>
      </w:r>
      <w:proofErr w:type="spellEnd"/>
      <w:r>
        <w:t xml:space="preserve"> à </w:t>
      </w:r>
      <w:proofErr w:type="spellStart"/>
      <w:r>
        <w:t>contracter</w:t>
      </w:r>
      <w:proofErr w:type="spellEnd"/>
      <w:r>
        <w:t>” and “</w:t>
      </w:r>
      <w:proofErr w:type="spellStart"/>
      <w:r>
        <w:t>reste</w:t>
      </w:r>
      <w:proofErr w:type="spellEnd"/>
      <w:r>
        <w:t xml:space="preserve"> à payer” for each concerned entity, with corresponding business rules (</w:t>
      </w:r>
      <w:proofErr w:type="spellStart"/>
      <w:r w:rsidR="005F5D9B">
        <w:t>ie</w:t>
      </w:r>
      <w:r w:rsidR="00FE7A99">
        <w:t>warning</w:t>
      </w:r>
      <w:proofErr w:type="spellEnd"/>
      <w:r w:rsidR="00FE7A99">
        <w:t xml:space="preserve"> if the forecast is above </w:t>
      </w:r>
      <w:r w:rsidR="005F5D9B">
        <w:t xml:space="preserve">the </w:t>
      </w:r>
      <w:r w:rsidR="00FE7A99">
        <w:t>available amount)- R</w:t>
      </w:r>
    </w:p>
    <w:p w:rsidR="00FE7A99" w:rsidRDefault="00FE7A99" w:rsidP="004B4C35">
      <w:pPr>
        <w:pStyle w:val="ListParagraph"/>
        <w:numPr>
          <w:ilvl w:val="0"/>
          <w:numId w:val="15"/>
        </w:numPr>
        <w:spacing w:after="120"/>
        <w:jc w:val="both"/>
      </w:pPr>
      <w:r>
        <w:t>The operational manager must be able to propose a risk level for each payment</w:t>
      </w:r>
      <w:r w:rsidR="005F5D9B">
        <w:t xml:space="preserve"> and to encode a comment as for high risk commitments and payments-CUD</w:t>
      </w:r>
    </w:p>
    <w:p w:rsidR="005F5D9B" w:rsidRDefault="007650A1" w:rsidP="004B4C35">
      <w:pPr>
        <w:pStyle w:val="ListParagraph"/>
        <w:numPr>
          <w:ilvl w:val="0"/>
          <w:numId w:val="15"/>
        </w:numPr>
        <w:spacing w:after="120"/>
        <w:jc w:val="both"/>
      </w:pPr>
      <w:r>
        <w:t>The head of the operational section should be able to check financial forecasts before submitting them to the head of the finance and contract section-CUD</w:t>
      </w:r>
    </w:p>
    <w:p w:rsidR="001253C2" w:rsidRDefault="007650A1" w:rsidP="004B4C35">
      <w:pPr>
        <w:pStyle w:val="ListParagraph"/>
        <w:numPr>
          <w:ilvl w:val="0"/>
          <w:numId w:val="15"/>
        </w:numPr>
        <w:spacing w:after="120"/>
        <w:jc w:val="both"/>
      </w:pPr>
      <w:r>
        <w:t>The head of finance and contract section must validate the forecasts (compliance with legal documents and budgetary resources)</w:t>
      </w:r>
      <w:r w:rsidR="001253C2">
        <w:t xml:space="preserve">; </w:t>
      </w:r>
      <w:r w:rsidR="00F51479">
        <w:t>he/</w:t>
      </w:r>
      <w:r w:rsidR="007B30D7">
        <w:t>s</w:t>
      </w:r>
      <w:r w:rsidR="00F51479">
        <w:t xml:space="preserve">he must be able to re-assign the file to any staff in the finance and contract section; </w:t>
      </w:r>
      <w:r w:rsidR="001253C2">
        <w:t>any change required should be notified to the operational manager and the system should keep memory of it; then the head of FCS send the forecast for final validation to the head of cooperation- CUD</w:t>
      </w:r>
    </w:p>
    <w:p w:rsidR="00D1203F" w:rsidRDefault="001253C2" w:rsidP="004B4C35">
      <w:pPr>
        <w:pStyle w:val="ListParagraph"/>
        <w:numPr>
          <w:ilvl w:val="0"/>
          <w:numId w:val="15"/>
        </w:numPr>
        <w:spacing w:after="120"/>
        <w:jc w:val="both"/>
      </w:pPr>
      <w:proofErr w:type="spellStart"/>
      <w:r>
        <w:t>HoC</w:t>
      </w:r>
      <w:proofErr w:type="spellEnd"/>
      <w:r>
        <w:t xml:space="preserve"> must check the forecast, amend them with a mandatory comment (notification of changes) and then send it to </w:t>
      </w:r>
      <w:proofErr w:type="spellStart"/>
      <w:r>
        <w:t>HoD</w:t>
      </w:r>
      <w:proofErr w:type="spellEnd"/>
      <w:r>
        <w:t xml:space="preserve"> in the absence of </w:t>
      </w:r>
      <w:proofErr w:type="spellStart"/>
      <w:r>
        <w:t>subdelegation</w:t>
      </w:r>
      <w:proofErr w:type="spellEnd"/>
      <w:r>
        <w:t xml:space="preserve"> or directly to HQ for the second verification layer</w:t>
      </w:r>
      <w:r w:rsidR="00D1203F">
        <w:t>-CUD</w:t>
      </w:r>
    </w:p>
    <w:p w:rsidR="007650A1" w:rsidRDefault="00D1203F" w:rsidP="004B4C35">
      <w:pPr>
        <w:pStyle w:val="ListParagraph"/>
        <w:numPr>
          <w:ilvl w:val="0"/>
          <w:numId w:val="15"/>
        </w:numPr>
        <w:spacing w:after="120"/>
        <w:jc w:val="both"/>
      </w:pPr>
      <w:r>
        <w:t xml:space="preserve">Once HQ feedback is received, in case of changes </w:t>
      </w:r>
      <w:proofErr w:type="spellStart"/>
      <w:r>
        <w:t>HoC</w:t>
      </w:r>
      <w:proofErr w:type="spellEnd"/>
      <w:r>
        <w:t xml:space="preserve"> (</w:t>
      </w:r>
      <w:proofErr w:type="spellStart"/>
      <w:r>
        <w:t>HoD</w:t>
      </w:r>
      <w:proofErr w:type="spellEnd"/>
      <w:r>
        <w:t xml:space="preserve">) must </w:t>
      </w:r>
      <w:r w:rsidR="00F51479">
        <w:t>be able to</w:t>
      </w:r>
      <w:r>
        <w:t xml:space="preserve"> comment</w:t>
      </w:r>
      <w:r w:rsidR="00F51479">
        <w:t xml:space="preserve"> the changes performed by HQ</w:t>
      </w:r>
      <w:r>
        <w:t>- CUD</w:t>
      </w:r>
    </w:p>
    <w:p w:rsidR="00E40F3D" w:rsidRDefault="00E40F3D" w:rsidP="004B4C35">
      <w:pPr>
        <w:pStyle w:val="ListParagraph"/>
        <w:numPr>
          <w:ilvl w:val="0"/>
          <w:numId w:val="14"/>
        </w:numPr>
        <w:spacing w:after="120"/>
        <w:jc w:val="both"/>
      </w:pPr>
      <w:r>
        <w:lastRenderedPageBreak/>
        <w:t>At HQ level: operational staff (geographical units and thematic units)</w:t>
      </w:r>
      <w:r w:rsidR="00841951">
        <w:t>,</w:t>
      </w:r>
      <w:r>
        <w:t xml:space="preserve"> financial staff (finance and contract units)</w:t>
      </w:r>
      <w:r w:rsidR="00841951">
        <w:t xml:space="preserve"> and Director</w:t>
      </w:r>
      <w:r w:rsidR="00C276A3">
        <w:t xml:space="preserve">, </w:t>
      </w:r>
      <w:r w:rsidR="00E536D6">
        <w:t>veri</w:t>
      </w:r>
      <w:r w:rsidR="00044E6E">
        <w:t>fication units for forecasting</w:t>
      </w:r>
    </w:p>
    <w:p w:rsidR="0076660B" w:rsidRPr="0076660B" w:rsidRDefault="0076660B" w:rsidP="004B4C35">
      <w:pPr>
        <w:pStyle w:val="ListParagraph"/>
        <w:spacing w:after="120"/>
        <w:jc w:val="both"/>
        <w:rPr>
          <w:i/>
        </w:rPr>
      </w:pPr>
      <w:r w:rsidRPr="0076660B">
        <w:rPr>
          <w:i/>
        </w:rPr>
        <w:t>F</w:t>
      </w:r>
      <w:r w:rsidR="00AC1F67">
        <w:rPr>
          <w:i/>
        </w:rPr>
        <w:t>or HQ managed funds f</w:t>
      </w:r>
      <w:r w:rsidRPr="0076660B">
        <w:rPr>
          <w:i/>
        </w:rPr>
        <w:t>unctionalities are similar as for EU Delegation staff</w:t>
      </w:r>
      <w:r w:rsidR="00AC1F67">
        <w:rPr>
          <w:i/>
        </w:rPr>
        <w:t>. Triggers below reflect the specific role</w:t>
      </w:r>
      <w:r w:rsidR="00C276A3">
        <w:rPr>
          <w:i/>
        </w:rPr>
        <w:t xml:space="preserve"> for </w:t>
      </w:r>
      <w:r w:rsidR="00E536D6">
        <w:rPr>
          <w:i/>
        </w:rPr>
        <w:t>verification</w:t>
      </w:r>
      <w:r w:rsidR="00C276A3">
        <w:rPr>
          <w:i/>
        </w:rPr>
        <w:t xml:space="preserve"> units </w:t>
      </w:r>
      <w:r w:rsidR="00E536D6">
        <w:rPr>
          <w:i/>
        </w:rPr>
        <w:t xml:space="preserve">for forecasting </w:t>
      </w:r>
    </w:p>
    <w:p w:rsidR="00065E97" w:rsidRDefault="00077181" w:rsidP="004B4C35">
      <w:pPr>
        <w:pStyle w:val="ListParagraph"/>
        <w:numPr>
          <w:ilvl w:val="0"/>
          <w:numId w:val="16"/>
        </w:numPr>
        <w:spacing w:after="120"/>
        <w:jc w:val="both"/>
      </w:pPr>
      <w:r>
        <w:t>Verification units for forecasting must perform their check</w:t>
      </w:r>
      <w:r w:rsidR="00044E6E">
        <w:t xml:space="preserve">; any change should be notified to the concerned </w:t>
      </w:r>
      <w:proofErr w:type="spellStart"/>
      <w:r w:rsidR="00044E6E">
        <w:t>HoC</w:t>
      </w:r>
      <w:proofErr w:type="spellEnd"/>
      <w:r w:rsidR="00044E6E">
        <w:t xml:space="preserve"> (</w:t>
      </w:r>
      <w:proofErr w:type="spellStart"/>
      <w:r w:rsidR="00044E6E">
        <w:t>HoD</w:t>
      </w:r>
      <w:proofErr w:type="spellEnd"/>
      <w:r w:rsidR="00044E6E">
        <w:t xml:space="preserve">) or </w:t>
      </w:r>
      <w:proofErr w:type="spellStart"/>
      <w:r w:rsidR="00044E6E">
        <w:t>HoU</w:t>
      </w:r>
      <w:proofErr w:type="spellEnd"/>
      <w:r w:rsidR="00044E6E">
        <w:t xml:space="preserve"> and operational manager; any change is made under the verification unit responsibility and therefore no further verification is required by the concerned </w:t>
      </w:r>
      <w:proofErr w:type="spellStart"/>
      <w:r w:rsidR="00044E6E">
        <w:t>HoC</w:t>
      </w:r>
      <w:proofErr w:type="spellEnd"/>
      <w:r w:rsidR="00044E6E">
        <w:t>/</w:t>
      </w:r>
      <w:proofErr w:type="spellStart"/>
      <w:r w:rsidR="00044E6E">
        <w:t>HoU</w:t>
      </w:r>
      <w:proofErr w:type="spellEnd"/>
      <w:r w:rsidR="00044E6E">
        <w:t>- CUD</w:t>
      </w:r>
    </w:p>
    <w:p w:rsidR="00044E6E" w:rsidRDefault="00044E6E" w:rsidP="004B4C35">
      <w:pPr>
        <w:pStyle w:val="ListParagraph"/>
        <w:numPr>
          <w:ilvl w:val="0"/>
          <w:numId w:val="16"/>
        </w:numPr>
        <w:spacing w:after="120"/>
        <w:jc w:val="both"/>
      </w:pPr>
      <w:r>
        <w:t xml:space="preserve">The head of the verification unit must perform the final validation; the forecasting exercise ends at that time (twice a year, by 31 January and by 31 July) and data are available for consolidation, management approval and reporting purpose </w:t>
      </w:r>
      <w:r w:rsidR="003B3533">
        <w:t xml:space="preserve">(Budget, EDF, OECD, IATI) </w:t>
      </w:r>
      <w:r>
        <w:t>-R</w:t>
      </w:r>
    </w:p>
    <w:p w:rsidR="00E40F3D" w:rsidRDefault="00F01C3C" w:rsidP="004B4C35">
      <w:pPr>
        <w:pStyle w:val="ListParagraph"/>
        <w:numPr>
          <w:ilvl w:val="0"/>
          <w:numId w:val="14"/>
        </w:numPr>
        <w:spacing w:after="120"/>
        <w:jc w:val="both"/>
      </w:pPr>
      <w:r>
        <w:t>External partners (</w:t>
      </w:r>
      <w:r w:rsidR="00417AA4">
        <w:t>implementing partners, contractors</w:t>
      </w:r>
      <w:r>
        <w:t>)</w:t>
      </w:r>
      <w:r w:rsidR="00E40F3D">
        <w:t xml:space="preserve">: </w:t>
      </w:r>
    </w:p>
    <w:p w:rsidR="003A6D3D" w:rsidRPr="003A6D3D" w:rsidRDefault="003A6D3D" w:rsidP="004B4C35">
      <w:pPr>
        <w:pStyle w:val="ListParagraph"/>
        <w:spacing w:after="120"/>
        <w:jc w:val="both"/>
        <w:rPr>
          <w:i/>
        </w:rPr>
      </w:pPr>
      <w:r w:rsidRPr="003A6D3D">
        <w:rPr>
          <w:i/>
        </w:rPr>
        <w:t>Functionalities are similar to the one described in component 2 “external collaboration”</w:t>
      </w:r>
    </w:p>
    <w:p w:rsidR="003A6D3D" w:rsidRDefault="003F4B41" w:rsidP="004B4C35">
      <w:pPr>
        <w:pStyle w:val="ListParagraph"/>
        <w:numPr>
          <w:ilvl w:val="0"/>
          <w:numId w:val="18"/>
        </w:numPr>
        <w:spacing w:after="120"/>
        <w:jc w:val="both"/>
      </w:pPr>
      <w:r>
        <w:t xml:space="preserve">Implementing partners and contractors </w:t>
      </w:r>
      <w:r w:rsidR="003C5092">
        <w:t xml:space="preserve">could </w:t>
      </w:r>
      <w:r>
        <w:t>be allowed to provide their inputs for financial forecast (time and amount of invoicing); this is particularly relevant for grants; the input from the external partner should be checked and validated by the operational manager- CUD</w:t>
      </w:r>
    </w:p>
    <w:p w:rsidR="0062796B" w:rsidRDefault="0062796B" w:rsidP="004B4C35">
      <w:pPr>
        <w:spacing w:after="120"/>
        <w:jc w:val="both"/>
      </w:pPr>
    </w:p>
    <w:p w:rsidR="001D130C" w:rsidRPr="001D130C" w:rsidRDefault="001D130C" w:rsidP="004B4C35">
      <w:pPr>
        <w:spacing w:after="120"/>
        <w:jc w:val="both"/>
        <w:rPr>
          <w:u w:val="single"/>
        </w:rPr>
      </w:pPr>
      <w:r w:rsidRPr="001D130C">
        <w:rPr>
          <w:u w:val="single"/>
        </w:rPr>
        <w:t>High level data model:</w:t>
      </w:r>
    </w:p>
    <w:p w:rsidR="00FE1DEF" w:rsidRPr="00DF61EF" w:rsidRDefault="00DF61EF" w:rsidP="004B4C35">
      <w:pPr>
        <w:spacing w:after="120"/>
        <w:jc w:val="both"/>
        <w:rPr>
          <w:i/>
        </w:rPr>
      </w:pPr>
      <w:r w:rsidRPr="00DF61EF">
        <w:rPr>
          <w:i/>
        </w:rPr>
        <w:t>To be developed at a later stage</w:t>
      </w:r>
    </w:p>
    <w:p w:rsidR="00AB5999" w:rsidRDefault="00AB5999" w:rsidP="004B4C35">
      <w:pPr>
        <w:spacing w:after="120"/>
        <w:jc w:val="both"/>
        <w:rPr>
          <w:u w:val="single"/>
        </w:rPr>
      </w:pPr>
    </w:p>
    <w:p w:rsidR="00310780" w:rsidRPr="002A2A16" w:rsidRDefault="002A2A16" w:rsidP="004B4C35">
      <w:pPr>
        <w:spacing w:after="120"/>
        <w:jc w:val="both"/>
        <w:rPr>
          <w:u w:val="single"/>
        </w:rPr>
      </w:pPr>
      <w:r w:rsidRPr="002A2A16">
        <w:rPr>
          <w:u w:val="single"/>
        </w:rPr>
        <w:t>Next steps:</w:t>
      </w:r>
    </w:p>
    <w:p w:rsidR="002A2A16" w:rsidRDefault="003D556D" w:rsidP="004B4C35">
      <w:pPr>
        <w:pStyle w:val="ListParagraph"/>
        <w:numPr>
          <w:ilvl w:val="0"/>
          <w:numId w:val="11"/>
        </w:numPr>
        <w:spacing w:after="120"/>
        <w:jc w:val="both"/>
      </w:pPr>
      <w:r>
        <w:t>Discussion with R1</w:t>
      </w:r>
    </w:p>
    <w:p w:rsidR="00C81474" w:rsidRDefault="00BB6D42" w:rsidP="004B4C35">
      <w:pPr>
        <w:pStyle w:val="ListParagraph"/>
        <w:numPr>
          <w:ilvl w:val="0"/>
          <w:numId w:val="11"/>
        </w:numPr>
        <w:spacing w:after="120"/>
        <w:jc w:val="both"/>
      </w:pPr>
      <w:r>
        <w:t>Specificities for NEAR</w:t>
      </w:r>
      <w:r w:rsidR="0073475F">
        <w:t xml:space="preserve"> (MIS)</w:t>
      </w:r>
    </w:p>
    <w:p w:rsidR="00FE610E" w:rsidRDefault="00FE610E" w:rsidP="004B4C35">
      <w:pPr>
        <w:spacing w:after="120"/>
        <w:jc w:val="both"/>
      </w:pPr>
    </w:p>
    <w:sectPr w:rsidR="00FE610E" w:rsidSect="00087C2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C2" w:rsidRDefault="001253C2" w:rsidP="00443D97">
      <w:pPr>
        <w:spacing w:after="0" w:line="240" w:lineRule="auto"/>
      </w:pPr>
      <w:r>
        <w:separator/>
      </w:r>
    </w:p>
  </w:endnote>
  <w:endnote w:type="continuationSeparator" w:id="0">
    <w:p w:rsidR="001253C2" w:rsidRDefault="001253C2" w:rsidP="0044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834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3C2" w:rsidRDefault="00F8175B">
        <w:pPr>
          <w:pStyle w:val="Footer"/>
          <w:jc w:val="center"/>
        </w:pPr>
        <w:r>
          <w:fldChar w:fldCharType="begin"/>
        </w:r>
        <w:r w:rsidR="00096208">
          <w:instrText xml:space="preserve"> PAGE   \* MERGEFORMAT </w:instrText>
        </w:r>
        <w:r>
          <w:fldChar w:fldCharType="separate"/>
        </w:r>
        <w:r w:rsidR="00F86D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53C2" w:rsidRDefault="001253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C2" w:rsidRDefault="001253C2" w:rsidP="00443D97">
      <w:pPr>
        <w:spacing w:after="0" w:line="240" w:lineRule="auto"/>
      </w:pPr>
      <w:r>
        <w:separator/>
      </w:r>
    </w:p>
  </w:footnote>
  <w:footnote w:type="continuationSeparator" w:id="0">
    <w:p w:rsidR="001253C2" w:rsidRDefault="001253C2" w:rsidP="00443D97">
      <w:pPr>
        <w:spacing w:after="0" w:line="240" w:lineRule="auto"/>
      </w:pPr>
      <w:r>
        <w:continuationSeparator/>
      </w:r>
    </w:p>
  </w:footnote>
  <w:footnote w:id="1">
    <w:p w:rsidR="001253C2" w:rsidRPr="00550B3E" w:rsidRDefault="001253C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550B3E">
        <w:rPr>
          <w:lang w:val="en-US"/>
        </w:rPr>
        <w:t>Call for proposals are by n</w:t>
      </w:r>
      <w:r>
        <w:rPr>
          <w:lang w:val="en-US"/>
        </w:rPr>
        <w:t>ature hardly predictable, however a first approximation based on the total available budget should be possible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317"/>
    <w:multiLevelType w:val="hybridMultilevel"/>
    <w:tmpl w:val="71240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94771"/>
    <w:multiLevelType w:val="hybridMultilevel"/>
    <w:tmpl w:val="F61090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A2C24"/>
    <w:multiLevelType w:val="hybridMultilevel"/>
    <w:tmpl w:val="208C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1663D"/>
    <w:multiLevelType w:val="hybridMultilevel"/>
    <w:tmpl w:val="DBD8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45DCE"/>
    <w:multiLevelType w:val="hybridMultilevel"/>
    <w:tmpl w:val="DDF46F58"/>
    <w:lvl w:ilvl="0" w:tplc="1A84B252">
      <w:start w:val="1"/>
      <w:numFmt w:val="decimal"/>
      <w:lvlText w:val="trigger 2.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F2190F"/>
    <w:multiLevelType w:val="hybridMultilevel"/>
    <w:tmpl w:val="C5DC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428BD"/>
    <w:multiLevelType w:val="hybridMultilevel"/>
    <w:tmpl w:val="4AA054F6"/>
    <w:lvl w:ilvl="0" w:tplc="B7FE37F8">
      <w:start w:val="1"/>
      <w:numFmt w:val="decimal"/>
      <w:lvlText w:val="trigger 3.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37400C"/>
    <w:multiLevelType w:val="hybridMultilevel"/>
    <w:tmpl w:val="775E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D5DC9"/>
    <w:multiLevelType w:val="hybridMultilevel"/>
    <w:tmpl w:val="F5BCC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46826"/>
    <w:multiLevelType w:val="hybridMultilevel"/>
    <w:tmpl w:val="8DFA2A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02496"/>
    <w:multiLevelType w:val="hybridMultilevel"/>
    <w:tmpl w:val="958ED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E06E4"/>
    <w:multiLevelType w:val="hybridMultilevel"/>
    <w:tmpl w:val="1996E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C0F11"/>
    <w:multiLevelType w:val="hybridMultilevel"/>
    <w:tmpl w:val="81FADE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53690"/>
    <w:multiLevelType w:val="hybridMultilevel"/>
    <w:tmpl w:val="C5DC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6D4232"/>
    <w:multiLevelType w:val="hybridMultilevel"/>
    <w:tmpl w:val="5D0CF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3331E"/>
    <w:multiLevelType w:val="hybridMultilevel"/>
    <w:tmpl w:val="95D45E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D6095"/>
    <w:multiLevelType w:val="hybridMultilevel"/>
    <w:tmpl w:val="7E841E76"/>
    <w:lvl w:ilvl="0" w:tplc="3D4E2D68">
      <w:start w:val="1"/>
      <w:numFmt w:val="decimal"/>
      <w:lvlText w:val="trigger 1.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5A59C2"/>
    <w:multiLevelType w:val="hybridMultilevel"/>
    <w:tmpl w:val="68B0BD76"/>
    <w:lvl w:ilvl="0" w:tplc="B7FE37F8">
      <w:start w:val="1"/>
      <w:numFmt w:val="decimal"/>
      <w:lvlText w:val="trigger 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12769"/>
    <w:multiLevelType w:val="hybridMultilevel"/>
    <w:tmpl w:val="58F41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0E377E"/>
    <w:multiLevelType w:val="hybridMultilevel"/>
    <w:tmpl w:val="195E91E8"/>
    <w:lvl w:ilvl="0" w:tplc="13700B2C">
      <w:start w:val="1"/>
      <w:numFmt w:val="decimal"/>
      <w:lvlText w:val="trigger 4.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B41E6B"/>
    <w:multiLevelType w:val="hybridMultilevel"/>
    <w:tmpl w:val="C5DC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E20663"/>
    <w:multiLevelType w:val="hybridMultilevel"/>
    <w:tmpl w:val="42A2C586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2">
    <w:nsid w:val="77247037"/>
    <w:multiLevelType w:val="hybridMultilevel"/>
    <w:tmpl w:val="569E5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62FC6"/>
    <w:multiLevelType w:val="hybridMultilevel"/>
    <w:tmpl w:val="9F2CC7D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CEC4E1C"/>
    <w:multiLevelType w:val="hybridMultilevel"/>
    <w:tmpl w:val="C5DC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0249A0"/>
    <w:multiLevelType w:val="hybridMultilevel"/>
    <w:tmpl w:val="A80E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1"/>
  </w:num>
  <w:num w:numId="4">
    <w:abstractNumId w:val="13"/>
  </w:num>
  <w:num w:numId="5">
    <w:abstractNumId w:val="5"/>
  </w:num>
  <w:num w:numId="6">
    <w:abstractNumId w:val="24"/>
  </w:num>
  <w:num w:numId="7">
    <w:abstractNumId w:val="14"/>
  </w:num>
  <w:num w:numId="8">
    <w:abstractNumId w:val="3"/>
  </w:num>
  <w:num w:numId="9">
    <w:abstractNumId w:val="21"/>
  </w:num>
  <w:num w:numId="10">
    <w:abstractNumId w:val="22"/>
  </w:num>
  <w:num w:numId="11">
    <w:abstractNumId w:val="9"/>
  </w:num>
  <w:num w:numId="12">
    <w:abstractNumId w:val="23"/>
  </w:num>
  <w:num w:numId="13">
    <w:abstractNumId w:val="8"/>
  </w:num>
  <w:num w:numId="14">
    <w:abstractNumId w:val="20"/>
  </w:num>
  <w:num w:numId="15">
    <w:abstractNumId w:val="16"/>
  </w:num>
  <w:num w:numId="16">
    <w:abstractNumId w:val="4"/>
  </w:num>
  <w:num w:numId="17">
    <w:abstractNumId w:val="17"/>
  </w:num>
  <w:num w:numId="18">
    <w:abstractNumId w:val="6"/>
  </w:num>
  <w:num w:numId="19">
    <w:abstractNumId w:val="19"/>
  </w:num>
  <w:num w:numId="20">
    <w:abstractNumId w:val="7"/>
  </w:num>
  <w:num w:numId="21">
    <w:abstractNumId w:val="12"/>
  </w:num>
  <w:num w:numId="22">
    <w:abstractNumId w:val="1"/>
  </w:num>
  <w:num w:numId="23">
    <w:abstractNumId w:val="15"/>
  </w:num>
  <w:num w:numId="24">
    <w:abstractNumId w:val="10"/>
  </w:num>
  <w:num w:numId="25">
    <w:abstractNumId w:val="1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631EB4"/>
    <w:rsid w:val="000037C7"/>
    <w:rsid w:val="0001213D"/>
    <w:rsid w:val="000144B6"/>
    <w:rsid w:val="000210CC"/>
    <w:rsid w:val="00025BC3"/>
    <w:rsid w:val="00027886"/>
    <w:rsid w:val="00033B07"/>
    <w:rsid w:val="00037889"/>
    <w:rsid w:val="000410A5"/>
    <w:rsid w:val="00044E6E"/>
    <w:rsid w:val="000512CE"/>
    <w:rsid w:val="00065E97"/>
    <w:rsid w:val="00077181"/>
    <w:rsid w:val="00082F7D"/>
    <w:rsid w:val="00087C26"/>
    <w:rsid w:val="00094223"/>
    <w:rsid w:val="00096208"/>
    <w:rsid w:val="000D09BB"/>
    <w:rsid w:val="000F7D2D"/>
    <w:rsid w:val="0010024F"/>
    <w:rsid w:val="00111B88"/>
    <w:rsid w:val="00111F4D"/>
    <w:rsid w:val="00113359"/>
    <w:rsid w:val="001253C2"/>
    <w:rsid w:val="001274D2"/>
    <w:rsid w:val="0013176F"/>
    <w:rsid w:val="00132080"/>
    <w:rsid w:val="00135F4A"/>
    <w:rsid w:val="0013734B"/>
    <w:rsid w:val="00146360"/>
    <w:rsid w:val="00160CBB"/>
    <w:rsid w:val="001676D8"/>
    <w:rsid w:val="00187509"/>
    <w:rsid w:val="001B4263"/>
    <w:rsid w:val="001C6B97"/>
    <w:rsid w:val="001D130C"/>
    <w:rsid w:val="001D7C2F"/>
    <w:rsid w:val="001F37A5"/>
    <w:rsid w:val="00227560"/>
    <w:rsid w:val="00232A96"/>
    <w:rsid w:val="002519C9"/>
    <w:rsid w:val="002630CD"/>
    <w:rsid w:val="0028421E"/>
    <w:rsid w:val="002A2A16"/>
    <w:rsid w:val="002A2E66"/>
    <w:rsid w:val="002C6BB5"/>
    <w:rsid w:val="002D7E26"/>
    <w:rsid w:val="00310780"/>
    <w:rsid w:val="003419A4"/>
    <w:rsid w:val="003421FB"/>
    <w:rsid w:val="003429A0"/>
    <w:rsid w:val="0034323C"/>
    <w:rsid w:val="00347E20"/>
    <w:rsid w:val="00354A38"/>
    <w:rsid w:val="00356366"/>
    <w:rsid w:val="00363E39"/>
    <w:rsid w:val="00367C55"/>
    <w:rsid w:val="003813DE"/>
    <w:rsid w:val="00384607"/>
    <w:rsid w:val="003A6D3D"/>
    <w:rsid w:val="003B3533"/>
    <w:rsid w:val="003B6603"/>
    <w:rsid w:val="003C5092"/>
    <w:rsid w:val="003C6557"/>
    <w:rsid w:val="003D1828"/>
    <w:rsid w:val="003D556D"/>
    <w:rsid w:val="003F4B41"/>
    <w:rsid w:val="003F5970"/>
    <w:rsid w:val="004129DF"/>
    <w:rsid w:val="00417AA4"/>
    <w:rsid w:val="00425689"/>
    <w:rsid w:val="00431C4E"/>
    <w:rsid w:val="00435D6E"/>
    <w:rsid w:val="004438F2"/>
    <w:rsid w:val="00443D97"/>
    <w:rsid w:val="004506FE"/>
    <w:rsid w:val="0045730B"/>
    <w:rsid w:val="004A4B83"/>
    <w:rsid w:val="004A56D7"/>
    <w:rsid w:val="004B3C78"/>
    <w:rsid w:val="004B4C35"/>
    <w:rsid w:val="004D2A52"/>
    <w:rsid w:val="004F0948"/>
    <w:rsid w:val="004F690C"/>
    <w:rsid w:val="00506614"/>
    <w:rsid w:val="00507289"/>
    <w:rsid w:val="005279B2"/>
    <w:rsid w:val="00545148"/>
    <w:rsid w:val="00550B3E"/>
    <w:rsid w:val="0056572C"/>
    <w:rsid w:val="00597644"/>
    <w:rsid w:val="005B2B4C"/>
    <w:rsid w:val="005B5F36"/>
    <w:rsid w:val="005B6715"/>
    <w:rsid w:val="005D0969"/>
    <w:rsid w:val="005E6478"/>
    <w:rsid w:val="005F5D9B"/>
    <w:rsid w:val="005F6B91"/>
    <w:rsid w:val="006069B5"/>
    <w:rsid w:val="00611598"/>
    <w:rsid w:val="0062796B"/>
    <w:rsid w:val="00631EB4"/>
    <w:rsid w:val="00671BD4"/>
    <w:rsid w:val="00691001"/>
    <w:rsid w:val="00696D4D"/>
    <w:rsid w:val="006B74DA"/>
    <w:rsid w:val="006C7635"/>
    <w:rsid w:val="006D0CD8"/>
    <w:rsid w:val="006E6974"/>
    <w:rsid w:val="006F3EB8"/>
    <w:rsid w:val="00722B35"/>
    <w:rsid w:val="0073475F"/>
    <w:rsid w:val="00735492"/>
    <w:rsid w:val="00736070"/>
    <w:rsid w:val="007629A2"/>
    <w:rsid w:val="007650A1"/>
    <w:rsid w:val="0076660B"/>
    <w:rsid w:val="0077000E"/>
    <w:rsid w:val="00770AD8"/>
    <w:rsid w:val="007778C9"/>
    <w:rsid w:val="00783DBB"/>
    <w:rsid w:val="00790D22"/>
    <w:rsid w:val="007A3F8E"/>
    <w:rsid w:val="007A4F4C"/>
    <w:rsid w:val="007B30D7"/>
    <w:rsid w:val="007B4A1D"/>
    <w:rsid w:val="007C498C"/>
    <w:rsid w:val="007C7024"/>
    <w:rsid w:val="007D5069"/>
    <w:rsid w:val="007E17C9"/>
    <w:rsid w:val="007F4778"/>
    <w:rsid w:val="00803A87"/>
    <w:rsid w:val="00832382"/>
    <w:rsid w:val="00841951"/>
    <w:rsid w:val="00846EC3"/>
    <w:rsid w:val="008525F9"/>
    <w:rsid w:val="0086394F"/>
    <w:rsid w:val="0087171C"/>
    <w:rsid w:val="008747D5"/>
    <w:rsid w:val="008848C8"/>
    <w:rsid w:val="008869C7"/>
    <w:rsid w:val="008B2081"/>
    <w:rsid w:val="008B292E"/>
    <w:rsid w:val="008B4EB2"/>
    <w:rsid w:val="008B671F"/>
    <w:rsid w:val="008C7434"/>
    <w:rsid w:val="008F1D2E"/>
    <w:rsid w:val="008F566C"/>
    <w:rsid w:val="00903688"/>
    <w:rsid w:val="009109D8"/>
    <w:rsid w:val="0092018F"/>
    <w:rsid w:val="009618D3"/>
    <w:rsid w:val="009704D5"/>
    <w:rsid w:val="00970D9E"/>
    <w:rsid w:val="009855FD"/>
    <w:rsid w:val="009B37FE"/>
    <w:rsid w:val="009C426A"/>
    <w:rsid w:val="009D0BDC"/>
    <w:rsid w:val="009E7895"/>
    <w:rsid w:val="009F0C02"/>
    <w:rsid w:val="009F2FB7"/>
    <w:rsid w:val="009F47C0"/>
    <w:rsid w:val="009F5B9E"/>
    <w:rsid w:val="00A0005F"/>
    <w:rsid w:val="00A07CC7"/>
    <w:rsid w:val="00A110AC"/>
    <w:rsid w:val="00A22B14"/>
    <w:rsid w:val="00A3594C"/>
    <w:rsid w:val="00A44535"/>
    <w:rsid w:val="00A453FE"/>
    <w:rsid w:val="00A5254D"/>
    <w:rsid w:val="00A70743"/>
    <w:rsid w:val="00A71352"/>
    <w:rsid w:val="00A74615"/>
    <w:rsid w:val="00A8221F"/>
    <w:rsid w:val="00A9093E"/>
    <w:rsid w:val="00AB3063"/>
    <w:rsid w:val="00AB5999"/>
    <w:rsid w:val="00AC1F67"/>
    <w:rsid w:val="00AC29C0"/>
    <w:rsid w:val="00AC2DCE"/>
    <w:rsid w:val="00AC6058"/>
    <w:rsid w:val="00B04470"/>
    <w:rsid w:val="00B05727"/>
    <w:rsid w:val="00B078AF"/>
    <w:rsid w:val="00B15231"/>
    <w:rsid w:val="00B60CFF"/>
    <w:rsid w:val="00B76B07"/>
    <w:rsid w:val="00B91F8D"/>
    <w:rsid w:val="00B96777"/>
    <w:rsid w:val="00BB6D42"/>
    <w:rsid w:val="00BC17F6"/>
    <w:rsid w:val="00BD1758"/>
    <w:rsid w:val="00BE0CEC"/>
    <w:rsid w:val="00C00FA7"/>
    <w:rsid w:val="00C06F83"/>
    <w:rsid w:val="00C263F3"/>
    <w:rsid w:val="00C276A3"/>
    <w:rsid w:val="00C3761A"/>
    <w:rsid w:val="00C42A3B"/>
    <w:rsid w:val="00C539EE"/>
    <w:rsid w:val="00C53E2E"/>
    <w:rsid w:val="00C66306"/>
    <w:rsid w:val="00C81474"/>
    <w:rsid w:val="00C8583B"/>
    <w:rsid w:val="00C94380"/>
    <w:rsid w:val="00CB3197"/>
    <w:rsid w:val="00CB7233"/>
    <w:rsid w:val="00CD64B2"/>
    <w:rsid w:val="00D07DC5"/>
    <w:rsid w:val="00D1203F"/>
    <w:rsid w:val="00D12641"/>
    <w:rsid w:val="00D23589"/>
    <w:rsid w:val="00D261AA"/>
    <w:rsid w:val="00D45647"/>
    <w:rsid w:val="00D62D69"/>
    <w:rsid w:val="00D6421A"/>
    <w:rsid w:val="00D70E13"/>
    <w:rsid w:val="00D77C22"/>
    <w:rsid w:val="00D77FAB"/>
    <w:rsid w:val="00D83CC8"/>
    <w:rsid w:val="00D87C38"/>
    <w:rsid w:val="00D97017"/>
    <w:rsid w:val="00DA0D28"/>
    <w:rsid w:val="00DA28EA"/>
    <w:rsid w:val="00DA5BED"/>
    <w:rsid w:val="00DC00E0"/>
    <w:rsid w:val="00DE3942"/>
    <w:rsid w:val="00DE5A20"/>
    <w:rsid w:val="00DF07D0"/>
    <w:rsid w:val="00DF61EF"/>
    <w:rsid w:val="00E062E7"/>
    <w:rsid w:val="00E33B1C"/>
    <w:rsid w:val="00E40F3D"/>
    <w:rsid w:val="00E53150"/>
    <w:rsid w:val="00E536D6"/>
    <w:rsid w:val="00E71FF1"/>
    <w:rsid w:val="00E75962"/>
    <w:rsid w:val="00E83F59"/>
    <w:rsid w:val="00E877C0"/>
    <w:rsid w:val="00EA13BB"/>
    <w:rsid w:val="00EA43AA"/>
    <w:rsid w:val="00F01C3C"/>
    <w:rsid w:val="00F11CF0"/>
    <w:rsid w:val="00F14FBF"/>
    <w:rsid w:val="00F26BBC"/>
    <w:rsid w:val="00F51479"/>
    <w:rsid w:val="00F62A9D"/>
    <w:rsid w:val="00F75D35"/>
    <w:rsid w:val="00F80367"/>
    <w:rsid w:val="00F8175B"/>
    <w:rsid w:val="00F81789"/>
    <w:rsid w:val="00F82B35"/>
    <w:rsid w:val="00F86D1A"/>
    <w:rsid w:val="00FD3A5C"/>
    <w:rsid w:val="00FE1DEF"/>
    <w:rsid w:val="00FE610E"/>
    <w:rsid w:val="00FE7706"/>
    <w:rsid w:val="00FE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97"/>
  </w:style>
  <w:style w:type="paragraph" w:styleId="Footer">
    <w:name w:val="footer"/>
    <w:basedOn w:val="Normal"/>
    <w:link w:val="FooterChar"/>
    <w:uiPriority w:val="99"/>
    <w:unhideWhenUsed/>
    <w:rsid w:val="0044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97"/>
  </w:style>
  <w:style w:type="table" w:styleId="TableGrid">
    <w:name w:val="Table Grid"/>
    <w:basedOn w:val="TableNormal"/>
    <w:uiPriority w:val="59"/>
    <w:rsid w:val="008639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3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B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B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B3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47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2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97"/>
  </w:style>
  <w:style w:type="paragraph" w:styleId="Footer">
    <w:name w:val="footer"/>
    <w:basedOn w:val="Normal"/>
    <w:link w:val="FooterChar"/>
    <w:uiPriority w:val="99"/>
    <w:unhideWhenUsed/>
    <w:rsid w:val="0044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97"/>
  </w:style>
  <w:style w:type="table" w:styleId="TableGrid">
    <w:name w:val="Table Grid"/>
    <w:basedOn w:val="TableNormal"/>
    <w:uiPriority w:val="59"/>
    <w:rsid w:val="008639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1A5D-397D-4FEE-9F1A-729D1176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THIEULIN Denis (DEVCO)</dc:creator>
  <cp:lastModifiedBy>THIEULIN Denis (DEVCO)</cp:lastModifiedBy>
  <cp:revision>59</cp:revision>
  <cp:lastPrinted>2015-03-14T21:39:00Z</cp:lastPrinted>
  <dcterms:created xsi:type="dcterms:W3CDTF">2015-03-14T20:11:00Z</dcterms:created>
  <dcterms:modified xsi:type="dcterms:W3CDTF">2015-04-16T07:59:00Z</dcterms:modified>
</cp:coreProperties>
</file>