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D5" w:rsidRPr="0086394F" w:rsidRDefault="00FE610E" w:rsidP="00D66F70">
      <w:pPr>
        <w:jc w:val="center"/>
        <w:rPr>
          <w:b/>
          <w:lang w:val="en-US"/>
        </w:rPr>
      </w:pPr>
      <w:r w:rsidRPr="0086394F">
        <w:rPr>
          <w:b/>
          <w:lang w:val="en-US"/>
        </w:rPr>
        <w:t xml:space="preserve">Component </w:t>
      </w:r>
      <w:r w:rsidR="00DF07D0">
        <w:rPr>
          <w:b/>
          <w:lang w:val="en-US"/>
        </w:rPr>
        <w:t>4.</w:t>
      </w:r>
      <w:r w:rsidR="0055722A">
        <w:rPr>
          <w:b/>
          <w:lang w:val="en-US"/>
        </w:rPr>
        <w:t>4</w:t>
      </w:r>
    </w:p>
    <w:p w:rsidR="00FE610E" w:rsidRPr="0086394F" w:rsidRDefault="00FE7706" w:rsidP="00D66F70">
      <w:pPr>
        <w:jc w:val="center"/>
        <w:rPr>
          <w:b/>
          <w:lang w:val="en-US"/>
        </w:rPr>
      </w:pPr>
      <w:r>
        <w:rPr>
          <w:b/>
          <w:lang w:val="en-US"/>
        </w:rPr>
        <w:t>M</w:t>
      </w:r>
      <w:r w:rsidR="00DC00E0">
        <w:rPr>
          <w:b/>
          <w:lang w:val="en-US"/>
        </w:rPr>
        <w:t xml:space="preserve">anage financial </w:t>
      </w:r>
      <w:r w:rsidR="0055722A">
        <w:rPr>
          <w:b/>
          <w:lang w:val="en-US"/>
        </w:rPr>
        <w:t>commitments (operational part)</w:t>
      </w:r>
    </w:p>
    <w:p w:rsidR="00FE610E" w:rsidRDefault="00FE610E" w:rsidP="00D66F70">
      <w:pPr>
        <w:jc w:val="center"/>
        <w:rPr>
          <w:b/>
        </w:rPr>
      </w:pPr>
      <w:r w:rsidRPr="00FE610E">
        <w:rPr>
          <w:b/>
        </w:rPr>
        <w:t>High level business requirements</w:t>
      </w:r>
    </w:p>
    <w:p w:rsidR="00584DD0" w:rsidRDefault="00584DD0" w:rsidP="00FF3365">
      <w:pPr>
        <w:jc w:val="both"/>
      </w:pPr>
    </w:p>
    <w:p w:rsidR="003421FB" w:rsidRPr="003421FB" w:rsidRDefault="003421FB" w:rsidP="00FF3365">
      <w:pPr>
        <w:jc w:val="both"/>
      </w:pPr>
      <w:r w:rsidRPr="003421FB">
        <w:t xml:space="preserve">Version: </w:t>
      </w:r>
      <w:r w:rsidR="00CB6BB2">
        <w:t>v3.1</w:t>
      </w:r>
      <w:r w:rsidR="0055722A">
        <w:t xml:space="preserve"> of </w:t>
      </w:r>
      <w:r w:rsidR="00CB6BB2">
        <w:t>31</w:t>
      </w:r>
      <w:r w:rsidRPr="003421FB">
        <w:t>/03/2015</w:t>
      </w:r>
    </w:p>
    <w:p w:rsidR="003421FB" w:rsidRDefault="003421FB" w:rsidP="00FF3365">
      <w:pPr>
        <w:jc w:val="both"/>
      </w:pPr>
      <w:r w:rsidRPr="003421FB">
        <w:t>Author: TF/</w:t>
      </w:r>
      <w:r w:rsidR="00DC00E0">
        <w:t>C Martinez</w:t>
      </w:r>
      <w:r w:rsidR="00DF07D0">
        <w:t xml:space="preserve"> and </w:t>
      </w:r>
      <w:r w:rsidRPr="003421FB">
        <w:t>D</w:t>
      </w:r>
      <w:r w:rsidR="003D1828">
        <w:t xml:space="preserve"> </w:t>
      </w:r>
      <w:r w:rsidRPr="003421FB">
        <w:t>T</w:t>
      </w:r>
      <w:r w:rsidR="00696D4D">
        <w:t>hieulin</w:t>
      </w:r>
    </w:p>
    <w:p w:rsidR="00E87A52" w:rsidRDefault="00E87A52" w:rsidP="00FF3365">
      <w:pPr>
        <w:jc w:val="both"/>
      </w:pPr>
    </w:p>
    <w:p w:rsidR="0055722A" w:rsidRPr="0055722A" w:rsidRDefault="0055722A" w:rsidP="00FF3365">
      <w:pPr>
        <w:jc w:val="both"/>
        <w:rPr>
          <w:i/>
        </w:rPr>
      </w:pPr>
      <w:r w:rsidRPr="0055722A">
        <w:rPr>
          <w:i/>
          <w:u w:val="single"/>
        </w:rPr>
        <w:t>Preliminary remark</w:t>
      </w:r>
      <w:r w:rsidRPr="0055722A">
        <w:rPr>
          <w:i/>
        </w:rPr>
        <w:t>: That component is work in progress; it has been limited to a short description of needs to be used for the assessment of the overall complexity of the system. A joint work is ongoing with unit R1 in the framework of the survey for the migration of Decision and Contract CRIS modules to ABAC</w:t>
      </w:r>
      <w:r>
        <w:rPr>
          <w:i/>
        </w:rPr>
        <w:t xml:space="preserve">; it covers the revision of processes in order to comply </w:t>
      </w:r>
      <w:r w:rsidR="001F1B25">
        <w:rPr>
          <w:i/>
        </w:rPr>
        <w:t>with</w:t>
      </w:r>
      <w:r>
        <w:rPr>
          <w:i/>
        </w:rPr>
        <w:t xml:space="preserve"> both rationalisation requirements (migration to ABAC) and users</w:t>
      </w:r>
      <w:r w:rsidR="001F1B25">
        <w:rPr>
          <w:i/>
        </w:rPr>
        <w:t>'</w:t>
      </w:r>
      <w:r>
        <w:rPr>
          <w:i/>
        </w:rPr>
        <w:t xml:space="preserve"> desiderata.</w:t>
      </w:r>
    </w:p>
    <w:p w:rsidR="0055722A" w:rsidRDefault="0055722A" w:rsidP="00FF3365">
      <w:pPr>
        <w:jc w:val="both"/>
      </w:pPr>
    </w:p>
    <w:p w:rsidR="00240BC3" w:rsidRDefault="0055722A" w:rsidP="00FF3365">
      <w:pPr>
        <w:jc w:val="both"/>
      </w:pPr>
      <w:r w:rsidRPr="00EB30A0">
        <w:t>Th</w:t>
      </w:r>
      <w:r w:rsidR="001C7D5E">
        <w:t>is</w:t>
      </w:r>
      <w:r w:rsidRPr="00EB30A0">
        <w:t xml:space="preserve"> component cover</w:t>
      </w:r>
      <w:r w:rsidR="0042612B">
        <w:t>s</w:t>
      </w:r>
      <w:r w:rsidRPr="00EB30A0">
        <w:t xml:space="preserve"> the residual </w:t>
      </w:r>
      <w:r w:rsidR="001C7D5E">
        <w:t xml:space="preserve">business </w:t>
      </w:r>
      <w:r w:rsidRPr="00EB30A0">
        <w:t xml:space="preserve">functionalities </w:t>
      </w:r>
      <w:r w:rsidR="0042612B">
        <w:t>of</w:t>
      </w:r>
      <w:r w:rsidRPr="00EB30A0">
        <w:t xml:space="preserve"> the </w:t>
      </w:r>
      <w:r w:rsidR="008F38CB">
        <w:t xml:space="preserve">CRIS </w:t>
      </w:r>
      <w:r w:rsidRPr="00EB30A0">
        <w:t xml:space="preserve">decision and contract modules </w:t>
      </w:r>
      <w:r w:rsidR="0042612B">
        <w:t>that are</w:t>
      </w:r>
      <w:r w:rsidR="0042612B" w:rsidRPr="00EB30A0">
        <w:t xml:space="preserve"> non-transferable</w:t>
      </w:r>
      <w:r w:rsidRPr="00EB30A0">
        <w:t xml:space="preserve"> to ABAC. The first reflection </w:t>
      </w:r>
      <w:r w:rsidR="00240BC3">
        <w:t>i</w:t>
      </w:r>
      <w:r w:rsidRPr="00EB30A0">
        <w:t xml:space="preserve">s therefore based on </w:t>
      </w:r>
      <w:r w:rsidR="00240BC3">
        <w:t>the as is situation</w:t>
      </w:r>
      <w:r w:rsidRPr="00EB30A0">
        <w:t xml:space="preserve"> </w:t>
      </w:r>
      <w:r w:rsidR="001C7D5E">
        <w:t>supported by</w:t>
      </w:r>
      <w:r w:rsidRPr="00EB30A0">
        <w:t xml:space="preserve"> CRIS and the main gaps identified </w:t>
      </w:r>
      <w:r w:rsidR="0042612B">
        <w:t>during</w:t>
      </w:r>
      <w:r w:rsidRPr="00EB30A0">
        <w:t xml:space="preserve"> the CRIS ABAC rationalisation exercise. </w:t>
      </w:r>
      <w:r w:rsidR="0042612B">
        <w:t>T</w:t>
      </w:r>
      <w:r w:rsidR="00240BC3">
        <w:t xml:space="preserve">he last project steering committee </w:t>
      </w:r>
      <w:r w:rsidR="0042612B">
        <w:t>on</w:t>
      </w:r>
      <w:r w:rsidR="00240BC3">
        <w:t xml:space="preserve"> CRIS/ABAC Decision and Contract modules</w:t>
      </w:r>
      <w:r w:rsidR="008F38CB">
        <w:rPr>
          <w:rStyle w:val="FootnoteReference"/>
        </w:rPr>
        <w:footnoteReference w:id="1"/>
      </w:r>
      <w:r w:rsidR="0042612B">
        <w:t>,</w:t>
      </w:r>
      <w:r w:rsidR="008F38CB">
        <w:t xml:space="preserve"> decided to</w:t>
      </w:r>
      <w:r w:rsidR="00651BEB">
        <w:t xml:space="preserve"> </w:t>
      </w:r>
      <w:r w:rsidR="00240BC3">
        <w:t xml:space="preserve">select </w:t>
      </w:r>
      <w:r w:rsidR="002E385A">
        <w:t xml:space="preserve">the </w:t>
      </w:r>
      <w:r w:rsidR="00240BC3">
        <w:t>scenario</w:t>
      </w:r>
      <w:r w:rsidR="00651BEB">
        <w:t xml:space="preserve"> </w:t>
      </w:r>
      <w:r w:rsidR="008064FA">
        <w:t>in</w:t>
      </w:r>
      <w:r w:rsidR="002E385A">
        <w:t xml:space="preserve"> which </w:t>
      </w:r>
      <w:r w:rsidR="00651BEB">
        <w:t>ABAC</w:t>
      </w:r>
      <w:r w:rsidR="008064FA">
        <w:t xml:space="preserve"> functionalities </w:t>
      </w:r>
      <w:r w:rsidR="001C7D5E">
        <w:t xml:space="preserve">should not be </w:t>
      </w:r>
      <w:r w:rsidR="008064FA">
        <w:t>replicated elsewhere and</w:t>
      </w:r>
      <w:r w:rsidR="00487D55">
        <w:t xml:space="preserve"> OPSYS </w:t>
      </w:r>
      <w:r w:rsidR="001C7D5E">
        <w:t>should support t</w:t>
      </w:r>
      <w:r w:rsidR="008064FA">
        <w:t xml:space="preserve">he </w:t>
      </w:r>
      <w:r w:rsidR="00487D55">
        <w:t>residual</w:t>
      </w:r>
      <w:r w:rsidR="008064FA">
        <w:t xml:space="preserve"> functional gap</w:t>
      </w:r>
      <w:r w:rsidR="00487D55">
        <w:t xml:space="preserve"> taking into consideration the mitigation of </w:t>
      </w:r>
      <w:r w:rsidR="008064FA">
        <w:t xml:space="preserve">the </w:t>
      </w:r>
      <w:r w:rsidR="00487D55">
        <w:t xml:space="preserve">negative </w:t>
      </w:r>
      <w:r w:rsidR="008064FA">
        <w:t>user experience</w:t>
      </w:r>
      <w:r w:rsidR="00487D55">
        <w:t>.</w:t>
      </w:r>
    </w:p>
    <w:p w:rsidR="0055722A" w:rsidRPr="00EB30A0" w:rsidRDefault="006C0A8F" w:rsidP="00FF3365">
      <w:pPr>
        <w:jc w:val="both"/>
      </w:pPr>
      <w:r>
        <w:t>The issue of the inter-operability between ABAC and OPSYS appears to be a crucial issue.</w:t>
      </w:r>
    </w:p>
    <w:p w:rsidR="00487D55" w:rsidRDefault="00487D55" w:rsidP="00FF3365">
      <w:pPr>
        <w:jc w:val="both"/>
      </w:pPr>
      <w:r>
        <w:t xml:space="preserve">As it is work </w:t>
      </w:r>
      <w:r w:rsidR="008064FA">
        <w:t xml:space="preserve">in </w:t>
      </w:r>
      <w:r>
        <w:t>progress</w:t>
      </w:r>
      <w:r w:rsidR="008064FA">
        <w:t>,</w:t>
      </w:r>
      <w:r>
        <w:t xml:space="preserve"> the task force has structured its reflection around two aspects: the inter-operability between ABAC and OPSYS (what could be the basic principles</w:t>
      </w:r>
      <w:r w:rsidR="00DF7EAF">
        <w:t>, first approach on scope) and a first approach for business needs in order to be able to assess the overall complexity, cost and timing for OPSYS.</w:t>
      </w:r>
    </w:p>
    <w:p w:rsidR="00584DD0" w:rsidRDefault="00584DD0" w:rsidP="00FF3365">
      <w:pPr>
        <w:jc w:val="both"/>
        <w:rPr>
          <w:b/>
          <w:u w:val="single"/>
        </w:rPr>
      </w:pPr>
    </w:p>
    <w:p w:rsidR="00DF7EAF" w:rsidRPr="00CF1DC3" w:rsidRDefault="006C0A8F" w:rsidP="00FF3365">
      <w:pPr>
        <w:jc w:val="both"/>
        <w:rPr>
          <w:b/>
          <w:u w:val="single"/>
        </w:rPr>
      </w:pPr>
      <w:r w:rsidRPr="00CF1DC3">
        <w:rPr>
          <w:b/>
          <w:u w:val="single"/>
        </w:rPr>
        <w:t>Interoperability between ABAC and OPSYS:</w:t>
      </w:r>
    </w:p>
    <w:p w:rsidR="00931040" w:rsidRDefault="008064FA" w:rsidP="00FF3365">
      <w:pPr>
        <w:jc w:val="both"/>
        <w:rPr>
          <w:lang w:val="en-US"/>
        </w:rPr>
      </w:pPr>
      <w:r>
        <w:rPr>
          <w:lang w:val="en-US"/>
        </w:rPr>
        <w:t xml:space="preserve">Currently, </w:t>
      </w:r>
      <w:r w:rsidR="00931040">
        <w:rPr>
          <w:lang w:val="en-US"/>
        </w:rPr>
        <w:t xml:space="preserve">our staff is using </w:t>
      </w:r>
      <w:r w:rsidR="00931040" w:rsidRPr="001C02CC">
        <w:rPr>
          <w:b/>
          <w:lang w:val="en-US"/>
        </w:rPr>
        <w:t>one single system</w:t>
      </w:r>
      <w:r w:rsidR="00931040">
        <w:rPr>
          <w:lang w:val="en-US"/>
        </w:rPr>
        <w:t xml:space="preserve"> (CRIS) and the link with ABAC is made in </w:t>
      </w:r>
      <w:r w:rsidR="00A65B23">
        <w:rPr>
          <w:lang w:val="en-US"/>
        </w:rPr>
        <w:t>background</w:t>
      </w:r>
      <w:r w:rsidR="00931040">
        <w:rPr>
          <w:lang w:val="en-US"/>
        </w:rPr>
        <w:t>, however at a high cost (rigidity for adaptation, maintenance, DG BUDG supervision/audit)</w:t>
      </w:r>
      <w:r w:rsidR="008F38CB">
        <w:rPr>
          <w:rStyle w:val="FootnoteReference"/>
          <w:lang w:val="en-US"/>
        </w:rPr>
        <w:footnoteReference w:id="2"/>
      </w:r>
      <w:r w:rsidR="00931040">
        <w:rPr>
          <w:lang w:val="en-US"/>
        </w:rPr>
        <w:t>.</w:t>
      </w:r>
      <w:r w:rsidR="008F38CB">
        <w:rPr>
          <w:lang w:val="en-US"/>
        </w:rPr>
        <w:t xml:space="preserve">  In a near </w:t>
      </w:r>
      <w:r w:rsidR="00931040">
        <w:rPr>
          <w:lang w:val="en-US"/>
        </w:rPr>
        <w:t>the future</w:t>
      </w:r>
      <w:r w:rsidR="008F38CB">
        <w:rPr>
          <w:lang w:val="en-US"/>
        </w:rPr>
        <w:t>,</w:t>
      </w:r>
      <w:r w:rsidR="00931040">
        <w:rPr>
          <w:lang w:val="en-US"/>
        </w:rPr>
        <w:t xml:space="preserve"> our staff will have to use </w:t>
      </w:r>
      <w:r w:rsidR="00931040" w:rsidRPr="001C02CC">
        <w:rPr>
          <w:b/>
          <w:lang w:val="en-US"/>
        </w:rPr>
        <w:t>two systems</w:t>
      </w:r>
      <w:r w:rsidR="00931040">
        <w:rPr>
          <w:lang w:val="en-US"/>
        </w:rPr>
        <w:t xml:space="preserve"> (ABAC and OPSYS) and the two systems will </w:t>
      </w:r>
      <w:r w:rsidR="001C7D5E">
        <w:rPr>
          <w:lang w:val="en-US"/>
        </w:rPr>
        <w:t xml:space="preserve">necessarily </w:t>
      </w:r>
      <w:r w:rsidR="00931040">
        <w:rPr>
          <w:lang w:val="en-US"/>
        </w:rPr>
        <w:t>have to i</w:t>
      </w:r>
      <w:r w:rsidR="001C7D5E">
        <w:rPr>
          <w:lang w:val="en-US"/>
        </w:rPr>
        <w:t>nteract on a minimum of aspects.</w:t>
      </w:r>
    </w:p>
    <w:p w:rsidR="00931040" w:rsidRDefault="00931040" w:rsidP="00FF3365">
      <w:pPr>
        <w:jc w:val="both"/>
        <w:rPr>
          <w:lang w:val="en-US"/>
        </w:rPr>
      </w:pPr>
      <w:r>
        <w:rPr>
          <w:lang w:val="en-US"/>
        </w:rPr>
        <w:t xml:space="preserve">The </w:t>
      </w:r>
      <w:r w:rsidRPr="00CF1DC3">
        <w:rPr>
          <w:lang w:val="en-US"/>
        </w:rPr>
        <w:t>areas of necessary interface</w:t>
      </w:r>
      <w:r>
        <w:rPr>
          <w:lang w:val="en-US"/>
        </w:rPr>
        <w:t xml:space="preserve"> between OPSYS and ABAC can be grouped in:</w:t>
      </w:r>
    </w:p>
    <w:p w:rsidR="00931040" w:rsidRDefault="00931040" w:rsidP="00FF3365">
      <w:pPr>
        <w:pStyle w:val="ListParagraph"/>
        <w:numPr>
          <w:ilvl w:val="0"/>
          <w:numId w:val="29"/>
        </w:numPr>
        <w:jc w:val="both"/>
        <w:rPr>
          <w:lang w:val="en-US"/>
        </w:rPr>
      </w:pPr>
      <w:r>
        <w:rPr>
          <w:lang w:val="en-US"/>
        </w:rPr>
        <w:lastRenderedPageBreak/>
        <w:t>General information data (dates, title, amount, statistical breakdown), consistency between budgetary commitment and legal commitment (amount, date, title, legal entity for contracts)</w:t>
      </w:r>
    </w:p>
    <w:p w:rsidR="00931040" w:rsidRPr="001C02CC" w:rsidRDefault="00931040" w:rsidP="00FF3365">
      <w:pPr>
        <w:pStyle w:val="ListParagraph"/>
        <w:numPr>
          <w:ilvl w:val="0"/>
          <w:numId w:val="29"/>
        </w:numPr>
        <w:jc w:val="both"/>
        <w:rPr>
          <w:lang w:val="en-US"/>
        </w:rPr>
      </w:pPr>
      <w:r>
        <w:rPr>
          <w:lang w:val="en-US"/>
        </w:rPr>
        <w:t>Analytical breakdowns (decision and contract) and follow up of consumptions</w:t>
      </w:r>
    </w:p>
    <w:p w:rsidR="00931040" w:rsidRDefault="00931040" w:rsidP="00FF3365">
      <w:pPr>
        <w:pStyle w:val="ListParagraph"/>
        <w:numPr>
          <w:ilvl w:val="0"/>
          <w:numId w:val="29"/>
        </w:numPr>
        <w:jc w:val="both"/>
        <w:rPr>
          <w:lang w:val="en-US"/>
        </w:rPr>
      </w:pPr>
      <w:r>
        <w:rPr>
          <w:lang w:val="en-US"/>
        </w:rPr>
        <w:t>Modification and closure of decisions and contract</w:t>
      </w:r>
    </w:p>
    <w:p w:rsidR="00931040" w:rsidRDefault="00931040" w:rsidP="00FF3365">
      <w:pPr>
        <w:pStyle w:val="ListParagraph"/>
        <w:numPr>
          <w:ilvl w:val="0"/>
          <w:numId w:val="29"/>
        </w:numPr>
        <w:jc w:val="both"/>
        <w:rPr>
          <w:lang w:val="en-US"/>
        </w:rPr>
      </w:pPr>
      <w:r>
        <w:rPr>
          <w:lang w:val="en-US"/>
        </w:rPr>
        <w:t>Link with the framework contract, call for proposals and tenders</w:t>
      </w:r>
    </w:p>
    <w:p w:rsidR="00931040" w:rsidRDefault="00931040" w:rsidP="00FF3365">
      <w:pPr>
        <w:jc w:val="both"/>
        <w:rPr>
          <w:lang w:val="en-US"/>
        </w:rPr>
      </w:pPr>
      <w:r>
        <w:rPr>
          <w:lang w:val="en-US"/>
        </w:rPr>
        <w:t>The on-going detailed gap analysis for decision and contract</w:t>
      </w:r>
      <w:r w:rsidR="001C7D5E">
        <w:rPr>
          <w:lang w:val="en-US"/>
        </w:rPr>
        <w:t xml:space="preserve"> conducted by unit R1</w:t>
      </w:r>
      <w:r>
        <w:rPr>
          <w:lang w:val="en-US"/>
        </w:rPr>
        <w:t xml:space="preserve"> (expected for June 2015) may lead to fine tune or complete the above areas.</w:t>
      </w:r>
    </w:p>
    <w:p w:rsidR="00931040" w:rsidRDefault="00931040" w:rsidP="00FF3365">
      <w:pPr>
        <w:jc w:val="both"/>
        <w:rPr>
          <w:lang w:val="en-US"/>
        </w:rPr>
      </w:pPr>
      <w:r>
        <w:rPr>
          <w:lang w:val="en-US"/>
        </w:rPr>
        <w:t xml:space="preserve">In order to clarify the respective scopes </w:t>
      </w:r>
      <w:r w:rsidR="001C7D5E">
        <w:rPr>
          <w:lang w:val="en-US"/>
        </w:rPr>
        <w:t>supported by</w:t>
      </w:r>
      <w:r>
        <w:rPr>
          <w:lang w:val="en-US"/>
        </w:rPr>
        <w:t xml:space="preserve"> ABAC and OPSYS and to </w:t>
      </w:r>
      <w:r w:rsidR="00BA4EA0">
        <w:rPr>
          <w:lang w:val="en-US"/>
        </w:rPr>
        <w:t xml:space="preserve">facilitate </w:t>
      </w:r>
      <w:r>
        <w:rPr>
          <w:lang w:val="en-US"/>
        </w:rPr>
        <w:t xml:space="preserve">further work on the definition of business requirements, it is suggested to </w:t>
      </w:r>
      <w:r w:rsidRPr="00ED787E">
        <w:rPr>
          <w:b/>
          <w:lang w:val="en-US"/>
        </w:rPr>
        <w:t>apply the following principles</w:t>
      </w:r>
      <w:r>
        <w:rPr>
          <w:lang w:val="en-US"/>
        </w:rPr>
        <w:t>:</w:t>
      </w:r>
    </w:p>
    <w:p w:rsidR="007A0101" w:rsidRDefault="00931040" w:rsidP="00FF3365">
      <w:pPr>
        <w:pStyle w:val="ListParagraph"/>
        <w:numPr>
          <w:ilvl w:val="0"/>
          <w:numId w:val="30"/>
        </w:numPr>
        <w:jc w:val="both"/>
        <w:rPr>
          <w:lang w:val="en-US"/>
        </w:rPr>
      </w:pPr>
      <w:r w:rsidRPr="001B7FAB">
        <w:rPr>
          <w:u w:val="single"/>
          <w:lang w:val="en-US"/>
        </w:rPr>
        <w:t>No go and back between the two systems</w:t>
      </w:r>
      <w:r w:rsidR="00174730">
        <w:rPr>
          <w:rStyle w:val="FootnoteReference"/>
          <w:u w:val="single"/>
          <w:lang w:val="en-US"/>
        </w:rPr>
        <w:footnoteReference w:id="3"/>
      </w:r>
    </w:p>
    <w:p w:rsidR="001C7D5E" w:rsidRPr="001C7D5E" w:rsidRDefault="00931040" w:rsidP="00FF3365">
      <w:pPr>
        <w:pStyle w:val="ListParagraph"/>
        <w:numPr>
          <w:ilvl w:val="0"/>
          <w:numId w:val="30"/>
        </w:numPr>
        <w:jc w:val="both"/>
        <w:rPr>
          <w:lang w:val="en-US"/>
        </w:rPr>
      </w:pPr>
      <w:r w:rsidRPr="00174730">
        <w:rPr>
          <w:u w:val="single"/>
          <w:lang w:val="en-US"/>
        </w:rPr>
        <w:t>Operational users should not be obliged to go into two systems</w:t>
      </w:r>
      <w:r>
        <w:rPr>
          <w:lang w:val="en-US"/>
        </w:rPr>
        <w:t xml:space="preserve"> and to encode partly in ABAC, they preferably should not</w:t>
      </w:r>
      <w:r w:rsidR="001C7D5E">
        <w:rPr>
          <w:lang w:val="en-US"/>
        </w:rPr>
        <w:t xml:space="preserve"> use ABAC to grant visas</w:t>
      </w:r>
      <w:r>
        <w:rPr>
          <w:lang w:val="en-US"/>
        </w:rPr>
        <w:t xml:space="preserve"> (except ORDO visa); </w:t>
      </w:r>
      <w:r w:rsidR="00FF3365">
        <w:rPr>
          <w:lang w:val="en-US"/>
        </w:rPr>
        <w:t xml:space="preserve">The same principle is already </w:t>
      </w:r>
      <w:r>
        <w:rPr>
          <w:lang w:val="en-US"/>
        </w:rPr>
        <w:t xml:space="preserve">applied </w:t>
      </w:r>
      <w:r w:rsidR="00FF3365">
        <w:rPr>
          <w:lang w:val="en-US"/>
        </w:rPr>
        <w:t>by DG</w:t>
      </w:r>
      <w:r>
        <w:rPr>
          <w:lang w:val="en-US"/>
        </w:rPr>
        <w:t xml:space="preserve"> ECHO (only financial staff </w:t>
      </w:r>
      <w:r w:rsidR="001C7D5E">
        <w:rPr>
          <w:lang w:val="en-US"/>
        </w:rPr>
        <w:t>uses</w:t>
      </w:r>
      <w:r>
        <w:rPr>
          <w:lang w:val="en-US"/>
        </w:rPr>
        <w:t xml:space="preserve"> ABAC) and </w:t>
      </w:r>
      <w:r w:rsidR="00FF3365">
        <w:rPr>
          <w:lang w:val="en-US"/>
        </w:rPr>
        <w:t xml:space="preserve">by </w:t>
      </w:r>
      <w:r>
        <w:rPr>
          <w:lang w:val="en-US"/>
        </w:rPr>
        <w:t xml:space="preserve">the research family (own </w:t>
      </w:r>
      <w:proofErr w:type="spellStart"/>
      <w:r>
        <w:rPr>
          <w:lang w:val="en-US"/>
        </w:rPr>
        <w:t>webservices</w:t>
      </w:r>
      <w:proofErr w:type="spellEnd"/>
      <w:r w:rsidR="00FF3365">
        <w:rPr>
          <w:rStyle w:val="FootnoteReference"/>
          <w:lang w:val="en-US"/>
        </w:rPr>
        <w:footnoteReference w:id="4"/>
      </w:r>
      <w:r>
        <w:rPr>
          <w:lang w:val="en-US"/>
        </w:rPr>
        <w:t>, however limited in scope, for the SYGMA suite: no</w:t>
      </w:r>
      <w:r w:rsidR="001C7D5E">
        <w:rPr>
          <w:lang w:val="en-US"/>
        </w:rPr>
        <w:t xml:space="preserve"> further</w:t>
      </w:r>
      <w:r>
        <w:rPr>
          <w:lang w:val="en-US"/>
        </w:rPr>
        <w:t xml:space="preserve"> action </w:t>
      </w:r>
      <w:r w:rsidR="001C7D5E">
        <w:rPr>
          <w:lang w:val="en-US"/>
        </w:rPr>
        <w:t xml:space="preserve">than the ORDO visa </w:t>
      </w:r>
      <w:r>
        <w:rPr>
          <w:lang w:val="en-US"/>
        </w:rPr>
        <w:t>in ABAC)</w:t>
      </w:r>
      <w:r w:rsidR="001C7D5E">
        <w:rPr>
          <w:rStyle w:val="FootnoteReference"/>
          <w:lang w:val="en-US"/>
        </w:rPr>
        <w:footnoteReference w:id="5"/>
      </w:r>
      <w:r w:rsidR="00FF3365">
        <w:rPr>
          <w:lang w:val="en-US"/>
        </w:rPr>
        <w:t>.</w:t>
      </w:r>
    </w:p>
    <w:p w:rsidR="00931040" w:rsidRDefault="00931040" w:rsidP="00FF3365">
      <w:pPr>
        <w:pStyle w:val="ListParagraph"/>
        <w:numPr>
          <w:ilvl w:val="0"/>
          <w:numId w:val="30"/>
        </w:numPr>
        <w:jc w:val="both"/>
        <w:rPr>
          <w:lang w:val="en-US"/>
        </w:rPr>
      </w:pPr>
      <w:r w:rsidRPr="001B7FAB">
        <w:rPr>
          <w:u w:val="single"/>
          <w:lang w:val="en-US"/>
        </w:rPr>
        <w:t>No re-encoding</w:t>
      </w:r>
      <w:r>
        <w:rPr>
          <w:lang w:val="en-US"/>
        </w:rPr>
        <w:t>: Re-encoding by financial staff (from OPSYS to ABAC) or by operational staff (from ABAC to OPSYS) should be avoided to the extent possible</w:t>
      </w:r>
    </w:p>
    <w:p w:rsidR="00931040" w:rsidRDefault="00931040" w:rsidP="00FF3365">
      <w:pPr>
        <w:pStyle w:val="ListParagraph"/>
        <w:numPr>
          <w:ilvl w:val="0"/>
          <w:numId w:val="30"/>
        </w:numPr>
        <w:jc w:val="both"/>
        <w:rPr>
          <w:lang w:val="en-US"/>
        </w:rPr>
      </w:pPr>
      <w:r>
        <w:rPr>
          <w:u w:val="single"/>
          <w:lang w:val="en-US"/>
        </w:rPr>
        <w:t xml:space="preserve">No duplication of functionalities between the two systems </w:t>
      </w:r>
      <w:r w:rsidRPr="00931040">
        <w:rPr>
          <w:lang w:val="en-US"/>
        </w:rPr>
        <w:t>(objective of rationalization)</w:t>
      </w:r>
    </w:p>
    <w:p w:rsidR="00641AD2" w:rsidRDefault="00641AD2" w:rsidP="00FF3365">
      <w:pPr>
        <w:pStyle w:val="ListParagraph"/>
        <w:numPr>
          <w:ilvl w:val="0"/>
          <w:numId w:val="30"/>
        </w:numPr>
        <w:spacing w:after="0"/>
        <w:jc w:val="both"/>
        <w:rPr>
          <w:lang w:val="en-US"/>
        </w:rPr>
      </w:pPr>
      <w:r>
        <w:rPr>
          <w:lang w:val="en-US"/>
        </w:rPr>
        <w:t>To minimize the flow of data to be exchanged between the two systems</w:t>
      </w:r>
      <w:bookmarkStart w:id="0" w:name="_GoBack"/>
      <w:bookmarkEnd w:id="0"/>
    </w:p>
    <w:p w:rsidR="00D045F1" w:rsidRDefault="00D045F1" w:rsidP="00FF3365">
      <w:pPr>
        <w:pStyle w:val="ListParagraph"/>
        <w:numPr>
          <w:ilvl w:val="0"/>
          <w:numId w:val="30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To adopt a </w:t>
      </w:r>
      <w:r w:rsidRPr="00D045F1">
        <w:rPr>
          <w:u w:val="single"/>
          <w:lang w:val="en-US"/>
        </w:rPr>
        <w:t>coherent approach easily understandable by users</w:t>
      </w:r>
      <w:r>
        <w:rPr>
          <w:lang w:val="en-US"/>
        </w:rPr>
        <w:t xml:space="preserve">, giving them a "fil </w:t>
      </w:r>
      <w:proofErr w:type="spellStart"/>
      <w:r>
        <w:rPr>
          <w:lang w:val="en-US"/>
        </w:rPr>
        <w:t>conducteur</w:t>
      </w:r>
      <w:proofErr w:type="spellEnd"/>
      <w:r>
        <w:rPr>
          <w:lang w:val="en-US"/>
        </w:rPr>
        <w:t>" when working on financial commitments (</w:t>
      </w:r>
      <w:proofErr w:type="spellStart"/>
      <w:r>
        <w:rPr>
          <w:lang w:val="en-US"/>
        </w:rPr>
        <w:t>ie</w:t>
      </w:r>
      <w:proofErr w:type="spellEnd"/>
      <w:r>
        <w:rPr>
          <w:lang w:val="en-US"/>
        </w:rPr>
        <w:t xml:space="preserve"> budgetary commitments in ABAC and legal commitments in OPSYS, or any similar approach)</w:t>
      </w:r>
    </w:p>
    <w:p w:rsidR="00D045F1" w:rsidRPr="00D71D0D" w:rsidRDefault="00D045F1" w:rsidP="00FF3365">
      <w:pPr>
        <w:pStyle w:val="ListParagraph"/>
        <w:numPr>
          <w:ilvl w:val="0"/>
          <w:numId w:val="30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To preserve a </w:t>
      </w:r>
      <w:r w:rsidRPr="00D045F1">
        <w:rPr>
          <w:u w:val="single"/>
          <w:lang w:val="en-US"/>
        </w:rPr>
        <w:t>clear line of accountability</w:t>
      </w:r>
      <w:r>
        <w:rPr>
          <w:lang w:val="en-US"/>
        </w:rPr>
        <w:t xml:space="preserve"> for operational staff in legal commitment management (by avoiding </w:t>
      </w:r>
      <w:r w:rsidR="00FF733A">
        <w:rPr>
          <w:lang w:val="en-US"/>
        </w:rPr>
        <w:t>an overlap or a dilution of</w:t>
      </w:r>
      <w:r>
        <w:rPr>
          <w:lang w:val="en-US"/>
        </w:rPr>
        <w:t xml:space="preserve"> responsibilities when redefining the roles of actors in ABAC and OPSYS; the primary responsibility for commitments should remain with operational staff – see also the results of the simplification exercise in the visa chain)</w:t>
      </w:r>
    </w:p>
    <w:p w:rsidR="00931040" w:rsidRDefault="00931040" w:rsidP="00FF3365">
      <w:pPr>
        <w:pStyle w:val="ListParagraph"/>
        <w:numPr>
          <w:ilvl w:val="0"/>
          <w:numId w:val="30"/>
        </w:numPr>
        <w:jc w:val="both"/>
        <w:rPr>
          <w:lang w:val="en-US"/>
        </w:rPr>
      </w:pPr>
      <w:r w:rsidRPr="001B7FAB">
        <w:rPr>
          <w:u w:val="single"/>
          <w:lang w:val="en-US"/>
        </w:rPr>
        <w:t>Primary source of data</w:t>
      </w:r>
      <w:r>
        <w:rPr>
          <w:lang w:val="en-US"/>
        </w:rPr>
        <w:t xml:space="preserve">: </w:t>
      </w:r>
      <w:r w:rsidR="00FF733A">
        <w:rPr>
          <w:lang w:val="en-US"/>
        </w:rPr>
        <w:t>t</w:t>
      </w:r>
      <w:r>
        <w:rPr>
          <w:lang w:val="en-US"/>
        </w:rPr>
        <w:t>he primary source of budgetary</w:t>
      </w:r>
      <w:r w:rsidR="00FF733A">
        <w:rPr>
          <w:lang w:val="en-US"/>
        </w:rPr>
        <w:t xml:space="preserve"> and accounting</w:t>
      </w:r>
      <w:r>
        <w:rPr>
          <w:lang w:val="en-US"/>
        </w:rPr>
        <w:t xml:space="preserve"> data is ABAC (financial truth) and the primary source of legal commitment data is OPSYS (with the exception of the legal entity for contracts)</w:t>
      </w:r>
    </w:p>
    <w:p w:rsidR="007A0101" w:rsidRPr="004477C1" w:rsidRDefault="004477C1" w:rsidP="004477C1">
      <w:pPr>
        <w:pStyle w:val="ListParagraph"/>
        <w:numPr>
          <w:ilvl w:val="0"/>
          <w:numId w:val="30"/>
        </w:numPr>
        <w:jc w:val="both"/>
        <w:rPr>
          <w:color w:val="0070C0"/>
          <w:lang w:val="en-US"/>
        </w:rPr>
      </w:pPr>
      <w:r w:rsidRPr="004477C1">
        <w:rPr>
          <w:lang w:val="en-US"/>
        </w:rPr>
        <w:t xml:space="preserve">Make a </w:t>
      </w:r>
      <w:r w:rsidRPr="004477C1">
        <w:rPr>
          <w:u w:val="single"/>
          <w:lang w:val="en-US"/>
        </w:rPr>
        <w:t>distinction</w:t>
      </w:r>
      <w:r w:rsidRPr="004477C1">
        <w:rPr>
          <w:lang w:val="en-US"/>
        </w:rPr>
        <w:t xml:space="preserve"> between the financial transaction and its process, in other words, between input of data </w:t>
      </w:r>
      <w:r>
        <w:rPr>
          <w:lang w:val="en-US"/>
        </w:rPr>
        <w:t xml:space="preserve">(OPSYS) </w:t>
      </w:r>
      <w:r w:rsidRPr="004477C1">
        <w:rPr>
          <w:lang w:val="en-US"/>
        </w:rPr>
        <w:t>and their validation</w:t>
      </w:r>
      <w:r>
        <w:rPr>
          <w:lang w:val="en-US"/>
        </w:rPr>
        <w:t xml:space="preserve"> (ABAC)</w:t>
      </w:r>
      <w:r w:rsidRPr="004477C1">
        <w:rPr>
          <w:lang w:val="en-US"/>
        </w:rPr>
        <w:t xml:space="preserve"> which includes also the budgetary commitment data.</w:t>
      </w:r>
      <w:r w:rsidR="00584DD0" w:rsidRPr="004477C1">
        <w:rPr>
          <w:lang w:val="en-US"/>
        </w:rPr>
        <w:t xml:space="preserve"> In case of modification</w:t>
      </w:r>
      <w:r w:rsidR="00FF733A" w:rsidRPr="004477C1">
        <w:rPr>
          <w:lang w:val="en-US"/>
        </w:rPr>
        <w:t>,</w:t>
      </w:r>
      <w:r w:rsidR="00584DD0" w:rsidRPr="004477C1">
        <w:rPr>
          <w:lang w:val="en-US"/>
        </w:rPr>
        <w:t xml:space="preserve"> a new transaction starts with a provisional status in OPSYS until the circuit is completed in ABAC. Two sub-principles are behind that: to come back to the </w:t>
      </w:r>
      <w:r>
        <w:rPr>
          <w:lang w:val="en-US"/>
        </w:rPr>
        <w:t xml:space="preserve">master data </w:t>
      </w:r>
      <w:r w:rsidR="00584DD0" w:rsidRPr="004477C1">
        <w:rPr>
          <w:lang w:val="en-US"/>
        </w:rPr>
        <w:t xml:space="preserve">when </w:t>
      </w:r>
      <w:r>
        <w:rPr>
          <w:lang w:val="en-US"/>
        </w:rPr>
        <w:t xml:space="preserve">it has to be modified </w:t>
      </w:r>
      <w:r w:rsidR="00584DD0" w:rsidRPr="004477C1">
        <w:rPr>
          <w:lang w:val="en-US"/>
        </w:rPr>
        <w:t>and to keep the memory of successive changes.</w:t>
      </w:r>
    </w:p>
    <w:p w:rsidR="00BA4EA0" w:rsidRPr="00D71D0D" w:rsidRDefault="00BA4EA0" w:rsidP="00FF3365">
      <w:pPr>
        <w:pStyle w:val="ListParagraph"/>
        <w:spacing w:after="0"/>
        <w:jc w:val="both"/>
        <w:rPr>
          <w:lang w:val="en-US"/>
        </w:rPr>
      </w:pPr>
    </w:p>
    <w:p w:rsidR="00931040" w:rsidRPr="00BA4EA0" w:rsidRDefault="00FF3365" w:rsidP="00FF3365">
      <w:pPr>
        <w:ind w:left="360"/>
        <w:jc w:val="both"/>
        <w:rPr>
          <w:lang w:val="en-US"/>
        </w:rPr>
      </w:pPr>
      <w:r>
        <w:rPr>
          <w:lang w:val="en-US"/>
        </w:rPr>
        <w:t>Additionally</w:t>
      </w:r>
      <w:r w:rsidR="00FF733A">
        <w:rPr>
          <w:lang w:val="en-US"/>
        </w:rPr>
        <w:t>,</w:t>
      </w:r>
      <w:r w:rsidR="00BA4EA0" w:rsidRPr="00BA4EA0">
        <w:rPr>
          <w:lang w:val="en-US"/>
        </w:rPr>
        <w:t xml:space="preserve"> a t</w:t>
      </w:r>
      <w:r w:rsidR="00931040" w:rsidRPr="00BA4EA0">
        <w:rPr>
          <w:lang w:val="en-US"/>
        </w:rPr>
        <w:t xml:space="preserve">emporary solution </w:t>
      </w:r>
      <w:r w:rsidR="00BA4EA0">
        <w:rPr>
          <w:lang w:val="en-US"/>
        </w:rPr>
        <w:t xml:space="preserve">might be set up </w:t>
      </w:r>
      <w:r w:rsidR="00931040" w:rsidRPr="00BA4EA0">
        <w:rPr>
          <w:lang w:val="en-US"/>
        </w:rPr>
        <w:t>w</w:t>
      </w:r>
      <w:r>
        <w:rPr>
          <w:lang w:val="en-US"/>
        </w:rPr>
        <w:t xml:space="preserve">aiting for DG BUDG </w:t>
      </w:r>
      <w:proofErr w:type="spellStart"/>
      <w:r>
        <w:rPr>
          <w:lang w:val="en-US"/>
        </w:rPr>
        <w:t>webservices</w:t>
      </w:r>
      <w:proofErr w:type="spellEnd"/>
      <w:r>
        <w:rPr>
          <w:lang w:val="en-US"/>
        </w:rPr>
        <w:t>:</w:t>
      </w:r>
    </w:p>
    <w:p w:rsidR="006C0A8F" w:rsidRPr="00FF3365" w:rsidRDefault="00931040" w:rsidP="00FF3365">
      <w:pPr>
        <w:pStyle w:val="ListParagraph"/>
        <w:numPr>
          <w:ilvl w:val="1"/>
          <w:numId w:val="30"/>
        </w:numPr>
        <w:jc w:val="both"/>
        <w:rPr>
          <w:lang w:val="en-US"/>
        </w:rPr>
      </w:pPr>
      <w:r>
        <w:rPr>
          <w:lang w:val="en-US"/>
        </w:rPr>
        <w:lastRenderedPageBreak/>
        <w:t xml:space="preserve">In the absence of DG BUDG </w:t>
      </w:r>
      <w:proofErr w:type="spellStart"/>
      <w:r>
        <w:rPr>
          <w:lang w:val="en-US"/>
        </w:rPr>
        <w:t>webservices</w:t>
      </w:r>
      <w:proofErr w:type="spellEnd"/>
      <w:r>
        <w:rPr>
          <w:lang w:val="en-US"/>
        </w:rPr>
        <w:t xml:space="preserve"> the interface between the two systems should be limited to </w:t>
      </w:r>
      <w:r w:rsidR="00FF3365">
        <w:rPr>
          <w:lang w:val="en-US"/>
        </w:rPr>
        <w:t>essential</w:t>
      </w:r>
      <w:r>
        <w:rPr>
          <w:lang w:val="en-US"/>
        </w:rPr>
        <w:t xml:space="preserve"> data pushed from ABAC at a reasonable frequency (</w:t>
      </w:r>
      <w:r w:rsidR="00FF733A">
        <w:rPr>
          <w:lang w:val="en-US"/>
        </w:rPr>
        <w:t>to be calculated</w:t>
      </w:r>
      <w:r>
        <w:rPr>
          <w:lang w:val="en-US"/>
        </w:rPr>
        <w:t xml:space="preserve">): amount, date, reference, title for decisions, contracts, invoices, recovery order, </w:t>
      </w:r>
      <w:proofErr w:type="spellStart"/>
      <w:r>
        <w:rPr>
          <w:lang w:val="en-US"/>
        </w:rPr>
        <w:t>decommitments</w:t>
      </w:r>
      <w:proofErr w:type="spellEnd"/>
      <w:r>
        <w:rPr>
          <w:lang w:val="en-US"/>
        </w:rPr>
        <w:t>; legal entity for contracts; (technically no coupling of data anymore, single binding)</w:t>
      </w:r>
    </w:p>
    <w:p w:rsidR="006C0A8F" w:rsidRPr="00CF1DC3" w:rsidRDefault="006C0A8F" w:rsidP="00FF3365">
      <w:pPr>
        <w:jc w:val="both"/>
        <w:rPr>
          <w:b/>
          <w:u w:val="single"/>
        </w:rPr>
      </w:pPr>
      <w:r w:rsidRPr="00CF1DC3">
        <w:rPr>
          <w:b/>
          <w:u w:val="single"/>
        </w:rPr>
        <w:t xml:space="preserve">Temporary </w:t>
      </w:r>
      <w:r w:rsidR="00751FA9" w:rsidRPr="00CF1DC3">
        <w:rPr>
          <w:b/>
          <w:u w:val="single"/>
        </w:rPr>
        <w:t>approach adopted fo</w:t>
      </w:r>
      <w:r w:rsidRPr="00CF1DC3">
        <w:rPr>
          <w:b/>
          <w:u w:val="single"/>
        </w:rPr>
        <w:t>r business needs (</w:t>
      </w:r>
      <w:r w:rsidR="00751FA9" w:rsidRPr="00CF1DC3">
        <w:rPr>
          <w:b/>
          <w:u w:val="single"/>
        </w:rPr>
        <w:t xml:space="preserve">only </w:t>
      </w:r>
      <w:r w:rsidRPr="00CF1DC3">
        <w:rPr>
          <w:b/>
          <w:u w:val="single"/>
        </w:rPr>
        <w:t>for complexity assessment purpose):</w:t>
      </w:r>
    </w:p>
    <w:p w:rsidR="00DF7EAF" w:rsidRDefault="0055722A" w:rsidP="00FF3365">
      <w:pPr>
        <w:jc w:val="both"/>
      </w:pPr>
      <w:r w:rsidRPr="00EB30A0">
        <w:t xml:space="preserve">The reflection has been structured for both commitment </w:t>
      </w:r>
      <w:proofErr w:type="gramStart"/>
      <w:r w:rsidRPr="00EB30A0">
        <w:t>level</w:t>
      </w:r>
      <w:proofErr w:type="gramEnd"/>
      <w:r w:rsidRPr="00EB30A0">
        <w:t xml:space="preserve"> 1 (decision) and commitment level 2 (contracts) around the three group</w:t>
      </w:r>
      <w:r w:rsidR="00FF733A">
        <w:t>s</w:t>
      </w:r>
      <w:r w:rsidRPr="00EB30A0">
        <w:t xml:space="preserve"> of business needs: create a commitment, modify and close or </w:t>
      </w:r>
      <w:proofErr w:type="spellStart"/>
      <w:r w:rsidRPr="00EB30A0">
        <w:t>decommit</w:t>
      </w:r>
      <w:proofErr w:type="spellEnd"/>
      <w:r w:rsidRPr="00EB30A0">
        <w:t>.</w:t>
      </w:r>
      <w:r w:rsidR="00DF7EAF">
        <w:t xml:space="preserve"> </w:t>
      </w:r>
    </w:p>
    <w:p w:rsidR="0055722A" w:rsidRPr="00EB30A0" w:rsidRDefault="00DF7EAF" w:rsidP="00FF3365">
      <w:pPr>
        <w:jc w:val="both"/>
      </w:pPr>
      <w:r w:rsidRPr="00EB30A0">
        <w:t>The impact of the simplification exercise remains to be considered</w:t>
      </w:r>
      <w:r>
        <w:t xml:space="preserve"> (simplification of the visa chain)</w:t>
      </w:r>
      <w:r w:rsidRPr="00EB30A0">
        <w:t>.</w:t>
      </w:r>
    </w:p>
    <w:p w:rsidR="0055722A" w:rsidRPr="00EB30A0" w:rsidRDefault="0055722A" w:rsidP="00FF3365">
      <w:pPr>
        <w:jc w:val="both"/>
      </w:pPr>
      <w:r w:rsidRPr="00EB30A0">
        <w:t>Main identified gaps for financial commitments (what ABAC doesn't offer) are:</w:t>
      </w:r>
    </w:p>
    <w:p w:rsidR="0055722A" w:rsidRPr="00EB30A0" w:rsidRDefault="0055722A" w:rsidP="00FF3365">
      <w:pPr>
        <w:numPr>
          <w:ilvl w:val="0"/>
          <w:numId w:val="27"/>
        </w:numPr>
        <w:contextualSpacing/>
        <w:jc w:val="both"/>
      </w:pPr>
      <w:r w:rsidRPr="00EB30A0">
        <w:t xml:space="preserve">The record of general information </w:t>
      </w:r>
      <w:r w:rsidR="008F38CB">
        <w:t>around</w:t>
      </w:r>
      <w:r w:rsidR="008F38CB" w:rsidRPr="00EB30A0">
        <w:t xml:space="preserve"> </w:t>
      </w:r>
      <w:r w:rsidRPr="00EB30A0">
        <w:t>decision</w:t>
      </w:r>
      <w:r w:rsidR="008F38CB">
        <w:t>s</w:t>
      </w:r>
      <w:r w:rsidRPr="00EB30A0">
        <w:t xml:space="preserve"> and contract</w:t>
      </w:r>
      <w:r w:rsidR="008F38CB">
        <w:t>s</w:t>
      </w:r>
      <w:r w:rsidRPr="00EB30A0">
        <w:t xml:space="preserve"> (with the loss of quality control through business rules), including </w:t>
      </w:r>
      <w:r w:rsidR="008F38CB">
        <w:t>t</w:t>
      </w:r>
      <w:r w:rsidR="008F38CB" w:rsidRPr="00EB30A0">
        <w:t xml:space="preserve">he </w:t>
      </w:r>
      <w:r w:rsidRPr="00EB30A0">
        <w:t>statistical breakdown (see component 8)</w:t>
      </w:r>
    </w:p>
    <w:p w:rsidR="0055722A" w:rsidRPr="00EB30A0" w:rsidRDefault="0055722A" w:rsidP="00FF3365">
      <w:pPr>
        <w:numPr>
          <w:ilvl w:val="0"/>
          <w:numId w:val="27"/>
        </w:numPr>
        <w:contextualSpacing/>
        <w:jc w:val="both"/>
      </w:pPr>
      <w:r w:rsidRPr="00EB30A0">
        <w:t>The record of analytical breakdown and of its consumption (invoices versus contract, contracts versus decision); it includes the decentralised breakdown for DG NEAR</w:t>
      </w:r>
    </w:p>
    <w:p w:rsidR="0055722A" w:rsidRPr="00EB30A0" w:rsidRDefault="0055722A" w:rsidP="00FF3365">
      <w:pPr>
        <w:numPr>
          <w:ilvl w:val="0"/>
          <w:numId w:val="27"/>
        </w:numPr>
        <w:contextualSpacing/>
        <w:jc w:val="both"/>
      </w:pPr>
      <w:r w:rsidRPr="00EB30A0">
        <w:t>The loss of consistency between budgetary and legal commitments</w:t>
      </w:r>
    </w:p>
    <w:p w:rsidR="0055722A" w:rsidRPr="00EB30A0" w:rsidRDefault="0055722A" w:rsidP="00FF3365">
      <w:pPr>
        <w:numPr>
          <w:ilvl w:val="0"/>
          <w:numId w:val="27"/>
        </w:numPr>
        <w:contextualSpacing/>
        <w:jc w:val="both"/>
      </w:pPr>
      <w:r w:rsidRPr="00EB30A0">
        <w:t>Data for reporting (feeding the KPI's, operational data used for official reporting as for the Annual Activity Report, IATI, Annual Accountability Report – see component 9)</w:t>
      </w:r>
    </w:p>
    <w:p w:rsidR="0055722A" w:rsidRPr="00EB30A0" w:rsidRDefault="0055722A" w:rsidP="00FF3365">
      <w:pPr>
        <w:numPr>
          <w:ilvl w:val="0"/>
          <w:numId w:val="27"/>
        </w:numPr>
        <w:contextualSpacing/>
        <w:jc w:val="both"/>
      </w:pPr>
      <w:r w:rsidRPr="00EB30A0">
        <w:t>Rider management (technical riders, closure)</w:t>
      </w:r>
    </w:p>
    <w:p w:rsidR="0055722A" w:rsidRPr="00EB30A0" w:rsidRDefault="0055722A" w:rsidP="00FF3365">
      <w:pPr>
        <w:numPr>
          <w:ilvl w:val="0"/>
          <w:numId w:val="27"/>
        </w:numPr>
        <w:contextualSpacing/>
        <w:jc w:val="both"/>
      </w:pPr>
      <w:r w:rsidRPr="00EB30A0">
        <w:t xml:space="preserve">Tracking of derogations (deviations and prior approval) and </w:t>
      </w:r>
      <w:r w:rsidR="002669A9" w:rsidRPr="00EB30A0">
        <w:t>non-compliance</w:t>
      </w:r>
      <w:r w:rsidRPr="00EB30A0">
        <w:t xml:space="preserve"> events</w:t>
      </w:r>
    </w:p>
    <w:p w:rsidR="0055722A" w:rsidRPr="00EB30A0" w:rsidRDefault="0055722A" w:rsidP="00FF3365">
      <w:pPr>
        <w:numPr>
          <w:ilvl w:val="0"/>
          <w:numId w:val="27"/>
        </w:numPr>
        <w:contextualSpacing/>
        <w:jc w:val="both"/>
      </w:pPr>
      <w:r w:rsidRPr="00EB30A0">
        <w:t xml:space="preserve">Link with framework contracts, calls for proposals and tenders </w:t>
      </w:r>
    </w:p>
    <w:p w:rsidR="0055722A" w:rsidRPr="00EB30A0" w:rsidRDefault="0055722A" w:rsidP="00FF3365">
      <w:pPr>
        <w:jc w:val="both"/>
      </w:pPr>
      <w:r w:rsidRPr="00EB30A0">
        <w:t>The approach for this component is to distinguish the budgetary commitment (ABAC) from the legal commitment (</w:t>
      </w:r>
      <w:r w:rsidR="006C0A8F">
        <w:t xml:space="preserve">ABAC and </w:t>
      </w:r>
      <w:r w:rsidRPr="00EB30A0">
        <w:t>OPSYS), and to start with the three aspects of creation, modification and closure/</w:t>
      </w:r>
      <w:proofErr w:type="spellStart"/>
      <w:r w:rsidRPr="00EB30A0">
        <w:t>decommitment</w:t>
      </w:r>
      <w:proofErr w:type="spellEnd"/>
      <w:r w:rsidRPr="00EB30A0">
        <w:t xml:space="preserve"> as well as with the tracking of derogations. </w:t>
      </w:r>
    </w:p>
    <w:p w:rsidR="0055722A" w:rsidRPr="00EB30A0" w:rsidRDefault="0055722A" w:rsidP="00FF3365">
      <w:pPr>
        <w:jc w:val="both"/>
      </w:pPr>
      <w:r w:rsidRPr="00EB30A0">
        <w:t>Therefore as a first approach business needs to be covered by the new system are as follows:</w:t>
      </w:r>
    </w:p>
    <w:p w:rsidR="0055722A" w:rsidRPr="00EB30A0" w:rsidRDefault="0055722A" w:rsidP="00FF3365">
      <w:pPr>
        <w:numPr>
          <w:ilvl w:val="0"/>
          <w:numId w:val="28"/>
        </w:numPr>
        <w:contextualSpacing/>
        <w:jc w:val="both"/>
      </w:pPr>
      <w:r w:rsidRPr="00EB30A0">
        <w:t xml:space="preserve">Initiation/creation of the legal commitment level 1 along the initiation of the action document, integrating all the necessary operational data (dates, analytical breakdown, geographical and sector tagging, link with a NIP/RIP, …) , regular update along the approval process (QSG, CIS), verification process and validation in close coordination with the budgetary commitment </w:t>
      </w:r>
      <w:r w:rsidR="006C0A8F">
        <w:t xml:space="preserve">aspect </w:t>
      </w:r>
      <w:r w:rsidRPr="00EB30A0">
        <w:t>managed in ABAC, link to the legal document(s) (decision, financing agreement)</w:t>
      </w:r>
    </w:p>
    <w:p w:rsidR="0055722A" w:rsidRPr="00EB30A0" w:rsidRDefault="0055722A" w:rsidP="00FF3365">
      <w:pPr>
        <w:numPr>
          <w:ilvl w:val="0"/>
          <w:numId w:val="28"/>
        </w:numPr>
        <w:contextualSpacing/>
        <w:jc w:val="both"/>
      </w:pPr>
      <w:r w:rsidRPr="00EB30A0">
        <w:t>Modification of the legal commitment level 1 with two sub process with or without a budgetary impact: with a budgetary impact should follow a full process in close coordination with the management of the budgetary amendment (ABAC); without budgetary impact it is about a modification of the legal commitment only (technical or substantial rider)</w:t>
      </w:r>
    </w:p>
    <w:p w:rsidR="0055722A" w:rsidRPr="00EB30A0" w:rsidRDefault="0055722A" w:rsidP="00FF3365">
      <w:pPr>
        <w:numPr>
          <w:ilvl w:val="0"/>
          <w:numId w:val="28"/>
        </w:numPr>
        <w:contextualSpacing/>
        <w:jc w:val="both"/>
      </w:pPr>
      <w:r w:rsidRPr="00EB30A0">
        <w:t xml:space="preserve">Closure or </w:t>
      </w:r>
      <w:proofErr w:type="spellStart"/>
      <w:r w:rsidRPr="00EB30A0">
        <w:t>decommitment</w:t>
      </w:r>
      <w:proofErr w:type="spellEnd"/>
      <w:r w:rsidRPr="00EB30A0">
        <w:t xml:space="preserve"> will follow a similar flow depending on a budgetary impact</w:t>
      </w:r>
    </w:p>
    <w:p w:rsidR="0055722A" w:rsidRPr="00EB30A0" w:rsidRDefault="0055722A" w:rsidP="00FF3365">
      <w:pPr>
        <w:numPr>
          <w:ilvl w:val="0"/>
          <w:numId w:val="28"/>
        </w:numPr>
        <w:contextualSpacing/>
        <w:jc w:val="both"/>
      </w:pPr>
      <w:r w:rsidRPr="00EB30A0">
        <w:t>For commitments level 2 (contracts) the same</w:t>
      </w:r>
      <w:r w:rsidR="002669A9">
        <w:t xml:space="preserve"> reasoning</w:t>
      </w:r>
      <w:r w:rsidRPr="00EB30A0">
        <w:t xml:space="preserve"> applies</w:t>
      </w:r>
    </w:p>
    <w:p w:rsidR="0055722A" w:rsidRPr="00EB30A0" w:rsidRDefault="0055722A" w:rsidP="00FF3365">
      <w:pPr>
        <w:numPr>
          <w:ilvl w:val="0"/>
          <w:numId w:val="28"/>
        </w:numPr>
        <w:contextualSpacing/>
        <w:jc w:val="both"/>
      </w:pPr>
      <w:r w:rsidRPr="00EB30A0">
        <w:t xml:space="preserve">For tracking of derogations: a request for derogation must be made into the system by the operational manager, follow a </w:t>
      </w:r>
      <w:r w:rsidR="002669A9">
        <w:t>financial</w:t>
      </w:r>
      <w:r w:rsidR="002669A9" w:rsidRPr="00EB30A0">
        <w:t xml:space="preserve"> </w:t>
      </w:r>
      <w:r w:rsidRPr="00EB30A0">
        <w:t xml:space="preserve">circuit </w:t>
      </w:r>
      <w:r w:rsidR="002669A9">
        <w:t>including</w:t>
      </w:r>
      <w:r w:rsidR="002669A9" w:rsidRPr="00EB30A0">
        <w:t xml:space="preserve"> </w:t>
      </w:r>
      <w:r w:rsidRPr="00EB30A0">
        <w:t xml:space="preserve">operational and financial aspects, get </w:t>
      </w:r>
      <w:r w:rsidRPr="00EB30A0">
        <w:lastRenderedPageBreak/>
        <w:t>a final decision in delegation or HQ (director or above) level depending on the competent authority, and should be closed, with the link to the supporting document (signed request);</w:t>
      </w:r>
    </w:p>
    <w:p w:rsidR="003421FB" w:rsidRDefault="0055722A" w:rsidP="00FF3365">
      <w:pPr>
        <w:spacing w:after="120"/>
        <w:jc w:val="both"/>
      </w:pPr>
      <w:r w:rsidRPr="00EB30A0">
        <w:t xml:space="preserve">The same must apply for </w:t>
      </w:r>
      <w:r w:rsidR="002669A9" w:rsidRPr="00EB30A0">
        <w:t>non-compliance</w:t>
      </w:r>
      <w:r w:rsidRPr="00EB30A0">
        <w:t xml:space="preserve"> events at the initiative of both financial and operational agents</w:t>
      </w:r>
      <w:r>
        <w:t>.</w:t>
      </w:r>
    </w:p>
    <w:p w:rsidR="00584DD0" w:rsidRDefault="00584DD0" w:rsidP="00FF3365">
      <w:pPr>
        <w:spacing w:after="120"/>
        <w:jc w:val="both"/>
      </w:pPr>
    </w:p>
    <w:p w:rsidR="004438F2" w:rsidRDefault="004438F2" w:rsidP="00FF3365">
      <w:pPr>
        <w:spacing w:after="120"/>
        <w:jc w:val="both"/>
      </w:pPr>
      <w:r>
        <w:t xml:space="preserve">This component has </w:t>
      </w:r>
      <w:r w:rsidR="005B6715">
        <w:t xml:space="preserve">strong </w:t>
      </w:r>
      <w:r>
        <w:t>interactions and overlaps with:</w:t>
      </w:r>
    </w:p>
    <w:p w:rsidR="004438F2" w:rsidRDefault="004438F2" w:rsidP="00FF3365">
      <w:pPr>
        <w:pStyle w:val="ListParagraph"/>
        <w:numPr>
          <w:ilvl w:val="0"/>
          <w:numId w:val="1"/>
        </w:numPr>
        <w:spacing w:after="120"/>
        <w:jc w:val="both"/>
      </w:pPr>
      <w:r w:rsidRPr="001C6B97">
        <w:rPr>
          <w:u w:val="single"/>
        </w:rPr>
        <w:t xml:space="preserve">Component </w:t>
      </w:r>
      <w:r w:rsidR="005B6715">
        <w:rPr>
          <w:u w:val="single"/>
        </w:rPr>
        <w:t>4.</w:t>
      </w:r>
      <w:r w:rsidR="009F5B9E">
        <w:rPr>
          <w:u w:val="single"/>
        </w:rPr>
        <w:t>1</w:t>
      </w:r>
      <w:r>
        <w:t>:</w:t>
      </w:r>
      <w:r w:rsidR="00DD752A">
        <w:t xml:space="preserve"> </w:t>
      </w:r>
      <w:r w:rsidR="00DF07D0">
        <w:t xml:space="preserve">as </w:t>
      </w:r>
      <w:r w:rsidR="009F5B9E">
        <w:t xml:space="preserve">planning of operations </w:t>
      </w:r>
      <w:r w:rsidR="006C0A8F">
        <w:t xml:space="preserve">and time management </w:t>
      </w:r>
      <w:r w:rsidR="009F5B9E">
        <w:t xml:space="preserve">has </w:t>
      </w:r>
      <w:r w:rsidR="009618D3">
        <w:t xml:space="preserve">a direct link </w:t>
      </w:r>
      <w:r w:rsidR="006C0A8F">
        <w:t>the legal commitments preparation, including notifications aspects</w:t>
      </w:r>
    </w:p>
    <w:p w:rsidR="007A4F4C" w:rsidRPr="00367C55" w:rsidRDefault="007A4F4C" w:rsidP="00FF3365">
      <w:pPr>
        <w:pStyle w:val="ListParagraph"/>
        <w:numPr>
          <w:ilvl w:val="0"/>
          <w:numId w:val="1"/>
        </w:numPr>
        <w:spacing w:after="120"/>
        <w:jc w:val="both"/>
      </w:pPr>
      <w:r>
        <w:rPr>
          <w:u w:val="single"/>
        </w:rPr>
        <w:t xml:space="preserve">Component </w:t>
      </w:r>
      <w:r w:rsidR="006C0A8F">
        <w:rPr>
          <w:u w:val="single"/>
        </w:rPr>
        <w:t>6</w:t>
      </w:r>
      <w:r>
        <w:t xml:space="preserve"> </w:t>
      </w:r>
      <w:r w:rsidR="006C0A8F">
        <w:t>(document management)</w:t>
      </w:r>
    </w:p>
    <w:p w:rsidR="009E7895" w:rsidRDefault="009E7895" w:rsidP="00FF3365">
      <w:pPr>
        <w:spacing w:after="120"/>
        <w:jc w:val="both"/>
        <w:rPr>
          <w:u w:val="single"/>
        </w:rPr>
      </w:pPr>
    </w:p>
    <w:p w:rsidR="001274D2" w:rsidRDefault="001274D2" w:rsidP="00FF3365">
      <w:pPr>
        <w:spacing w:after="120"/>
        <w:jc w:val="both"/>
      </w:pPr>
      <w:r>
        <w:rPr>
          <w:u w:val="single"/>
        </w:rPr>
        <w:t xml:space="preserve">DEVCO Processes involved </w:t>
      </w:r>
      <w:r w:rsidRPr="001274D2">
        <w:t xml:space="preserve">in </w:t>
      </w:r>
      <w:r w:rsidR="00111F4D">
        <w:t xml:space="preserve">financial </w:t>
      </w:r>
      <w:r w:rsidR="006C0A8F">
        <w:t>commitment management (operational part)</w:t>
      </w:r>
      <w:r w:rsidRPr="001274D2">
        <w:t>:</w:t>
      </w:r>
    </w:p>
    <w:p w:rsidR="001274D2" w:rsidRDefault="006C0A8F" w:rsidP="00FF3365">
      <w:pPr>
        <w:pStyle w:val="ListParagraph"/>
        <w:numPr>
          <w:ilvl w:val="0"/>
          <w:numId w:val="8"/>
        </w:numPr>
        <w:spacing w:after="120"/>
        <w:jc w:val="both"/>
      </w:pPr>
      <w:r>
        <w:t>P</w:t>
      </w:r>
      <w:r w:rsidR="003D556D">
        <w:t>rogramming</w:t>
      </w:r>
      <w:r>
        <w:t xml:space="preserve"> </w:t>
      </w:r>
      <w:r w:rsidR="00111F4D">
        <w:t xml:space="preserve">and identification/formulation: </w:t>
      </w:r>
      <w:r>
        <w:t>as genesis of commitment level 1</w:t>
      </w:r>
    </w:p>
    <w:p w:rsidR="003D556D" w:rsidRDefault="003D556D" w:rsidP="00FF3365">
      <w:pPr>
        <w:pStyle w:val="ListParagraph"/>
        <w:numPr>
          <w:ilvl w:val="0"/>
          <w:numId w:val="8"/>
        </w:numPr>
        <w:spacing w:after="120"/>
        <w:jc w:val="both"/>
      </w:pPr>
      <w:r>
        <w:t xml:space="preserve">implementation </w:t>
      </w:r>
      <w:r w:rsidR="00111F4D">
        <w:t xml:space="preserve">: for contracts </w:t>
      </w:r>
      <w:r w:rsidR="006C0A8F">
        <w:t>(commitment level 2)</w:t>
      </w:r>
    </w:p>
    <w:p w:rsidR="002C4BE4" w:rsidRDefault="002C4BE4" w:rsidP="00FF3365">
      <w:pPr>
        <w:spacing w:after="120"/>
        <w:jc w:val="both"/>
        <w:rPr>
          <w:u w:val="single"/>
        </w:rPr>
      </w:pPr>
    </w:p>
    <w:p w:rsidR="00310780" w:rsidRPr="002A2A16" w:rsidRDefault="002A2A16" w:rsidP="00FF3365">
      <w:pPr>
        <w:spacing w:after="120"/>
        <w:jc w:val="both"/>
        <w:rPr>
          <w:u w:val="single"/>
        </w:rPr>
      </w:pPr>
      <w:r w:rsidRPr="002A2A16">
        <w:rPr>
          <w:u w:val="single"/>
        </w:rPr>
        <w:t>Next steps:</w:t>
      </w:r>
    </w:p>
    <w:p w:rsidR="00FE610E" w:rsidRDefault="00032E9C" w:rsidP="00FF3365">
      <w:pPr>
        <w:pStyle w:val="ListParagraph"/>
        <w:numPr>
          <w:ilvl w:val="0"/>
          <w:numId w:val="11"/>
        </w:numPr>
        <w:spacing w:after="120"/>
        <w:jc w:val="both"/>
      </w:pPr>
      <w:r>
        <w:t>Further d</w:t>
      </w:r>
      <w:r w:rsidR="003D556D">
        <w:t>iscussion with R1</w:t>
      </w:r>
      <w:r>
        <w:t xml:space="preserve"> </w:t>
      </w:r>
      <w:r w:rsidR="00CF1DC3">
        <w:t xml:space="preserve">team </w:t>
      </w:r>
      <w:r>
        <w:t>and users</w:t>
      </w:r>
    </w:p>
    <w:p w:rsidR="009148FA" w:rsidRDefault="009148FA" w:rsidP="00FF3365">
      <w:pPr>
        <w:pStyle w:val="ListParagraph"/>
        <w:numPr>
          <w:ilvl w:val="0"/>
          <w:numId w:val="11"/>
        </w:numPr>
        <w:spacing w:after="120"/>
        <w:jc w:val="both"/>
      </w:pPr>
      <w:r>
        <w:t>Detailed business requirements</w:t>
      </w:r>
    </w:p>
    <w:sectPr w:rsidR="009148FA" w:rsidSect="00087C2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C2" w:rsidRDefault="001253C2" w:rsidP="00443D97">
      <w:pPr>
        <w:spacing w:after="0" w:line="240" w:lineRule="auto"/>
      </w:pPr>
      <w:r>
        <w:separator/>
      </w:r>
    </w:p>
  </w:endnote>
  <w:endnote w:type="continuationSeparator" w:id="0">
    <w:p w:rsidR="001253C2" w:rsidRDefault="001253C2" w:rsidP="0044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834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53C2" w:rsidRDefault="00F8175B">
        <w:pPr>
          <w:pStyle w:val="Footer"/>
          <w:jc w:val="center"/>
        </w:pPr>
        <w:r>
          <w:fldChar w:fldCharType="begin"/>
        </w:r>
        <w:r w:rsidR="00096208">
          <w:instrText xml:space="preserve"> PAGE   \* MERGEFORMAT </w:instrText>
        </w:r>
        <w:r>
          <w:fldChar w:fldCharType="separate"/>
        </w:r>
        <w:r w:rsidR="00641A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253C2" w:rsidRDefault="001253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C2" w:rsidRDefault="001253C2" w:rsidP="00443D97">
      <w:pPr>
        <w:spacing w:after="0" w:line="240" w:lineRule="auto"/>
      </w:pPr>
      <w:r>
        <w:separator/>
      </w:r>
    </w:p>
  </w:footnote>
  <w:footnote w:type="continuationSeparator" w:id="0">
    <w:p w:rsidR="001253C2" w:rsidRDefault="001253C2" w:rsidP="00443D97">
      <w:pPr>
        <w:spacing w:after="0" w:line="240" w:lineRule="auto"/>
      </w:pPr>
      <w:r>
        <w:continuationSeparator/>
      </w:r>
    </w:p>
  </w:footnote>
  <w:footnote w:id="1">
    <w:p w:rsidR="008F38CB" w:rsidRPr="008F38CB" w:rsidRDefault="008F38CB">
      <w:pPr>
        <w:pStyle w:val="FootnoteText"/>
      </w:pPr>
      <w:r>
        <w:rPr>
          <w:rStyle w:val="FootnoteReference"/>
        </w:rPr>
        <w:footnoteRef/>
      </w:r>
      <w:r>
        <w:t xml:space="preserve"> held on 12 February 2015</w:t>
      </w:r>
    </w:p>
  </w:footnote>
  <w:footnote w:id="2">
    <w:p w:rsidR="008F38CB" w:rsidRPr="008F38CB" w:rsidRDefault="008F38CB">
      <w:pPr>
        <w:pStyle w:val="FootnoteText"/>
      </w:pPr>
      <w:r>
        <w:rPr>
          <w:rStyle w:val="FootnoteReference"/>
        </w:rPr>
        <w:footnoteRef/>
      </w:r>
      <w:r>
        <w:t xml:space="preserve"> Only </w:t>
      </w:r>
      <w:r>
        <w:rPr>
          <w:lang w:val="en-US"/>
        </w:rPr>
        <w:t xml:space="preserve">the ORDO visa is given in ABAC, the others are sent via the interface. </w:t>
      </w:r>
    </w:p>
  </w:footnote>
  <w:footnote w:id="3">
    <w:p w:rsidR="00174730" w:rsidRPr="00174730" w:rsidRDefault="001747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74730">
        <w:t>Already indicated in the conclusions of the CRIS ABAC project steering committee</w:t>
      </w:r>
    </w:p>
  </w:footnote>
  <w:footnote w:id="4">
    <w:p w:rsidR="00FF3365" w:rsidRPr="00FF3365" w:rsidRDefault="00FF33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The same kind of </w:t>
      </w:r>
      <w:proofErr w:type="spellStart"/>
      <w:r>
        <w:rPr>
          <w:lang w:val="en-US"/>
        </w:rPr>
        <w:t>webservices</w:t>
      </w:r>
      <w:proofErr w:type="spellEnd"/>
      <w:r>
        <w:rPr>
          <w:lang w:val="en-US"/>
        </w:rPr>
        <w:t xml:space="preserve"> will be used for the new Audit module, thanks to the Service Oriented Architecture put in place by unit R6</w:t>
      </w:r>
    </w:p>
  </w:footnote>
  <w:footnote w:id="5">
    <w:p w:rsidR="001C7D5E" w:rsidRPr="001C7D5E" w:rsidRDefault="001C7D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expected delivery date: end of June 2015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317"/>
    <w:multiLevelType w:val="hybridMultilevel"/>
    <w:tmpl w:val="71240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C70A8"/>
    <w:multiLevelType w:val="hybridMultilevel"/>
    <w:tmpl w:val="1A1E6AAA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2869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15D94771"/>
    <w:multiLevelType w:val="hybridMultilevel"/>
    <w:tmpl w:val="F61090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A2C24"/>
    <w:multiLevelType w:val="hybridMultilevel"/>
    <w:tmpl w:val="208C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1663D"/>
    <w:multiLevelType w:val="hybridMultilevel"/>
    <w:tmpl w:val="DBD87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45DCE"/>
    <w:multiLevelType w:val="hybridMultilevel"/>
    <w:tmpl w:val="DDF46F58"/>
    <w:lvl w:ilvl="0" w:tplc="1A84B252">
      <w:start w:val="1"/>
      <w:numFmt w:val="decimal"/>
      <w:lvlText w:val="trigger 2.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F2190F"/>
    <w:multiLevelType w:val="hybridMultilevel"/>
    <w:tmpl w:val="C5DC2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428BD"/>
    <w:multiLevelType w:val="hybridMultilevel"/>
    <w:tmpl w:val="4AA054F6"/>
    <w:lvl w:ilvl="0" w:tplc="B7FE37F8">
      <w:start w:val="1"/>
      <w:numFmt w:val="decimal"/>
      <w:lvlText w:val="trigger 3.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37400C"/>
    <w:multiLevelType w:val="hybridMultilevel"/>
    <w:tmpl w:val="775EB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D5DC9"/>
    <w:multiLevelType w:val="hybridMultilevel"/>
    <w:tmpl w:val="F5BCC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46826"/>
    <w:multiLevelType w:val="hybridMultilevel"/>
    <w:tmpl w:val="8DFA2A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02496"/>
    <w:multiLevelType w:val="hybridMultilevel"/>
    <w:tmpl w:val="958ED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E06E4"/>
    <w:multiLevelType w:val="hybridMultilevel"/>
    <w:tmpl w:val="1996E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C0F11"/>
    <w:multiLevelType w:val="hybridMultilevel"/>
    <w:tmpl w:val="81FADE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37FEC"/>
    <w:multiLevelType w:val="hybridMultilevel"/>
    <w:tmpl w:val="98E4CD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E4613"/>
    <w:multiLevelType w:val="hybridMultilevel"/>
    <w:tmpl w:val="FDD474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53690"/>
    <w:multiLevelType w:val="hybridMultilevel"/>
    <w:tmpl w:val="C5DC2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D4232"/>
    <w:multiLevelType w:val="hybridMultilevel"/>
    <w:tmpl w:val="5D0CF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3331E"/>
    <w:multiLevelType w:val="hybridMultilevel"/>
    <w:tmpl w:val="95D45E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8D6095"/>
    <w:multiLevelType w:val="hybridMultilevel"/>
    <w:tmpl w:val="7E841E76"/>
    <w:lvl w:ilvl="0" w:tplc="3D4E2D68">
      <w:start w:val="1"/>
      <w:numFmt w:val="decimal"/>
      <w:lvlText w:val="trigger 1.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4F2EF2"/>
    <w:multiLevelType w:val="hybridMultilevel"/>
    <w:tmpl w:val="5B181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A59C2"/>
    <w:multiLevelType w:val="hybridMultilevel"/>
    <w:tmpl w:val="68B0BD76"/>
    <w:lvl w:ilvl="0" w:tplc="B7FE37F8">
      <w:start w:val="1"/>
      <w:numFmt w:val="decimal"/>
      <w:lvlText w:val="trigger 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12769"/>
    <w:multiLevelType w:val="hybridMultilevel"/>
    <w:tmpl w:val="58F41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C0105"/>
    <w:multiLevelType w:val="hybridMultilevel"/>
    <w:tmpl w:val="7A048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0E377E"/>
    <w:multiLevelType w:val="hybridMultilevel"/>
    <w:tmpl w:val="195E91E8"/>
    <w:lvl w:ilvl="0" w:tplc="13700B2C">
      <w:start w:val="1"/>
      <w:numFmt w:val="decimal"/>
      <w:lvlText w:val="trigger 4.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B41E6B"/>
    <w:multiLevelType w:val="hybridMultilevel"/>
    <w:tmpl w:val="C5DC2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E20663"/>
    <w:multiLevelType w:val="hybridMultilevel"/>
    <w:tmpl w:val="42A2C586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7">
    <w:nsid w:val="77247037"/>
    <w:multiLevelType w:val="hybridMultilevel"/>
    <w:tmpl w:val="569E5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962FC6"/>
    <w:multiLevelType w:val="hybridMultilevel"/>
    <w:tmpl w:val="9F2CC7D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EC4E1C"/>
    <w:multiLevelType w:val="hybridMultilevel"/>
    <w:tmpl w:val="C5DC2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249A0"/>
    <w:multiLevelType w:val="hybridMultilevel"/>
    <w:tmpl w:val="A80EB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12"/>
  </w:num>
  <w:num w:numId="4">
    <w:abstractNumId w:val="16"/>
  </w:num>
  <w:num w:numId="5">
    <w:abstractNumId w:val="6"/>
  </w:num>
  <w:num w:numId="6">
    <w:abstractNumId w:val="29"/>
  </w:num>
  <w:num w:numId="7">
    <w:abstractNumId w:val="17"/>
  </w:num>
  <w:num w:numId="8">
    <w:abstractNumId w:val="4"/>
  </w:num>
  <w:num w:numId="9">
    <w:abstractNumId w:val="26"/>
  </w:num>
  <w:num w:numId="10">
    <w:abstractNumId w:val="27"/>
  </w:num>
  <w:num w:numId="11">
    <w:abstractNumId w:val="10"/>
  </w:num>
  <w:num w:numId="12">
    <w:abstractNumId w:val="28"/>
  </w:num>
  <w:num w:numId="13">
    <w:abstractNumId w:val="9"/>
  </w:num>
  <w:num w:numId="14">
    <w:abstractNumId w:val="25"/>
  </w:num>
  <w:num w:numId="15">
    <w:abstractNumId w:val="19"/>
  </w:num>
  <w:num w:numId="16">
    <w:abstractNumId w:val="5"/>
  </w:num>
  <w:num w:numId="17">
    <w:abstractNumId w:val="21"/>
  </w:num>
  <w:num w:numId="18">
    <w:abstractNumId w:val="7"/>
  </w:num>
  <w:num w:numId="19">
    <w:abstractNumId w:val="24"/>
  </w:num>
  <w:num w:numId="20">
    <w:abstractNumId w:val="8"/>
  </w:num>
  <w:num w:numId="21">
    <w:abstractNumId w:val="13"/>
  </w:num>
  <w:num w:numId="22">
    <w:abstractNumId w:val="2"/>
  </w:num>
  <w:num w:numId="23">
    <w:abstractNumId w:val="18"/>
  </w:num>
  <w:num w:numId="24">
    <w:abstractNumId w:val="11"/>
  </w:num>
  <w:num w:numId="25">
    <w:abstractNumId w:val="22"/>
  </w:num>
  <w:num w:numId="26">
    <w:abstractNumId w:val="0"/>
  </w:num>
  <w:num w:numId="27">
    <w:abstractNumId w:val="23"/>
  </w:num>
  <w:num w:numId="28">
    <w:abstractNumId w:val="20"/>
  </w:num>
  <w:num w:numId="29">
    <w:abstractNumId w:val="14"/>
  </w:num>
  <w:num w:numId="30">
    <w:abstractNumId w:val="1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31EB4"/>
    <w:rsid w:val="000037C7"/>
    <w:rsid w:val="0001213D"/>
    <w:rsid w:val="000144B6"/>
    <w:rsid w:val="000210CC"/>
    <w:rsid w:val="00025BC3"/>
    <w:rsid w:val="00027886"/>
    <w:rsid w:val="00032E9C"/>
    <w:rsid w:val="00033B07"/>
    <w:rsid w:val="00037889"/>
    <w:rsid w:val="000410A5"/>
    <w:rsid w:val="00044E6E"/>
    <w:rsid w:val="000512CE"/>
    <w:rsid w:val="00065E97"/>
    <w:rsid w:val="00077181"/>
    <w:rsid w:val="00082F7D"/>
    <w:rsid w:val="00087C26"/>
    <w:rsid w:val="00094223"/>
    <w:rsid w:val="00096208"/>
    <w:rsid w:val="000A2896"/>
    <w:rsid w:val="000D09BB"/>
    <w:rsid w:val="000F7D2D"/>
    <w:rsid w:val="0010024F"/>
    <w:rsid w:val="00111B88"/>
    <w:rsid w:val="00111F4D"/>
    <w:rsid w:val="00113359"/>
    <w:rsid w:val="001253C2"/>
    <w:rsid w:val="001274D2"/>
    <w:rsid w:val="0013176F"/>
    <w:rsid w:val="00132080"/>
    <w:rsid w:val="00135F4A"/>
    <w:rsid w:val="0013734B"/>
    <w:rsid w:val="00146360"/>
    <w:rsid w:val="00160CBB"/>
    <w:rsid w:val="001676D8"/>
    <w:rsid w:val="00174730"/>
    <w:rsid w:val="00187509"/>
    <w:rsid w:val="001B4263"/>
    <w:rsid w:val="001C6B97"/>
    <w:rsid w:val="001C7D5E"/>
    <w:rsid w:val="001D130C"/>
    <w:rsid w:val="001D7C2F"/>
    <w:rsid w:val="001E7A05"/>
    <w:rsid w:val="001F1B25"/>
    <w:rsid w:val="001F37A5"/>
    <w:rsid w:val="00227560"/>
    <w:rsid w:val="00232A96"/>
    <w:rsid w:val="00240BC3"/>
    <w:rsid w:val="002519C9"/>
    <w:rsid w:val="002630CD"/>
    <w:rsid w:val="00263751"/>
    <w:rsid w:val="002669A9"/>
    <w:rsid w:val="0028421E"/>
    <w:rsid w:val="002A2A16"/>
    <w:rsid w:val="002A2E66"/>
    <w:rsid w:val="002C4BE4"/>
    <w:rsid w:val="002C6BB5"/>
    <w:rsid w:val="002D7E26"/>
    <w:rsid w:val="002E385A"/>
    <w:rsid w:val="00310780"/>
    <w:rsid w:val="003419A4"/>
    <w:rsid w:val="003421FB"/>
    <w:rsid w:val="003429A0"/>
    <w:rsid w:val="0034323C"/>
    <w:rsid w:val="00347E20"/>
    <w:rsid w:val="00354A38"/>
    <w:rsid w:val="00356366"/>
    <w:rsid w:val="00363E39"/>
    <w:rsid w:val="00367C55"/>
    <w:rsid w:val="003813DE"/>
    <w:rsid w:val="00384607"/>
    <w:rsid w:val="003A6D3D"/>
    <w:rsid w:val="003B3533"/>
    <w:rsid w:val="003B6603"/>
    <w:rsid w:val="003C5092"/>
    <w:rsid w:val="003C6557"/>
    <w:rsid w:val="003D1828"/>
    <w:rsid w:val="003D556D"/>
    <w:rsid w:val="003F4B41"/>
    <w:rsid w:val="003F5970"/>
    <w:rsid w:val="004129DF"/>
    <w:rsid w:val="00417AA4"/>
    <w:rsid w:val="00425689"/>
    <w:rsid w:val="0042612B"/>
    <w:rsid w:val="00431C4E"/>
    <w:rsid w:val="00435D6E"/>
    <w:rsid w:val="004438F2"/>
    <w:rsid w:val="00443D97"/>
    <w:rsid w:val="004477C1"/>
    <w:rsid w:val="004506FE"/>
    <w:rsid w:val="0045730B"/>
    <w:rsid w:val="00487D55"/>
    <w:rsid w:val="004A4B83"/>
    <w:rsid w:val="004A56D7"/>
    <w:rsid w:val="004B3C78"/>
    <w:rsid w:val="004B4C35"/>
    <w:rsid w:val="004D2A52"/>
    <w:rsid w:val="004F0948"/>
    <w:rsid w:val="004F690C"/>
    <w:rsid w:val="00506614"/>
    <w:rsid w:val="00507289"/>
    <w:rsid w:val="005279B2"/>
    <w:rsid w:val="00545148"/>
    <w:rsid w:val="00550B3E"/>
    <w:rsid w:val="0055722A"/>
    <w:rsid w:val="0056572C"/>
    <w:rsid w:val="00584DD0"/>
    <w:rsid w:val="00597644"/>
    <w:rsid w:val="005B2B4C"/>
    <w:rsid w:val="005B5F36"/>
    <w:rsid w:val="005B6715"/>
    <w:rsid w:val="005D0969"/>
    <w:rsid w:val="005E6478"/>
    <w:rsid w:val="005F5D9B"/>
    <w:rsid w:val="005F6B91"/>
    <w:rsid w:val="006069B5"/>
    <w:rsid w:val="00611598"/>
    <w:rsid w:val="0062796B"/>
    <w:rsid w:val="00631EB4"/>
    <w:rsid w:val="00641AD2"/>
    <w:rsid w:val="00651BEB"/>
    <w:rsid w:val="00671BD4"/>
    <w:rsid w:val="00691001"/>
    <w:rsid w:val="00696D4D"/>
    <w:rsid w:val="006C0A8F"/>
    <w:rsid w:val="006C4E01"/>
    <w:rsid w:val="006C7635"/>
    <w:rsid w:val="006D0CD8"/>
    <w:rsid w:val="006E6974"/>
    <w:rsid w:val="006F3EB8"/>
    <w:rsid w:val="00722B35"/>
    <w:rsid w:val="0073475F"/>
    <w:rsid w:val="00735492"/>
    <w:rsid w:val="00736070"/>
    <w:rsid w:val="00751FA9"/>
    <w:rsid w:val="007629A2"/>
    <w:rsid w:val="007650A1"/>
    <w:rsid w:val="0076660B"/>
    <w:rsid w:val="0077000E"/>
    <w:rsid w:val="00770AD8"/>
    <w:rsid w:val="007778C9"/>
    <w:rsid w:val="00783DBB"/>
    <w:rsid w:val="00790D22"/>
    <w:rsid w:val="007A0101"/>
    <w:rsid w:val="007A3F8E"/>
    <w:rsid w:val="007A4F4C"/>
    <w:rsid w:val="007B30D7"/>
    <w:rsid w:val="007B4A1D"/>
    <w:rsid w:val="007C498C"/>
    <w:rsid w:val="007C7024"/>
    <w:rsid w:val="007D5069"/>
    <w:rsid w:val="007E17C9"/>
    <w:rsid w:val="007F4778"/>
    <w:rsid w:val="00803A87"/>
    <w:rsid w:val="008064FA"/>
    <w:rsid w:val="00832382"/>
    <w:rsid w:val="00841951"/>
    <w:rsid w:val="00846EC3"/>
    <w:rsid w:val="008525F9"/>
    <w:rsid w:val="0086394F"/>
    <w:rsid w:val="0087171C"/>
    <w:rsid w:val="008747D5"/>
    <w:rsid w:val="008848C8"/>
    <w:rsid w:val="008869C7"/>
    <w:rsid w:val="008B2081"/>
    <w:rsid w:val="008B292E"/>
    <w:rsid w:val="008B4EB2"/>
    <w:rsid w:val="008B671F"/>
    <w:rsid w:val="008C7434"/>
    <w:rsid w:val="008F1D2E"/>
    <w:rsid w:val="008F38CB"/>
    <w:rsid w:val="008F566C"/>
    <w:rsid w:val="00903688"/>
    <w:rsid w:val="009109D8"/>
    <w:rsid w:val="009148FA"/>
    <w:rsid w:val="0092018F"/>
    <w:rsid w:val="00931040"/>
    <w:rsid w:val="009618D3"/>
    <w:rsid w:val="009704D5"/>
    <w:rsid w:val="00970D9E"/>
    <w:rsid w:val="00974902"/>
    <w:rsid w:val="009855FD"/>
    <w:rsid w:val="009B37FE"/>
    <w:rsid w:val="009C426A"/>
    <w:rsid w:val="009D0BDC"/>
    <w:rsid w:val="009E7895"/>
    <w:rsid w:val="009F0C02"/>
    <w:rsid w:val="009F2FB7"/>
    <w:rsid w:val="009F47C0"/>
    <w:rsid w:val="009F5B9E"/>
    <w:rsid w:val="00A0005F"/>
    <w:rsid w:val="00A07CC7"/>
    <w:rsid w:val="00A110AC"/>
    <w:rsid w:val="00A22B14"/>
    <w:rsid w:val="00A3594C"/>
    <w:rsid w:val="00A44535"/>
    <w:rsid w:val="00A453FE"/>
    <w:rsid w:val="00A5254D"/>
    <w:rsid w:val="00A65B23"/>
    <w:rsid w:val="00A70743"/>
    <w:rsid w:val="00A71352"/>
    <w:rsid w:val="00A74615"/>
    <w:rsid w:val="00A8221F"/>
    <w:rsid w:val="00A9093E"/>
    <w:rsid w:val="00AB3063"/>
    <w:rsid w:val="00AB5999"/>
    <w:rsid w:val="00AC1F67"/>
    <w:rsid w:val="00AC29C0"/>
    <w:rsid w:val="00AC2DCE"/>
    <w:rsid w:val="00AC6058"/>
    <w:rsid w:val="00B04470"/>
    <w:rsid w:val="00B05727"/>
    <w:rsid w:val="00B078AF"/>
    <w:rsid w:val="00B15231"/>
    <w:rsid w:val="00B60CFF"/>
    <w:rsid w:val="00B76B07"/>
    <w:rsid w:val="00B91F8D"/>
    <w:rsid w:val="00B96777"/>
    <w:rsid w:val="00BA4EA0"/>
    <w:rsid w:val="00BB6D42"/>
    <w:rsid w:val="00BC17F6"/>
    <w:rsid w:val="00BD1758"/>
    <w:rsid w:val="00BE0CEC"/>
    <w:rsid w:val="00C00FA7"/>
    <w:rsid w:val="00C06F83"/>
    <w:rsid w:val="00C263F3"/>
    <w:rsid w:val="00C276A3"/>
    <w:rsid w:val="00C3761A"/>
    <w:rsid w:val="00C42A3B"/>
    <w:rsid w:val="00C53E2E"/>
    <w:rsid w:val="00C81474"/>
    <w:rsid w:val="00C8583B"/>
    <w:rsid w:val="00C94380"/>
    <w:rsid w:val="00CB3197"/>
    <w:rsid w:val="00CB6BB2"/>
    <w:rsid w:val="00CB7233"/>
    <w:rsid w:val="00CD64B2"/>
    <w:rsid w:val="00CF1DC3"/>
    <w:rsid w:val="00D045F1"/>
    <w:rsid w:val="00D07DC5"/>
    <w:rsid w:val="00D1203F"/>
    <w:rsid w:val="00D12641"/>
    <w:rsid w:val="00D23589"/>
    <w:rsid w:val="00D261AA"/>
    <w:rsid w:val="00D45647"/>
    <w:rsid w:val="00D62D69"/>
    <w:rsid w:val="00D6421A"/>
    <w:rsid w:val="00D66F70"/>
    <w:rsid w:val="00D70E13"/>
    <w:rsid w:val="00D77C22"/>
    <w:rsid w:val="00D77FAB"/>
    <w:rsid w:val="00D83CC8"/>
    <w:rsid w:val="00D87C38"/>
    <w:rsid w:val="00D97017"/>
    <w:rsid w:val="00DA0D28"/>
    <w:rsid w:val="00DA28EA"/>
    <w:rsid w:val="00DA5BED"/>
    <w:rsid w:val="00DC00E0"/>
    <w:rsid w:val="00DC0383"/>
    <w:rsid w:val="00DD752A"/>
    <w:rsid w:val="00DE3942"/>
    <w:rsid w:val="00DE5A20"/>
    <w:rsid w:val="00DF07D0"/>
    <w:rsid w:val="00DF61EF"/>
    <w:rsid w:val="00DF7EAF"/>
    <w:rsid w:val="00E33B1C"/>
    <w:rsid w:val="00E40F3D"/>
    <w:rsid w:val="00E53150"/>
    <w:rsid w:val="00E536D6"/>
    <w:rsid w:val="00E71FF1"/>
    <w:rsid w:val="00E75962"/>
    <w:rsid w:val="00E83F59"/>
    <w:rsid w:val="00E877C0"/>
    <w:rsid w:val="00E87A52"/>
    <w:rsid w:val="00EA13BB"/>
    <w:rsid w:val="00EA43AA"/>
    <w:rsid w:val="00F01C3C"/>
    <w:rsid w:val="00F11CF0"/>
    <w:rsid w:val="00F14FBF"/>
    <w:rsid w:val="00F26BBC"/>
    <w:rsid w:val="00F51479"/>
    <w:rsid w:val="00F62A9D"/>
    <w:rsid w:val="00F75D35"/>
    <w:rsid w:val="00F80367"/>
    <w:rsid w:val="00F8175B"/>
    <w:rsid w:val="00F81789"/>
    <w:rsid w:val="00F82B35"/>
    <w:rsid w:val="00FD3A5C"/>
    <w:rsid w:val="00FE1DEF"/>
    <w:rsid w:val="00FE610E"/>
    <w:rsid w:val="00FE7706"/>
    <w:rsid w:val="00FE7A99"/>
    <w:rsid w:val="00FF3365"/>
    <w:rsid w:val="00FF7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D97"/>
  </w:style>
  <w:style w:type="paragraph" w:styleId="Footer">
    <w:name w:val="footer"/>
    <w:basedOn w:val="Normal"/>
    <w:link w:val="FooterChar"/>
    <w:uiPriority w:val="99"/>
    <w:unhideWhenUsed/>
    <w:rsid w:val="0044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D97"/>
  </w:style>
  <w:style w:type="table" w:styleId="TableGrid">
    <w:name w:val="Table Grid"/>
    <w:basedOn w:val="TableNormal"/>
    <w:uiPriority w:val="59"/>
    <w:rsid w:val="008639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3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B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B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0B3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47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2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D97"/>
  </w:style>
  <w:style w:type="paragraph" w:styleId="Footer">
    <w:name w:val="footer"/>
    <w:basedOn w:val="Normal"/>
    <w:link w:val="FooterChar"/>
    <w:uiPriority w:val="99"/>
    <w:unhideWhenUsed/>
    <w:rsid w:val="0044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D97"/>
  </w:style>
  <w:style w:type="table" w:styleId="TableGrid">
    <w:name w:val="Table Grid"/>
    <w:basedOn w:val="TableNormal"/>
    <w:uiPriority w:val="59"/>
    <w:rsid w:val="008639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3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B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B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0B3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47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150A-37CD-4073-B016-1C37D151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1315</Words>
  <Characters>7501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THIEULIN Denis (DEVCO)</dc:creator>
  <cp:lastModifiedBy>THIEULIN Denis (DEVCO)</cp:lastModifiedBy>
  <cp:revision>8</cp:revision>
  <cp:lastPrinted>2015-03-27T15:10:00Z</cp:lastPrinted>
  <dcterms:created xsi:type="dcterms:W3CDTF">2015-03-27T14:40:00Z</dcterms:created>
  <dcterms:modified xsi:type="dcterms:W3CDTF">2015-03-31T17:39:00Z</dcterms:modified>
</cp:coreProperties>
</file>