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F24" w:rsidRPr="007877E8" w:rsidRDefault="007877E8" w:rsidP="007877E8">
      <w:pPr>
        <w:jc w:val="center"/>
        <w:rPr>
          <w:b/>
          <w:lang w:val="en-US"/>
        </w:rPr>
      </w:pPr>
      <w:r w:rsidRPr="007877E8">
        <w:rPr>
          <w:b/>
          <w:lang w:val="en-US"/>
        </w:rPr>
        <w:t>Annex 7 to the final report « New operational information system »</w:t>
      </w:r>
    </w:p>
    <w:p w:rsidR="007877E8" w:rsidRDefault="007877E8" w:rsidP="007877E8">
      <w:pPr>
        <w:jc w:val="center"/>
        <w:rPr>
          <w:b/>
          <w:lang w:val="en-US"/>
        </w:rPr>
      </w:pPr>
      <w:r w:rsidRPr="007877E8">
        <w:rPr>
          <w:b/>
          <w:lang w:val="en-US"/>
        </w:rPr>
        <w:t xml:space="preserve">Towards a digital transformation </w:t>
      </w:r>
      <w:proofErr w:type="spellStart"/>
      <w:r w:rsidRPr="007877E8">
        <w:rPr>
          <w:b/>
          <w:lang w:val="en-US"/>
        </w:rPr>
        <w:t>programme</w:t>
      </w:r>
      <w:proofErr w:type="spellEnd"/>
    </w:p>
    <w:p w:rsidR="00486E36" w:rsidRPr="007877E8" w:rsidRDefault="00486E36" w:rsidP="007877E8">
      <w:pPr>
        <w:jc w:val="center"/>
        <w:rPr>
          <w:b/>
          <w:lang w:val="en-US"/>
        </w:rPr>
      </w:pPr>
    </w:p>
    <w:p w:rsidR="007877E8" w:rsidRDefault="007877E8" w:rsidP="007877E8">
      <w:pPr>
        <w:spacing w:before="120" w:after="120"/>
        <w:ind w:left="0" w:firstLine="0"/>
        <w:rPr>
          <w:lang w:val="en-US"/>
        </w:rPr>
      </w:pPr>
      <w:r>
        <w:rPr>
          <w:lang w:val="en-US"/>
        </w:rPr>
        <w:t xml:space="preserve">The purpose of this annex is to provide some highlights with regard to a digital transformation </w:t>
      </w:r>
      <w:proofErr w:type="spellStart"/>
      <w:r>
        <w:rPr>
          <w:lang w:val="en-US"/>
        </w:rPr>
        <w:t>programme</w:t>
      </w:r>
      <w:proofErr w:type="spellEnd"/>
      <w:r>
        <w:rPr>
          <w:lang w:val="en-US"/>
        </w:rPr>
        <w:t xml:space="preserve"> recommended by the consultant Gartner: </w:t>
      </w:r>
      <w:r w:rsidR="0062727E">
        <w:rPr>
          <w:lang w:val="en-US"/>
        </w:rPr>
        <w:t>challenge to be addressed</w:t>
      </w:r>
      <w:r>
        <w:rPr>
          <w:lang w:val="en-US"/>
        </w:rPr>
        <w:t>, objectives and recommended methodology.</w:t>
      </w:r>
    </w:p>
    <w:p w:rsidR="007877E8" w:rsidRPr="0062727E" w:rsidRDefault="0062727E" w:rsidP="007877E8">
      <w:pPr>
        <w:spacing w:before="120" w:after="120"/>
        <w:ind w:left="0" w:firstLine="0"/>
        <w:rPr>
          <w:i/>
          <w:lang w:val="en-US"/>
        </w:rPr>
      </w:pPr>
      <w:r w:rsidRPr="0062727E">
        <w:rPr>
          <w:i/>
          <w:lang w:val="en-US"/>
        </w:rPr>
        <w:t>Challenge to be addressed</w:t>
      </w:r>
      <w:r w:rsidR="007877E8" w:rsidRPr="0062727E">
        <w:rPr>
          <w:i/>
          <w:lang w:val="en-US"/>
        </w:rPr>
        <w:t>:</w:t>
      </w:r>
    </w:p>
    <w:p w:rsidR="0062727E" w:rsidRPr="004507FC" w:rsidRDefault="0062727E" w:rsidP="0062727E">
      <w:pPr>
        <w:spacing w:before="86" w:after="0" w:line="240" w:lineRule="auto"/>
        <w:rPr>
          <w:lang w:val="en-US"/>
        </w:rPr>
      </w:pPr>
      <w:r w:rsidRPr="00FD3C65">
        <w:rPr>
          <w:lang w:val="en-US"/>
        </w:rPr>
        <w:t>Gartner Research shows that we stand on the brink of rapid and substantial changes in the workplace, including:</w:t>
      </w:r>
    </w:p>
    <w:p w:rsidR="0062727E" w:rsidRPr="004507FC" w:rsidRDefault="0062727E" w:rsidP="0062727E">
      <w:pPr>
        <w:numPr>
          <w:ilvl w:val="0"/>
          <w:numId w:val="1"/>
        </w:numPr>
        <w:spacing w:before="0" w:after="0" w:line="240" w:lineRule="auto"/>
        <w:contextualSpacing/>
        <w:rPr>
          <w:lang w:val="en-US"/>
        </w:rPr>
      </w:pPr>
      <w:r w:rsidRPr="00FD3C65">
        <w:rPr>
          <w:lang w:val="en-US"/>
        </w:rPr>
        <w:t>A shift from routine, repeatable work patterns to non-routine work</w:t>
      </w:r>
    </w:p>
    <w:p w:rsidR="0062727E" w:rsidRPr="004507FC" w:rsidRDefault="0062727E" w:rsidP="0062727E">
      <w:pPr>
        <w:numPr>
          <w:ilvl w:val="0"/>
          <w:numId w:val="1"/>
        </w:numPr>
        <w:spacing w:before="0" w:after="0" w:line="240" w:lineRule="auto"/>
        <w:contextualSpacing/>
        <w:rPr>
          <w:lang w:val="en-US"/>
        </w:rPr>
      </w:pPr>
      <w:r w:rsidRPr="00FD3C65">
        <w:rPr>
          <w:lang w:val="en-US"/>
        </w:rPr>
        <w:t>A focus on creating a more engaged workforce via HR-led engagement programs</w:t>
      </w:r>
    </w:p>
    <w:p w:rsidR="0062727E" w:rsidRPr="004507FC" w:rsidRDefault="0062727E" w:rsidP="0062727E">
      <w:pPr>
        <w:numPr>
          <w:ilvl w:val="0"/>
          <w:numId w:val="1"/>
        </w:numPr>
        <w:spacing w:before="0" w:after="0" w:line="240" w:lineRule="auto"/>
        <w:contextualSpacing/>
        <w:rPr>
          <w:lang w:val="en-US"/>
        </w:rPr>
      </w:pPr>
      <w:r w:rsidRPr="00FD3C65">
        <w:rPr>
          <w:lang w:val="en-US"/>
        </w:rPr>
        <w:t>New forms of citizen interaction enabled by social networking environments</w:t>
      </w:r>
    </w:p>
    <w:p w:rsidR="0062727E" w:rsidRPr="004507FC" w:rsidRDefault="0062727E" w:rsidP="0062727E">
      <w:pPr>
        <w:numPr>
          <w:ilvl w:val="0"/>
          <w:numId w:val="1"/>
        </w:numPr>
        <w:spacing w:before="0" w:after="0" w:line="240" w:lineRule="auto"/>
        <w:contextualSpacing/>
        <w:rPr>
          <w:lang w:val="en-US"/>
        </w:rPr>
      </w:pPr>
      <w:r w:rsidRPr="004507FC">
        <w:rPr>
          <w:lang w:val="en-US"/>
        </w:rPr>
        <w:t>Accelerating</w:t>
      </w:r>
      <w:r w:rsidRPr="00FD3C65">
        <w:rPr>
          <w:lang w:val="en-US"/>
        </w:rPr>
        <w:t xml:space="preserve"> shadow IT investments</w:t>
      </w:r>
    </w:p>
    <w:p w:rsidR="0062727E" w:rsidRPr="004507FC" w:rsidRDefault="0062727E" w:rsidP="0062727E">
      <w:pPr>
        <w:numPr>
          <w:ilvl w:val="0"/>
          <w:numId w:val="1"/>
        </w:numPr>
        <w:spacing w:before="0" w:after="0" w:line="240" w:lineRule="auto"/>
        <w:contextualSpacing/>
        <w:rPr>
          <w:lang w:val="en-US"/>
        </w:rPr>
      </w:pPr>
      <w:r w:rsidRPr="00FD3C65">
        <w:rPr>
          <w:lang w:val="en-US"/>
        </w:rPr>
        <w:t>Rapidly changing workforce demographics</w:t>
      </w:r>
    </w:p>
    <w:p w:rsidR="0062727E" w:rsidRPr="004507FC" w:rsidRDefault="0062727E" w:rsidP="0062727E">
      <w:pPr>
        <w:numPr>
          <w:ilvl w:val="0"/>
          <w:numId w:val="1"/>
        </w:numPr>
        <w:spacing w:before="0" w:after="0" w:line="240" w:lineRule="auto"/>
        <w:contextualSpacing/>
        <w:rPr>
          <w:lang w:val="en-US"/>
        </w:rPr>
      </w:pPr>
      <w:r w:rsidRPr="00FD3C65">
        <w:rPr>
          <w:lang w:val="en-US"/>
        </w:rPr>
        <w:t>New ways of working, such as crowdsourcing, job sharing and microwork</w:t>
      </w:r>
    </w:p>
    <w:p w:rsidR="0062727E" w:rsidRPr="004507FC" w:rsidRDefault="0062727E" w:rsidP="0062727E">
      <w:pPr>
        <w:numPr>
          <w:ilvl w:val="0"/>
          <w:numId w:val="1"/>
        </w:numPr>
        <w:spacing w:before="0" w:after="0" w:line="240" w:lineRule="auto"/>
        <w:contextualSpacing/>
        <w:rPr>
          <w:lang w:val="en-US"/>
        </w:rPr>
      </w:pPr>
      <w:r w:rsidRPr="00FD3C65">
        <w:rPr>
          <w:lang w:val="en-US"/>
        </w:rPr>
        <w:t>Organizations are getting flatter, requiring more autonomy in the distributed workforce</w:t>
      </w:r>
    </w:p>
    <w:p w:rsidR="0062727E" w:rsidRDefault="0062727E" w:rsidP="0062727E">
      <w:pPr>
        <w:numPr>
          <w:ilvl w:val="0"/>
          <w:numId w:val="1"/>
        </w:numPr>
        <w:spacing w:before="0" w:after="0" w:line="240" w:lineRule="auto"/>
        <w:contextualSpacing/>
        <w:rPr>
          <w:lang w:val="en-US"/>
        </w:rPr>
      </w:pPr>
      <w:r w:rsidRPr="00FD3C65">
        <w:rPr>
          <w:lang w:val="en-US"/>
        </w:rPr>
        <w:t>Workgroups are being extended across different administrations and are increasingly including external resources and partners</w:t>
      </w:r>
    </w:p>
    <w:p w:rsidR="0062727E" w:rsidRDefault="0062727E" w:rsidP="0062727E">
      <w:pPr>
        <w:spacing w:after="0" w:line="240" w:lineRule="auto"/>
        <w:contextualSpacing/>
        <w:rPr>
          <w:lang w:val="en-US"/>
        </w:rPr>
      </w:pPr>
    </w:p>
    <w:p w:rsidR="0062727E" w:rsidRDefault="0062727E" w:rsidP="0062727E">
      <w:pPr>
        <w:spacing w:after="0" w:line="240" w:lineRule="auto"/>
        <w:contextualSpacing/>
        <w:rPr>
          <w:lang w:val="en-US"/>
        </w:rPr>
      </w:pPr>
      <w:r>
        <w:rPr>
          <w:lang w:val="en-US"/>
        </w:rPr>
        <w:t xml:space="preserve">One of the immediate challenges will be to set up the Transformation </w:t>
      </w:r>
      <w:proofErr w:type="spellStart"/>
      <w:r>
        <w:rPr>
          <w:lang w:val="en-US"/>
        </w:rPr>
        <w:t>Programme</w:t>
      </w:r>
      <w:proofErr w:type="spellEnd"/>
      <w:r>
        <w:rPr>
          <w:lang w:val="en-US"/>
        </w:rPr>
        <w:t xml:space="preserve"> Organization.  The team should consist of:</w:t>
      </w:r>
    </w:p>
    <w:p w:rsidR="0062727E" w:rsidRDefault="0062727E" w:rsidP="0062727E">
      <w:pPr>
        <w:numPr>
          <w:ilvl w:val="0"/>
          <w:numId w:val="2"/>
        </w:numPr>
        <w:spacing w:before="0" w:after="0" w:line="240" w:lineRule="auto"/>
        <w:contextualSpacing/>
        <w:rPr>
          <w:lang w:val="en-US"/>
        </w:rPr>
      </w:pPr>
      <w:proofErr w:type="spellStart"/>
      <w:r>
        <w:rPr>
          <w:lang w:val="en-US"/>
        </w:rPr>
        <w:t>Programme</w:t>
      </w:r>
      <w:proofErr w:type="spellEnd"/>
      <w:r>
        <w:rPr>
          <w:lang w:val="en-US"/>
        </w:rPr>
        <w:t xml:space="preserve"> Manager – leading the execution of the change and reporting to the ITSC</w:t>
      </w:r>
    </w:p>
    <w:p w:rsidR="0062727E" w:rsidRDefault="0062727E" w:rsidP="0062727E">
      <w:pPr>
        <w:numPr>
          <w:ilvl w:val="0"/>
          <w:numId w:val="2"/>
        </w:numPr>
        <w:spacing w:before="0" w:after="0" w:line="240" w:lineRule="auto"/>
        <w:contextualSpacing/>
        <w:rPr>
          <w:lang w:val="en-US"/>
        </w:rPr>
      </w:pPr>
      <w:proofErr w:type="spellStart"/>
      <w:r>
        <w:rPr>
          <w:lang w:val="en-US"/>
        </w:rPr>
        <w:t>Programme</w:t>
      </w:r>
      <w:proofErr w:type="spellEnd"/>
      <w:r>
        <w:rPr>
          <w:lang w:val="en-US"/>
        </w:rPr>
        <w:t xml:space="preserve"> Support Team – consisting o</w:t>
      </w:r>
      <w:r w:rsidRPr="00A01083">
        <w:rPr>
          <w:lang w:val="en-US"/>
        </w:rPr>
        <w:t>f</w:t>
      </w:r>
    </w:p>
    <w:p w:rsidR="0062727E" w:rsidRDefault="0062727E" w:rsidP="0062727E">
      <w:pPr>
        <w:numPr>
          <w:ilvl w:val="1"/>
          <w:numId w:val="2"/>
        </w:numPr>
        <w:spacing w:before="0" w:after="0" w:line="240" w:lineRule="auto"/>
        <w:contextualSpacing/>
        <w:rPr>
          <w:lang w:val="en-US"/>
        </w:rPr>
      </w:pPr>
      <w:proofErr w:type="spellStart"/>
      <w:r w:rsidRPr="00A01083">
        <w:rPr>
          <w:lang w:val="en-US"/>
        </w:rPr>
        <w:t>Programme</w:t>
      </w:r>
      <w:proofErr w:type="spellEnd"/>
      <w:r w:rsidRPr="00A01083">
        <w:rPr>
          <w:lang w:val="en-US"/>
        </w:rPr>
        <w:t xml:space="preserve"> </w:t>
      </w:r>
      <w:r>
        <w:rPr>
          <w:lang w:val="en-US"/>
        </w:rPr>
        <w:t>Support</w:t>
      </w:r>
      <w:r w:rsidRPr="00A01083">
        <w:rPr>
          <w:lang w:val="en-US"/>
        </w:rPr>
        <w:t xml:space="preserve"> Office </w:t>
      </w:r>
      <w:proofErr w:type="gramStart"/>
      <w:r>
        <w:rPr>
          <w:lang w:val="en-US"/>
        </w:rPr>
        <w:t>-  to</w:t>
      </w:r>
      <w:proofErr w:type="gramEnd"/>
      <w:r>
        <w:rPr>
          <w:lang w:val="en-US"/>
        </w:rPr>
        <w:t xml:space="preserve"> consolidate planning, tracking </w:t>
      </w:r>
      <w:r w:rsidRPr="00A01083">
        <w:rPr>
          <w:lang w:val="en-US"/>
        </w:rPr>
        <w:t>and reporting</w:t>
      </w:r>
      <w:r>
        <w:rPr>
          <w:lang w:val="en-US"/>
        </w:rPr>
        <w:t xml:space="preserve"> and provide support to the </w:t>
      </w:r>
      <w:proofErr w:type="spellStart"/>
      <w:r>
        <w:rPr>
          <w:lang w:val="en-US"/>
        </w:rPr>
        <w:t>Workstreams</w:t>
      </w:r>
      <w:proofErr w:type="spellEnd"/>
      <w:r>
        <w:rPr>
          <w:lang w:val="en-US"/>
        </w:rPr>
        <w:t xml:space="preserve"> to meet the planning and manage risks. Also responsible for the required HR processes of the </w:t>
      </w:r>
      <w:proofErr w:type="spellStart"/>
      <w:r>
        <w:rPr>
          <w:lang w:val="en-US"/>
        </w:rPr>
        <w:t>Programme</w:t>
      </w:r>
      <w:proofErr w:type="spellEnd"/>
    </w:p>
    <w:p w:rsidR="0062727E" w:rsidRDefault="0062727E" w:rsidP="0062727E">
      <w:pPr>
        <w:numPr>
          <w:ilvl w:val="1"/>
          <w:numId w:val="2"/>
        </w:numPr>
        <w:spacing w:before="0" w:after="0" w:line="240" w:lineRule="auto"/>
        <w:contextualSpacing/>
        <w:rPr>
          <w:lang w:val="en-US"/>
        </w:rPr>
      </w:pPr>
      <w:r>
        <w:rPr>
          <w:lang w:val="en-US"/>
        </w:rPr>
        <w:t xml:space="preserve">Architecture Office – to ensure continued compliance of the solutions to the overall Enterprise Architecture Target, give guidance to the </w:t>
      </w:r>
      <w:proofErr w:type="spellStart"/>
      <w:r>
        <w:rPr>
          <w:lang w:val="en-US"/>
        </w:rPr>
        <w:t>Workstreams</w:t>
      </w:r>
      <w:proofErr w:type="spellEnd"/>
      <w:r>
        <w:rPr>
          <w:lang w:val="en-US"/>
        </w:rPr>
        <w:t xml:space="preserve"> and prepare architectural decisions</w:t>
      </w:r>
    </w:p>
    <w:p w:rsidR="0062727E" w:rsidRDefault="0062727E" w:rsidP="0062727E">
      <w:pPr>
        <w:numPr>
          <w:ilvl w:val="1"/>
          <w:numId w:val="2"/>
        </w:numPr>
        <w:spacing w:before="0" w:after="0" w:line="240" w:lineRule="auto"/>
        <w:contextualSpacing/>
        <w:rPr>
          <w:lang w:val="en-US"/>
        </w:rPr>
      </w:pPr>
      <w:proofErr w:type="spellStart"/>
      <w:r>
        <w:rPr>
          <w:lang w:val="en-US"/>
        </w:rPr>
        <w:t>Programme</w:t>
      </w:r>
      <w:proofErr w:type="spellEnd"/>
      <w:r>
        <w:rPr>
          <w:lang w:val="en-US"/>
        </w:rPr>
        <w:t xml:space="preserve"> Quality Assurance – to ensure the </w:t>
      </w:r>
      <w:proofErr w:type="spellStart"/>
      <w:r>
        <w:rPr>
          <w:lang w:val="en-US"/>
        </w:rPr>
        <w:t>Workstreams</w:t>
      </w:r>
      <w:proofErr w:type="spellEnd"/>
      <w:r>
        <w:rPr>
          <w:lang w:val="en-US"/>
        </w:rPr>
        <w:t xml:space="preserve"> continue to meet the stated quality objectives  </w:t>
      </w:r>
    </w:p>
    <w:p w:rsidR="0062727E" w:rsidRDefault="0062727E" w:rsidP="0062727E">
      <w:pPr>
        <w:numPr>
          <w:ilvl w:val="0"/>
          <w:numId w:val="2"/>
        </w:numPr>
        <w:spacing w:before="0" w:after="0" w:line="240" w:lineRule="auto"/>
        <w:contextualSpacing/>
        <w:rPr>
          <w:lang w:val="en-US"/>
        </w:rPr>
      </w:pPr>
      <w:proofErr w:type="spellStart"/>
      <w:r>
        <w:rPr>
          <w:lang w:val="en-US"/>
        </w:rPr>
        <w:t>Workstream</w:t>
      </w:r>
      <w:proofErr w:type="spellEnd"/>
      <w:r>
        <w:rPr>
          <w:lang w:val="en-US"/>
        </w:rPr>
        <w:t xml:space="preserve"> Teams, each responsible for delivering a Work Package </w:t>
      </w:r>
    </w:p>
    <w:p w:rsidR="0062727E" w:rsidRPr="0062727E" w:rsidRDefault="0062727E" w:rsidP="0062727E">
      <w:pPr>
        <w:numPr>
          <w:ilvl w:val="0"/>
          <w:numId w:val="2"/>
        </w:numPr>
        <w:spacing w:before="0" w:after="0" w:line="240" w:lineRule="auto"/>
        <w:contextualSpacing/>
        <w:rPr>
          <w:lang w:val="en-US"/>
        </w:rPr>
      </w:pPr>
      <w:r w:rsidRPr="00544172">
        <w:rPr>
          <w:lang w:val="en-US"/>
        </w:rPr>
        <w:t xml:space="preserve">Horizontal Teams, responsible for delivering foundation components that will be used by each </w:t>
      </w:r>
      <w:proofErr w:type="spellStart"/>
      <w:r w:rsidRPr="00544172">
        <w:rPr>
          <w:lang w:val="en-US"/>
        </w:rPr>
        <w:t>Workstream</w:t>
      </w:r>
      <w:proofErr w:type="spellEnd"/>
      <w:r w:rsidRPr="00544172">
        <w:rPr>
          <w:lang w:val="en-US"/>
        </w:rPr>
        <w:t>, such as infrastructure (hosting, network etc.), portal, identity and access management etc.</w:t>
      </w:r>
    </w:p>
    <w:p w:rsidR="0062727E" w:rsidRDefault="0062727E" w:rsidP="007877E8">
      <w:pPr>
        <w:spacing w:before="120" w:after="120"/>
        <w:ind w:left="0" w:firstLine="0"/>
        <w:rPr>
          <w:lang w:val="en-US"/>
        </w:rPr>
      </w:pPr>
      <w:r>
        <w:rPr>
          <w:noProof/>
          <w:lang w:val="en-GB" w:eastAsia="en-GB"/>
        </w:rPr>
        <w:lastRenderedPageBreak/>
        <w:drawing>
          <wp:inline distT="0" distB="0" distL="0" distR="0">
            <wp:extent cx="4800600" cy="310261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3102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727E" w:rsidRDefault="0062727E" w:rsidP="0062727E">
      <w:pPr>
        <w:spacing w:after="0" w:line="240" w:lineRule="auto"/>
        <w:contextualSpacing/>
        <w:jc w:val="center"/>
        <w:rPr>
          <w:lang w:val="en-US"/>
        </w:rPr>
      </w:pPr>
      <w:r>
        <w:rPr>
          <w:lang w:val="en-US"/>
        </w:rPr>
        <w:t xml:space="preserve">Figure: </w:t>
      </w:r>
      <w:proofErr w:type="spellStart"/>
      <w:r>
        <w:rPr>
          <w:lang w:val="en-US"/>
        </w:rPr>
        <w:t>Programme</w:t>
      </w:r>
      <w:proofErr w:type="spellEnd"/>
      <w:r>
        <w:rPr>
          <w:lang w:val="en-US"/>
        </w:rPr>
        <w:t xml:space="preserve"> Organization</w:t>
      </w:r>
    </w:p>
    <w:p w:rsidR="0062727E" w:rsidRDefault="0062727E" w:rsidP="007877E8">
      <w:pPr>
        <w:spacing w:before="120" w:after="120"/>
        <w:ind w:left="0" w:firstLine="0"/>
        <w:rPr>
          <w:lang w:val="en-US"/>
        </w:rPr>
      </w:pPr>
    </w:p>
    <w:p w:rsidR="007877E8" w:rsidRPr="004142C0" w:rsidRDefault="007877E8" w:rsidP="007877E8">
      <w:pPr>
        <w:spacing w:before="120" w:after="120"/>
        <w:ind w:left="0" w:firstLine="0"/>
        <w:rPr>
          <w:i/>
          <w:lang w:val="en-US"/>
        </w:rPr>
      </w:pPr>
      <w:r w:rsidRPr="004142C0">
        <w:rPr>
          <w:i/>
          <w:lang w:val="en-US"/>
        </w:rPr>
        <w:t>Objectives:</w:t>
      </w:r>
    </w:p>
    <w:p w:rsidR="0062727E" w:rsidRDefault="004142C0" w:rsidP="007877E8">
      <w:pPr>
        <w:spacing w:before="120" w:after="120"/>
        <w:ind w:left="0" w:firstLine="0"/>
        <w:rPr>
          <w:lang w:val="en-US"/>
        </w:rPr>
      </w:pPr>
      <w:r>
        <w:rPr>
          <w:b/>
          <w:lang w:val="en-US"/>
        </w:rPr>
        <w:t>D</w:t>
      </w:r>
      <w:r w:rsidRPr="004507FC">
        <w:rPr>
          <w:b/>
          <w:lang w:val="en-US"/>
        </w:rPr>
        <w:t xml:space="preserve">efine a Digital Transformation </w:t>
      </w:r>
      <w:proofErr w:type="spellStart"/>
      <w:r w:rsidRPr="004507FC">
        <w:rPr>
          <w:b/>
          <w:lang w:val="en-US"/>
        </w:rPr>
        <w:t>Programme</w:t>
      </w:r>
      <w:proofErr w:type="spellEnd"/>
      <w:r>
        <w:rPr>
          <w:lang w:val="en-US"/>
        </w:rPr>
        <w:t xml:space="preserve"> which besides being responsible of executing changes to Technology (</w:t>
      </w:r>
      <w:proofErr w:type="spellStart"/>
      <w:r>
        <w:rPr>
          <w:lang w:val="en-US"/>
        </w:rPr>
        <w:t>OpSys</w:t>
      </w:r>
      <w:proofErr w:type="spellEnd"/>
      <w:r>
        <w:rPr>
          <w:lang w:val="en-US"/>
        </w:rPr>
        <w:t xml:space="preserve"> systems) also oversees the implementation/changes to Organization, Governance, Pr</w:t>
      </w:r>
      <w:bookmarkStart w:id="0" w:name="_GoBack"/>
      <w:bookmarkEnd w:id="0"/>
      <w:r>
        <w:rPr>
          <w:lang w:val="en-US"/>
        </w:rPr>
        <w:t>ocesses, Information, Metrics and Employee Engagement.</w:t>
      </w:r>
    </w:p>
    <w:p w:rsidR="004142C0" w:rsidRDefault="004142C0" w:rsidP="007877E8">
      <w:pPr>
        <w:spacing w:before="120" w:after="120"/>
        <w:ind w:left="0" w:firstLine="0"/>
        <w:rPr>
          <w:lang w:val="en-US"/>
        </w:rPr>
      </w:pPr>
    </w:p>
    <w:p w:rsidR="007877E8" w:rsidRPr="004142C0" w:rsidRDefault="007877E8" w:rsidP="007877E8">
      <w:pPr>
        <w:spacing w:before="120" w:after="120"/>
        <w:ind w:left="0" w:firstLine="0"/>
        <w:rPr>
          <w:i/>
          <w:lang w:val="en-US"/>
        </w:rPr>
      </w:pPr>
      <w:r w:rsidRPr="004142C0">
        <w:rPr>
          <w:i/>
          <w:lang w:val="en-US"/>
        </w:rPr>
        <w:t>Recommended methodology:</w:t>
      </w:r>
    </w:p>
    <w:p w:rsidR="004142C0" w:rsidRPr="009E7F02" w:rsidRDefault="004142C0" w:rsidP="006F19D0">
      <w:pPr>
        <w:spacing w:before="0" w:after="120"/>
        <w:ind w:firstLine="0"/>
        <w:rPr>
          <w:lang w:val="en-US"/>
        </w:rPr>
      </w:pPr>
      <w:proofErr w:type="gramStart"/>
      <w:r w:rsidRPr="004142C0">
        <w:rPr>
          <w:lang w:val="en-US"/>
        </w:rPr>
        <w:t xml:space="preserve">To leverage Gartner’s Digital Workplace framework to shape the </w:t>
      </w:r>
      <w:proofErr w:type="spellStart"/>
      <w:r w:rsidRPr="004142C0">
        <w:rPr>
          <w:lang w:val="en-US"/>
        </w:rPr>
        <w:t>Programme</w:t>
      </w:r>
      <w:proofErr w:type="spellEnd"/>
      <w:r w:rsidRPr="004142C0">
        <w:rPr>
          <w:lang w:val="en-US"/>
        </w:rPr>
        <w:t xml:space="preserve"> to implement the new operational system (see figure </w:t>
      </w:r>
      <w:r>
        <w:rPr>
          <w:lang w:val="en-US"/>
        </w:rPr>
        <w:t>below</w:t>
      </w:r>
      <w:r w:rsidRPr="004142C0">
        <w:rPr>
          <w:lang w:val="en-US"/>
        </w:rPr>
        <w:t>).</w:t>
      </w:r>
      <w:proofErr w:type="gramEnd"/>
    </w:p>
    <w:p w:rsidR="004142C0" w:rsidRDefault="004142C0" w:rsidP="004142C0">
      <w:pPr>
        <w:jc w:val="center"/>
      </w:pPr>
      <w:r>
        <w:rPr>
          <w:noProof/>
          <w:lang w:val="en-GB" w:eastAsia="en-GB"/>
        </w:rPr>
        <w:drawing>
          <wp:inline distT="0" distB="0" distL="0" distR="0">
            <wp:extent cx="3646805" cy="2459990"/>
            <wp:effectExtent l="1905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6805" cy="2459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727E" w:rsidRPr="007877E8" w:rsidRDefault="004142C0" w:rsidP="004142C0">
      <w:pPr>
        <w:spacing w:before="0" w:after="120"/>
        <w:ind w:left="1440" w:firstLine="720"/>
        <w:rPr>
          <w:lang w:val="en-US"/>
        </w:rPr>
      </w:pPr>
      <w:r w:rsidRPr="004142C0">
        <w:rPr>
          <w:lang w:val="en-US"/>
        </w:rPr>
        <w:t>Figure: Gartner Digital Workplace Framework</w:t>
      </w:r>
    </w:p>
    <w:sectPr w:rsidR="0062727E" w:rsidRPr="007877E8" w:rsidSect="00674F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A2DE3"/>
    <w:multiLevelType w:val="hybridMultilevel"/>
    <w:tmpl w:val="199E07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0C3EB4"/>
    <w:multiLevelType w:val="hybridMultilevel"/>
    <w:tmpl w:val="5F28085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3CBC8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F181D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ECE4D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91E6ED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3B6AD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E659B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42EFD7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92DC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4167BB5"/>
    <w:multiLevelType w:val="hybridMultilevel"/>
    <w:tmpl w:val="5FF835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E517F"/>
    <w:rsid w:val="0010125A"/>
    <w:rsid w:val="004142C0"/>
    <w:rsid w:val="00486E36"/>
    <w:rsid w:val="0062727E"/>
    <w:rsid w:val="00674F24"/>
    <w:rsid w:val="006F19D0"/>
    <w:rsid w:val="007877E8"/>
    <w:rsid w:val="008E517F"/>
    <w:rsid w:val="00AC467F"/>
    <w:rsid w:val="00F7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before="480" w:after="240" w:line="276" w:lineRule="auto"/>
        <w:ind w:left="35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F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727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2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381</Words>
  <Characters>2177</Characters>
  <Application>Microsoft Office Word</Application>
  <DocSecurity>0</DocSecurity>
  <Lines>18</Lines>
  <Paragraphs>5</Paragraphs>
  <ScaleCrop>false</ScaleCrop>
  <Company/>
  <LinksUpToDate>false</LinksUpToDate>
  <CharactersWithSpaces>2553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THIEULIN</dc:creator>
  <cp:lastModifiedBy>THIEULIN Denis (DEVCO)</cp:lastModifiedBy>
  <cp:revision>6</cp:revision>
  <dcterms:created xsi:type="dcterms:W3CDTF">2015-03-30T20:53:00Z</dcterms:created>
  <dcterms:modified xsi:type="dcterms:W3CDTF">2015-04-16T08:07:00Z</dcterms:modified>
</cp:coreProperties>
</file>