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2AF" w:rsidRPr="00B00EB9" w:rsidRDefault="001612AF" w:rsidP="001612AF">
      <w:pPr>
        <w:pStyle w:val="BodyText"/>
        <w:jc w:val="center"/>
        <w:rPr>
          <w:b/>
          <w:bCs/>
          <w:sz w:val="44"/>
          <w:szCs w:val="36"/>
          <w:lang w:val="en-GB"/>
        </w:rPr>
      </w:pPr>
      <w:bookmarkStart w:id="0" w:name="_Toc254346178"/>
      <w:r w:rsidRPr="00B00EB9">
        <w:rPr>
          <w:b/>
          <w:bCs/>
          <w:sz w:val="44"/>
          <w:szCs w:val="36"/>
          <w:lang w:val="en-GB"/>
        </w:rPr>
        <w:t>STRENGTHENING CAPACITY IN STRATEGIC FINANCIAL PLANNING FOR THE WATER SU</w:t>
      </w:r>
      <w:smartTag w:uri="urn:schemas-microsoft-com:office:smarttags" w:element="stockticker">
        <w:r w:rsidRPr="00B00EB9">
          <w:rPr>
            <w:b/>
            <w:bCs/>
            <w:sz w:val="44"/>
            <w:szCs w:val="36"/>
            <w:lang w:val="en-GB"/>
          </w:rPr>
          <w:t>PPL</w:t>
        </w:r>
      </w:smartTag>
      <w:r w:rsidRPr="00B00EB9">
        <w:rPr>
          <w:b/>
          <w:bCs/>
          <w:sz w:val="44"/>
          <w:szCs w:val="36"/>
          <w:lang w:val="en-GB"/>
        </w:rPr>
        <w:t>Y AND SANITATION SECTOR IN LESOTHO</w:t>
      </w:r>
    </w:p>
    <w:p w:rsidR="001612AF" w:rsidRPr="00B00EB9" w:rsidRDefault="001612AF" w:rsidP="001612AF">
      <w:pPr>
        <w:pStyle w:val="BodyText"/>
        <w:jc w:val="center"/>
        <w:rPr>
          <w:b/>
          <w:bCs/>
          <w:sz w:val="36"/>
          <w:szCs w:val="36"/>
          <w:lang w:val="en-GB"/>
        </w:rPr>
      </w:pPr>
    </w:p>
    <w:p w:rsidR="001612AF" w:rsidRPr="00B00EB9" w:rsidRDefault="001612AF" w:rsidP="001612AF">
      <w:pPr>
        <w:pStyle w:val="BodyText"/>
        <w:jc w:val="center"/>
        <w:rPr>
          <w:b/>
          <w:bCs/>
          <w:sz w:val="28"/>
          <w:szCs w:val="36"/>
          <w:lang w:val="en-GB"/>
        </w:rPr>
      </w:pPr>
    </w:p>
    <w:p w:rsidR="00CE358F" w:rsidRPr="00B00EB9" w:rsidRDefault="00CE358F" w:rsidP="001612AF">
      <w:pPr>
        <w:pStyle w:val="Heading1"/>
        <w:numPr>
          <w:ilvl w:val="0"/>
          <w:numId w:val="0"/>
        </w:numPr>
        <w:ind w:left="432"/>
      </w:pPr>
      <w:r w:rsidRPr="00B00EB9">
        <w:t>EXECUTIVE SUMMARY</w:t>
      </w:r>
      <w:bookmarkEnd w:id="0"/>
    </w:p>
    <w:p w:rsidR="00CE358F" w:rsidRPr="00B00EB9" w:rsidRDefault="00CE358F" w:rsidP="00CE358F">
      <w:pPr>
        <w:jc w:val="both"/>
        <w:rPr>
          <w:sz w:val="22"/>
        </w:rPr>
      </w:pPr>
    </w:p>
    <w:p w:rsidR="00CE358F" w:rsidRPr="00B00EB9" w:rsidRDefault="00CE358F" w:rsidP="00CE358F">
      <w:pPr>
        <w:keepNext/>
        <w:jc w:val="both"/>
        <w:rPr>
          <w:b/>
        </w:rPr>
      </w:pPr>
      <w:r w:rsidRPr="00B00EB9">
        <w:rPr>
          <w:b/>
        </w:rPr>
        <w:t>Purpose and objectives</w:t>
      </w:r>
    </w:p>
    <w:p w:rsidR="00CE358F" w:rsidRPr="00B00EB9" w:rsidRDefault="00CE358F" w:rsidP="00CE358F">
      <w:pPr>
        <w:jc w:val="both"/>
        <w:rPr>
          <w:sz w:val="22"/>
        </w:rPr>
      </w:pPr>
      <w:r w:rsidRPr="00B00EB9">
        <w:rPr>
          <w:sz w:val="22"/>
        </w:rPr>
        <w:t>The Ministry of Natural Resources and its office of the Commissioner for Water in partnership with the Ministry of Finance and Development Planning and other stakeholders have launched an initi</w:t>
      </w:r>
      <w:r w:rsidRPr="00B00EB9">
        <w:rPr>
          <w:sz w:val="22"/>
        </w:rPr>
        <w:t>a</w:t>
      </w:r>
      <w:r w:rsidRPr="00B00EB9">
        <w:rPr>
          <w:sz w:val="22"/>
        </w:rPr>
        <w:t xml:space="preserve">tive to strengthen the strategic financial planning in the water sector. This initiative is supported by the </w:t>
      </w:r>
      <w:r w:rsidRPr="00B00EB9">
        <w:rPr>
          <w:color w:val="000000"/>
          <w:sz w:val="22"/>
        </w:rPr>
        <w:t>Organization for Economic Cooperation and Development</w:t>
      </w:r>
      <w:r w:rsidRPr="00B00EB9">
        <w:rPr>
          <w:sz w:val="22"/>
        </w:rPr>
        <w:t xml:space="preserve"> (OECD) and </w:t>
      </w:r>
      <w:r w:rsidRPr="00B00EB9">
        <w:rPr>
          <w:color w:val="000000"/>
          <w:sz w:val="22"/>
        </w:rPr>
        <w:t xml:space="preserve">European Union Water Initiative/ </w:t>
      </w:r>
      <w:r w:rsidRPr="00B00EB9">
        <w:rPr>
          <w:sz w:val="22"/>
        </w:rPr>
        <w:t>Finance Working Group.</w:t>
      </w:r>
    </w:p>
    <w:p w:rsidR="00CE358F" w:rsidRPr="00B00EB9" w:rsidRDefault="00CE358F" w:rsidP="00CE358F">
      <w:pPr>
        <w:jc w:val="both"/>
        <w:rPr>
          <w:sz w:val="22"/>
        </w:rPr>
      </w:pPr>
      <w:r w:rsidRPr="00B00EB9">
        <w:rPr>
          <w:sz w:val="22"/>
        </w:rPr>
        <w:t>A strategic approach to financial planning will strengthen the SWA</w:t>
      </w:r>
      <w:r>
        <w:rPr>
          <w:sz w:val="22"/>
        </w:rPr>
        <w:t>P</w:t>
      </w:r>
      <w:r w:rsidRPr="00B00EB9">
        <w:rPr>
          <w:sz w:val="22"/>
        </w:rPr>
        <w:t xml:space="preserve"> in the sector by: </w:t>
      </w:r>
    </w:p>
    <w:p w:rsidR="00CE358F" w:rsidRPr="00B00EB9" w:rsidRDefault="00CE358F" w:rsidP="00CE358F">
      <w:pPr>
        <w:numPr>
          <w:ilvl w:val="0"/>
          <w:numId w:val="5"/>
        </w:numPr>
        <w:spacing w:before="0" w:after="0"/>
        <w:jc w:val="both"/>
        <w:rPr>
          <w:sz w:val="22"/>
        </w:rPr>
      </w:pPr>
      <w:r w:rsidRPr="00B00EB9">
        <w:rPr>
          <w:sz w:val="22"/>
        </w:rPr>
        <w:t>Providing a transparent and long-term overview of the overall financial needs of the Lesotho w</w:t>
      </w:r>
      <w:r w:rsidRPr="00B00EB9">
        <w:rPr>
          <w:sz w:val="22"/>
        </w:rPr>
        <w:t>a</w:t>
      </w:r>
      <w:r w:rsidRPr="00B00EB9">
        <w:rPr>
          <w:sz w:val="22"/>
        </w:rPr>
        <w:t>ter sector to meet targets which will bring Lesotho closer to MDGs</w:t>
      </w:r>
    </w:p>
    <w:p w:rsidR="00CE358F" w:rsidRPr="00B00EB9" w:rsidRDefault="00CE358F" w:rsidP="00CE358F">
      <w:pPr>
        <w:numPr>
          <w:ilvl w:val="0"/>
          <w:numId w:val="5"/>
        </w:numPr>
        <w:spacing w:before="0" w:after="0"/>
        <w:jc w:val="both"/>
        <w:rPr>
          <w:sz w:val="22"/>
        </w:rPr>
      </w:pPr>
      <w:r w:rsidRPr="00B00EB9">
        <w:rPr>
          <w:sz w:val="22"/>
        </w:rPr>
        <w:t>Developing tools to enable the sector to better manage any financial gaps through policy di</w:t>
      </w:r>
      <w:r w:rsidRPr="00B00EB9">
        <w:rPr>
          <w:sz w:val="22"/>
        </w:rPr>
        <w:t>a</w:t>
      </w:r>
      <w:r w:rsidRPr="00B00EB9">
        <w:rPr>
          <w:sz w:val="22"/>
        </w:rPr>
        <w:t>logue on sector strategies</w:t>
      </w:r>
    </w:p>
    <w:p w:rsidR="00CE358F" w:rsidRPr="00B00EB9" w:rsidRDefault="00CE358F" w:rsidP="00CE358F">
      <w:pPr>
        <w:numPr>
          <w:ilvl w:val="0"/>
          <w:numId w:val="5"/>
        </w:numPr>
        <w:spacing w:before="0" w:after="0"/>
        <w:jc w:val="both"/>
        <w:rPr>
          <w:sz w:val="22"/>
        </w:rPr>
      </w:pPr>
      <w:r w:rsidRPr="00B00EB9">
        <w:rPr>
          <w:sz w:val="22"/>
        </w:rPr>
        <w:t xml:space="preserve">Embedding the planning tools and methods into the sector financial planning routines closely linked to the MTEF process. </w:t>
      </w:r>
    </w:p>
    <w:p w:rsidR="00CE358F" w:rsidRPr="00B00EB9" w:rsidRDefault="00CE358F" w:rsidP="00CE358F">
      <w:pPr>
        <w:jc w:val="both"/>
        <w:rPr>
          <w:sz w:val="22"/>
        </w:rPr>
      </w:pPr>
      <w:r w:rsidRPr="00B00EB9">
        <w:rPr>
          <w:sz w:val="22"/>
        </w:rPr>
        <w:t>At the same time these efforts will contribute to global efforts to develop generic tools for strategic financial planning by testing tools such as FEASIBLE and will also test paradigms for country sp</w:t>
      </w:r>
      <w:r w:rsidRPr="00B00EB9">
        <w:rPr>
          <w:sz w:val="22"/>
        </w:rPr>
        <w:t>e</w:t>
      </w:r>
      <w:r w:rsidRPr="00B00EB9">
        <w:rPr>
          <w:sz w:val="22"/>
        </w:rPr>
        <w:t>cific tools.</w:t>
      </w:r>
    </w:p>
    <w:p w:rsidR="00CE358F" w:rsidRPr="00B00EB9" w:rsidRDefault="00CE358F" w:rsidP="00CE358F">
      <w:pPr>
        <w:jc w:val="both"/>
        <w:rPr>
          <w:sz w:val="22"/>
        </w:rPr>
      </w:pPr>
      <w:r w:rsidRPr="00B00EB9">
        <w:rPr>
          <w:noProof/>
          <w:sz w:val="22"/>
          <w:lang w:eastAsia="en-GB"/>
        </w:rPr>
        <w:drawing>
          <wp:anchor distT="0" distB="0" distL="114300" distR="114300" simplePos="0" relativeHeight="251660288" behindDoc="0" locked="0" layoutInCell="1" allowOverlap="1">
            <wp:simplePos x="0" y="0"/>
            <wp:positionH relativeFrom="column">
              <wp:align>right</wp:align>
            </wp:positionH>
            <wp:positionV relativeFrom="paragraph">
              <wp:posOffset>417195</wp:posOffset>
            </wp:positionV>
            <wp:extent cx="3831590" cy="2850515"/>
            <wp:effectExtent l="1905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3831590" cy="2850515"/>
                    </a:xfrm>
                    <a:prstGeom prst="rect">
                      <a:avLst/>
                    </a:prstGeom>
                    <a:noFill/>
                    <a:ln w="9525">
                      <a:noFill/>
                      <a:miter lim="800000"/>
                      <a:headEnd/>
                      <a:tailEnd/>
                    </a:ln>
                  </pic:spPr>
                </pic:pic>
              </a:graphicData>
            </a:graphic>
          </wp:anchor>
        </w:drawing>
      </w:r>
      <w:r w:rsidRPr="00B00EB9">
        <w:rPr>
          <w:sz w:val="22"/>
        </w:rPr>
        <w:t>The Financing strategy methodology is outline in the diagram below.  The existing facilities and the targets combined with overall macro-economic forecast leads to an expenditure forecast. The sources of potential finance and the rules governing public tran</w:t>
      </w:r>
      <w:r w:rsidRPr="00B00EB9">
        <w:rPr>
          <w:sz w:val="22"/>
        </w:rPr>
        <w:t>s</w:t>
      </w:r>
      <w:r w:rsidRPr="00B00EB9">
        <w:rPr>
          <w:sz w:val="22"/>
        </w:rPr>
        <w:t>fers and user charges and the overall macro-economic context/ forecast lead to a projection of available finance. The difference between the expenditure forecast and the available finance results in a financing gap (or surplus) which can be ma</w:t>
      </w:r>
      <w:r w:rsidRPr="00B00EB9">
        <w:rPr>
          <w:sz w:val="22"/>
        </w:rPr>
        <w:t>n</w:t>
      </w:r>
      <w:r w:rsidRPr="00B00EB9">
        <w:rPr>
          <w:sz w:val="22"/>
        </w:rPr>
        <w:t>aged by changing the “variables” within the demand side and supply side. This iterative process will allow different scenarios to be developed and provide an evidence based policy decision support.</w:t>
      </w:r>
    </w:p>
    <w:p w:rsidR="00CE358F" w:rsidRPr="00B00EB9" w:rsidRDefault="00CE358F" w:rsidP="00CE358F">
      <w:pPr>
        <w:jc w:val="both"/>
        <w:rPr>
          <w:sz w:val="22"/>
        </w:rPr>
      </w:pPr>
    </w:p>
    <w:p w:rsidR="00CE358F" w:rsidRPr="00B00EB9" w:rsidRDefault="00CE358F" w:rsidP="00CE358F">
      <w:pPr>
        <w:keepNext/>
        <w:jc w:val="both"/>
        <w:rPr>
          <w:b/>
        </w:rPr>
      </w:pPr>
      <w:r w:rsidRPr="00B00EB9">
        <w:rPr>
          <w:b/>
        </w:rPr>
        <w:lastRenderedPageBreak/>
        <w:t>Findings and implications</w:t>
      </w:r>
    </w:p>
    <w:p w:rsidR="00CE358F" w:rsidRPr="00B00EB9" w:rsidRDefault="00CE358F" w:rsidP="00CE358F">
      <w:pPr>
        <w:jc w:val="both"/>
        <w:rPr>
          <w:sz w:val="22"/>
        </w:rPr>
      </w:pPr>
      <w:r w:rsidRPr="00B00EB9">
        <w:rPr>
          <w:sz w:val="22"/>
        </w:rPr>
        <w:t xml:space="preserve">To support a better understanding of sector dynamics and bridge gaps in data a number of surveys were done: </w:t>
      </w:r>
    </w:p>
    <w:p w:rsidR="00CE358F" w:rsidRPr="00B00EB9" w:rsidRDefault="00CE358F" w:rsidP="00CE358F">
      <w:pPr>
        <w:pStyle w:val="ListParagraph"/>
        <w:numPr>
          <w:ilvl w:val="0"/>
          <w:numId w:val="7"/>
        </w:numPr>
        <w:jc w:val="both"/>
        <w:rPr>
          <w:rFonts w:ascii="Times New Roman" w:hAnsi="Times New Roman"/>
        </w:rPr>
      </w:pPr>
      <w:r w:rsidRPr="00B00EB9">
        <w:rPr>
          <w:rFonts w:ascii="Times New Roman" w:hAnsi="Times New Roman"/>
        </w:rPr>
        <w:t>WASA connection survey (to improve understanding of customer behavio</w:t>
      </w:r>
      <w:r>
        <w:rPr>
          <w:rFonts w:ascii="Times New Roman" w:hAnsi="Times New Roman"/>
        </w:rPr>
        <w:t>u</w:t>
      </w:r>
      <w:r w:rsidRPr="00B00EB9">
        <w:rPr>
          <w:rFonts w:ascii="Times New Roman" w:hAnsi="Times New Roman"/>
        </w:rPr>
        <w:t>r and priorities)</w:t>
      </w:r>
    </w:p>
    <w:p w:rsidR="00CE358F" w:rsidRPr="00B00EB9" w:rsidRDefault="00CE358F" w:rsidP="00CE358F">
      <w:pPr>
        <w:pStyle w:val="ListParagraph"/>
        <w:numPr>
          <w:ilvl w:val="0"/>
          <w:numId w:val="7"/>
        </w:numPr>
        <w:jc w:val="both"/>
        <w:rPr>
          <w:rFonts w:ascii="Times New Roman" w:hAnsi="Times New Roman"/>
        </w:rPr>
      </w:pPr>
      <w:proofErr w:type="spellStart"/>
      <w:r w:rsidRPr="00B00EB9">
        <w:rPr>
          <w:rFonts w:ascii="Times New Roman" w:hAnsi="Times New Roman"/>
        </w:rPr>
        <w:t>Peri</w:t>
      </w:r>
      <w:proofErr w:type="spellEnd"/>
      <w:r w:rsidRPr="00B00EB9">
        <w:rPr>
          <w:rFonts w:ascii="Times New Roman" w:hAnsi="Times New Roman"/>
        </w:rPr>
        <w:t xml:space="preserve">-urban survey (gain insight in the rapidly changing </w:t>
      </w:r>
      <w:proofErr w:type="spellStart"/>
      <w:r w:rsidRPr="00B00EB9">
        <w:rPr>
          <w:rFonts w:ascii="Times New Roman" w:hAnsi="Times New Roman"/>
        </w:rPr>
        <w:t>peri</w:t>
      </w:r>
      <w:proofErr w:type="spellEnd"/>
      <w:r w:rsidRPr="00B00EB9">
        <w:rPr>
          <w:rFonts w:ascii="Times New Roman" w:hAnsi="Times New Roman"/>
        </w:rPr>
        <w:t>-urban areas)</w:t>
      </w:r>
    </w:p>
    <w:p w:rsidR="00CE358F" w:rsidRPr="00B00EB9" w:rsidRDefault="00CE358F" w:rsidP="00CE358F">
      <w:pPr>
        <w:pStyle w:val="ListParagraph"/>
        <w:numPr>
          <w:ilvl w:val="0"/>
          <w:numId w:val="7"/>
        </w:numPr>
        <w:jc w:val="both"/>
        <w:rPr>
          <w:rFonts w:ascii="Times New Roman" w:hAnsi="Times New Roman"/>
        </w:rPr>
      </w:pPr>
      <w:r w:rsidRPr="00B00EB9">
        <w:rPr>
          <w:rFonts w:ascii="Times New Roman" w:hAnsi="Times New Roman"/>
        </w:rPr>
        <w:t>Private rural connections (gain insight into assumptions on how  rural systems are used)</w:t>
      </w:r>
    </w:p>
    <w:p w:rsidR="00CE358F" w:rsidRPr="00B00EB9" w:rsidRDefault="00CE358F" w:rsidP="00CE358F">
      <w:pPr>
        <w:pStyle w:val="ListParagraph"/>
        <w:numPr>
          <w:ilvl w:val="0"/>
          <w:numId w:val="7"/>
        </w:numPr>
        <w:jc w:val="both"/>
        <w:rPr>
          <w:rFonts w:ascii="Times New Roman" w:hAnsi="Times New Roman"/>
        </w:rPr>
      </w:pPr>
      <w:r w:rsidRPr="00B00EB9">
        <w:rPr>
          <w:rFonts w:ascii="Times New Roman" w:hAnsi="Times New Roman"/>
        </w:rPr>
        <w:t>Willingness and ability to pay in highland areas (better understanding the poorest users)</w:t>
      </w:r>
    </w:p>
    <w:p w:rsidR="00CE358F" w:rsidRDefault="00CE358F" w:rsidP="00CE358F">
      <w:pPr>
        <w:jc w:val="both"/>
        <w:rPr>
          <w:sz w:val="22"/>
        </w:rPr>
      </w:pPr>
    </w:p>
    <w:p w:rsidR="00CE358F" w:rsidRPr="00B00EB9" w:rsidRDefault="00CE358F" w:rsidP="00CE358F">
      <w:pPr>
        <w:jc w:val="both"/>
        <w:rPr>
          <w:sz w:val="22"/>
        </w:rPr>
      </w:pPr>
      <w:r w:rsidRPr="00B00EB9">
        <w:rPr>
          <w:sz w:val="22"/>
        </w:rPr>
        <w:t>The key findings are summarized in the table below:</w:t>
      </w:r>
    </w:p>
    <w:tbl>
      <w:tblPr>
        <w:tblStyle w:val="TableGrid"/>
        <w:tblW w:w="0" w:type="auto"/>
        <w:tblLook w:val="04A0"/>
      </w:tblPr>
      <w:tblGrid>
        <w:gridCol w:w="4573"/>
        <w:gridCol w:w="4574"/>
      </w:tblGrid>
      <w:tr w:rsidR="00CE358F" w:rsidRPr="00B00EB9" w:rsidTr="00395114">
        <w:trPr>
          <w:cantSplit/>
        </w:trPr>
        <w:tc>
          <w:tcPr>
            <w:tcW w:w="4573" w:type="dxa"/>
            <w:tcBorders>
              <w:bottom w:val="nil"/>
            </w:tcBorders>
          </w:tcPr>
          <w:p w:rsidR="00CE358F" w:rsidRPr="00B00EB9" w:rsidRDefault="00CE358F" w:rsidP="00395114">
            <w:pPr>
              <w:keepNext/>
              <w:jc w:val="center"/>
              <w:rPr>
                <w:b/>
                <w:sz w:val="20"/>
              </w:rPr>
            </w:pPr>
            <w:r w:rsidRPr="00B00EB9">
              <w:rPr>
                <w:b/>
                <w:sz w:val="20"/>
              </w:rPr>
              <w:t>WASA – urban customers</w:t>
            </w:r>
          </w:p>
        </w:tc>
        <w:tc>
          <w:tcPr>
            <w:tcW w:w="4574" w:type="dxa"/>
            <w:tcBorders>
              <w:bottom w:val="nil"/>
            </w:tcBorders>
          </w:tcPr>
          <w:p w:rsidR="00CE358F" w:rsidRPr="00B00EB9" w:rsidRDefault="00CE358F" w:rsidP="00395114">
            <w:pPr>
              <w:keepNext/>
              <w:jc w:val="center"/>
              <w:rPr>
                <w:b/>
                <w:sz w:val="20"/>
              </w:rPr>
            </w:pPr>
            <w:proofErr w:type="spellStart"/>
            <w:r w:rsidRPr="00B00EB9">
              <w:rPr>
                <w:b/>
                <w:sz w:val="20"/>
              </w:rPr>
              <w:t>Peri</w:t>
            </w:r>
            <w:proofErr w:type="spellEnd"/>
            <w:r w:rsidRPr="00B00EB9">
              <w:rPr>
                <w:b/>
                <w:sz w:val="20"/>
              </w:rPr>
              <w:t xml:space="preserve"> urban survey</w:t>
            </w:r>
          </w:p>
        </w:tc>
      </w:tr>
      <w:tr w:rsidR="00CE358F" w:rsidRPr="00B00EB9" w:rsidTr="00395114">
        <w:trPr>
          <w:cantSplit/>
        </w:trPr>
        <w:tc>
          <w:tcPr>
            <w:tcW w:w="4573" w:type="dxa"/>
            <w:tcBorders>
              <w:top w:val="nil"/>
              <w:bottom w:val="single" w:sz="4" w:space="0" w:color="auto"/>
            </w:tcBorders>
          </w:tcPr>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26% connections serve rented accommodation (av. 4.1 households)</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20% connections serve neighbours (</w:t>
            </w:r>
            <w:proofErr w:type="spellStart"/>
            <w:r w:rsidRPr="00B00EB9">
              <w:rPr>
                <w:sz w:val="20"/>
              </w:rPr>
              <w:t>av</w:t>
            </w:r>
            <w:proofErr w:type="spellEnd"/>
            <w:r w:rsidRPr="00B00EB9">
              <w:rPr>
                <w:sz w:val="20"/>
              </w:rPr>
              <w:t xml:space="preserve"> 2.8 hous</w:t>
            </w:r>
            <w:r w:rsidRPr="00B00EB9">
              <w:rPr>
                <w:sz w:val="20"/>
              </w:rPr>
              <w:t>e</w:t>
            </w:r>
            <w:r w:rsidRPr="00B00EB9">
              <w:rPr>
                <w:sz w:val="20"/>
              </w:rPr>
              <w:t>holds)</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6.5 persons served per connection</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52% of connections house installations and 48%  yard taps</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8% have alternative water supply from boreholes and 35% collect rainwater</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 xml:space="preserve">64% use water storage </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The average per capita consumption is 51 l/p/day. Yard taps 42 l/p/day and house connections 67 l/p/day.</w:t>
            </w:r>
          </w:p>
        </w:tc>
        <w:tc>
          <w:tcPr>
            <w:tcW w:w="4574" w:type="dxa"/>
            <w:tcBorders>
              <w:top w:val="nil"/>
              <w:bottom w:val="single" w:sz="4" w:space="0" w:color="auto"/>
            </w:tcBorders>
          </w:tcPr>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Sanitation - 57% use pit latrines ; 25% VIPs; 4% share; 14% open defecation</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 xml:space="preserve">In some areas ( e.g. </w:t>
            </w:r>
            <w:proofErr w:type="spellStart"/>
            <w:r w:rsidRPr="00B00EB9">
              <w:rPr>
                <w:sz w:val="20"/>
              </w:rPr>
              <w:t>Penpena</w:t>
            </w:r>
            <w:proofErr w:type="spellEnd"/>
            <w:r w:rsidRPr="00B00EB9">
              <w:rPr>
                <w:sz w:val="20"/>
              </w:rPr>
              <w:t>) significant number of households with income &gt; 1000 do not have sanit</w:t>
            </w:r>
            <w:r w:rsidRPr="00B00EB9">
              <w:rPr>
                <w:sz w:val="20"/>
              </w:rPr>
              <w:t>a</w:t>
            </w:r>
            <w:r w:rsidRPr="00B00EB9">
              <w:rPr>
                <w:sz w:val="20"/>
              </w:rPr>
              <w:t xml:space="preserve">tion </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Some areas only those earning less than 1000 are without sanitation (e.g. St Monica)</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 xml:space="preserve">Affordability is an issue but not the only issue  </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hygiene promotion is more effective in some areas</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Water – 56% public water supply; 19% springs; 18% share supplies; 7% use private supply</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28% of households cannot afford the water tariff according to threshold of 5% of income used for water</w:t>
            </w:r>
          </w:p>
        </w:tc>
      </w:tr>
      <w:tr w:rsidR="00CE358F" w:rsidRPr="00B00EB9" w:rsidTr="00395114">
        <w:trPr>
          <w:cantSplit/>
        </w:trPr>
        <w:tc>
          <w:tcPr>
            <w:tcW w:w="4573" w:type="dxa"/>
            <w:tcBorders>
              <w:bottom w:val="nil"/>
            </w:tcBorders>
          </w:tcPr>
          <w:p w:rsidR="00CE358F" w:rsidRPr="00B00EB9" w:rsidRDefault="00CE358F" w:rsidP="00395114">
            <w:pPr>
              <w:jc w:val="center"/>
              <w:rPr>
                <w:b/>
                <w:sz w:val="20"/>
              </w:rPr>
            </w:pPr>
            <w:r w:rsidRPr="00B00EB9">
              <w:rPr>
                <w:b/>
                <w:sz w:val="20"/>
              </w:rPr>
              <w:t>Private rural connections</w:t>
            </w:r>
          </w:p>
        </w:tc>
        <w:tc>
          <w:tcPr>
            <w:tcW w:w="4574" w:type="dxa"/>
            <w:tcBorders>
              <w:bottom w:val="nil"/>
            </w:tcBorders>
          </w:tcPr>
          <w:p w:rsidR="00CE358F" w:rsidRPr="00B00EB9" w:rsidRDefault="00CE358F" w:rsidP="00395114">
            <w:pPr>
              <w:jc w:val="center"/>
              <w:rPr>
                <w:b/>
                <w:sz w:val="20"/>
              </w:rPr>
            </w:pPr>
            <w:r w:rsidRPr="00B00EB9">
              <w:rPr>
                <w:b/>
                <w:sz w:val="20"/>
              </w:rPr>
              <w:t>Willingness and ability to pay</w:t>
            </w:r>
          </w:p>
        </w:tc>
      </w:tr>
      <w:tr w:rsidR="00CE358F" w:rsidRPr="00B00EB9" w:rsidTr="00395114">
        <w:trPr>
          <w:cantSplit/>
        </w:trPr>
        <w:tc>
          <w:tcPr>
            <w:tcW w:w="4573" w:type="dxa"/>
            <w:tcBorders>
              <w:top w:val="nil"/>
            </w:tcBorders>
          </w:tcPr>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Study reveals main perceptions for not making co</w:t>
            </w:r>
            <w:r w:rsidRPr="00B00EB9">
              <w:rPr>
                <w:sz w:val="20"/>
              </w:rPr>
              <w:t>n</w:t>
            </w:r>
            <w:r w:rsidRPr="00B00EB9">
              <w:rPr>
                <w:sz w:val="20"/>
              </w:rPr>
              <w:t xml:space="preserve">nections: </w:t>
            </w:r>
          </w:p>
          <w:p w:rsidR="00CE358F" w:rsidRPr="00B00EB9" w:rsidRDefault="00CE358F" w:rsidP="00CE358F">
            <w:pPr>
              <w:numPr>
                <w:ilvl w:val="1"/>
                <w:numId w:val="6"/>
              </w:numPr>
              <w:tabs>
                <w:tab w:val="clear" w:pos="1080"/>
                <w:tab w:val="num" w:pos="284"/>
              </w:tabs>
              <w:spacing w:before="0" w:after="0"/>
              <w:ind w:hanging="938"/>
              <w:jc w:val="both"/>
              <w:rPr>
                <w:sz w:val="20"/>
              </w:rPr>
            </w:pPr>
            <w:r w:rsidRPr="00B00EB9">
              <w:rPr>
                <w:sz w:val="20"/>
              </w:rPr>
              <w:t xml:space="preserve">For DRWS -  lack of information </w:t>
            </w:r>
          </w:p>
          <w:p w:rsidR="00CE358F" w:rsidRPr="00B00EB9" w:rsidRDefault="00CE358F" w:rsidP="00CE358F">
            <w:pPr>
              <w:numPr>
                <w:ilvl w:val="1"/>
                <w:numId w:val="6"/>
              </w:numPr>
              <w:tabs>
                <w:tab w:val="clear" w:pos="1080"/>
                <w:tab w:val="num" w:pos="284"/>
              </w:tabs>
              <w:spacing w:before="0" w:after="0"/>
              <w:ind w:hanging="938"/>
              <w:jc w:val="both"/>
              <w:rPr>
                <w:sz w:val="20"/>
              </w:rPr>
            </w:pPr>
            <w:r w:rsidRPr="00B00EB9">
              <w:rPr>
                <w:sz w:val="20"/>
              </w:rPr>
              <w:t xml:space="preserve">For communities – cost </w:t>
            </w:r>
          </w:p>
          <w:p w:rsidR="00CE358F" w:rsidRPr="00B00EB9" w:rsidRDefault="00CE358F" w:rsidP="00CE358F">
            <w:pPr>
              <w:numPr>
                <w:ilvl w:val="1"/>
                <w:numId w:val="6"/>
              </w:numPr>
              <w:tabs>
                <w:tab w:val="clear" w:pos="1080"/>
                <w:tab w:val="num" w:pos="284"/>
              </w:tabs>
              <w:spacing w:before="0" w:after="0"/>
              <w:ind w:hanging="938"/>
              <w:jc w:val="both"/>
              <w:rPr>
                <w:sz w:val="20"/>
              </w:rPr>
            </w:pPr>
            <w:r w:rsidRPr="00B00EB9">
              <w:rPr>
                <w:sz w:val="20"/>
              </w:rPr>
              <w:t xml:space="preserve">Local government – </w:t>
            </w:r>
            <w:proofErr w:type="spellStart"/>
            <w:r w:rsidRPr="00B00EB9">
              <w:rPr>
                <w:sz w:val="20"/>
              </w:rPr>
              <w:t>standposts</w:t>
            </w:r>
            <w:proofErr w:type="spellEnd"/>
            <w:r w:rsidRPr="00B00EB9">
              <w:rPr>
                <w:sz w:val="20"/>
              </w:rPr>
              <w:t xml:space="preserve"> are adequate </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 xml:space="preserve">In </w:t>
            </w:r>
            <w:proofErr w:type="spellStart"/>
            <w:r w:rsidRPr="00B00EB9">
              <w:rPr>
                <w:sz w:val="20"/>
              </w:rPr>
              <w:t>Masana</w:t>
            </w:r>
            <w:proofErr w:type="spellEnd"/>
            <w:r w:rsidRPr="00B00EB9">
              <w:rPr>
                <w:sz w:val="20"/>
              </w:rPr>
              <w:t xml:space="preserve">, </w:t>
            </w:r>
            <w:proofErr w:type="spellStart"/>
            <w:r w:rsidRPr="00B00EB9">
              <w:rPr>
                <w:sz w:val="20"/>
              </w:rPr>
              <w:t>Matsieng</w:t>
            </w:r>
            <w:proofErr w:type="spellEnd"/>
            <w:r w:rsidRPr="00B00EB9">
              <w:rPr>
                <w:sz w:val="20"/>
              </w:rPr>
              <w:t xml:space="preserve">, </w:t>
            </w:r>
            <w:proofErr w:type="spellStart"/>
            <w:r w:rsidRPr="00B00EB9">
              <w:rPr>
                <w:sz w:val="20"/>
              </w:rPr>
              <w:t>Tsikoane</w:t>
            </w:r>
            <w:proofErr w:type="spellEnd"/>
            <w:r w:rsidRPr="00B00EB9">
              <w:rPr>
                <w:sz w:val="20"/>
              </w:rPr>
              <w:t xml:space="preserve"> the users said cost was the dominant constraint. </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 xml:space="preserve">In </w:t>
            </w:r>
            <w:proofErr w:type="spellStart"/>
            <w:r w:rsidRPr="00B00EB9">
              <w:rPr>
                <w:sz w:val="20"/>
              </w:rPr>
              <w:t>Haschelel</w:t>
            </w:r>
            <w:proofErr w:type="spellEnd"/>
            <w:r w:rsidRPr="00B00EB9">
              <w:rPr>
                <w:sz w:val="20"/>
              </w:rPr>
              <w:t xml:space="preserve"> and </w:t>
            </w:r>
            <w:proofErr w:type="spellStart"/>
            <w:r w:rsidRPr="00B00EB9">
              <w:rPr>
                <w:sz w:val="20"/>
              </w:rPr>
              <w:t>Moholehoa</w:t>
            </w:r>
            <w:proofErr w:type="spellEnd"/>
            <w:r w:rsidRPr="00B00EB9">
              <w:rPr>
                <w:sz w:val="20"/>
              </w:rPr>
              <w:t xml:space="preserve"> the users said private connections were prohibited or the system was not designed for the purpose</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Vast majority of users see public subsidy as the main means of obtaining private connections in the future</w:t>
            </w:r>
          </w:p>
        </w:tc>
        <w:tc>
          <w:tcPr>
            <w:tcW w:w="4574" w:type="dxa"/>
            <w:tcBorders>
              <w:top w:val="nil"/>
            </w:tcBorders>
          </w:tcPr>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The 30% that are only willing to pay less than 30 M/month is important – correspond well to the affordability statistics that about 30% of the hous</w:t>
            </w:r>
            <w:r w:rsidRPr="00B00EB9">
              <w:rPr>
                <w:sz w:val="20"/>
              </w:rPr>
              <w:t>e</w:t>
            </w:r>
            <w:r w:rsidRPr="00B00EB9">
              <w:rPr>
                <w:sz w:val="20"/>
              </w:rPr>
              <w:t>holds cannot afford water using the 5% of HH i</w:t>
            </w:r>
            <w:r w:rsidRPr="00B00EB9">
              <w:rPr>
                <w:sz w:val="20"/>
              </w:rPr>
              <w:t>n</w:t>
            </w:r>
            <w:r w:rsidRPr="00B00EB9">
              <w:rPr>
                <w:sz w:val="20"/>
              </w:rPr>
              <w:t xml:space="preserve">come as the threshold for affordable cost of water </w:t>
            </w:r>
          </w:p>
          <w:p w:rsidR="00CE358F" w:rsidRPr="00B00EB9" w:rsidRDefault="00CE358F" w:rsidP="00CE358F">
            <w:pPr>
              <w:numPr>
                <w:ilvl w:val="0"/>
                <w:numId w:val="6"/>
              </w:numPr>
              <w:tabs>
                <w:tab w:val="clear" w:pos="360"/>
                <w:tab w:val="num" w:pos="142"/>
              </w:tabs>
              <w:spacing w:before="0" w:after="0"/>
              <w:ind w:left="142" w:hanging="142"/>
              <w:jc w:val="both"/>
              <w:rPr>
                <w:sz w:val="20"/>
              </w:rPr>
            </w:pPr>
            <w:r w:rsidRPr="00B00EB9">
              <w:rPr>
                <w:sz w:val="20"/>
              </w:rPr>
              <w:t>Compared to urban areas, the number of HHs only willing to pay &lt; 30 M/ month is almost 75% - has implications for the extension of urban systems to the rural communities. Contradicted by the fact that 40% are willing to pay more than 2000 for a co</w:t>
            </w:r>
            <w:r w:rsidRPr="00B00EB9">
              <w:rPr>
                <w:sz w:val="20"/>
              </w:rPr>
              <w:t>n</w:t>
            </w:r>
            <w:r w:rsidRPr="00B00EB9">
              <w:rPr>
                <w:sz w:val="20"/>
              </w:rPr>
              <w:t xml:space="preserve">nection </w:t>
            </w:r>
          </w:p>
        </w:tc>
      </w:tr>
    </w:tbl>
    <w:p w:rsidR="00CE358F" w:rsidRPr="00B00EB9" w:rsidRDefault="00CE358F" w:rsidP="00CE358F">
      <w:pPr>
        <w:jc w:val="both"/>
        <w:rPr>
          <w:sz w:val="22"/>
        </w:rPr>
      </w:pPr>
    </w:p>
    <w:p w:rsidR="00CE358F" w:rsidRPr="00B00EB9" w:rsidRDefault="00CE358F" w:rsidP="00CE358F">
      <w:pPr>
        <w:jc w:val="both"/>
        <w:rPr>
          <w:sz w:val="22"/>
        </w:rPr>
      </w:pPr>
      <w:r w:rsidRPr="00B00EB9">
        <w:rPr>
          <w:sz w:val="22"/>
        </w:rPr>
        <w:t xml:space="preserve">The implications of these findings are: </w:t>
      </w:r>
    </w:p>
    <w:p w:rsidR="00CE358F" w:rsidRPr="00B00EB9" w:rsidRDefault="00CE358F" w:rsidP="00CE358F">
      <w:pPr>
        <w:pStyle w:val="ListParagraph"/>
        <w:numPr>
          <w:ilvl w:val="0"/>
          <w:numId w:val="8"/>
        </w:numPr>
        <w:jc w:val="both"/>
        <w:rPr>
          <w:rFonts w:ascii="Times New Roman" w:hAnsi="Times New Roman"/>
        </w:rPr>
      </w:pPr>
      <w:r w:rsidRPr="00B00EB9">
        <w:rPr>
          <w:rFonts w:ascii="Times New Roman" w:hAnsi="Times New Roman"/>
        </w:rPr>
        <w:t>Tariff design will need to take into account the number of connections (20%) that are shared b</w:t>
      </w:r>
      <w:r w:rsidRPr="00B00EB9">
        <w:rPr>
          <w:rFonts w:ascii="Times New Roman" w:hAnsi="Times New Roman"/>
        </w:rPr>
        <w:t>e</w:t>
      </w:r>
      <w:r w:rsidRPr="00B00EB9">
        <w:rPr>
          <w:rFonts w:ascii="Times New Roman" w:hAnsi="Times New Roman"/>
        </w:rPr>
        <w:t>tween households making cross subsidization between rich and poor and between high and low water users more difficult.</w:t>
      </w:r>
    </w:p>
    <w:p w:rsidR="00CE358F" w:rsidRPr="00B00EB9" w:rsidRDefault="00CE358F" w:rsidP="00CE358F">
      <w:pPr>
        <w:pStyle w:val="ListParagraph"/>
        <w:numPr>
          <w:ilvl w:val="0"/>
          <w:numId w:val="8"/>
        </w:numPr>
        <w:jc w:val="both"/>
        <w:rPr>
          <w:rFonts w:ascii="Times New Roman" w:hAnsi="Times New Roman"/>
        </w:rPr>
      </w:pPr>
      <w:r w:rsidRPr="00B00EB9">
        <w:rPr>
          <w:rFonts w:ascii="Times New Roman" w:hAnsi="Times New Roman"/>
        </w:rPr>
        <w:t>Affordability for sanitation is an issue but it is not the only factor affecting sanitation access, low coverage areas can learn how to better promote sanitation from high coverage areas.</w:t>
      </w:r>
    </w:p>
    <w:p w:rsidR="00CE358F" w:rsidRPr="00B00EB9" w:rsidRDefault="00CE358F" w:rsidP="00CE358F">
      <w:pPr>
        <w:pStyle w:val="ListParagraph"/>
        <w:numPr>
          <w:ilvl w:val="0"/>
          <w:numId w:val="8"/>
        </w:numPr>
        <w:jc w:val="both"/>
        <w:rPr>
          <w:rFonts w:ascii="Times New Roman" w:hAnsi="Times New Roman"/>
        </w:rPr>
      </w:pPr>
      <w:r w:rsidRPr="00B00EB9">
        <w:rPr>
          <w:rFonts w:ascii="Times New Roman" w:hAnsi="Times New Roman"/>
        </w:rPr>
        <w:t>Nearly 1/3 of householders cannot afford the water tariff which will imply that financing will need to come from taxes as well as tariffs if systems are not to be under maintained.</w:t>
      </w:r>
    </w:p>
    <w:p w:rsidR="00CE358F" w:rsidRPr="00B00EB9" w:rsidRDefault="00CE358F" w:rsidP="00CE358F">
      <w:pPr>
        <w:pStyle w:val="ListParagraph"/>
        <w:numPr>
          <w:ilvl w:val="0"/>
          <w:numId w:val="8"/>
        </w:numPr>
        <w:jc w:val="both"/>
        <w:rPr>
          <w:rFonts w:ascii="Times New Roman" w:hAnsi="Times New Roman"/>
        </w:rPr>
      </w:pPr>
      <w:r w:rsidRPr="00B00EB9">
        <w:rPr>
          <w:rFonts w:ascii="Times New Roman" w:hAnsi="Times New Roman"/>
        </w:rPr>
        <w:t>Attempts to increase tariffs will need to take into account and perhaps change the consumer att</w:t>
      </w:r>
      <w:r w:rsidRPr="00B00EB9">
        <w:rPr>
          <w:rFonts w:ascii="Times New Roman" w:hAnsi="Times New Roman"/>
        </w:rPr>
        <w:t>i</w:t>
      </w:r>
      <w:r w:rsidRPr="00B00EB9">
        <w:rPr>
          <w:rFonts w:ascii="Times New Roman" w:hAnsi="Times New Roman"/>
        </w:rPr>
        <w:t xml:space="preserve">tude that the sector should be subsidized through taxes. </w:t>
      </w:r>
    </w:p>
    <w:p w:rsidR="00CE358F" w:rsidRPr="00B00EB9" w:rsidRDefault="00CE358F" w:rsidP="00CE358F">
      <w:pPr>
        <w:pStyle w:val="ListParagraph"/>
        <w:numPr>
          <w:ilvl w:val="0"/>
          <w:numId w:val="8"/>
        </w:numPr>
        <w:jc w:val="both"/>
        <w:rPr>
          <w:rFonts w:ascii="Times New Roman" w:hAnsi="Times New Roman"/>
        </w:rPr>
      </w:pPr>
      <w:r w:rsidRPr="00B00EB9">
        <w:rPr>
          <w:rFonts w:ascii="Times New Roman" w:hAnsi="Times New Roman"/>
        </w:rPr>
        <w:t xml:space="preserve">There are significant differences in the perceptions behind the low connection rate in rural areas.  </w:t>
      </w:r>
    </w:p>
    <w:p w:rsidR="00CE358F" w:rsidRPr="00B00EB9" w:rsidRDefault="00CE358F" w:rsidP="00CE358F">
      <w:pPr>
        <w:pStyle w:val="ListParagraph"/>
        <w:numPr>
          <w:ilvl w:val="0"/>
          <w:numId w:val="8"/>
        </w:numPr>
        <w:spacing w:after="200" w:line="276" w:lineRule="auto"/>
        <w:jc w:val="both"/>
        <w:rPr>
          <w:b/>
        </w:rPr>
      </w:pPr>
      <w:r w:rsidRPr="00B00EB9">
        <w:rPr>
          <w:rFonts w:ascii="Times New Roman" w:hAnsi="Times New Roman"/>
        </w:rPr>
        <w:t>Contingent valuation on willingness to pay and to connect give different answer suggesting that such surveys cannot be fully relied upon in water sector strategy and that market observation will also be needed.</w:t>
      </w:r>
    </w:p>
    <w:p w:rsidR="00CE358F" w:rsidRPr="00B00EB9" w:rsidRDefault="00CE358F" w:rsidP="00CE358F">
      <w:pPr>
        <w:keepNext/>
        <w:jc w:val="both"/>
        <w:rPr>
          <w:b/>
        </w:rPr>
      </w:pPr>
      <w:r w:rsidRPr="00B00EB9">
        <w:rPr>
          <w:b/>
        </w:rPr>
        <w:t>Planning scenarios and the outputs of the model</w:t>
      </w:r>
      <w:r>
        <w:rPr>
          <w:b/>
        </w:rPr>
        <w:t>l</w:t>
      </w:r>
      <w:r w:rsidRPr="00B00EB9">
        <w:rPr>
          <w:b/>
        </w:rPr>
        <w:t>ing</w:t>
      </w:r>
    </w:p>
    <w:p w:rsidR="00CE358F" w:rsidRPr="00B00EB9" w:rsidRDefault="00CE358F" w:rsidP="00CE358F">
      <w:pPr>
        <w:jc w:val="both"/>
        <w:rPr>
          <w:sz w:val="22"/>
        </w:rPr>
      </w:pPr>
      <w:r w:rsidRPr="00B00EB9">
        <w:rPr>
          <w:sz w:val="22"/>
        </w:rPr>
        <w:t>The poverty reduction strategies, Vision 2020 and the targets implied in the MDGs define the sector aims. Within the overall scope set out by these documents, there are different development scenarios that can be explored to analyse the possible options for the development of the water services sub-sector. The policy documents sets the overall targets for the water services in terms of coverage – 75% by 2015 and 100% by 2020 for water and sanitation in both rural and urban areas for both water and sanitation.</w:t>
      </w:r>
    </w:p>
    <w:p w:rsidR="00CE358F" w:rsidRPr="00B00EB9" w:rsidRDefault="00CE358F" w:rsidP="00CE358F">
      <w:pPr>
        <w:jc w:val="both"/>
        <w:rPr>
          <w:sz w:val="22"/>
        </w:rPr>
      </w:pPr>
      <w:r w:rsidRPr="00B00EB9">
        <w:rPr>
          <w:sz w:val="22"/>
        </w:rPr>
        <w:t xml:space="preserve">Within the overall frame set by the Vision 2020 – </w:t>
      </w:r>
      <w:r w:rsidRPr="00B00EB9">
        <w:rPr>
          <w:i/>
          <w:sz w:val="22"/>
        </w:rPr>
        <w:t>‘by 2020 all Basotho will have access to safe drinking water and basic sanitation’,</w:t>
      </w:r>
      <w:r w:rsidRPr="00B00EB9">
        <w:rPr>
          <w:sz w:val="22"/>
        </w:rPr>
        <w:t xml:space="preserve"> the development of water services in Lesotho can be analysed according to the following four scenarios:</w:t>
      </w:r>
    </w:p>
    <w:p w:rsidR="00CE358F" w:rsidRPr="00B00EB9" w:rsidRDefault="00CE358F" w:rsidP="00CE358F">
      <w:pPr>
        <w:pStyle w:val="ListParagraph"/>
        <w:numPr>
          <w:ilvl w:val="0"/>
          <w:numId w:val="4"/>
        </w:numPr>
        <w:jc w:val="both"/>
        <w:rPr>
          <w:rFonts w:ascii="Times New Roman" w:hAnsi="Times New Roman"/>
        </w:rPr>
      </w:pPr>
      <w:r w:rsidRPr="00B00EB9">
        <w:rPr>
          <w:rFonts w:ascii="Times New Roman" w:hAnsi="Times New Roman"/>
        </w:rPr>
        <w:t>Business as usual (growth between 2% and 4%)</w:t>
      </w:r>
    </w:p>
    <w:p w:rsidR="00CE358F" w:rsidRPr="00B00EB9" w:rsidRDefault="00CE358F" w:rsidP="00CE358F">
      <w:pPr>
        <w:pStyle w:val="ListParagraph"/>
        <w:numPr>
          <w:ilvl w:val="0"/>
          <w:numId w:val="4"/>
        </w:numPr>
        <w:jc w:val="both"/>
        <w:rPr>
          <w:rFonts w:ascii="Times New Roman" w:hAnsi="Times New Roman"/>
        </w:rPr>
      </w:pPr>
      <w:r w:rsidRPr="00B00EB9">
        <w:rPr>
          <w:rFonts w:ascii="Times New Roman" w:hAnsi="Times New Roman"/>
        </w:rPr>
        <w:t>High Growth with Urban and Industrial Focus (growth &gt; 5%)</w:t>
      </w:r>
    </w:p>
    <w:p w:rsidR="00CE358F" w:rsidRPr="00B00EB9" w:rsidRDefault="00CE358F" w:rsidP="00CE358F">
      <w:pPr>
        <w:pStyle w:val="ListParagraph"/>
        <w:numPr>
          <w:ilvl w:val="0"/>
          <w:numId w:val="4"/>
        </w:numPr>
        <w:jc w:val="both"/>
        <w:rPr>
          <w:rFonts w:ascii="Times New Roman" w:hAnsi="Times New Roman"/>
        </w:rPr>
      </w:pPr>
      <w:r w:rsidRPr="00B00EB9">
        <w:rPr>
          <w:rFonts w:ascii="Times New Roman" w:hAnsi="Times New Roman"/>
        </w:rPr>
        <w:t>High Growth with Rural Development Focus (growth &gt; 5%)</w:t>
      </w:r>
    </w:p>
    <w:p w:rsidR="00CE358F" w:rsidRPr="00B00EB9" w:rsidRDefault="00CE358F" w:rsidP="00CE358F">
      <w:pPr>
        <w:pStyle w:val="ListParagraph"/>
        <w:numPr>
          <w:ilvl w:val="0"/>
          <w:numId w:val="4"/>
        </w:numPr>
        <w:jc w:val="both"/>
        <w:rPr>
          <w:rFonts w:ascii="Times New Roman" w:hAnsi="Times New Roman"/>
        </w:rPr>
      </w:pPr>
      <w:r w:rsidRPr="00B00EB9">
        <w:rPr>
          <w:rFonts w:ascii="Times New Roman" w:hAnsi="Times New Roman"/>
        </w:rPr>
        <w:t>Low Growth (growth 0%)</w:t>
      </w:r>
    </w:p>
    <w:p w:rsidR="00CE358F" w:rsidRPr="00B00EB9" w:rsidRDefault="00CE358F" w:rsidP="00CE358F">
      <w:pPr>
        <w:jc w:val="both"/>
        <w:rPr>
          <w:sz w:val="22"/>
        </w:rPr>
      </w:pPr>
    </w:p>
    <w:p w:rsidR="00CE358F" w:rsidRPr="00B00EB9" w:rsidRDefault="00CE358F" w:rsidP="00CE358F">
      <w:pPr>
        <w:jc w:val="both"/>
        <w:rPr>
          <w:sz w:val="22"/>
        </w:rPr>
      </w:pPr>
      <w:r w:rsidRPr="00B00EB9">
        <w:rPr>
          <w:sz w:val="22"/>
        </w:rPr>
        <w:t>All 4 scenarios present the funding needs for water and sanitation to reach the overall target set in the Government Vision 2020 of 100% coverage The 4 scenarios also all aim for full cost recovery for urban water and sewerage services. The financing strategy presented here therefore has a large d</w:t>
      </w:r>
      <w:r w:rsidRPr="00B00EB9">
        <w:rPr>
          <w:sz w:val="22"/>
        </w:rPr>
        <w:t>e</w:t>
      </w:r>
      <w:r w:rsidRPr="00B00EB9">
        <w:rPr>
          <w:sz w:val="22"/>
        </w:rPr>
        <w:t>gree of ‘user payment for services’ but as we will see, a ‘social safety net’ will be needed to ensure that services also reach the poorer parts of the population – in line with the water policy’s statement on ‘free basic water for the vulnerable households’</w:t>
      </w:r>
    </w:p>
    <w:p w:rsidR="00CE358F" w:rsidRPr="00B00EB9" w:rsidRDefault="00CE358F" w:rsidP="00CE358F">
      <w:pPr>
        <w:spacing w:after="200" w:line="276" w:lineRule="auto"/>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27.75pt;margin-top:2.55pt;width:512.25pt;height:31.5pt;z-index:251663360">
            <v:textbox style="mso-next-textbox:#_x0000_s1026">
              <w:txbxContent>
                <w:p w:rsidR="00CE358F" w:rsidRPr="00A13FCE" w:rsidRDefault="00CE358F" w:rsidP="00CE358F">
                  <w:pPr>
                    <w:rPr>
                      <w:sz w:val="20"/>
                    </w:rPr>
                  </w:pPr>
                  <w:r w:rsidRPr="00A13FCE">
                    <w:rPr>
                      <w:b/>
                      <w:sz w:val="20"/>
                    </w:rPr>
                    <w:t xml:space="preserve">Scenario 1 – Business as usual: </w:t>
                  </w:r>
                  <w:r w:rsidRPr="00A13FCE">
                    <w:rPr>
                      <w:sz w:val="20"/>
                    </w:rPr>
                    <w:t>Growth at 2-4%</w:t>
                  </w:r>
                  <w:r>
                    <w:rPr>
                      <w:sz w:val="20"/>
                    </w:rPr>
                    <w:t xml:space="preserve">; </w:t>
                  </w:r>
                  <w:r w:rsidRPr="00A13FCE">
                    <w:rPr>
                      <w:sz w:val="20"/>
                    </w:rPr>
                    <w:t>p</w:t>
                  </w:r>
                  <w:r>
                    <w:rPr>
                      <w:sz w:val="20"/>
                    </w:rPr>
                    <w:t>opulation growth 3.6%; industry limited to large towns; inadequate a</w:t>
                  </w:r>
                  <w:r>
                    <w:rPr>
                      <w:sz w:val="20"/>
                    </w:rPr>
                    <w:t>t</w:t>
                  </w:r>
                  <w:r>
                    <w:rPr>
                      <w:sz w:val="20"/>
                    </w:rPr>
                    <w:t>tention to environmental management</w:t>
                  </w:r>
                </w:p>
              </w:txbxContent>
            </v:textbox>
          </v:shape>
        </w:pict>
      </w:r>
      <w:r w:rsidRPr="00B00EB9">
        <w:rPr>
          <w:noProof/>
          <w:lang w:eastAsia="en-GB"/>
        </w:rPr>
        <w:drawing>
          <wp:anchor distT="0" distB="0" distL="114300" distR="114300" simplePos="0" relativeHeight="251661312" behindDoc="0" locked="0" layoutInCell="1" allowOverlap="1">
            <wp:simplePos x="0" y="0"/>
            <wp:positionH relativeFrom="column">
              <wp:posOffset>-361950</wp:posOffset>
            </wp:positionH>
            <wp:positionV relativeFrom="paragraph">
              <wp:posOffset>458470</wp:posOffset>
            </wp:positionV>
            <wp:extent cx="3248025" cy="2247900"/>
            <wp:effectExtent l="19050" t="0" r="9525"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248025" cy="2247900"/>
                    </a:xfrm>
                    <a:prstGeom prst="rect">
                      <a:avLst/>
                    </a:prstGeom>
                    <a:noFill/>
                    <a:ln w="9525">
                      <a:noFill/>
                      <a:miter lim="800000"/>
                      <a:headEnd/>
                      <a:tailEnd/>
                    </a:ln>
                  </pic:spPr>
                </pic:pic>
              </a:graphicData>
            </a:graphic>
          </wp:anchor>
        </w:drawing>
      </w:r>
      <w:r w:rsidRPr="00B00EB9">
        <w:rPr>
          <w:noProof/>
          <w:lang w:eastAsia="en-GB"/>
        </w:rPr>
        <w:drawing>
          <wp:anchor distT="0" distB="0" distL="114300" distR="114300" simplePos="0" relativeHeight="251662336" behindDoc="0" locked="0" layoutInCell="1" allowOverlap="1">
            <wp:simplePos x="0" y="0"/>
            <wp:positionH relativeFrom="column">
              <wp:posOffset>2905125</wp:posOffset>
            </wp:positionH>
            <wp:positionV relativeFrom="paragraph">
              <wp:posOffset>458470</wp:posOffset>
            </wp:positionV>
            <wp:extent cx="3257550" cy="2257425"/>
            <wp:effectExtent l="19050" t="0" r="0" b="0"/>
            <wp:wrapSquare wrapText="bothSides"/>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3257550" cy="2257425"/>
                    </a:xfrm>
                    <a:prstGeom prst="rect">
                      <a:avLst/>
                    </a:prstGeom>
                    <a:noFill/>
                    <a:ln w="9525">
                      <a:noFill/>
                      <a:miter lim="800000"/>
                      <a:headEnd/>
                      <a:tailEnd/>
                    </a:ln>
                  </pic:spPr>
                </pic:pic>
              </a:graphicData>
            </a:graphic>
          </wp:anchor>
        </w:drawing>
      </w:r>
    </w:p>
    <w:p w:rsidR="00CE358F" w:rsidRPr="00B00EB9" w:rsidRDefault="00CE358F" w:rsidP="00CE358F">
      <w:pPr>
        <w:spacing w:after="200" w:line="276" w:lineRule="auto"/>
        <w:jc w:val="both"/>
      </w:pPr>
      <w:r>
        <w:rPr>
          <w:noProof/>
        </w:rPr>
        <w:pict>
          <v:shape id="_x0000_s1027" type="#_x0000_t202" style="position:absolute;left:0;text-align:left;margin-left:-27.75pt;margin-top:191pt;width:512.25pt;height:56.25pt;z-index:251664384">
            <v:textbox>
              <w:txbxContent>
                <w:p w:rsidR="00CE358F" w:rsidRDefault="00CE358F" w:rsidP="00CE358F">
                  <w:pPr>
                    <w:rPr>
                      <w:b/>
                      <w:sz w:val="20"/>
                    </w:rPr>
                  </w:pPr>
                  <w:r w:rsidRPr="00A13FCE">
                    <w:rPr>
                      <w:b/>
                      <w:sz w:val="20"/>
                    </w:rPr>
                    <w:t xml:space="preserve">Scenario 1 – </w:t>
                  </w:r>
                  <w:r>
                    <w:rPr>
                      <w:b/>
                      <w:sz w:val="20"/>
                    </w:rPr>
                    <w:t xml:space="preserve">Implications </w:t>
                  </w:r>
                </w:p>
                <w:p w:rsidR="00CE358F" w:rsidRPr="00B00EB9" w:rsidRDefault="00CE358F" w:rsidP="00CE358F">
                  <w:pPr>
                    <w:rPr>
                      <w:sz w:val="20"/>
                    </w:rPr>
                  </w:pPr>
                  <w:r w:rsidRPr="00B00EB9">
                    <w:rPr>
                      <w:sz w:val="20"/>
                    </w:rPr>
                    <w:t xml:space="preserve">Tariffs unaffordable for </w:t>
                  </w:r>
                  <w:r>
                    <w:rPr>
                      <w:sz w:val="20"/>
                    </w:rPr>
                    <w:t xml:space="preserve">18% of the Maseru and </w:t>
                  </w:r>
                  <w:r w:rsidRPr="00B00EB9">
                    <w:rPr>
                      <w:sz w:val="20"/>
                    </w:rPr>
                    <w:t xml:space="preserve">28% of the </w:t>
                  </w:r>
                  <w:r>
                    <w:rPr>
                      <w:sz w:val="20"/>
                    </w:rPr>
                    <w:t xml:space="preserve">other </w:t>
                  </w:r>
                  <w:r w:rsidRPr="00B00EB9">
                    <w:rPr>
                      <w:sz w:val="20"/>
                    </w:rPr>
                    <w:t xml:space="preserve">urban </w:t>
                  </w:r>
                  <w:r>
                    <w:rPr>
                      <w:sz w:val="20"/>
                    </w:rPr>
                    <w:t xml:space="preserve">area </w:t>
                  </w:r>
                  <w:r w:rsidRPr="00B00EB9">
                    <w:rPr>
                      <w:sz w:val="20"/>
                    </w:rPr>
                    <w:t xml:space="preserve">population by 2035 </w:t>
                  </w:r>
                </w:p>
                <w:p w:rsidR="00CE358F" w:rsidRPr="00E83008" w:rsidRDefault="00CE358F" w:rsidP="00CE358F">
                  <w:pPr>
                    <w:rPr>
                      <w:sz w:val="20"/>
                    </w:rPr>
                  </w:pPr>
                  <w:r w:rsidRPr="00B00EB9">
                    <w:rPr>
                      <w:sz w:val="20"/>
                    </w:rPr>
                    <w:t>Public funding reduces as user payments are increased (by policy)</w:t>
                  </w:r>
                </w:p>
              </w:txbxContent>
            </v:textbox>
          </v:shape>
        </w:pict>
      </w:r>
    </w:p>
    <w:p w:rsidR="00CE358F" w:rsidRDefault="00CE358F" w:rsidP="00CE358F">
      <w:pPr>
        <w:spacing w:after="200" w:line="276" w:lineRule="auto"/>
        <w:jc w:val="both"/>
      </w:pPr>
    </w:p>
    <w:p w:rsidR="00CE358F" w:rsidRDefault="00CE358F" w:rsidP="00CE358F">
      <w:pPr>
        <w:spacing w:after="200" w:line="276" w:lineRule="auto"/>
        <w:jc w:val="both"/>
      </w:pPr>
    </w:p>
    <w:p w:rsidR="00CE358F" w:rsidRPr="00B00EB9" w:rsidRDefault="00CE358F" w:rsidP="00CE358F">
      <w:pPr>
        <w:spacing w:after="200" w:line="276" w:lineRule="auto"/>
        <w:jc w:val="both"/>
      </w:pPr>
      <w:r>
        <w:rPr>
          <w:noProof/>
        </w:rPr>
        <w:pict>
          <v:shape id="_x0000_s1028" type="#_x0000_t202" style="position:absolute;left:0;text-align:left;margin-left:-27.75pt;margin-top:16.8pt;width:512.25pt;height:31.5pt;z-index:251665408">
            <v:textbox style="mso-next-textbox:#_x0000_s1028">
              <w:txbxContent>
                <w:p w:rsidR="00CE358F" w:rsidRPr="00A13FCE" w:rsidRDefault="00CE358F" w:rsidP="00CE358F">
                  <w:pPr>
                    <w:rPr>
                      <w:sz w:val="20"/>
                    </w:rPr>
                  </w:pPr>
                  <w:r w:rsidRPr="00A13FCE">
                    <w:rPr>
                      <w:b/>
                      <w:sz w:val="20"/>
                    </w:rPr>
                    <w:t xml:space="preserve">Scenario </w:t>
                  </w:r>
                  <w:r>
                    <w:rPr>
                      <w:b/>
                      <w:sz w:val="20"/>
                    </w:rPr>
                    <w:t>2</w:t>
                  </w:r>
                  <w:r w:rsidRPr="00A13FCE">
                    <w:rPr>
                      <w:b/>
                      <w:sz w:val="20"/>
                    </w:rPr>
                    <w:t xml:space="preserve"> – </w:t>
                  </w:r>
                  <w:r>
                    <w:rPr>
                      <w:b/>
                      <w:sz w:val="20"/>
                    </w:rPr>
                    <w:t>Urban focus</w:t>
                  </w:r>
                  <w:r w:rsidRPr="00A13FCE">
                    <w:rPr>
                      <w:b/>
                      <w:sz w:val="20"/>
                    </w:rPr>
                    <w:t xml:space="preserve">: </w:t>
                  </w:r>
                  <w:r w:rsidRPr="00A13FCE">
                    <w:rPr>
                      <w:sz w:val="20"/>
                    </w:rPr>
                    <w:t xml:space="preserve">Growth </w:t>
                  </w:r>
                  <w:r>
                    <w:rPr>
                      <w:sz w:val="20"/>
                    </w:rPr>
                    <w:t>&gt; 5</w:t>
                  </w:r>
                  <w:r w:rsidRPr="00A13FCE">
                    <w:rPr>
                      <w:sz w:val="20"/>
                    </w:rPr>
                    <w:t xml:space="preserve">% </w:t>
                  </w:r>
                  <w:r>
                    <w:rPr>
                      <w:sz w:val="20"/>
                    </w:rPr>
                    <w:t xml:space="preserve">; </w:t>
                  </w:r>
                  <w:r w:rsidRPr="00A13FCE">
                    <w:rPr>
                      <w:sz w:val="20"/>
                    </w:rPr>
                    <w:t xml:space="preserve"> p</w:t>
                  </w:r>
                  <w:r>
                    <w:rPr>
                      <w:sz w:val="20"/>
                    </w:rPr>
                    <w:t>opulation growth 1% significant urban migration; sustained  industrial growth; improved operational management of water supplies; inadequate attention to environmental management</w:t>
                  </w:r>
                </w:p>
              </w:txbxContent>
            </v:textbox>
          </v:shape>
        </w:pict>
      </w:r>
    </w:p>
    <w:p w:rsidR="00CE358F" w:rsidRPr="00B00EB9" w:rsidRDefault="00CE358F" w:rsidP="00CE358F">
      <w:pPr>
        <w:spacing w:after="200" w:line="276" w:lineRule="auto"/>
        <w:jc w:val="both"/>
      </w:pPr>
      <w:r>
        <w:rPr>
          <w:noProof/>
          <w:lang w:eastAsia="en-GB"/>
        </w:rPr>
        <w:drawing>
          <wp:anchor distT="0" distB="0" distL="114300" distR="114300" simplePos="0" relativeHeight="251666432" behindDoc="0" locked="0" layoutInCell="1" allowOverlap="1">
            <wp:simplePos x="0" y="0"/>
            <wp:positionH relativeFrom="column">
              <wp:posOffset>-467995</wp:posOffset>
            </wp:positionH>
            <wp:positionV relativeFrom="paragraph">
              <wp:posOffset>361315</wp:posOffset>
            </wp:positionV>
            <wp:extent cx="3251835" cy="2264410"/>
            <wp:effectExtent l="19050" t="0" r="5715" b="0"/>
            <wp:wrapSquare wrapText="bothSides"/>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251835" cy="2264410"/>
                    </a:xfrm>
                    <a:prstGeom prst="rect">
                      <a:avLst/>
                    </a:prstGeom>
                    <a:noFill/>
                    <a:ln w="9525">
                      <a:noFill/>
                      <a:miter lim="800000"/>
                      <a:headEnd/>
                      <a:tailEnd/>
                    </a:ln>
                  </pic:spPr>
                </pic:pic>
              </a:graphicData>
            </a:graphic>
          </wp:anchor>
        </w:drawing>
      </w:r>
      <w:r w:rsidRPr="00B00EB9">
        <w:rPr>
          <w:noProof/>
          <w:lang w:eastAsia="en-GB"/>
        </w:rPr>
        <w:drawing>
          <wp:anchor distT="0" distB="0" distL="114300" distR="114300" simplePos="0" relativeHeight="251667456" behindDoc="0" locked="0" layoutInCell="1" allowOverlap="1">
            <wp:simplePos x="0" y="0"/>
            <wp:positionH relativeFrom="column">
              <wp:posOffset>2925445</wp:posOffset>
            </wp:positionH>
            <wp:positionV relativeFrom="paragraph">
              <wp:posOffset>340360</wp:posOffset>
            </wp:positionV>
            <wp:extent cx="3253740" cy="2265045"/>
            <wp:effectExtent l="19050" t="0" r="3810" b="0"/>
            <wp:wrapSquare wrapText="bothSides"/>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253740" cy="2265045"/>
                    </a:xfrm>
                    <a:prstGeom prst="rect">
                      <a:avLst/>
                    </a:prstGeom>
                    <a:noFill/>
                    <a:ln w="9525">
                      <a:noFill/>
                      <a:miter lim="800000"/>
                      <a:headEnd/>
                      <a:tailEnd/>
                    </a:ln>
                  </pic:spPr>
                </pic:pic>
              </a:graphicData>
            </a:graphic>
          </wp:anchor>
        </w:drawing>
      </w:r>
    </w:p>
    <w:p w:rsidR="00CE358F" w:rsidRDefault="00CE358F" w:rsidP="00CE358F">
      <w:pPr>
        <w:spacing w:after="200" w:line="276" w:lineRule="auto"/>
        <w:jc w:val="both"/>
      </w:pPr>
      <w:r>
        <w:rPr>
          <w:noProof/>
        </w:rPr>
        <w:pict>
          <v:shape id="_x0000_s1029" type="#_x0000_t202" style="position:absolute;left:0;text-align:left;margin-left:-253.65pt;margin-top:201.05pt;width:512.25pt;height:81.65pt;z-index:251668480">
            <v:textbox style="mso-next-textbox:#_x0000_s1029">
              <w:txbxContent>
                <w:p w:rsidR="00CE358F" w:rsidRDefault="00CE358F" w:rsidP="00CE358F">
                  <w:pPr>
                    <w:rPr>
                      <w:b/>
                      <w:sz w:val="20"/>
                    </w:rPr>
                  </w:pPr>
                  <w:r w:rsidRPr="00A13FCE">
                    <w:rPr>
                      <w:b/>
                      <w:sz w:val="20"/>
                    </w:rPr>
                    <w:t xml:space="preserve">Scenario </w:t>
                  </w:r>
                  <w:r>
                    <w:rPr>
                      <w:b/>
                      <w:sz w:val="20"/>
                    </w:rPr>
                    <w:t>2</w:t>
                  </w:r>
                  <w:r w:rsidRPr="00A13FCE">
                    <w:rPr>
                      <w:b/>
                      <w:sz w:val="20"/>
                    </w:rPr>
                    <w:t xml:space="preserve"> – </w:t>
                  </w:r>
                  <w:r>
                    <w:rPr>
                      <w:b/>
                      <w:sz w:val="20"/>
                    </w:rPr>
                    <w:t xml:space="preserve">Implications </w:t>
                  </w:r>
                </w:p>
                <w:p w:rsidR="00CE358F" w:rsidRDefault="00CE358F" w:rsidP="00CE358F">
                  <w:pPr>
                    <w:rPr>
                      <w:sz w:val="20"/>
                    </w:rPr>
                  </w:pPr>
                  <w:r w:rsidRPr="00B00EB9">
                    <w:rPr>
                      <w:sz w:val="20"/>
                    </w:rPr>
                    <w:t>Tariffs unaffordable for 1</w:t>
                  </w:r>
                  <w:r>
                    <w:rPr>
                      <w:sz w:val="20"/>
                    </w:rPr>
                    <w:t>4</w:t>
                  </w:r>
                  <w:r w:rsidRPr="00B00EB9">
                    <w:rPr>
                      <w:sz w:val="20"/>
                    </w:rPr>
                    <w:t xml:space="preserve">% of the </w:t>
                  </w:r>
                  <w:r>
                    <w:rPr>
                      <w:sz w:val="20"/>
                    </w:rPr>
                    <w:t xml:space="preserve">Maseru and 19% of the other </w:t>
                  </w:r>
                  <w:r w:rsidRPr="00B00EB9">
                    <w:rPr>
                      <w:sz w:val="20"/>
                    </w:rPr>
                    <w:t>urban</w:t>
                  </w:r>
                  <w:r>
                    <w:rPr>
                      <w:sz w:val="20"/>
                    </w:rPr>
                    <w:t xml:space="preserve"> area</w:t>
                  </w:r>
                  <w:r w:rsidRPr="00B00EB9">
                    <w:rPr>
                      <w:sz w:val="20"/>
                    </w:rPr>
                    <w:t xml:space="preserve"> population by 2035</w:t>
                  </w:r>
                </w:p>
                <w:p w:rsidR="00CE358F" w:rsidRDefault="00CE358F" w:rsidP="00CE358F">
                  <w:pPr>
                    <w:rPr>
                      <w:sz w:val="20"/>
                    </w:rPr>
                  </w:pPr>
                  <w:r>
                    <w:rPr>
                      <w:sz w:val="20"/>
                    </w:rPr>
                    <w:t>Tariff increase 6% above inflation is needed</w:t>
                  </w:r>
                </w:p>
                <w:p w:rsidR="00CE358F" w:rsidRDefault="00CE358F" w:rsidP="00CE358F">
                  <w:pPr>
                    <w:rPr>
                      <w:sz w:val="20"/>
                    </w:rPr>
                  </w:pPr>
                  <w:r>
                    <w:rPr>
                      <w:sz w:val="20"/>
                    </w:rPr>
                    <w:t xml:space="preserve">Improved operational efficiency is important to maintain supply for high urban and industrial growth </w:t>
                  </w:r>
                </w:p>
                <w:p w:rsidR="00CE358F" w:rsidRDefault="00CE358F" w:rsidP="00CE358F">
                  <w:pPr>
                    <w:rPr>
                      <w:sz w:val="20"/>
                    </w:rPr>
                  </w:pPr>
                  <w:r>
                    <w:rPr>
                      <w:sz w:val="20"/>
                    </w:rPr>
                    <w:t>Funding needs are 20% less than for scenario 1 (business as usual) due to more modern management</w:t>
                  </w:r>
                </w:p>
                <w:p w:rsidR="00CE358F" w:rsidRDefault="00CE358F" w:rsidP="00CE358F">
                  <w:pPr>
                    <w:rPr>
                      <w:sz w:val="20"/>
                    </w:rPr>
                  </w:pPr>
                  <w:r>
                    <w:rPr>
                      <w:sz w:val="20"/>
                    </w:rPr>
                    <w:t>Public funding narrows close to zero in 2035 – sector becomes self sustaining</w:t>
                  </w:r>
                </w:p>
                <w:p w:rsidR="00CE358F" w:rsidRPr="00E83008" w:rsidRDefault="00CE358F" w:rsidP="00CE358F">
                  <w:pPr>
                    <w:rPr>
                      <w:sz w:val="20"/>
                    </w:rPr>
                  </w:pPr>
                </w:p>
              </w:txbxContent>
            </v:textbox>
          </v:shape>
        </w:pict>
      </w:r>
    </w:p>
    <w:p w:rsidR="00CE358F" w:rsidRDefault="00CE358F" w:rsidP="00CE358F">
      <w:pPr>
        <w:spacing w:after="200" w:line="276" w:lineRule="auto"/>
        <w:jc w:val="both"/>
      </w:pPr>
    </w:p>
    <w:p w:rsidR="00CE358F" w:rsidRDefault="00CE358F" w:rsidP="00CE358F">
      <w:pPr>
        <w:spacing w:after="200" w:line="276" w:lineRule="auto"/>
        <w:jc w:val="both"/>
      </w:pPr>
    </w:p>
    <w:p w:rsidR="00CE358F" w:rsidRDefault="00CE358F" w:rsidP="00CE358F">
      <w:pPr>
        <w:spacing w:after="200" w:line="276" w:lineRule="auto"/>
        <w:jc w:val="both"/>
      </w:pPr>
    </w:p>
    <w:p w:rsidR="00CE358F" w:rsidRDefault="00CE358F" w:rsidP="00CE358F">
      <w:pPr>
        <w:spacing w:after="200" w:line="276" w:lineRule="auto"/>
        <w:jc w:val="both"/>
      </w:pPr>
      <w:r>
        <w:rPr>
          <w:noProof/>
        </w:rPr>
        <w:pict>
          <v:shape id="_x0000_s1030" type="#_x0000_t202" style="position:absolute;left:0;text-align:left;margin-left:-25pt;margin-top:23.8pt;width:512.25pt;height:31.5pt;z-index:251669504">
            <v:textbox style="mso-next-textbox:#_x0000_s1030">
              <w:txbxContent>
                <w:p w:rsidR="00CE358F" w:rsidRPr="00A13FCE" w:rsidRDefault="00CE358F" w:rsidP="00CE358F">
                  <w:pPr>
                    <w:rPr>
                      <w:sz w:val="20"/>
                    </w:rPr>
                  </w:pPr>
                  <w:r w:rsidRPr="00A13FCE">
                    <w:rPr>
                      <w:b/>
                      <w:sz w:val="20"/>
                    </w:rPr>
                    <w:t xml:space="preserve">Scenario </w:t>
                  </w:r>
                  <w:r>
                    <w:rPr>
                      <w:b/>
                      <w:sz w:val="20"/>
                    </w:rPr>
                    <w:t>3</w:t>
                  </w:r>
                  <w:r w:rsidRPr="00A13FCE">
                    <w:rPr>
                      <w:b/>
                      <w:sz w:val="20"/>
                    </w:rPr>
                    <w:t xml:space="preserve">– </w:t>
                  </w:r>
                  <w:r>
                    <w:rPr>
                      <w:b/>
                      <w:sz w:val="20"/>
                    </w:rPr>
                    <w:t>Rural focus</w:t>
                  </w:r>
                  <w:r w:rsidRPr="00A13FCE">
                    <w:rPr>
                      <w:b/>
                      <w:sz w:val="20"/>
                    </w:rPr>
                    <w:t xml:space="preserve">: </w:t>
                  </w:r>
                  <w:r w:rsidRPr="00A13FCE">
                    <w:rPr>
                      <w:sz w:val="20"/>
                    </w:rPr>
                    <w:t xml:space="preserve">Growth </w:t>
                  </w:r>
                  <w:r>
                    <w:rPr>
                      <w:sz w:val="20"/>
                    </w:rPr>
                    <w:t>&gt; 6</w:t>
                  </w:r>
                  <w:r w:rsidRPr="00A13FCE">
                    <w:rPr>
                      <w:sz w:val="20"/>
                    </w:rPr>
                    <w:t>%</w:t>
                  </w:r>
                  <w:r>
                    <w:rPr>
                      <w:sz w:val="20"/>
                    </w:rPr>
                    <w:t xml:space="preserve">; </w:t>
                  </w:r>
                  <w:r w:rsidRPr="00A13FCE">
                    <w:rPr>
                      <w:sz w:val="20"/>
                    </w:rPr>
                    <w:t>p</w:t>
                  </w:r>
                  <w:r>
                    <w:rPr>
                      <w:sz w:val="20"/>
                    </w:rPr>
                    <w:t>opulation growth 1.5% moderate industrial growth; adequate attention to env</w:t>
                  </w:r>
                  <w:r>
                    <w:rPr>
                      <w:sz w:val="20"/>
                    </w:rPr>
                    <w:t>i</w:t>
                  </w:r>
                  <w:r>
                    <w:rPr>
                      <w:sz w:val="20"/>
                    </w:rPr>
                    <w:t>ronmental management</w:t>
                  </w:r>
                </w:p>
              </w:txbxContent>
            </v:textbox>
          </v:shape>
        </w:pict>
      </w:r>
    </w:p>
    <w:p w:rsidR="00CE358F" w:rsidRDefault="00CE358F" w:rsidP="00CE358F">
      <w:pPr>
        <w:spacing w:after="200" w:line="276" w:lineRule="auto"/>
        <w:jc w:val="both"/>
      </w:pPr>
    </w:p>
    <w:p w:rsidR="00CE358F" w:rsidRDefault="00CE358F" w:rsidP="00CE358F">
      <w:pPr>
        <w:spacing w:after="200" w:line="276" w:lineRule="auto"/>
        <w:jc w:val="both"/>
      </w:pPr>
      <w:r>
        <w:rPr>
          <w:noProof/>
        </w:rPr>
        <w:pict>
          <v:shape id="_x0000_s1031" type="#_x0000_t202" style="position:absolute;left:0;text-align:left;margin-left:-15.9pt;margin-top:212.35pt;width:512.25pt;height:84.3pt;z-index:251671552">
            <v:textbox>
              <w:txbxContent>
                <w:p w:rsidR="00CE358F" w:rsidRDefault="00CE358F" w:rsidP="00CE358F">
                  <w:pPr>
                    <w:rPr>
                      <w:b/>
                      <w:sz w:val="20"/>
                    </w:rPr>
                  </w:pPr>
                  <w:r w:rsidRPr="00A13FCE">
                    <w:rPr>
                      <w:b/>
                      <w:sz w:val="20"/>
                    </w:rPr>
                    <w:t xml:space="preserve">Scenario </w:t>
                  </w:r>
                  <w:r>
                    <w:rPr>
                      <w:b/>
                      <w:sz w:val="20"/>
                    </w:rPr>
                    <w:t>3</w:t>
                  </w:r>
                  <w:r w:rsidRPr="00A13FCE">
                    <w:rPr>
                      <w:b/>
                      <w:sz w:val="20"/>
                    </w:rPr>
                    <w:t xml:space="preserve"> – </w:t>
                  </w:r>
                  <w:r>
                    <w:rPr>
                      <w:b/>
                      <w:sz w:val="20"/>
                    </w:rPr>
                    <w:t xml:space="preserve">Implications </w:t>
                  </w:r>
                </w:p>
                <w:p w:rsidR="00CE358F" w:rsidRDefault="00CE358F" w:rsidP="00CE358F">
                  <w:pPr>
                    <w:rPr>
                      <w:sz w:val="20"/>
                    </w:rPr>
                  </w:pPr>
                  <w:r w:rsidRPr="00E83008">
                    <w:rPr>
                      <w:sz w:val="20"/>
                    </w:rPr>
                    <w:t xml:space="preserve">Tariffs </w:t>
                  </w:r>
                  <w:r w:rsidRPr="00594347">
                    <w:rPr>
                      <w:sz w:val="20"/>
                    </w:rPr>
                    <w:t>unaffordable for 14% of Maseru</w:t>
                  </w:r>
                  <w:r>
                    <w:rPr>
                      <w:sz w:val="20"/>
                    </w:rPr>
                    <w:t xml:space="preserve"> and 19% of other urban area population by 2035</w:t>
                  </w:r>
                </w:p>
                <w:p w:rsidR="00CE358F" w:rsidRDefault="00CE358F" w:rsidP="00CE358F">
                  <w:pPr>
                    <w:rPr>
                      <w:sz w:val="20"/>
                    </w:rPr>
                  </w:pPr>
                  <w:r>
                    <w:rPr>
                      <w:sz w:val="20"/>
                    </w:rPr>
                    <w:t>Tariff increase 6% above inflation is needed</w:t>
                  </w:r>
                </w:p>
                <w:p w:rsidR="00CE358F" w:rsidRDefault="00CE358F" w:rsidP="00CE358F">
                  <w:pPr>
                    <w:rPr>
                      <w:sz w:val="20"/>
                    </w:rPr>
                  </w:pPr>
                  <w:r>
                    <w:rPr>
                      <w:sz w:val="20"/>
                    </w:rPr>
                    <w:t>Rural O&amp;M subsidy increases to 50%</w:t>
                  </w:r>
                </w:p>
                <w:p w:rsidR="00CE358F" w:rsidRPr="00E83008" w:rsidRDefault="00CE358F" w:rsidP="00CE358F">
                  <w:pPr>
                    <w:rPr>
                      <w:sz w:val="20"/>
                    </w:rPr>
                  </w:pPr>
                  <w:r>
                    <w:rPr>
                      <w:sz w:val="20"/>
                    </w:rPr>
                    <w:t>Very similar profile of water sector funding to scenario 2 (urban focus)</w:t>
                  </w:r>
                </w:p>
              </w:txbxContent>
            </v:textbox>
          </v:shape>
        </w:pict>
      </w:r>
      <w:r>
        <w:rPr>
          <w:noProof/>
          <w:lang w:eastAsia="en-GB"/>
        </w:rPr>
        <w:drawing>
          <wp:anchor distT="0" distB="0" distL="114300" distR="114300" simplePos="0" relativeHeight="251670528" behindDoc="0" locked="0" layoutInCell="1" allowOverlap="1">
            <wp:simplePos x="0" y="0"/>
            <wp:positionH relativeFrom="column">
              <wp:posOffset>3093720</wp:posOffset>
            </wp:positionH>
            <wp:positionV relativeFrom="paragraph">
              <wp:posOffset>293370</wp:posOffset>
            </wp:positionV>
            <wp:extent cx="3298190" cy="2296160"/>
            <wp:effectExtent l="19050" t="0" r="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298190" cy="2296160"/>
                    </a:xfrm>
                    <a:prstGeom prst="rect">
                      <a:avLst/>
                    </a:prstGeom>
                    <a:noFill/>
                    <a:ln w="9525">
                      <a:noFill/>
                      <a:miter lim="800000"/>
                      <a:headEnd/>
                      <a:tailEnd/>
                    </a:ln>
                  </pic:spPr>
                </pic:pic>
              </a:graphicData>
            </a:graphic>
          </wp:anchor>
        </w:drawing>
      </w:r>
      <w:r>
        <w:rPr>
          <w:noProof/>
          <w:lang w:eastAsia="en-GB"/>
        </w:rPr>
        <w:drawing>
          <wp:anchor distT="0" distB="0" distL="114300" distR="114300" simplePos="0" relativeHeight="251676672" behindDoc="0" locked="0" layoutInCell="1" allowOverlap="1">
            <wp:simplePos x="0" y="0"/>
            <wp:positionH relativeFrom="column">
              <wp:posOffset>-172720</wp:posOffset>
            </wp:positionH>
            <wp:positionV relativeFrom="paragraph">
              <wp:posOffset>293370</wp:posOffset>
            </wp:positionV>
            <wp:extent cx="3265805" cy="2275205"/>
            <wp:effectExtent l="19050" t="0" r="0" b="0"/>
            <wp:wrapSquare wrapText="bothSides"/>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3265805" cy="2275205"/>
                    </a:xfrm>
                    <a:prstGeom prst="rect">
                      <a:avLst/>
                    </a:prstGeom>
                    <a:noFill/>
                    <a:ln w="9525">
                      <a:noFill/>
                      <a:miter lim="800000"/>
                      <a:headEnd/>
                      <a:tailEnd/>
                    </a:ln>
                  </pic:spPr>
                </pic:pic>
              </a:graphicData>
            </a:graphic>
          </wp:anchor>
        </w:drawing>
      </w:r>
    </w:p>
    <w:p w:rsidR="00CE358F" w:rsidRDefault="00CE358F" w:rsidP="00CE358F">
      <w:pPr>
        <w:spacing w:after="200" w:line="276" w:lineRule="auto"/>
        <w:jc w:val="both"/>
      </w:pPr>
    </w:p>
    <w:p w:rsidR="00CE358F" w:rsidRDefault="00CE358F" w:rsidP="00CE358F">
      <w:pPr>
        <w:spacing w:after="200" w:line="276" w:lineRule="auto"/>
        <w:jc w:val="both"/>
      </w:pPr>
    </w:p>
    <w:p w:rsidR="00CE358F" w:rsidRDefault="00CE358F" w:rsidP="00CE358F">
      <w:pPr>
        <w:spacing w:after="200" w:line="276" w:lineRule="auto"/>
        <w:jc w:val="both"/>
      </w:pPr>
    </w:p>
    <w:p w:rsidR="00CE358F" w:rsidRDefault="00CE358F" w:rsidP="00CE358F">
      <w:pPr>
        <w:spacing w:after="200" w:line="276" w:lineRule="auto"/>
        <w:jc w:val="both"/>
      </w:pPr>
    </w:p>
    <w:p w:rsidR="00CE358F" w:rsidRDefault="001612AF" w:rsidP="00CE358F">
      <w:pPr>
        <w:spacing w:after="200" w:line="276" w:lineRule="auto"/>
        <w:jc w:val="both"/>
      </w:pPr>
      <w:r>
        <w:rPr>
          <w:noProof/>
          <w:lang w:eastAsia="en-GB"/>
        </w:rPr>
        <w:drawing>
          <wp:anchor distT="0" distB="0" distL="114300" distR="114300" simplePos="0" relativeHeight="251674624" behindDoc="0" locked="0" layoutInCell="1" allowOverlap="1">
            <wp:simplePos x="0" y="0"/>
            <wp:positionH relativeFrom="column">
              <wp:posOffset>3282950</wp:posOffset>
            </wp:positionH>
            <wp:positionV relativeFrom="paragraph">
              <wp:posOffset>148590</wp:posOffset>
            </wp:positionV>
            <wp:extent cx="3199765" cy="2232660"/>
            <wp:effectExtent l="19050" t="0" r="635" b="0"/>
            <wp:wrapSquare wrapText="bothSides"/>
            <wp:docPr id="2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3199765" cy="2232660"/>
                    </a:xfrm>
                    <a:prstGeom prst="rect">
                      <a:avLst/>
                    </a:prstGeom>
                    <a:noFill/>
                    <a:ln w="9525">
                      <a:noFill/>
                      <a:miter lim="800000"/>
                      <a:headEnd/>
                      <a:tailEnd/>
                    </a:ln>
                  </pic:spPr>
                </pic:pic>
              </a:graphicData>
            </a:graphic>
          </wp:anchor>
        </w:drawing>
      </w:r>
      <w:r>
        <w:rPr>
          <w:noProof/>
          <w:lang w:eastAsia="en-GB"/>
        </w:rPr>
        <w:drawing>
          <wp:anchor distT="0" distB="0" distL="114300" distR="114300" simplePos="0" relativeHeight="251673600" behindDoc="0" locked="0" layoutInCell="1" allowOverlap="1">
            <wp:simplePos x="0" y="0"/>
            <wp:positionH relativeFrom="column">
              <wp:posOffset>-151130</wp:posOffset>
            </wp:positionH>
            <wp:positionV relativeFrom="paragraph">
              <wp:posOffset>95250</wp:posOffset>
            </wp:positionV>
            <wp:extent cx="3244850" cy="2243455"/>
            <wp:effectExtent l="19050" t="0" r="0" b="0"/>
            <wp:wrapSquare wrapText="bothSides"/>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3244850" cy="2243455"/>
                    </a:xfrm>
                    <a:prstGeom prst="rect">
                      <a:avLst/>
                    </a:prstGeom>
                    <a:noFill/>
                    <a:ln w="9525">
                      <a:noFill/>
                      <a:miter lim="800000"/>
                      <a:headEnd/>
                      <a:tailEnd/>
                    </a:ln>
                  </pic:spPr>
                </pic:pic>
              </a:graphicData>
            </a:graphic>
          </wp:anchor>
        </w:drawing>
      </w:r>
      <w:r>
        <w:rPr>
          <w:noProof/>
        </w:rPr>
        <w:pict>
          <v:shape id="_x0000_s1032" type="#_x0000_t202" style="position:absolute;left:0;text-align:left;margin-left:-11.7pt;margin-top:-39.35pt;width:512.25pt;height:31.5pt;z-index:251672576;mso-position-horizontal-relative:text;mso-position-vertical-relative:text">
            <v:textbox style="mso-next-textbox:#_x0000_s1032">
              <w:txbxContent>
                <w:p w:rsidR="00CE358F" w:rsidRPr="00A13FCE" w:rsidRDefault="00CE358F" w:rsidP="00CE358F">
                  <w:pPr>
                    <w:rPr>
                      <w:sz w:val="20"/>
                    </w:rPr>
                  </w:pPr>
                  <w:r w:rsidRPr="00A13FCE">
                    <w:rPr>
                      <w:b/>
                      <w:sz w:val="20"/>
                    </w:rPr>
                    <w:t xml:space="preserve">Scenario </w:t>
                  </w:r>
                  <w:r>
                    <w:rPr>
                      <w:b/>
                      <w:sz w:val="20"/>
                    </w:rPr>
                    <w:t>4</w:t>
                  </w:r>
                  <w:r w:rsidRPr="00A13FCE">
                    <w:rPr>
                      <w:b/>
                      <w:sz w:val="20"/>
                    </w:rPr>
                    <w:t xml:space="preserve">– </w:t>
                  </w:r>
                  <w:r>
                    <w:rPr>
                      <w:b/>
                      <w:sz w:val="20"/>
                    </w:rPr>
                    <w:t>low growth</w:t>
                  </w:r>
                  <w:r w:rsidRPr="00A13FCE">
                    <w:rPr>
                      <w:b/>
                      <w:sz w:val="20"/>
                    </w:rPr>
                    <w:t xml:space="preserve">: </w:t>
                  </w:r>
                  <w:r w:rsidRPr="00A13FCE">
                    <w:rPr>
                      <w:sz w:val="20"/>
                    </w:rPr>
                    <w:t>Growth</w:t>
                  </w:r>
                  <w:r>
                    <w:rPr>
                      <w:sz w:val="20"/>
                    </w:rPr>
                    <w:t xml:space="preserve"> 0</w:t>
                  </w:r>
                  <w:r w:rsidRPr="00A13FCE">
                    <w:rPr>
                      <w:sz w:val="20"/>
                    </w:rPr>
                    <w:t>%</w:t>
                  </w:r>
                  <w:r>
                    <w:rPr>
                      <w:sz w:val="20"/>
                    </w:rPr>
                    <w:t xml:space="preserve">; </w:t>
                  </w:r>
                  <w:r w:rsidRPr="00A13FCE">
                    <w:rPr>
                      <w:sz w:val="20"/>
                    </w:rPr>
                    <w:t>p</w:t>
                  </w:r>
                  <w:r>
                    <w:rPr>
                      <w:sz w:val="20"/>
                    </w:rPr>
                    <w:t>opulation growth 0%; stagnant industrial growth; inadequate attention to enviro</w:t>
                  </w:r>
                  <w:r>
                    <w:rPr>
                      <w:sz w:val="20"/>
                    </w:rPr>
                    <w:t>n</w:t>
                  </w:r>
                  <w:r>
                    <w:rPr>
                      <w:sz w:val="20"/>
                    </w:rPr>
                    <w:t>mental management</w:t>
                  </w:r>
                </w:p>
              </w:txbxContent>
            </v:textbox>
          </v:shape>
        </w:pict>
      </w:r>
    </w:p>
    <w:p w:rsidR="00CE358F" w:rsidRDefault="001612AF" w:rsidP="00CE358F">
      <w:pPr>
        <w:spacing w:after="200" w:line="276" w:lineRule="auto"/>
        <w:jc w:val="both"/>
      </w:pPr>
      <w:r>
        <w:rPr>
          <w:noProof/>
        </w:rPr>
        <w:pict>
          <v:shape id="_x0000_s1033" type="#_x0000_t202" style="position:absolute;left:0;text-align:left;margin-left:-20.65pt;margin-top:.15pt;width:512.25pt;height:89.8pt;z-index:251675648">
            <v:textbox>
              <w:txbxContent>
                <w:p w:rsidR="00CE358F" w:rsidRDefault="00CE358F" w:rsidP="00CE358F">
                  <w:pPr>
                    <w:rPr>
                      <w:b/>
                      <w:sz w:val="20"/>
                    </w:rPr>
                  </w:pPr>
                  <w:r w:rsidRPr="00A13FCE">
                    <w:rPr>
                      <w:b/>
                      <w:sz w:val="20"/>
                    </w:rPr>
                    <w:t xml:space="preserve">Scenario </w:t>
                  </w:r>
                  <w:r>
                    <w:rPr>
                      <w:b/>
                      <w:sz w:val="20"/>
                    </w:rPr>
                    <w:t>3</w:t>
                  </w:r>
                  <w:r w:rsidRPr="00A13FCE">
                    <w:rPr>
                      <w:b/>
                      <w:sz w:val="20"/>
                    </w:rPr>
                    <w:t xml:space="preserve"> – </w:t>
                  </w:r>
                  <w:r>
                    <w:rPr>
                      <w:b/>
                      <w:sz w:val="20"/>
                    </w:rPr>
                    <w:t xml:space="preserve">Implications </w:t>
                  </w:r>
                </w:p>
                <w:p w:rsidR="00CE358F" w:rsidRDefault="00CE358F" w:rsidP="00CE358F">
                  <w:pPr>
                    <w:rPr>
                      <w:sz w:val="20"/>
                    </w:rPr>
                  </w:pPr>
                  <w:r w:rsidRPr="00594347">
                    <w:rPr>
                      <w:sz w:val="20"/>
                    </w:rPr>
                    <w:t xml:space="preserve">Tariffs unaffordable for 17% of the Maseru and 26% of the other </w:t>
                  </w:r>
                  <w:proofErr w:type="gramStart"/>
                  <w:r w:rsidRPr="00594347">
                    <w:rPr>
                      <w:sz w:val="20"/>
                    </w:rPr>
                    <w:t>Urban</w:t>
                  </w:r>
                  <w:proofErr w:type="gramEnd"/>
                  <w:r w:rsidRPr="00594347">
                    <w:rPr>
                      <w:sz w:val="20"/>
                    </w:rPr>
                    <w:t xml:space="preserve"> area population by 2035</w:t>
                  </w:r>
                </w:p>
                <w:p w:rsidR="00CE358F" w:rsidRDefault="00CE358F" w:rsidP="00CE358F">
                  <w:pPr>
                    <w:rPr>
                      <w:sz w:val="20"/>
                    </w:rPr>
                  </w:pPr>
                  <w:r>
                    <w:rPr>
                      <w:sz w:val="20"/>
                    </w:rPr>
                    <w:t>Tariff increase 4% above inflation is needed until 2015 and thereafter dropping to 1%</w:t>
                  </w:r>
                </w:p>
                <w:p w:rsidR="00CE358F" w:rsidRDefault="00CE358F" w:rsidP="00CE358F">
                  <w:pPr>
                    <w:rPr>
                      <w:sz w:val="20"/>
                    </w:rPr>
                  </w:pPr>
                  <w:r>
                    <w:rPr>
                      <w:sz w:val="20"/>
                    </w:rPr>
                    <w:t>Sector funding needs reduce sharply compared other scenarios and over time</w:t>
                  </w:r>
                </w:p>
                <w:p w:rsidR="00CE358F" w:rsidRDefault="00CE358F" w:rsidP="00CE358F">
                  <w:pPr>
                    <w:rPr>
                      <w:sz w:val="20"/>
                    </w:rPr>
                  </w:pPr>
                  <w:r>
                    <w:rPr>
                      <w:sz w:val="20"/>
                    </w:rPr>
                    <w:t>Public funding is a large proportion of sector funding both in the near and far term</w:t>
                  </w:r>
                </w:p>
                <w:p w:rsidR="00CE358F" w:rsidRDefault="00CE358F" w:rsidP="00CE358F">
                  <w:pPr>
                    <w:rPr>
                      <w:sz w:val="20"/>
                    </w:rPr>
                  </w:pPr>
                </w:p>
                <w:p w:rsidR="00CE358F" w:rsidRDefault="00CE358F" w:rsidP="00CE358F">
                  <w:pPr>
                    <w:rPr>
                      <w:sz w:val="20"/>
                    </w:rPr>
                  </w:pPr>
                </w:p>
                <w:p w:rsidR="00CE358F" w:rsidRPr="00E83008" w:rsidRDefault="00CE358F" w:rsidP="00CE358F">
                  <w:pPr>
                    <w:rPr>
                      <w:sz w:val="20"/>
                    </w:rPr>
                  </w:pPr>
                </w:p>
              </w:txbxContent>
            </v:textbox>
          </v:shape>
        </w:pict>
      </w:r>
    </w:p>
    <w:p w:rsidR="00CE358F" w:rsidRPr="00B00EB9" w:rsidRDefault="00CE358F" w:rsidP="00CE358F">
      <w:pPr>
        <w:spacing w:after="200" w:line="276" w:lineRule="auto"/>
        <w:jc w:val="both"/>
      </w:pPr>
    </w:p>
    <w:p w:rsidR="00CE358F" w:rsidRPr="00B00EB9" w:rsidRDefault="00CE358F" w:rsidP="00CE358F">
      <w:pPr>
        <w:spacing w:after="200" w:line="276" w:lineRule="auto"/>
        <w:jc w:val="both"/>
      </w:pPr>
    </w:p>
    <w:p w:rsidR="00CE358F" w:rsidRDefault="00CE358F" w:rsidP="00CE358F">
      <w:pPr>
        <w:spacing w:after="200" w:line="276" w:lineRule="auto"/>
        <w:jc w:val="both"/>
      </w:pPr>
    </w:p>
    <w:p w:rsidR="00CE358F" w:rsidRPr="00B00EB9" w:rsidRDefault="00CE358F" w:rsidP="00CE358F">
      <w:pPr>
        <w:jc w:val="both"/>
        <w:rPr>
          <w:b/>
          <w:sz w:val="22"/>
        </w:rPr>
      </w:pPr>
    </w:p>
    <w:p w:rsidR="001612AF" w:rsidRDefault="001612AF" w:rsidP="00CE358F">
      <w:pPr>
        <w:keepNext/>
        <w:jc w:val="both"/>
        <w:rPr>
          <w:b/>
        </w:rPr>
      </w:pPr>
    </w:p>
    <w:p w:rsidR="00CE358F" w:rsidRPr="0030366F" w:rsidRDefault="00CE358F" w:rsidP="00CE358F">
      <w:pPr>
        <w:keepNext/>
        <w:jc w:val="both"/>
        <w:rPr>
          <w:b/>
        </w:rPr>
      </w:pPr>
      <w:r w:rsidRPr="0030366F">
        <w:rPr>
          <w:b/>
        </w:rPr>
        <w:t>Key issues arising</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Urban water tariffs and ‘free basic water’</w:t>
      </w:r>
      <w:r w:rsidRPr="00B00EB9">
        <w:rPr>
          <w:rFonts w:ascii="Times New Roman" w:hAnsi="Times New Roman"/>
        </w:rPr>
        <w:t xml:space="preserve">: The increase that is needed in the WASA tariffs to provide full cost recovery for urban water services is substantial and this will have an impact on affordability for the poor. </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Urban water operating efficiencies:</w:t>
      </w:r>
      <w:r w:rsidRPr="00B00EB9">
        <w:rPr>
          <w:rFonts w:ascii="Times New Roman" w:hAnsi="Times New Roman"/>
        </w:rPr>
        <w:t xml:space="preserve"> The improvements in operating efficiencies of the urban w</w:t>
      </w:r>
      <w:r w:rsidRPr="00B00EB9">
        <w:rPr>
          <w:rFonts w:ascii="Times New Roman" w:hAnsi="Times New Roman"/>
        </w:rPr>
        <w:t>a</w:t>
      </w:r>
      <w:r w:rsidRPr="00B00EB9">
        <w:rPr>
          <w:rFonts w:ascii="Times New Roman" w:hAnsi="Times New Roman"/>
        </w:rPr>
        <w:t>ter services are crucial to sustain high growth scenarios and to achieve cost effective urban se</w:t>
      </w:r>
      <w:r w:rsidRPr="00B00EB9">
        <w:rPr>
          <w:rFonts w:ascii="Times New Roman" w:hAnsi="Times New Roman"/>
        </w:rPr>
        <w:t>r</w:t>
      </w:r>
      <w:r w:rsidRPr="00B00EB9">
        <w:rPr>
          <w:rFonts w:ascii="Times New Roman" w:hAnsi="Times New Roman"/>
        </w:rPr>
        <w:t xml:space="preserve">vices in the longer term. </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Bulk water supplies:</w:t>
      </w:r>
      <w:r w:rsidRPr="00B00EB9">
        <w:rPr>
          <w:rFonts w:ascii="Times New Roman" w:hAnsi="Times New Roman"/>
        </w:rPr>
        <w:t xml:space="preserve"> the implementation of the </w:t>
      </w:r>
      <w:proofErr w:type="spellStart"/>
      <w:r w:rsidRPr="00B00EB9">
        <w:rPr>
          <w:rFonts w:ascii="Times New Roman" w:hAnsi="Times New Roman"/>
        </w:rPr>
        <w:t>Metolong</w:t>
      </w:r>
      <w:proofErr w:type="spellEnd"/>
      <w:r w:rsidRPr="00B00EB9">
        <w:rPr>
          <w:rFonts w:ascii="Times New Roman" w:hAnsi="Times New Roman"/>
        </w:rPr>
        <w:t xml:space="preserve"> project is a major investment for the water sector that goes beyond even the 2035 demand.</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Rural Water implementation costs:</w:t>
      </w:r>
      <w:r w:rsidRPr="00B00EB9">
        <w:rPr>
          <w:rFonts w:ascii="Times New Roman" w:hAnsi="Times New Roman"/>
        </w:rPr>
        <w:t xml:space="preserve"> per capita costs for implementation of rural water systems have increased over the last 10 years for various reasons. Good coordination with the planning in urban areas and the lowlands bulk water systems would be required to avoid investment in pr</w:t>
      </w:r>
      <w:r w:rsidRPr="00B00EB9">
        <w:rPr>
          <w:rFonts w:ascii="Times New Roman" w:hAnsi="Times New Roman"/>
        </w:rPr>
        <w:t>o</w:t>
      </w:r>
      <w:r w:rsidRPr="00B00EB9">
        <w:rPr>
          <w:rFonts w:ascii="Times New Roman" w:hAnsi="Times New Roman"/>
        </w:rPr>
        <w:t xml:space="preserve">duction capacity in rural water systems that would later be served by the larger pipe systems. </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Rural Water O&amp;M:</w:t>
      </w:r>
      <w:r w:rsidRPr="00B00EB9">
        <w:rPr>
          <w:rFonts w:ascii="Times New Roman" w:hAnsi="Times New Roman"/>
        </w:rPr>
        <w:t xml:space="preserve"> The new water policy and the decentralisation provide an opportunity to improve consistency in strategy.  A consensus in the sector on the responsibilities of local gover</w:t>
      </w:r>
      <w:r w:rsidRPr="00B00EB9">
        <w:rPr>
          <w:rFonts w:ascii="Times New Roman" w:hAnsi="Times New Roman"/>
        </w:rPr>
        <w:t>n</w:t>
      </w:r>
      <w:r w:rsidRPr="00B00EB9">
        <w:rPr>
          <w:rFonts w:ascii="Times New Roman" w:hAnsi="Times New Roman"/>
        </w:rPr>
        <w:t xml:space="preserve">ments versus DRWS for support to O&amp;M combined with capacity building of the local councils and the village water committees could improve the functionality of the rural water systems and eventually reduce the investments in replacement of systems. </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Sewerage and Cleaner Technologies:</w:t>
      </w:r>
      <w:r w:rsidRPr="00B00EB9">
        <w:rPr>
          <w:rFonts w:ascii="Times New Roman" w:hAnsi="Times New Roman"/>
        </w:rPr>
        <w:t xml:space="preserve"> the treatment of industrial effluent needs attention as only 10% of the water supplied to industries enters the sewerage systems. Investment in cleaner tec</w:t>
      </w:r>
      <w:r w:rsidRPr="00B00EB9">
        <w:rPr>
          <w:rFonts w:ascii="Times New Roman" w:hAnsi="Times New Roman"/>
        </w:rPr>
        <w:t>h</w:t>
      </w:r>
      <w:r w:rsidRPr="00B00EB9">
        <w:rPr>
          <w:rFonts w:ascii="Times New Roman" w:hAnsi="Times New Roman"/>
        </w:rPr>
        <w:t xml:space="preserve">nologies might reduce the sewerage treatment investment and O&amp;M costs. Low cost sanitation is necessary. </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On-site sanitation:</w:t>
      </w:r>
      <w:r w:rsidRPr="00B00EB9">
        <w:rPr>
          <w:rFonts w:ascii="Times New Roman" w:hAnsi="Times New Roman"/>
        </w:rPr>
        <w:t xml:space="preserve"> The level of funding for on-site sanitation needs attention. The present su</w:t>
      </w:r>
      <w:r w:rsidRPr="00B00EB9">
        <w:rPr>
          <w:rFonts w:ascii="Times New Roman" w:hAnsi="Times New Roman"/>
        </w:rPr>
        <w:t>b</w:t>
      </w:r>
      <w:r w:rsidRPr="00B00EB9">
        <w:rPr>
          <w:rFonts w:ascii="Times New Roman" w:hAnsi="Times New Roman"/>
        </w:rPr>
        <w:t>sidy of 90% in rural areas is high and a good sanitation strategy with a mix of social marketing, hygiene education and different low cost technology options could possibly reduce the gover</w:t>
      </w:r>
      <w:r w:rsidRPr="00B00EB9">
        <w:rPr>
          <w:rFonts w:ascii="Times New Roman" w:hAnsi="Times New Roman"/>
        </w:rPr>
        <w:t>n</w:t>
      </w:r>
      <w:r w:rsidRPr="00B00EB9">
        <w:rPr>
          <w:rFonts w:ascii="Times New Roman" w:hAnsi="Times New Roman"/>
        </w:rPr>
        <w:t xml:space="preserve">ment’s investment requirements. </w:t>
      </w:r>
      <w:r>
        <w:rPr>
          <w:rFonts w:ascii="Times New Roman" w:hAnsi="Times New Roman"/>
        </w:rPr>
        <w:t>The income levels in rural areas however indicate that substa</w:t>
      </w:r>
      <w:r>
        <w:rPr>
          <w:rFonts w:ascii="Times New Roman" w:hAnsi="Times New Roman"/>
        </w:rPr>
        <w:t>n</w:t>
      </w:r>
      <w:r>
        <w:rPr>
          <w:rFonts w:ascii="Times New Roman" w:hAnsi="Times New Roman"/>
        </w:rPr>
        <w:t>tial subsidies will be needed to reach the sanitation targets.</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Private investments</w:t>
      </w:r>
      <w:r w:rsidRPr="00B00EB9">
        <w:rPr>
          <w:rFonts w:ascii="Times New Roman" w:hAnsi="Times New Roman"/>
        </w:rPr>
        <w:t>: Private investments in the water sector in Lesotho beyond the investments in self-supply could be considered e.g. irrigation and industrial sewerage treatment could be relevant for private public partnerships.</w:t>
      </w:r>
    </w:p>
    <w:p w:rsidR="00CE358F" w:rsidRPr="00B00EB9" w:rsidRDefault="00CE358F" w:rsidP="00CE358F">
      <w:pPr>
        <w:pStyle w:val="ListParagraph"/>
        <w:numPr>
          <w:ilvl w:val="0"/>
          <w:numId w:val="3"/>
        </w:numPr>
        <w:ind w:left="360"/>
        <w:jc w:val="both"/>
        <w:rPr>
          <w:rFonts w:ascii="Times New Roman" w:hAnsi="Times New Roman"/>
        </w:rPr>
      </w:pPr>
      <w:r w:rsidRPr="00B00EB9">
        <w:rPr>
          <w:rFonts w:ascii="Times New Roman" w:hAnsi="Times New Roman"/>
          <w:u w:val="single"/>
        </w:rPr>
        <w:t>Increased funding:</w:t>
      </w:r>
      <w:r w:rsidRPr="00B00EB9">
        <w:rPr>
          <w:rFonts w:ascii="Times New Roman" w:hAnsi="Times New Roman"/>
        </w:rPr>
        <w:t xml:space="preserve"> The funding gap for achieving the ambitious target of full coverage by 2020 could be closed by lowering the target – or increase the government and donor grant funding to the sector. Loan funding could be considered for the part of the funding that is for the urban w</w:t>
      </w:r>
      <w:r w:rsidRPr="00B00EB9">
        <w:rPr>
          <w:rFonts w:ascii="Times New Roman" w:hAnsi="Times New Roman"/>
        </w:rPr>
        <w:t>a</w:t>
      </w:r>
      <w:r w:rsidRPr="00B00EB9">
        <w:rPr>
          <w:rFonts w:ascii="Times New Roman" w:hAnsi="Times New Roman"/>
        </w:rPr>
        <w:t>ter and sewerage and the bulk water supplies where there are prospects of cost recovery</w:t>
      </w:r>
    </w:p>
    <w:p w:rsidR="00CE358F" w:rsidRPr="00B00EB9" w:rsidRDefault="00CE358F" w:rsidP="00CE358F">
      <w:pPr>
        <w:jc w:val="both"/>
        <w:rPr>
          <w:b/>
          <w:sz w:val="22"/>
        </w:rPr>
      </w:pPr>
    </w:p>
    <w:p w:rsidR="00CE358F" w:rsidRPr="00DB54E0" w:rsidRDefault="00CE358F" w:rsidP="00CE358F">
      <w:pPr>
        <w:keepNext/>
        <w:jc w:val="both"/>
        <w:rPr>
          <w:b/>
        </w:rPr>
      </w:pPr>
      <w:r w:rsidRPr="00DB54E0">
        <w:rPr>
          <w:b/>
        </w:rPr>
        <w:t>Development options and interventions</w:t>
      </w:r>
    </w:p>
    <w:p w:rsidR="00CE358F" w:rsidRPr="00B00EB9" w:rsidRDefault="00CE358F" w:rsidP="00CE358F">
      <w:pPr>
        <w:jc w:val="both"/>
        <w:rPr>
          <w:sz w:val="22"/>
        </w:rPr>
      </w:pPr>
      <w:r w:rsidRPr="00B00EB9">
        <w:rPr>
          <w:sz w:val="22"/>
        </w:rPr>
        <w:t>Development options that arise from the financial mode</w:t>
      </w:r>
      <w:r>
        <w:rPr>
          <w:sz w:val="22"/>
        </w:rPr>
        <w:t>l</w:t>
      </w:r>
      <w:r w:rsidRPr="00B00EB9">
        <w:rPr>
          <w:sz w:val="22"/>
        </w:rPr>
        <w:t xml:space="preserve">ling include: </w:t>
      </w:r>
    </w:p>
    <w:p w:rsidR="00CE358F" w:rsidRPr="00B00EB9" w:rsidRDefault="00CE358F" w:rsidP="00CE358F">
      <w:pPr>
        <w:pStyle w:val="ListParagraph"/>
        <w:keepNext/>
        <w:numPr>
          <w:ilvl w:val="0"/>
          <w:numId w:val="9"/>
        </w:numPr>
        <w:jc w:val="both"/>
        <w:rPr>
          <w:rFonts w:ascii="Times New Roman" w:hAnsi="Times New Roman"/>
          <w:u w:val="single"/>
        </w:rPr>
      </w:pPr>
      <w:r w:rsidRPr="00B00EB9">
        <w:rPr>
          <w:rFonts w:ascii="Times New Roman" w:hAnsi="Times New Roman"/>
          <w:u w:val="single"/>
        </w:rPr>
        <w:t>Urban water:</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Comprehensive programme on calibration and replacement of old water meters</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Specific programme on zoning and metering supply areas to identify and reduce </w:t>
      </w:r>
      <w:proofErr w:type="spellStart"/>
      <w:r w:rsidRPr="00B00EB9">
        <w:rPr>
          <w:rFonts w:ascii="Times New Roman" w:hAnsi="Times New Roman"/>
        </w:rPr>
        <w:t>UfW</w:t>
      </w:r>
      <w:proofErr w:type="spellEnd"/>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Improved customer registration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Improved management of groundwater sources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Increased connection rates in urban areas – high connection fees and low tariffs favo</w:t>
      </w:r>
      <w:r>
        <w:rPr>
          <w:rFonts w:ascii="Times New Roman" w:hAnsi="Times New Roman"/>
        </w:rPr>
        <w:t>u</w:t>
      </w:r>
      <w:r w:rsidRPr="00B00EB9">
        <w:rPr>
          <w:rFonts w:ascii="Times New Roman" w:hAnsi="Times New Roman"/>
        </w:rPr>
        <w:t xml:space="preserve">r those already supplied. </w:t>
      </w:r>
    </w:p>
    <w:p w:rsidR="00CE358F" w:rsidRPr="00B00EB9" w:rsidRDefault="00CE358F" w:rsidP="00CE358F">
      <w:pPr>
        <w:pStyle w:val="ListParagraph"/>
        <w:keepNext/>
        <w:numPr>
          <w:ilvl w:val="0"/>
          <w:numId w:val="9"/>
        </w:numPr>
        <w:jc w:val="both"/>
        <w:rPr>
          <w:rFonts w:ascii="Times New Roman" w:hAnsi="Times New Roman"/>
          <w:u w:val="single"/>
        </w:rPr>
      </w:pPr>
      <w:r w:rsidRPr="00B00EB9">
        <w:rPr>
          <w:rFonts w:ascii="Times New Roman" w:hAnsi="Times New Roman"/>
          <w:u w:val="single"/>
        </w:rPr>
        <w:t>Rural Water and Sanitation:</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Investment in long-term planning of regional water schemes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Subsidising rainwater harvesting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Improved planning and coordination with Local Authorities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More emphasis on developing capacity in Local Authorities and community structures for ma</w:t>
      </w:r>
      <w:r w:rsidRPr="00B00EB9">
        <w:rPr>
          <w:rFonts w:ascii="Times New Roman" w:hAnsi="Times New Roman"/>
        </w:rPr>
        <w:t>n</w:t>
      </w:r>
      <w:r w:rsidRPr="00B00EB9">
        <w:rPr>
          <w:rFonts w:ascii="Times New Roman" w:hAnsi="Times New Roman"/>
        </w:rPr>
        <w:t>agement, operation and maintenance to reduce the non-functioning supplies</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Options for on-site sanitation technologies other than the VIP latrines</w:t>
      </w:r>
    </w:p>
    <w:p w:rsidR="00CE358F" w:rsidRPr="00B00EB9" w:rsidRDefault="00CE358F" w:rsidP="00CE358F">
      <w:pPr>
        <w:pStyle w:val="ListParagraph"/>
        <w:keepNext/>
        <w:numPr>
          <w:ilvl w:val="0"/>
          <w:numId w:val="9"/>
        </w:numPr>
        <w:jc w:val="both"/>
        <w:rPr>
          <w:rFonts w:ascii="Times New Roman" w:hAnsi="Times New Roman"/>
          <w:u w:val="single"/>
        </w:rPr>
      </w:pPr>
      <w:r w:rsidRPr="00B00EB9">
        <w:rPr>
          <w:rFonts w:ascii="Times New Roman" w:hAnsi="Times New Roman"/>
          <w:u w:val="single"/>
        </w:rPr>
        <w:t>Lowlands Bulk Water Supplies:</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Models for supply to rural communities e.g. supply into existing reservoirs, private networks.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Use of highland water resources for the lowlands when the water sources for the present schemes are inadequate.</w:t>
      </w:r>
    </w:p>
    <w:p w:rsidR="00CE358F" w:rsidRPr="00B00EB9" w:rsidRDefault="00CE358F" w:rsidP="00CE358F">
      <w:pPr>
        <w:pStyle w:val="ListParagraph"/>
        <w:keepNext/>
        <w:numPr>
          <w:ilvl w:val="0"/>
          <w:numId w:val="9"/>
        </w:numPr>
        <w:jc w:val="both"/>
        <w:rPr>
          <w:rFonts w:ascii="Times New Roman" w:hAnsi="Times New Roman"/>
          <w:u w:val="single"/>
        </w:rPr>
      </w:pPr>
      <w:r w:rsidRPr="00B00EB9">
        <w:rPr>
          <w:rFonts w:ascii="Times New Roman" w:hAnsi="Times New Roman"/>
          <w:u w:val="single"/>
        </w:rPr>
        <w:t>Free Basic Water</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Clarification is needed on how the vulnerable households are identified</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In the WASA supply areas, vulnerable households could be provided with a pre-paid or post metered connection</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Difficult to administer where connections are shared.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In community managed rural water systems the Local Authorities could provide contributions to O&amp;M costs for the vulnerable households (welfare)</w:t>
      </w:r>
    </w:p>
    <w:p w:rsidR="00CE358F" w:rsidRPr="00B00EB9" w:rsidRDefault="00CE358F" w:rsidP="00CE358F">
      <w:pPr>
        <w:pStyle w:val="ListParagraph"/>
        <w:keepNext/>
        <w:numPr>
          <w:ilvl w:val="0"/>
          <w:numId w:val="9"/>
        </w:numPr>
        <w:jc w:val="both"/>
        <w:rPr>
          <w:rFonts w:ascii="Times New Roman" w:hAnsi="Times New Roman"/>
          <w:u w:val="single"/>
        </w:rPr>
      </w:pPr>
      <w:r w:rsidRPr="00B00EB9">
        <w:rPr>
          <w:rFonts w:ascii="Times New Roman" w:hAnsi="Times New Roman"/>
          <w:u w:val="single"/>
        </w:rPr>
        <w:t>Water Services Planning:</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The planning between WASA, DRWS and the implementation of the lowlands bulk water sy</w:t>
      </w:r>
      <w:r w:rsidRPr="00B00EB9">
        <w:rPr>
          <w:rFonts w:ascii="Times New Roman" w:hAnsi="Times New Roman"/>
        </w:rPr>
        <w:t>s</w:t>
      </w:r>
      <w:r w:rsidRPr="00B00EB9">
        <w:rPr>
          <w:rFonts w:ascii="Times New Roman" w:hAnsi="Times New Roman"/>
        </w:rPr>
        <w:t xml:space="preserve">tems needs to be improved to avoid the present situation with overlapping systems.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 xml:space="preserve">The possibility of establishing the capacity for overall water services planning in the COW’s office, possibly in a strengthened PPSU or Lowlands Unit or a combination of the two could be considered. </w:t>
      </w:r>
    </w:p>
    <w:p w:rsidR="00CE358F" w:rsidRPr="00B00EB9" w:rsidRDefault="00CE358F" w:rsidP="00CE358F">
      <w:pPr>
        <w:pStyle w:val="ListParagraph"/>
        <w:numPr>
          <w:ilvl w:val="0"/>
          <w:numId w:val="2"/>
        </w:numPr>
        <w:ind w:left="426" w:hanging="426"/>
        <w:jc w:val="both"/>
        <w:rPr>
          <w:rFonts w:ascii="Times New Roman" w:hAnsi="Times New Roman"/>
        </w:rPr>
      </w:pPr>
      <w:r w:rsidRPr="00B00EB9">
        <w:rPr>
          <w:rFonts w:ascii="Times New Roman" w:hAnsi="Times New Roman"/>
        </w:rPr>
        <w:t>The SFPM would be one of the tools that could be further developed together with a GIS system to improve the planning capacities.</w:t>
      </w:r>
    </w:p>
    <w:p w:rsidR="00CE358F" w:rsidRPr="00B00EB9" w:rsidRDefault="00CE358F" w:rsidP="00CE358F">
      <w:pPr>
        <w:jc w:val="both"/>
        <w:rPr>
          <w:sz w:val="22"/>
        </w:rPr>
      </w:pPr>
    </w:p>
    <w:p w:rsidR="00CE358F" w:rsidRPr="00B00EB9" w:rsidRDefault="00CE358F" w:rsidP="00CE358F">
      <w:pPr>
        <w:jc w:val="both"/>
        <w:rPr>
          <w:sz w:val="22"/>
        </w:rPr>
      </w:pPr>
      <w:r w:rsidRPr="00B00EB9">
        <w:rPr>
          <w:sz w:val="22"/>
        </w:rPr>
        <w:t xml:space="preserve">Of these 5 interventions the two highest priorities are: </w:t>
      </w:r>
    </w:p>
    <w:p w:rsidR="00CE358F" w:rsidRPr="00B00EB9" w:rsidRDefault="00CE358F" w:rsidP="00CE358F">
      <w:pPr>
        <w:pStyle w:val="ListParagraph"/>
        <w:numPr>
          <w:ilvl w:val="0"/>
          <w:numId w:val="10"/>
        </w:numPr>
        <w:jc w:val="both"/>
        <w:rPr>
          <w:rFonts w:ascii="Times New Roman" w:hAnsi="Times New Roman"/>
        </w:rPr>
      </w:pPr>
      <w:r w:rsidRPr="00B00EB9">
        <w:rPr>
          <w:rFonts w:ascii="Times New Roman" w:hAnsi="Times New Roman"/>
        </w:rPr>
        <w:t>Improving connections in urban areas</w:t>
      </w:r>
    </w:p>
    <w:p w:rsidR="00CE358F" w:rsidRPr="00B00EB9" w:rsidRDefault="00CE358F" w:rsidP="00CE358F">
      <w:pPr>
        <w:pStyle w:val="ListParagraph"/>
        <w:numPr>
          <w:ilvl w:val="0"/>
          <w:numId w:val="10"/>
        </w:numPr>
        <w:jc w:val="both"/>
        <w:rPr>
          <w:rFonts w:ascii="Times New Roman" w:hAnsi="Times New Roman"/>
        </w:rPr>
      </w:pPr>
      <w:r w:rsidRPr="00B00EB9">
        <w:rPr>
          <w:rFonts w:ascii="Times New Roman" w:hAnsi="Times New Roman"/>
        </w:rPr>
        <w:t xml:space="preserve">Developing a workable strategy for the free basic water policy </w:t>
      </w:r>
    </w:p>
    <w:p w:rsidR="00CE358F" w:rsidRPr="00B00EB9" w:rsidRDefault="00CE358F" w:rsidP="00CE358F">
      <w:pPr>
        <w:jc w:val="both"/>
        <w:rPr>
          <w:sz w:val="22"/>
        </w:rPr>
      </w:pPr>
    </w:p>
    <w:p w:rsidR="00CE358F" w:rsidRPr="00DB54E0" w:rsidRDefault="00CE358F" w:rsidP="00CE358F">
      <w:pPr>
        <w:keepNext/>
        <w:jc w:val="both"/>
        <w:rPr>
          <w:b/>
        </w:rPr>
      </w:pPr>
      <w:r w:rsidRPr="00DB54E0">
        <w:rPr>
          <w:b/>
        </w:rPr>
        <w:t>Capacity Development</w:t>
      </w:r>
    </w:p>
    <w:p w:rsidR="00CE358F" w:rsidRPr="008F0F4C" w:rsidRDefault="00CE358F" w:rsidP="00CE358F">
      <w:pPr>
        <w:jc w:val="both"/>
        <w:rPr>
          <w:sz w:val="22"/>
          <w:szCs w:val="22"/>
        </w:rPr>
      </w:pPr>
      <w:r w:rsidRPr="008F0F4C">
        <w:rPr>
          <w:sz w:val="22"/>
          <w:szCs w:val="22"/>
        </w:rPr>
        <w:t xml:space="preserve">The aim of the capacity development activities of the strategic financial planning project is to ensure that the planning tools and methodology will become an integrated part of the planning process in the water sector. </w:t>
      </w:r>
    </w:p>
    <w:p w:rsidR="00CE358F" w:rsidRPr="008F0F4C" w:rsidRDefault="00CE358F" w:rsidP="00CE358F">
      <w:pPr>
        <w:jc w:val="both"/>
        <w:rPr>
          <w:sz w:val="22"/>
          <w:szCs w:val="22"/>
        </w:rPr>
      </w:pPr>
      <w:r w:rsidRPr="008F0F4C">
        <w:rPr>
          <w:sz w:val="22"/>
          <w:szCs w:val="22"/>
        </w:rPr>
        <w:t>This is achieved by combining practical hands-on participation in the development of the planning tools with specific training sessions on relevant aspects as identified in the process. The T</w:t>
      </w:r>
      <w:r>
        <w:rPr>
          <w:sz w:val="22"/>
          <w:szCs w:val="22"/>
        </w:rPr>
        <w:t>echnical Working Group (T</w:t>
      </w:r>
      <w:r w:rsidRPr="008F0F4C">
        <w:rPr>
          <w:sz w:val="22"/>
          <w:szCs w:val="22"/>
        </w:rPr>
        <w:t>WG</w:t>
      </w:r>
      <w:r>
        <w:rPr>
          <w:sz w:val="22"/>
          <w:szCs w:val="22"/>
        </w:rPr>
        <w:t>)</w:t>
      </w:r>
      <w:r w:rsidRPr="008F0F4C">
        <w:rPr>
          <w:sz w:val="22"/>
          <w:szCs w:val="22"/>
        </w:rPr>
        <w:t xml:space="preserve"> has received training in the use of the FEASIBLE tool by COWI, the deve</w:t>
      </w:r>
      <w:r w:rsidRPr="008F0F4C">
        <w:rPr>
          <w:sz w:val="22"/>
          <w:szCs w:val="22"/>
        </w:rPr>
        <w:t>l</w:t>
      </w:r>
      <w:r w:rsidRPr="008F0F4C">
        <w:rPr>
          <w:sz w:val="22"/>
          <w:szCs w:val="22"/>
        </w:rPr>
        <w:t>opers of the tool.</w:t>
      </w:r>
    </w:p>
    <w:p w:rsidR="00CE358F" w:rsidRPr="008F0F4C" w:rsidRDefault="00CE358F" w:rsidP="00CE358F">
      <w:pPr>
        <w:jc w:val="both"/>
        <w:rPr>
          <w:sz w:val="22"/>
          <w:szCs w:val="22"/>
        </w:rPr>
      </w:pPr>
      <w:r w:rsidRPr="008F0F4C">
        <w:rPr>
          <w:sz w:val="22"/>
          <w:szCs w:val="22"/>
        </w:rPr>
        <w:t>The methodologies and tools developed by this strategic financial planning project are only likely to be sustained if the use of the tools is embedded in the existing/ future planning procedures in the se</w:t>
      </w:r>
      <w:r w:rsidRPr="008F0F4C">
        <w:rPr>
          <w:sz w:val="22"/>
          <w:szCs w:val="22"/>
        </w:rPr>
        <w:t>c</w:t>
      </w:r>
      <w:r w:rsidRPr="008F0F4C">
        <w:rPr>
          <w:sz w:val="22"/>
          <w:szCs w:val="22"/>
        </w:rPr>
        <w:t>tor institutions. Embedding of the strategic financial planning in the institutional set up of Lesotho will require:  explicit allocation of resources and responsibility, clear chains of accountability linked to institutional mandate and adjusted job descriptions where relevant and sustaining of relevant inter-agency communication channels.</w:t>
      </w:r>
    </w:p>
    <w:p w:rsidR="00CE358F" w:rsidRPr="008F0F4C" w:rsidRDefault="00CE358F" w:rsidP="00CE358F">
      <w:pPr>
        <w:jc w:val="both"/>
        <w:rPr>
          <w:sz w:val="22"/>
          <w:szCs w:val="22"/>
        </w:rPr>
      </w:pPr>
      <w:r w:rsidRPr="008F0F4C">
        <w:rPr>
          <w:sz w:val="22"/>
          <w:szCs w:val="22"/>
        </w:rPr>
        <w:t>The capacity building activities have been regarded as an integrated part of the design of the tools and the planning processes. This has implied that the data requirements for the SFPM are structured according to the existing planning tools such as the WASA Financial Model, the DRWS District I</w:t>
      </w:r>
      <w:r w:rsidRPr="008F0F4C">
        <w:rPr>
          <w:sz w:val="22"/>
          <w:szCs w:val="22"/>
        </w:rPr>
        <w:t>n</w:t>
      </w:r>
      <w:r w:rsidRPr="008F0F4C">
        <w:rPr>
          <w:sz w:val="22"/>
          <w:szCs w:val="22"/>
        </w:rPr>
        <w:t xml:space="preserve">formation System (DIS) and the modelling done as part of the </w:t>
      </w:r>
      <w:r>
        <w:rPr>
          <w:sz w:val="22"/>
          <w:szCs w:val="22"/>
        </w:rPr>
        <w:t xml:space="preserve">Lowlands Bulk Water Supply </w:t>
      </w:r>
      <w:r w:rsidRPr="008F0F4C">
        <w:rPr>
          <w:sz w:val="22"/>
          <w:szCs w:val="22"/>
        </w:rPr>
        <w:t>detailed design.</w:t>
      </w:r>
    </w:p>
    <w:p w:rsidR="00CE358F" w:rsidRPr="00DB54E0" w:rsidRDefault="00CE358F" w:rsidP="00CE358F">
      <w:pPr>
        <w:keepNext/>
        <w:jc w:val="both"/>
        <w:rPr>
          <w:b/>
        </w:rPr>
      </w:pPr>
      <w:r>
        <w:rPr>
          <w:b/>
        </w:rPr>
        <w:t>Integration</w:t>
      </w:r>
    </w:p>
    <w:p w:rsidR="00CE358F" w:rsidRPr="001807C5" w:rsidRDefault="00CE358F" w:rsidP="00CE358F">
      <w:pPr>
        <w:jc w:val="both"/>
        <w:rPr>
          <w:sz w:val="22"/>
          <w:szCs w:val="22"/>
        </w:rPr>
      </w:pPr>
      <w:r w:rsidRPr="00F25FEC">
        <w:rPr>
          <w:sz w:val="22"/>
          <w:szCs w:val="22"/>
        </w:rPr>
        <w:t xml:space="preserve">The Institutional Responsibilities for water services </w:t>
      </w:r>
      <w:r>
        <w:rPr>
          <w:sz w:val="22"/>
          <w:szCs w:val="22"/>
        </w:rPr>
        <w:t xml:space="preserve">in Lesotho </w:t>
      </w:r>
      <w:r w:rsidRPr="00F25FEC">
        <w:rPr>
          <w:sz w:val="22"/>
          <w:szCs w:val="22"/>
        </w:rPr>
        <w:t xml:space="preserve">are described in Chapter </w:t>
      </w:r>
      <w:r>
        <w:rPr>
          <w:sz w:val="22"/>
          <w:szCs w:val="22"/>
        </w:rPr>
        <w:t>4</w:t>
      </w:r>
      <w:r w:rsidRPr="00F25FEC">
        <w:rPr>
          <w:sz w:val="22"/>
          <w:szCs w:val="22"/>
        </w:rPr>
        <w:t>.1</w:t>
      </w:r>
      <w:r>
        <w:rPr>
          <w:sz w:val="22"/>
          <w:szCs w:val="22"/>
        </w:rPr>
        <w:t>. In line with these responsibilities, t</w:t>
      </w:r>
      <w:r w:rsidRPr="001807C5">
        <w:rPr>
          <w:sz w:val="22"/>
          <w:szCs w:val="22"/>
        </w:rPr>
        <w:t>he national level responsibilities and institutional anchorage for the pla</w:t>
      </w:r>
      <w:r w:rsidRPr="001807C5">
        <w:rPr>
          <w:sz w:val="22"/>
          <w:szCs w:val="22"/>
        </w:rPr>
        <w:t>n</w:t>
      </w:r>
      <w:r w:rsidRPr="001807C5">
        <w:rPr>
          <w:sz w:val="22"/>
          <w:szCs w:val="22"/>
        </w:rPr>
        <w:t>ning tools can therefore be summarized as:</w:t>
      </w:r>
    </w:p>
    <w:p w:rsidR="00CE358F" w:rsidRPr="001807C5" w:rsidRDefault="00CE358F" w:rsidP="00CE358F">
      <w:pPr>
        <w:pStyle w:val="ListParagraph"/>
        <w:numPr>
          <w:ilvl w:val="0"/>
          <w:numId w:val="11"/>
        </w:numPr>
        <w:rPr>
          <w:rFonts w:ascii="Times New Roman" w:hAnsi="Times New Roman"/>
        </w:rPr>
      </w:pPr>
      <w:r w:rsidRPr="001807C5">
        <w:rPr>
          <w:rFonts w:ascii="Times New Roman" w:hAnsi="Times New Roman"/>
        </w:rPr>
        <w:t>MNR, Planning Unit: coordinate overall planning and budgeting for the water services b</w:t>
      </w:r>
      <w:r w:rsidRPr="001807C5">
        <w:rPr>
          <w:rFonts w:ascii="Times New Roman" w:hAnsi="Times New Roman"/>
        </w:rPr>
        <w:t>e</w:t>
      </w:r>
      <w:r w:rsidRPr="001807C5">
        <w:rPr>
          <w:rFonts w:ascii="Times New Roman" w:hAnsi="Times New Roman"/>
        </w:rPr>
        <w:t>tween the sector institutions in particular the P</w:t>
      </w:r>
      <w:r>
        <w:rPr>
          <w:rFonts w:ascii="Times New Roman" w:hAnsi="Times New Roman"/>
        </w:rPr>
        <w:t>olicy Planning and Strategy Unit (</w:t>
      </w:r>
      <w:r w:rsidRPr="001807C5">
        <w:rPr>
          <w:rFonts w:ascii="Times New Roman" w:hAnsi="Times New Roman"/>
        </w:rPr>
        <w:t>PPSU</w:t>
      </w:r>
      <w:r>
        <w:rPr>
          <w:rFonts w:ascii="Times New Roman" w:hAnsi="Times New Roman"/>
        </w:rPr>
        <w:t>)</w:t>
      </w:r>
      <w:r w:rsidRPr="001807C5">
        <w:rPr>
          <w:rFonts w:ascii="Times New Roman" w:hAnsi="Times New Roman"/>
        </w:rPr>
        <w:t xml:space="preserve"> and the Ministry of Finance;</w:t>
      </w:r>
    </w:p>
    <w:p w:rsidR="00CE358F" w:rsidRPr="001807C5" w:rsidRDefault="00CE358F" w:rsidP="00CE358F">
      <w:pPr>
        <w:pStyle w:val="ListParagraph"/>
        <w:numPr>
          <w:ilvl w:val="0"/>
          <w:numId w:val="11"/>
        </w:numPr>
        <w:rPr>
          <w:rFonts w:ascii="Times New Roman" w:hAnsi="Times New Roman"/>
        </w:rPr>
      </w:pPr>
      <w:r w:rsidRPr="001807C5">
        <w:rPr>
          <w:rFonts w:ascii="Times New Roman" w:hAnsi="Times New Roman"/>
        </w:rPr>
        <w:t>COW’s Office</w:t>
      </w:r>
      <w:r>
        <w:rPr>
          <w:rFonts w:ascii="Times New Roman" w:hAnsi="Times New Roman"/>
        </w:rPr>
        <w:t xml:space="preserve"> P</w:t>
      </w:r>
      <w:r w:rsidRPr="001807C5">
        <w:rPr>
          <w:rFonts w:ascii="Times New Roman" w:hAnsi="Times New Roman"/>
        </w:rPr>
        <w:t>PSU: use of the strategic planning tools to provide input into the MTEF budgeting process in close cooperation with planners in DRWS and WASA and depending on data from the Monitoring Unit;</w:t>
      </w:r>
    </w:p>
    <w:p w:rsidR="00CE358F" w:rsidRPr="001807C5" w:rsidRDefault="00CE358F" w:rsidP="00CE358F">
      <w:pPr>
        <w:pStyle w:val="ListParagraph"/>
        <w:numPr>
          <w:ilvl w:val="0"/>
          <w:numId w:val="11"/>
        </w:numPr>
        <w:rPr>
          <w:rFonts w:ascii="Times New Roman" w:hAnsi="Times New Roman"/>
        </w:rPr>
      </w:pPr>
      <w:r w:rsidRPr="001807C5">
        <w:rPr>
          <w:rFonts w:ascii="Times New Roman" w:hAnsi="Times New Roman"/>
        </w:rPr>
        <w:t>COW’s Office Monitoring Unit: provide accurate data on the water services for the strategic planning tools based on the monitoring systems in DRWS and WASA;</w:t>
      </w:r>
    </w:p>
    <w:p w:rsidR="00CE358F" w:rsidRPr="001807C5" w:rsidRDefault="00CE358F" w:rsidP="00CE358F">
      <w:pPr>
        <w:pStyle w:val="ListParagraph"/>
        <w:numPr>
          <w:ilvl w:val="0"/>
          <w:numId w:val="11"/>
        </w:numPr>
        <w:rPr>
          <w:rFonts w:ascii="Times New Roman" w:hAnsi="Times New Roman"/>
        </w:rPr>
      </w:pPr>
      <w:r w:rsidRPr="001807C5">
        <w:rPr>
          <w:rFonts w:ascii="Times New Roman" w:hAnsi="Times New Roman"/>
        </w:rPr>
        <w:t>COW’s Office, LLWSU: contribute to the overall strategic planning b</w:t>
      </w:r>
      <w:r>
        <w:rPr>
          <w:rFonts w:ascii="Times New Roman" w:hAnsi="Times New Roman"/>
        </w:rPr>
        <w:t>y</w:t>
      </w:r>
      <w:r w:rsidRPr="001807C5">
        <w:rPr>
          <w:rFonts w:ascii="Times New Roman" w:hAnsi="Times New Roman"/>
        </w:rPr>
        <w:t xml:space="preserve"> advising the PPSU on the data, plans, costs etc for the implementation of the LLWSP;</w:t>
      </w:r>
    </w:p>
    <w:p w:rsidR="00CE358F" w:rsidRPr="001807C5" w:rsidRDefault="00CE358F" w:rsidP="00CE358F">
      <w:pPr>
        <w:pStyle w:val="ListParagraph"/>
        <w:numPr>
          <w:ilvl w:val="0"/>
          <w:numId w:val="11"/>
        </w:numPr>
        <w:rPr>
          <w:rFonts w:ascii="Times New Roman" w:hAnsi="Times New Roman"/>
        </w:rPr>
      </w:pPr>
      <w:r w:rsidRPr="001807C5">
        <w:rPr>
          <w:rFonts w:ascii="Times New Roman" w:hAnsi="Times New Roman"/>
        </w:rPr>
        <w:t>Department of Water Affairs: monitoring of water resources and advice to the COWs office on the availability of water resources for provision of water services;</w:t>
      </w:r>
    </w:p>
    <w:p w:rsidR="00CE358F" w:rsidRPr="001807C5" w:rsidRDefault="00CE358F" w:rsidP="00CE358F">
      <w:pPr>
        <w:pStyle w:val="ListParagraph"/>
        <w:numPr>
          <w:ilvl w:val="0"/>
          <w:numId w:val="11"/>
        </w:numPr>
        <w:rPr>
          <w:rFonts w:ascii="Times New Roman" w:hAnsi="Times New Roman"/>
        </w:rPr>
      </w:pPr>
      <w:r w:rsidRPr="001807C5">
        <w:rPr>
          <w:rFonts w:ascii="Times New Roman" w:hAnsi="Times New Roman"/>
        </w:rPr>
        <w:t>DRWS: monitoring of rural water supplies and compilation of plans for water services in r</w:t>
      </w:r>
      <w:r w:rsidRPr="001807C5">
        <w:rPr>
          <w:rFonts w:ascii="Times New Roman" w:hAnsi="Times New Roman"/>
        </w:rPr>
        <w:t>u</w:t>
      </w:r>
      <w:r w:rsidRPr="001807C5">
        <w:rPr>
          <w:rFonts w:ascii="Times New Roman" w:hAnsi="Times New Roman"/>
        </w:rPr>
        <w:t>ral areas based on data and plans from the local authorities. Provide data to the COW’s Monitoring Unit on rural water and sanitation and information on rural water plans to the PPSU;</w:t>
      </w:r>
    </w:p>
    <w:p w:rsidR="00CE358F" w:rsidRPr="001807C5" w:rsidRDefault="00CE358F" w:rsidP="00CE358F">
      <w:pPr>
        <w:pStyle w:val="ListParagraph"/>
        <w:numPr>
          <w:ilvl w:val="0"/>
          <w:numId w:val="11"/>
        </w:numPr>
        <w:rPr>
          <w:rFonts w:ascii="Times New Roman" w:hAnsi="Times New Roman"/>
        </w:rPr>
      </w:pPr>
      <w:r w:rsidRPr="001807C5">
        <w:rPr>
          <w:rFonts w:ascii="Times New Roman" w:hAnsi="Times New Roman"/>
        </w:rPr>
        <w:t>WASA: monitoring of the urban water and sewerage services and preparation of expansion plans for urban services. Provide data to the COW’s Monitoring Unit on urban water se</w:t>
      </w:r>
      <w:r w:rsidRPr="001807C5">
        <w:rPr>
          <w:rFonts w:ascii="Times New Roman" w:hAnsi="Times New Roman"/>
        </w:rPr>
        <w:t>r</w:t>
      </w:r>
      <w:r w:rsidRPr="001807C5">
        <w:rPr>
          <w:rFonts w:ascii="Times New Roman" w:hAnsi="Times New Roman"/>
        </w:rPr>
        <w:t>vices and plans for expansion of services to the PPSU</w:t>
      </w:r>
    </w:p>
    <w:p w:rsidR="00CE358F" w:rsidRPr="001807C5" w:rsidRDefault="00CE358F" w:rsidP="00CE358F">
      <w:pPr>
        <w:pStyle w:val="ListParagraph"/>
        <w:numPr>
          <w:ilvl w:val="0"/>
          <w:numId w:val="11"/>
        </w:numPr>
        <w:rPr>
          <w:rFonts w:ascii="Times New Roman" w:hAnsi="Times New Roman"/>
        </w:rPr>
      </w:pPr>
      <w:r w:rsidRPr="001807C5">
        <w:rPr>
          <w:rFonts w:ascii="Times New Roman" w:hAnsi="Times New Roman"/>
        </w:rPr>
        <w:t>Bureau of Statistics (BOS): provide population data and data on source of drinking water and sanitation facilities to the water sector institutions. Coordinate national use of Ge</w:t>
      </w:r>
      <w:r w:rsidRPr="001807C5">
        <w:rPr>
          <w:rFonts w:ascii="Times New Roman" w:hAnsi="Times New Roman"/>
        </w:rPr>
        <w:t>o</w:t>
      </w:r>
      <w:r w:rsidRPr="001807C5">
        <w:rPr>
          <w:rFonts w:ascii="Times New Roman" w:hAnsi="Times New Roman"/>
        </w:rPr>
        <w:t>graphical Information Systems (GIS) and provide advice the sector institutions on the use of GIS. BOS is the only source of data on on-site sanitation facilities in both urban and rural a</w:t>
      </w:r>
      <w:r w:rsidRPr="001807C5">
        <w:rPr>
          <w:rFonts w:ascii="Times New Roman" w:hAnsi="Times New Roman"/>
        </w:rPr>
        <w:t>r</w:t>
      </w:r>
      <w:r w:rsidRPr="001807C5">
        <w:rPr>
          <w:rFonts w:ascii="Times New Roman" w:hAnsi="Times New Roman"/>
        </w:rPr>
        <w:t>eas.</w:t>
      </w:r>
    </w:p>
    <w:p w:rsidR="00CE358F" w:rsidRDefault="00CE358F" w:rsidP="00CE358F">
      <w:pPr>
        <w:jc w:val="both"/>
        <w:rPr>
          <w:sz w:val="22"/>
          <w:szCs w:val="22"/>
        </w:rPr>
      </w:pPr>
    </w:p>
    <w:p w:rsidR="00CE358F" w:rsidRPr="00F25FEC" w:rsidRDefault="00CE358F" w:rsidP="00CE358F">
      <w:pPr>
        <w:jc w:val="both"/>
        <w:rPr>
          <w:sz w:val="22"/>
          <w:szCs w:val="22"/>
        </w:rPr>
      </w:pPr>
      <w:r w:rsidRPr="00F25FEC">
        <w:rPr>
          <w:sz w:val="22"/>
          <w:szCs w:val="22"/>
        </w:rPr>
        <w:t>In recognition of the sector responsibilities, the project has been carried out in cooperation with the stakeholders as follows:</w:t>
      </w:r>
    </w:p>
    <w:p w:rsidR="00CE358F" w:rsidRPr="00B6107C" w:rsidRDefault="00CE358F" w:rsidP="00CE358F">
      <w:pPr>
        <w:pStyle w:val="ListParagraph"/>
        <w:numPr>
          <w:ilvl w:val="0"/>
          <w:numId w:val="11"/>
        </w:numPr>
        <w:rPr>
          <w:rFonts w:ascii="Times New Roman" w:hAnsi="Times New Roman"/>
        </w:rPr>
      </w:pPr>
      <w:r w:rsidRPr="00B6107C">
        <w:rPr>
          <w:rFonts w:ascii="Times New Roman" w:hAnsi="Times New Roman"/>
        </w:rPr>
        <w:t>DRWS: involvement of the Planning Unit as well as the District Engineers in the update of the DIS and definition of the service areas to assess the population served by rural water sy</w:t>
      </w:r>
      <w:r w:rsidRPr="00B6107C">
        <w:rPr>
          <w:rFonts w:ascii="Times New Roman" w:hAnsi="Times New Roman"/>
        </w:rPr>
        <w:t>s</w:t>
      </w:r>
      <w:r w:rsidRPr="00B6107C">
        <w:rPr>
          <w:rFonts w:ascii="Times New Roman" w:hAnsi="Times New Roman"/>
        </w:rPr>
        <w:t xml:space="preserve">tems according to the population data from the 2006 census. Planning of the SFPM with the DRWS Planning Unit to ensure the structure is compatible with the DIS. Involvement of DRWS staff at head office and district offices in the implementation of the sample surveys on the use of private connections and the Willingness and Ability to Pay (WAP) studies in the rural areas in </w:t>
      </w:r>
      <w:proofErr w:type="spellStart"/>
      <w:r w:rsidRPr="00B6107C">
        <w:rPr>
          <w:rFonts w:ascii="Times New Roman" w:hAnsi="Times New Roman"/>
        </w:rPr>
        <w:t>Thaba</w:t>
      </w:r>
      <w:proofErr w:type="spellEnd"/>
      <w:r w:rsidRPr="00B6107C">
        <w:rPr>
          <w:rFonts w:ascii="Times New Roman" w:hAnsi="Times New Roman"/>
        </w:rPr>
        <w:t xml:space="preserve"> </w:t>
      </w:r>
      <w:proofErr w:type="spellStart"/>
      <w:r w:rsidRPr="00B6107C">
        <w:rPr>
          <w:rFonts w:ascii="Times New Roman" w:hAnsi="Times New Roman"/>
        </w:rPr>
        <w:t>Tseka</w:t>
      </w:r>
      <w:proofErr w:type="spellEnd"/>
      <w:r w:rsidRPr="00B6107C">
        <w:rPr>
          <w:rFonts w:ascii="Times New Roman" w:hAnsi="Times New Roman"/>
        </w:rPr>
        <w:t xml:space="preserve"> and </w:t>
      </w:r>
      <w:proofErr w:type="spellStart"/>
      <w:r w:rsidRPr="00B6107C">
        <w:rPr>
          <w:rFonts w:ascii="Times New Roman" w:hAnsi="Times New Roman"/>
        </w:rPr>
        <w:t>Qacha’s</w:t>
      </w:r>
      <w:proofErr w:type="spellEnd"/>
      <w:r w:rsidRPr="00B6107C">
        <w:rPr>
          <w:rFonts w:ascii="Times New Roman" w:hAnsi="Times New Roman"/>
        </w:rPr>
        <w:t xml:space="preserve"> Nek districts</w:t>
      </w:r>
    </w:p>
    <w:p w:rsidR="00CE358F" w:rsidRPr="00B6107C" w:rsidRDefault="00CE358F" w:rsidP="00CE358F">
      <w:pPr>
        <w:pStyle w:val="ListParagraph"/>
        <w:numPr>
          <w:ilvl w:val="0"/>
          <w:numId w:val="11"/>
        </w:numPr>
        <w:rPr>
          <w:rFonts w:ascii="Times New Roman" w:hAnsi="Times New Roman"/>
        </w:rPr>
      </w:pPr>
      <w:r w:rsidRPr="00B6107C">
        <w:rPr>
          <w:rFonts w:ascii="Times New Roman" w:hAnsi="Times New Roman"/>
        </w:rPr>
        <w:t>WASA: cooperation on the design of questionnaires and implementation of the WASA co</w:t>
      </w:r>
      <w:r w:rsidRPr="00B6107C">
        <w:rPr>
          <w:rFonts w:ascii="Times New Roman" w:hAnsi="Times New Roman"/>
        </w:rPr>
        <w:t>n</w:t>
      </w:r>
      <w:r w:rsidRPr="00B6107C">
        <w:rPr>
          <w:rFonts w:ascii="Times New Roman" w:hAnsi="Times New Roman"/>
        </w:rPr>
        <w:t>nection survey with the WASA Marketing and Billing Departments. Cooperation with the personnel responsible for the WASA Financial Model and personnel responsible for strategic planning (TWG members) in the design of the SFPM to ensure compatibility with the WASA planning tools.</w:t>
      </w:r>
    </w:p>
    <w:p w:rsidR="00CE358F" w:rsidRPr="00B6107C" w:rsidRDefault="00CE358F" w:rsidP="00CE358F">
      <w:pPr>
        <w:pStyle w:val="ListParagraph"/>
        <w:numPr>
          <w:ilvl w:val="0"/>
          <w:numId w:val="11"/>
        </w:numPr>
        <w:rPr>
          <w:rFonts w:ascii="Times New Roman" w:hAnsi="Times New Roman"/>
        </w:rPr>
      </w:pPr>
      <w:r w:rsidRPr="00B6107C">
        <w:rPr>
          <w:rFonts w:ascii="Times New Roman" w:hAnsi="Times New Roman"/>
        </w:rPr>
        <w:t>COW’s Office: cooperation with the personnel responsible for overall planning of the bulk water supplies (Technical Coordinator for the project) and the personnel responsible for the water sector monitoring activities (TWG member) in the overall development of the pla</w:t>
      </w:r>
      <w:r w:rsidRPr="00B6107C">
        <w:rPr>
          <w:rFonts w:ascii="Times New Roman" w:hAnsi="Times New Roman"/>
        </w:rPr>
        <w:t>n</w:t>
      </w:r>
      <w:r w:rsidRPr="00B6107C">
        <w:rPr>
          <w:rFonts w:ascii="Times New Roman" w:hAnsi="Times New Roman"/>
        </w:rPr>
        <w:t>ning tools</w:t>
      </w:r>
    </w:p>
    <w:p w:rsidR="00CE358F" w:rsidRPr="00B6107C" w:rsidRDefault="00CE358F" w:rsidP="00CE358F">
      <w:pPr>
        <w:pStyle w:val="ListParagraph"/>
        <w:numPr>
          <w:ilvl w:val="0"/>
          <w:numId w:val="11"/>
        </w:numPr>
        <w:rPr>
          <w:rFonts w:ascii="Times New Roman" w:hAnsi="Times New Roman"/>
        </w:rPr>
      </w:pPr>
      <w:r w:rsidRPr="00B6107C">
        <w:rPr>
          <w:rFonts w:ascii="Times New Roman" w:hAnsi="Times New Roman"/>
        </w:rPr>
        <w:t>DWA: cooperation with the personnel responsible for monitoring of water resources to e</w:t>
      </w:r>
      <w:r w:rsidRPr="00B6107C">
        <w:rPr>
          <w:rFonts w:ascii="Times New Roman" w:hAnsi="Times New Roman"/>
        </w:rPr>
        <w:t>n</w:t>
      </w:r>
      <w:r w:rsidRPr="00B6107C">
        <w:rPr>
          <w:rFonts w:ascii="Times New Roman" w:hAnsi="Times New Roman"/>
        </w:rPr>
        <w:t>sure familiarity with the planning tools for water services and ensure familiarity with the tools to facilitate the further development of the tools to include water resources and IWRM</w:t>
      </w:r>
    </w:p>
    <w:p w:rsidR="00CE358F" w:rsidRPr="00B6107C" w:rsidRDefault="00CE358F" w:rsidP="00CE358F">
      <w:pPr>
        <w:pStyle w:val="ListParagraph"/>
        <w:numPr>
          <w:ilvl w:val="0"/>
          <w:numId w:val="11"/>
        </w:numPr>
        <w:rPr>
          <w:rFonts w:ascii="Times New Roman" w:hAnsi="Times New Roman"/>
        </w:rPr>
      </w:pPr>
      <w:r w:rsidRPr="00B6107C">
        <w:rPr>
          <w:rFonts w:ascii="Times New Roman" w:hAnsi="Times New Roman"/>
        </w:rPr>
        <w:t>MNR: cooperation with the personnel responsible for planning and budgeting in the Ministry (TWG member) in the design and development of the planning tools</w:t>
      </w:r>
    </w:p>
    <w:p w:rsidR="00CE358F" w:rsidRPr="00B6107C" w:rsidRDefault="00CE358F" w:rsidP="00CE358F">
      <w:pPr>
        <w:pStyle w:val="ListParagraph"/>
        <w:numPr>
          <w:ilvl w:val="0"/>
          <w:numId w:val="11"/>
        </w:numPr>
        <w:rPr>
          <w:rFonts w:ascii="Times New Roman" w:hAnsi="Times New Roman"/>
        </w:rPr>
      </w:pPr>
      <w:r w:rsidRPr="00B6107C">
        <w:rPr>
          <w:rFonts w:ascii="Times New Roman" w:hAnsi="Times New Roman"/>
        </w:rPr>
        <w:t>Ministry of Finance: represented on the Project Steering Committee and involved in the overall discussions and directions for the development of the planning tools</w:t>
      </w:r>
    </w:p>
    <w:p w:rsidR="00CE358F" w:rsidRPr="00B6107C" w:rsidRDefault="00CE358F" w:rsidP="00CE358F">
      <w:pPr>
        <w:pStyle w:val="ListParagraph"/>
        <w:numPr>
          <w:ilvl w:val="0"/>
          <w:numId w:val="11"/>
        </w:numPr>
        <w:rPr>
          <w:rFonts w:ascii="Times New Roman" w:hAnsi="Times New Roman"/>
        </w:rPr>
      </w:pPr>
      <w:r w:rsidRPr="00B6107C">
        <w:rPr>
          <w:rFonts w:ascii="Times New Roman" w:hAnsi="Times New Roman"/>
        </w:rPr>
        <w:t>BOS: involvement of personnel responsible for GIS and providing the detailed village list with population data. The BOS personnel ha</w:t>
      </w:r>
      <w:r>
        <w:rPr>
          <w:rFonts w:ascii="Times New Roman" w:hAnsi="Times New Roman"/>
        </w:rPr>
        <w:t>ve</w:t>
      </w:r>
      <w:r w:rsidRPr="00B6107C">
        <w:rPr>
          <w:rFonts w:ascii="Times New Roman" w:hAnsi="Times New Roman"/>
        </w:rPr>
        <w:t xml:space="preserve"> been providing assistance in the compilation of population data for the water service areas.</w:t>
      </w:r>
    </w:p>
    <w:p w:rsidR="00CE358F" w:rsidRPr="00F25FEC" w:rsidRDefault="00CE358F" w:rsidP="00CE358F">
      <w:pPr>
        <w:jc w:val="both"/>
        <w:rPr>
          <w:sz w:val="22"/>
          <w:szCs w:val="22"/>
        </w:rPr>
      </w:pPr>
    </w:p>
    <w:p w:rsidR="00CE358F" w:rsidRDefault="00CE358F" w:rsidP="00CE358F">
      <w:pPr>
        <w:jc w:val="both"/>
        <w:rPr>
          <w:sz w:val="22"/>
          <w:szCs w:val="22"/>
        </w:rPr>
      </w:pPr>
      <w:r w:rsidRPr="00F25FEC">
        <w:rPr>
          <w:sz w:val="22"/>
          <w:szCs w:val="22"/>
        </w:rPr>
        <w:t>The current staffing problems in the PPSU has reduced the role of the PPSU in the project impl</w:t>
      </w:r>
      <w:r w:rsidRPr="00F25FEC">
        <w:rPr>
          <w:sz w:val="22"/>
          <w:szCs w:val="22"/>
        </w:rPr>
        <w:t>e</w:t>
      </w:r>
      <w:r w:rsidRPr="00F25FEC">
        <w:rPr>
          <w:sz w:val="22"/>
          <w:szCs w:val="22"/>
        </w:rPr>
        <w:t>mentation, however the involvement of other parts of the COW’s office will ensure that the future personnel in the PPSU will be made familiar with the planning tools.</w:t>
      </w:r>
    </w:p>
    <w:p w:rsidR="00CE358F" w:rsidRDefault="00CE358F" w:rsidP="00CE358F">
      <w:pPr>
        <w:jc w:val="both"/>
        <w:rPr>
          <w:sz w:val="22"/>
          <w:szCs w:val="22"/>
        </w:rPr>
      </w:pPr>
      <w:r>
        <w:rPr>
          <w:sz w:val="22"/>
          <w:szCs w:val="22"/>
        </w:rPr>
        <w:t>The specific capacity development activities are described in Chapter 4.2. These activities have e</w:t>
      </w:r>
      <w:r>
        <w:rPr>
          <w:sz w:val="22"/>
          <w:szCs w:val="22"/>
        </w:rPr>
        <w:t>n</w:t>
      </w:r>
      <w:r>
        <w:rPr>
          <w:sz w:val="22"/>
          <w:szCs w:val="22"/>
        </w:rPr>
        <w:t>sured that the TWG members are familiar with the strategic financial planning methodology and the design of the planning tools.</w:t>
      </w:r>
    </w:p>
    <w:p w:rsidR="00CE358F" w:rsidRDefault="00CE358F" w:rsidP="00CE358F">
      <w:pPr>
        <w:rPr>
          <w:sz w:val="22"/>
          <w:szCs w:val="22"/>
        </w:rPr>
      </w:pPr>
      <w:r>
        <w:rPr>
          <w:sz w:val="22"/>
          <w:szCs w:val="22"/>
        </w:rPr>
        <w:t>The process of involving the TWG members as well as other staff in the sector institutions according to their responsibilities in the project activities have ensured that the project and the methodology are embedded in the sector institutions e.g. defining the need for data and design and carry out surveys to provide the data, use of the planning tools to forecast financing needs in the future etc.</w:t>
      </w:r>
    </w:p>
    <w:p w:rsidR="00CE358F" w:rsidRPr="009710A1" w:rsidRDefault="00CE358F" w:rsidP="00CE358F">
      <w:pPr>
        <w:jc w:val="both"/>
        <w:rPr>
          <w:sz w:val="22"/>
          <w:szCs w:val="22"/>
        </w:rPr>
      </w:pPr>
      <w:r w:rsidRPr="009710A1">
        <w:rPr>
          <w:sz w:val="22"/>
          <w:szCs w:val="22"/>
        </w:rPr>
        <w:t>The following action have been identified to enhance the planning tools and ensure the integration of the strategic financial planning methodology into the planning and budgeting processes in the water sector institutions:</w:t>
      </w:r>
    </w:p>
    <w:p w:rsidR="00CE358F" w:rsidRPr="00561209" w:rsidRDefault="00CE358F" w:rsidP="00CE358F">
      <w:pPr>
        <w:keepNext/>
        <w:jc w:val="both"/>
        <w:rPr>
          <w:b/>
          <w:sz w:val="22"/>
        </w:rPr>
      </w:pPr>
      <w:r w:rsidRPr="00561209">
        <w:rPr>
          <w:b/>
          <w:sz w:val="22"/>
        </w:rPr>
        <w:t>Enhancing the Planning Tools:</w:t>
      </w:r>
    </w:p>
    <w:p w:rsidR="00CE358F" w:rsidRPr="009710A1" w:rsidRDefault="00CE358F" w:rsidP="00CE358F">
      <w:pPr>
        <w:pStyle w:val="ListParagraph"/>
        <w:numPr>
          <w:ilvl w:val="0"/>
          <w:numId w:val="12"/>
        </w:numPr>
        <w:jc w:val="both"/>
        <w:rPr>
          <w:rFonts w:ascii="Times New Roman" w:hAnsi="Times New Roman"/>
        </w:rPr>
      </w:pPr>
      <w:r w:rsidRPr="009710A1">
        <w:rPr>
          <w:rFonts w:ascii="Times New Roman" w:hAnsi="Times New Roman"/>
        </w:rPr>
        <w:t>Improve WASA network and customer data: carry out GIS mapping of the WASA conne</w:t>
      </w:r>
      <w:r w:rsidRPr="009710A1">
        <w:rPr>
          <w:rFonts w:ascii="Times New Roman" w:hAnsi="Times New Roman"/>
        </w:rPr>
        <w:t>c</w:t>
      </w:r>
      <w:r w:rsidRPr="009710A1">
        <w:rPr>
          <w:rFonts w:ascii="Times New Roman" w:hAnsi="Times New Roman"/>
        </w:rPr>
        <w:t>tions including information on the type of water use and number of persons served by the different connections – the mapping of the WASA network in Maseru has started, but does not so far include the detailed connection mapping.</w:t>
      </w:r>
    </w:p>
    <w:p w:rsidR="00CE358F" w:rsidRPr="009710A1" w:rsidRDefault="00CE358F" w:rsidP="00CE358F">
      <w:pPr>
        <w:pStyle w:val="ListParagraph"/>
        <w:numPr>
          <w:ilvl w:val="0"/>
          <w:numId w:val="12"/>
        </w:numPr>
        <w:jc w:val="both"/>
        <w:rPr>
          <w:rFonts w:ascii="Times New Roman" w:hAnsi="Times New Roman"/>
        </w:rPr>
      </w:pPr>
      <w:r w:rsidRPr="009710A1">
        <w:rPr>
          <w:rFonts w:ascii="Times New Roman" w:hAnsi="Times New Roman"/>
        </w:rPr>
        <w:t>Improve the rural water data on existing water and sanitation facilities by carrying out GIS mapping of the water systems and update the data on water source capacity in the DIS – the ongoing RWS Planning Framework project is designed to cover this.</w:t>
      </w:r>
    </w:p>
    <w:p w:rsidR="00CE358F" w:rsidRDefault="00CE358F" w:rsidP="00CE358F">
      <w:pPr>
        <w:pStyle w:val="ListParagraph"/>
        <w:numPr>
          <w:ilvl w:val="0"/>
          <w:numId w:val="12"/>
        </w:numPr>
        <w:jc w:val="both"/>
        <w:rPr>
          <w:rFonts w:ascii="Times New Roman" w:hAnsi="Times New Roman"/>
        </w:rPr>
      </w:pPr>
      <w:r w:rsidRPr="009710A1">
        <w:rPr>
          <w:rFonts w:ascii="Times New Roman" w:hAnsi="Times New Roman"/>
        </w:rPr>
        <w:t>Integrate the BOS population and socio-economic data in the water sector GISs. The BOS is nominated as the national anchor for development of GIS and will be guiding the develo</w:t>
      </w:r>
      <w:r w:rsidRPr="009710A1">
        <w:rPr>
          <w:rFonts w:ascii="Times New Roman" w:hAnsi="Times New Roman"/>
        </w:rPr>
        <w:t>p</w:t>
      </w:r>
      <w:r w:rsidRPr="009710A1">
        <w:rPr>
          <w:rFonts w:ascii="Times New Roman" w:hAnsi="Times New Roman"/>
        </w:rPr>
        <w:t>ment of the GIS in the sector institutions – if approached.</w:t>
      </w:r>
    </w:p>
    <w:p w:rsidR="00CE358F" w:rsidRPr="009710A1" w:rsidRDefault="00CE358F" w:rsidP="00CE358F">
      <w:pPr>
        <w:pStyle w:val="ListParagraph"/>
        <w:numPr>
          <w:ilvl w:val="0"/>
          <w:numId w:val="12"/>
        </w:numPr>
        <w:jc w:val="both"/>
        <w:rPr>
          <w:rFonts w:ascii="Times New Roman" w:hAnsi="Times New Roman"/>
        </w:rPr>
      </w:pPr>
      <w:r>
        <w:rPr>
          <w:rFonts w:ascii="Times New Roman" w:hAnsi="Times New Roman"/>
        </w:rPr>
        <w:t>Coordination between the water sector and BOS for refining the definitions for water and sanitation facilities used by BOS for household budget surveys and census questionnaires to ensure that the BOS information corresponds to the definition of indicators used in the sector performance framework.</w:t>
      </w:r>
    </w:p>
    <w:p w:rsidR="00CE358F" w:rsidRPr="00561209" w:rsidRDefault="00CE358F" w:rsidP="00CE358F">
      <w:pPr>
        <w:keepNext/>
        <w:jc w:val="both"/>
        <w:rPr>
          <w:b/>
          <w:sz w:val="22"/>
        </w:rPr>
      </w:pPr>
      <w:r w:rsidRPr="00561209">
        <w:rPr>
          <w:b/>
          <w:sz w:val="22"/>
        </w:rPr>
        <w:t>Ensuring Integration:</w:t>
      </w:r>
    </w:p>
    <w:p w:rsidR="00CE358F" w:rsidRPr="009710A1" w:rsidRDefault="00CE358F" w:rsidP="00CE358F">
      <w:pPr>
        <w:pStyle w:val="ListParagraph"/>
        <w:numPr>
          <w:ilvl w:val="0"/>
          <w:numId w:val="12"/>
        </w:numPr>
        <w:jc w:val="both"/>
        <w:rPr>
          <w:rFonts w:ascii="Times New Roman" w:hAnsi="Times New Roman"/>
        </w:rPr>
      </w:pPr>
      <w:r w:rsidRPr="009710A1">
        <w:rPr>
          <w:rFonts w:ascii="Times New Roman" w:hAnsi="Times New Roman"/>
        </w:rPr>
        <w:t xml:space="preserve">Capacity building of the </w:t>
      </w:r>
      <w:r>
        <w:rPr>
          <w:rFonts w:ascii="Times New Roman" w:hAnsi="Times New Roman"/>
        </w:rPr>
        <w:t xml:space="preserve">new </w:t>
      </w:r>
      <w:r w:rsidRPr="009710A1">
        <w:rPr>
          <w:rFonts w:ascii="Times New Roman" w:hAnsi="Times New Roman"/>
        </w:rPr>
        <w:t xml:space="preserve">staff in the PPSU </w:t>
      </w:r>
      <w:r>
        <w:rPr>
          <w:rFonts w:ascii="Times New Roman" w:hAnsi="Times New Roman"/>
        </w:rPr>
        <w:t xml:space="preserve">in the use of the </w:t>
      </w:r>
      <w:r w:rsidRPr="009710A1">
        <w:rPr>
          <w:rFonts w:ascii="Times New Roman" w:hAnsi="Times New Roman"/>
        </w:rPr>
        <w:t xml:space="preserve">SFPM tool </w:t>
      </w:r>
      <w:r>
        <w:rPr>
          <w:rFonts w:ascii="Times New Roman" w:hAnsi="Times New Roman"/>
        </w:rPr>
        <w:t xml:space="preserve">as estimating tools for the </w:t>
      </w:r>
      <w:r w:rsidRPr="009710A1">
        <w:rPr>
          <w:rFonts w:ascii="Times New Roman" w:hAnsi="Times New Roman"/>
        </w:rPr>
        <w:t>planning and budgeting process in the water sector</w:t>
      </w:r>
      <w:r>
        <w:rPr>
          <w:rFonts w:ascii="Times New Roman" w:hAnsi="Times New Roman"/>
        </w:rPr>
        <w:t>.</w:t>
      </w:r>
    </w:p>
    <w:p w:rsidR="00CE358F" w:rsidRPr="009710A1" w:rsidRDefault="00CE358F" w:rsidP="00CE358F">
      <w:pPr>
        <w:pStyle w:val="ListParagraph"/>
        <w:numPr>
          <w:ilvl w:val="0"/>
          <w:numId w:val="12"/>
        </w:numPr>
        <w:jc w:val="both"/>
        <w:rPr>
          <w:rFonts w:ascii="Times New Roman" w:hAnsi="Times New Roman"/>
        </w:rPr>
      </w:pPr>
      <w:r w:rsidRPr="009710A1">
        <w:rPr>
          <w:rFonts w:ascii="Times New Roman" w:hAnsi="Times New Roman"/>
        </w:rPr>
        <w:t>Capacity building of the new Monitoring</w:t>
      </w:r>
      <w:r>
        <w:rPr>
          <w:rFonts w:ascii="Times New Roman" w:hAnsi="Times New Roman"/>
        </w:rPr>
        <w:t xml:space="preserve"> and Evaluation (M&amp;E) </w:t>
      </w:r>
      <w:r w:rsidRPr="009710A1">
        <w:rPr>
          <w:rFonts w:ascii="Times New Roman" w:hAnsi="Times New Roman"/>
        </w:rPr>
        <w:t>Unit</w:t>
      </w:r>
      <w:r>
        <w:rPr>
          <w:rFonts w:ascii="Times New Roman" w:hAnsi="Times New Roman"/>
        </w:rPr>
        <w:t xml:space="preserve"> in the COW’s Office</w:t>
      </w:r>
      <w:r w:rsidRPr="009710A1">
        <w:rPr>
          <w:rFonts w:ascii="Times New Roman" w:hAnsi="Times New Roman"/>
        </w:rPr>
        <w:t xml:space="preserve"> as well as the personnel in WASA and DRWS responsible for monitoring activities to ensure that consistent data continues to become available for overall strategic planning in the water sector</w:t>
      </w:r>
      <w:r>
        <w:rPr>
          <w:rFonts w:ascii="Times New Roman" w:hAnsi="Times New Roman"/>
        </w:rPr>
        <w:t>.</w:t>
      </w:r>
    </w:p>
    <w:p w:rsidR="00CE358F" w:rsidRDefault="00CE358F" w:rsidP="00CE358F">
      <w:pPr>
        <w:pStyle w:val="ListParagraph"/>
        <w:numPr>
          <w:ilvl w:val="0"/>
          <w:numId w:val="12"/>
        </w:numPr>
        <w:jc w:val="both"/>
        <w:rPr>
          <w:rFonts w:ascii="Times New Roman" w:hAnsi="Times New Roman"/>
        </w:rPr>
      </w:pPr>
      <w:r w:rsidRPr="009710A1">
        <w:rPr>
          <w:rFonts w:ascii="Times New Roman" w:hAnsi="Times New Roman"/>
        </w:rPr>
        <w:t xml:space="preserve">Development of/ adjusting the job-descriptions for the staff of the PPSU, the </w:t>
      </w:r>
      <w:r>
        <w:rPr>
          <w:rFonts w:ascii="Times New Roman" w:hAnsi="Times New Roman"/>
        </w:rPr>
        <w:t>M&amp;E</w:t>
      </w:r>
      <w:r w:rsidRPr="009710A1">
        <w:rPr>
          <w:rFonts w:ascii="Times New Roman" w:hAnsi="Times New Roman"/>
        </w:rPr>
        <w:t xml:space="preserve"> Unit and relevant positions in WASA and DRWS to specify clearly the functions related to data ma</w:t>
      </w:r>
      <w:r w:rsidRPr="009710A1">
        <w:rPr>
          <w:rFonts w:ascii="Times New Roman" w:hAnsi="Times New Roman"/>
        </w:rPr>
        <w:t>n</w:t>
      </w:r>
      <w:r w:rsidRPr="009710A1">
        <w:rPr>
          <w:rFonts w:ascii="Times New Roman" w:hAnsi="Times New Roman"/>
        </w:rPr>
        <w:t>agement and strategic financial planning. This would be done as an integrated part of the ongoing development of the Performance Assessment Framework for the water sector and d</w:t>
      </w:r>
      <w:r w:rsidRPr="009710A1">
        <w:rPr>
          <w:rFonts w:ascii="Times New Roman" w:hAnsi="Times New Roman"/>
        </w:rPr>
        <w:t>e</w:t>
      </w:r>
      <w:r w:rsidRPr="009710A1">
        <w:rPr>
          <w:rFonts w:ascii="Times New Roman" w:hAnsi="Times New Roman"/>
        </w:rPr>
        <w:t xml:space="preserve">velopment of the </w:t>
      </w:r>
      <w:r>
        <w:rPr>
          <w:rFonts w:ascii="Times New Roman" w:hAnsi="Times New Roman"/>
        </w:rPr>
        <w:t>S</w:t>
      </w:r>
      <w:r w:rsidRPr="009710A1">
        <w:rPr>
          <w:rFonts w:ascii="Times New Roman" w:hAnsi="Times New Roman"/>
        </w:rPr>
        <w:t xml:space="preserve">ector </w:t>
      </w:r>
      <w:r>
        <w:rPr>
          <w:rFonts w:ascii="Times New Roman" w:hAnsi="Times New Roman"/>
        </w:rPr>
        <w:t>P</w:t>
      </w:r>
      <w:r w:rsidRPr="009710A1">
        <w:rPr>
          <w:rFonts w:ascii="Times New Roman" w:hAnsi="Times New Roman"/>
        </w:rPr>
        <w:t>rogramme.</w:t>
      </w:r>
    </w:p>
    <w:p w:rsidR="00CE358F" w:rsidRPr="009710A1" w:rsidRDefault="00CE358F" w:rsidP="00CE358F">
      <w:pPr>
        <w:pStyle w:val="ListParagraph"/>
        <w:numPr>
          <w:ilvl w:val="0"/>
          <w:numId w:val="12"/>
        </w:numPr>
        <w:jc w:val="both"/>
        <w:rPr>
          <w:rFonts w:ascii="Times New Roman" w:hAnsi="Times New Roman"/>
        </w:rPr>
      </w:pPr>
      <w:r>
        <w:rPr>
          <w:rFonts w:ascii="Times New Roman" w:hAnsi="Times New Roman"/>
        </w:rPr>
        <w:t>Include the strategic financial planning methodology and the findings from the strategic financial planning project in the upcoming development of the strategy for water and sanit</w:t>
      </w:r>
      <w:r>
        <w:rPr>
          <w:rFonts w:ascii="Times New Roman" w:hAnsi="Times New Roman"/>
        </w:rPr>
        <w:t>a</w:t>
      </w:r>
      <w:r>
        <w:rPr>
          <w:rFonts w:ascii="Times New Roman" w:hAnsi="Times New Roman"/>
        </w:rPr>
        <w:t>tion.</w:t>
      </w:r>
    </w:p>
    <w:p w:rsidR="006C54CE" w:rsidRDefault="00CE358F" w:rsidP="00CE358F">
      <w:pPr>
        <w:pStyle w:val="ListParagraph"/>
        <w:numPr>
          <w:ilvl w:val="0"/>
          <w:numId w:val="12"/>
        </w:numPr>
        <w:jc w:val="both"/>
      </w:pPr>
      <w:r w:rsidRPr="009710A1">
        <w:rPr>
          <w:rFonts w:ascii="Times New Roman" w:hAnsi="Times New Roman"/>
        </w:rPr>
        <w:t>Dissemination of the results to a larger group of sector stakeholders and high level decision makers in government to ensure that the results of the strategic planning project will infl</w:t>
      </w:r>
      <w:r w:rsidRPr="009710A1">
        <w:rPr>
          <w:rFonts w:ascii="Times New Roman" w:hAnsi="Times New Roman"/>
        </w:rPr>
        <w:t>u</w:t>
      </w:r>
      <w:r w:rsidRPr="009710A1">
        <w:rPr>
          <w:rFonts w:ascii="Times New Roman" w:hAnsi="Times New Roman"/>
        </w:rPr>
        <w:t>ence the sector to take rational decision on the future development of the sector</w:t>
      </w:r>
      <w:r>
        <w:rPr>
          <w:rFonts w:ascii="Times New Roman" w:hAnsi="Times New Roman"/>
        </w:rPr>
        <w:t>.</w:t>
      </w:r>
    </w:p>
    <w:sectPr w:rsidR="006C54CE" w:rsidSect="006C54C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96CDD"/>
    <w:multiLevelType w:val="hybridMultilevel"/>
    <w:tmpl w:val="3146D0A2"/>
    <w:lvl w:ilvl="0" w:tplc="422A9CEA">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07143"/>
    <w:multiLevelType w:val="hybridMultilevel"/>
    <w:tmpl w:val="BA446B2A"/>
    <w:lvl w:ilvl="0" w:tplc="8F5EA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1C34C9"/>
    <w:multiLevelType w:val="hybridMultilevel"/>
    <w:tmpl w:val="75D4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092DCA"/>
    <w:multiLevelType w:val="hybridMultilevel"/>
    <w:tmpl w:val="9DFEC370"/>
    <w:lvl w:ilvl="0" w:tplc="C8F4C0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F93AA8"/>
    <w:multiLevelType w:val="hybridMultilevel"/>
    <w:tmpl w:val="D092F51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3A73310"/>
    <w:multiLevelType w:val="hybridMultilevel"/>
    <w:tmpl w:val="4C385F90"/>
    <w:lvl w:ilvl="0" w:tplc="C8F4C0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251A6"/>
    <w:multiLevelType w:val="hybridMultilevel"/>
    <w:tmpl w:val="13AA9D72"/>
    <w:lvl w:ilvl="0" w:tplc="36141D4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420D0D"/>
    <w:multiLevelType w:val="hybridMultilevel"/>
    <w:tmpl w:val="AE56C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34D3D61"/>
    <w:multiLevelType w:val="hybridMultilevel"/>
    <w:tmpl w:val="EA6E2A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93D7B43"/>
    <w:multiLevelType w:val="multilevel"/>
    <w:tmpl w:val="FC2249B6"/>
    <w:lvl w:ilvl="0">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lang w:val="en-GB"/>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7E77623E"/>
    <w:multiLevelType w:val="hybridMultilevel"/>
    <w:tmpl w:val="4C2EDF64"/>
    <w:lvl w:ilvl="0" w:tplc="79682B70">
      <w:start w:val="1"/>
      <w:numFmt w:val="bullet"/>
      <w:lvlText w:val="•"/>
      <w:lvlJc w:val="left"/>
      <w:pPr>
        <w:tabs>
          <w:tab w:val="num" w:pos="360"/>
        </w:tabs>
        <w:ind w:left="360" w:hanging="360"/>
      </w:pPr>
      <w:rPr>
        <w:rFonts w:ascii="Times New Roman" w:hAnsi="Times New Roman" w:hint="default"/>
      </w:rPr>
    </w:lvl>
    <w:lvl w:ilvl="1" w:tplc="CA583BF0">
      <w:start w:val="1"/>
      <w:numFmt w:val="bullet"/>
      <w:lvlText w:val="•"/>
      <w:lvlJc w:val="left"/>
      <w:pPr>
        <w:tabs>
          <w:tab w:val="num" w:pos="1080"/>
        </w:tabs>
        <w:ind w:left="1080" w:hanging="360"/>
      </w:pPr>
      <w:rPr>
        <w:rFonts w:ascii="Times New Roman" w:hAnsi="Times New Roman" w:hint="default"/>
      </w:rPr>
    </w:lvl>
    <w:lvl w:ilvl="2" w:tplc="EB4E99BA" w:tentative="1">
      <w:start w:val="1"/>
      <w:numFmt w:val="bullet"/>
      <w:lvlText w:val="•"/>
      <w:lvlJc w:val="left"/>
      <w:pPr>
        <w:tabs>
          <w:tab w:val="num" w:pos="1800"/>
        </w:tabs>
        <w:ind w:left="1800" w:hanging="360"/>
      </w:pPr>
      <w:rPr>
        <w:rFonts w:ascii="Times New Roman" w:hAnsi="Times New Roman" w:hint="default"/>
      </w:rPr>
    </w:lvl>
    <w:lvl w:ilvl="3" w:tplc="00FC05C6" w:tentative="1">
      <w:start w:val="1"/>
      <w:numFmt w:val="bullet"/>
      <w:lvlText w:val="•"/>
      <w:lvlJc w:val="left"/>
      <w:pPr>
        <w:tabs>
          <w:tab w:val="num" w:pos="2520"/>
        </w:tabs>
        <w:ind w:left="2520" w:hanging="360"/>
      </w:pPr>
      <w:rPr>
        <w:rFonts w:ascii="Times New Roman" w:hAnsi="Times New Roman" w:hint="default"/>
      </w:rPr>
    </w:lvl>
    <w:lvl w:ilvl="4" w:tplc="C990549C" w:tentative="1">
      <w:start w:val="1"/>
      <w:numFmt w:val="bullet"/>
      <w:lvlText w:val="•"/>
      <w:lvlJc w:val="left"/>
      <w:pPr>
        <w:tabs>
          <w:tab w:val="num" w:pos="3240"/>
        </w:tabs>
        <w:ind w:left="3240" w:hanging="360"/>
      </w:pPr>
      <w:rPr>
        <w:rFonts w:ascii="Times New Roman" w:hAnsi="Times New Roman" w:hint="default"/>
      </w:rPr>
    </w:lvl>
    <w:lvl w:ilvl="5" w:tplc="38C42A0C" w:tentative="1">
      <w:start w:val="1"/>
      <w:numFmt w:val="bullet"/>
      <w:lvlText w:val="•"/>
      <w:lvlJc w:val="left"/>
      <w:pPr>
        <w:tabs>
          <w:tab w:val="num" w:pos="3960"/>
        </w:tabs>
        <w:ind w:left="3960" w:hanging="360"/>
      </w:pPr>
      <w:rPr>
        <w:rFonts w:ascii="Times New Roman" w:hAnsi="Times New Roman" w:hint="default"/>
      </w:rPr>
    </w:lvl>
    <w:lvl w:ilvl="6" w:tplc="599640F8" w:tentative="1">
      <w:start w:val="1"/>
      <w:numFmt w:val="bullet"/>
      <w:lvlText w:val="•"/>
      <w:lvlJc w:val="left"/>
      <w:pPr>
        <w:tabs>
          <w:tab w:val="num" w:pos="4680"/>
        </w:tabs>
        <w:ind w:left="4680" w:hanging="360"/>
      </w:pPr>
      <w:rPr>
        <w:rFonts w:ascii="Times New Roman" w:hAnsi="Times New Roman" w:hint="default"/>
      </w:rPr>
    </w:lvl>
    <w:lvl w:ilvl="7" w:tplc="F1920192" w:tentative="1">
      <w:start w:val="1"/>
      <w:numFmt w:val="bullet"/>
      <w:lvlText w:val="•"/>
      <w:lvlJc w:val="left"/>
      <w:pPr>
        <w:tabs>
          <w:tab w:val="num" w:pos="5400"/>
        </w:tabs>
        <w:ind w:left="5400" w:hanging="360"/>
      </w:pPr>
      <w:rPr>
        <w:rFonts w:ascii="Times New Roman" w:hAnsi="Times New Roman" w:hint="default"/>
      </w:rPr>
    </w:lvl>
    <w:lvl w:ilvl="8" w:tplc="8118F060" w:tentative="1">
      <w:start w:val="1"/>
      <w:numFmt w:val="bullet"/>
      <w:lvlText w:val="•"/>
      <w:lvlJc w:val="left"/>
      <w:pPr>
        <w:tabs>
          <w:tab w:val="num" w:pos="6120"/>
        </w:tabs>
        <w:ind w:left="6120" w:hanging="360"/>
      </w:pPr>
      <w:rPr>
        <w:rFonts w:ascii="Times New Roman" w:hAnsi="Times New Roman" w:hint="default"/>
      </w:rPr>
    </w:lvl>
  </w:abstractNum>
  <w:abstractNum w:abstractNumId="11">
    <w:nsid w:val="7EAF64DF"/>
    <w:multiLevelType w:val="hybridMultilevel"/>
    <w:tmpl w:val="0D0031E8"/>
    <w:lvl w:ilvl="0" w:tplc="0F4ADD76">
      <w:start w:val="1"/>
      <w:numFmt w:val="bullet"/>
      <w:lvlText w:val="•"/>
      <w:lvlJc w:val="left"/>
      <w:pPr>
        <w:tabs>
          <w:tab w:val="num" w:pos="360"/>
        </w:tabs>
        <w:ind w:left="360" w:hanging="360"/>
      </w:pPr>
      <w:rPr>
        <w:rFonts w:ascii="Times New Roman" w:hAnsi="Times New Roman" w:hint="default"/>
      </w:rPr>
    </w:lvl>
    <w:lvl w:ilvl="1" w:tplc="98824262" w:tentative="1">
      <w:start w:val="1"/>
      <w:numFmt w:val="bullet"/>
      <w:lvlText w:val="•"/>
      <w:lvlJc w:val="left"/>
      <w:pPr>
        <w:tabs>
          <w:tab w:val="num" w:pos="1080"/>
        </w:tabs>
        <w:ind w:left="1080" w:hanging="360"/>
      </w:pPr>
      <w:rPr>
        <w:rFonts w:ascii="Times New Roman" w:hAnsi="Times New Roman" w:hint="default"/>
      </w:rPr>
    </w:lvl>
    <w:lvl w:ilvl="2" w:tplc="031E148A" w:tentative="1">
      <w:start w:val="1"/>
      <w:numFmt w:val="bullet"/>
      <w:lvlText w:val="•"/>
      <w:lvlJc w:val="left"/>
      <w:pPr>
        <w:tabs>
          <w:tab w:val="num" w:pos="1800"/>
        </w:tabs>
        <w:ind w:left="1800" w:hanging="360"/>
      </w:pPr>
      <w:rPr>
        <w:rFonts w:ascii="Times New Roman" w:hAnsi="Times New Roman" w:hint="default"/>
      </w:rPr>
    </w:lvl>
    <w:lvl w:ilvl="3" w:tplc="4866CF42" w:tentative="1">
      <w:start w:val="1"/>
      <w:numFmt w:val="bullet"/>
      <w:lvlText w:val="•"/>
      <w:lvlJc w:val="left"/>
      <w:pPr>
        <w:tabs>
          <w:tab w:val="num" w:pos="2520"/>
        </w:tabs>
        <w:ind w:left="2520" w:hanging="360"/>
      </w:pPr>
      <w:rPr>
        <w:rFonts w:ascii="Times New Roman" w:hAnsi="Times New Roman" w:hint="default"/>
      </w:rPr>
    </w:lvl>
    <w:lvl w:ilvl="4" w:tplc="9690943A" w:tentative="1">
      <w:start w:val="1"/>
      <w:numFmt w:val="bullet"/>
      <w:lvlText w:val="•"/>
      <w:lvlJc w:val="left"/>
      <w:pPr>
        <w:tabs>
          <w:tab w:val="num" w:pos="3240"/>
        </w:tabs>
        <w:ind w:left="3240" w:hanging="360"/>
      </w:pPr>
      <w:rPr>
        <w:rFonts w:ascii="Times New Roman" w:hAnsi="Times New Roman" w:hint="default"/>
      </w:rPr>
    </w:lvl>
    <w:lvl w:ilvl="5" w:tplc="0212ED64" w:tentative="1">
      <w:start w:val="1"/>
      <w:numFmt w:val="bullet"/>
      <w:lvlText w:val="•"/>
      <w:lvlJc w:val="left"/>
      <w:pPr>
        <w:tabs>
          <w:tab w:val="num" w:pos="3960"/>
        </w:tabs>
        <w:ind w:left="3960" w:hanging="360"/>
      </w:pPr>
      <w:rPr>
        <w:rFonts w:ascii="Times New Roman" w:hAnsi="Times New Roman" w:hint="default"/>
      </w:rPr>
    </w:lvl>
    <w:lvl w:ilvl="6" w:tplc="A65CB68C" w:tentative="1">
      <w:start w:val="1"/>
      <w:numFmt w:val="bullet"/>
      <w:lvlText w:val="•"/>
      <w:lvlJc w:val="left"/>
      <w:pPr>
        <w:tabs>
          <w:tab w:val="num" w:pos="4680"/>
        </w:tabs>
        <w:ind w:left="4680" w:hanging="360"/>
      </w:pPr>
      <w:rPr>
        <w:rFonts w:ascii="Times New Roman" w:hAnsi="Times New Roman" w:hint="default"/>
      </w:rPr>
    </w:lvl>
    <w:lvl w:ilvl="7" w:tplc="D04EF4DE" w:tentative="1">
      <w:start w:val="1"/>
      <w:numFmt w:val="bullet"/>
      <w:lvlText w:val="•"/>
      <w:lvlJc w:val="left"/>
      <w:pPr>
        <w:tabs>
          <w:tab w:val="num" w:pos="5400"/>
        </w:tabs>
        <w:ind w:left="5400" w:hanging="360"/>
      </w:pPr>
      <w:rPr>
        <w:rFonts w:ascii="Times New Roman" w:hAnsi="Times New Roman" w:hint="default"/>
      </w:rPr>
    </w:lvl>
    <w:lvl w:ilvl="8" w:tplc="83A6EB9A" w:tentative="1">
      <w:start w:val="1"/>
      <w:numFmt w:val="bullet"/>
      <w:lvlText w:val="•"/>
      <w:lvlJc w:val="left"/>
      <w:pPr>
        <w:tabs>
          <w:tab w:val="num" w:pos="6120"/>
        </w:tabs>
        <w:ind w:left="6120" w:hanging="360"/>
      </w:pPr>
      <w:rPr>
        <w:rFonts w:ascii="Times New Roman" w:hAnsi="Times New Roman" w:hint="default"/>
      </w:rPr>
    </w:lvl>
  </w:abstractNum>
  <w:num w:numId="1">
    <w:abstractNumId w:val="9"/>
  </w:num>
  <w:num w:numId="2">
    <w:abstractNumId w:val="6"/>
  </w:num>
  <w:num w:numId="3">
    <w:abstractNumId w:val="0"/>
  </w:num>
  <w:num w:numId="4">
    <w:abstractNumId w:val="1"/>
  </w:num>
  <w:num w:numId="5">
    <w:abstractNumId w:val="11"/>
  </w:num>
  <w:num w:numId="6">
    <w:abstractNumId w:val="10"/>
  </w:num>
  <w:num w:numId="7">
    <w:abstractNumId w:val="8"/>
  </w:num>
  <w:num w:numId="8">
    <w:abstractNumId w:val="7"/>
  </w:num>
  <w:num w:numId="9">
    <w:abstractNumId w:val="4"/>
  </w:num>
  <w:num w:numId="10">
    <w:abstractNumId w:val="2"/>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CE358F"/>
    <w:rsid w:val="001612AF"/>
    <w:rsid w:val="001C0AF1"/>
    <w:rsid w:val="006C54CE"/>
    <w:rsid w:val="00CE35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58F"/>
    <w:pPr>
      <w:spacing w:before="60" w:after="60" w:line="240" w:lineRule="auto"/>
    </w:pPr>
    <w:rPr>
      <w:rFonts w:ascii="Times New Roman" w:eastAsia="Times New Roman" w:hAnsi="Times New Roman" w:cs="Times New Roman"/>
      <w:sz w:val="24"/>
      <w:szCs w:val="20"/>
      <w:lang w:eastAsia="fr-FR"/>
    </w:rPr>
  </w:style>
  <w:style w:type="paragraph" w:styleId="Heading1">
    <w:name w:val="heading 1"/>
    <w:aliases w:val="h1,heading"/>
    <w:basedOn w:val="Normal"/>
    <w:next w:val="Normal"/>
    <w:link w:val="Heading1Char"/>
    <w:autoRedefine/>
    <w:qFormat/>
    <w:rsid w:val="00CE358F"/>
    <w:pPr>
      <w:numPr>
        <w:numId w:val="1"/>
      </w:numPr>
      <w:pBdr>
        <w:top w:val="single" w:sz="6" w:space="5" w:color="FFFFFF"/>
        <w:left w:val="single" w:sz="6" w:space="5" w:color="FFFFFF"/>
        <w:bottom w:val="single" w:sz="6" w:space="5" w:color="FFFFFF"/>
        <w:right w:val="single" w:sz="6" w:space="5" w:color="FFFFFF"/>
      </w:pBdr>
      <w:shd w:val="pct20" w:color="auto" w:fill="auto"/>
      <w:spacing w:before="0" w:after="0"/>
      <w:jc w:val="both"/>
      <w:outlineLvl w:val="0"/>
    </w:pPr>
    <w:rPr>
      <w:rFonts w:cs="Arial"/>
      <w:b/>
      <w:sz w:val="28"/>
      <w:szCs w:val="28"/>
    </w:rPr>
  </w:style>
  <w:style w:type="paragraph" w:styleId="Heading2">
    <w:name w:val="heading 2"/>
    <w:aliases w:val="h2,Header 2nd Page,heading2,h2 main heading,A.B.C.,Level I for #'s,h21.2.3.,Heading21.2.3.,H2"/>
    <w:basedOn w:val="Normal"/>
    <w:next w:val="Normal"/>
    <w:link w:val="Heading2Char"/>
    <w:qFormat/>
    <w:rsid w:val="00CE358F"/>
    <w:pPr>
      <w:numPr>
        <w:ilvl w:val="1"/>
        <w:numId w:val="1"/>
      </w:numPr>
      <w:spacing w:before="360" w:after="240"/>
      <w:outlineLvl w:val="1"/>
    </w:pPr>
    <w:rPr>
      <w:b/>
      <w:sz w:val="32"/>
    </w:rPr>
  </w:style>
  <w:style w:type="paragraph" w:styleId="Heading3">
    <w:name w:val="heading 3"/>
    <w:aliases w:val="h3"/>
    <w:basedOn w:val="Normal"/>
    <w:next w:val="Normal"/>
    <w:link w:val="Heading3Char"/>
    <w:autoRedefine/>
    <w:qFormat/>
    <w:rsid w:val="00CE358F"/>
    <w:pPr>
      <w:keepNext/>
      <w:numPr>
        <w:ilvl w:val="2"/>
        <w:numId w:val="1"/>
      </w:numPr>
      <w:spacing w:before="240"/>
      <w:jc w:val="both"/>
      <w:outlineLvl w:val="2"/>
    </w:pPr>
    <w:rPr>
      <w:b/>
      <w:bCs/>
      <w:szCs w:val="24"/>
      <w:u w:val="single"/>
    </w:rPr>
  </w:style>
  <w:style w:type="paragraph" w:styleId="Heading4">
    <w:name w:val="heading 4"/>
    <w:basedOn w:val="Normal"/>
    <w:next w:val="Normal"/>
    <w:link w:val="Heading4Char"/>
    <w:qFormat/>
    <w:rsid w:val="00CE358F"/>
    <w:pPr>
      <w:keepNext/>
      <w:numPr>
        <w:ilvl w:val="3"/>
        <w:numId w:val="1"/>
      </w:numPr>
      <w:tabs>
        <w:tab w:val="left" w:pos="2160"/>
      </w:tabs>
      <w:spacing w:before="240" w:after="120"/>
      <w:outlineLvl w:val="3"/>
    </w:pPr>
    <w:rPr>
      <w:b/>
    </w:rPr>
  </w:style>
  <w:style w:type="paragraph" w:styleId="Heading5">
    <w:name w:val="heading 5"/>
    <w:basedOn w:val="Normal"/>
    <w:next w:val="Normal"/>
    <w:link w:val="Heading5Char"/>
    <w:qFormat/>
    <w:rsid w:val="00CE358F"/>
    <w:pPr>
      <w:numPr>
        <w:ilvl w:val="4"/>
        <w:numId w:val="1"/>
      </w:numPr>
      <w:tabs>
        <w:tab w:val="left" w:pos="1418"/>
      </w:tabs>
      <w:spacing w:before="240"/>
      <w:outlineLvl w:val="4"/>
    </w:pPr>
    <w:rPr>
      <w:b/>
      <w:i/>
    </w:rPr>
  </w:style>
  <w:style w:type="paragraph" w:styleId="Heading6">
    <w:name w:val="heading 6"/>
    <w:basedOn w:val="Normal"/>
    <w:next w:val="Normal"/>
    <w:link w:val="Heading6Char"/>
    <w:qFormat/>
    <w:rsid w:val="00CE358F"/>
    <w:pPr>
      <w:numPr>
        <w:ilvl w:val="5"/>
        <w:numId w:val="1"/>
      </w:numPr>
      <w:spacing w:before="0" w:after="240"/>
      <w:outlineLvl w:val="5"/>
    </w:pPr>
    <w:rPr>
      <w:lang w:val="en-US"/>
    </w:rPr>
  </w:style>
  <w:style w:type="paragraph" w:styleId="Heading7">
    <w:name w:val="heading 7"/>
    <w:basedOn w:val="Normal"/>
    <w:next w:val="Normal"/>
    <w:link w:val="Heading7Char"/>
    <w:qFormat/>
    <w:rsid w:val="00CE358F"/>
    <w:pPr>
      <w:numPr>
        <w:ilvl w:val="6"/>
        <w:numId w:val="1"/>
      </w:numPr>
      <w:spacing w:before="240"/>
      <w:outlineLvl w:val="6"/>
    </w:pPr>
    <w:rPr>
      <w:szCs w:val="24"/>
    </w:rPr>
  </w:style>
  <w:style w:type="paragraph" w:styleId="Heading8">
    <w:name w:val="heading 8"/>
    <w:basedOn w:val="Normal"/>
    <w:next w:val="Normal"/>
    <w:link w:val="Heading8Char"/>
    <w:qFormat/>
    <w:rsid w:val="00CE358F"/>
    <w:pPr>
      <w:numPr>
        <w:ilvl w:val="7"/>
        <w:numId w:val="1"/>
      </w:numPr>
      <w:spacing w:before="240"/>
      <w:outlineLvl w:val="7"/>
    </w:pPr>
    <w:rPr>
      <w:i/>
      <w:iCs/>
      <w:szCs w:val="24"/>
    </w:rPr>
  </w:style>
  <w:style w:type="paragraph" w:styleId="Heading9">
    <w:name w:val="heading 9"/>
    <w:basedOn w:val="Normal"/>
    <w:next w:val="Normal"/>
    <w:link w:val="Heading9Char"/>
    <w:qFormat/>
    <w:rsid w:val="00CE358F"/>
    <w:pPr>
      <w:numPr>
        <w:ilvl w:val="8"/>
        <w:numId w:val="1"/>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358F"/>
    <w:rPr>
      <w:rFonts w:ascii="Times New Roman" w:eastAsia="Times New Roman" w:hAnsi="Times New Roman" w:cs="Arial"/>
      <w:b/>
      <w:sz w:val="28"/>
      <w:szCs w:val="28"/>
      <w:shd w:val="pct20" w:color="auto" w:fill="auto"/>
      <w:lang w:eastAsia="fr-FR"/>
    </w:rPr>
  </w:style>
  <w:style w:type="character" w:customStyle="1" w:styleId="Heading2Char">
    <w:name w:val="Heading 2 Char"/>
    <w:basedOn w:val="DefaultParagraphFont"/>
    <w:link w:val="Heading2"/>
    <w:rsid w:val="00CE358F"/>
    <w:rPr>
      <w:rFonts w:ascii="Times New Roman" w:eastAsia="Times New Roman" w:hAnsi="Times New Roman" w:cs="Times New Roman"/>
      <w:b/>
      <w:sz w:val="32"/>
      <w:szCs w:val="20"/>
      <w:lang w:eastAsia="fr-FR"/>
    </w:rPr>
  </w:style>
  <w:style w:type="character" w:customStyle="1" w:styleId="Heading3Char">
    <w:name w:val="Heading 3 Char"/>
    <w:basedOn w:val="DefaultParagraphFont"/>
    <w:link w:val="Heading3"/>
    <w:rsid w:val="00CE358F"/>
    <w:rPr>
      <w:rFonts w:ascii="Times New Roman" w:eastAsia="Times New Roman" w:hAnsi="Times New Roman" w:cs="Times New Roman"/>
      <w:b/>
      <w:bCs/>
      <w:sz w:val="24"/>
      <w:szCs w:val="24"/>
      <w:u w:val="single"/>
      <w:lang w:eastAsia="fr-FR"/>
    </w:rPr>
  </w:style>
  <w:style w:type="character" w:customStyle="1" w:styleId="Heading4Char">
    <w:name w:val="Heading 4 Char"/>
    <w:basedOn w:val="DefaultParagraphFont"/>
    <w:link w:val="Heading4"/>
    <w:rsid w:val="00CE358F"/>
    <w:rPr>
      <w:rFonts w:ascii="Times New Roman" w:eastAsia="Times New Roman" w:hAnsi="Times New Roman" w:cs="Times New Roman"/>
      <w:b/>
      <w:sz w:val="24"/>
      <w:szCs w:val="20"/>
      <w:lang w:eastAsia="fr-FR"/>
    </w:rPr>
  </w:style>
  <w:style w:type="character" w:customStyle="1" w:styleId="Heading5Char">
    <w:name w:val="Heading 5 Char"/>
    <w:basedOn w:val="DefaultParagraphFont"/>
    <w:link w:val="Heading5"/>
    <w:rsid w:val="00CE358F"/>
    <w:rPr>
      <w:rFonts w:ascii="Times New Roman" w:eastAsia="Times New Roman" w:hAnsi="Times New Roman" w:cs="Times New Roman"/>
      <w:b/>
      <w:i/>
      <w:sz w:val="24"/>
      <w:szCs w:val="20"/>
      <w:lang w:eastAsia="fr-FR"/>
    </w:rPr>
  </w:style>
  <w:style w:type="character" w:customStyle="1" w:styleId="Heading6Char">
    <w:name w:val="Heading 6 Char"/>
    <w:basedOn w:val="DefaultParagraphFont"/>
    <w:link w:val="Heading6"/>
    <w:rsid w:val="00CE358F"/>
    <w:rPr>
      <w:rFonts w:ascii="Times New Roman" w:eastAsia="Times New Roman" w:hAnsi="Times New Roman" w:cs="Times New Roman"/>
      <w:sz w:val="24"/>
      <w:szCs w:val="20"/>
      <w:lang w:val="en-US" w:eastAsia="fr-FR"/>
    </w:rPr>
  </w:style>
  <w:style w:type="character" w:customStyle="1" w:styleId="Heading7Char">
    <w:name w:val="Heading 7 Char"/>
    <w:basedOn w:val="DefaultParagraphFont"/>
    <w:link w:val="Heading7"/>
    <w:rsid w:val="00CE358F"/>
    <w:rPr>
      <w:rFonts w:ascii="Times New Roman" w:eastAsia="Times New Roman" w:hAnsi="Times New Roman" w:cs="Times New Roman"/>
      <w:sz w:val="24"/>
      <w:szCs w:val="24"/>
      <w:lang w:eastAsia="fr-FR"/>
    </w:rPr>
  </w:style>
  <w:style w:type="character" w:customStyle="1" w:styleId="Heading8Char">
    <w:name w:val="Heading 8 Char"/>
    <w:basedOn w:val="DefaultParagraphFont"/>
    <w:link w:val="Heading8"/>
    <w:rsid w:val="00CE358F"/>
    <w:rPr>
      <w:rFonts w:ascii="Times New Roman" w:eastAsia="Times New Roman" w:hAnsi="Times New Roman" w:cs="Times New Roman"/>
      <w:i/>
      <w:iCs/>
      <w:sz w:val="24"/>
      <w:szCs w:val="24"/>
      <w:lang w:eastAsia="fr-FR"/>
    </w:rPr>
  </w:style>
  <w:style w:type="character" w:customStyle="1" w:styleId="Heading9Char">
    <w:name w:val="Heading 9 Char"/>
    <w:basedOn w:val="DefaultParagraphFont"/>
    <w:link w:val="Heading9"/>
    <w:rsid w:val="00CE358F"/>
    <w:rPr>
      <w:rFonts w:ascii="Times New Roman" w:eastAsia="Times New Roman" w:hAnsi="Times New Roman" w:cs="Arial"/>
      <w:lang w:eastAsia="fr-FR"/>
    </w:rPr>
  </w:style>
  <w:style w:type="table" w:styleId="TableGrid">
    <w:name w:val="Table Grid"/>
    <w:basedOn w:val="TableNormal"/>
    <w:rsid w:val="00CE358F"/>
    <w:pPr>
      <w:spacing w:before="60" w:after="6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358F"/>
    <w:pPr>
      <w:spacing w:before="0" w:after="0"/>
      <w:ind w:left="720"/>
      <w:contextualSpacing/>
    </w:pPr>
    <w:rPr>
      <w:rFonts w:ascii="Calibri" w:eastAsia="Calibri" w:hAnsi="Calibri"/>
      <w:sz w:val="22"/>
      <w:szCs w:val="22"/>
      <w:lang w:eastAsia="en-US"/>
    </w:rPr>
  </w:style>
  <w:style w:type="paragraph" w:styleId="BodyText">
    <w:name w:val="Body Text"/>
    <w:basedOn w:val="Normal"/>
    <w:link w:val="BodyTextChar"/>
    <w:rsid w:val="001612AF"/>
    <w:pPr>
      <w:suppressAutoHyphens/>
      <w:spacing w:before="0" w:after="120"/>
    </w:pPr>
    <w:rPr>
      <w:lang w:val="en-US"/>
    </w:rPr>
  </w:style>
  <w:style w:type="character" w:customStyle="1" w:styleId="BodyTextChar">
    <w:name w:val="Body Text Char"/>
    <w:basedOn w:val="DefaultParagraphFont"/>
    <w:link w:val="BodyText"/>
    <w:rsid w:val="001612AF"/>
    <w:rPr>
      <w:rFonts w:ascii="Times New Roman" w:eastAsia="Times New Roman" w:hAnsi="Times New Roman" w:cs="Times New Roman"/>
      <w:sz w:val="24"/>
      <w:szCs w:val="20"/>
      <w:lang w:val="en-US"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3203</Words>
  <Characters>18260</Characters>
  <Application>Microsoft Office Word</Application>
  <DocSecurity>0</DocSecurity>
  <Lines>152</Lines>
  <Paragraphs>42</Paragraphs>
  <ScaleCrop>false</ScaleCrop>
  <Company/>
  <LinksUpToDate>false</LinksUpToDate>
  <CharactersWithSpaces>21421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dc:creator>
  <cp:lastModifiedBy>Hall</cp:lastModifiedBy>
  <cp:revision>2</cp:revision>
  <dcterms:created xsi:type="dcterms:W3CDTF">2010-06-04T10:35:00Z</dcterms:created>
  <dcterms:modified xsi:type="dcterms:W3CDTF">2010-06-04T10:43:00Z</dcterms:modified>
</cp:coreProperties>
</file>