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EA" w:rsidRPr="007F1AEA" w:rsidRDefault="009052B9">
      <w:pPr>
        <w:rPr>
          <w:b/>
          <w:sz w:val="28"/>
        </w:rPr>
      </w:pPr>
      <w:proofErr w:type="gramStart"/>
      <w:r>
        <w:rPr>
          <w:b/>
          <w:sz w:val="28"/>
        </w:rPr>
        <w:t>Parabolic Trough or Solar Tower?</w:t>
      </w:r>
      <w:proofErr w:type="gramEnd"/>
      <w:r>
        <w:rPr>
          <w:b/>
          <w:sz w:val="28"/>
        </w:rPr>
        <w:t xml:space="preserve"> </w:t>
      </w:r>
      <w:r w:rsidR="007F1AEA" w:rsidRPr="007F1AEA">
        <w:rPr>
          <w:b/>
          <w:sz w:val="28"/>
        </w:rPr>
        <w:t xml:space="preserve"> A technology decision </w:t>
      </w:r>
    </w:p>
    <w:p w:rsidR="00E60582" w:rsidRDefault="00E60582">
      <w:r w:rsidRPr="007F1AEA">
        <w:t>Securing cost reduction</w:t>
      </w:r>
      <w:r w:rsidR="000A653B" w:rsidRPr="007F1AEA">
        <w:t>s</w:t>
      </w:r>
      <w:r w:rsidRPr="007F1AEA">
        <w:t xml:space="preserve"> and carving</w:t>
      </w:r>
      <w:r w:rsidR="000A653B" w:rsidRPr="007F1AEA">
        <w:t xml:space="preserve"> out</w:t>
      </w:r>
      <w:r w:rsidRPr="007F1AEA">
        <w:t xml:space="preserve"> routes to grid parity remains </w:t>
      </w:r>
      <w:r w:rsidR="000A653B" w:rsidRPr="007F1AEA">
        <w:t xml:space="preserve">as ever </w:t>
      </w:r>
      <w:r w:rsidRPr="007F1AEA">
        <w:t xml:space="preserve">the most pressing </w:t>
      </w:r>
      <w:r w:rsidR="000A653B" w:rsidRPr="007F1AEA">
        <w:t xml:space="preserve">issue for the </w:t>
      </w:r>
      <w:r w:rsidRPr="007F1AEA">
        <w:t>CSP</w:t>
      </w:r>
      <w:r w:rsidR="000A653B" w:rsidRPr="007F1AEA">
        <w:t xml:space="preserve"> industry</w:t>
      </w:r>
      <w:r w:rsidRPr="007F1AEA">
        <w:t>. At the</w:t>
      </w:r>
      <w:r w:rsidR="000A653B" w:rsidRPr="007F1AEA">
        <w:t xml:space="preserve"> crux</w:t>
      </w:r>
      <w:r w:rsidRPr="007F1AEA">
        <w:t xml:space="preserve"> of this</w:t>
      </w:r>
      <w:r w:rsidR="000A653B" w:rsidRPr="007F1AEA">
        <w:t xml:space="preserve"> pursuit </w:t>
      </w:r>
      <w:proofErr w:type="gramStart"/>
      <w:r w:rsidRPr="007F1AEA">
        <w:t>is understanding</w:t>
      </w:r>
      <w:proofErr w:type="gramEnd"/>
      <w:r w:rsidRPr="007F1AEA">
        <w:t xml:space="preserve"> the associated costs of the CSP technologies themselves</w:t>
      </w:r>
      <w:r w:rsidR="000A653B" w:rsidRPr="007F1AEA">
        <w:t>, whether it be</w:t>
      </w:r>
      <w:r w:rsidRPr="007F1AEA">
        <w:t xml:space="preserve"> Parabolic Trough, </w:t>
      </w:r>
      <w:r w:rsidR="000A653B" w:rsidRPr="007F1AEA">
        <w:t xml:space="preserve">Solar Tower, </w:t>
      </w:r>
      <w:r w:rsidR="009052B9">
        <w:t>L</w:t>
      </w:r>
      <w:r w:rsidR="000A653B" w:rsidRPr="007F1AEA">
        <w:t>inear Fresnel or</w:t>
      </w:r>
      <w:r w:rsidRPr="007F1AEA">
        <w:t xml:space="preserve"> Dish Sterling</w:t>
      </w:r>
      <w:r w:rsidR="00D0593F" w:rsidRPr="007F1AEA">
        <w:t xml:space="preserve">. Delving even deeper, the ability to identify and successfully implement cost reduction strategies is </w:t>
      </w:r>
      <w:r w:rsidR="009052B9" w:rsidRPr="007F1AEA">
        <w:t>dependent</w:t>
      </w:r>
      <w:r w:rsidR="00D0593F" w:rsidRPr="007F1AEA">
        <w:t xml:space="preserve"> on understanding where exactly the bulk of costs currently rests within these technologies. </w:t>
      </w:r>
    </w:p>
    <w:p w:rsidR="007F1AEA" w:rsidRPr="007F1AEA" w:rsidRDefault="007F1AEA">
      <w:r>
        <w:t xml:space="preserve">CSP Today’s Technology reports </w:t>
      </w:r>
      <w:r w:rsidR="009052B9">
        <w:t xml:space="preserve">has recently </w:t>
      </w:r>
      <w:r w:rsidR="000F4FB2">
        <w:t>analyse</w:t>
      </w:r>
      <w:r w:rsidR="009052B9">
        <w:t>d</w:t>
      </w:r>
      <w:r>
        <w:t xml:space="preserve"> the costs of Parabolic Trough and Solar Tower</w:t>
      </w:r>
      <w:r w:rsidR="009052B9">
        <w:t xml:space="preserve"> and found that CAPEX costs varied by only 1% between these technologies</w:t>
      </w:r>
      <w:r>
        <w:t>.</w:t>
      </w:r>
      <w:r w:rsidR="009052B9">
        <w:t xml:space="preserve"> However the percentage of costs distributed between EPC, developer and solar field provided more significant variation. </w:t>
      </w:r>
    </w:p>
    <w:p w:rsidR="00D0593F" w:rsidRPr="007F1AEA" w:rsidRDefault="004349F7">
      <w:pPr>
        <w:rPr>
          <w:b/>
          <w:u w:val="single"/>
        </w:rPr>
      </w:pPr>
      <w:r w:rsidRPr="007F1AEA">
        <w:rPr>
          <w:b/>
          <w:u w:val="single"/>
        </w:rPr>
        <w:t xml:space="preserve">Parabolic Trough </w:t>
      </w:r>
    </w:p>
    <w:p w:rsidR="005F35A3" w:rsidRPr="007F1AEA" w:rsidRDefault="004349F7" w:rsidP="004349F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22"/>
          <w:szCs w:val="22"/>
        </w:rPr>
      </w:pPr>
      <w:r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>For a refe</w:t>
      </w:r>
      <w:r w:rsidR="00BB6680"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>rence plant with a 110 MW gross</w:t>
      </w:r>
      <w:r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>, 6 hours of TES and dry cooling located in the MENA region</w:t>
      </w:r>
      <w:r w:rsidR="005F35A3"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the CAPEX represented the largest portion of lifecycle costs, accounting for 48%.</w:t>
      </w:r>
    </w:p>
    <w:p w:rsidR="005F35A3" w:rsidRPr="007F1AEA" w:rsidRDefault="005F35A3" w:rsidP="004349F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22"/>
          <w:szCs w:val="22"/>
        </w:rPr>
      </w:pPr>
    </w:p>
    <w:p w:rsidR="004349F7" w:rsidRPr="007F1AEA" w:rsidRDefault="005F35A3" w:rsidP="004349F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T</w:t>
      </w:r>
      <w:r w:rsidR="004349F7"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>he distribution of CAPEX costs revealed that</w:t>
      </w:r>
      <w:r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 within this 48%</w:t>
      </w:r>
      <w:r w:rsidR="004349F7" w:rsidRPr="007F1AEA">
        <w:rPr>
          <w:rFonts w:asciiTheme="minorHAnsi" w:eastAsiaTheme="minorEastAsia" w:hAnsiTheme="minorHAnsi" w:cstheme="minorBidi"/>
          <w:kern w:val="24"/>
          <w:sz w:val="22"/>
          <w:szCs w:val="22"/>
        </w:rPr>
        <w:t>:</w:t>
      </w:r>
    </w:p>
    <w:p w:rsidR="004349F7" w:rsidRPr="007F1AEA" w:rsidRDefault="004349F7" w:rsidP="00BB668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/>
          <w:kern w:val="24"/>
          <w:sz w:val="22"/>
          <w:szCs w:val="22"/>
        </w:rPr>
        <w:t xml:space="preserve">EPC costs account for </w:t>
      </w:r>
      <w:r w:rsidRPr="007F1AEA">
        <w:rPr>
          <w:rFonts w:asciiTheme="minorHAnsi" w:eastAsiaTheme="minorEastAsia" w:hAnsiTheme="minorHAnsi"/>
          <w:b/>
          <w:bCs/>
          <w:kern w:val="24"/>
          <w:sz w:val="22"/>
          <w:szCs w:val="22"/>
        </w:rPr>
        <w:t xml:space="preserve">92% </w:t>
      </w:r>
      <w:r w:rsidRPr="007F1AEA">
        <w:rPr>
          <w:rFonts w:asciiTheme="minorHAnsi" w:eastAsiaTheme="minorEastAsia" w:hAnsiTheme="minorHAnsi"/>
          <w:kern w:val="24"/>
          <w:sz w:val="22"/>
          <w:szCs w:val="22"/>
        </w:rPr>
        <w:t>of upfront costs</w:t>
      </w:r>
    </w:p>
    <w:p w:rsidR="004349F7" w:rsidRPr="007F1AEA" w:rsidRDefault="004349F7" w:rsidP="00BB668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/>
          <w:kern w:val="24"/>
          <w:sz w:val="22"/>
          <w:szCs w:val="22"/>
        </w:rPr>
        <w:t>Developer costs account for</w:t>
      </w:r>
      <w:r w:rsidRPr="007F1AEA">
        <w:rPr>
          <w:rFonts w:asciiTheme="minorHAnsi" w:eastAsiaTheme="minorEastAsia" w:hAnsiTheme="minorHAnsi"/>
          <w:b/>
          <w:bCs/>
          <w:kern w:val="24"/>
          <w:sz w:val="22"/>
          <w:szCs w:val="22"/>
        </w:rPr>
        <w:t xml:space="preserve"> 8% </w:t>
      </w:r>
      <w:r w:rsidRPr="007F1AEA">
        <w:rPr>
          <w:rFonts w:asciiTheme="minorHAnsi" w:eastAsiaTheme="minorEastAsia" w:hAnsiTheme="minorHAnsi"/>
          <w:kern w:val="24"/>
          <w:sz w:val="22"/>
          <w:szCs w:val="22"/>
        </w:rPr>
        <w:t xml:space="preserve">of upfront costs </w:t>
      </w:r>
      <w:bookmarkStart w:id="0" w:name="_GoBack"/>
      <w:bookmarkEnd w:id="0"/>
    </w:p>
    <w:p w:rsidR="004349F7" w:rsidRPr="007F1AEA" w:rsidRDefault="004349F7" w:rsidP="00BB668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/>
          <w:kern w:val="24"/>
          <w:sz w:val="22"/>
          <w:szCs w:val="22"/>
        </w:rPr>
        <w:t xml:space="preserve">The solar field (i.e. collector structure, mirrors, absorbers, hydraulic actuators and HTF piping) represents the largest proportion of CAPEX costs at </w:t>
      </w:r>
      <w:r w:rsidRPr="007F1AEA">
        <w:rPr>
          <w:rFonts w:asciiTheme="minorHAnsi" w:eastAsiaTheme="minorEastAsia" w:hAnsiTheme="minorHAnsi"/>
          <w:b/>
          <w:bCs/>
          <w:kern w:val="24"/>
          <w:sz w:val="22"/>
          <w:szCs w:val="22"/>
        </w:rPr>
        <w:t>30%</w:t>
      </w:r>
    </w:p>
    <w:p w:rsidR="007F1AEA" w:rsidRDefault="007F1AEA" w:rsidP="004349F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kern w:val="24"/>
          <w:sz w:val="22"/>
          <w:szCs w:val="22"/>
        </w:rPr>
      </w:pPr>
    </w:p>
    <w:p w:rsidR="004349F7" w:rsidRDefault="004349F7">
      <w:r>
        <w:rPr>
          <w:noProof/>
          <w:lang w:eastAsia="en-GB"/>
        </w:rPr>
        <w:drawing>
          <wp:inline distT="0" distB="0" distL="0" distR="0" wp14:anchorId="0FBC98F5" wp14:editId="2C727A13">
            <wp:extent cx="5760720" cy="281881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9F7" w:rsidRDefault="004349F7"/>
    <w:p w:rsidR="004349F7" w:rsidRDefault="004349F7">
      <w:pPr>
        <w:rPr>
          <w:b/>
          <w:u w:val="single"/>
        </w:rPr>
      </w:pPr>
      <w:r w:rsidRPr="004349F7">
        <w:rPr>
          <w:b/>
          <w:u w:val="single"/>
        </w:rPr>
        <w:t xml:space="preserve">Solar Tower </w:t>
      </w:r>
    </w:p>
    <w:p w:rsidR="005F35A3" w:rsidRDefault="005F35A3" w:rsidP="005F35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5F35A3">
        <w:rPr>
          <w:rFonts w:asciiTheme="minorHAnsi" w:eastAsiaTheme="minorEastAsia" w:hAnsiTheme="minorHAnsi" w:cs="Arial"/>
          <w:color w:val="000000" w:themeColor="text1"/>
          <w:kern w:val="24"/>
          <w:sz w:val="22"/>
          <w:szCs w:val="22"/>
        </w:rPr>
        <w:t>For a reference plant with a 100 MW capacity, 6 hours of TES and dry cooling located in the MENA region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the CAPEX represented the largest portion of lifecycle costs, accounting for 49%.</w:t>
      </w:r>
    </w:p>
    <w:p w:rsidR="005F35A3" w:rsidRDefault="005F35A3" w:rsidP="005F35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5F35A3" w:rsidRPr="004349F7" w:rsidRDefault="005F35A3" w:rsidP="005F35A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T</w:t>
      </w:r>
      <w:r w:rsidRPr="004349F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 distribution of CAPEX costs revealed that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within this 49%</w:t>
      </w:r>
      <w:r w:rsidRPr="004349F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:</w:t>
      </w:r>
    </w:p>
    <w:p w:rsidR="005F35A3" w:rsidRPr="007F1AEA" w:rsidRDefault="005F35A3" w:rsidP="007F1AE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F35A3" w:rsidRPr="007F1AEA" w:rsidRDefault="005F35A3" w:rsidP="007F1AE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 w:cs="Arial"/>
          <w:kern w:val="24"/>
          <w:sz w:val="22"/>
          <w:szCs w:val="22"/>
        </w:rPr>
        <w:lastRenderedPageBreak/>
        <w:t xml:space="preserve">EPC costs account for </w:t>
      </w:r>
      <w:r w:rsidRPr="007F1AEA">
        <w:rPr>
          <w:rFonts w:asciiTheme="minorHAnsi" w:eastAsiaTheme="minorEastAsia" w:hAnsiTheme="minorHAnsi" w:cs="Arial"/>
          <w:b/>
          <w:bCs/>
          <w:kern w:val="24"/>
          <w:sz w:val="22"/>
          <w:szCs w:val="22"/>
        </w:rPr>
        <w:t xml:space="preserve">91% </w:t>
      </w:r>
      <w:r w:rsidRPr="007F1AEA">
        <w:rPr>
          <w:rFonts w:asciiTheme="minorHAnsi" w:eastAsiaTheme="minorEastAsia" w:hAnsiTheme="minorHAnsi" w:cs="Arial"/>
          <w:kern w:val="24"/>
          <w:sz w:val="22"/>
          <w:szCs w:val="22"/>
        </w:rPr>
        <w:t>of upfront costs</w:t>
      </w:r>
    </w:p>
    <w:p w:rsidR="005F35A3" w:rsidRPr="007F1AEA" w:rsidRDefault="005F35A3" w:rsidP="007F1AE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 w:cs="Arial"/>
          <w:kern w:val="24"/>
          <w:sz w:val="22"/>
          <w:szCs w:val="22"/>
        </w:rPr>
        <w:t>Developer costs account for</w:t>
      </w:r>
      <w:r w:rsidRPr="007F1AEA">
        <w:rPr>
          <w:rFonts w:asciiTheme="minorHAnsi" w:eastAsiaTheme="minorEastAsia" w:hAnsiTheme="minorHAnsi" w:cs="Arial"/>
          <w:b/>
          <w:bCs/>
          <w:kern w:val="24"/>
          <w:sz w:val="22"/>
          <w:szCs w:val="22"/>
        </w:rPr>
        <w:t xml:space="preserve"> 9% </w:t>
      </w:r>
      <w:r w:rsidRPr="007F1AEA">
        <w:rPr>
          <w:rFonts w:asciiTheme="minorHAnsi" w:eastAsiaTheme="minorEastAsia" w:hAnsiTheme="minorHAnsi" w:cs="Arial"/>
          <w:kern w:val="24"/>
          <w:sz w:val="22"/>
          <w:szCs w:val="22"/>
        </w:rPr>
        <w:t xml:space="preserve">of upfront costs </w:t>
      </w:r>
    </w:p>
    <w:p w:rsidR="005F35A3" w:rsidRPr="007F1AEA" w:rsidRDefault="005F35A3" w:rsidP="007F1AE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F1AEA">
        <w:rPr>
          <w:rFonts w:asciiTheme="minorHAnsi" w:eastAsiaTheme="minorEastAsia" w:hAnsiTheme="minorHAnsi" w:cs="Arial"/>
          <w:kern w:val="24"/>
          <w:sz w:val="22"/>
          <w:szCs w:val="22"/>
        </w:rPr>
        <w:t xml:space="preserve">The solar field (i.e. heliostats, the drives, the foundation, pedestal and support structure) represents the largest proportion of CAPEX costs at </w:t>
      </w:r>
      <w:r w:rsidRPr="007F1AEA">
        <w:rPr>
          <w:rFonts w:asciiTheme="minorHAnsi" w:eastAsiaTheme="minorEastAsia" w:hAnsiTheme="minorHAnsi" w:cs="Arial"/>
          <w:b/>
          <w:bCs/>
          <w:kern w:val="24"/>
          <w:sz w:val="22"/>
          <w:szCs w:val="22"/>
        </w:rPr>
        <w:t>24%</w:t>
      </w:r>
    </w:p>
    <w:p w:rsidR="007F1AEA" w:rsidRDefault="007F1AEA" w:rsidP="007F1AEA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b/>
          <w:bCs/>
          <w:kern w:val="24"/>
          <w:sz w:val="22"/>
          <w:szCs w:val="22"/>
        </w:rPr>
      </w:pPr>
    </w:p>
    <w:p w:rsidR="007F1AEA" w:rsidRDefault="005F35A3">
      <w:r>
        <w:rPr>
          <w:noProof/>
          <w:lang w:eastAsia="en-GB"/>
        </w:rPr>
        <w:drawing>
          <wp:inline distT="0" distB="0" distL="0" distR="0" wp14:anchorId="005DC154" wp14:editId="34D909DF">
            <wp:extent cx="4296070" cy="379094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4784" cy="378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AEA" w:rsidRDefault="007F1AEA" w:rsidP="007F1AEA"/>
    <w:p w:rsidR="00C73847" w:rsidRDefault="007F1AEA" w:rsidP="007F1AEA">
      <w:r>
        <w:t xml:space="preserve">For more information about the CSP Today’s Technology Reports, please visit: </w:t>
      </w:r>
      <w:hyperlink r:id="rId8" w:history="1">
        <w:r w:rsidRPr="007776C4">
          <w:rPr>
            <w:rStyle w:val="Hyperlink"/>
          </w:rPr>
          <w:t>http://www.csptoday.com/csp-technology-report/index.php</w:t>
        </w:r>
      </w:hyperlink>
    </w:p>
    <w:p w:rsidR="007F1AEA" w:rsidRDefault="007F1AEA" w:rsidP="007F1AEA">
      <w:r>
        <w:t>Or contact:</w:t>
      </w:r>
    </w:p>
    <w:p w:rsidR="007F1AEA" w:rsidRDefault="007F1AEA" w:rsidP="007F1AEA">
      <w:pPr>
        <w:spacing w:after="0"/>
      </w:pPr>
      <w:r>
        <w:t>Bea González</w:t>
      </w:r>
    </w:p>
    <w:p w:rsidR="007F1AEA" w:rsidRDefault="007F1AEA" w:rsidP="007F1AEA">
      <w:pPr>
        <w:spacing w:after="0"/>
      </w:pPr>
      <w:r>
        <w:t>CSP Today</w:t>
      </w:r>
    </w:p>
    <w:p w:rsidR="007F1AEA" w:rsidRDefault="008F59EB" w:rsidP="007F1AEA">
      <w:pPr>
        <w:spacing w:after="0"/>
      </w:pPr>
      <w:hyperlink r:id="rId9" w:history="1">
        <w:r w:rsidR="007F1AEA" w:rsidRPr="007776C4">
          <w:rPr>
            <w:rStyle w:val="Hyperlink"/>
          </w:rPr>
          <w:t>bea@csptoday.com</w:t>
        </w:r>
      </w:hyperlink>
    </w:p>
    <w:p w:rsidR="007F1AEA" w:rsidRPr="007F1AEA" w:rsidRDefault="007F1AEA" w:rsidP="007F1AEA"/>
    <w:sectPr w:rsidR="007F1AEA" w:rsidRPr="007F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B2615"/>
    <w:multiLevelType w:val="hybridMultilevel"/>
    <w:tmpl w:val="7F8C83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07E03"/>
    <w:multiLevelType w:val="hybridMultilevel"/>
    <w:tmpl w:val="049061A0"/>
    <w:lvl w:ilvl="0" w:tplc="CC463B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485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EC6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8B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493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00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64C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E3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EDA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C86FBD"/>
    <w:multiLevelType w:val="hybridMultilevel"/>
    <w:tmpl w:val="CAA6B84C"/>
    <w:lvl w:ilvl="0" w:tplc="F1F4B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233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2087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29F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46A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C9B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02D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2FD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E0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511E5F"/>
    <w:multiLevelType w:val="hybridMultilevel"/>
    <w:tmpl w:val="BA6079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2"/>
    <w:rsid w:val="000A653B"/>
    <w:rsid w:val="000F4FB2"/>
    <w:rsid w:val="00157751"/>
    <w:rsid w:val="004349F7"/>
    <w:rsid w:val="004F081B"/>
    <w:rsid w:val="005F35A3"/>
    <w:rsid w:val="00782542"/>
    <w:rsid w:val="007F1AEA"/>
    <w:rsid w:val="008F59EB"/>
    <w:rsid w:val="009052B9"/>
    <w:rsid w:val="00BB6680"/>
    <w:rsid w:val="00D0593F"/>
    <w:rsid w:val="00E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4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1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4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1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today.com/csp-technology-report/index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@csptod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 Business Intelligence Ltd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Chamberlain</dc:creator>
  <cp:lastModifiedBy>Nikita Smith</cp:lastModifiedBy>
  <cp:revision>2</cp:revision>
  <cp:lastPrinted>2013-01-30T09:29:00Z</cp:lastPrinted>
  <dcterms:created xsi:type="dcterms:W3CDTF">2013-02-01T11:36:00Z</dcterms:created>
  <dcterms:modified xsi:type="dcterms:W3CDTF">2013-02-01T11:36:00Z</dcterms:modified>
</cp:coreProperties>
</file>