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85686" w14:textId="77777777" w:rsidR="00EF08B5" w:rsidRPr="00F11A07" w:rsidRDefault="00EF08B5">
      <w:pPr>
        <w:rPr>
          <w:b/>
          <w:bCs/>
          <w:lang w:val="en-GB"/>
        </w:rPr>
      </w:pPr>
    </w:p>
    <w:tbl>
      <w:tblPr>
        <w:tblW w:w="9121" w:type="dxa"/>
        <w:tblInd w:w="106" w:type="dxa"/>
        <w:tblLayout w:type="fixed"/>
        <w:tblCellMar>
          <w:left w:w="0" w:type="dxa"/>
          <w:right w:w="0" w:type="dxa"/>
        </w:tblCellMar>
        <w:tblLook w:val="01E0" w:firstRow="1" w:lastRow="1" w:firstColumn="1" w:lastColumn="1" w:noHBand="0" w:noVBand="0"/>
      </w:tblPr>
      <w:tblGrid>
        <w:gridCol w:w="9121"/>
      </w:tblGrid>
      <w:tr w:rsidR="006258A6" w:rsidRPr="00F11A07" w14:paraId="492E2532"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AFEF"/>
          </w:tcPr>
          <w:p w14:paraId="22CA6269" w14:textId="77777777" w:rsidR="006258A6" w:rsidRPr="00F11A07" w:rsidRDefault="006258A6" w:rsidP="00DA7125">
            <w:pPr>
              <w:spacing w:before="120" w:after="60"/>
              <w:ind w:left="102"/>
              <w:rPr>
                <w:rFonts w:ascii="Calibri" w:eastAsia="Calibri" w:hAnsi="Calibri" w:cs="Calibri"/>
                <w:b/>
                <w:color w:val="FFFFFF"/>
                <w:sz w:val="21"/>
                <w:szCs w:val="21"/>
                <w:lang w:val="en-GB"/>
              </w:rPr>
            </w:pPr>
            <w:r w:rsidRPr="00F11A07">
              <w:rPr>
                <w:rFonts w:ascii="Calibri" w:eastAsia="Calibri" w:hAnsi="Calibri" w:cs="Calibri"/>
                <w:b/>
                <w:color w:val="FFFFFF"/>
                <w:sz w:val="21"/>
                <w:szCs w:val="21"/>
                <w:lang w:val="en-GB"/>
              </w:rPr>
              <w:t xml:space="preserve">1. Name of indicator </w:t>
            </w:r>
          </w:p>
        </w:tc>
      </w:tr>
      <w:tr w:rsidR="006258A6" w:rsidRPr="00F11A07" w14:paraId="15EDB57B"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tcPr>
          <w:p w14:paraId="0A55BAD8" w14:textId="18B28F9D" w:rsidR="006258A6" w:rsidRPr="00F11A07" w:rsidRDefault="000B0261" w:rsidP="00DA7125">
            <w:pPr>
              <w:spacing w:after="60"/>
              <w:ind w:left="227" w:right="113"/>
              <w:rPr>
                <w:rFonts w:eastAsia="Times New Roman" w:cstheme="minorHAnsi"/>
                <w:color w:val="000000"/>
                <w:lang w:val="en-GB"/>
              </w:rPr>
            </w:pPr>
            <w:r w:rsidRPr="00806AD6">
              <w:rPr>
                <w:rFonts w:cstheme="minorHAnsi"/>
                <w:color w:val="000000"/>
              </w:rPr>
              <w:t xml:space="preserve">Number </w:t>
            </w:r>
            <w:r w:rsidR="0018502B">
              <w:rPr>
                <w:rFonts w:cstheme="minorHAnsi"/>
                <w:color w:val="000000"/>
              </w:rPr>
              <w:t>of strategies and action plans jointly developed</w:t>
            </w:r>
            <w:r w:rsidRPr="00806AD6">
              <w:rPr>
                <w:rFonts w:cstheme="minorHAnsi"/>
                <w:color w:val="000000"/>
              </w:rPr>
              <w:t xml:space="preserve"> (Ind. 5.0.1.</w:t>
            </w:r>
            <w:r w:rsidR="0018502B">
              <w:rPr>
                <w:rFonts w:cstheme="minorHAnsi"/>
                <w:color w:val="000000"/>
              </w:rPr>
              <w:t>7</w:t>
            </w:r>
            <w:r w:rsidRPr="00806AD6">
              <w:rPr>
                <w:rFonts w:cstheme="minorHAnsi"/>
                <w:color w:val="000000"/>
              </w:rPr>
              <w:t>)</w:t>
            </w:r>
          </w:p>
        </w:tc>
      </w:tr>
      <w:tr w:rsidR="006258A6" w:rsidRPr="00F11A07" w14:paraId="575EBA4C"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AFEF"/>
          </w:tcPr>
          <w:p w14:paraId="5B57EE53" w14:textId="20CD71A6" w:rsidR="00B82F64" w:rsidRPr="00F11A07" w:rsidRDefault="00B82F64" w:rsidP="00DA7125">
            <w:pPr>
              <w:spacing w:before="120" w:after="60"/>
              <w:ind w:left="102"/>
              <w:rPr>
                <w:rFonts w:ascii="Calibri" w:eastAsia="Calibri" w:hAnsi="Calibri" w:cs="Calibri"/>
                <w:b/>
                <w:color w:val="FFFFFF"/>
                <w:sz w:val="21"/>
                <w:szCs w:val="21"/>
                <w:lang w:val="en-GB"/>
              </w:rPr>
            </w:pPr>
            <w:r w:rsidRPr="00F11A07">
              <w:rPr>
                <w:rFonts w:ascii="Calibri" w:eastAsia="Calibri" w:hAnsi="Calibri" w:cs="Calibri"/>
                <w:b/>
                <w:color w:val="FFFFFF"/>
                <w:sz w:val="21"/>
                <w:szCs w:val="21"/>
                <w:lang w:val="en-GB"/>
              </w:rPr>
              <w:t>2. Associated IPA III Programming Framework</w:t>
            </w:r>
            <w:r w:rsidRPr="00F11A07">
              <w:rPr>
                <w:b/>
                <w:bCs/>
                <w:color w:val="FFFFFF" w:themeColor="background1"/>
                <w:sz w:val="21"/>
                <w:szCs w:val="21"/>
                <w:lang w:val="en-GB"/>
              </w:rPr>
              <w:t xml:space="preserve"> </w:t>
            </w:r>
            <w:r w:rsidRPr="00F11A07">
              <w:rPr>
                <w:rFonts w:ascii="Calibri" w:eastAsia="Calibri" w:hAnsi="Calibri" w:cs="Calibri"/>
                <w:b/>
                <w:color w:val="FFFFFF"/>
                <w:sz w:val="21"/>
                <w:szCs w:val="21"/>
                <w:lang w:val="en-GB"/>
              </w:rPr>
              <w:t>Window</w:t>
            </w:r>
            <w:r w:rsidR="002F4BEF" w:rsidRPr="00F11A07">
              <w:rPr>
                <w:rFonts w:ascii="Calibri" w:eastAsia="Calibri" w:hAnsi="Calibri" w:cs="Calibri"/>
                <w:b/>
                <w:color w:val="FFFFFF"/>
                <w:sz w:val="21"/>
                <w:szCs w:val="21"/>
                <w:lang w:val="en-GB"/>
              </w:rPr>
              <w:t xml:space="preserve"> and</w:t>
            </w:r>
            <w:r w:rsidR="00FE0FE2" w:rsidRPr="00F11A07">
              <w:rPr>
                <w:rFonts w:ascii="Calibri" w:eastAsia="Calibri" w:hAnsi="Calibri" w:cs="Calibri"/>
                <w:b/>
                <w:color w:val="FFFFFF"/>
                <w:sz w:val="21"/>
                <w:szCs w:val="21"/>
                <w:lang w:val="en-GB"/>
              </w:rPr>
              <w:t xml:space="preserve"> European Territorial Cooperation (ETC) Programming,</w:t>
            </w:r>
            <w:r w:rsidRPr="00F11A07">
              <w:rPr>
                <w:rFonts w:ascii="Calibri" w:eastAsia="Calibri" w:hAnsi="Calibri" w:cs="Calibri"/>
                <w:b/>
                <w:color w:val="FFFFFF"/>
                <w:sz w:val="21"/>
                <w:szCs w:val="21"/>
                <w:lang w:val="en-GB"/>
              </w:rPr>
              <w:t xml:space="preserve"> Primary SDG and Wider Thematic Linkages</w:t>
            </w:r>
          </w:p>
        </w:tc>
      </w:tr>
      <w:tr w:rsidR="006258A6" w:rsidRPr="00F11A07" w14:paraId="535A5E43" w14:textId="77777777" w:rsidTr="006E6926">
        <w:trPr>
          <w:trHeight w:val="3485"/>
        </w:trPr>
        <w:tc>
          <w:tcPr>
            <w:tcW w:w="9121" w:type="dxa"/>
            <w:tcBorders>
              <w:top w:val="single" w:sz="5" w:space="0" w:color="000000"/>
              <w:left w:val="single" w:sz="5" w:space="0" w:color="000000"/>
              <w:bottom w:val="single" w:sz="5" w:space="0" w:color="000000"/>
              <w:right w:val="single" w:sz="5" w:space="0" w:color="000000"/>
            </w:tcBorders>
          </w:tcPr>
          <w:p w14:paraId="014E04D7" w14:textId="544FB9A3" w:rsidR="0018502B" w:rsidRPr="004130B1" w:rsidRDefault="0018502B" w:rsidP="0018502B">
            <w:pPr>
              <w:pStyle w:val="Paragraphedeliste"/>
              <w:numPr>
                <w:ilvl w:val="0"/>
                <w:numId w:val="13"/>
              </w:numPr>
              <w:spacing w:before="60" w:after="60"/>
              <w:ind w:left="596" w:right="170" w:hanging="425"/>
              <w:jc w:val="both"/>
              <w:rPr>
                <w:rFonts w:asciiTheme="minorHAnsi" w:eastAsia="Calibri" w:hAnsiTheme="minorHAnsi" w:cstheme="minorHAnsi"/>
                <w:sz w:val="22"/>
                <w:szCs w:val="22"/>
              </w:rPr>
            </w:pPr>
            <w:r w:rsidRPr="004130B1">
              <w:rPr>
                <w:rFonts w:asciiTheme="minorHAnsi" w:eastAsia="Calibri" w:hAnsiTheme="minorHAnsi" w:cstheme="minorHAnsi"/>
                <w:bCs/>
                <w:sz w:val="22"/>
                <w:szCs w:val="22"/>
              </w:rPr>
              <w:t>This indicator is included in IPA Results Framework for its relevance to</w:t>
            </w:r>
            <w:r w:rsidRPr="004130B1">
              <w:rPr>
                <w:rFonts w:asciiTheme="minorHAnsi" w:eastAsia="Calibri" w:hAnsiTheme="minorHAnsi" w:cstheme="minorHAnsi"/>
                <w:b/>
                <w:sz w:val="22"/>
                <w:szCs w:val="22"/>
              </w:rPr>
              <w:t xml:space="preserve"> Window 5</w:t>
            </w:r>
            <w:r w:rsidRPr="004130B1">
              <w:rPr>
                <w:rFonts w:asciiTheme="minorHAnsi" w:eastAsia="Calibri" w:hAnsiTheme="minorHAnsi" w:cstheme="minorHAnsi"/>
                <w:bCs/>
                <w:sz w:val="22"/>
                <w:szCs w:val="22"/>
              </w:rPr>
              <w:t xml:space="preserve"> </w:t>
            </w:r>
            <w:r w:rsidRPr="004130B1">
              <w:rPr>
                <w:rFonts w:asciiTheme="minorHAnsi" w:eastAsia="Calibri" w:hAnsiTheme="minorHAnsi" w:cstheme="minorHAnsi"/>
                <w:bCs/>
                <w:i/>
                <w:iCs/>
                <w:sz w:val="22"/>
                <w:szCs w:val="22"/>
              </w:rPr>
              <w:t>Territorial and cross-border cooperation</w:t>
            </w:r>
            <w:r w:rsidRPr="004130B1">
              <w:rPr>
                <w:rFonts w:asciiTheme="minorHAnsi" w:eastAsia="Calibri" w:hAnsiTheme="minorHAnsi" w:cstheme="minorHAnsi"/>
                <w:bCs/>
                <w:sz w:val="22"/>
                <w:szCs w:val="22"/>
              </w:rPr>
              <w:t xml:space="preserve"> of IPA III Programming Framework</w:t>
            </w:r>
            <w:r w:rsidRPr="004130B1">
              <w:rPr>
                <w:rStyle w:val="Appelnotedebasdep"/>
                <w:rFonts w:asciiTheme="minorHAnsi" w:eastAsia="Calibri" w:hAnsiTheme="minorHAnsi" w:cstheme="minorHAnsi"/>
                <w:bCs/>
                <w:sz w:val="22"/>
                <w:szCs w:val="22"/>
              </w:rPr>
              <w:footnoteReference w:id="1"/>
            </w:r>
            <w:r w:rsidRPr="004130B1">
              <w:rPr>
                <w:rFonts w:asciiTheme="minorHAnsi" w:eastAsia="Calibri" w:hAnsiTheme="minorHAnsi" w:cstheme="minorHAnsi"/>
                <w:bCs/>
                <w:sz w:val="22"/>
                <w:szCs w:val="22"/>
              </w:rPr>
              <w:t xml:space="preserve">, as it is one of the output indicators most commonly included in </w:t>
            </w:r>
            <w:r w:rsidRPr="004130B1">
              <w:rPr>
                <w:rFonts w:asciiTheme="minorHAnsi" w:hAnsiTheme="minorHAnsi" w:cstheme="minorHAnsi"/>
                <w:sz w:val="22"/>
                <w:szCs w:val="22"/>
              </w:rPr>
              <w:t>Interreg-IPA CBC</w:t>
            </w:r>
            <w:r w:rsidRPr="004130B1">
              <w:rPr>
                <w:rFonts w:asciiTheme="minorHAnsi" w:eastAsia="Calibri" w:hAnsiTheme="minorHAnsi" w:cstheme="minorHAnsi"/>
                <w:sz w:val="22"/>
                <w:szCs w:val="22"/>
              </w:rPr>
              <w:t>, Interreg transnational and interregional programmes supported with IPA III funds. It is also included under several IPA-IPA CBC programmes as programme-specific indicator (under slightly different formulations).</w:t>
            </w:r>
          </w:p>
          <w:p w14:paraId="291C54A5" w14:textId="00F9D56F" w:rsidR="0018502B" w:rsidRPr="0018502B" w:rsidRDefault="0018502B" w:rsidP="0018502B">
            <w:pPr>
              <w:pStyle w:val="Paragraphedeliste"/>
              <w:numPr>
                <w:ilvl w:val="0"/>
                <w:numId w:val="13"/>
              </w:numPr>
              <w:spacing w:before="60" w:after="60"/>
              <w:ind w:left="596" w:right="170" w:hanging="425"/>
              <w:jc w:val="both"/>
              <w:rPr>
                <w:rFonts w:asciiTheme="minorHAnsi" w:hAnsiTheme="minorHAnsi" w:cstheme="minorHAnsi"/>
                <w:i/>
                <w:iCs/>
                <w:sz w:val="22"/>
                <w:szCs w:val="22"/>
              </w:rPr>
            </w:pPr>
            <w:r w:rsidRPr="004130B1">
              <w:rPr>
                <w:rFonts w:asciiTheme="minorHAnsi" w:hAnsiTheme="minorHAnsi" w:cstheme="minorHAnsi"/>
                <w:sz w:val="22"/>
                <w:szCs w:val="22"/>
              </w:rPr>
              <w:t>It is defined under the European Regional Development Fund</w:t>
            </w:r>
            <w:r w:rsidRPr="004130B1">
              <w:rPr>
                <w:rFonts w:asciiTheme="minorHAnsi" w:hAnsiTheme="minorHAnsi" w:cstheme="minorHAnsi"/>
                <w:b/>
                <w:bCs/>
                <w:sz w:val="22"/>
                <w:szCs w:val="22"/>
              </w:rPr>
              <w:t xml:space="preserve"> </w:t>
            </w:r>
            <w:r w:rsidRPr="004130B1">
              <w:rPr>
                <w:rFonts w:asciiTheme="minorHAnsi" w:hAnsiTheme="minorHAnsi" w:cstheme="minorHAnsi"/>
                <w:sz w:val="22"/>
                <w:szCs w:val="22"/>
              </w:rPr>
              <w:t xml:space="preserve">(ERDF) as the </w:t>
            </w:r>
            <w:r w:rsidRPr="004130B1">
              <w:rPr>
                <w:rFonts w:asciiTheme="minorHAnsi" w:hAnsiTheme="minorHAnsi" w:cstheme="minorHAnsi"/>
                <w:b/>
                <w:bCs/>
                <w:sz w:val="22"/>
                <w:szCs w:val="22"/>
              </w:rPr>
              <w:t>Interreg-specific</w:t>
            </w:r>
            <w:r w:rsidRPr="004130B1">
              <w:rPr>
                <w:rFonts w:asciiTheme="minorHAnsi" w:hAnsiTheme="minorHAnsi" w:cstheme="minorHAnsi"/>
                <w:sz w:val="22"/>
                <w:szCs w:val="22"/>
              </w:rPr>
              <w:t xml:space="preserve"> Common Output Indicator </w:t>
            </w:r>
            <w:r w:rsidRPr="004130B1">
              <w:rPr>
                <w:rFonts w:asciiTheme="minorHAnsi" w:hAnsiTheme="minorHAnsi" w:cstheme="minorHAnsi"/>
                <w:b/>
                <w:bCs/>
                <w:sz w:val="22"/>
                <w:szCs w:val="22"/>
              </w:rPr>
              <w:t>RCO 83</w:t>
            </w:r>
            <w:r w:rsidRPr="004130B1">
              <w:rPr>
                <w:rStyle w:val="Appelnotedebasdep"/>
                <w:rFonts w:asciiTheme="minorHAnsi" w:hAnsiTheme="minorHAnsi" w:cstheme="minorHAnsi"/>
                <w:b/>
                <w:bCs/>
                <w:sz w:val="22"/>
                <w:szCs w:val="22"/>
              </w:rPr>
              <w:footnoteReference w:id="2"/>
            </w:r>
            <w:r w:rsidRPr="004130B1">
              <w:rPr>
                <w:rFonts w:asciiTheme="minorHAnsi" w:hAnsiTheme="minorHAnsi" w:cstheme="minorHAnsi"/>
                <w:sz w:val="22"/>
                <w:szCs w:val="22"/>
              </w:rPr>
              <w:t>. Its characteristics and intended use for Interreg-IPA CBC programmes are defined in Commission Staff working document (2021)198 final</w:t>
            </w:r>
            <w:r w:rsidRPr="004130B1">
              <w:rPr>
                <w:rStyle w:val="Appelnotedebasdep"/>
                <w:rFonts w:asciiTheme="minorHAnsi" w:hAnsiTheme="minorHAnsi" w:cstheme="minorHAnsi"/>
                <w:sz w:val="22"/>
                <w:szCs w:val="22"/>
              </w:rPr>
              <w:footnoteReference w:id="3"/>
            </w:r>
            <w:r w:rsidRPr="004130B1">
              <w:rPr>
                <w:rFonts w:asciiTheme="minorHAnsi" w:hAnsiTheme="minorHAnsi" w:cstheme="minorHAnsi"/>
                <w:sz w:val="22"/>
                <w:szCs w:val="22"/>
              </w:rPr>
              <w:t>.</w:t>
            </w:r>
          </w:p>
          <w:p w14:paraId="0B7DB515" w14:textId="70988B1E" w:rsidR="0018502B" w:rsidRPr="004130B1" w:rsidRDefault="0018502B" w:rsidP="0018502B">
            <w:pPr>
              <w:pStyle w:val="Paragraphedeliste"/>
              <w:numPr>
                <w:ilvl w:val="0"/>
                <w:numId w:val="13"/>
              </w:numPr>
              <w:spacing w:before="60" w:after="60"/>
              <w:ind w:left="596" w:right="170" w:hanging="425"/>
              <w:jc w:val="both"/>
              <w:rPr>
                <w:rFonts w:asciiTheme="minorHAnsi" w:hAnsiTheme="minorHAnsi" w:cstheme="minorHAnsi"/>
                <w:i/>
                <w:iCs/>
                <w:sz w:val="22"/>
                <w:szCs w:val="22"/>
              </w:rPr>
            </w:pPr>
            <w:r w:rsidRPr="004130B1">
              <w:rPr>
                <w:rFonts w:asciiTheme="minorHAnsi" w:hAnsiTheme="minorHAnsi" w:cstheme="minorHAnsi"/>
                <w:sz w:val="22"/>
                <w:szCs w:val="22"/>
              </w:rPr>
              <w:t>To allow aggregation across programmes, the same definition should apply to IPA-IPA CBC programmes related programme-specific indicators, as relevant.</w:t>
            </w:r>
          </w:p>
          <w:p w14:paraId="6E6542C0" w14:textId="343F7C74" w:rsidR="006E1CCD" w:rsidRPr="00E67806" w:rsidRDefault="00E67806" w:rsidP="0018502B">
            <w:pPr>
              <w:pStyle w:val="Paragraphedeliste"/>
              <w:numPr>
                <w:ilvl w:val="0"/>
                <w:numId w:val="10"/>
              </w:numPr>
              <w:spacing w:before="11"/>
              <w:ind w:left="596" w:right="113" w:hanging="425"/>
              <w:jc w:val="both"/>
              <w:rPr>
                <w:rFonts w:ascii="Calibri" w:eastAsia="Calibri" w:hAnsi="Calibri" w:cstheme="minorHAnsi"/>
                <w:bCs/>
                <w:sz w:val="22"/>
                <w:szCs w:val="22"/>
                <w:lang w:val="en-GB"/>
              </w:rPr>
            </w:pPr>
            <w:r w:rsidRPr="00E67806">
              <w:rPr>
                <w:rFonts w:ascii="Calibri" w:hAnsi="Calibri" w:cstheme="minorHAnsi"/>
                <w:b/>
                <w:bCs/>
                <w:sz w:val="22"/>
                <w:szCs w:val="22"/>
              </w:rPr>
              <w:t xml:space="preserve">Chapter of the </w:t>
            </w:r>
            <w:r w:rsidRPr="00E67806">
              <w:rPr>
                <w:rFonts w:ascii="Calibri" w:hAnsi="Calibri" w:cstheme="minorHAnsi"/>
                <w:b/>
                <w:bCs/>
                <w:i/>
                <w:iCs/>
                <w:sz w:val="22"/>
                <w:szCs w:val="22"/>
              </w:rPr>
              <w:t>Acquis</w:t>
            </w:r>
            <w:r w:rsidRPr="00E67806">
              <w:rPr>
                <w:rFonts w:ascii="Calibri" w:hAnsi="Calibri" w:cstheme="minorHAnsi"/>
                <w:b/>
                <w:bCs/>
                <w:sz w:val="22"/>
                <w:szCs w:val="22"/>
              </w:rPr>
              <w:t>:</w:t>
            </w:r>
            <w:r w:rsidRPr="00E67806">
              <w:rPr>
                <w:rFonts w:ascii="Calibri" w:hAnsi="Calibri" w:cstheme="minorHAnsi"/>
                <w:sz w:val="22"/>
                <w:szCs w:val="22"/>
              </w:rPr>
              <w:t xml:space="preserve">  </w:t>
            </w:r>
            <w:r w:rsidR="005A2C9B" w:rsidRPr="00E67806">
              <w:rPr>
                <w:rFonts w:ascii="Calibri" w:hAnsi="Calibri" w:cstheme="minorHAnsi"/>
                <w:sz w:val="22"/>
                <w:szCs w:val="22"/>
                <w:lang w:val="en-GB"/>
              </w:rPr>
              <w:t xml:space="preserve">The indicator cuts across the EU </w:t>
            </w:r>
            <w:r>
              <w:rPr>
                <w:rFonts w:ascii="Calibri" w:hAnsi="Calibri" w:cstheme="minorHAnsi"/>
                <w:sz w:val="22"/>
                <w:szCs w:val="22"/>
                <w:lang w:val="en-GB"/>
              </w:rPr>
              <w:t>A</w:t>
            </w:r>
            <w:r w:rsidR="005A2C9B" w:rsidRPr="00E67806">
              <w:rPr>
                <w:rFonts w:ascii="Calibri" w:hAnsi="Calibri" w:cstheme="minorHAnsi"/>
                <w:i/>
                <w:iCs/>
                <w:sz w:val="22"/>
                <w:szCs w:val="22"/>
                <w:lang w:val="en-GB"/>
              </w:rPr>
              <w:t>cquis</w:t>
            </w:r>
            <w:r w:rsidR="005A2C9B" w:rsidRPr="00E67806">
              <w:rPr>
                <w:rFonts w:ascii="Calibri" w:hAnsi="Calibri" w:cstheme="minorHAnsi"/>
                <w:sz w:val="22"/>
                <w:szCs w:val="22"/>
                <w:lang w:val="en-GB"/>
              </w:rPr>
              <w:t xml:space="preserve"> chapters and political priorities</w:t>
            </w:r>
            <w:r w:rsidR="00DE3033" w:rsidRPr="00E67806">
              <w:rPr>
                <w:rFonts w:ascii="Calibri" w:hAnsi="Calibri" w:cstheme="minorHAnsi"/>
                <w:sz w:val="22"/>
                <w:szCs w:val="22"/>
                <w:lang w:val="en-GB"/>
              </w:rPr>
              <w:t>.</w:t>
            </w:r>
          </w:p>
          <w:p w14:paraId="6AEE4F05" w14:textId="12414E4B" w:rsidR="006258A6" w:rsidRPr="00F11A07" w:rsidRDefault="00CC29FA" w:rsidP="0018502B">
            <w:pPr>
              <w:pStyle w:val="Paragraphedeliste"/>
              <w:numPr>
                <w:ilvl w:val="0"/>
                <w:numId w:val="10"/>
              </w:numPr>
              <w:spacing w:before="11"/>
              <w:ind w:left="596" w:right="113" w:hanging="425"/>
              <w:jc w:val="both"/>
              <w:rPr>
                <w:rFonts w:asciiTheme="minorHAnsi" w:eastAsia="Calibri" w:hAnsiTheme="minorHAnsi" w:cstheme="minorHAnsi"/>
                <w:bCs/>
                <w:sz w:val="22"/>
                <w:szCs w:val="22"/>
                <w:lang w:val="en-GB"/>
              </w:rPr>
            </w:pPr>
            <w:r w:rsidRPr="00E67806">
              <w:rPr>
                <w:rFonts w:ascii="Calibri" w:eastAsia="Calibri" w:hAnsi="Calibri" w:cstheme="minorHAnsi"/>
                <w:bCs/>
                <w:sz w:val="22"/>
                <w:szCs w:val="22"/>
                <w:lang w:val="en-GB"/>
              </w:rPr>
              <w:t xml:space="preserve">It can be linked to </w:t>
            </w:r>
            <w:r w:rsidR="006258A6" w:rsidRPr="00E67806">
              <w:rPr>
                <w:rFonts w:ascii="Calibri" w:eastAsia="Calibri" w:hAnsi="Calibri" w:cstheme="minorHAnsi"/>
                <w:b/>
                <w:sz w:val="22"/>
                <w:szCs w:val="22"/>
                <w:lang w:val="en-GB"/>
              </w:rPr>
              <w:t>S</w:t>
            </w:r>
            <w:r w:rsidRPr="00E67806">
              <w:rPr>
                <w:rFonts w:ascii="Calibri" w:eastAsia="Calibri" w:hAnsi="Calibri" w:cstheme="minorHAnsi"/>
                <w:b/>
                <w:sz w:val="22"/>
                <w:szCs w:val="22"/>
                <w:lang w:val="en-GB"/>
              </w:rPr>
              <w:t>ustainable Development Goal (S</w:t>
            </w:r>
            <w:r w:rsidR="006258A6" w:rsidRPr="00E67806">
              <w:rPr>
                <w:rFonts w:ascii="Calibri" w:eastAsia="Calibri" w:hAnsi="Calibri" w:cstheme="minorHAnsi"/>
                <w:b/>
                <w:sz w:val="22"/>
                <w:szCs w:val="22"/>
                <w:lang w:val="en-GB"/>
              </w:rPr>
              <w:t>DG</w:t>
            </w:r>
            <w:r w:rsidRPr="00E67806">
              <w:rPr>
                <w:rFonts w:ascii="Calibri" w:eastAsia="Calibri" w:hAnsi="Calibri" w:cstheme="minorHAnsi"/>
                <w:b/>
                <w:sz w:val="22"/>
                <w:szCs w:val="22"/>
                <w:lang w:val="en-GB"/>
              </w:rPr>
              <w:t>)</w:t>
            </w:r>
            <w:r w:rsidR="006258A6" w:rsidRPr="00E67806">
              <w:rPr>
                <w:rFonts w:ascii="Calibri" w:eastAsia="Calibri" w:hAnsi="Calibri" w:cstheme="minorHAnsi"/>
                <w:b/>
                <w:sz w:val="22"/>
                <w:szCs w:val="22"/>
                <w:lang w:val="en-GB"/>
              </w:rPr>
              <w:t xml:space="preserve"> </w:t>
            </w:r>
            <w:r w:rsidRPr="00E67806">
              <w:rPr>
                <w:rFonts w:ascii="Calibri" w:eastAsia="Calibri" w:hAnsi="Calibri" w:cstheme="minorHAnsi"/>
                <w:b/>
                <w:sz w:val="22"/>
                <w:szCs w:val="22"/>
                <w:lang w:val="en-GB"/>
              </w:rPr>
              <w:t>17</w:t>
            </w:r>
            <w:r w:rsidRPr="00E67806">
              <w:rPr>
                <w:rFonts w:ascii="Calibri" w:eastAsia="Calibri" w:hAnsi="Calibri" w:cstheme="minorHAnsi"/>
                <w:bCs/>
                <w:sz w:val="22"/>
                <w:szCs w:val="22"/>
                <w:lang w:val="en-GB"/>
              </w:rPr>
              <w:t xml:space="preserve"> </w:t>
            </w:r>
            <w:r w:rsidRPr="00E67806">
              <w:rPr>
                <w:rFonts w:ascii="Calibri" w:eastAsia="Calibri" w:hAnsi="Calibri" w:cstheme="minorHAnsi"/>
                <w:bCs/>
                <w:i/>
                <w:iCs/>
                <w:sz w:val="22"/>
                <w:szCs w:val="22"/>
                <w:lang w:val="en-GB"/>
              </w:rPr>
              <w:t>Partnerships for the goals</w:t>
            </w:r>
          </w:p>
        </w:tc>
      </w:tr>
      <w:tr w:rsidR="006258A6" w:rsidRPr="00F11A07" w14:paraId="2653B8D4"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AFEF"/>
          </w:tcPr>
          <w:p w14:paraId="4CDF1C76" w14:textId="77777777" w:rsidR="006258A6" w:rsidRPr="00F11A07" w:rsidRDefault="006258A6" w:rsidP="00DA7125">
            <w:pPr>
              <w:spacing w:before="120" w:after="60"/>
              <w:ind w:left="102"/>
              <w:rPr>
                <w:rFonts w:ascii="Calibri" w:eastAsia="Calibri" w:hAnsi="Calibri" w:cs="Calibri"/>
                <w:b/>
                <w:color w:val="FFFFFF"/>
                <w:sz w:val="21"/>
                <w:szCs w:val="21"/>
                <w:lang w:val="en-GB"/>
              </w:rPr>
            </w:pPr>
            <w:r w:rsidRPr="00F11A07">
              <w:rPr>
                <w:rFonts w:ascii="Calibri" w:eastAsia="Calibri" w:hAnsi="Calibri" w:cs="Calibri"/>
                <w:b/>
                <w:color w:val="FFFFFF"/>
                <w:sz w:val="21"/>
                <w:szCs w:val="21"/>
                <w:lang w:val="en-GB"/>
              </w:rPr>
              <w:t xml:space="preserve">3. Technical Definition  </w:t>
            </w:r>
          </w:p>
        </w:tc>
      </w:tr>
      <w:tr w:rsidR="006258A6" w:rsidRPr="00F11A07" w14:paraId="1D91664A" w14:textId="77777777" w:rsidTr="00BE1010">
        <w:trPr>
          <w:trHeight w:val="3627"/>
        </w:trPr>
        <w:tc>
          <w:tcPr>
            <w:tcW w:w="9121" w:type="dxa"/>
            <w:tcBorders>
              <w:top w:val="single" w:sz="5" w:space="0" w:color="000000"/>
              <w:left w:val="single" w:sz="5" w:space="0" w:color="000000"/>
              <w:bottom w:val="single" w:sz="5" w:space="0" w:color="000000"/>
              <w:right w:val="single" w:sz="5" w:space="0" w:color="000000"/>
            </w:tcBorders>
          </w:tcPr>
          <w:p w14:paraId="01226170" w14:textId="4820ABDC" w:rsidR="007A694A" w:rsidRPr="00E822E1" w:rsidRDefault="006E1CCD" w:rsidP="00253035">
            <w:pPr>
              <w:pStyle w:val="Paragraphedeliste"/>
              <w:numPr>
                <w:ilvl w:val="0"/>
                <w:numId w:val="10"/>
              </w:numPr>
              <w:spacing w:before="11"/>
              <w:ind w:left="591" w:right="113"/>
              <w:jc w:val="both"/>
              <w:rPr>
                <w:rFonts w:ascii="Calibri" w:hAnsi="Calibri" w:cstheme="minorHAnsi"/>
                <w:sz w:val="22"/>
                <w:szCs w:val="22"/>
                <w:lang w:val="en-GB"/>
              </w:rPr>
            </w:pPr>
            <w:r w:rsidRPr="00F11A07">
              <w:rPr>
                <w:rFonts w:ascii="Calibri" w:hAnsi="Calibri" w:cstheme="minorHAnsi"/>
                <w:sz w:val="22"/>
                <w:szCs w:val="22"/>
                <w:lang w:val="en-GB"/>
              </w:rPr>
              <w:t>The</w:t>
            </w:r>
            <w:r w:rsidR="0001032A">
              <w:rPr>
                <w:rFonts w:ascii="Calibri" w:hAnsi="Calibri" w:cstheme="minorHAnsi"/>
                <w:sz w:val="22"/>
                <w:szCs w:val="22"/>
                <w:lang w:val="en-GB"/>
              </w:rPr>
              <w:t xml:space="preserve"> indicator counts the number of </w:t>
            </w:r>
            <w:r w:rsidR="0001032A" w:rsidRPr="0001032A">
              <w:rPr>
                <w:rFonts w:ascii="Calibri" w:hAnsi="Calibri" w:cstheme="minorHAnsi"/>
                <w:b/>
                <w:bCs/>
                <w:sz w:val="22"/>
                <w:szCs w:val="22"/>
                <w:lang w:val="en-GB"/>
              </w:rPr>
              <w:t>joint</w:t>
            </w:r>
            <w:r w:rsidR="007A694A">
              <w:rPr>
                <w:rFonts w:ascii="Calibri" w:hAnsi="Calibri" w:cstheme="minorHAnsi"/>
                <w:b/>
                <w:bCs/>
                <w:sz w:val="22"/>
                <w:szCs w:val="22"/>
                <w:lang w:val="en-GB"/>
              </w:rPr>
              <w:t xml:space="preserve"> strategies and action plans </w:t>
            </w:r>
            <w:r w:rsidR="007A694A" w:rsidRPr="001133C2">
              <w:rPr>
                <w:rFonts w:ascii="Calibri" w:hAnsi="Calibri" w:cstheme="minorHAnsi"/>
                <w:b/>
                <w:bCs/>
                <w:sz w:val="22"/>
                <w:szCs w:val="22"/>
                <w:lang w:val="en-GB"/>
              </w:rPr>
              <w:t>developed</w:t>
            </w:r>
            <w:r w:rsidR="0001032A">
              <w:rPr>
                <w:rFonts w:ascii="Calibri" w:hAnsi="Calibri" w:cstheme="minorHAnsi"/>
                <w:sz w:val="22"/>
                <w:szCs w:val="22"/>
                <w:lang w:val="en-GB"/>
              </w:rPr>
              <w:t xml:space="preserve"> by supported projects.</w:t>
            </w:r>
            <w:r w:rsidRPr="00F11A07">
              <w:rPr>
                <w:rFonts w:ascii="Calibri" w:hAnsi="Calibri" w:cstheme="minorHAnsi"/>
                <w:sz w:val="22"/>
                <w:szCs w:val="22"/>
                <w:lang w:val="en-GB"/>
              </w:rPr>
              <w:t xml:space="preserve"> </w:t>
            </w:r>
            <w:r w:rsidR="007A694A">
              <w:rPr>
                <w:rFonts w:ascii="Calibri" w:hAnsi="Calibri" w:cstheme="minorHAnsi"/>
                <w:sz w:val="22"/>
                <w:szCs w:val="22"/>
                <w:lang w:val="en-GB"/>
              </w:rPr>
              <w:t xml:space="preserve">A jointly developed </w:t>
            </w:r>
            <w:r w:rsidR="007A694A" w:rsidRPr="00B66CCB">
              <w:rPr>
                <w:rFonts w:ascii="Calibri" w:hAnsi="Calibri" w:cstheme="minorHAnsi"/>
                <w:b/>
                <w:bCs/>
                <w:sz w:val="22"/>
                <w:szCs w:val="22"/>
                <w:lang w:val="en-GB"/>
              </w:rPr>
              <w:t>strategy</w:t>
            </w:r>
            <w:r w:rsidR="007A694A">
              <w:rPr>
                <w:rFonts w:ascii="Calibri" w:hAnsi="Calibri" w:cstheme="minorHAnsi"/>
                <w:sz w:val="22"/>
                <w:szCs w:val="22"/>
                <w:lang w:val="en-GB"/>
              </w:rPr>
              <w:t xml:space="preserve"> aims at establishing a targeted way to achieve a goal-oriented process in a specific domain. An </w:t>
            </w:r>
            <w:r w:rsidR="007A694A" w:rsidRPr="00B66CCB">
              <w:rPr>
                <w:rFonts w:ascii="Calibri" w:hAnsi="Calibri" w:cstheme="minorHAnsi"/>
                <w:b/>
                <w:bCs/>
                <w:sz w:val="22"/>
                <w:szCs w:val="22"/>
                <w:lang w:val="en-GB"/>
              </w:rPr>
              <w:t>action plan</w:t>
            </w:r>
            <w:r w:rsidR="007A694A">
              <w:rPr>
                <w:rFonts w:ascii="Calibri" w:hAnsi="Calibri" w:cstheme="minorHAnsi"/>
                <w:sz w:val="22"/>
                <w:szCs w:val="22"/>
                <w:lang w:val="en-GB"/>
              </w:rPr>
              <w:t xml:space="preserve"> translates an existing jointly developed strategy into actions.</w:t>
            </w:r>
          </w:p>
          <w:p w14:paraId="433E83C9" w14:textId="6DC168C8" w:rsidR="0001032A" w:rsidRDefault="00E822E1" w:rsidP="00E822E1">
            <w:pPr>
              <w:pStyle w:val="Paragraphedeliste"/>
              <w:numPr>
                <w:ilvl w:val="0"/>
                <w:numId w:val="10"/>
              </w:numPr>
              <w:spacing w:before="11"/>
              <w:ind w:left="591" w:right="113"/>
              <w:jc w:val="both"/>
              <w:rPr>
                <w:rFonts w:ascii="Calibri" w:hAnsi="Calibri" w:cstheme="minorHAnsi"/>
                <w:sz w:val="22"/>
                <w:szCs w:val="22"/>
                <w:lang w:val="en-GB"/>
              </w:rPr>
            </w:pPr>
            <w:r w:rsidRPr="00E822E1">
              <w:rPr>
                <w:rFonts w:ascii="Calibri" w:hAnsi="Calibri" w:cstheme="minorHAnsi"/>
                <w:sz w:val="22"/>
                <w:szCs w:val="22"/>
                <w:lang w:val="en-GB"/>
              </w:rPr>
              <w:t xml:space="preserve">Jointly developed strategy or action plan implies the involvement </w:t>
            </w:r>
            <w:r w:rsidR="0001032A" w:rsidRPr="00E822E1">
              <w:rPr>
                <w:rFonts w:ascii="Calibri" w:hAnsi="Calibri" w:cstheme="minorHAnsi"/>
                <w:sz w:val="22"/>
                <w:szCs w:val="22"/>
                <w:lang w:val="en-GB"/>
              </w:rPr>
              <w:t xml:space="preserve">of </w:t>
            </w:r>
            <w:r w:rsidR="0001032A" w:rsidRPr="00E822E1">
              <w:rPr>
                <w:rFonts w:ascii="Calibri" w:hAnsi="Calibri" w:cstheme="minorHAnsi"/>
                <w:b/>
                <w:bCs/>
                <w:sz w:val="22"/>
                <w:szCs w:val="22"/>
                <w:lang w:val="en-GB"/>
              </w:rPr>
              <w:t>organisations from at least two participating countries</w:t>
            </w:r>
            <w:r w:rsidR="0001032A" w:rsidRPr="00E822E1">
              <w:rPr>
                <w:rFonts w:ascii="Calibri" w:hAnsi="Calibri" w:cstheme="minorHAnsi"/>
                <w:sz w:val="22"/>
                <w:szCs w:val="22"/>
                <w:lang w:val="en-GB"/>
              </w:rPr>
              <w:t xml:space="preserve"> </w:t>
            </w:r>
            <w:r w:rsidR="009D036E" w:rsidRPr="00E822E1">
              <w:rPr>
                <w:rFonts w:ascii="Calibri" w:hAnsi="Calibri" w:cstheme="minorHAnsi"/>
                <w:sz w:val="22"/>
                <w:szCs w:val="22"/>
                <w:lang w:val="en-GB"/>
              </w:rPr>
              <w:t>for</w:t>
            </w:r>
            <w:r w:rsidR="00396753" w:rsidRPr="00E822E1">
              <w:rPr>
                <w:rFonts w:ascii="Calibri" w:hAnsi="Calibri" w:cstheme="minorHAnsi"/>
                <w:sz w:val="22"/>
                <w:szCs w:val="22"/>
                <w:lang w:val="en-GB"/>
              </w:rPr>
              <w:t xml:space="preserve"> </w:t>
            </w:r>
            <w:r w:rsidR="00D00B2A" w:rsidRPr="00E822E1">
              <w:rPr>
                <w:rFonts w:ascii="Calibri" w:hAnsi="Calibri" w:cstheme="minorHAnsi"/>
                <w:sz w:val="22"/>
                <w:szCs w:val="22"/>
                <w:lang w:val="en-GB"/>
              </w:rPr>
              <w:t xml:space="preserve">cross-border, transnational and interregional cooperation </w:t>
            </w:r>
            <w:r w:rsidR="0001032A" w:rsidRPr="00E822E1">
              <w:rPr>
                <w:rFonts w:ascii="Calibri" w:hAnsi="Calibri" w:cstheme="minorHAnsi"/>
                <w:sz w:val="22"/>
                <w:szCs w:val="22"/>
                <w:lang w:val="en-GB"/>
              </w:rPr>
              <w:t>p</w:t>
            </w:r>
            <w:r w:rsidR="00D00B2A" w:rsidRPr="00E822E1">
              <w:rPr>
                <w:rFonts w:ascii="Calibri" w:hAnsi="Calibri" w:cstheme="minorHAnsi"/>
                <w:sz w:val="22"/>
                <w:szCs w:val="22"/>
                <w:lang w:val="en-GB"/>
              </w:rPr>
              <w:t xml:space="preserve">rogrammes (strands A, B, C as defined in the Interreg Regulation) in the drafting </w:t>
            </w:r>
            <w:r w:rsidR="00217DE8">
              <w:rPr>
                <w:rFonts w:ascii="Calibri" w:hAnsi="Calibri" w:cstheme="minorHAnsi"/>
                <w:sz w:val="22"/>
                <w:szCs w:val="22"/>
                <w:lang w:val="en-GB"/>
              </w:rPr>
              <w:t xml:space="preserve">process of the strategy or </w:t>
            </w:r>
            <w:r w:rsidR="00217DE8" w:rsidRPr="00BE1010">
              <w:rPr>
                <w:rFonts w:ascii="Calibri" w:hAnsi="Calibri" w:cstheme="minorHAnsi"/>
                <w:sz w:val="22"/>
                <w:szCs w:val="22"/>
                <w:lang w:val="en-GB"/>
              </w:rPr>
              <w:t>action plan.</w:t>
            </w:r>
          </w:p>
          <w:p w14:paraId="2FDDBF36" w14:textId="68FD4C83" w:rsidR="00D10503" w:rsidRPr="00BE1010" w:rsidRDefault="00D10503" w:rsidP="00E822E1">
            <w:pPr>
              <w:pStyle w:val="Paragraphedeliste"/>
              <w:numPr>
                <w:ilvl w:val="0"/>
                <w:numId w:val="10"/>
              </w:numPr>
              <w:spacing w:before="11"/>
              <w:ind w:left="591" w:right="113"/>
              <w:jc w:val="both"/>
              <w:rPr>
                <w:rFonts w:ascii="Calibri" w:hAnsi="Calibri" w:cstheme="minorHAnsi"/>
                <w:sz w:val="22"/>
                <w:szCs w:val="22"/>
                <w:lang w:val="en-GB"/>
              </w:rPr>
            </w:pPr>
            <w:r w:rsidRPr="00BE1010">
              <w:rPr>
                <w:rFonts w:ascii="Calibri" w:hAnsi="Calibri" w:cstheme="minorHAnsi"/>
                <w:sz w:val="22"/>
                <w:szCs w:val="22"/>
                <w:lang w:val="en-GB"/>
              </w:rPr>
              <w:t>For a project aiming to implement specific jointly developed</w:t>
            </w:r>
            <w:r>
              <w:rPr>
                <w:rFonts w:ascii="Calibri" w:hAnsi="Calibri" w:cstheme="minorHAnsi"/>
                <w:sz w:val="22"/>
                <w:szCs w:val="22"/>
                <w:lang w:val="en-GB"/>
              </w:rPr>
              <w:t xml:space="preserve"> strategies or action plans previously developed a different output indicator should be used.</w:t>
            </w:r>
          </w:p>
          <w:p w14:paraId="4722CFF9" w14:textId="2526FFA6" w:rsidR="00BE1010" w:rsidRPr="00D10503" w:rsidRDefault="00253035" w:rsidP="00D10503">
            <w:pPr>
              <w:pStyle w:val="Paragraphedeliste"/>
              <w:numPr>
                <w:ilvl w:val="0"/>
                <w:numId w:val="10"/>
              </w:numPr>
              <w:spacing w:before="11"/>
              <w:ind w:left="591" w:right="113"/>
              <w:jc w:val="both"/>
              <w:rPr>
                <w:rFonts w:ascii="Calibri" w:hAnsi="Calibri" w:cstheme="minorHAnsi"/>
                <w:sz w:val="22"/>
                <w:szCs w:val="22"/>
                <w:lang w:val="en-GB"/>
              </w:rPr>
            </w:pPr>
            <w:r w:rsidRPr="00BE1010">
              <w:rPr>
                <w:rFonts w:ascii="Calibri" w:hAnsi="Calibri" w:cstheme="minorHAnsi"/>
                <w:sz w:val="22"/>
                <w:szCs w:val="22"/>
                <w:lang w:val="en-GB"/>
              </w:rPr>
              <w:t>This is a</w:t>
            </w:r>
            <w:r w:rsidR="007E19F2" w:rsidRPr="00BE1010">
              <w:rPr>
                <w:rFonts w:ascii="Calibri" w:hAnsi="Calibri" w:cstheme="minorHAnsi"/>
                <w:sz w:val="22"/>
                <w:szCs w:val="22"/>
                <w:lang w:val="en-GB"/>
              </w:rPr>
              <w:t xml:space="preserve">n </w:t>
            </w:r>
            <w:r w:rsidR="007F4904" w:rsidRPr="00BE1010">
              <w:rPr>
                <w:rFonts w:ascii="Calibri" w:hAnsi="Calibri" w:cstheme="minorHAnsi"/>
                <w:b/>
                <w:bCs/>
                <w:sz w:val="22"/>
                <w:szCs w:val="22"/>
                <w:lang w:val="en-GB"/>
              </w:rPr>
              <w:t>output</w:t>
            </w:r>
            <w:r w:rsidR="007E19F2" w:rsidRPr="00BE1010">
              <w:rPr>
                <w:rFonts w:ascii="Calibri" w:hAnsi="Calibri" w:cstheme="minorHAnsi"/>
                <w:sz w:val="22"/>
                <w:szCs w:val="22"/>
                <w:lang w:val="en-GB"/>
              </w:rPr>
              <w:t xml:space="preserve"> </w:t>
            </w:r>
            <w:r w:rsidRPr="00BE1010">
              <w:rPr>
                <w:rFonts w:ascii="Calibri" w:hAnsi="Calibri" w:cstheme="minorHAnsi"/>
                <w:sz w:val="22"/>
                <w:szCs w:val="22"/>
                <w:lang w:val="en-GB"/>
              </w:rPr>
              <w:t>indicator.</w:t>
            </w:r>
            <w:r w:rsidR="006C45F8" w:rsidRPr="00BE1010">
              <w:rPr>
                <w:rFonts w:ascii="Calibri" w:hAnsi="Calibri" w:cstheme="minorHAnsi"/>
                <w:sz w:val="22"/>
                <w:szCs w:val="22"/>
                <w:lang w:val="en-GB"/>
              </w:rPr>
              <w:t xml:space="preserve"> </w:t>
            </w:r>
            <w:r w:rsidR="00BE1010" w:rsidRPr="00BE1010">
              <w:rPr>
                <w:rFonts w:ascii="Calibri" w:hAnsi="Calibri" w:cstheme="minorHAnsi"/>
                <w:sz w:val="22"/>
                <w:szCs w:val="22"/>
                <w:lang w:val="en-GB"/>
              </w:rPr>
              <w:t xml:space="preserve">It </w:t>
            </w:r>
            <w:r w:rsidR="006C45F8" w:rsidRPr="00BE1010">
              <w:rPr>
                <w:rFonts w:ascii="Calibri" w:hAnsi="Calibri" w:cstheme="minorHAnsi"/>
                <w:sz w:val="22"/>
                <w:szCs w:val="22"/>
                <w:lang w:val="en-GB"/>
              </w:rPr>
              <w:t xml:space="preserve">may be used together with output indicator 5.0.1.6 </w:t>
            </w:r>
            <w:r w:rsidR="006C45F8" w:rsidRPr="00BE1010">
              <w:rPr>
                <w:rFonts w:ascii="Calibri" w:hAnsi="Calibri" w:cstheme="minorHAnsi"/>
                <w:i/>
                <w:iCs/>
                <w:sz w:val="22"/>
                <w:szCs w:val="22"/>
                <w:lang w:val="en-GB"/>
              </w:rPr>
              <w:t xml:space="preserve">(Number of) Jointly developed solutions </w:t>
            </w:r>
            <w:r w:rsidR="006C45F8" w:rsidRPr="00BE1010">
              <w:rPr>
                <w:rFonts w:ascii="Calibri" w:hAnsi="Calibri" w:cstheme="minorHAnsi"/>
                <w:sz w:val="22"/>
                <w:szCs w:val="22"/>
                <w:lang w:val="en-GB"/>
              </w:rPr>
              <w:t>(ERDF RCO 116).</w:t>
            </w:r>
            <w:r w:rsidR="00A7353A" w:rsidRPr="00BE1010">
              <w:rPr>
                <w:rFonts w:ascii="Calibri" w:hAnsi="Calibri" w:cstheme="minorHAnsi"/>
                <w:sz w:val="22"/>
                <w:szCs w:val="22"/>
                <w:lang w:val="en-GB"/>
              </w:rPr>
              <w:t xml:space="preserve"> I</w:t>
            </w:r>
            <w:r w:rsidR="006C45F8" w:rsidRPr="00BE1010">
              <w:rPr>
                <w:rFonts w:ascii="Calibri" w:hAnsi="Calibri" w:cstheme="minorHAnsi"/>
                <w:sz w:val="22"/>
                <w:szCs w:val="22"/>
                <w:lang w:val="en-GB"/>
              </w:rPr>
              <w:t>n this case it</w:t>
            </w:r>
            <w:r w:rsidR="00A7353A" w:rsidRPr="00BE1010">
              <w:rPr>
                <w:rFonts w:ascii="Calibri" w:hAnsi="Calibri" w:cstheme="minorHAnsi"/>
                <w:sz w:val="22"/>
                <w:szCs w:val="22"/>
                <w:lang w:val="en-GB"/>
              </w:rPr>
              <w:t xml:space="preserve"> </w:t>
            </w:r>
            <w:r w:rsidR="007E19F2" w:rsidRPr="00BE1010">
              <w:rPr>
                <w:rFonts w:ascii="Calibri" w:hAnsi="Calibri" w:cstheme="minorHAnsi"/>
                <w:sz w:val="22"/>
                <w:szCs w:val="22"/>
                <w:lang w:val="en-GB"/>
              </w:rPr>
              <w:t xml:space="preserve">may be </w:t>
            </w:r>
            <w:r w:rsidR="006C45F8" w:rsidRPr="00BE1010">
              <w:rPr>
                <w:rFonts w:ascii="Calibri" w:hAnsi="Calibri" w:cstheme="minorHAnsi"/>
                <w:sz w:val="22"/>
                <w:szCs w:val="22"/>
                <w:lang w:val="en-GB"/>
              </w:rPr>
              <w:t>linked to</w:t>
            </w:r>
            <w:r w:rsidR="007E19F2" w:rsidRPr="00BE1010">
              <w:rPr>
                <w:rFonts w:ascii="Calibri" w:hAnsi="Calibri" w:cstheme="minorHAnsi"/>
                <w:sz w:val="22"/>
                <w:szCs w:val="22"/>
                <w:lang w:val="en-GB"/>
              </w:rPr>
              <w:t xml:space="preserve"> </w:t>
            </w:r>
            <w:r w:rsidR="00DA6175" w:rsidRPr="00BE1010">
              <w:rPr>
                <w:rFonts w:ascii="Calibri" w:hAnsi="Calibri" w:cstheme="minorHAnsi"/>
                <w:sz w:val="22"/>
                <w:szCs w:val="22"/>
                <w:lang w:val="en-GB"/>
              </w:rPr>
              <w:t>outcome</w:t>
            </w:r>
            <w:r w:rsidR="007E19F2" w:rsidRPr="00BE1010">
              <w:rPr>
                <w:rFonts w:ascii="Calibri" w:hAnsi="Calibri" w:cstheme="minorHAnsi"/>
                <w:sz w:val="22"/>
                <w:szCs w:val="22"/>
                <w:lang w:val="en-GB"/>
              </w:rPr>
              <w:t xml:space="preserve"> indicator </w:t>
            </w:r>
            <w:r w:rsidR="00DA6175" w:rsidRPr="00BE1010">
              <w:rPr>
                <w:rFonts w:ascii="Calibri" w:hAnsi="Calibri" w:cstheme="minorHAnsi"/>
                <w:sz w:val="22"/>
                <w:szCs w:val="22"/>
                <w:lang w:val="en-GB"/>
              </w:rPr>
              <w:t>5.0.1.5</w:t>
            </w:r>
            <w:r w:rsidR="00A7353A" w:rsidRPr="00BE1010">
              <w:rPr>
                <w:rFonts w:ascii="Calibri" w:hAnsi="Calibri" w:cstheme="minorHAnsi"/>
                <w:sz w:val="22"/>
                <w:szCs w:val="22"/>
                <w:lang w:val="en-GB"/>
              </w:rPr>
              <w:t xml:space="preserve"> </w:t>
            </w:r>
            <w:r w:rsidR="00DA6175" w:rsidRPr="00BE1010">
              <w:rPr>
                <w:rFonts w:ascii="Calibri" w:hAnsi="Calibri" w:cstheme="minorHAnsi"/>
                <w:i/>
                <w:iCs/>
                <w:sz w:val="22"/>
                <w:szCs w:val="22"/>
                <w:lang w:val="en-GB"/>
              </w:rPr>
              <w:t>(</w:t>
            </w:r>
            <w:r w:rsidR="00A7353A" w:rsidRPr="00BE1010">
              <w:rPr>
                <w:rFonts w:ascii="Calibri" w:hAnsi="Calibri" w:cstheme="minorHAnsi"/>
                <w:i/>
                <w:iCs/>
                <w:sz w:val="22"/>
                <w:szCs w:val="22"/>
                <w:lang w:val="en-GB"/>
              </w:rPr>
              <w:t>Number of</w:t>
            </w:r>
            <w:r w:rsidR="00DA6175" w:rsidRPr="00BE1010">
              <w:rPr>
                <w:rFonts w:ascii="Calibri" w:hAnsi="Calibri" w:cstheme="minorHAnsi"/>
                <w:i/>
                <w:iCs/>
                <w:sz w:val="22"/>
                <w:szCs w:val="22"/>
                <w:lang w:val="en-GB"/>
              </w:rPr>
              <w:t>)</w:t>
            </w:r>
            <w:r w:rsidR="00A7353A" w:rsidRPr="00BE1010">
              <w:rPr>
                <w:rFonts w:ascii="Calibri" w:hAnsi="Calibri" w:cstheme="minorHAnsi"/>
                <w:i/>
                <w:iCs/>
                <w:sz w:val="22"/>
                <w:szCs w:val="22"/>
                <w:lang w:val="en-GB"/>
              </w:rPr>
              <w:t xml:space="preserve"> </w:t>
            </w:r>
            <w:r w:rsidR="00DA6175" w:rsidRPr="00BE1010">
              <w:rPr>
                <w:rFonts w:ascii="Calibri" w:hAnsi="Calibri" w:cstheme="minorHAnsi"/>
                <w:i/>
                <w:iCs/>
                <w:sz w:val="22"/>
                <w:szCs w:val="22"/>
                <w:lang w:val="en-GB"/>
              </w:rPr>
              <w:t>Solutions taken</w:t>
            </w:r>
            <w:r w:rsidR="003A0408" w:rsidRPr="00BE1010">
              <w:rPr>
                <w:rFonts w:ascii="Calibri" w:hAnsi="Calibri" w:cstheme="minorHAnsi"/>
                <w:i/>
                <w:iCs/>
                <w:sz w:val="22"/>
                <w:szCs w:val="22"/>
                <w:lang w:val="en-GB"/>
              </w:rPr>
              <w:t xml:space="preserve"> </w:t>
            </w:r>
            <w:r w:rsidR="00DA6175" w:rsidRPr="00BE1010">
              <w:rPr>
                <w:rFonts w:ascii="Calibri" w:hAnsi="Calibri" w:cstheme="minorHAnsi"/>
                <w:i/>
                <w:iCs/>
                <w:sz w:val="22"/>
                <w:szCs w:val="22"/>
                <w:lang w:val="en-GB"/>
              </w:rPr>
              <w:t xml:space="preserve">up of </w:t>
            </w:r>
            <w:proofErr w:type="gramStart"/>
            <w:r w:rsidR="00DA6175" w:rsidRPr="00BE1010">
              <w:rPr>
                <w:rFonts w:ascii="Calibri" w:hAnsi="Calibri" w:cstheme="minorHAnsi"/>
                <w:i/>
                <w:iCs/>
                <w:sz w:val="22"/>
                <w:szCs w:val="22"/>
                <w:lang w:val="en-GB"/>
              </w:rPr>
              <w:t>up-scaled</w:t>
            </w:r>
            <w:proofErr w:type="gramEnd"/>
            <w:r w:rsidR="00DA6175" w:rsidRPr="00BE1010">
              <w:rPr>
                <w:rFonts w:ascii="Calibri" w:hAnsi="Calibri" w:cstheme="minorHAnsi"/>
                <w:i/>
                <w:iCs/>
                <w:sz w:val="22"/>
                <w:szCs w:val="22"/>
                <w:lang w:val="en-GB"/>
              </w:rPr>
              <w:t xml:space="preserve"> by organisations</w:t>
            </w:r>
            <w:r w:rsidR="006C45F8" w:rsidRPr="00BE1010">
              <w:rPr>
                <w:rFonts w:ascii="Calibri" w:hAnsi="Calibri" w:cstheme="minorHAnsi"/>
                <w:sz w:val="22"/>
                <w:szCs w:val="22"/>
                <w:lang w:val="en-GB"/>
              </w:rPr>
              <w:t xml:space="preserve"> (ERDF </w:t>
            </w:r>
            <w:r w:rsidR="00DA6175" w:rsidRPr="00BE1010">
              <w:rPr>
                <w:rFonts w:ascii="Calibri" w:hAnsi="Calibri" w:cstheme="minorHAnsi"/>
                <w:sz w:val="22"/>
                <w:szCs w:val="22"/>
                <w:lang w:val="en-GB"/>
              </w:rPr>
              <w:t>RCR 104</w:t>
            </w:r>
            <w:r w:rsidR="006C45F8" w:rsidRPr="00BE1010">
              <w:rPr>
                <w:rFonts w:ascii="Calibri" w:hAnsi="Calibri" w:cstheme="minorHAnsi"/>
                <w:sz w:val="22"/>
                <w:szCs w:val="22"/>
                <w:lang w:val="en-GB"/>
              </w:rPr>
              <w:t>)</w:t>
            </w:r>
            <w:r w:rsidR="007E19F2" w:rsidRPr="00BE1010">
              <w:rPr>
                <w:rFonts w:ascii="Calibri" w:hAnsi="Calibri" w:cstheme="minorHAnsi"/>
                <w:sz w:val="22"/>
                <w:szCs w:val="22"/>
                <w:lang w:val="en-GB"/>
              </w:rPr>
              <w:t>.</w:t>
            </w:r>
            <w:r w:rsidR="006C45F8" w:rsidRPr="00BE1010">
              <w:rPr>
                <w:rFonts w:ascii="Calibri" w:hAnsi="Calibri" w:cstheme="minorHAnsi"/>
                <w:sz w:val="22"/>
                <w:szCs w:val="22"/>
                <w:lang w:val="en-GB"/>
              </w:rPr>
              <w:t xml:space="preserve"> </w:t>
            </w:r>
          </w:p>
        </w:tc>
      </w:tr>
      <w:tr w:rsidR="006258A6" w:rsidRPr="00F11A07" w14:paraId="278D8C6D"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AFEF"/>
          </w:tcPr>
          <w:p w14:paraId="6E0DEEC2" w14:textId="77777777" w:rsidR="006258A6" w:rsidRPr="00F11A07" w:rsidRDefault="006258A6" w:rsidP="00DA7125">
            <w:pPr>
              <w:spacing w:before="120" w:after="60"/>
              <w:ind w:left="102"/>
              <w:rPr>
                <w:rFonts w:ascii="Calibri" w:eastAsia="Calibri" w:hAnsi="Calibri" w:cs="Calibri"/>
                <w:b/>
                <w:color w:val="FFFFFF"/>
                <w:sz w:val="21"/>
                <w:szCs w:val="21"/>
                <w:lang w:val="en-GB"/>
              </w:rPr>
            </w:pPr>
            <w:r w:rsidRPr="00F11A07">
              <w:rPr>
                <w:rFonts w:ascii="Calibri" w:eastAsia="Calibri" w:hAnsi="Calibri" w:cs="Calibri"/>
                <w:b/>
                <w:color w:val="FFFFFF"/>
                <w:sz w:val="21"/>
                <w:szCs w:val="21"/>
                <w:lang w:val="en-GB"/>
              </w:rPr>
              <w:t xml:space="preserve">4. Rationale (including policy priorities and links to this indicator)  </w:t>
            </w:r>
          </w:p>
        </w:tc>
      </w:tr>
      <w:tr w:rsidR="006258A6" w:rsidRPr="00F11A07" w14:paraId="1EDE9BFE" w14:textId="77777777" w:rsidTr="002409DD">
        <w:trPr>
          <w:trHeight w:val="975"/>
        </w:trPr>
        <w:tc>
          <w:tcPr>
            <w:tcW w:w="9121" w:type="dxa"/>
            <w:tcBorders>
              <w:top w:val="single" w:sz="5" w:space="0" w:color="000000"/>
              <w:left w:val="single" w:sz="5" w:space="0" w:color="000000"/>
              <w:bottom w:val="single" w:sz="5" w:space="0" w:color="000000"/>
              <w:right w:val="single" w:sz="5" w:space="0" w:color="000000"/>
            </w:tcBorders>
          </w:tcPr>
          <w:p w14:paraId="19248B80" w14:textId="0A9BC30F" w:rsidR="001B254B" w:rsidRPr="001B254B" w:rsidRDefault="00E0750B" w:rsidP="002409DD">
            <w:pPr>
              <w:pStyle w:val="Paragraphedeliste"/>
              <w:numPr>
                <w:ilvl w:val="0"/>
                <w:numId w:val="10"/>
              </w:numPr>
              <w:spacing w:before="11"/>
              <w:ind w:left="591" w:right="113"/>
              <w:jc w:val="both"/>
              <w:rPr>
                <w:rFonts w:asciiTheme="minorHAnsi" w:eastAsia="Calibri" w:hAnsiTheme="minorHAnsi" w:cstheme="minorHAnsi"/>
                <w:bCs/>
                <w:sz w:val="22"/>
                <w:szCs w:val="22"/>
                <w:lang w:val="en-GB"/>
              </w:rPr>
            </w:pPr>
            <w:bookmarkStart w:id="0" w:name="_Hlk120894944"/>
            <w:r>
              <w:rPr>
                <w:rFonts w:ascii="Calibri" w:hAnsi="Calibri" w:cstheme="minorHAnsi"/>
                <w:sz w:val="22"/>
                <w:szCs w:val="22"/>
                <w:lang w:val="en-GB"/>
              </w:rPr>
              <w:t xml:space="preserve">As </w:t>
            </w:r>
            <w:r w:rsidR="001B254B">
              <w:rPr>
                <w:rFonts w:ascii="Calibri" w:hAnsi="Calibri" w:cstheme="minorHAnsi"/>
                <w:sz w:val="22"/>
                <w:szCs w:val="22"/>
                <w:lang w:val="en-GB"/>
              </w:rPr>
              <w:t>mentioned</w:t>
            </w:r>
            <w:r>
              <w:rPr>
                <w:rFonts w:ascii="Calibri" w:hAnsi="Calibri" w:cstheme="minorHAnsi"/>
                <w:sz w:val="22"/>
                <w:szCs w:val="22"/>
                <w:lang w:val="en-GB"/>
              </w:rPr>
              <w:t xml:space="preserve"> under Window 5 of IPA III Programming Framework</w:t>
            </w:r>
            <w:r w:rsidR="00022C7D">
              <w:rPr>
                <w:rFonts w:ascii="Calibri" w:hAnsi="Calibri" w:cstheme="minorHAnsi"/>
                <w:sz w:val="22"/>
                <w:szCs w:val="22"/>
                <w:lang w:val="en-GB"/>
              </w:rPr>
              <w:t xml:space="preserve"> (p.56),</w:t>
            </w:r>
            <w:r>
              <w:rPr>
                <w:rFonts w:ascii="Calibri" w:hAnsi="Calibri" w:cstheme="minorHAnsi"/>
                <w:sz w:val="22"/>
                <w:szCs w:val="22"/>
                <w:lang w:val="en-GB"/>
              </w:rPr>
              <w:t xml:space="preserve"> the </w:t>
            </w:r>
            <w:r w:rsidRPr="001B254B">
              <w:rPr>
                <w:rFonts w:ascii="Calibri" w:hAnsi="Calibri" w:cstheme="minorHAnsi"/>
                <w:i/>
                <w:iCs/>
                <w:sz w:val="22"/>
                <w:szCs w:val="22"/>
                <w:lang w:val="en-GB"/>
              </w:rPr>
              <w:t>European Territorial Cooperation (ETC) provides the necessary framework for implementation of joint actions and policy exchanges between national, regional and local actors across Europe and external borders</w:t>
            </w:r>
            <w:r>
              <w:rPr>
                <w:rFonts w:ascii="Calibri" w:hAnsi="Calibri" w:cstheme="minorHAnsi"/>
                <w:sz w:val="22"/>
                <w:szCs w:val="22"/>
                <w:lang w:val="en-GB"/>
              </w:rPr>
              <w:t xml:space="preserve">. </w:t>
            </w:r>
          </w:p>
          <w:p w14:paraId="72B59430" w14:textId="0A3FD4E9" w:rsidR="001B254B" w:rsidRPr="001B254B" w:rsidRDefault="001B254B" w:rsidP="002409DD">
            <w:pPr>
              <w:pStyle w:val="Paragraphedeliste"/>
              <w:numPr>
                <w:ilvl w:val="0"/>
                <w:numId w:val="10"/>
              </w:numPr>
              <w:spacing w:before="11"/>
              <w:ind w:left="591" w:right="113"/>
              <w:jc w:val="both"/>
              <w:rPr>
                <w:rFonts w:asciiTheme="minorHAnsi" w:eastAsia="Calibri" w:hAnsiTheme="minorHAnsi" w:cstheme="minorHAnsi"/>
                <w:bCs/>
                <w:sz w:val="22"/>
                <w:szCs w:val="22"/>
                <w:lang w:val="en-GB"/>
              </w:rPr>
            </w:pPr>
            <w:r>
              <w:rPr>
                <w:rFonts w:ascii="Calibri" w:hAnsi="Calibri" w:cstheme="minorHAnsi"/>
                <w:sz w:val="22"/>
                <w:szCs w:val="22"/>
                <w:lang w:val="en-GB"/>
              </w:rPr>
              <w:t>The strategic objectives of cooperation between Member States, IPA III beneficiaries and/or Partner Countries covered by the NDICI-GE regulation is notably to reinforce the cross-border relations and enhance effective coordination of regional and urban multilateral, regional and bilateral policies at the level of the concerned partners.</w:t>
            </w:r>
            <w:r w:rsidR="0088674F">
              <w:rPr>
                <w:rFonts w:ascii="Calibri" w:hAnsi="Calibri" w:cstheme="minorHAnsi"/>
                <w:sz w:val="22"/>
                <w:szCs w:val="22"/>
                <w:lang w:val="en-GB"/>
              </w:rPr>
              <w:t xml:space="preserve"> </w:t>
            </w:r>
          </w:p>
          <w:p w14:paraId="048C8BDF" w14:textId="1A05C6FB" w:rsidR="00585E29" w:rsidRPr="002409DD" w:rsidRDefault="00E0750B" w:rsidP="002409DD">
            <w:pPr>
              <w:pStyle w:val="Paragraphedeliste"/>
              <w:numPr>
                <w:ilvl w:val="0"/>
                <w:numId w:val="10"/>
              </w:numPr>
              <w:spacing w:before="11"/>
              <w:ind w:left="591" w:right="113"/>
              <w:jc w:val="both"/>
              <w:rPr>
                <w:rFonts w:asciiTheme="minorHAnsi" w:eastAsia="Calibri" w:hAnsiTheme="minorHAnsi" w:cstheme="minorHAnsi"/>
                <w:bCs/>
                <w:sz w:val="22"/>
                <w:szCs w:val="22"/>
                <w:lang w:val="en-GB"/>
              </w:rPr>
            </w:pPr>
            <w:r>
              <w:rPr>
                <w:rFonts w:ascii="Calibri" w:hAnsi="Calibri" w:cstheme="minorHAnsi"/>
                <w:sz w:val="22"/>
                <w:szCs w:val="22"/>
                <w:lang w:val="en-GB"/>
              </w:rPr>
              <w:t xml:space="preserve">The </w:t>
            </w:r>
            <w:r w:rsidR="00624AD3">
              <w:rPr>
                <w:rFonts w:ascii="Calibri" w:hAnsi="Calibri" w:cstheme="minorHAnsi"/>
                <w:sz w:val="22"/>
                <w:szCs w:val="22"/>
                <w:lang w:val="en-GB"/>
              </w:rPr>
              <w:t xml:space="preserve">partnerships between local authorities and the public, private and community sectors aim to create an environment conducive to sustainable socio-economic environment and/or reconciliation. </w:t>
            </w:r>
            <w:bookmarkEnd w:id="0"/>
          </w:p>
        </w:tc>
      </w:tr>
      <w:tr w:rsidR="006258A6" w:rsidRPr="00F11A07" w14:paraId="40A63735"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B0F0"/>
          </w:tcPr>
          <w:p w14:paraId="5D1318AB" w14:textId="77777777" w:rsidR="006258A6" w:rsidRPr="00F11A07" w:rsidRDefault="006258A6" w:rsidP="00DA7125">
            <w:pPr>
              <w:spacing w:before="11" w:after="60"/>
              <w:ind w:left="227" w:right="170"/>
              <w:jc w:val="both"/>
              <w:rPr>
                <w:rFonts w:eastAsia="Calibri" w:cstheme="minorHAnsi"/>
                <w:bCs/>
                <w:lang w:val="en-GB"/>
              </w:rPr>
            </w:pPr>
            <w:r w:rsidRPr="00F11A07">
              <w:rPr>
                <w:rFonts w:ascii="Calibri" w:eastAsia="Calibri" w:hAnsi="Calibri" w:cs="Calibri"/>
                <w:b/>
                <w:color w:val="FFFFFF"/>
                <w:sz w:val="21"/>
                <w:szCs w:val="21"/>
                <w:lang w:val="en-GB"/>
              </w:rPr>
              <w:lastRenderedPageBreak/>
              <w:t xml:space="preserve">5. Level of disaggregation and other reporting requirements </w:t>
            </w:r>
          </w:p>
        </w:tc>
      </w:tr>
      <w:tr w:rsidR="006258A6" w:rsidRPr="00F11A07" w14:paraId="06FF595F" w14:textId="77777777" w:rsidTr="0070335D">
        <w:trPr>
          <w:trHeight w:val="706"/>
        </w:trPr>
        <w:tc>
          <w:tcPr>
            <w:tcW w:w="9121" w:type="dxa"/>
            <w:tcBorders>
              <w:top w:val="single" w:sz="5" w:space="0" w:color="000000"/>
              <w:left w:val="single" w:sz="5" w:space="0" w:color="000000"/>
              <w:bottom w:val="single" w:sz="5" w:space="0" w:color="000000"/>
              <w:right w:val="single" w:sz="5" w:space="0" w:color="000000"/>
            </w:tcBorders>
          </w:tcPr>
          <w:p w14:paraId="43A0B2FC" w14:textId="71548059" w:rsidR="00890E1D" w:rsidRPr="00F11A07" w:rsidRDefault="0070335D" w:rsidP="003F5376">
            <w:pPr>
              <w:pStyle w:val="Paragraphedeliste"/>
              <w:numPr>
                <w:ilvl w:val="0"/>
                <w:numId w:val="10"/>
              </w:numPr>
              <w:spacing w:before="11"/>
              <w:ind w:left="591" w:right="113"/>
              <w:jc w:val="both"/>
              <w:rPr>
                <w:rFonts w:ascii="Calibri" w:hAnsi="Calibri" w:cstheme="minorHAnsi"/>
                <w:sz w:val="22"/>
                <w:szCs w:val="22"/>
                <w:lang w:val="en-GB"/>
              </w:rPr>
            </w:pPr>
            <w:r w:rsidRPr="0070335D">
              <w:rPr>
                <w:rFonts w:ascii="Calibri" w:hAnsi="Calibri" w:cstheme="minorHAnsi"/>
                <w:sz w:val="22"/>
                <w:szCs w:val="22"/>
                <w:lang w:val="en-GB"/>
              </w:rPr>
              <w:t>No particular disaggregation is foreseen other than that which may be required by a Managing Authority</w:t>
            </w:r>
            <w:r w:rsidR="003C4630">
              <w:rPr>
                <w:rFonts w:ascii="Calibri" w:hAnsi="Calibri" w:cstheme="minorHAnsi"/>
                <w:sz w:val="22"/>
                <w:szCs w:val="22"/>
                <w:lang w:val="en-GB"/>
              </w:rPr>
              <w:t>.</w:t>
            </w:r>
          </w:p>
        </w:tc>
      </w:tr>
      <w:tr w:rsidR="006258A6" w:rsidRPr="00F11A07" w14:paraId="5FD7F65D"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B0F0"/>
          </w:tcPr>
          <w:p w14:paraId="0D14539A" w14:textId="77777777" w:rsidR="006258A6" w:rsidRPr="00F11A07" w:rsidRDefault="006258A6" w:rsidP="00DA7125">
            <w:pPr>
              <w:spacing w:before="11" w:after="60"/>
              <w:ind w:left="227" w:right="170"/>
              <w:jc w:val="both"/>
              <w:rPr>
                <w:rFonts w:eastAsia="Calibri" w:cstheme="minorHAnsi"/>
                <w:bCs/>
                <w:lang w:val="en-GB"/>
              </w:rPr>
            </w:pPr>
            <w:r w:rsidRPr="00F11A07">
              <w:rPr>
                <w:rFonts w:ascii="Calibri" w:eastAsia="Calibri" w:hAnsi="Calibri" w:cs="Calibri"/>
                <w:b/>
                <w:color w:val="FFFFFF"/>
                <w:sz w:val="21"/>
                <w:szCs w:val="21"/>
                <w:lang w:val="en-GB"/>
              </w:rPr>
              <w:t>6. Data Sources (including issues on different definitions by source and level of availability of the data)</w:t>
            </w:r>
          </w:p>
        </w:tc>
      </w:tr>
      <w:tr w:rsidR="006258A6" w:rsidRPr="00F11A07" w14:paraId="22A775DB" w14:textId="77777777" w:rsidTr="00757E96">
        <w:trPr>
          <w:trHeight w:val="2903"/>
        </w:trPr>
        <w:tc>
          <w:tcPr>
            <w:tcW w:w="9121" w:type="dxa"/>
            <w:tcBorders>
              <w:top w:val="single" w:sz="5" w:space="0" w:color="000000"/>
              <w:left w:val="single" w:sz="5" w:space="0" w:color="000000"/>
              <w:bottom w:val="single" w:sz="5" w:space="0" w:color="000000"/>
              <w:right w:val="single" w:sz="5" w:space="0" w:color="000000"/>
            </w:tcBorders>
          </w:tcPr>
          <w:p w14:paraId="498E0009" w14:textId="77777777" w:rsidR="00EC58D5" w:rsidRPr="004130B1" w:rsidRDefault="00EC58D5" w:rsidP="00EC58D5">
            <w:pPr>
              <w:pStyle w:val="Paragraphedeliste"/>
              <w:numPr>
                <w:ilvl w:val="0"/>
                <w:numId w:val="13"/>
              </w:numPr>
              <w:spacing w:before="60" w:after="60"/>
              <w:ind w:left="510" w:right="170" w:hanging="340"/>
              <w:jc w:val="both"/>
              <w:rPr>
                <w:rFonts w:asciiTheme="minorHAnsi" w:eastAsia="Calibri" w:hAnsiTheme="minorHAnsi" w:cstheme="minorHAnsi"/>
                <w:bCs/>
                <w:sz w:val="22"/>
                <w:szCs w:val="22"/>
              </w:rPr>
            </w:pPr>
            <w:r w:rsidRPr="004130B1">
              <w:rPr>
                <w:rFonts w:asciiTheme="minorHAnsi" w:eastAsia="Calibri" w:hAnsiTheme="minorHAnsi" w:cstheme="minorHAnsi"/>
                <w:bCs/>
                <w:sz w:val="22"/>
                <w:szCs w:val="22"/>
              </w:rPr>
              <w:t xml:space="preserve">Distinct monitoring systems apply to Interreg-IPA CBC, Interreg transnational and interregional programmes, implemented within ERDF/Interreg applicable framework, and IPA-IPA CBC programmes, implemented within the EU external actions/IPA applicable framework. </w:t>
            </w:r>
          </w:p>
          <w:p w14:paraId="67A44324" w14:textId="77777777" w:rsidR="00EC58D5" w:rsidRPr="004130B1" w:rsidRDefault="00EC58D5" w:rsidP="00EC58D5">
            <w:pPr>
              <w:pStyle w:val="Paragraphedeliste"/>
              <w:numPr>
                <w:ilvl w:val="0"/>
                <w:numId w:val="13"/>
              </w:numPr>
              <w:spacing w:before="60" w:after="60"/>
              <w:ind w:left="510" w:right="170" w:hanging="340"/>
              <w:jc w:val="both"/>
              <w:rPr>
                <w:rFonts w:asciiTheme="minorHAnsi" w:eastAsia="Calibri" w:hAnsiTheme="minorHAnsi" w:cstheme="minorHAnsi"/>
                <w:bCs/>
                <w:sz w:val="22"/>
                <w:szCs w:val="22"/>
              </w:rPr>
            </w:pPr>
            <w:r w:rsidRPr="004130B1">
              <w:rPr>
                <w:rFonts w:asciiTheme="minorHAnsi" w:eastAsia="Calibri" w:hAnsiTheme="minorHAnsi" w:cstheme="minorHAnsi"/>
                <w:bCs/>
                <w:sz w:val="22"/>
                <w:szCs w:val="22"/>
              </w:rPr>
              <w:t xml:space="preserve">For the </w:t>
            </w:r>
            <w:r w:rsidRPr="004130B1">
              <w:rPr>
                <w:rFonts w:asciiTheme="minorHAnsi" w:eastAsia="Calibri" w:hAnsiTheme="minorHAnsi" w:cstheme="minorHAnsi"/>
                <w:b/>
                <w:sz w:val="22"/>
                <w:szCs w:val="22"/>
              </w:rPr>
              <w:t>Interreg programmes</w:t>
            </w:r>
            <w:r w:rsidRPr="004130B1">
              <w:rPr>
                <w:rFonts w:asciiTheme="minorHAnsi" w:eastAsia="Calibri" w:hAnsiTheme="minorHAnsi" w:cstheme="minorHAnsi"/>
                <w:bCs/>
                <w:sz w:val="22"/>
                <w:szCs w:val="22"/>
              </w:rPr>
              <w:t>, following each programme rules, project lead beneficiaries report the data related to programme indicators into the programme electronic monitoring system, the data is then checked by the programme Joint Technical Secretariat (JTS). Based on the information from their monitoring system, the Managing Authorities report to DG Regio every 6 months (31 January and 31 July)</w:t>
            </w:r>
            <w:r w:rsidRPr="004130B1">
              <w:rPr>
                <w:rStyle w:val="Appelnotedebasdep"/>
                <w:rFonts w:asciiTheme="minorHAnsi" w:eastAsia="Calibri" w:hAnsiTheme="minorHAnsi" w:cstheme="minorHAnsi"/>
                <w:bCs/>
                <w:sz w:val="22"/>
                <w:szCs w:val="22"/>
              </w:rPr>
              <w:footnoteReference w:id="4"/>
            </w:r>
            <w:r w:rsidRPr="004130B1">
              <w:rPr>
                <w:rFonts w:asciiTheme="minorHAnsi" w:eastAsia="Calibri" w:hAnsiTheme="minorHAnsi" w:cstheme="minorHAnsi"/>
                <w:bCs/>
                <w:sz w:val="22"/>
                <w:szCs w:val="22"/>
              </w:rPr>
              <w:t xml:space="preserve"> on the progress towards the indicator targets. The cohesion open data platform</w:t>
            </w:r>
            <w:r w:rsidRPr="004130B1">
              <w:rPr>
                <w:rFonts w:asciiTheme="minorHAnsi" w:eastAsia="Calibri" w:hAnsiTheme="minorHAnsi" w:cstheme="minorHAnsi"/>
                <w:sz w:val="22"/>
                <w:szCs w:val="22"/>
                <w:vertAlign w:val="superscript"/>
              </w:rPr>
              <w:footnoteReference w:id="5"/>
            </w:r>
            <w:r w:rsidRPr="004130B1">
              <w:rPr>
                <w:rFonts w:asciiTheme="minorHAnsi" w:eastAsia="Calibri" w:hAnsiTheme="minorHAnsi" w:cstheme="minorHAnsi"/>
                <w:bCs/>
                <w:sz w:val="22"/>
                <w:szCs w:val="22"/>
              </w:rPr>
              <w:t xml:space="preserve"> presents for all programmes the monitoring data notified as programme managers report on implementation.</w:t>
            </w:r>
          </w:p>
          <w:p w14:paraId="0CC8CA33" w14:textId="77777777" w:rsidR="00731761" w:rsidRDefault="00EC58D5" w:rsidP="00731761">
            <w:pPr>
              <w:pStyle w:val="Paragraphedeliste"/>
              <w:numPr>
                <w:ilvl w:val="0"/>
                <w:numId w:val="13"/>
              </w:numPr>
              <w:spacing w:before="60" w:after="60"/>
              <w:ind w:left="510" w:right="170" w:hanging="340"/>
              <w:jc w:val="both"/>
              <w:rPr>
                <w:rFonts w:asciiTheme="minorHAnsi" w:eastAsia="Calibri" w:hAnsiTheme="minorHAnsi" w:cstheme="minorHAnsi"/>
                <w:bCs/>
                <w:sz w:val="22"/>
                <w:szCs w:val="22"/>
              </w:rPr>
            </w:pPr>
            <w:r w:rsidRPr="004130B1">
              <w:rPr>
                <w:rFonts w:asciiTheme="minorHAnsi" w:eastAsia="Calibri" w:hAnsiTheme="minorHAnsi" w:cstheme="minorHAnsi"/>
                <w:bCs/>
                <w:sz w:val="22"/>
                <w:szCs w:val="22"/>
              </w:rPr>
              <w:t xml:space="preserve">For </w:t>
            </w:r>
            <w:r w:rsidRPr="004130B1">
              <w:rPr>
                <w:rFonts w:asciiTheme="minorHAnsi" w:eastAsia="Calibri" w:hAnsiTheme="minorHAnsi" w:cstheme="minorHAnsi"/>
                <w:b/>
                <w:sz w:val="22"/>
                <w:szCs w:val="22"/>
              </w:rPr>
              <w:t>IPA-IPA CBC programmes</w:t>
            </w:r>
            <w:r w:rsidRPr="004130B1">
              <w:rPr>
                <w:rFonts w:asciiTheme="minorHAnsi" w:eastAsia="Calibri" w:hAnsiTheme="minorHAnsi" w:cstheme="minorHAnsi"/>
                <w:bCs/>
                <w:sz w:val="22"/>
                <w:szCs w:val="22"/>
              </w:rPr>
              <w:t>, the data on programme indicators is reported by project lead beneficiaries on a quarterly basis into the common electronic regional monitoring system, then the values are checked and validated by each programme JTS. Programmes extract relevant data from this system for their annual reporting to DG NEAR. Aggregated information on indicators across programmes can be provided by the system.</w:t>
            </w:r>
          </w:p>
          <w:p w14:paraId="58467947" w14:textId="596B848C" w:rsidR="006F31EC" w:rsidRPr="00731761" w:rsidRDefault="00731761" w:rsidP="00731761">
            <w:pPr>
              <w:pStyle w:val="Paragraphedeliste"/>
              <w:numPr>
                <w:ilvl w:val="0"/>
                <w:numId w:val="13"/>
              </w:numPr>
              <w:spacing w:before="60" w:after="60"/>
              <w:ind w:left="510" w:right="170" w:hanging="340"/>
              <w:jc w:val="both"/>
              <w:rPr>
                <w:rFonts w:asciiTheme="minorHAnsi" w:eastAsia="Calibri" w:hAnsiTheme="minorHAnsi" w:cstheme="minorHAnsi"/>
                <w:bCs/>
                <w:sz w:val="22"/>
                <w:szCs w:val="22"/>
              </w:rPr>
            </w:pPr>
            <w:r w:rsidRPr="00731761">
              <w:rPr>
                <w:rFonts w:asciiTheme="minorHAnsi" w:eastAsia="Calibri" w:hAnsiTheme="minorHAnsi" w:cstheme="minorHAnsi"/>
                <w:bCs/>
                <w:sz w:val="22"/>
                <w:szCs w:val="22"/>
              </w:rPr>
              <w:t>DG NEAR can use the aggregated data from both monitoring systems for its reporting and communication.</w:t>
            </w:r>
          </w:p>
        </w:tc>
      </w:tr>
      <w:tr w:rsidR="006258A6" w:rsidRPr="00F11A07" w14:paraId="61A0F15E"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B0F0"/>
          </w:tcPr>
          <w:p w14:paraId="0D611CF7" w14:textId="77777777" w:rsidR="006258A6" w:rsidRPr="00F11A07" w:rsidRDefault="006258A6" w:rsidP="00DA7125">
            <w:pPr>
              <w:spacing w:before="11" w:after="60"/>
              <w:ind w:left="227" w:right="170"/>
              <w:jc w:val="both"/>
              <w:rPr>
                <w:rFonts w:eastAsia="Calibri" w:cstheme="minorHAnsi"/>
                <w:bCs/>
                <w:lang w:val="en-GB"/>
              </w:rPr>
            </w:pPr>
            <w:r w:rsidRPr="00F11A07">
              <w:rPr>
                <w:rFonts w:ascii="Calibri" w:eastAsia="Calibri" w:hAnsi="Calibri" w:cs="Calibri"/>
                <w:b/>
                <w:color w:val="FFFFFF"/>
                <w:sz w:val="21"/>
                <w:szCs w:val="21"/>
                <w:lang w:val="en-GB"/>
              </w:rPr>
              <w:t>7. Data calculation (including any assumptions made)</w:t>
            </w:r>
          </w:p>
        </w:tc>
      </w:tr>
      <w:tr w:rsidR="006258A6" w:rsidRPr="00F11A07" w14:paraId="3C6C3FD3" w14:textId="77777777" w:rsidTr="0087026D">
        <w:trPr>
          <w:trHeight w:val="2554"/>
        </w:trPr>
        <w:tc>
          <w:tcPr>
            <w:tcW w:w="9121"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3222BEB" w14:textId="1BB613CA" w:rsidR="008C3271" w:rsidRPr="00022213" w:rsidRDefault="008C7170" w:rsidP="00D06FBF">
            <w:pPr>
              <w:pStyle w:val="Paragraphedeliste"/>
              <w:numPr>
                <w:ilvl w:val="0"/>
                <w:numId w:val="10"/>
              </w:numPr>
              <w:spacing w:before="11"/>
              <w:ind w:left="591" w:right="113"/>
              <w:jc w:val="both"/>
              <w:rPr>
                <w:rFonts w:asciiTheme="minorHAnsi" w:eastAsia="Calibri" w:hAnsiTheme="minorHAnsi" w:cstheme="minorHAnsi"/>
                <w:bCs/>
                <w:sz w:val="22"/>
                <w:szCs w:val="22"/>
              </w:rPr>
            </w:pPr>
            <w:r w:rsidRPr="00022213">
              <w:rPr>
                <w:rFonts w:asciiTheme="minorHAnsi" w:eastAsia="Calibri" w:hAnsiTheme="minorHAnsi" w:cstheme="minorHAnsi"/>
                <w:bCs/>
                <w:sz w:val="22"/>
                <w:szCs w:val="22"/>
              </w:rPr>
              <w:t xml:space="preserve">The </w:t>
            </w:r>
            <w:r w:rsidRPr="00022213">
              <w:rPr>
                <w:rFonts w:asciiTheme="minorHAnsi" w:eastAsia="Calibri" w:hAnsiTheme="minorHAnsi" w:cstheme="minorHAnsi"/>
                <w:b/>
                <w:sz w:val="22"/>
                <w:szCs w:val="22"/>
              </w:rPr>
              <w:t>unit of measurement</w:t>
            </w:r>
            <w:r w:rsidRPr="00022213">
              <w:rPr>
                <w:rFonts w:asciiTheme="minorHAnsi" w:eastAsia="Calibri" w:hAnsiTheme="minorHAnsi" w:cstheme="minorHAnsi"/>
                <w:bCs/>
                <w:sz w:val="22"/>
                <w:szCs w:val="22"/>
              </w:rPr>
              <w:t xml:space="preserve"> is</w:t>
            </w:r>
            <w:r w:rsidR="00AA6F40">
              <w:rPr>
                <w:rFonts w:asciiTheme="minorHAnsi" w:eastAsia="Calibri" w:hAnsiTheme="minorHAnsi" w:cstheme="minorHAnsi"/>
                <w:bCs/>
                <w:sz w:val="22"/>
                <w:szCs w:val="22"/>
              </w:rPr>
              <w:t>:</w:t>
            </w:r>
            <w:r w:rsidRPr="00022213">
              <w:rPr>
                <w:rFonts w:asciiTheme="minorHAnsi" w:eastAsia="Calibri" w:hAnsiTheme="minorHAnsi" w:cstheme="minorHAnsi"/>
                <w:bCs/>
                <w:sz w:val="22"/>
                <w:szCs w:val="22"/>
              </w:rPr>
              <w:t xml:space="preserve"> </w:t>
            </w:r>
            <w:r w:rsidR="00BA7DBF">
              <w:rPr>
                <w:rFonts w:asciiTheme="minorHAnsi" w:eastAsia="Calibri" w:hAnsiTheme="minorHAnsi" w:cstheme="minorHAnsi"/>
                <w:bCs/>
                <w:sz w:val="22"/>
                <w:szCs w:val="22"/>
              </w:rPr>
              <w:t xml:space="preserve">Number of </w:t>
            </w:r>
            <w:r w:rsidR="00AA6F40">
              <w:rPr>
                <w:rFonts w:asciiTheme="minorHAnsi" w:eastAsia="Calibri" w:hAnsiTheme="minorHAnsi" w:cstheme="minorHAnsi"/>
                <w:bCs/>
                <w:sz w:val="22"/>
                <w:szCs w:val="22"/>
              </w:rPr>
              <w:t>(</w:t>
            </w:r>
            <w:r w:rsidR="00BA7DBF">
              <w:rPr>
                <w:rFonts w:asciiTheme="minorHAnsi" w:eastAsia="Calibri" w:hAnsiTheme="minorHAnsi" w:cstheme="minorHAnsi"/>
                <w:bCs/>
                <w:sz w:val="22"/>
                <w:szCs w:val="22"/>
              </w:rPr>
              <w:t>#</w:t>
            </w:r>
            <w:r w:rsidR="00AA6F40">
              <w:rPr>
                <w:rFonts w:asciiTheme="minorHAnsi" w:eastAsia="Calibri" w:hAnsiTheme="minorHAnsi" w:cstheme="minorHAnsi"/>
                <w:bCs/>
                <w:sz w:val="22"/>
                <w:szCs w:val="22"/>
              </w:rPr>
              <w:t>)</w:t>
            </w:r>
            <w:r w:rsidR="00BA7DBF">
              <w:rPr>
                <w:rFonts w:asciiTheme="minorHAnsi" w:eastAsia="Calibri" w:hAnsiTheme="minorHAnsi" w:cstheme="minorHAnsi"/>
                <w:bCs/>
                <w:sz w:val="22"/>
                <w:szCs w:val="22"/>
              </w:rPr>
              <w:t xml:space="preserve"> </w:t>
            </w:r>
            <w:r w:rsidR="00BE1010">
              <w:rPr>
                <w:rFonts w:asciiTheme="minorHAnsi" w:eastAsia="Calibri" w:hAnsiTheme="minorHAnsi" w:cstheme="minorHAnsi"/>
                <w:bCs/>
                <w:sz w:val="22"/>
                <w:szCs w:val="22"/>
              </w:rPr>
              <w:t>strateg</w:t>
            </w:r>
            <w:r w:rsidR="00D77530">
              <w:rPr>
                <w:rFonts w:asciiTheme="minorHAnsi" w:eastAsia="Calibri" w:hAnsiTheme="minorHAnsi" w:cstheme="minorHAnsi"/>
                <w:bCs/>
                <w:sz w:val="22"/>
                <w:szCs w:val="22"/>
              </w:rPr>
              <w:t>ies</w:t>
            </w:r>
            <w:r w:rsidR="00BE1010">
              <w:rPr>
                <w:rFonts w:asciiTheme="minorHAnsi" w:eastAsia="Calibri" w:hAnsiTheme="minorHAnsi" w:cstheme="minorHAnsi"/>
                <w:bCs/>
                <w:sz w:val="22"/>
                <w:szCs w:val="22"/>
              </w:rPr>
              <w:t>/action plan</w:t>
            </w:r>
            <w:r w:rsidR="00D77530">
              <w:rPr>
                <w:rFonts w:asciiTheme="minorHAnsi" w:eastAsia="Calibri" w:hAnsiTheme="minorHAnsi" w:cstheme="minorHAnsi"/>
                <w:bCs/>
                <w:sz w:val="22"/>
                <w:szCs w:val="22"/>
              </w:rPr>
              <w:t>s</w:t>
            </w:r>
            <w:r w:rsidR="00BE1010">
              <w:rPr>
                <w:rFonts w:asciiTheme="minorHAnsi" w:eastAsia="Calibri" w:hAnsiTheme="minorHAnsi" w:cstheme="minorHAnsi"/>
                <w:bCs/>
                <w:sz w:val="22"/>
                <w:szCs w:val="22"/>
              </w:rPr>
              <w:t xml:space="preserve"> jointly developed</w:t>
            </w:r>
            <w:r w:rsidR="00763E63">
              <w:rPr>
                <w:rFonts w:asciiTheme="minorHAnsi" w:eastAsia="Calibri" w:hAnsiTheme="minorHAnsi" w:cstheme="minorHAnsi"/>
                <w:bCs/>
                <w:sz w:val="22"/>
                <w:szCs w:val="22"/>
              </w:rPr>
              <w:t>.</w:t>
            </w:r>
            <w:r w:rsidR="00C46916">
              <w:rPr>
                <w:rFonts w:asciiTheme="minorHAnsi" w:eastAsia="Calibri" w:hAnsiTheme="minorHAnsi" w:cstheme="minorHAnsi"/>
                <w:bCs/>
                <w:sz w:val="22"/>
                <w:szCs w:val="22"/>
              </w:rPr>
              <w:t xml:space="preserve"> </w:t>
            </w:r>
          </w:p>
          <w:p w14:paraId="15D97EAE" w14:textId="3321DAC4" w:rsidR="00D04F06" w:rsidRDefault="002131B7" w:rsidP="00D06FBF">
            <w:pPr>
              <w:pStyle w:val="Paragraphedeliste"/>
              <w:numPr>
                <w:ilvl w:val="0"/>
                <w:numId w:val="10"/>
              </w:numPr>
              <w:spacing w:before="11"/>
              <w:ind w:left="591" w:right="113"/>
              <w:jc w:val="both"/>
              <w:rPr>
                <w:rFonts w:asciiTheme="minorHAnsi" w:eastAsia="Calibri" w:hAnsiTheme="minorHAnsi" w:cstheme="minorHAnsi"/>
                <w:bCs/>
                <w:sz w:val="22"/>
                <w:szCs w:val="22"/>
              </w:rPr>
            </w:pPr>
            <w:r w:rsidRPr="00022213">
              <w:rPr>
                <w:rFonts w:asciiTheme="minorHAnsi" w:eastAsia="Calibri" w:hAnsiTheme="minorHAnsi" w:cstheme="minorHAnsi"/>
                <w:bCs/>
                <w:sz w:val="22"/>
                <w:szCs w:val="22"/>
              </w:rPr>
              <w:t xml:space="preserve">The </w:t>
            </w:r>
            <w:r w:rsidRPr="00022213">
              <w:rPr>
                <w:rFonts w:asciiTheme="minorHAnsi" w:eastAsia="Calibri" w:hAnsiTheme="minorHAnsi" w:cstheme="minorHAnsi"/>
                <w:b/>
                <w:sz w:val="22"/>
                <w:szCs w:val="22"/>
              </w:rPr>
              <w:t>time measurement</w:t>
            </w:r>
            <w:r w:rsidRPr="00022213">
              <w:rPr>
                <w:rFonts w:asciiTheme="minorHAnsi" w:eastAsia="Calibri" w:hAnsiTheme="minorHAnsi" w:cstheme="minorHAnsi"/>
                <w:bCs/>
                <w:sz w:val="22"/>
                <w:szCs w:val="22"/>
              </w:rPr>
              <w:t xml:space="preserve"> achieved is </w:t>
            </w:r>
            <w:r w:rsidR="00C41D44">
              <w:rPr>
                <w:rFonts w:asciiTheme="minorHAnsi" w:eastAsia="Calibri" w:hAnsiTheme="minorHAnsi" w:cstheme="minorHAnsi"/>
                <w:bCs/>
                <w:sz w:val="22"/>
                <w:szCs w:val="22"/>
              </w:rPr>
              <w:t>upon project finalisation</w:t>
            </w:r>
            <w:r w:rsidR="00763E63">
              <w:rPr>
                <w:rFonts w:asciiTheme="minorHAnsi" w:eastAsia="Calibri" w:hAnsiTheme="minorHAnsi" w:cstheme="minorHAnsi"/>
                <w:bCs/>
                <w:sz w:val="22"/>
                <w:szCs w:val="22"/>
              </w:rPr>
              <w:t>.</w:t>
            </w:r>
          </w:p>
          <w:p w14:paraId="20E060C1" w14:textId="15947FB0" w:rsidR="004C320B" w:rsidRDefault="00573F9D" w:rsidP="00D06FBF">
            <w:pPr>
              <w:pStyle w:val="Paragraphedeliste"/>
              <w:numPr>
                <w:ilvl w:val="0"/>
                <w:numId w:val="10"/>
              </w:numPr>
              <w:spacing w:before="11"/>
              <w:ind w:left="591" w:right="113"/>
              <w:jc w:val="both"/>
              <w:rPr>
                <w:rFonts w:asciiTheme="minorHAnsi" w:eastAsia="Calibri" w:hAnsiTheme="minorHAnsi" w:cstheme="minorHAnsi"/>
                <w:bCs/>
                <w:sz w:val="22"/>
                <w:szCs w:val="22"/>
              </w:rPr>
            </w:pPr>
            <w:r>
              <w:rPr>
                <w:rFonts w:asciiTheme="minorHAnsi" w:eastAsia="Calibri" w:hAnsiTheme="minorHAnsi" w:cstheme="minorHAnsi"/>
                <w:bCs/>
                <w:sz w:val="22"/>
                <w:szCs w:val="22"/>
              </w:rPr>
              <w:t>Possible double-counting</w:t>
            </w:r>
            <w:r w:rsidR="00B000CE">
              <w:rPr>
                <w:rFonts w:asciiTheme="minorHAnsi" w:eastAsia="Calibri" w:hAnsiTheme="minorHAnsi" w:cstheme="minorHAnsi"/>
                <w:bCs/>
                <w:sz w:val="22"/>
                <w:szCs w:val="22"/>
              </w:rPr>
              <w:t>: i</w:t>
            </w:r>
            <w:r w:rsidR="00BE1010">
              <w:rPr>
                <w:rFonts w:asciiTheme="minorHAnsi" w:eastAsia="Calibri" w:hAnsiTheme="minorHAnsi" w:cstheme="minorHAnsi"/>
                <w:bCs/>
                <w:sz w:val="22"/>
                <w:szCs w:val="22"/>
              </w:rPr>
              <w:t>f a strategy or action plan covers several specific objectives or priorities, it should only be counted once under the dominant one.</w:t>
            </w:r>
          </w:p>
          <w:p w14:paraId="720C1029" w14:textId="679BE5D7" w:rsidR="001F5C37" w:rsidRPr="00D04F06" w:rsidRDefault="00BB7CE3" w:rsidP="00D06FBF">
            <w:pPr>
              <w:pStyle w:val="Paragraphedeliste"/>
              <w:numPr>
                <w:ilvl w:val="0"/>
                <w:numId w:val="10"/>
              </w:numPr>
              <w:spacing w:before="11"/>
              <w:ind w:left="591" w:right="113"/>
              <w:jc w:val="both"/>
              <w:rPr>
                <w:rFonts w:asciiTheme="minorHAnsi" w:eastAsia="Calibri" w:hAnsiTheme="minorHAnsi" w:cstheme="minorHAnsi"/>
                <w:bCs/>
                <w:sz w:val="22"/>
                <w:szCs w:val="22"/>
              </w:rPr>
            </w:pPr>
            <w:r w:rsidRPr="00BB7CE3">
              <w:rPr>
                <w:rFonts w:asciiTheme="minorHAnsi" w:eastAsia="Calibri" w:hAnsiTheme="minorHAnsi" w:cstheme="minorHAnsi"/>
                <w:b/>
                <w:bCs/>
                <w:sz w:val="22"/>
                <w:szCs w:val="22"/>
                <w:lang w:val="en-GB"/>
              </w:rPr>
              <w:t>V</w:t>
            </w:r>
            <w:r w:rsidR="00D04F06" w:rsidRPr="00BB7CE3">
              <w:rPr>
                <w:rFonts w:asciiTheme="minorHAnsi" w:eastAsia="Calibri" w:hAnsiTheme="minorHAnsi" w:cstheme="minorHAnsi"/>
                <w:b/>
                <w:bCs/>
                <w:sz w:val="22"/>
                <w:szCs w:val="22"/>
                <w:lang w:val="en-GB"/>
              </w:rPr>
              <w:t>alues</w:t>
            </w:r>
            <w:r w:rsidR="00D04F06" w:rsidRPr="00D04F06">
              <w:rPr>
                <w:rFonts w:asciiTheme="minorHAnsi" w:eastAsia="Calibri" w:hAnsiTheme="minorHAnsi" w:cstheme="minorHAnsi"/>
                <w:sz w:val="22"/>
                <w:szCs w:val="22"/>
                <w:lang w:val="en-GB"/>
              </w:rPr>
              <w:t xml:space="preserve"> at </w:t>
            </w:r>
            <w:r w:rsidR="00406865">
              <w:rPr>
                <w:rFonts w:asciiTheme="minorHAnsi" w:eastAsia="Calibri" w:hAnsiTheme="minorHAnsi" w:cstheme="minorHAnsi"/>
                <w:sz w:val="22"/>
                <w:szCs w:val="22"/>
                <w:lang w:val="en-GB"/>
              </w:rPr>
              <w:t>intervention</w:t>
            </w:r>
            <w:r w:rsidR="00D04F06" w:rsidRPr="00D04F06">
              <w:rPr>
                <w:rFonts w:asciiTheme="minorHAnsi" w:eastAsia="Calibri" w:hAnsiTheme="minorHAnsi" w:cstheme="minorHAnsi"/>
                <w:sz w:val="22"/>
                <w:szCs w:val="22"/>
                <w:lang w:val="en-GB"/>
              </w:rPr>
              <w:t xml:space="preserve"> level</w:t>
            </w:r>
            <w:r w:rsidR="00632D8D">
              <w:rPr>
                <w:rFonts w:asciiTheme="minorHAnsi" w:eastAsia="Calibri" w:hAnsiTheme="minorHAnsi" w:cstheme="minorHAnsi"/>
                <w:sz w:val="22"/>
                <w:szCs w:val="22"/>
                <w:lang w:val="en-GB"/>
              </w:rPr>
              <w:t>:</w:t>
            </w:r>
          </w:p>
          <w:p w14:paraId="206D8539" w14:textId="4AECAA0C" w:rsidR="001F5C37" w:rsidRPr="00D04F06" w:rsidRDefault="00B143B5" w:rsidP="00515AEF">
            <w:pPr>
              <w:pStyle w:val="Paragraphedeliste"/>
              <w:numPr>
                <w:ilvl w:val="1"/>
                <w:numId w:val="7"/>
              </w:numPr>
              <w:tabs>
                <w:tab w:val="left" w:pos="820"/>
              </w:tabs>
              <w:ind w:right="170"/>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B</w:t>
            </w:r>
            <w:r w:rsidR="001F5C37" w:rsidRPr="00D04F06">
              <w:rPr>
                <w:rFonts w:asciiTheme="minorHAnsi" w:eastAsia="Calibri" w:hAnsiTheme="minorHAnsi" w:cstheme="minorHAnsi"/>
                <w:sz w:val="22"/>
                <w:szCs w:val="22"/>
                <w:lang w:val="en-GB"/>
              </w:rPr>
              <w:t>aseline</w:t>
            </w:r>
            <w:r w:rsidR="00632D8D">
              <w:rPr>
                <w:rFonts w:asciiTheme="minorHAnsi" w:eastAsia="Calibri" w:hAnsiTheme="minorHAnsi" w:cstheme="minorHAnsi"/>
                <w:sz w:val="22"/>
                <w:szCs w:val="22"/>
                <w:lang w:val="en-GB"/>
              </w:rPr>
              <w:t>:</w:t>
            </w:r>
            <w:r w:rsidR="00D04F06">
              <w:rPr>
                <w:rFonts w:asciiTheme="minorHAnsi" w:eastAsia="Calibri" w:hAnsiTheme="minorHAnsi" w:cstheme="minorHAnsi"/>
                <w:sz w:val="22"/>
                <w:szCs w:val="22"/>
                <w:lang w:val="en-GB"/>
              </w:rPr>
              <w:t xml:space="preserve"> 0</w:t>
            </w:r>
            <w:r w:rsidR="0016689B">
              <w:rPr>
                <w:rFonts w:asciiTheme="minorHAnsi" w:eastAsia="Calibri" w:hAnsiTheme="minorHAnsi" w:cstheme="minorHAnsi"/>
                <w:sz w:val="22"/>
                <w:szCs w:val="22"/>
                <w:lang w:val="en-GB"/>
              </w:rPr>
              <w:t xml:space="preserve"> at project start</w:t>
            </w:r>
          </w:p>
          <w:p w14:paraId="69D1A9F6" w14:textId="11058471" w:rsidR="00136B3B" w:rsidRPr="00D04F06" w:rsidRDefault="001F5C37" w:rsidP="00515AEF">
            <w:pPr>
              <w:pStyle w:val="Paragraphedeliste"/>
              <w:numPr>
                <w:ilvl w:val="1"/>
                <w:numId w:val="7"/>
              </w:numPr>
              <w:tabs>
                <w:tab w:val="left" w:pos="820"/>
              </w:tabs>
              <w:ind w:right="170"/>
              <w:jc w:val="both"/>
              <w:rPr>
                <w:rFonts w:asciiTheme="minorHAnsi" w:eastAsia="Calibri" w:hAnsiTheme="minorHAnsi" w:cstheme="minorHAnsi"/>
                <w:sz w:val="22"/>
                <w:szCs w:val="22"/>
                <w:lang w:val="en-GB"/>
              </w:rPr>
            </w:pPr>
            <w:r w:rsidRPr="00D04F06">
              <w:rPr>
                <w:rFonts w:asciiTheme="minorHAnsi" w:eastAsia="Calibri" w:hAnsiTheme="minorHAnsi" w:cstheme="minorHAnsi"/>
                <w:sz w:val="22"/>
                <w:szCs w:val="22"/>
                <w:lang w:val="en-GB"/>
              </w:rPr>
              <w:t>Target</w:t>
            </w:r>
            <w:r w:rsidR="000E0A57">
              <w:rPr>
                <w:rFonts w:asciiTheme="minorHAnsi" w:eastAsia="Calibri" w:hAnsiTheme="minorHAnsi" w:cstheme="minorHAnsi"/>
                <w:sz w:val="22"/>
                <w:szCs w:val="22"/>
                <w:lang w:val="en-GB"/>
              </w:rPr>
              <w:t xml:space="preserve">: Total number of </w:t>
            </w:r>
            <w:r w:rsidR="00FD05C7">
              <w:rPr>
                <w:rFonts w:asciiTheme="minorHAnsi" w:eastAsia="Calibri" w:hAnsiTheme="minorHAnsi" w:cstheme="minorHAnsi"/>
                <w:sz w:val="22"/>
                <w:szCs w:val="22"/>
                <w:lang w:val="en-GB"/>
              </w:rPr>
              <w:t>strategies and action plans</w:t>
            </w:r>
            <w:r w:rsidR="004A27F9">
              <w:rPr>
                <w:rFonts w:asciiTheme="minorHAnsi" w:eastAsia="Calibri" w:hAnsiTheme="minorHAnsi" w:cstheme="minorHAnsi"/>
                <w:sz w:val="22"/>
                <w:szCs w:val="22"/>
                <w:lang w:val="en-GB"/>
              </w:rPr>
              <w:t xml:space="preserve"> </w:t>
            </w:r>
            <w:r w:rsidR="00DF4694">
              <w:rPr>
                <w:rFonts w:asciiTheme="minorHAnsi" w:eastAsia="Calibri" w:hAnsiTheme="minorHAnsi" w:cstheme="minorHAnsi"/>
                <w:sz w:val="22"/>
                <w:szCs w:val="22"/>
                <w:lang w:val="en-GB"/>
              </w:rPr>
              <w:t xml:space="preserve">expected to be </w:t>
            </w:r>
            <w:r w:rsidR="00FD05C7">
              <w:rPr>
                <w:rFonts w:asciiTheme="minorHAnsi" w:eastAsia="Calibri" w:hAnsiTheme="minorHAnsi" w:cstheme="minorHAnsi"/>
                <w:sz w:val="22"/>
                <w:szCs w:val="22"/>
                <w:lang w:val="en-GB"/>
              </w:rPr>
              <w:t xml:space="preserve">jointly developed </w:t>
            </w:r>
            <w:r w:rsidR="004A27F9">
              <w:rPr>
                <w:rFonts w:asciiTheme="minorHAnsi" w:eastAsia="Calibri" w:hAnsiTheme="minorHAnsi" w:cstheme="minorHAnsi"/>
                <w:sz w:val="22"/>
                <w:szCs w:val="22"/>
                <w:lang w:val="en-GB"/>
              </w:rPr>
              <w:t>by the end of the project</w:t>
            </w:r>
          </w:p>
          <w:p w14:paraId="7658817B" w14:textId="7531621F" w:rsidR="00136B3B" w:rsidRPr="00C60BED" w:rsidRDefault="001F5C37" w:rsidP="00C60BED">
            <w:pPr>
              <w:pStyle w:val="Paragraphedeliste"/>
              <w:numPr>
                <w:ilvl w:val="1"/>
                <w:numId w:val="7"/>
              </w:numPr>
              <w:tabs>
                <w:tab w:val="left" w:pos="820"/>
              </w:tabs>
              <w:ind w:left="1077" w:right="170" w:hanging="357"/>
              <w:jc w:val="both"/>
              <w:rPr>
                <w:rFonts w:asciiTheme="minorHAnsi" w:eastAsia="Calibri" w:hAnsiTheme="minorHAnsi" w:cstheme="minorHAnsi"/>
                <w:sz w:val="22"/>
                <w:szCs w:val="22"/>
                <w:lang w:val="en-GB"/>
              </w:rPr>
            </w:pPr>
            <w:r w:rsidRPr="00D04F06">
              <w:rPr>
                <w:rFonts w:asciiTheme="minorHAnsi" w:eastAsia="Calibri" w:hAnsiTheme="minorHAnsi" w:cstheme="minorHAnsi"/>
                <w:sz w:val="22"/>
                <w:szCs w:val="22"/>
                <w:lang w:val="en-GB"/>
              </w:rPr>
              <w:t xml:space="preserve">Current values </w:t>
            </w:r>
            <w:r w:rsidR="00FE5B44">
              <w:rPr>
                <w:rFonts w:asciiTheme="minorHAnsi" w:eastAsia="Calibri" w:hAnsiTheme="minorHAnsi" w:cstheme="minorHAnsi"/>
                <w:sz w:val="22"/>
                <w:szCs w:val="22"/>
                <w:lang w:val="en-GB"/>
              </w:rPr>
              <w:t>are</w:t>
            </w:r>
            <w:r w:rsidR="00632D8D">
              <w:rPr>
                <w:rFonts w:asciiTheme="minorHAnsi" w:eastAsia="Calibri" w:hAnsiTheme="minorHAnsi" w:cstheme="minorHAnsi"/>
                <w:sz w:val="22"/>
                <w:szCs w:val="22"/>
                <w:lang w:val="en-GB"/>
              </w:rPr>
              <w:t xml:space="preserve"> </w:t>
            </w:r>
            <w:r w:rsidRPr="00D04F06">
              <w:rPr>
                <w:rFonts w:asciiTheme="minorHAnsi" w:eastAsia="Calibri" w:hAnsiTheme="minorHAnsi" w:cstheme="minorHAnsi"/>
                <w:sz w:val="22"/>
                <w:szCs w:val="22"/>
                <w:lang w:val="en-GB"/>
              </w:rPr>
              <w:t>cumulative</w:t>
            </w:r>
            <w:r w:rsidR="00D06FBF">
              <w:rPr>
                <w:rFonts w:asciiTheme="minorHAnsi" w:eastAsia="Calibri" w:hAnsiTheme="minorHAnsi" w:cstheme="minorHAnsi"/>
                <w:sz w:val="22"/>
                <w:szCs w:val="22"/>
                <w:lang w:val="en-GB"/>
              </w:rPr>
              <w:t xml:space="preserve">, except </w:t>
            </w:r>
            <w:r w:rsidR="00BB7CE3">
              <w:rPr>
                <w:rFonts w:asciiTheme="minorHAnsi" w:eastAsia="Calibri" w:hAnsiTheme="minorHAnsi" w:cstheme="minorHAnsi"/>
                <w:sz w:val="22"/>
                <w:szCs w:val="22"/>
                <w:lang w:val="en-GB"/>
              </w:rPr>
              <w:t xml:space="preserve">if </w:t>
            </w:r>
            <w:r w:rsidR="00D06FBF">
              <w:rPr>
                <w:rFonts w:asciiTheme="minorHAnsi" w:eastAsia="Calibri" w:hAnsiTheme="minorHAnsi" w:cstheme="minorHAnsi"/>
                <w:sz w:val="22"/>
                <w:szCs w:val="22"/>
                <w:lang w:val="en-GB"/>
              </w:rPr>
              <w:t>otherwise requested by the programme.</w:t>
            </w:r>
          </w:p>
        </w:tc>
      </w:tr>
      <w:tr w:rsidR="006258A6" w:rsidRPr="00F11A07" w14:paraId="6DFCE072" w14:textId="77777777" w:rsidTr="00DA7125">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B0F0"/>
          </w:tcPr>
          <w:p w14:paraId="1FD94A1C" w14:textId="1DE15EE1" w:rsidR="006258A6" w:rsidRPr="00F11A07" w:rsidRDefault="006258A6" w:rsidP="002A5A2E">
            <w:pPr>
              <w:spacing w:before="11" w:after="60"/>
              <w:ind w:left="227" w:right="170"/>
              <w:jc w:val="both"/>
              <w:rPr>
                <w:rFonts w:eastAsia="Calibri" w:cstheme="minorHAnsi"/>
                <w:bCs/>
                <w:lang w:val="en-GB"/>
              </w:rPr>
            </w:pPr>
            <w:r w:rsidRPr="00F11A07">
              <w:rPr>
                <w:rFonts w:ascii="Calibri" w:eastAsia="Calibri" w:hAnsi="Calibri" w:cs="Calibri"/>
                <w:b/>
                <w:color w:val="FFFFFF"/>
                <w:sz w:val="21"/>
                <w:szCs w:val="21"/>
                <w:lang w:val="en-GB"/>
              </w:rPr>
              <w:t>8.</w:t>
            </w:r>
            <w:r w:rsidRPr="00F11A07">
              <w:rPr>
                <w:rFonts w:ascii="Calibri" w:eastAsia="Calibri" w:hAnsi="Calibri" w:cs="Calibri"/>
                <w:b/>
                <w:color w:val="FFFFFF"/>
                <w:spacing w:val="-3"/>
                <w:sz w:val="21"/>
                <w:szCs w:val="21"/>
                <w:lang w:val="en-GB"/>
              </w:rPr>
              <w:t xml:space="preserve"> </w:t>
            </w:r>
            <w:r w:rsidR="002A5A2E" w:rsidRPr="00F11A07">
              <w:rPr>
                <w:b/>
                <w:bCs/>
                <w:color w:val="FFFFFF"/>
                <w:lang w:val="en-GB"/>
              </w:rPr>
              <w:t>Worked example</w:t>
            </w:r>
          </w:p>
        </w:tc>
      </w:tr>
      <w:tr w:rsidR="006258A6" w:rsidRPr="00F11A07" w14:paraId="1897C619" w14:textId="77777777" w:rsidTr="0087026D">
        <w:trPr>
          <w:trHeight w:val="1735"/>
        </w:trPr>
        <w:tc>
          <w:tcPr>
            <w:tcW w:w="9121" w:type="dxa"/>
            <w:tcBorders>
              <w:top w:val="single" w:sz="5" w:space="0" w:color="000000"/>
              <w:left w:val="single" w:sz="5" w:space="0" w:color="000000"/>
              <w:bottom w:val="single" w:sz="5" w:space="0" w:color="000000"/>
              <w:right w:val="single" w:sz="5" w:space="0" w:color="000000"/>
            </w:tcBorders>
          </w:tcPr>
          <w:p w14:paraId="4174D525" w14:textId="77777777" w:rsidR="0084418D" w:rsidRDefault="00221E3C" w:rsidP="00A136EC">
            <w:pPr>
              <w:pStyle w:val="Paragraphedeliste"/>
              <w:numPr>
                <w:ilvl w:val="0"/>
                <w:numId w:val="10"/>
              </w:numPr>
              <w:spacing w:before="11"/>
              <w:ind w:left="591" w:right="113"/>
              <w:jc w:val="both"/>
              <w:rPr>
                <w:rFonts w:asciiTheme="minorHAnsi" w:eastAsia="Calibri" w:hAnsiTheme="minorHAnsi" w:cstheme="minorHAnsi"/>
                <w:bCs/>
                <w:sz w:val="22"/>
                <w:szCs w:val="22"/>
              </w:rPr>
            </w:pPr>
            <w:r w:rsidRPr="00515AEF">
              <w:rPr>
                <w:rFonts w:asciiTheme="minorHAnsi" w:eastAsia="Calibri" w:hAnsiTheme="minorHAnsi" w:cstheme="minorHAnsi"/>
                <w:bCs/>
                <w:sz w:val="22"/>
                <w:szCs w:val="22"/>
              </w:rPr>
              <w:t xml:space="preserve">An </w:t>
            </w:r>
            <w:r>
              <w:rPr>
                <w:rFonts w:asciiTheme="minorHAnsi" w:eastAsia="Calibri" w:hAnsiTheme="minorHAnsi" w:cstheme="minorHAnsi"/>
                <w:bCs/>
                <w:sz w:val="22"/>
                <w:szCs w:val="22"/>
              </w:rPr>
              <w:t>Interreg</w:t>
            </w:r>
            <w:r w:rsidRPr="00515AEF">
              <w:rPr>
                <w:rFonts w:asciiTheme="minorHAnsi" w:eastAsia="Calibri" w:hAnsiTheme="minorHAnsi" w:cstheme="minorHAnsi"/>
                <w:bCs/>
                <w:sz w:val="22"/>
                <w:szCs w:val="22"/>
              </w:rPr>
              <w:t xml:space="preserve">-IPA CBC project aims to </w:t>
            </w:r>
            <w:r>
              <w:rPr>
                <w:rFonts w:asciiTheme="minorHAnsi" w:eastAsia="Calibri" w:hAnsiTheme="minorHAnsi" w:cstheme="minorHAnsi"/>
                <w:bCs/>
                <w:sz w:val="22"/>
                <w:szCs w:val="22"/>
              </w:rPr>
              <w:t>improve the protection of the population from border regions exposed to natural hazards, to reduce risks and prepare effective responses</w:t>
            </w:r>
            <w:r w:rsidRPr="002B1C88">
              <w:rPr>
                <w:rFonts w:asciiTheme="minorHAnsi" w:eastAsia="Calibri" w:hAnsiTheme="minorHAnsi" w:cstheme="minorHAnsi"/>
                <w:bCs/>
                <w:sz w:val="22"/>
                <w:szCs w:val="22"/>
              </w:rPr>
              <w:t xml:space="preserve">. This 2-year project is implemented in </w:t>
            </w:r>
            <w:r>
              <w:rPr>
                <w:rFonts w:asciiTheme="minorHAnsi" w:eastAsia="Calibri" w:hAnsiTheme="minorHAnsi" w:cstheme="minorHAnsi"/>
                <w:bCs/>
                <w:sz w:val="22"/>
                <w:szCs w:val="22"/>
              </w:rPr>
              <w:t xml:space="preserve">a </w:t>
            </w:r>
            <w:r w:rsidRPr="002B1C88">
              <w:rPr>
                <w:rFonts w:asciiTheme="minorHAnsi" w:eastAsia="Calibri" w:hAnsiTheme="minorHAnsi" w:cstheme="minorHAnsi"/>
                <w:bCs/>
                <w:sz w:val="22"/>
                <w:szCs w:val="22"/>
              </w:rPr>
              <w:t xml:space="preserve">cross-border partnership </w:t>
            </w:r>
            <w:r>
              <w:rPr>
                <w:rFonts w:asciiTheme="minorHAnsi" w:eastAsia="Calibri" w:hAnsiTheme="minorHAnsi" w:cstheme="minorHAnsi"/>
                <w:bCs/>
                <w:sz w:val="22"/>
                <w:szCs w:val="22"/>
              </w:rPr>
              <w:t>between</w:t>
            </w:r>
            <w:r w:rsidRPr="002B1C88">
              <w:rPr>
                <w:rFonts w:asciiTheme="minorHAnsi" w:eastAsia="Calibri" w:hAnsiTheme="minorHAnsi" w:cstheme="minorHAnsi"/>
                <w:bCs/>
                <w:sz w:val="22"/>
                <w:szCs w:val="22"/>
              </w:rPr>
              <w:t xml:space="preserve"> </w:t>
            </w:r>
            <w:r w:rsidR="008F5CF9">
              <w:rPr>
                <w:rFonts w:asciiTheme="minorHAnsi" w:eastAsia="Calibri" w:hAnsiTheme="minorHAnsi" w:cstheme="minorHAnsi"/>
                <w:bCs/>
                <w:sz w:val="22"/>
                <w:szCs w:val="22"/>
              </w:rPr>
              <w:t xml:space="preserve">regional councils and </w:t>
            </w:r>
            <w:r w:rsidR="00B66CCB">
              <w:rPr>
                <w:rFonts w:asciiTheme="minorHAnsi" w:eastAsia="Calibri" w:hAnsiTheme="minorHAnsi" w:cstheme="minorHAnsi"/>
                <w:bCs/>
                <w:sz w:val="22"/>
                <w:szCs w:val="22"/>
              </w:rPr>
              <w:t>emergency services in two</w:t>
            </w:r>
            <w:r>
              <w:rPr>
                <w:rFonts w:asciiTheme="minorHAnsi" w:eastAsia="Calibri" w:hAnsiTheme="minorHAnsi" w:cstheme="minorHAnsi"/>
                <w:bCs/>
                <w:sz w:val="22"/>
                <w:szCs w:val="22"/>
              </w:rPr>
              <w:t xml:space="preserve"> </w:t>
            </w:r>
            <w:r w:rsidR="00B66CCB">
              <w:rPr>
                <w:rFonts w:asciiTheme="minorHAnsi" w:eastAsia="Calibri" w:hAnsiTheme="minorHAnsi" w:cstheme="minorHAnsi"/>
                <w:bCs/>
                <w:sz w:val="22"/>
                <w:szCs w:val="22"/>
              </w:rPr>
              <w:t xml:space="preserve">border regions. </w:t>
            </w:r>
          </w:p>
          <w:p w14:paraId="75722C0F" w14:textId="1BAEB8D6" w:rsidR="00221E3C" w:rsidRPr="00A136EC" w:rsidRDefault="00B66CCB" w:rsidP="00A136EC">
            <w:pPr>
              <w:pStyle w:val="Paragraphedeliste"/>
              <w:numPr>
                <w:ilvl w:val="0"/>
                <w:numId w:val="10"/>
              </w:numPr>
              <w:spacing w:before="11"/>
              <w:ind w:left="591" w:right="113"/>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Together the project partners </w:t>
            </w:r>
            <w:r w:rsidR="008F5CF9">
              <w:rPr>
                <w:rFonts w:asciiTheme="minorHAnsi" w:eastAsia="Calibri" w:hAnsiTheme="minorHAnsi" w:cstheme="minorHAnsi"/>
                <w:bCs/>
                <w:sz w:val="22"/>
                <w:szCs w:val="22"/>
              </w:rPr>
              <w:t>analyse</w:t>
            </w:r>
            <w:r>
              <w:rPr>
                <w:rFonts w:asciiTheme="minorHAnsi" w:eastAsia="Calibri" w:hAnsiTheme="minorHAnsi" w:cstheme="minorHAnsi"/>
                <w:bCs/>
                <w:sz w:val="22"/>
                <w:szCs w:val="22"/>
              </w:rPr>
              <w:t xml:space="preserve"> the</w:t>
            </w:r>
            <w:r w:rsidR="008F5CF9">
              <w:rPr>
                <w:rFonts w:asciiTheme="minorHAnsi" w:eastAsia="Calibri" w:hAnsiTheme="minorHAnsi" w:cstheme="minorHAnsi"/>
                <w:bCs/>
                <w:sz w:val="22"/>
                <w:szCs w:val="22"/>
              </w:rPr>
              <w:t xml:space="preserve"> main risks and regional challenges faced,</w:t>
            </w:r>
            <w:r>
              <w:rPr>
                <w:rFonts w:asciiTheme="minorHAnsi" w:eastAsia="Calibri" w:hAnsiTheme="minorHAnsi" w:cstheme="minorHAnsi"/>
                <w:bCs/>
                <w:sz w:val="22"/>
                <w:szCs w:val="22"/>
              </w:rPr>
              <w:t xml:space="preserve"> </w:t>
            </w:r>
            <w:r w:rsidR="008F5CF9">
              <w:rPr>
                <w:rFonts w:asciiTheme="minorHAnsi" w:eastAsia="Calibri" w:hAnsiTheme="minorHAnsi" w:cstheme="minorHAnsi"/>
                <w:bCs/>
                <w:sz w:val="22"/>
                <w:szCs w:val="22"/>
              </w:rPr>
              <w:t xml:space="preserve">the </w:t>
            </w:r>
            <w:r>
              <w:rPr>
                <w:rFonts w:asciiTheme="minorHAnsi" w:eastAsia="Calibri" w:hAnsiTheme="minorHAnsi" w:cstheme="minorHAnsi"/>
                <w:bCs/>
                <w:sz w:val="22"/>
                <w:szCs w:val="22"/>
              </w:rPr>
              <w:t>capacities</w:t>
            </w:r>
            <w:r w:rsidR="008F5CF9">
              <w:rPr>
                <w:rFonts w:asciiTheme="minorHAnsi" w:eastAsia="Calibri" w:hAnsiTheme="minorHAnsi" w:cstheme="minorHAnsi"/>
                <w:bCs/>
                <w:sz w:val="22"/>
                <w:szCs w:val="22"/>
              </w:rPr>
              <w:t xml:space="preserve"> of their organisations and potential for synergies and complementarities</w:t>
            </w:r>
            <w:r w:rsidR="00202B77">
              <w:rPr>
                <w:rFonts w:asciiTheme="minorHAnsi" w:eastAsia="Calibri" w:hAnsiTheme="minorHAnsi" w:cstheme="minorHAnsi"/>
                <w:bCs/>
                <w:sz w:val="22"/>
                <w:szCs w:val="22"/>
              </w:rPr>
              <w:t xml:space="preserve"> among them</w:t>
            </w:r>
            <w:r w:rsidR="008F5CF9">
              <w:rPr>
                <w:rFonts w:asciiTheme="minorHAnsi" w:eastAsia="Calibri" w:hAnsiTheme="minorHAnsi" w:cstheme="minorHAnsi"/>
                <w:bCs/>
                <w:sz w:val="22"/>
                <w:szCs w:val="22"/>
              </w:rPr>
              <w:t xml:space="preserve">. </w:t>
            </w:r>
            <w:r w:rsidR="00573F9D">
              <w:rPr>
                <w:rFonts w:asciiTheme="minorHAnsi" w:eastAsia="Calibri" w:hAnsiTheme="minorHAnsi" w:cstheme="minorHAnsi"/>
                <w:bCs/>
                <w:sz w:val="22"/>
                <w:szCs w:val="22"/>
              </w:rPr>
              <w:t>In year 1, t</w:t>
            </w:r>
            <w:r w:rsidR="00202B77">
              <w:rPr>
                <w:rFonts w:asciiTheme="minorHAnsi" w:eastAsia="Calibri" w:hAnsiTheme="minorHAnsi" w:cstheme="minorHAnsi"/>
                <w:bCs/>
                <w:sz w:val="22"/>
                <w:szCs w:val="22"/>
              </w:rPr>
              <w:t>hey jointly develop an</w:t>
            </w:r>
            <w:r w:rsidR="00EA522D">
              <w:rPr>
                <w:rFonts w:asciiTheme="minorHAnsi" w:eastAsia="Calibri" w:hAnsiTheme="minorHAnsi" w:cstheme="minorHAnsi"/>
                <w:bCs/>
                <w:sz w:val="22"/>
                <w:szCs w:val="22"/>
              </w:rPr>
              <w:t>d agree on an</w:t>
            </w:r>
            <w:r w:rsidR="00202B77">
              <w:rPr>
                <w:rFonts w:asciiTheme="minorHAnsi" w:eastAsia="Calibri" w:hAnsiTheme="minorHAnsi" w:cstheme="minorHAnsi"/>
                <w:bCs/>
                <w:sz w:val="22"/>
                <w:szCs w:val="22"/>
              </w:rPr>
              <w:t xml:space="preserve"> overall strategy for a more effective </w:t>
            </w:r>
            <w:r w:rsidR="00013096">
              <w:rPr>
                <w:rFonts w:asciiTheme="minorHAnsi" w:eastAsia="Calibri" w:hAnsiTheme="minorHAnsi" w:cstheme="minorHAnsi"/>
                <w:bCs/>
                <w:sz w:val="22"/>
                <w:szCs w:val="22"/>
              </w:rPr>
              <w:t xml:space="preserve">and </w:t>
            </w:r>
            <w:r w:rsidR="00BE0E57">
              <w:rPr>
                <w:rFonts w:asciiTheme="minorHAnsi" w:eastAsia="Calibri" w:hAnsiTheme="minorHAnsi" w:cstheme="minorHAnsi"/>
                <w:bCs/>
                <w:sz w:val="22"/>
                <w:szCs w:val="22"/>
              </w:rPr>
              <w:t>coordinated</w:t>
            </w:r>
            <w:r w:rsidR="00013096">
              <w:rPr>
                <w:rFonts w:asciiTheme="minorHAnsi" w:eastAsia="Calibri" w:hAnsiTheme="minorHAnsi" w:cstheme="minorHAnsi"/>
                <w:bCs/>
                <w:sz w:val="22"/>
                <w:szCs w:val="22"/>
              </w:rPr>
              <w:t xml:space="preserve"> </w:t>
            </w:r>
            <w:r w:rsidR="00202B77">
              <w:rPr>
                <w:rFonts w:asciiTheme="minorHAnsi" w:eastAsia="Calibri" w:hAnsiTheme="minorHAnsi" w:cstheme="minorHAnsi"/>
                <w:bCs/>
                <w:sz w:val="22"/>
                <w:szCs w:val="22"/>
              </w:rPr>
              <w:t>response to natural hazards</w:t>
            </w:r>
            <w:r w:rsidR="00A6763F">
              <w:rPr>
                <w:rFonts w:asciiTheme="minorHAnsi" w:eastAsia="Calibri" w:hAnsiTheme="minorHAnsi" w:cstheme="minorHAnsi"/>
                <w:bCs/>
                <w:sz w:val="22"/>
                <w:szCs w:val="22"/>
              </w:rPr>
              <w:t>, defining common objectives, priorities and ways to achieve them</w:t>
            </w:r>
            <w:r w:rsidR="00202B77">
              <w:rPr>
                <w:rFonts w:asciiTheme="minorHAnsi" w:eastAsia="Calibri" w:hAnsiTheme="minorHAnsi" w:cstheme="minorHAnsi"/>
                <w:bCs/>
                <w:sz w:val="22"/>
                <w:szCs w:val="22"/>
              </w:rPr>
              <w:t>.</w:t>
            </w:r>
            <w:r w:rsidR="00EA522D">
              <w:rPr>
                <w:rFonts w:asciiTheme="minorHAnsi" w:eastAsia="Calibri" w:hAnsiTheme="minorHAnsi" w:cstheme="minorHAnsi"/>
                <w:bCs/>
                <w:sz w:val="22"/>
                <w:szCs w:val="22"/>
              </w:rPr>
              <w:t xml:space="preserve"> Based on this strategy,</w:t>
            </w:r>
            <w:r w:rsidR="006B7785">
              <w:rPr>
                <w:rFonts w:asciiTheme="minorHAnsi" w:eastAsia="Calibri" w:hAnsiTheme="minorHAnsi" w:cstheme="minorHAnsi"/>
                <w:bCs/>
                <w:sz w:val="22"/>
                <w:szCs w:val="22"/>
              </w:rPr>
              <w:t xml:space="preserve"> </w:t>
            </w:r>
            <w:r w:rsidR="00573F9D">
              <w:rPr>
                <w:rFonts w:asciiTheme="minorHAnsi" w:eastAsia="Calibri" w:hAnsiTheme="minorHAnsi" w:cstheme="minorHAnsi"/>
                <w:bCs/>
                <w:sz w:val="22"/>
                <w:szCs w:val="22"/>
              </w:rPr>
              <w:t xml:space="preserve">in year 2 </w:t>
            </w:r>
            <w:r w:rsidR="00EA522D">
              <w:rPr>
                <w:rFonts w:asciiTheme="minorHAnsi" w:eastAsia="Calibri" w:hAnsiTheme="minorHAnsi" w:cstheme="minorHAnsi"/>
                <w:bCs/>
                <w:sz w:val="22"/>
                <w:szCs w:val="22"/>
              </w:rPr>
              <w:t xml:space="preserve">they develop a specific </w:t>
            </w:r>
            <w:r w:rsidR="00BE0E57">
              <w:rPr>
                <w:rFonts w:asciiTheme="minorHAnsi" w:eastAsia="Calibri" w:hAnsiTheme="minorHAnsi" w:cstheme="minorHAnsi"/>
                <w:bCs/>
                <w:sz w:val="22"/>
                <w:szCs w:val="22"/>
              </w:rPr>
              <w:t xml:space="preserve">joint </w:t>
            </w:r>
            <w:r w:rsidR="00EA522D">
              <w:rPr>
                <w:rFonts w:asciiTheme="minorHAnsi" w:eastAsia="Calibri" w:hAnsiTheme="minorHAnsi" w:cstheme="minorHAnsi"/>
                <w:bCs/>
                <w:sz w:val="22"/>
                <w:szCs w:val="22"/>
              </w:rPr>
              <w:t>action plan for emergency response to fires, describing the role</w:t>
            </w:r>
            <w:r w:rsidR="00A6763F">
              <w:rPr>
                <w:rFonts w:asciiTheme="minorHAnsi" w:eastAsia="Calibri" w:hAnsiTheme="minorHAnsi" w:cstheme="minorHAnsi"/>
                <w:bCs/>
                <w:sz w:val="22"/>
                <w:szCs w:val="22"/>
              </w:rPr>
              <w:t>s</w:t>
            </w:r>
            <w:r w:rsidR="00EA522D">
              <w:rPr>
                <w:rFonts w:asciiTheme="minorHAnsi" w:eastAsia="Calibri" w:hAnsiTheme="minorHAnsi" w:cstheme="minorHAnsi"/>
                <w:bCs/>
                <w:sz w:val="22"/>
                <w:szCs w:val="22"/>
              </w:rPr>
              <w:t xml:space="preserve"> and responsibilities of each organisation, the steps to be taken and activities to be performed</w:t>
            </w:r>
            <w:r w:rsidR="00A136EC">
              <w:rPr>
                <w:rFonts w:asciiTheme="minorHAnsi" w:eastAsia="Calibri" w:hAnsiTheme="minorHAnsi" w:cstheme="minorHAnsi"/>
                <w:bCs/>
                <w:sz w:val="22"/>
                <w:szCs w:val="22"/>
              </w:rPr>
              <w:t>.</w:t>
            </w:r>
          </w:p>
          <w:p w14:paraId="01396131" w14:textId="2B7A36EC" w:rsidR="00016DF6" w:rsidRPr="009739E1" w:rsidRDefault="00016DF6" w:rsidP="00515AEF">
            <w:pPr>
              <w:pStyle w:val="Paragraphedeliste"/>
              <w:numPr>
                <w:ilvl w:val="0"/>
                <w:numId w:val="10"/>
              </w:numPr>
              <w:spacing w:before="11"/>
              <w:ind w:left="591" w:right="113"/>
              <w:jc w:val="both"/>
              <w:rPr>
                <w:rFonts w:asciiTheme="minorHAnsi" w:eastAsia="Calibri" w:hAnsiTheme="minorHAnsi" w:cstheme="minorHAnsi"/>
                <w:bCs/>
                <w:sz w:val="22"/>
                <w:szCs w:val="22"/>
              </w:rPr>
            </w:pPr>
            <w:r w:rsidRPr="009739E1">
              <w:rPr>
                <w:rFonts w:asciiTheme="minorHAnsi" w:eastAsia="Calibri" w:hAnsiTheme="minorHAnsi" w:cstheme="minorHAnsi"/>
                <w:bCs/>
                <w:sz w:val="22"/>
                <w:szCs w:val="22"/>
              </w:rPr>
              <w:t>In this example, the values are:</w:t>
            </w:r>
          </w:p>
          <w:p w14:paraId="7BF44869" w14:textId="65C44933" w:rsidR="00016DF6" w:rsidRPr="009739E1" w:rsidRDefault="00016DF6" w:rsidP="00515AEF">
            <w:pPr>
              <w:pStyle w:val="Paragraphedeliste"/>
              <w:numPr>
                <w:ilvl w:val="1"/>
                <w:numId w:val="7"/>
              </w:numPr>
              <w:tabs>
                <w:tab w:val="left" w:pos="820"/>
              </w:tabs>
              <w:ind w:left="1077" w:right="170" w:hanging="357"/>
              <w:jc w:val="both"/>
              <w:rPr>
                <w:rFonts w:asciiTheme="minorHAnsi" w:eastAsia="Calibri" w:hAnsiTheme="minorHAnsi" w:cstheme="minorHAnsi"/>
                <w:sz w:val="22"/>
                <w:szCs w:val="22"/>
                <w:lang w:val="en-GB"/>
              </w:rPr>
            </w:pPr>
            <w:r w:rsidRPr="009739E1">
              <w:rPr>
                <w:rFonts w:asciiTheme="minorHAnsi" w:eastAsia="Calibri" w:hAnsiTheme="minorHAnsi" w:cstheme="minorHAnsi"/>
                <w:b/>
                <w:bCs/>
                <w:sz w:val="22"/>
                <w:szCs w:val="22"/>
                <w:lang w:val="en-GB"/>
              </w:rPr>
              <w:t>Baseline</w:t>
            </w:r>
            <w:r w:rsidR="00914410" w:rsidRPr="009739E1">
              <w:rPr>
                <w:rFonts w:asciiTheme="minorHAnsi" w:eastAsia="Calibri" w:hAnsiTheme="minorHAnsi" w:cstheme="minorHAnsi"/>
                <w:sz w:val="22"/>
                <w:szCs w:val="22"/>
                <w:lang w:val="en-GB"/>
              </w:rPr>
              <w:t xml:space="preserve"> (at project start)</w:t>
            </w:r>
            <w:r w:rsidRPr="009739E1">
              <w:rPr>
                <w:rFonts w:asciiTheme="minorHAnsi" w:eastAsia="Calibri" w:hAnsiTheme="minorHAnsi" w:cstheme="minorHAnsi"/>
                <w:sz w:val="22"/>
                <w:szCs w:val="22"/>
                <w:lang w:val="en-GB"/>
              </w:rPr>
              <w:t>: 0</w:t>
            </w:r>
          </w:p>
          <w:p w14:paraId="2BD79D2E" w14:textId="327742B0" w:rsidR="00182FB7" w:rsidRPr="002F4381" w:rsidRDefault="000E0A57" w:rsidP="00BD20FB">
            <w:pPr>
              <w:pStyle w:val="Paragraphedeliste"/>
              <w:numPr>
                <w:ilvl w:val="1"/>
                <w:numId w:val="7"/>
              </w:numPr>
              <w:tabs>
                <w:tab w:val="left" w:pos="820"/>
              </w:tabs>
              <w:ind w:left="1077" w:right="170" w:hanging="357"/>
              <w:jc w:val="both"/>
              <w:rPr>
                <w:rFonts w:asciiTheme="minorHAnsi" w:eastAsia="Calibri" w:hAnsiTheme="minorHAnsi" w:cstheme="minorHAnsi"/>
                <w:sz w:val="22"/>
                <w:szCs w:val="22"/>
                <w:lang w:val="en-GB"/>
              </w:rPr>
            </w:pPr>
            <w:r w:rsidRPr="009739E1">
              <w:rPr>
                <w:rFonts w:asciiTheme="minorHAnsi" w:eastAsia="Calibri" w:hAnsiTheme="minorHAnsi" w:cstheme="minorHAnsi"/>
                <w:b/>
                <w:bCs/>
                <w:sz w:val="22"/>
                <w:szCs w:val="22"/>
                <w:lang w:val="en-GB"/>
              </w:rPr>
              <w:lastRenderedPageBreak/>
              <w:t>Target</w:t>
            </w:r>
            <w:r w:rsidRPr="009739E1">
              <w:rPr>
                <w:rFonts w:asciiTheme="minorHAnsi" w:eastAsia="Calibri" w:hAnsiTheme="minorHAnsi" w:cstheme="minorHAnsi"/>
                <w:sz w:val="22"/>
                <w:szCs w:val="22"/>
                <w:lang w:val="en-GB"/>
              </w:rPr>
              <w:t xml:space="preserve"> (after 24 months): </w:t>
            </w:r>
            <w:r w:rsidR="000C2A21">
              <w:rPr>
                <w:rFonts w:asciiTheme="minorHAnsi" w:eastAsia="Calibri" w:hAnsiTheme="minorHAnsi" w:cstheme="minorHAnsi"/>
                <w:sz w:val="22"/>
                <w:szCs w:val="22"/>
                <w:lang w:val="en-GB"/>
              </w:rPr>
              <w:t>2</w:t>
            </w:r>
            <w:r w:rsidR="00360FBA">
              <w:rPr>
                <w:rFonts w:asciiTheme="minorHAnsi" w:eastAsia="Calibri" w:hAnsiTheme="minorHAnsi" w:cstheme="minorHAnsi"/>
                <w:sz w:val="22"/>
                <w:szCs w:val="22"/>
                <w:lang w:val="en-GB"/>
              </w:rPr>
              <w:t xml:space="preserve"> </w:t>
            </w:r>
            <w:r w:rsidR="000C2A21">
              <w:rPr>
                <w:rFonts w:asciiTheme="minorHAnsi" w:eastAsia="Calibri" w:hAnsiTheme="minorHAnsi" w:cstheme="minorHAnsi"/>
                <w:sz w:val="22"/>
                <w:szCs w:val="22"/>
                <w:lang w:val="en-GB"/>
              </w:rPr>
              <w:t>strategies/action plans jointly developed</w:t>
            </w:r>
          </w:p>
          <w:p w14:paraId="3835BA86" w14:textId="6E171DDD" w:rsidR="002F4381" w:rsidRPr="00BD20FB" w:rsidRDefault="002F4381" w:rsidP="00BD20FB">
            <w:pPr>
              <w:pStyle w:val="Paragraphedeliste"/>
              <w:numPr>
                <w:ilvl w:val="1"/>
                <w:numId w:val="7"/>
              </w:numPr>
              <w:tabs>
                <w:tab w:val="left" w:pos="820"/>
              </w:tabs>
              <w:ind w:left="1077" w:right="170" w:hanging="357"/>
              <w:jc w:val="both"/>
              <w:rPr>
                <w:rFonts w:asciiTheme="minorHAnsi" w:eastAsia="Calibri" w:hAnsiTheme="minorHAnsi" w:cstheme="minorHAnsi"/>
                <w:sz w:val="22"/>
                <w:szCs w:val="22"/>
                <w:lang w:val="en-GB"/>
              </w:rPr>
            </w:pPr>
            <w:r>
              <w:rPr>
                <w:rFonts w:asciiTheme="minorHAnsi" w:eastAsia="Calibri" w:hAnsiTheme="minorHAnsi" w:cstheme="minorHAnsi"/>
                <w:b/>
                <w:bCs/>
                <w:sz w:val="22"/>
                <w:szCs w:val="22"/>
                <w:lang w:val="en-GB"/>
              </w:rPr>
              <w:t xml:space="preserve">Current value </w:t>
            </w:r>
            <w:r w:rsidRPr="002F4381">
              <w:rPr>
                <w:rFonts w:asciiTheme="minorHAnsi" w:eastAsia="Calibri" w:hAnsiTheme="minorHAnsi" w:cstheme="minorHAnsi"/>
                <w:sz w:val="22"/>
                <w:szCs w:val="22"/>
                <w:lang w:val="en-GB"/>
              </w:rPr>
              <w:t xml:space="preserve">(after 12 months): </w:t>
            </w:r>
            <w:r w:rsidR="000C2A21">
              <w:rPr>
                <w:rFonts w:asciiTheme="minorHAnsi" w:eastAsia="Calibri" w:hAnsiTheme="minorHAnsi" w:cstheme="minorHAnsi"/>
                <w:sz w:val="22"/>
                <w:szCs w:val="22"/>
                <w:lang w:val="en-GB"/>
              </w:rPr>
              <w:t>1</w:t>
            </w:r>
            <w:r w:rsidRPr="002F4381">
              <w:rPr>
                <w:rFonts w:asciiTheme="minorHAnsi" w:eastAsia="Calibri" w:hAnsiTheme="minorHAnsi" w:cstheme="minorHAnsi"/>
                <w:sz w:val="22"/>
                <w:szCs w:val="22"/>
                <w:lang w:val="en-GB"/>
              </w:rPr>
              <w:t xml:space="preserve"> </w:t>
            </w:r>
            <w:r w:rsidR="000C2A21">
              <w:rPr>
                <w:rFonts w:asciiTheme="minorHAnsi" w:eastAsia="Calibri" w:hAnsiTheme="minorHAnsi" w:cstheme="minorHAnsi"/>
                <w:sz w:val="22"/>
                <w:szCs w:val="22"/>
                <w:lang w:val="en-GB"/>
              </w:rPr>
              <w:t>strategy/action plan jointly developed (</w:t>
            </w:r>
            <w:r w:rsidR="000C2A21" w:rsidRPr="000C2A21">
              <w:rPr>
                <w:rFonts w:asciiTheme="minorHAnsi" w:eastAsia="Calibri" w:hAnsiTheme="minorHAnsi" w:cstheme="minorHAnsi"/>
                <w:i/>
                <w:iCs/>
                <w:sz w:val="22"/>
                <w:szCs w:val="22"/>
                <w:lang w:val="en-GB"/>
              </w:rPr>
              <w:t xml:space="preserve">the overall strategy on </w:t>
            </w:r>
            <w:r w:rsidR="000C2A21">
              <w:rPr>
                <w:rFonts w:asciiTheme="minorHAnsi" w:eastAsia="Calibri" w:hAnsiTheme="minorHAnsi" w:cstheme="minorHAnsi"/>
                <w:i/>
                <w:iCs/>
                <w:sz w:val="22"/>
                <w:szCs w:val="22"/>
                <w:lang w:val="en-GB"/>
              </w:rPr>
              <w:t xml:space="preserve">effective and </w:t>
            </w:r>
            <w:r w:rsidR="000C2A21" w:rsidRPr="000C2A21">
              <w:rPr>
                <w:rFonts w:asciiTheme="minorHAnsi" w:eastAsia="Calibri" w:hAnsiTheme="minorHAnsi" w:cstheme="minorHAnsi"/>
                <w:i/>
                <w:iCs/>
                <w:sz w:val="22"/>
                <w:szCs w:val="22"/>
                <w:lang w:val="en-GB"/>
              </w:rPr>
              <w:t>coordinated response</w:t>
            </w:r>
            <w:r w:rsidR="000C2A21">
              <w:rPr>
                <w:rFonts w:asciiTheme="minorHAnsi" w:eastAsia="Calibri" w:hAnsiTheme="minorHAnsi" w:cstheme="minorHAnsi"/>
                <w:sz w:val="22"/>
                <w:szCs w:val="22"/>
                <w:lang w:val="en-GB"/>
              </w:rPr>
              <w:t>)</w:t>
            </w:r>
          </w:p>
          <w:p w14:paraId="193B722C" w14:textId="23DA82FC" w:rsidR="00284589" w:rsidRPr="000C2A21" w:rsidRDefault="000E0A57" w:rsidP="000C2A21">
            <w:pPr>
              <w:pStyle w:val="Paragraphedeliste"/>
              <w:numPr>
                <w:ilvl w:val="1"/>
                <w:numId w:val="7"/>
              </w:numPr>
              <w:tabs>
                <w:tab w:val="left" w:pos="820"/>
              </w:tabs>
              <w:ind w:left="1077" w:right="170" w:hanging="357"/>
              <w:jc w:val="both"/>
              <w:rPr>
                <w:rFonts w:asciiTheme="minorHAnsi" w:eastAsia="Calibri" w:hAnsiTheme="minorHAnsi" w:cstheme="minorHAnsi"/>
                <w:sz w:val="22"/>
                <w:szCs w:val="22"/>
                <w:lang w:val="en-GB"/>
              </w:rPr>
            </w:pPr>
            <w:r w:rsidRPr="009739E1">
              <w:rPr>
                <w:rFonts w:asciiTheme="minorHAnsi" w:eastAsia="Calibri" w:hAnsiTheme="minorHAnsi" w:cstheme="minorHAnsi"/>
                <w:b/>
                <w:bCs/>
                <w:sz w:val="22"/>
                <w:szCs w:val="22"/>
                <w:lang w:val="en-GB"/>
              </w:rPr>
              <w:t>Final value</w:t>
            </w:r>
            <w:r w:rsidR="00914410" w:rsidRPr="00515AEF">
              <w:rPr>
                <w:rFonts w:asciiTheme="minorHAnsi" w:eastAsia="Calibri" w:hAnsiTheme="minorHAnsi" w:cstheme="minorHAnsi"/>
                <w:sz w:val="22"/>
                <w:szCs w:val="22"/>
                <w:lang w:val="en-GB"/>
              </w:rPr>
              <w:t xml:space="preserve"> (after 24 months): </w:t>
            </w:r>
            <w:r w:rsidR="00D11467">
              <w:rPr>
                <w:rFonts w:asciiTheme="minorHAnsi" w:eastAsia="Calibri" w:hAnsiTheme="minorHAnsi" w:cstheme="minorHAnsi"/>
                <w:sz w:val="22"/>
                <w:szCs w:val="22"/>
                <w:lang w:val="en-GB"/>
              </w:rPr>
              <w:t>2</w:t>
            </w:r>
            <w:r w:rsidR="00236A5A">
              <w:rPr>
                <w:rFonts w:asciiTheme="minorHAnsi" w:eastAsia="Calibri" w:hAnsiTheme="minorHAnsi" w:cstheme="minorHAnsi"/>
                <w:sz w:val="22"/>
                <w:szCs w:val="22"/>
                <w:lang w:val="en-GB"/>
              </w:rPr>
              <w:t xml:space="preserve"> </w:t>
            </w:r>
            <w:r w:rsidR="000C2A21">
              <w:rPr>
                <w:rFonts w:asciiTheme="minorHAnsi" w:eastAsia="Calibri" w:hAnsiTheme="minorHAnsi" w:cstheme="minorHAnsi"/>
                <w:sz w:val="22"/>
                <w:szCs w:val="22"/>
                <w:lang w:val="en-GB"/>
              </w:rPr>
              <w:t>strategies/action plans jointly developed (</w:t>
            </w:r>
            <w:r w:rsidR="000C2A21" w:rsidRPr="000C2A21">
              <w:rPr>
                <w:rFonts w:asciiTheme="minorHAnsi" w:eastAsia="Calibri" w:hAnsiTheme="minorHAnsi" w:cstheme="minorHAnsi"/>
                <w:i/>
                <w:iCs/>
                <w:sz w:val="22"/>
                <w:szCs w:val="22"/>
                <w:lang w:val="en-GB"/>
              </w:rPr>
              <w:t xml:space="preserve">the overall strategy on </w:t>
            </w:r>
            <w:r w:rsidR="000C2A21">
              <w:rPr>
                <w:rFonts w:asciiTheme="minorHAnsi" w:eastAsia="Calibri" w:hAnsiTheme="minorHAnsi" w:cstheme="minorHAnsi"/>
                <w:i/>
                <w:iCs/>
                <w:sz w:val="22"/>
                <w:szCs w:val="22"/>
                <w:lang w:val="en-GB"/>
              </w:rPr>
              <w:t xml:space="preserve">effective and </w:t>
            </w:r>
            <w:r w:rsidR="000C2A21" w:rsidRPr="000C2A21">
              <w:rPr>
                <w:rFonts w:asciiTheme="minorHAnsi" w:eastAsia="Calibri" w:hAnsiTheme="minorHAnsi" w:cstheme="minorHAnsi"/>
                <w:i/>
                <w:iCs/>
                <w:sz w:val="22"/>
                <w:szCs w:val="22"/>
                <w:lang w:val="en-GB"/>
              </w:rPr>
              <w:t>coordinated response</w:t>
            </w:r>
            <w:r w:rsidR="000C2A21">
              <w:rPr>
                <w:rFonts w:asciiTheme="minorHAnsi" w:eastAsia="Calibri" w:hAnsiTheme="minorHAnsi" w:cstheme="minorHAnsi"/>
                <w:i/>
                <w:iCs/>
                <w:sz w:val="22"/>
                <w:szCs w:val="22"/>
                <w:lang w:val="en-GB"/>
              </w:rPr>
              <w:t xml:space="preserve"> + the action plan on emergency response to fires</w:t>
            </w:r>
            <w:r w:rsidR="000C2A21">
              <w:rPr>
                <w:rFonts w:asciiTheme="minorHAnsi" w:eastAsia="Calibri" w:hAnsiTheme="minorHAnsi" w:cstheme="minorHAnsi"/>
                <w:sz w:val="22"/>
                <w:szCs w:val="22"/>
                <w:lang w:val="en-GB"/>
              </w:rPr>
              <w:t>)</w:t>
            </w:r>
          </w:p>
        </w:tc>
      </w:tr>
      <w:tr w:rsidR="002A5A2E" w:rsidRPr="00F11A07" w14:paraId="23A01956" w14:textId="77777777" w:rsidTr="002A5A2E">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B0F0"/>
          </w:tcPr>
          <w:p w14:paraId="40875A4D" w14:textId="7B47F5E8" w:rsidR="002A5A2E" w:rsidRPr="00F11A07" w:rsidRDefault="002A5A2E" w:rsidP="002A5A2E">
            <w:pPr>
              <w:spacing w:before="11" w:after="60"/>
              <w:ind w:left="227" w:right="170"/>
              <w:jc w:val="both"/>
              <w:rPr>
                <w:color w:val="FFFFFF"/>
                <w:lang w:val="en-GB"/>
              </w:rPr>
            </w:pPr>
            <w:r w:rsidRPr="00F11A07">
              <w:rPr>
                <w:b/>
                <w:bCs/>
                <w:color w:val="FFFFFF"/>
                <w:lang w:val="en-GB"/>
              </w:rPr>
              <w:lastRenderedPageBreak/>
              <w:t xml:space="preserve">9. Is it used by another organisation or in the framework of international initiatives, conventions, etc? If so, which? </w:t>
            </w:r>
          </w:p>
        </w:tc>
      </w:tr>
      <w:tr w:rsidR="002A5A2E" w:rsidRPr="00F11A07" w14:paraId="13BDAE0D" w14:textId="77777777" w:rsidTr="002A5A2E">
        <w:trPr>
          <w:trHeight w:val="20"/>
        </w:trPr>
        <w:tc>
          <w:tcPr>
            <w:tcW w:w="9121" w:type="dxa"/>
            <w:tcBorders>
              <w:top w:val="single" w:sz="5" w:space="0" w:color="000000"/>
              <w:left w:val="single" w:sz="5" w:space="0" w:color="000000"/>
              <w:bottom w:val="single" w:sz="5" w:space="0" w:color="000000"/>
              <w:right w:val="single" w:sz="5" w:space="0" w:color="000000"/>
            </w:tcBorders>
          </w:tcPr>
          <w:p w14:paraId="4FF8B828" w14:textId="3EE02360" w:rsidR="002A5A2E" w:rsidRPr="00F11A07" w:rsidRDefault="006E16FE" w:rsidP="00DA7125">
            <w:pPr>
              <w:spacing w:before="11" w:after="60"/>
              <w:ind w:left="227" w:right="170"/>
              <w:jc w:val="both"/>
              <w:rPr>
                <w:rFonts w:ascii="Calibri" w:eastAsia="Calibri" w:hAnsi="Calibri" w:cs="Calibri"/>
                <w:lang w:val="en-GB"/>
              </w:rPr>
            </w:pPr>
            <w:r w:rsidRPr="00F11A07">
              <w:rPr>
                <w:rFonts w:ascii="Calibri" w:eastAsia="Calibri" w:hAnsi="Calibri" w:cs="Calibri"/>
                <w:lang w:val="en-GB"/>
              </w:rPr>
              <w:t xml:space="preserve">N/A </w:t>
            </w:r>
          </w:p>
        </w:tc>
      </w:tr>
      <w:tr w:rsidR="002A5A2E" w:rsidRPr="00F11A07" w14:paraId="1B5D3709" w14:textId="77777777" w:rsidTr="002A5A2E">
        <w:trPr>
          <w:trHeight w:val="20"/>
        </w:trPr>
        <w:tc>
          <w:tcPr>
            <w:tcW w:w="9121" w:type="dxa"/>
            <w:tcBorders>
              <w:top w:val="single" w:sz="5" w:space="0" w:color="000000"/>
              <w:left w:val="single" w:sz="5" w:space="0" w:color="000000"/>
              <w:bottom w:val="single" w:sz="5" w:space="0" w:color="000000"/>
              <w:right w:val="single" w:sz="5" w:space="0" w:color="000000"/>
            </w:tcBorders>
            <w:shd w:val="clear" w:color="auto" w:fill="00B0F0"/>
          </w:tcPr>
          <w:p w14:paraId="093D9A83" w14:textId="0DF47A0B" w:rsidR="002A5A2E" w:rsidRPr="00F11A07" w:rsidRDefault="002A5A2E" w:rsidP="002A5A2E">
            <w:pPr>
              <w:spacing w:before="11" w:after="60"/>
              <w:ind w:left="227" w:right="170"/>
              <w:jc w:val="both"/>
              <w:rPr>
                <w:rFonts w:ascii="Calibri" w:eastAsia="Calibri" w:hAnsi="Calibri" w:cs="Calibri"/>
                <w:b/>
                <w:color w:val="FFFFFF"/>
                <w:spacing w:val="-1"/>
                <w:sz w:val="21"/>
                <w:szCs w:val="21"/>
                <w:lang w:val="en-GB"/>
              </w:rPr>
            </w:pPr>
            <w:r w:rsidRPr="00F11A07">
              <w:rPr>
                <w:b/>
                <w:bCs/>
                <w:color w:val="FFFFFF"/>
                <w:lang w:val="en-GB"/>
              </w:rPr>
              <w:t xml:space="preserve">10. Other issues </w:t>
            </w:r>
          </w:p>
        </w:tc>
      </w:tr>
      <w:tr w:rsidR="002A5A2E" w:rsidRPr="00F11A07" w14:paraId="5B5B619E" w14:textId="77777777" w:rsidTr="002A5A2E">
        <w:trPr>
          <w:trHeight w:val="20"/>
        </w:trPr>
        <w:tc>
          <w:tcPr>
            <w:tcW w:w="9121" w:type="dxa"/>
            <w:tcBorders>
              <w:top w:val="single" w:sz="5" w:space="0" w:color="000000"/>
              <w:left w:val="single" w:sz="5" w:space="0" w:color="000000"/>
              <w:bottom w:val="single" w:sz="5" w:space="0" w:color="000000"/>
              <w:right w:val="single" w:sz="5" w:space="0" w:color="000000"/>
            </w:tcBorders>
          </w:tcPr>
          <w:p w14:paraId="62150486" w14:textId="37B9E7CD" w:rsidR="002A5A2E" w:rsidRPr="00F11A07" w:rsidRDefault="006E16FE" w:rsidP="00DA7125">
            <w:pPr>
              <w:spacing w:before="11" w:after="60"/>
              <w:ind w:left="227" w:right="170"/>
              <w:jc w:val="both"/>
              <w:rPr>
                <w:rFonts w:ascii="Calibri" w:eastAsia="Calibri" w:hAnsi="Calibri" w:cs="Calibri"/>
                <w:lang w:val="en-GB"/>
              </w:rPr>
            </w:pPr>
            <w:r w:rsidRPr="00F11A07">
              <w:rPr>
                <w:rFonts w:ascii="Calibri" w:eastAsia="Calibri" w:hAnsi="Calibri" w:cs="Calibri"/>
                <w:lang w:val="en-GB"/>
              </w:rPr>
              <w:t xml:space="preserve">None </w:t>
            </w:r>
          </w:p>
        </w:tc>
      </w:tr>
    </w:tbl>
    <w:p w14:paraId="3C3D4DD6" w14:textId="77777777" w:rsidR="006258A6" w:rsidRPr="00F11A07" w:rsidRDefault="006258A6">
      <w:pPr>
        <w:rPr>
          <w:lang w:val="en-GB"/>
        </w:rPr>
      </w:pPr>
    </w:p>
    <w:sectPr w:rsidR="006258A6" w:rsidRPr="00F11A07">
      <w:headerReference w:type="even" r:id="rId7"/>
      <w:headerReference w:type="default" r:id="rId8"/>
      <w:head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62BF4" w14:textId="77777777" w:rsidR="00B51D60" w:rsidRDefault="00B51D60" w:rsidP="00660254">
      <w:pPr>
        <w:spacing w:after="0" w:line="240" w:lineRule="auto"/>
      </w:pPr>
      <w:r>
        <w:separator/>
      </w:r>
    </w:p>
  </w:endnote>
  <w:endnote w:type="continuationSeparator" w:id="0">
    <w:p w14:paraId="142041FF" w14:textId="77777777" w:rsidR="00B51D60" w:rsidRDefault="00B51D60" w:rsidP="0066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7FFF5" w14:textId="77777777" w:rsidR="00B51D60" w:rsidRDefault="00B51D60" w:rsidP="00660254">
      <w:pPr>
        <w:spacing w:after="0" w:line="240" w:lineRule="auto"/>
      </w:pPr>
      <w:r>
        <w:separator/>
      </w:r>
    </w:p>
  </w:footnote>
  <w:footnote w:type="continuationSeparator" w:id="0">
    <w:p w14:paraId="21F5A50D" w14:textId="77777777" w:rsidR="00B51D60" w:rsidRDefault="00B51D60" w:rsidP="00660254">
      <w:pPr>
        <w:spacing w:after="0" w:line="240" w:lineRule="auto"/>
      </w:pPr>
      <w:r>
        <w:continuationSeparator/>
      </w:r>
    </w:p>
  </w:footnote>
  <w:footnote w:id="1">
    <w:p w14:paraId="66685AF8" w14:textId="77777777" w:rsidR="0018502B" w:rsidRPr="004130B1" w:rsidRDefault="0018502B" w:rsidP="0018502B">
      <w:pPr>
        <w:pStyle w:val="Notedebasdepage"/>
        <w:rPr>
          <w:sz w:val="18"/>
          <w:szCs w:val="18"/>
        </w:rPr>
      </w:pPr>
      <w:r w:rsidRPr="004130B1">
        <w:rPr>
          <w:rStyle w:val="Appelnotedebasdep"/>
          <w:sz w:val="18"/>
          <w:szCs w:val="18"/>
        </w:rPr>
        <w:footnoteRef/>
      </w:r>
      <w:r w:rsidRPr="004130B1">
        <w:rPr>
          <w:sz w:val="18"/>
          <w:szCs w:val="18"/>
        </w:rPr>
        <w:t xml:space="preserve"> Annex to Commission implementing decision C(2021) 8914 final</w:t>
      </w:r>
    </w:p>
  </w:footnote>
  <w:footnote w:id="2">
    <w:p w14:paraId="4C76C9CA" w14:textId="77777777" w:rsidR="0018502B" w:rsidRPr="004130B1" w:rsidRDefault="0018502B" w:rsidP="0018502B">
      <w:pPr>
        <w:pStyle w:val="Notedebasdepage"/>
        <w:rPr>
          <w:sz w:val="18"/>
          <w:szCs w:val="18"/>
        </w:rPr>
      </w:pPr>
      <w:r w:rsidRPr="004130B1">
        <w:rPr>
          <w:rStyle w:val="Appelnotedebasdep"/>
          <w:sz w:val="18"/>
          <w:szCs w:val="18"/>
        </w:rPr>
        <w:footnoteRef/>
      </w:r>
      <w:r w:rsidRPr="004130B1">
        <w:rPr>
          <w:sz w:val="18"/>
          <w:szCs w:val="18"/>
        </w:rPr>
        <w:t xml:space="preserve"> As defined in Regulation (EU) 2021/1058 </w:t>
      </w:r>
    </w:p>
  </w:footnote>
  <w:footnote w:id="3">
    <w:p w14:paraId="0428213B" w14:textId="77777777" w:rsidR="0018502B" w:rsidRPr="004130B1" w:rsidRDefault="0018502B" w:rsidP="0018502B">
      <w:pPr>
        <w:pStyle w:val="Notedebasdepage"/>
        <w:spacing w:line="216" w:lineRule="auto"/>
        <w:rPr>
          <w:sz w:val="18"/>
          <w:szCs w:val="18"/>
        </w:rPr>
      </w:pPr>
      <w:r w:rsidRPr="004130B1">
        <w:rPr>
          <w:rStyle w:val="Appelnotedebasdep"/>
          <w:sz w:val="18"/>
          <w:szCs w:val="18"/>
        </w:rPr>
        <w:footnoteRef/>
      </w:r>
      <w:r w:rsidRPr="004130B1">
        <w:rPr>
          <w:sz w:val="18"/>
          <w:szCs w:val="18"/>
        </w:rPr>
        <w:t xml:space="preserve"> Commission Staff working document on </w:t>
      </w:r>
      <w:r w:rsidRPr="004130B1">
        <w:rPr>
          <w:i/>
          <w:iCs/>
          <w:sz w:val="18"/>
          <w:szCs w:val="18"/>
        </w:rPr>
        <w:t>Performance, monitoring and evaluation of the ERDF, the Cohesion Fund and the Just Transition Fund in 2021-2027</w:t>
      </w:r>
      <w:r w:rsidRPr="004130B1">
        <w:rPr>
          <w:sz w:val="18"/>
          <w:szCs w:val="18"/>
        </w:rPr>
        <w:t xml:space="preserve"> SWD(2021) 198 final</w:t>
      </w:r>
    </w:p>
  </w:footnote>
  <w:footnote w:id="4">
    <w:p w14:paraId="562F268A" w14:textId="77777777" w:rsidR="00EC58D5" w:rsidRPr="004130B1" w:rsidRDefault="00EC58D5" w:rsidP="00EC58D5">
      <w:pPr>
        <w:pStyle w:val="Notedebasdepage"/>
        <w:rPr>
          <w:sz w:val="18"/>
          <w:szCs w:val="18"/>
        </w:rPr>
      </w:pPr>
      <w:r w:rsidRPr="004130B1">
        <w:rPr>
          <w:rStyle w:val="Appelnotedebasdep"/>
          <w:sz w:val="18"/>
          <w:szCs w:val="18"/>
        </w:rPr>
        <w:footnoteRef/>
      </w:r>
      <w:r w:rsidRPr="004130B1">
        <w:rPr>
          <w:sz w:val="18"/>
          <w:szCs w:val="18"/>
        </w:rPr>
        <w:t xml:space="preserve"> As provided for in Staff working document SWD (2021) 198 final</w:t>
      </w:r>
    </w:p>
  </w:footnote>
  <w:footnote w:id="5">
    <w:p w14:paraId="69E65585" w14:textId="77777777" w:rsidR="00EC58D5" w:rsidRPr="001433D7" w:rsidRDefault="00EC58D5" w:rsidP="00EC58D5">
      <w:pPr>
        <w:pStyle w:val="Notedebasdepage"/>
      </w:pPr>
      <w:r w:rsidRPr="004130B1">
        <w:rPr>
          <w:rStyle w:val="Appelnotedebasdep"/>
          <w:sz w:val="18"/>
          <w:szCs w:val="18"/>
        </w:rPr>
        <w:footnoteRef/>
      </w:r>
      <w:r w:rsidRPr="004130B1">
        <w:rPr>
          <w:sz w:val="18"/>
          <w:szCs w:val="18"/>
        </w:rPr>
        <w:t xml:space="preserve"> https://cohesiondata.ec.europa.eu/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C7383" w14:textId="4BC8DE95" w:rsidR="003C29F7" w:rsidRDefault="00B51D60">
    <w:pPr>
      <w:pStyle w:val="En-tte"/>
    </w:pPr>
    <w:r>
      <w:rPr>
        <w:noProof/>
      </w:rPr>
      <w:pict w14:anchorId="740FD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82478" o:spid="_x0000_s2051" type="#_x0000_t136" alt="" style="position:absolute;margin-left:0;margin-top:0;width:509.55pt;height:169.8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19660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1D65D" w14:textId="2AF5357D" w:rsidR="00660254" w:rsidRPr="00660254" w:rsidRDefault="00B51D60" w:rsidP="00660254">
    <w:pPr>
      <w:pStyle w:val="En-tte"/>
      <w:tabs>
        <w:tab w:val="clear" w:pos="4819"/>
        <w:tab w:val="clear" w:pos="9638"/>
        <w:tab w:val="right" w:pos="9498"/>
      </w:tabs>
      <w:rPr>
        <w:lang w:val="de-DE"/>
      </w:rPr>
    </w:pPr>
    <w:r>
      <w:rPr>
        <w:noProof/>
      </w:rPr>
      <w:pict w14:anchorId="558E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82479" o:spid="_x0000_s2050" type="#_x0000_t136" alt="" style="position:absolute;margin-left:0;margin-top:0;width:509.55pt;height:169.85pt;rotation:315;z-index:-251646976;mso-wrap-edited:f;mso-width-percent:0;mso-height-percent:0;mso-position-horizontal:center;mso-position-horizontal-relative:margin;mso-position-vertical:center;mso-position-vertical-relative:margin;mso-width-percent:0;mso-height-percent:0" o:allowincell="f" fillcolor="#d8d8d8 [2732]" stroked="f">
          <v:fill opacity="19660f"/>
          <v:textpath style="font-family:&quot;Calibri&quot;;font-size:1pt" string="DRAFT"/>
          <w10:wrap anchorx="margin" anchory="margin"/>
        </v:shape>
      </w:pict>
    </w:r>
    <w:r w:rsidR="00660254" w:rsidRPr="00660254">
      <w:rPr>
        <w:sz w:val="18"/>
        <w:szCs w:val="18"/>
        <w:lang w:val="de-DE"/>
      </w:rPr>
      <w:t xml:space="preserve">Version - </w:t>
    </w:r>
    <w:r w:rsidR="00891CB4">
      <w:rPr>
        <w:sz w:val="18"/>
        <w:szCs w:val="18"/>
        <w:lang w:val="de-DE"/>
      </w:rPr>
      <w:t>03</w:t>
    </w:r>
    <w:r w:rsidR="00B455D9">
      <w:rPr>
        <w:sz w:val="18"/>
        <w:szCs w:val="18"/>
        <w:lang w:val="de-DE"/>
      </w:rPr>
      <w:t>/0</w:t>
    </w:r>
    <w:r w:rsidR="00891CB4">
      <w:rPr>
        <w:sz w:val="18"/>
        <w:szCs w:val="18"/>
        <w:lang w:val="de-DE"/>
      </w:rPr>
      <w:t>4</w:t>
    </w:r>
    <w:r w:rsidR="00B455D9">
      <w:rPr>
        <w:sz w:val="18"/>
        <w:szCs w:val="18"/>
        <w:lang w:val="de-DE"/>
      </w:rPr>
      <w:t>/2023</w:t>
    </w:r>
    <w:r w:rsidR="00660254">
      <w:rPr>
        <w:sz w:val="18"/>
        <w:szCs w:val="18"/>
        <w:lang w:val="de-DE"/>
      </w:rPr>
      <w:tab/>
    </w:r>
    <w:r w:rsidR="00660254" w:rsidRPr="00660254">
      <w:rPr>
        <w:sz w:val="18"/>
        <w:szCs w:val="18"/>
        <w:lang w:val="de-DE"/>
      </w:rPr>
      <w:t xml:space="preserve">IPA III RF </w:t>
    </w:r>
    <w:proofErr w:type="spellStart"/>
    <w:r w:rsidR="00660254" w:rsidRPr="00660254">
      <w:rPr>
        <w:sz w:val="18"/>
        <w:szCs w:val="18"/>
        <w:lang w:val="de-DE"/>
      </w:rPr>
      <w:t>Ind</w:t>
    </w:r>
    <w:proofErr w:type="spellEnd"/>
    <w:r w:rsidR="00660254" w:rsidRPr="00660254">
      <w:rPr>
        <w:sz w:val="18"/>
        <w:szCs w:val="18"/>
        <w:lang w:val="de-DE"/>
      </w:rPr>
      <w:t>.</w:t>
    </w:r>
    <w:r w:rsidR="00B455D9">
      <w:rPr>
        <w:sz w:val="18"/>
        <w:szCs w:val="18"/>
        <w:lang w:val="de-DE"/>
      </w:rPr>
      <w:t xml:space="preserve"> </w:t>
    </w:r>
    <w:r w:rsidR="008C415F">
      <w:rPr>
        <w:sz w:val="18"/>
        <w:szCs w:val="18"/>
        <w:lang w:val="de-DE"/>
      </w:rPr>
      <w:t>5.0.1.</w:t>
    </w:r>
    <w:r w:rsidR="0018502B">
      <w:rPr>
        <w:sz w:val="18"/>
        <w:szCs w:val="18"/>
        <w:lang w:val="de-DE"/>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B0AA" w14:textId="19814658" w:rsidR="003C29F7" w:rsidRDefault="00B51D60">
    <w:pPr>
      <w:pStyle w:val="En-tte"/>
    </w:pPr>
    <w:r>
      <w:rPr>
        <w:noProof/>
      </w:rPr>
      <w:pict w14:anchorId="0F746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82477" o:spid="_x0000_s2049" type="#_x0000_t136" alt="" style="position:absolute;margin-left:0;margin-top:0;width:509.55pt;height:169.8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19660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7640"/>
    <w:multiLevelType w:val="hybridMultilevel"/>
    <w:tmpl w:val="7CDC745C"/>
    <w:lvl w:ilvl="0" w:tplc="2DA2EDC4">
      <w:numFmt w:val="bullet"/>
      <w:lvlText w:val="-"/>
      <w:lvlJc w:val="left"/>
      <w:pPr>
        <w:ind w:left="947" w:hanging="360"/>
      </w:pPr>
      <w:rPr>
        <w:rFonts w:ascii="Calibri" w:eastAsiaTheme="minorHAnsi" w:hAnsi="Calibri" w:cstheme="minorBidi" w:hint="default"/>
      </w:rPr>
    </w:lvl>
    <w:lvl w:ilvl="1" w:tplc="18090003" w:tentative="1">
      <w:start w:val="1"/>
      <w:numFmt w:val="bullet"/>
      <w:lvlText w:val="o"/>
      <w:lvlJc w:val="left"/>
      <w:pPr>
        <w:ind w:left="1667" w:hanging="360"/>
      </w:pPr>
      <w:rPr>
        <w:rFonts w:ascii="Courier New" w:hAnsi="Courier New" w:cs="Courier New" w:hint="default"/>
      </w:rPr>
    </w:lvl>
    <w:lvl w:ilvl="2" w:tplc="18090005" w:tentative="1">
      <w:start w:val="1"/>
      <w:numFmt w:val="bullet"/>
      <w:lvlText w:val=""/>
      <w:lvlJc w:val="left"/>
      <w:pPr>
        <w:ind w:left="2387" w:hanging="360"/>
      </w:pPr>
      <w:rPr>
        <w:rFonts w:ascii="Wingdings" w:hAnsi="Wingdings" w:hint="default"/>
      </w:rPr>
    </w:lvl>
    <w:lvl w:ilvl="3" w:tplc="18090001" w:tentative="1">
      <w:start w:val="1"/>
      <w:numFmt w:val="bullet"/>
      <w:lvlText w:val=""/>
      <w:lvlJc w:val="left"/>
      <w:pPr>
        <w:ind w:left="3107" w:hanging="360"/>
      </w:pPr>
      <w:rPr>
        <w:rFonts w:ascii="Symbol" w:hAnsi="Symbol" w:hint="default"/>
      </w:rPr>
    </w:lvl>
    <w:lvl w:ilvl="4" w:tplc="18090003" w:tentative="1">
      <w:start w:val="1"/>
      <w:numFmt w:val="bullet"/>
      <w:lvlText w:val="o"/>
      <w:lvlJc w:val="left"/>
      <w:pPr>
        <w:ind w:left="3827" w:hanging="360"/>
      </w:pPr>
      <w:rPr>
        <w:rFonts w:ascii="Courier New" w:hAnsi="Courier New" w:cs="Courier New" w:hint="default"/>
      </w:rPr>
    </w:lvl>
    <w:lvl w:ilvl="5" w:tplc="18090005" w:tentative="1">
      <w:start w:val="1"/>
      <w:numFmt w:val="bullet"/>
      <w:lvlText w:val=""/>
      <w:lvlJc w:val="left"/>
      <w:pPr>
        <w:ind w:left="4547" w:hanging="360"/>
      </w:pPr>
      <w:rPr>
        <w:rFonts w:ascii="Wingdings" w:hAnsi="Wingdings" w:hint="default"/>
      </w:rPr>
    </w:lvl>
    <w:lvl w:ilvl="6" w:tplc="18090001" w:tentative="1">
      <w:start w:val="1"/>
      <w:numFmt w:val="bullet"/>
      <w:lvlText w:val=""/>
      <w:lvlJc w:val="left"/>
      <w:pPr>
        <w:ind w:left="5267" w:hanging="360"/>
      </w:pPr>
      <w:rPr>
        <w:rFonts w:ascii="Symbol" w:hAnsi="Symbol" w:hint="default"/>
      </w:rPr>
    </w:lvl>
    <w:lvl w:ilvl="7" w:tplc="18090003" w:tentative="1">
      <w:start w:val="1"/>
      <w:numFmt w:val="bullet"/>
      <w:lvlText w:val="o"/>
      <w:lvlJc w:val="left"/>
      <w:pPr>
        <w:ind w:left="5987" w:hanging="360"/>
      </w:pPr>
      <w:rPr>
        <w:rFonts w:ascii="Courier New" w:hAnsi="Courier New" w:cs="Courier New" w:hint="default"/>
      </w:rPr>
    </w:lvl>
    <w:lvl w:ilvl="8" w:tplc="18090005" w:tentative="1">
      <w:start w:val="1"/>
      <w:numFmt w:val="bullet"/>
      <w:lvlText w:val=""/>
      <w:lvlJc w:val="left"/>
      <w:pPr>
        <w:ind w:left="6707" w:hanging="360"/>
      </w:pPr>
      <w:rPr>
        <w:rFonts w:ascii="Wingdings" w:hAnsi="Wingdings" w:hint="default"/>
      </w:rPr>
    </w:lvl>
  </w:abstractNum>
  <w:abstractNum w:abstractNumId="1" w15:restartNumberingAfterBreak="0">
    <w:nsid w:val="227105BE"/>
    <w:multiLevelType w:val="hybridMultilevel"/>
    <w:tmpl w:val="F9F6DFF6"/>
    <w:lvl w:ilvl="0" w:tplc="BFC80344">
      <w:start w:val="1"/>
      <w:numFmt w:val="bullet"/>
      <w:lvlText w:val=""/>
      <w:lvlJc w:val="left"/>
      <w:pPr>
        <w:ind w:left="360" w:hanging="360"/>
      </w:pPr>
      <w:rPr>
        <w:rFonts w:ascii="Symbol" w:hAnsi="Symbol" w:hint="default"/>
        <w:color w:val="9F0303"/>
      </w:rPr>
    </w:lvl>
    <w:lvl w:ilvl="1" w:tplc="040C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4A63E2"/>
    <w:multiLevelType w:val="hybridMultilevel"/>
    <w:tmpl w:val="5558A0C0"/>
    <w:lvl w:ilvl="0" w:tplc="040C0003">
      <w:start w:val="1"/>
      <w:numFmt w:val="bullet"/>
      <w:lvlText w:val="o"/>
      <w:lvlJc w:val="left"/>
      <w:pPr>
        <w:ind w:left="940" w:hanging="360"/>
      </w:pPr>
      <w:rPr>
        <w:rFonts w:ascii="Courier New" w:hAnsi="Courier New" w:cs="Courier New" w:hint="default"/>
        <w:color w:val="auto"/>
      </w:rPr>
    </w:lvl>
    <w:lvl w:ilvl="1" w:tplc="08090003">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4D4C1D12"/>
    <w:multiLevelType w:val="hybridMultilevel"/>
    <w:tmpl w:val="E31E725E"/>
    <w:lvl w:ilvl="0" w:tplc="767A8D22">
      <w:start w:val="1"/>
      <w:numFmt w:val="bullet"/>
      <w:lvlText w:val=""/>
      <w:lvlJc w:val="left"/>
      <w:pPr>
        <w:ind w:left="940" w:hanging="360"/>
      </w:pPr>
      <w:rPr>
        <w:rFonts w:ascii="Symbol" w:hAnsi="Symbol" w:hint="default"/>
        <w:color w:val="auto"/>
      </w:rPr>
    </w:lvl>
    <w:lvl w:ilvl="1" w:tplc="08090003">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513A55A4"/>
    <w:multiLevelType w:val="hybridMultilevel"/>
    <w:tmpl w:val="8C6CADE8"/>
    <w:lvl w:ilvl="0" w:tplc="767A8D22">
      <w:start w:val="1"/>
      <w:numFmt w:val="bullet"/>
      <w:lvlText w:val=""/>
      <w:lvlJc w:val="left"/>
      <w:pPr>
        <w:ind w:left="940" w:hanging="360"/>
      </w:pPr>
      <w:rPr>
        <w:rFonts w:ascii="Symbol" w:hAnsi="Symbol" w:hint="default"/>
        <w:color w:val="auto"/>
      </w:rPr>
    </w:lvl>
    <w:lvl w:ilvl="1" w:tplc="08090003">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5" w15:restartNumberingAfterBreak="0">
    <w:nsid w:val="53B74E45"/>
    <w:multiLevelType w:val="hybridMultilevel"/>
    <w:tmpl w:val="F022F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B70397"/>
    <w:multiLevelType w:val="hybridMultilevel"/>
    <w:tmpl w:val="9ACAC00A"/>
    <w:lvl w:ilvl="0" w:tplc="BFC80344">
      <w:start w:val="1"/>
      <w:numFmt w:val="bullet"/>
      <w:lvlText w:val=""/>
      <w:lvlJc w:val="left"/>
      <w:pPr>
        <w:ind w:left="360" w:hanging="360"/>
      </w:pPr>
      <w:rPr>
        <w:rFonts w:ascii="Symbol" w:hAnsi="Symbol" w:hint="default"/>
        <w:color w:val="9F030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A54AB4"/>
    <w:multiLevelType w:val="hybridMultilevel"/>
    <w:tmpl w:val="5BA06D5C"/>
    <w:lvl w:ilvl="0" w:tplc="087A7C78">
      <w:start w:val="1"/>
      <w:numFmt w:val="bullet"/>
      <w:lvlText w:val=""/>
      <w:lvlJc w:val="left"/>
      <w:pPr>
        <w:ind w:left="454" w:hanging="360"/>
      </w:pPr>
      <w:rPr>
        <w:rFonts w:ascii="Symbol" w:hAnsi="Symbol" w:hint="default"/>
        <w:color w:val="950F2F"/>
      </w:rPr>
    </w:lvl>
    <w:lvl w:ilvl="1" w:tplc="24000003" w:tentative="1">
      <w:start w:val="1"/>
      <w:numFmt w:val="bullet"/>
      <w:lvlText w:val="o"/>
      <w:lvlJc w:val="left"/>
      <w:pPr>
        <w:ind w:left="1307" w:hanging="360"/>
      </w:pPr>
      <w:rPr>
        <w:rFonts w:ascii="Courier New" w:hAnsi="Courier New" w:cs="Courier New" w:hint="default"/>
      </w:rPr>
    </w:lvl>
    <w:lvl w:ilvl="2" w:tplc="24000005" w:tentative="1">
      <w:start w:val="1"/>
      <w:numFmt w:val="bullet"/>
      <w:lvlText w:val=""/>
      <w:lvlJc w:val="left"/>
      <w:pPr>
        <w:ind w:left="2027" w:hanging="360"/>
      </w:pPr>
      <w:rPr>
        <w:rFonts w:ascii="Wingdings" w:hAnsi="Wingdings" w:hint="default"/>
      </w:rPr>
    </w:lvl>
    <w:lvl w:ilvl="3" w:tplc="24000001" w:tentative="1">
      <w:start w:val="1"/>
      <w:numFmt w:val="bullet"/>
      <w:lvlText w:val=""/>
      <w:lvlJc w:val="left"/>
      <w:pPr>
        <w:ind w:left="2747" w:hanging="360"/>
      </w:pPr>
      <w:rPr>
        <w:rFonts w:ascii="Symbol" w:hAnsi="Symbol" w:hint="default"/>
      </w:rPr>
    </w:lvl>
    <w:lvl w:ilvl="4" w:tplc="24000003" w:tentative="1">
      <w:start w:val="1"/>
      <w:numFmt w:val="bullet"/>
      <w:lvlText w:val="o"/>
      <w:lvlJc w:val="left"/>
      <w:pPr>
        <w:ind w:left="3467" w:hanging="360"/>
      </w:pPr>
      <w:rPr>
        <w:rFonts w:ascii="Courier New" w:hAnsi="Courier New" w:cs="Courier New" w:hint="default"/>
      </w:rPr>
    </w:lvl>
    <w:lvl w:ilvl="5" w:tplc="24000005" w:tentative="1">
      <w:start w:val="1"/>
      <w:numFmt w:val="bullet"/>
      <w:lvlText w:val=""/>
      <w:lvlJc w:val="left"/>
      <w:pPr>
        <w:ind w:left="4187" w:hanging="360"/>
      </w:pPr>
      <w:rPr>
        <w:rFonts w:ascii="Wingdings" w:hAnsi="Wingdings" w:hint="default"/>
      </w:rPr>
    </w:lvl>
    <w:lvl w:ilvl="6" w:tplc="24000001" w:tentative="1">
      <w:start w:val="1"/>
      <w:numFmt w:val="bullet"/>
      <w:lvlText w:val=""/>
      <w:lvlJc w:val="left"/>
      <w:pPr>
        <w:ind w:left="4907" w:hanging="360"/>
      </w:pPr>
      <w:rPr>
        <w:rFonts w:ascii="Symbol" w:hAnsi="Symbol" w:hint="default"/>
      </w:rPr>
    </w:lvl>
    <w:lvl w:ilvl="7" w:tplc="24000003" w:tentative="1">
      <w:start w:val="1"/>
      <w:numFmt w:val="bullet"/>
      <w:lvlText w:val="o"/>
      <w:lvlJc w:val="left"/>
      <w:pPr>
        <w:ind w:left="5627" w:hanging="360"/>
      </w:pPr>
      <w:rPr>
        <w:rFonts w:ascii="Courier New" w:hAnsi="Courier New" w:cs="Courier New" w:hint="default"/>
      </w:rPr>
    </w:lvl>
    <w:lvl w:ilvl="8" w:tplc="24000005" w:tentative="1">
      <w:start w:val="1"/>
      <w:numFmt w:val="bullet"/>
      <w:lvlText w:val=""/>
      <w:lvlJc w:val="left"/>
      <w:pPr>
        <w:ind w:left="6347" w:hanging="360"/>
      </w:pPr>
      <w:rPr>
        <w:rFonts w:ascii="Wingdings" w:hAnsi="Wingdings" w:hint="default"/>
      </w:rPr>
    </w:lvl>
  </w:abstractNum>
  <w:abstractNum w:abstractNumId="8" w15:restartNumberingAfterBreak="0">
    <w:nsid w:val="58A91409"/>
    <w:multiLevelType w:val="hybridMultilevel"/>
    <w:tmpl w:val="028E5EB8"/>
    <w:lvl w:ilvl="0" w:tplc="2DA2EDC4">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7E4700"/>
    <w:multiLevelType w:val="hybridMultilevel"/>
    <w:tmpl w:val="13E0B76E"/>
    <w:lvl w:ilvl="0" w:tplc="7654CEFA">
      <w:start w:val="1"/>
      <w:numFmt w:val="bullet"/>
      <w:lvlText w:val=""/>
      <w:lvlJc w:val="left"/>
      <w:pPr>
        <w:ind w:left="360" w:hanging="360"/>
      </w:pPr>
      <w:rPr>
        <w:rFonts w:ascii="Symbol" w:hAnsi="Symbol" w:hint="default"/>
        <w:color w:val="950F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C17600"/>
    <w:multiLevelType w:val="multilevel"/>
    <w:tmpl w:val="E31E725E"/>
    <w:lvl w:ilvl="0">
      <w:start w:val="1"/>
      <w:numFmt w:val="bullet"/>
      <w:lvlText w:val=""/>
      <w:lvlJc w:val="left"/>
      <w:pPr>
        <w:ind w:left="940" w:hanging="360"/>
      </w:pPr>
      <w:rPr>
        <w:rFonts w:ascii="Symbol" w:hAnsi="Symbol" w:hint="default"/>
        <w:color w:val="auto"/>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11" w15:restartNumberingAfterBreak="0">
    <w:nsid w:val="622F71F6"/>
    <w:multiLevelType w:val="hybridMultilevel"/>
    <w:tmpl w:val="DCF6743E"/>
    <w:lvl w:ilvl="0" w:tplc="08090001">
      <w:start w:val="1"/>
      <w:numFmt w:val="bullet"/>
      <w:lvlText w:val=""/>
      <w:lvlJc w:val="left"/>
      <w:pPr>
        <w:ind w:left="360" w:hanging="360"/>
      </w:pPr>
      <w:rPr>
        <w:rFonts w:ascii="Symbol" w:hAnsi="Symbol" w:hint="default"/>
        <w:color w:val="993366"/>
      </w:rPr>
    </w:lvl>
    <w:lvl w:ilvl="1" w:tplc="08090003" w:tentative="1">
      <w:start w:val="1"/>
      <w:numFmt w:val="bullet"/>
      <w:lvlText w:val="o"/>
      <w:lvlJc w:val="left"/>
      <w:pPr>
        <w:ind w:left="860" w:hanging="360"/>
      </w:pPr>
      <w:rPr>
        <w:rFonts w:ascii="Courier New" w:hAnsi="Courier New" w:cs="Courier New" w:hint="default"/>
      </w:rPr>
    </w:lvl>
    <w:lvl w:ilvl="2" w:tplc="08090005" w:tentative="1">
      <w:start w:val="1"/>
      <w:numFmt w:val="bullet"/>
      <w:lvlText w:val=""/>
      <w:lvlJc w:val="left"/>
      <w:pPr>
        <w:ind w:left="1580" w:hanging="360"/>
      </w:pPr>
      <w:rPr>
        <w:rFonts w:ascii="Wingdings" w:hAnsi="Wingdings" w:hint="default"/>
      </w:rPr>
    </w:lvl>
    <w:lvl w:ilvl="3" w:tplc="08090001" w:tentative="1">
      <w:start w:val="1"/>
      <w:numFmt w:val="bullet"/>
      <w:lvlText w:val=""/>
      <w:lvlJc w:val="left"/>
      <w:pPr>
        <w:ind w:left="2300" w:hanging="360"/>
      </w:pPr>
      <w:rPr>
        <w:rFonts w:ascii="Symbol" w:hAnsi="Symbol" w:hint="default"/>
      </w:rPr>
    </w:lvl>
    <w:lvl w:ilvl="4" w:tplc="08090003" w:tentative="1">
      <w:start w:val="1"/>
      <w:numFmt w:val="bullet"/>
      <w:lvlText w:val="o"/>
      <w:lvlJc w:val="left"/>
      <w:pPr>
        <w:ind w:left="3020" w:hanging="360"/>
      </w:pPr>
      <w:rPr>
        <w:rFonts w:ascii="Courier New" w:hAnsi="Courier New" w:cs="Courier New" w:hint="default"/>
      </w:rPr>
    </w:lvl>
    <w:lvl w:ilvl="5" w:tplc="08090005" w:tentative="1">
      <w:start w:val="1"/>
      <w:numFmt w:val="bullet"/>
      <w:lvlText w:val=""/>
      <w:lvlJc w:val="left"/>
      <w:pPr>
        <w:ind w:left="3740" w:hanging="360"/>
      </w:pPr>
      <w:rPr>
        <w:rFonts w:ascii="Wingdings" w:hAnsi="Wingdings" w:hint="default"/>
      </w:rPr>
    </w:lvl>
    <w:lvl w:ilvl="6" w:tplc="08090001" w:tentative="1">
      <w:start w:val="1"/>
      <w:numFmt w:val="bullet"/>
      <w:lvlText w:val=""/>
      <w:lvlJc w:val="left"/>
      <w:pPr>
        <w:ind w:left="4460" w:hanging="360"/>
      </w:pPr>
      <w:rPr>
        <w:rFonts w:ascii="Symbol" w:hAnsi="Symbol" w:hint="default"/>
      </w:rPr>
    </w:lvl>
    <w:lvl w:ilvl="7" w:tplc="08090003" w:tentative="1">
      <w:start w:val="1"/>
      <w:numFmt w:val="bullet"/>
      <w:lvlText w:val="o"/>
      <w:lvlJc w:val="left"/>
      <w:pPr>
        <w:ind w:left="5180" w:hanging="360"/>
      </w:pPr>
      <w:rPr>
        <w:rFonts w:ascii="Courier New" w:hAnsi="Courier New" w:cs="Courier New" w:hint="default"/>
      </w:rPr>
    </w:lvl>
    <w:lvl w:ilvl="8" w:tplc="08090005" w:tentative="1">
      <w:start w:val="1"/>
      <w:numFmt w:val="bullet"/>
      <w:lvlText w:val=""/>
      <w:lvlJc w:val="left"/>
      <w:pPr>
        <w:ind w:left="5900" w:hanging="360"/>
      </w:pPr>
      <w:rPr>
        <w:rFonts w:ascii="Wingdings" w:hAnsi="Wingdings" w:hint="default"/>
      </w:rPr>
    </w:lvl>
  </w:abstractNum>
  <w:abstractNum w:abstractNumId="12" w15:restartNumberingAfterBreak="0">
    <w:nsid w:val="756A2492"/>
    <w:multiLevelType w:val="multilevel"/>
    <w:tmpl w:val="9ACAC00A"/>
    <w:lvl w:ilvl="0">
      <w:start w:val="1"/>
      <w:numFmt w:val="bullet"/>
      <w:lvlText w:val=""/>
      <w:lvlJc w:val="left"/>
      <w:pPr>
        <w:ind w:left="360" w:hanging="360"/>
      </w:pPr>
      <w:rPr>
        <w:rFonts w:ascii="Symbol" w:hAnsi="Symbol" w:hint="default"/>
        <w:color w:val="9F030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CE40718"/>
    <w:multiLevelType w:val="multilevel"/>
    <w:tmpl w:val="A6FA4D48"/>
    <w:lvl w:ilvl="0">
      <w:start w:val="1"/>
      <w:numFmt w:val="bullet"/>
      <w:lvlText w:val=""/>
      <w:lvlJc w:val="left"/>
      <w:pPr>
        <w:ind w:left="940" w:hanging="360"/>
      </w:pPr>
      <w:rPr>
        <w:rFonts w:ascii="Symbol" w:hAnsi="Symbol" w:hint="default"/>
        <w:color w:val="9F0303"/>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14" w15:restartNumberingAfterBreak="0">
    <w:nsid w:val="7D753A28"/>
    <w:multiLevelType w:val="hybridMultilevel"/>
    <w:tmpl w:val="A636D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922E94"/>
    <w:multiLevelType w:val="hybridMultilevel"/>
    <w:tmpl w:val="A6FA4D48"/>
    <w:lvl w:ilvl="0" w:tplc="21A6443E">
      <w:start w:val="1"/>
      <w:numFmt w:val="bullet"/>
      <w:lvlText w:val=""/>
      <w:lvlJc w:val="left"/>
      <w:pPr>
        <w:ind w:left="940" w:hanging="360"/>
      </w:pPr>
      <w:rPr>
        <w:rFonts w:ascii="Symbol" w:hAnsi="Symbol" w:hint="default"/>
        <w:color w:val="9F0303"/>
      </w:rPr>
    </w:lvl>
    <w:lvl w:ilvl="1" w:tplc="08090003">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15"/>
  </w:num>
  <w:num w:numId="2">
    <w:abstractNumId w:val="11"/>
  </w:num>
  <w:num w:numId="3">
    <w:abstractNumId w:val="8"/>
  </w:num>
  <w:num w:numId="4">
    <w:abstractNumId w:val="0"/>
  </w:num>
  <w:num w:numId="5">
    <w:abstractNumId w:val="5"/>
  </w:num>
  <w:num w:numId="6">
    <w:abstractNumId w:val="9"/>
  </w:num>
  <w:num w:numId="7">
    <w:abstractNumId w:val="6"/>
  </w:num>
  <w:num w:numId="8">
    <w:abstractNumId w:val="7"/>
  </w:num>
  <w:num w:numId="9">
    <w:abstractNumId w:val="13"/>
  </w:num>
  <w:num w:numId="10">
    <w:abstractNumId w:val="3"/>
  </w:num>
  <w:num w:numId="11">
    <w:abstractNumId w:val="10"/>
  </w:num>
  <w:num w:numId="12">
    <w:abstractNumId w:val="2"/>
  </w:num>
  <w:num w:numId="13">
    <w:abstractNumId w:val="4"/>
  </w:num>
  <w:num w:numId="14">
    <w:abstractNumId w:val="1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B5"/>
    <w:rsid w:val="00001152"/>
    <w:rsid w:val="00003237"/>
    <w:rsid w:val="00005F7A"/>
    <w:rsid w:val="0001032A"/>
    <w:rsid w:val="00013096"/>
    <w:rsid w:val="00016DF6"/>
    <w:rsid w:val="00022213"/>
    <w:rsid w:val="00022C7D"/>
    <w:rsid w:val="000376BE"/>
    <w:rsid w:val="00042DCB"/>
    <w:rsid w:val="00052616"/>
    <w:rsid w:val="00054167"/>
    <w:rsid w:val="0005592E"/>
    <w:rsid w:val="000B0261"/>
    <w:rsid w:val="000B7295"/>
    <w:rsid w:val="000C2A21"/>
    <w:rsid w:val="000C2FBA"/>
    <w:rsid w:val="000C470E"/>
    <w:rsid w:val="000D7797"/>
    <w:rsid w:val="000E0A57"/>
    <w:rsid w:val="001133C2"/>
    <w:rsid w:val="0013622F"/>
    <w:rsid w:val="00136B3B"/>
    <w:rsid w:val="0013729D"/>
    <w:rsid w:val="00142D57"/>
    <w:rsid w:val="00146905"/>
    <w:rsid w:val="001512C3"/>
    <w:rsid w:val="00152575"/>
    <w:rsid w:val="0016689B"/>
    <w:rsid w:val="00182FB7"/>
    <w:rsid w:val="0018502B"/>
    <w:rsid w:val="00191045"/>
    <w:rsid w:val="00192A13"/>
    <w:rsid w:val="001B1CCC"/>
    <w:rsid w:val="001B254B"/>
    <w:rsid w:val="001D11D2"/>
    <w:rsid w:val="001E0069"/>
    <w:rsid w:val="001E3749"/>
    <w:rsid w:val="001F5C37"/>
    <w:rsid w:val="00202B77"/>
    <w:rsid w:val="002131B7"/>
    <w:rsid w:val="002175B0"/>
    <w:rsid w:val="00217DE8"/>
    <w:rsid w:val="00221E3C"/>
    <w:rsid w:val="0022320A"/>
    <w:rsid w:val="00230EBF"/>
    <w:rsid w:val="00236A24"/>
    <w:rsid w:val="00236A5A"/>
    <w:rsid w:val="002409DD"/>
    <w:rsid w:val="00250DB2"/>
    <w:rsid w:val="00253035"/>
    <w:rsid w:val="00262C0C"/>
    <w:rsid w:val="00267088"/>
    <w:rsid w:val="00267A0B"/>
    <w:rsid w:val="0027226A"/>
    <w:rsid w:val="0028255D"/>
    <w:rsid w:val="00284589"/>
    <w:rsid w:val="002874C5"/>
    <w:rsid w:val="00287B9D"/>
    <w:rsid w:val="00292577"/>
    <w:rsid w:val="00293A68"/>
    <w:rsid w:val="002A5A2E"/>
    <w:rsid w:val="002A7364"/>
    <w:rsid w:val="002D20DD"/>
    <w:rsid w:val="002E1590"/>
    <w:rsid w:val="002E1AE8"/>
    <w:rsid w:val="002F28C9"/>
    <w:rsid w:val="002F4381"/>
    <w:rsid w:val="002F4BEF"/>
    <w:rsid w:val="003047D1"/>
    <w:rsid w:val="00341DCD"/>
    <w:rsid w:val="00347018"/>
    <w:rsid w:val="00347DF6"/>
    <w:rsid w:val="00360FBA"/>
    <w:rsid w:val="00363549"/>
    <w:rsid w:val="00367FBC"/>
    <w:rsid w:val="00377D2C"/>
    <w:rsid w:val="00385CAF"/>
    <w:rsid w:val="00390060"/>
    <w:rsid w:val="00394862"/>
    <w:rsid w:val="00394F2A"/>
    <w:rsid w:val="00396753"/>
    <w:rsid w:val="003A0408"/>
    <w:rsid w:val="003B0479"/>
    <w:rsid w:val="003C29F7"/>
    <w:rsid w:val="003C3A4B"/>
    <w:rsid w:val="003C4630"/>
    <w:rsid w:val="003E106D"/>
    <w:rsid w:val="003E2CB6"/>
    <w:rsid w:val="003E4DAE"/>
    <w:rsid w:val="003E7F57"/>
    <w:rsid w:val="003F2B40"/>
    <w:rsid w:val="003F5376"/>
    <w:rsid w:val="003F57A1"/>
    <w:rsid w:val="00406865"/>
    <w:rsid w:val="00410195"/>
    <w:rsid w:val="00411DF7"/>
    <w:rsid w:val="00417300"/>
    <w:rsid w:val="00437041"/>
    <w:rsid w:val="00437F2E"/>
    <w:rsid w:val="004425FD"/>
    <w:rsid w:val="00454698"/>
    <w:rsid w:val="00470A96"/>
    <w:rsid w:val="00472E3D"/>
    <w:rsid w:val="004A27F9"/>
    <w:rsid w:val="004A4CE0"/>
    <w:rsid w:val="004B2EA4"/>
    <w:rsid w:val="004B3155"/>
    <w:rsid w:val="004B33F9"/>
    <w:rsid w:val="004B4F84"/>
    <w:rsid w:val="004C320B"/>
    <w:rsid w:val="004C4B8A"/>
    <w:rsid w:val="004E3609"/>
    <w:rsid w:val="004F32B6"/>
    <w:rsid w:val="00515AEF"/>
    <w:rsid w:val="005239FD"/>
    <w:rsid w:val="005333BE"/>
    <w:rsid w:val="0053534A"/>
    <w:rsid w:val="0054571A"/>
    <w:rsid w:val="00546B72"/>
    <w:rsid w:val="005638CB"/>
    <w:rsid w:val="00573F9D"/>
    <w:rsid w:val="00580C60"/>
    <w:rsid w:val="0058580E"/>
    <w:rsid w:val="00585E29"/>
    <w:rsid w:val="005A2C9B"/>
    <w:rsid w:val="005B11BD"/>
    <w:rsid w:val="005B3B2F"/>
    <w:rsid w:val="005B5EB1"/>
    <w:rsid w:val="005C03EF"/>
    <w:rsid w:val="005C4E86"/>
    <w:rsid w:val="005D6CE5"/>
    <w:rsid w:val="005E2CF8"/>
    <w:rsid w:val="005F2350"/>
    <w:rsid w:val="005F399C"/>
    <w:rsid w:val="005F67CF"/>
    <w:rsid w:val="006019A7"/>
    <w:rsid w:val="0060226E"/>
    <w:rsid w:val="00611B45"/>
    <w:rsid w:val="0062398C"/>
    <w:rsid w:val="00624AD3"/>
    <w:rsid w:val="006258A6"/>
    <w:rsid w:val="00632D8D"/>
    <w:rsid w:val="006527E1"/>
    <w:rsid w:val="00660254"/>
    <w:rsid w:val="006608EC"/>
    <w:rsid w:val="00665BD5"/>
    <w:rsid w:val="00680983"/>
    <w:rsid w:val="006971DC"/>
    <w:rsid w:val="006A33A6"/>
    <w:rsid w:val="006A62C7"/>
    <w:rsid w:val="006B7785"/>
    <w:rsid w:val="006C45F8"/>
    <w:rsid w:val="006E16FE"/>
    <w:rsid w:val="006E1CCD"/>
    <w:rsid w:val="006E6926"/>
    <w:rsid w:val="006F31EC"/>
    <w:rsid w:val="006F4615"/>
    <w:rsid w:val="006F5E46"/>
    <w:rsid w:val="006F6B6E"/>
    <w:rsid w:val="0070335D"/>
    <w:rsid w:val="00716A1A"/>
    <w:rsid w:val="00731761"/>
    <w:rsid w:val="0073498C"/>
    <w:rsid w:val="00746EFD"/>
    <w:rsid w:val="0075684E"/>
    <w:rsid w:val="00757E96"/>
    <w:rsid w:val="00763E63"/>
    <w:rsid w:val="007730FA"/>
    <w:rsid w:val="007752C4"/>
    <w:rsid w:val="007755E6"/>
    <w:rsid w:val="007A1BBF"/>
    <w:rsid w:val="007A694A"/>
    <w:rsid w:val="007B632A"/>
    <w:rsid w:val="007E0CE3"/>
    <w:rsid w:val="007E19F2"/>
    <w:rsid w:val="007E230D"/>
    <w:rsid w:val="007F1ED8"/>
    <w:rsid w:val="007F4904"/>
    <w:rsid w:val="0080685D"/>
    <w:rsid w:val="0084418D"/>
    <w:rsid w:val="008510E6"/>
    <w:rsid w:val="008701B1"/>
    <w:rsid w:val="0087026D"/>
    <w:rsid w:val="0087413B"/>
    <w:rsid w:val="0088332C"/>
    <w:rsid w:val="00883CA8"/>
    <w:rsid w:val="008847FE"/>
    <w:rsid w:val="0088674F"/>
    <w:rsid w:val="008871D5"/>
    <w:rsid w:val="00890E1D"/>
    <w:rsid w:val="00891CB4"/>
    <w:rsid w:val="00896483"/>
    <w:rsid w:val="008B3A73"/>
    <w:rsid w:val="008C22E4"/>
    <w:rsid w:val="008C3271"/>
    <w:rsid w:val="008C415F"/>
    <w:rsid w:val="008C5117"/>
    <w:rsid w:val="008C7170"/>
    <w:rsid w:val="008D2427"/>
    <w:rsid w:val="008D6473"/>
    <w:rsid w:val="008E2FC3"/>
    <w:rsid w:val="008E3CA5"/>
    <w:rsid w:val="008E552D"/>
    <w:rsid w:val="008F105A"/>
    <w:rsid w:val="008F5CF9"/>
    <w:rsid w:val="008F79BB"/>
    <w:rsid w:val="009033E7"/>
    <w:rsid w:val="009064C7"/>
    <w:rsid w:val="00910E6F"/>
    <w:rsid w:val="00914410"/>
    <w:rsid w:val="00923088"/>
    <w:rsid w:val="00927864"/>
    <w:rsid w:val="009739E1"/>
    <w:rsid w:val="0098602D"/>
    <w:rsid w:val="009A46E8"/>
    <w:rsid w:val="009D036E"/>
    <w:rsid w:val="009E0CFE"/>
    <w:rsid w:val="009E2360"/>
    <w:rsid w:val="00A136EC"/>
    <w:rsid w:val="00A231D6"/>
    <w:rsid w:val="00A65DCD"/>
    <w:rsid w:val="00A6763F"/>
    <w:rsid w:val="00A7353A"/>
    <w:rsid w:val="00A82FA5"/>
    <w:rsid w:val="00A879E2"/>
    <w:rsid w:val="00A9567B"/>
    <w:rsid w:val="00A95DE7"/>
    <w:rsid w:val="00A977CA"/>
    <w:rsid w:val="00AA6F40"/>
    <w:rsid w:val="00AB2883"/>
    <w:rsid w:val="00AB3F4A"/>
    <w:rsid w:val="00AD0125"/>
    <w:rsid w:val="00AD570B"/>
    <w:rsid w:val="00AD5871"/>
    <w:rsid w:val="00AD6C88"/>
    <w:rsid w:val="00AF5465"/>
    <w:rsid w:val="00B000CE"/>
    <w:rsid w:val="00B03F17"/>
    <w:rsid w:val="00B07D09"/>
    <w:rsid w:val="00B143B5"/>
    <w:rsid w:val="00B22569"/>
    <w:rsid w:val="00B40A99"/>
    <w:rsid w:val="00B41961"/>
    <w:rsid w:val="00B455D9"/>
    <w:rsid w:val="00B51D60"/>
    <w:rsid w:val="00B63547"/>
    <w:rsid w:val="00B66CCB"/>
    <w:rsid w:val="00B72BA2"/>
    <w:rsid w:val="00B7421E"/>
    <w:rsid w:val="00B75A5A"/>
    <w:rsid w:val="00B82F64"/>
    <w:rsid w:val="00B87AFA"/>
    <w:rsid w:val="00BA2FE7"/>
    <w:rsid w:val="00BA7DBF"/>
    <w:rsid w:val="00BB32FD"/>
    <w:rsid w:val="00BB43F8"/>
    <w:rsid w:val="00BB4637"/>
    <w:rsid w:val="00BB7CE3"/>
    <w:rsid w:val="00BD20FB"/>
    <w:rsid w:val="00BE0E57"/>
    <w:rsid w:val="00BE1010"/>
    <w:rsid w:val="00BE3690"/>
    <w:rsid w:val="00C00DF9"/>
    <w:rsid w:val="00C01DF3"/>
    <w:rsid w:val="00C02C31"/>
    <w:rsid w:val="00C24092"/>
    <w:rsid w:val="00C25C94"/>
    <w:rsid w:val="00C41D44"/>
    <w:rsid w:val="00C4559A"/>
    <w:rsid w:val="00C46916"/>
    <w:rsid w:val="00C52615"/>
    <w:rsid w:val="00C60BED"/>
    <w:rsid w:val="00C72AAC"/>
    <w:rsid w:val="00C76D04"/>
    <w:rsid w:val="00C94AB1"/>
    <w:rsid w:val="00CB0BD7"/>
    <w:rsid w:val="00CB24D2"/>
    <w:rsid w:val="00CC29FA"/>
    <w:rsid w:val="00CD6911"/>
    <w:rsid w:val="00CE3405"/>
    <w:rsid w:val="00D00B2A"/>
    <w:rsid w:val="00D0352F"/>
    <w:rsid w:val="00D04653"/>
    <w:rsid w:val="00D04F06"/>
    <w:rsid w:val="00D06FBF"/>
    <w:rsid w:val="00D10503"/>
    <w:rsid w:val="00D11467"/>
    <w:rsid w:val="00D20E1B"/>
    <w:rsid w:val="00D315BF"/>
    <w:rsid w:val="00D32932"/>
    <w:rsid w:val="00D457B5"/>
    <w:rsid w:val="00D505AE"/>
    <w:rsid w:val="00D506D7"/>
    <w:rsid w:val="00D61317"/>
    <w:rsid w:val="00D655EE"/>
    <w:rsid w:val="00D660C6"/>
    <w:rsid w:val="00D77530"/>
    <w:rsid w:val="00D776D8"/>
    <w:rsid w:val="00D90D12"/>
    <w:rsid w:val="00D90DCD"/>
    <w:rsid w:val="00DA240B"/>
    <w:rsid w:val="00DA6175"/>
    <w:rsid w:val="00DC1365"/>
    <w:rsid w:val="00DC49FF"/>
    <w:rsid w:val="00DD1FA0"/>
    <w:rsid w:val="00DD56C0"/>
    <w:rsid w:val="00DE3033"/>
    <w:rsid w:val="00DF4694"/>
    <w:rsid w:val="00DF47A3"/>
    <w:rsid w:val="00DF4B7A"/>
    <w:rsid w:val="00E0750B"/>
    <w:rsid w:val="00E22052"/>
    <w:rsid w:val="00E26333"/>
    <w:rsid w:val="00E276CB"/>
    <w:rsid w:val="00E30A8F"/>
    <w:rsid w:val="00E32194"/>
    <w:rsid w:val="00E54F4F"/>
    <w:rsid w:val="00E67806"/>
    <w:rsid w:val="00E822E1"/>
    <w:rsid w:val="00E85A4C"/>
    <w:rsid w:val="00E97AA9"/>
    <w:rsid w:val="00EA3C9E"/>
    <w:rsid w:val="00EA522D"/>
    <w:rsid w:val="00EC58D5"/>
    <w:rsid w:val="00EE6265"/>
    <w:rsid w:val="00EE6301"/>
    <w:rsid w:val="00EF08B5"/>
    <w:rsid w:val="00EF0F76"/>
    <w:rsid w:val="00F025A3"/>
    <w:rsid w:val="00F027BF"/>
    <w:rsid w:val="00F11A07"/>
    <w:rsid w:val="00F1363F"/>
    <w:rsid w:val="00F16BF4"/>
    <w:rsid w:val="00F20670"/>
    <w:rsid w:val="00F26928"/>
    <w:rsid w:val="00F4056A"/>
    <w:rsid w:val="00F4115A"/>
    <w:rsid w:val="00F4154B"/>
    <w:rsid w:val="00F42B8D"/>
    <w:rsid w:val="00F42DA8"/>
    <w:rsid w:val="00F82088"/>
    <w:rsid w:val="00F95AF1"/>
    <w:rsid w:val="00F97BE9"/>
    <w:rsid w:val="00FA054E"/>
    <w:rsid w:val="00FA2CD7"/>
    <w:rsid w:val="00FA666C"/>
    <w:rsid w:val="00FA6812"/>
    <w:rsid w:val="00FB4123"/>
    <w:rsid w:val="00FB7CF5"/>
    <w:rsid w:val="00FC7EF2"/>
    <w:rsid w:val="00FD05C7"/>
    <w:rsid w:val="00FE0FE2"/>
    <w:rsid w:val="00FE5915"/>
    <w:rsid w:val="00FE5B44"/>
    <w:rsid w:val="00FF3FAB"/>
    <w:rsid w:val="00FF7289"/>
    <w:rsid w:val="00FF7A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58952"/>
  <w15:chartTrackingRefBased/>
  <w15:docId w15:val="{80B60450-E244-4957-8D86-88D6088C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08B5"/>
    <w:pPr>
      <w:spacing w:after="0" w:line="240" w:lineRule="auto"/>
      <w:ind w:left="720"/>
      <w:contextualSpacing/>
    </w:pPr>
    <w:rPr>
      <w:rFonts w:ascii="Times New Roman" w:eastAsia="Times New Roman" w:hAnsi="Times New Roman" w:cs="Times New Roman"/>
      <w:sz w:val="20"/>
      <w:szCs w:val="20"/>
    </w:rPr>
  </w:style>
  <w:style w:type="character" w:styleId="Lienhypertexte">
    <w:name w:val="Hyperlink"/>
    <w:basedOn w:val="Policepardfaut"/>
    <w:uiPriority w:val="99"/>
    <w:unhideWhenUsed/>
    <w:rsid w:val="00EF08B5"/>
    <w:rPr>
      <w:color w:val="0563C1" w:themeColor="hyperlink"/>
      <w:u w:val="single"/>
    </w:rPr>
  </w:style>
  <w:style w:type="character" w:customStyle="1" w:styleId="xxcontentpasted0">
    <w:name w:val="x_xcontentpasted0"/>
    <w:basedOn w:val="Policepardfaut"/>
    <w:rsid w:val="00EF08B5"/>
  </w:style>
  <w:style w:type="paragraph" w:styleId="Textedebulles">
    <w:name w:val="Balloon Text"/>
    <w:basedOn w:val="Normal"/>
    <w:link w:val="TextedebullesCar"/>
    <w:uiPriority w:val="99"/>
    <w:semiHidden/>
    <w:unhideWhenUsed/>
    <w:rsid w:val="00EF08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08B5"/>
    <w:rPr>
      <w:rFonts w:ascii="Segoe UI" w:hAnsi="Segoe UI" w:cs="Segoe UI"/>
      <w:sz w:val="18"/>
      <w:szCs w:val="18"/>
    </w:rPr>
  </w:style>
  <w:style w:type="paragraph" w:customStyle="1" w:styleId="Default">
    <w:name w:val="Default"/>
    <w:rsid w:val="00AD5871"/>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6258A6"/>
    <w:rPr>
      <w:sz w:val="16"/>
      <w:szCs w:val="16"/>
    </w:rPr>
  </w:style>
  <w:style w:type="paragraph" w:styleId="Commentaire">
    <w:name w:val="annotation text"/>
    <w:basedOn w:val="Normal"/>
    <w:link w:val="CommentaireCar"/>
    <w:uiPriority w:val="99"/>
    <w:unhideWhenUsed/>
    <w:rsid w:val="006258A6"/>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rsid w:val="006258A6"/>
    <w:rPr>
      <w:rFonts w:ascii="Times New Roman" w:eastAsia="Times New Roman" w:hAnsi="Times New Roman" w:cs="Times New Roman"/>
      <w:sz w:val="20"/>
      <w:szCs w:val="20"/>
    </w:rPr>
  </w:style>
  <w:style w:type="paragraph" w:styleId="En-tte">
    <w:name w:val="header"/>
    <w:basedOn w:val="Normal"/>
    <w:link w:val="En-tteCar"/>
    <w:uiPriority w:val="99"/>
    <w:unhideWhenUsed/>
    <w:rsid w:val="00660254"/>
    <w:pPr>
      <w:tabs>
        <w:tab w:val="center" w:pos="4819"/>
        <w:tab w:val="right" w:pos="9638"/>
      </w:tabs>
      <w:spacing w:after="0" w:line="240" w:lineRule="auto"/>
    </w:pPr>
  </w:style>
  <w:style w:type="character" w:customStyle="1" w:styleId="En-tteCar">
    <w:name w:val="En-tête Car"/>
    <w:basedOn w:val="Policepardfaut"/>
    <w:link w:val="En-tte"/>
    <w:uiPriority w:val="99"/>
    <w:rsid w:val="00660254"/>
  </w:style>
  <w:style w:type="paragraph" w:styleId="Pieddepage">
    <w:name w:val="footer"/>
    <w:basedOn w:val="Normal"/>
    <w:link w:val="PieddepageCar"/>
    <w:uiPriority w:val="99"/>
    <w:unhideWhenUsed/>
    <w:rsid w:val="00660254"/>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660254"/>
  </w:style>
  <w:style w:type="paragraph" w:styleId="Notedebasdepage">
    <w:name w:val="footnote text"/>
    <w:basedOn w:val="Normal"/>
    <w:link w:val="NotedebasdepageCar"/>
    <w:uiPriority w:val="99"/>
    <w:semiHidden/>
    <w:unhideWhenUsed/>
    <w:rsid w:val="000B02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0261"/>
    <w:rPr>
      <w:sz w:val="20"/>
      <w:szCs w:val="20"/>
    </w:rPr>
  </w:style>
  <w:style w:type="character" w:styleId="Appelnotedebasdep">
    <w:name w:val="footnote reference"/>
    <w:basedOn w:val="Policepardfaut"/>
    <w:uiPriority w:val="99"/>
    <w:semiHidden/>
    <w:unhideWhenUsed/>
    <w:rsid w:val="000B0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1086</Words>
  <Characters>5973</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Particip GmbH</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Valmarana, Camilla</dc:creator>
  <cp:keywords/>
  <dc:description/>
  <cp:lastModifiedBy>Karine Leroy</cp:lastModifiedBy>
  <cp:revision>6</cp:revision>
  <dcterms:created xsi:type="dcterms:W3CDTF">2023-04-03T21:33:00Z</dcterms:created>
  <dcterms:modified xsi:type="dcterms:W3CDTF">2023-04-03T23:05:00Z</dcterms:modified>
</cp:coreProperties>
</file>