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0579" w14:textId="4D203234" w:rsidR="00926B43" w:rsidRPr="00926B43" w:rsidRDefault="00D06E4E" w:rsidP="008A7FE4">
      <w:pPr>
        <w:spacing w:before="240"/>
        <w:rPr>
          <w:rFonts w:ascii="Roboto Condensed" w:hAnsi="Roboto Condensed"/>
          <w:b/>
          <w:bCs/>
          <w:sz w:val="48"/>
          <w:szCs w:val="44"/>
        </w:rPr>
      </w:pPr>
      <w:r>
        <w:rPr>
          <w:rFonts w:ascii="Roboto Condensed" w:hAnsi="Roboto Condensed"/>
          <w:b/>
          <w:bCs/>
          <w:sz w:val="48"/>
          <w:szCs w:val="44"/>
        </w:rPr>
        <w:t>SOMALIA</w:t>
      </w:r>
    </w:p>
    <w:p w14:paraId="255F4C31" w14:textId="57C3695E" w:rsidR="004F6449" w:rsidRPr="006740B7" w:rsidRDefault="004F6449" w:rsidP="006740B7">
      <w:pPr>
        <w:rPr>
          <w:b/>
          <w:bCs/>
          <w:sz w:val="28"/>
          <w:szCs w:val="28"/>
        </w:rPr>
      </w:pPr>
      <w:r w:rsidRPr="006740B7">
        <w:rPr>
          <w:b/>
          <w:bCs/>
          <w:sz w:val="28"/>
          <w:szCs w:val="28"/>
        </w:rPr>
        <w:t xml:space="preserve">State of </w:t>
      </w:r>
      <w:r w:rsidR="00FA7982" w:rsidRPr="006740B7">
        <w:rPr>
          <w:b/>
          <w:bCs/>
          <w:sz w:val="28"/>
          <w:szCs w:val="28"/>
        </w:rPr>
        <w:t>p</w:t>
      </w:r>
      <w:r w:rsidRPr="006740B7">
        <w:rPr>
          <w:b/>
          <w:bCs/>
          <w:sz w:val="28"/>
          <w:szCs w:val="28"/>
        </w:rPr>
        <w:t xml:space="preserve">lay </w:t>
      </w:r>
    </w:p>
    <w:tbl>
      <w:tblPr>
        <w:tblStyle w:val="TableGrid"/>
        <w:tblW w:w="0" w:type="auto"/>
        <w:tblLook w:val="04A0" w:firstRow="1" w:lastRow="0" w:firstColumn="1" w:lastColumn="0" w:noHBand="0" w:noVBand="1"/>
      </w:tblPr>
      <w:tblGrid>
        <w:gridCol w:w="10456"/>
      </w:tblGrid>
      <w:tr w:rsidR="001C0929" w14:paraId="7AEA3CEF" w14:textId="77777777" w:rsidTr="5C6B7F50">
        <w:tc>
          <w:tcPr>
            <w:tcW w:w="10456" w:type="dxa"/>
          </w:tcPr>
          <w:p w14:paraId="2B60C0C0" w14:textId="77777777" w:rsidR="001C0929" w:rsidRPr="001D7364" w:rsidRDefault="001C0929" w:rsidP="001C0929">
            <w:pPr>
              <w:rPr>
                <w:color w:val="FF0000"/>
              </w:rPr>
            </w:pPr>
            <w:r>
              <w:rPr>
                <w:color w:val="FF0000"/>
              </w:rPr>
              <w:t>Overview</w:t>
            </w:r>
            <w:r w:rsidRPr="001D7364">
              <w:rPr>
                <w:color w:val="FF0000"/>
              </w:rPr>
              <w:t xml:space="preserve"> </w:t>
            </w:r>
            <w:r>
              <w:rPr>
                <w:color w:val="FF0000"/>
              </w:rPr>
              <w:t xml:space="preserve"> </w:t>
            </w:r>
          </w:p>
          <w:p w14:paraId="02B340C9" w14:textId="3193E61E" w:rsidR="001C0929" w:rsidRDefault="001C0929" w:rsidP="001C0929">
            <w:pPr>
              <w:spacing w:after="120"/>
              <w:jc w:val="both"/>
            </w:pPr>
            <w:r>
              <w:t xml:space="preserve">The EU has </w:t>
            </w:r>
            <w:r w:rsidR="002851C9">
              <w:t>been an important</w:t>
            </w:r>
            <w:r w:rsidRPr="00DA589B">
              <w:rPr>
                <w:b/>
                <w:bCs/>
              </w:rPr>
              <w:t xml:space="preserve"> </w:t>
            </w:r>
            <w:r w:rsidRPr="0065116A">
              <w:t>partner in the development of the education sector</w:t>
            </w:r>
            <w:r>
              <w:t xml:space="preserve">, </w:t>
            </w:r>
            <w:r w:rsidRPr="001C0929">
              <w:t>over many years, investing over EUR 100 million in education</w:t>
            </w:r>
            <w:r w:rsidR="00CB439F">
              <w:t xml:space="preserve"> in Somalia</w:t>
            </w:r>
            <w:r w:rsidRPr="001C0929">
              <w:t xml:space="preserve"> between 2007-2021</w:t>
            </w:r>
            <w:r w:rsidR="00363080">
              <w:t xml:space="preserve">, taking </w:t>
            </w:r>
            <w:r w:rsidRPr="001C0929">
              <w:t>a sector</w:t>
            </w:r>
            <w:r w:rsidR="00363080">
              <w:t>-</w:t>
            </w:r>
            <w:r w:rsidRPr="001C0929">
              <w:t>wide approach</w:t>
            </w:r>
            <w:r w:rsidR="00363080">
              <w:t xml:space="preserve"> </w:t>
            </w:r>
            <w:r w:rsidR="00D73296">
              <w:t xml:space="preserve">to the support </w:t>
            </w:r>
            <w:r w:rsidRPr="001C0929">
              <w:t>of primary and secondary education</w:t>
            </w:r>
            <w:r w:rsidR="00D73296">
              <w:t>, technical</w:t>
            </w:r>
            <w:r w:rsidR="000478C2">
              <w:t xml:space="preserve"> and </w:t>
            </w:r>
            <w:r w:rsidR="00D73296">
              <w:t xml:space="preserve">vocational </w:t>
            </w:r>
            <w:r w:rsidR="000478C2">
              <w:t>education and train</w:t>
            </w:r>
            <w:r w:rsidR="00187D8A">
              <w:t>ing</w:t>
            </w:r>
            <w:r w:rsidR="000478C2">
              <w:t xml:space="preserve"> (</w:t>
            </w:r>
            <w:r w:rsidRPr="001C0929">
              <w:t>TVET</w:t>
            </w:r>
            <w:r w:rsidR="000478C2">
              <w:t>)</w:t>
            </w:r>
            <w:r w:rsidRPr="001C0929">
              <w:t xml:space="preserve"> and higher education. </w:t>
            </w:r>
            <w:r w:rsidR="000478C2">
              <w:t xml:space="preserve">The </w:t>
            </w:r>
            <w:r w:rsidRPr="001C0929">
              <w:t>EU has used a range of modalities</w:t>
            </w:r>
            <w:r>
              <w:t xml:space="preserve"> </w:t>
            </w:r>
            <w:r w:rsidR="00294974">
              <w:t xml:space="preserve">to support </w:t>
            </w:r>
            <w:r>
              <w:t>Somali education authorities</w:t>
            </w:r>
            <w:r w:rsidRPr="001C0929">
              <w:t xml:space="preserve"> </w:t>
            </w:r>
            <w:r w:rsidR="002E07F7">
              <w:t>in</w:t>
            </w:r>
            <w:r w:rsidR="002E07F7" w:rsidRPr="001C0929">
              <w:t xml:space="preserve"> </w:t>
            </w:r>
            <w:r w:rsidRPr="001C0929">
              <w:t>strengthen</w:t>
            </w:r>
            <w:r w:rsidR="002E07F7">
              <w:t>ing</w:t>
            </w:r>
            <w:r w:rsidRPr="001C0929">
              <w:t xml:space="preserve"> systems for delivery and continuity of good quality and equitable </w:t>
            </w:r>
            <w:r>
              <w:t>education.</w:t>
            </w:r>
            <w:r w:rsidRPr="001C0929">
              <w:t xml:space="preserve"> </w:t>
            </w:r>
            <w:r w:rsidR="0031702B">
              <w:t xml:space="preserve">The </w:t>
            </w:r>
            <w:r w:rsidRPr="001C0929">
              <w:t>focus on strengthening the education system, improving gender equality, climate resilience and green and digital skills for youth</w:t>
            </w:r>
            <w:r w:rsidR="0031702B">
              <w:t xml:space="preserve"> </w:t>
            </w:r>
            <w:r w:rsidRPr="001C0929">
              <w:t>contribut</w:t>
            </w:r>
            <w:r w:rsidR="0031702B">
              <w:t>es</w:t>
            </w:r>
            <w:r w:rsidRPr="001C0929">
              <w:t xml:space="preserve"> to Global Gateway priorities. </w:t>
            </w:r>
          </w:p>
          <w:p w14:paraId="39CF6283" w14:textId="496A30E4" w:rsidR="001C0929" w:rsidRPr="00FA6A19" w:rsidRDefault="001C0929" w:rsidP="001C0929">
            <w:pPr>
              <w:spacing w:after="120"/>
              <w:jc w:val="both"/>
            </w:pPr>
            <w:r w:rsidRPr="00FA6A19">
              <w:t>EU funding (2021-2027)</w:t>
            </w:r>
            <w:r w:rsidR="00F219E9">
              <w:t xml:space="preserve"> </w:t>
            </w:r>
            <w:r w:rsidR="009F45B7">
              <w:t xml:space="preserve">will be </w:t>
            </w:r>
            <w:r w:rsidRPr="00FA6A19">
              <w:t>EUR 80.75 million / Committed (as of 2023): EUR 25 million</w:t>
            </w:r>
          </w:p>
          <w:p w14:paraId="6403107B" w14:textId="111945FC" w:rsidR="001C0929" w:rsidRPr="009F339C" w:rsidRDefault="000F2F6D" w:rsidP="001C0929">
            <w:pPr>
              <w:spacing w:after="120"/>
              <w:jc w:val="both"/>
            </w:pPr>
            <w:r>
              <w:t>Gl</w:t>
            </w:r>
            <w:r w:rsidR="00936169">
              <w:t>o</w:t>
            </w:r>
            <w:r>
              <w:t xml:space="preserve">bal Partnership </w:t>
            </w:r>
            <w:r w:rsidR="00F430AA">
              <w:t>for Education (</w:t>
            </w:r>
            <w:r w:rsidR="001C0929" w:rsidRPr="00FB5277">
              <w:t>GPE</w:t>
            </w:r>
            <w:r w:rsidR="00F430AA">
              <w:t xml:space="preserve">) funding </w:t>
            </w:r>
            <w:r w:rsidR="00936169">
              <w:t>is</w:t>
            </w:r>
            <w:r w:rsidR="001C0929" w:rsidRPr="00FB5277">
              <w:t xml:space="preserve"> USD</w:t>
            </w:r>
            <w:r w:rsidR="001C0929">
              <w:t xml:space="preserve"> 223.2</w:t>
            </w:r>
            <w:r w:rsidR="001C0929" w:rsidRPr="00FB5277">
              <w:t xml:space="preserve"> </w:t>
            </w:r>
            <w:r w:rsidR="00936169">
              <w:t xml:space="preserve">million </w:t>
            </w:r>
            <w:r w:rsidR="001C0929" w:rsidRPr="00FB5277">
              <w:t>(201</w:t>
            </w:r>
            <w:r w:rsidR="001C0929">
              <w:t>7–</w:t>
            </w:r>
            <w:r w:rsidR="001C0929" w:rsidRPr="00FB5277">
              <w:t>2023</w:t>
            </w:r>
            <w:r w:rsidR="001C0929">
              <w:t>)</w:t>
            </w:r>
            <w:r w:rsidR="001C0929">
              <w:rPr>
                <w:lang w:val="de-DE"/>
              </w:rPr>
              <w:t xml:space="preserve">. </w:t>
            </w:r>
            <w:r w:rsidR="001C0929" w:rsidRPr="00FB5277">
              <w:t>Under the GPE 2025 Strategy, So</w:t>
            </w:r>
            <w:r w:rsidR="001C0929">
              <w:t xml:space="preserve">malia is eligible for USD 170.94 </w:t>
            </w:r>
            <w:r w:rsidR="001C0929" w:rsidRPr="00FB5277">
              <w:t>million</w:t>
            </w:r>
            <w:r w:rsidR="001C0929">
              <w:t>.</w:t>
            </w:r>
            <w:r w:rsidR="001C0929" w:rsidRPr="00FB5277">
              <w:t xml:space="preserve">  </w:t>
            </w:r>
          </w:p>
          <w:p w14:paraId="649C372B" w14:textId="4EBD9424" w:rsidR="001C0929" w:rsidRDefault="15D4DAB7" w:rsidP="001C0929">
            <w:pPr>
              <w:spacing w:after="120"/>
              <w:jc w:val="both"/>
            </w:pPr>
            <w:r>
              <w:t>E</w:t>
            </w:r>
            <w:r w:rsidR="5091F8B9">
              <w:t>ducation Cannot W</w:t>
            </w:r>
            <w:r w:rsidR="34664103">
              <w:t xml:space="preserve">ait </w:t>
            </w:r>
            <w:r w:rsidR="25213D3C">
              <w:t xml:space="preserve">has an ongoing </w:t>
            </w:r>
            <w:r>
              <w:t xml:space="preserve">USD 5 million </w:t>
            </w:r>
            <w:r w:rsidR="25213D3C" w:rsidRPr="00573DDF">
              <w:rPr>
                <w:b/>
                <w:bCs/>
              </w:rPr>
              <w:t>First Emergency Response</w:t>
            </w:r>
            <w:r w:rsidR="25213D3C">
              <w:t xml:space="preserve"> (</w:t>
            </w:r>
            <w:r>
              <w:t>FER</w:t>
            </w:r>
            <w:r w:rsidR="25213D3C">
              <w:t>)</w:t>
            </w:r>
            <w:r>
              <w:t>. USD 36 million is available for the next</w:t>
            </w:r>
            <w:r w:rsidR="25213D3C">
              <w:t xml:space="preserve"> </w:t>
            </w:r>
            <w:r w:rsidR="25213D3C" w:rsidRPr="00573DDF">
              <w:rPr>
                <w:b/>
                <w:bCs/>
              </w:rPr>
              <w:t>Multi-Year Resilience Programme</w:t>
            </w:r>
            <w:r>
              <w:t xml:space="preserve"> </w:t>
            </w:r>
            <w:r w:rsidR="25213D3C">
              <w:t>(</w:t>
            </w:r>
            <w:r>
              <w:t>MYRP</w:t>
            </w:r>
            <w:r w:rsidR="25213D3C">
              <w:t>)</w:t>
            </w:r>
            <w:r>
              <w:t xml:space="preserve">. </w:t>
            </w:r>
          </w:p>
          <w:p w14:paraId="7C3E3E55" w14:textId="51B43539" w:rsidR="001C0929" w:rsidRPr="001C0929" w:rsidRDefault="7A4CFEB4" w:rsidP="5C6B7F50">
            <w:pPr>
              <w:spacing w:after="120"/>
              <w:jc w:val="both"/>
            </w:pPr>
            <w:r w:rsidRPr="5C6B7F50">
              <w:rPr>
                <w:rFonts w:ascii="Calibri" w:eastAsia="Calibri" w:hAnsi="Calibri" w:cs="Calibri"/>
              </w:rPr>
              <w:t>DG ECHO funding for education in emergencies constitute close to 10% of the humanitarian assistance in the country, and amounts to over EUR 20 million since 2020.</w:t>
            </w:r>
          </w:p>
        </w:tc>
      </w:tr>
    </w:tbl>
    <w:p w14:paraId="5B5D0148" w14:textId="5BF8750C" w:rsidR="001C0929" w:rsidRDefault="001C0929" w:rsidP="001C0929">
      <w:pPr>
        <w:rPr>
          <w:lang w:val="en-IE"/>
        </w:rPr>
      </w:pPr>
    </w:p>
    <w:tbl>
      <w:tblPr>
        <w:tblStyle w:val="TableGrid"/>
        <w:tblW w:w="0" w:type="auto"/>
        <w:tblLook w:val="04A0" w:firstRow="1" w:lastRow="0" w:firstColumn="1" w:lastColumn="0" w:noHBand="0" w:noVBand="1"/>
      </w:tblPr>
      <w:tblGrid>
        <w:gridCol w:w="10456"/>
      </w:tblGrid>
      <w:tr w:rsidR="001C0929" w14:paraId="540090D8" w14:textId="77777777" w:rsidTr="001C0929">
        <w:tc>
          <w:tcPr>
            <w:tcW w:w="10456" w:type="dxa"/>
          </w:tcPr>
          <w:p w14:paraId="71E7EF7B" w14:textId="77777777" w:rsidR="001C0929" w:rsidRPr="00CF430C" w:rsidRDefault="001C0929" w:rsidP="001C0929">
            <w:pPr>
              <w:spacing w:after="120"/>
              <w:rPr>
                <w:color w:val="FF0000"/>
              </w:rPr>
            </w:pPr>
            <w:r>
              <w:rPr>
                <w:color w:val="FF0000"/>
              </w:rPr>
              <w:t xml:space="preserve">Team Europe </w:t>
            </w:r>
          </w:p>
          <w:p w14:paraId="69DB3C0A" w14:textId="17C15078" w:rsidR="001C0929" w:rsidRDefault="00620BFC" w:rsidP="001C0929">
            <w:pPr>
              <w:spacing w:after="120"/>
              <w:jc w:val="both"/>
            </w:pPr>
            <w:r w:rsidRPr="00FA6A19">
              <w:t xml:space="preserve">Team Europe Initiative </w:t>
            </w:r>
            <w:r w:rsidR="001C0929" w:rsidRPr="00FA6A19">
              <w:rPr>
                <w:b/>
                <w:bCs/>
              </w:rPr>
              <w:t>Climate Action through Clean Energy Initiatives and Climate-resilient Economy</w:t>
            </w:r>
            <w:r w:rsidR="001C0929">
              <w:rPr>
                <w:b/>
                <w:bCs/>
              </w:rPr>
              <w:t xml:space="preserve"> </w:t>
            </w:r>
            <w:r w:rsidR="001C0929" w:rsidRPr="004B3030">
              <w:t>(</w:t>
            </w:r>
            <w:r w:rsidR="001C0929">
              <w:t xml:space="preserve">DE, DK, NL, IT, SE + EIB, KfW) </w:t>
            </w:r>
            <w:r w:rsidR="001C0929" w:rsidRPr="00FA6A19">
              <w:t xml:space="preserve">will ensure </w:t>
            </w:r>
            <w:r w:rsidR="001C0929" w:rsidRPr="00D835EB">
              <w:t xml:space="preserve">access to green skills </w:t>
            </w:r>
            <w:r w:rsidR="001C0929">
              <w:t>through joint efforts of EU-Germany-Netherlands in</w:t>
            </w:r>
            <w:r w:rsidR="001C0929" w:rsidRPr="005A2D21">
              <w:t xml:space="preserve"> </w:t>
            </w:r>
            <w:r w:rsidR="001C0929" w:rsidRPr="00D835EB">
              <w:t>education and TVET</w:t>
            </w:r>
            <w:r w:rsidR="001C0929">
              <w:t>.</w:t>
            </w:r>
          </w:p>
          <w:p w14:paraId="1A9B3D4D" w14:textId="33A06EB9" w:rsidR="001C0929" w:rsidRDefault="001C0929" w:rsidP="001C0929">
            <w:pPr>
              <w:spacing w:after="120"/>
              <w:jc w:val="both"/>
            </w:pPr>
            <w:r w:rsidRPr="004B73D5">
              <w:t>DG ECHO</w:t>
            </w:r>
            <w:r>
              <w:t xml:space="preserve"> </w:t>
            </w:r>
            <w:r w:rsidRPr="004B73D5">
              <w:t>delivers Education in Emergencies (EiE) interventions to newly displaced populations and communities affected by displacement, with a focus on hard-to-reach and conflict-affected areas in Southern Somalia and the disputed regions between Somaliland and Puntland.</w:t>
            </w:r>
          </w:p>
          <w:p w14:paraId="5004676D" w14:textId="4051C040" w:rsidR="001C0929" w:rsidRPr="001C0929" w:rsidRDefault="001C0929" w:rsidP="001C0929">
            <w:pPr>
              <w:spacing w:after="120"/>
              <w:jc w:val="both"/>
            </w:pPr>
            <w:r w:rsidRPr="0061033B">
              <w:t xml:space="preserve">Finland </w:t>
            </w:r>
            <w:r w:rsidR="00621F6A">
              <w:t>contributes</w:t>
            </w:r>
            <w:r>
              <w:t xml:space="preserve"> to UNICEF’s country programme (</w:t>
            </w:r>
            <w:r w:rsidRPr="0061033B">
              <w:t>EUR 7</w:t>
            </w:r>
            <w:r>
              <w:t>.6 million). Italy and Netherlands provide higher education scholarships for Somali youth.</w:t>
            </w:r>
          </w:p>
        </w:tc>
      </w:tr>
    </w:tbl>
    <w:p w14:paraId="65AF21BA" w14:textId="72395FD1" w:rsidR="001C0929" w:rsidRDefault="001C0929" w:rsidP="001C0929">
      <w:pPr>
        <w:rPr>
          <w:lang w:val="en-IE"/>
        </w:rPr>
      </w:pPr>
    </w:p>
    <w:tbl>
      <w:tblPr>
        <w:tblStyle w:val="TableGrid"/>
        <w:tblW w:w="0" w:type="auto"/>
        <w:tblLook w:val="04A0" w:firstRow="1" w:lastRow="0" w:firstColumn="1" w:lastColumn="0" w:noHBand="0" w:noVBand="1"/>
      </w:tblPr>
      <w:tblGrid>
        <w:gridCol w:w="10456"/>
      </w:tblGrid>
      <w:tr w:rsidR="001C0929" w14:paraId="1C6B9A89" w14:textId="77777777" w:rsidTr="5C6B7F50">
        <w:tc>
          <w:tcPr>
            <w:tcW w:w="10456" w:type="dxa"/>
          </w:tcPr>
          <w:p w14:paraId="4212668E" w14:textId="12606874" w:rsidR="001C0929" w:rsidRPr="00CF430C" w:rsidRDefault="001C0929" w:rsidP="001C0929">
            <w:pPr>
              <w:spacing w:after="120"/>
              <w:rPr>
                <w:color w:val="FF0000"/>
              </w:rPr>
            </w:pPr>
            <w:r>
              <w:rPr>
                <w:color w:val="FF0000"/>
              </w:rPr>
              <w:t xml:space="preserve">Education </w:t>
            </w:r>
            <w:r w:rsidR="00621F6A">
              <w:rPr>
                <w:color w:val="FF0000"/>
              </w:rPr>
              <w:t>p</w:t>
            </w:r>
            <w:r>
              <w:rPr>
                <w:color w:val="FF0000"/>
              </w:rPr>
              <w:t>artnerships</w:t>
            </w:r>
          </w:p>
          <w:p w14:paraId="45139C9A" w14:textId="656A3520" w:rsidR="001C0929" w:rsidRPr="001C0929" w:rsidRDefault="59E5E920" w:rsidP="001C0929">
            <w:pPr>
              <w:spacing w:after="120"/>
              <w:jc w:val="both"/>
            </w:pPr>
            <w:r>
              <w:t xml:space="preserve">The </w:t>
            </w:r>
            <w:r w:rsidR="15D4DAB7">
              <w:t xml:space="preserve">EU is involved in sector coordination forums, Cluster and Local Education Group, facilitates annual Joint Reviews of the Education Sector (JRES) and is the coordinating agency for the GPE. </w:t>
            </w:r>
            <w:r w:rsidR="0EA25F4A">
              <w:t>P</w:t>
            </w:r>
            <w:r w:rsidR="15D4DAB7">
              <w:t xml:space="preserve">artners include GPE, World Bank, UN agencies, ECW, ADRA, </w:t>
            </w:r>
            <w:r w:rsidR="77090398">
              <w:t xml:space="preserve">Foreign, Commonwealth and Development Office, </w:t>
            </w:r>
            <w:r w:rsidR="15D4DAB7">
              <w:t>Africa Educational Trust, CARE, GIZ</w:t>
            </w:r>
            <w:r w:rsidR="0EA25F4A">
              <w:t xml:space="preserve">, </w:t>
            </w:r>
            <w:r w:rsidR="15D4DAB7">
              <w:t>Save the Children</w:t>
            </w:r>
            <w:r w:rsidR="0EA25F4A">
              <w:t xml:space="preserve">, </w:t>
            </w:r>
            <w:r w:rsidR="3532C1EE">
              <w:t xml:space="preserve">Finn Church Aid, </w:t>
            </w:r>
            <w:r w:rsidR="6F9F6292">
              <w:t xml:space="preserve">NRC, </w:t>
            </w:r>
            <w:r w:rsidR="15D4DAB7">
              <w:t>USAID, Qatar and Norway.</w:t>
            </w:r>
          </w:p>
        </w:tc>
      </w:tr>
    </w:tbl>
    <w:p w14:paraId="110E689D" w14:textId="77777777" w:rsidR="006740B7" w:rsidRDefault="006740B7" w:rsidP="006740B7">
      <w:pPr>
        <w:rPr>
          <w:b/>
          <w:bCs/>
          <w:sz w:val="28"/>
          <w:szCs w:val="28"/>
        </w:rPr>
      </w:pPr>
      <w:r>
        <w:rPr>
          <w:b/>
          <w:bCs/>
          <w:sz w:val="28"/>
          <w:szCs w:val="28"/>
        </w:rPr>
        <w:t>Key c</w:t>
      </w:r>
      <w:r w:rsidR="00086AF4" w:rsidRPr="006740B7">
        <w:rPr>
          <w:b/>
          <w:bCs/>
          <w:sz w:val="28"/>
          <w:szCs w:val="28"/>
        </w:rPr>
        <w:t>hallenge</w:t>
      </w:r>
      <w:r>
        <w:rPr>
          <w:b/>
          <w:bCs/>
          <w:sz w:val="28"/>
          <w:szCs w:val="28"/>
        </w:rPr>
        <w:t>s</w:t>
      </w:r>
    </w:p>
    <w:p w14:paraId="44B065D3" w14:textId="7922348F" w:rsidR="00AF097C" w:rsidRPr="00787188" w:rsidRDefault="00403393" w:rsidP="006740B7">
      <w:pPr>
        <w:jc w:val="both"/>
        <w:rPr>
          <w:rFonts w:eastAsiaTheme="majorEastAsia"/>
        </w:rPr>
      </w:pPr>
      <w:r w:rsidRPr="00787188">
        <w:rPr>
          <w:rFonts w:eastAsiaTheme="majorEastAsia"/>
        </w:rPr>
        <w:t>Somalia has made significant progress</w:t>
      </w:r>
      <w:r w:rsidR="00A53B47">
        <w:rPr>
          <w:rFonts w:eastAsiaTheme="majorEastAsia"/>
        </w:rPr>
        <w:t xml:space="preserve"> in education. However</w:t>
      </w:r>
      <w:r w:rsidRPr="00787188">
        <w:rPr>
          <w:rFonts w:eastAsiaTheme="majorEastAsia"/>
        </w:rPr>
        <w:t>, it continues to have one of the lowest rates of school enrolment in the world</w:t>
      </w:r>
      <w:r w:rsidR="00A53B47">
        <w:rPr>
          <w:rFonts w:eastAsiaTheme="majorEastAsia"/>
        </w:rPr>
        <w:t xml:space="preserve">. </w:t>
      </w:r>
      <w:r w:rsidR="006D3F4D">
        <w:rPr>
          <w:rFonts w:eastAsiaTheme="majorEastAsia"/>
        </w:rPr>
        <w:t xml:space="preserve">Poverty levels </w:t>
      </w:r>
      <w:r w:rsidRPr="00787188">
        <w:rPr>
          <w:rFonts w:eastAsiaTheme="majorEastAsia"/>
        </w:rPr>
        <w:t>prevent parents from sending their children to school.</w:t>
      </w:r>
      <w:r w:rsidR="00023B12" w:rsidRPr="00023B12">
        <w:rPr>
          <w:rFonts w:ascii="Times New Roman" w:hAnsi="Times New Roman" w:cs="Times New Roman"/>
          <w:noProof w:val="0"/>
          <w:color w:val="0D0D0D"/>
          <w:sz w:val="22"/>
          <w:szCs w:val="22"/>
        </w:rPr>
        <w:t xml:space="preserve"> </w:t>
      </w:r>
      <w:r w:rsidR="00023B12">
        <w:rPr>
          <w:rFonts w:eastAsiaTheme="majorEastAsia"/>
        </w:rPr>
        <w:t>O</w:t>
      </w:r>
      <w:r w:rsidR="00023B12" w:rsidRPr="00023B12">
        <w:rPr>
          <w:rFonts w:eastAsiaTheme="majorEastAsia"/>
        </w:rPr>
        <w:t xml:space="preserve">nly 20% of school-aged </w:t>
      </w:r>
      <w:r w:rsidR="009E3AF8">
        <w:rPr>
          <w:rFonts w:eastAsiaTheme="majorEastAsia"/>
        </w:rPr>
        <w:t xml:space="preserve">children </w:t>
      </w:r>
      <w:r w:rsidR="00023B12" w:rsidRPr="00023B12">
        <w:rPr>
          <w:rFonts w:eastAsiaTheme="majorEastAsia"/>
        </w:rPr>
        <w:t>finish primary school.</w:t>
      </w:r>
      <w:r w:rsidRPr="00787188">
        <w:rPr>
          <w:rFonts w:eastAsiaTheme="majorEastAsia"/>
        </w:rPr>
        <w:t xml:space="preserve"> Rural areas face accessibility challenges and gender inequalities persist throughout the education system. Merely a quarter of the female population and half of the male population are literate, with pastoralist communities facing particular disadvantage. </w:t>
      </w:r>
      <w:r w:rsidR="005A2D21" w:rsidRPr="00787188">
        <w:rPr>
          <w:rFonts w:eastAsiaTheme="majorEastAsia"/>
        </w:rPr>
        <w:t>B</w:t>
      </w:r>
      <w:r w:rsidR="00177B3F" w:rsidRPr="00787188">
        <w:rPr>
          <w:rFonts w:eastAsiaTheme="majorEastAsia"/>
        </w:rPr>
        <w:t>etween 50</w:t>
      </w:r>
      <w:r w:rsidR="00457FD0">
        <w:rPr>
          <w:rFonts w:eastAsiaTheme="majorEastAsia"/>
        </w:rPr>
        <w:t>%</w:t>
      </w:r>
      <w:r w:rsidR="00177B3F" w:rsidRPr="00787188">
        <w:rPr>
          <w:rFonts w:eastAsiaTheme="majorEastAsia"/>
        </w:rPr>
        <w:t xml:space="preserve"> and 80% of teachers across the country</w:t>
      </w:r>
      <w:r w:rsidRPr="00787188">
        <w:rPr>
          <w:rFonts w:eastAsiaTheme="majorEastAsia"/>
        </w:rPr>
        <w:t xml:space="preserve"> lack formal training and receive inadequate and inconsistent pay</w:t>
      </w:r>
      <w:r w:rsidRPr="00EF7C0B">
        <w:rPr>
          <w:rFonts w:eastAsiaTheme="majorEastAsia"/>
          <w:color w:val="365F91" w:themeColor="accent1" w:themeShade="BF"/>
        </w:rPr>
        <w:t>.</w:t>
      </w:r>
    </w:p>
    <w:p w14:paraId="69F83C0E" w14:textId="50DA0F55" w:rsidR="00333909" w:rsidRPr="00162F65" w:rsidRDefault="00D82094" w:rsidP="00162F65">
      <w:pPr>
        <w:jc w:val="both"/>
        <w:rPr>
          <w:b/>
          <w:bCs/>
          <w:sz w:val="28"/>
          <w:szCs w:val="28"/>
        </w:rPr>
      </w:pPr>
      <w:r w:rsidRPr="00162F65">
        <w:rPr>
          <w:b/>
          <w:bCs/>
          <w:sz w:val="28"/>
          <w:szCs w:val="28"/>
        </w:rPr>
        <w:t>EU added value</w:t>
      </w:r>
    </w:p>
    <w:p w14:paraId="72CB8682" w14:textId="3AAA8391" w:rsidR="006B17A0" w:rsidRDefault="006B17A0" w:rsidP="0D558B23">
      <w:pPr>
        <w:jc w:val="both"/>
      </w:pPr>
      <w:r>
        <w:t xml:space="preserve">The EU </w:t>
      </w:r>
      <w:r w:rsidR="00B444FB">
        <w:t>play</w:t>
      </w:r>
      <w:r w:rsidR="006D3F4D">
        <w:t>s</w:t>
      </w:r>
      <w:r w:rsidR="00B444FB">
        <w:t xml:space="preserve"> a</w:t>
      </w:r>
      <w:r>
        <w:t xml:space="preserve"> leading role in </w:t>
      </w:r>
      <w:r w:rsidR="002E27A5">
        <w:t xml:space="preserve">the </w:t>
      </w:r>
      <w:r>
        <w:t>education sector in Somalia in terms of financing, policy dialogue and coordination</w:t>
      </w:r>
      <w:r w:rsidR="006D3F4D">
        <w:t xml:space="preserve">. </w:t>
      </w:r>
      <w:r w:rsidR="00CC5276">
        <w:t>Th</w:t>
      </w:r>
      <w:r w:rsidR="00697C90">
        <w:t>is</w:t>
      </w:r>
      <w:r w:rsidR="00CC5276">
        <w:t xml:space="preserve"> support </w:t>
      </w:r>
      <w:r w:rsidR="005345CA">
        <w:t xml:space="preserve">takes </w:t>
      </w:r>
      <w:r w:rsidR="00CC5276">
        <w:t xml:space="preserve">a </w:t>
      </w:r>
      <w:r w:rsidR="00755888">
        <w:t>s</w:t>
      </w:r>
      <w:r w:rsidR="00CC5276">
        <w:t>ector</w:t>
      </w:r>
      <w:r w:rsidR="00755888">
        <w:t>-w</w:t>
      </w:r>
      <w:r w:rsidR="00CC5276">
        <w:t xml:space="preserve">ide </w:t>
      </w:r>
      <w:r w:rsidR="00755888">
        <w:t>a</w:t>
      </w:r>
      <w:r w:rsidR="00CC5276">
        <w:t xml:space="preserve">pproach, </w:t>
      </w:r>
      <w:r w:rsidR="00611B17">
        <w:t xml:space="preserve">with a focus on strengthening systems and </w:t>
      </w:r>
      <w:r w:rsidR="00CC5276">
        <w:t>addressing priorities in the</w:t>
      </w:r>
      <w:r w:rsidR="00755888">
        <w:t xml:space="preserve"> educa</w:t>
      </w:r>
      <w:r w:rsidR="006D2BD2">
        <w:t xml:space="preserve">tion authorities’ </w:t>
      </w:r>
      <w:r w:rsidR="00CC5276">
        <w:t xml:space="preserve">strategic plans. </w:t>
      </w:r>
      <w:r w:rsidR="005F6403">
        <w:t xml:space="preserve">Through projects implemented by </w:t>
      </w:r>
      <w:r w:rsidR="5D6CDE2B">
        <w:t>competitive</w:t>
      </w:r>
      <w:r w:rsidR="005F6403">
        <w:t xml:space="preserve"> selected NGO Consortia, EU has contributed to substantial increases in access, as well as improvements in school quality, through national curriculum, textbooks and </w:t>
      </w:r>
      <w:r w:rsidR="005F6403">
        <w:lastRenderedPageBreak/>
        <w:t>teacher guides, teacher training</w:t>
      </w:r>
      <w:r w:rsidR="006740B7">
        <w:t xml:space="preserve">, management and payroll systems, </w:t>
      </w:r>
      <w:r w:rsidR="005F6403">
        <w:t xml:space="preserve">community engagement, and strengthened capacity at national, sub-national and school levels. </w:t>
      </w:r>
    </w:p>
    <w:tbl>
      <w:tblPr>
        <w:tblStyle w:val="TableGrid"/>
        <w:tblW w:w="0" w:type="auto"/>
        <w:tblLook w:val="04A0" w:firstRow="1" w:lastRow="0" w:firstColumn="1" w:lastColumn="0" w:noHBand="0" w:noVBand="1"/>
      </w:tblPr>
      <w:tblGrid>
        <w:gridCol w:w="1696"/>
        <w:gridCol w:w="8760"/>
      </w:tblGrid>
      <w:tr w:rsidR="00B9654F" w14:paraId="071F9BC4" w14:textId="77777777" w:rsidTr="005E26E4">
        <w:trPr>
          <w:trHeight w:val="624"/>
        </w:trPr>
        <w:tc>
          <w:tcPr>
            <w:tcW w:w="1696" w:type="dxa"/>
            <w:vAlign w:val="center"/>
          </w:tcPr>
          <w:p w14:paraId="0EB90294" w14:textId="77777777" w:rsidR="00B9654F" w:rsidRPr="00C44239" w:rsidRDefault="00B9654F" w:rsidP="005E26E4">
            <w:pPr>
              <w:jc w:val="center"/>
              <w:rPr>
                <w:b/>
                <w:bCs/>
              </w:rPr>
            </w:pPr>
            <w:r w:rsidRPr="045896B8">
              <w:rPr>
                <w:b/>
                <w:bCs/>
              </w:rPr>
              <w:t>Access</w:t>
            </w:r>
          </w:p>
          <w:p w14:paraId="6AA4A401" w14:textId="77777777" w:rsidR="00B9654F" w:rsidRDefault="00B9654F" w:rsidP="005E26E4">
            <w:pPr>
              <w:jc w:val="center"/>
            </w:pPr>
            <w:r>
              <w:rPr>
                <w:lang w:eastAsia="en-GB"/>
              </w:rPr>
              <w:drawing>
                <wp:inline distT="0" distB="0" distL="0" distR="0" wp14:anchorId="62A75B88" wp14:editId="496F6C7D">
                  <wp:extent cx="374650" cy="354709"/>
                  <wp:effectExtent l="0" t="0" r="6350" b="0"/>
                  <wp:docPr id="2" name="Picture 4" descr="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uola"/>
                          <pic:cNvPicPr>
                            <a:picLocks noChangeAspect="1" noChangeArrowheads="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661" b="2661"/>
                          <a:stretch>
                            <a:fillRect/>
                          </a:stretch>
                        </pic:blipFill>
                        <pic:spPr bwMode="auto">
                          <a:xfrm>
                            <a:off x="0" y="0"/>
                            <a:ext cx="390014" cy="369256"/>
                          </a:xfrm>
                          <a:prstGeom prst="rect">
                            <a:avLst/>
                          </a:prstGeom>
                          <a:extLst>
                            <a:ext uri="{53640926-AAD7-44D8-BBD7-CCE9431645EC}">
                              <a14:shadowObscured xmlns:a14="http://schemas.microsoft.com/office/drawing/2010/main"/>
                            </a:ext>
                          </a:extLst>
                        </pic:spPr>
                      </pic:pic>
                    </a:graphicData>
                  </a:graphic>
                </wp:inline>
              </w:drawing>
            </w:r>
          </w:p>
        </w:tc>
        <w:tc>
          <w:tcPr>
            <w:tcW w:w="8760" w:type="dxa"/>
            <w:vAlign w:val="center"/>
          </w:tcPr>
          <w:p w14:paraId="4934BC10" w14:textId="4E8DDBEE" w:rsidR="00B9654F" w:rsidRDefault="00B9654F" w:rsidP="00B9654F">
            <w:pPr>
              <w:jc w:val="both"/>
            </w:pPr>
            <w:r>
              <w:t xml:space="preserve">Since 2001, through EU support, 17,000 teachers were trained, 3,000 teachers supported with salaries/incentives and 210 new schools (and 1,370 new classrooms) were built. Between 2018-2021, 2.084 million students enrolled in primary education and 204,320 students enrolled in secondary education with EU support. 11,345 </w:t>
            </w:r>
            <w:r w:rsidRPr="0D558B23">
              <w:rPr>
                <w:rFonts w:ascii="Calibri" w:eastAsia="Calibri" w:hAnsi="Calibri" w:cs="Calibri"/>
              </w:rPr>
              <w:t xml:space="preserve">people </w:t>
            </w:r>
            <w:r>
              <w:t>benefited from institution or workplace-based TVET and skills development interventions funded by the EU.</w:t>
            </w:r>
            <w:r w:rsidRPr="0D558B23">
              <w:rPr>
                <w:rStyle w:val="FootnoteReference"/>
              </w:rPr>
              <w:footnoteReference w:id="1"/>
            </w:r>
            <w:r>
              <w:t xml:space="preserve"> In 2022, DG ECHO funding to education in emergencies supported over 70,000 school-aged children and young people, their teachers and caregivers who were affected by humanitarian crises.</w:t>
            </w:r>
            <w:r>
              <w:tab/>
            </w:r>
          </w:p>
        </w:tc>
      </w:tr>
      <w:tr w:rsidR="00DA3480" w14:paraId="374EAE62" w14:textId="77777777" w:rsidTr="005E26E4">
        <w:trPr>
          <w:trHeight w:val="624"/>
        </w:trPr>
        <w:tc>
          <w:tcPr>
            <w:tcW w:w="1696" w:type="dxa"/>
            <w:vAlign w:val="center"/>
          </w:tcPr>
          <w:p w14:paraId="7D0C9B0C" w14:textId="77777777" w:rsidR="009D25EA" w:rsidRPr="00A621E0" w:rsidRDefault="009D25EA" w:rsidP="009D25EA">
            <w:pPr>
              <w:jc w:val="center"/>
              <w:rPr>
                <w:b/>
                <w:bCs/>
              </w:rPr>
            </w:pPr>
            <w:r w:rsidRPr="00A621E0">
              <w:rPr>
                <w:b/>
                <w:bCs/>
              </w:rPr>
              <w:t>System strengthening</w:t>
            </w:r>
          </w:p>
          <w:p w14:paraId="6EE0D955" w14:textId="67A51903" w:rsidR="00DA3480" w:rsidRPr="045896B8" w:rsidRDefault="009D25EA" w:rsidP="009D25EA">
            <w:pPr>
              <w:jc w:val="center"/>
              <w:rPr>
                <w:b/>
                <w:bCs/>
              </w:rPr>
            </w:pPr>
            <w:r w:rsidRPr="00A621E0">
              <w:rPr>
                <w:b/>
                <w:bCs/>
              </w:rPr>
              <w:drawing>
                <wp:inline distT="0" distB="0" distL="0" distR="0" wp14:anchorId="43BD7975" wp14:editId="56E95086">
                  <wp:extent cx="368300" cy="328032"/>
                  <wp:effectExtent l="0" t="0" r="0" b="0"/>
                  <wp:docPr id="5" name="Picture 5" descr="Ministry of education icon set. university illustration sign collection. school  symbol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education icon set. university illustration sign collection. school  symbol Stock Vector | Adobe 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451" t="18208" r="14534" b="17650"/>
                          <a:stretch/>
                        </pic:blipFill>
                        <pic:spPr bwMode="auto">
                          <a:xfrm>
                            <a:off x="0" y="0"/>
                            <a:ext cx="376827" cy="3356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60" w:type="dxa"/>
            <w:vAlign w:val="center"/>
          </w:tcPr>
          <w:p w14:paraId="303DDE33" w14:textId="77777777" w:rsidR="00DA3480" w:rsidRPr="000125C5" w:rsidRDefault="00DA3480" w:rsidP="00DA3480">
            <w:pPr>
              <w:spacing w:after="120"/>
              <w:jc w:val="both"/>
            </w:pPr>
            <w:r>
              <w:t xml:space="preserve">Through the </w:t>
            </w:r>
            <w:r w:rsidRPr="00BF7C5F">
              <w:rPr>
                <w:b/>
                <w:bCs/>
              </w:rPr>
              <w:t>Somalia State Building and Resilience Budget Support Programme</w:t>
            </w:r>
            <w:r>
              <w:rPr>
                <w:b/>
                <w:bCs/>
              </w:rPr>
              <w:t xml:space="preserve"> (SRBC)</w:t>
            </w:r>
            <w:r>
              <w:t xml:space="preserve"> (2018-2021) under the EU-Africa Trust Fund, the EU helped the federal government to </w:t>
            </w:r>
            <w:r w:rsidRPr="00BF7C5F">
              <w:t>improve Public Finance Management</w:t>
            </w:r>
            <w:r>
              <w:t xml:space="preserve"> and </w:t>
            </w:r>
            <w:r w:rsidRPr="00BF7C5F">
              <w:t>increase of the role and capacity of the Somali authorities in service provision</w:t>
            </w:r>
            <w:r>
              <w:t xml:space="preserve">, especially in education. A new budget support programme will build on the SRBC and seek </w:t>
            </w:r>
            <w:r w:rsidRPr="000125C5">
              <w:t xml:space="preserve">to </w:t>
            </w:r>
            <w:r w:rsidRPr="000125C5">
              <w:rPr>
                <w:rFonts w:cs="Times New Roman"/>
              </w:rPr>
              <w:t>increase public investments into Somalia’s education system.</w:t>
            </w:r>
            <w:r w:rsidRPr="000125C5">
              <w:t xml:space="preserve"> </w:t>
            </w:r>
          </w:p>
          <w:p w14:paraId="42FE7802" w14:textId="055A7ED9" w:rsidR="00DA3480" w:rsidRDefault="00DA3480" w:rsidP="00B9654F">
            <w:pPr>
              <w:jc w:val="both"/>
            </w:pPr>
            <w:r w:rsidRPr="00697C90">
              <w:t>The EU also finances T</w:t>
            </w:r>
            <w:r>
              <w:t xml:space="preserve">echnical </w:t>
            </w:r>
            <w:r w:rsidRPr="00697C90">
              <w:t>A</w:t>
            </w:r>
            <w:r>
              <w:t>ssistance</w:t>
            </w:r>
            <w:r w:rsidRPr="00697C90">
              <w:t xml:space="preserve"> (mostly from diaspora) to support system strengthening and has partnered with the World Bank on teacher payroll system development.</w:t>
            </w:r>
            <w:r>
              <w:t xml:space="preserve"> </w:t>
            </w:r>
          </w:p>
        </w:tc>
      </w:tr>
      <w:tr w:rsidR="009D25EA" w14:paraId="21BB8C00" w14:textId="77777777" w:rsidTr="005E26E4">
        <w:trPr>
          <w:trHeight w:val="624"/>
        </w:trPr>
        <w:tc>
          <w:tcPr>
            <w:tcW w:w="1696" w:type="dxa"/>
            <w:vAlign w:val="center"/>
          </w:tcPr>
          <w:p w14:paraId="66C020FA" w14:textId="5894C461" w:rsidR="009D25EA" w:rsidRDefault="009D25EA" w:rsidP="009D25EA">
            <w:pPr>
              <w:jc w:val="center"/>
              <w:rPr>
                <w:b/>
                <w:bCs/>
              </w:rPr>
            </w:pPr>
            <w:r>
              <w:rPr>
                <w:b/>
                <w:bCs/>
              </w:rPr>
              <w:t>Higher Education</w:t>
            </w:r>
            <w:r w:rsidR="004E12C6">
              <w:rPr>
                <w:b/>
                <w:bCs/>
              </w:rPr>
              <w:t xml:space="preserve"> and Vocational Training</w:t>
            </w:r>
          </w:p>
          <w:p w14:paraId="153D03D8" w14:textId="73BE1020" w:rsidR="009D25EA" w:rsidRPr="00A621E0" w:rsidRDefault="009D25EA" w:rsidP="009D25EA">
            <w:pPr>
              <w:jc w:val="center"/>
              <w:rPr>
                <w:b/>
                <w:bCs/>
              </w:rPr>
            </w:pPr>
            <w:r>
              <w:rPr>
                <w:b/>
                <w:bCs/>
                <w:lang w:eastAsia="en-GB"/>
              </w:rPr>
              <w:drawing>
                <wp:inline distT="0" distB="0" distL="0" distR="0" wp14:anchorId="5D7D9EC0" wp14:editId="374000CB">
                  <wp:extent cx="572052" cy="42966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2750" b="98119" l="1957" r="96087">
                                        <a14:foregroundMark x1="20978" y1="28365" x2="20978" y2="28365"/>
                                        <a14:foregroundMark x1="96087" y1="23734" x2="96087" y2="23734"/>
                                        <a14:foregroundMark x1="53696" y1="3039" x2="53696" y2="3039"/>
                                        <a14:foregroundMark x1="8804" y1="27207" x2="8804" y2="27207"/>
                                        <a14:foregroundMark x1="7935" y1="60347" x2="7935" y2="60347"/>
                                        <a14:foregroundMark x1="6739" y1="89436" x2="6739" y2="89436"/>
                                        <a14:foregroundMark x1="6739" y1="98263" x2="6739" y2="98263"/>
                                        <a14:foregroundMark x1="1957" y1="93343" x2="1957" y2="93343"/>
                                        <a14:foregroundMark x1="44457" y1="63821" x2="44457" y2="6382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590325" cy="443385"/>
                          </a:xfrm>
                          <a:prstGeom prst="rect">
                            <a:avLst/>
                          </a:prstGeom>
                          <a:noFill/>
                        </pic:spPr>
                      </pic:pic>
                    </a:graphicData>
                  </a:graphic>
                </wp:inline>
              </w:drawing>
            </w:r>
          </w:p>
        </w:tc>
        <w:tc>
          <w:tcPr>
            <w:tcW w:w="8760" w:type="dxa"/>
            <w:vAlign w:val="center"/>
          </w:tcPr>
          <w:p w14:paraId="2FD052F1" w14:textId="4A252BA5" w:rsidR="009D25EA" w:rsidRPr="00443A86" w:rsidRDefault="00C31453" w:rsidP="009D25EA">
            <w:pPr>
              <w:spacing w:before="120"/>
              <w:jc w:val="both"/>
              <w:rPr>
                <w:b/>
                <w:bCs/>
              </w:rPr>
            </w:pPr>
            <w:r>
              <w:t>Under Erasmus+:</w:t>
            </w:r>
          </w:p>
          <w:p w14:paraId="660AB46D" w14:textId="77777777" w:rsidR="009D25EA" w:rsidRDefault="009D25EA" w:rsidP="009D25EA">
            <w:pPr>
              <w:pStyle w:val="ListParagraph"/>
              <w:numPr>
                <w:ilvl w:val="0"/>
                <w:numId w:val="32"/>
              </w:numPr>
              <w:jc w:val="both"/>
            </w:pPr>
            <w:r>
              <w:t>46 Somalian students, researchers, and staff have benefited from Erasmus+ short term mobility to Europe; 35 students and staff from Europe have moved to Somalia (2014-2021). Between 2022-2024 additional 21 students and staff will benefit from mobility to two European countries, while five Somali universities will host around 12 Europeans.</w:t>
            </w:r>
          </w:p>
          <w:p w14:paraId="43B8A160" w14:textId="77777777" w:rsidR="009D25EA" w:rsidRDefault="009D25EA" w:rsidP="009D25EA">
            <w:pPr>
              <w:pStyle w:val="ListParagraph"/>
              <w:numPr>
                <w:ilvl w:val="0"/>
                <w:numId w:val="32"/>
              </w:numPr>
              <w:jc w:val="both"/>
            </w:pPr>
            <w:r>
              <w:t>Seven Somali students have been awarded the Erasmus Mundus joint master’s scholarship (2014 – 2022). Another 30 have benefited from HE scholarships supported through other EU funded projects.</w:t>
            </w:r>
          </w:p>
          <w:p w14:paraId="1D13A94F" w14:textId="77777777" w:rsidR="009D25EA" w:rsidRPr="00443A86" w:rsidRDefault="009D25EA" w:rsidP="009D25EA">
            <w:pPr>
              <w:pStyle w:val="ListParagraph"/>
              <w:numPr>
                <w:ilvl w:val="0"/>
                <w:numId w:val="32"/>
              </w:numPr>
              <w:jc w:val="both"/>
              <w:rPr>
                <w:b/>
                <w:bCs/>
              </w:rPr>
            </w:pPr>
            <w:r>
              <w:t>The Safe Motherhood CBHE project helps developing Nursing and Midwifery Teachers’ and Students’ Competencies in Sexual and Reproductive Health and Rights, involving higher education institutes in Somaliland, Kenya, Finland and Estonia (2023-2026).</w:t>
            </w:r>
          </w:p>
          <w:p w14:paraId="1652EF7A" w14:textId="77777777" w:rsidR="009D25EA" w:rsidRPr="00443A86" w:rsidRDefault="009D25EA" w:rsidP="009D25EA">
            <w:pPr>
              <w:pStyle w:val="ListParagraph"/>
              <w:numPr>
                <w:ilvl w:val="0"/>
                <w:numId w:val="32"/>
              </w:numPr>
              <w:jc w:val="both"/>
              <w:rPr>
                <w:b/>
                <w:bCs/>
              </w:rPr>
            </w:pPr>
            <w:r>
              <w:t>The Developing Capacities in the Area of TVET for Green Energy Transition in Sub-Saharan Africa CBVET project focuses on enhancing the labour-market orientation and relevance of VET courses in the green energy sector and improving the competencies, skills and employability potential of students, involving partners from Poland, Norway, Cameroon, Kenya and Rwanda (2023-2025).</w:t>
            </w:r>
          </w:p>
          <w:p w14:paraId="60C93322" w14:textId="01D8FB1A" w:rsidR="009D25EA" w:rsidRDefault="009D25EA" w:rsidP="009D25EA">
            <w:pPr>
              <w:pStyle w:val="ListParagraph"/>
              <w:numPr>
                <w:ilvl w:val="0"/>
                <w:numId w:val="32"/>
              </w:numPr>
              <w:jc w:val="both"/>
            </w:pPr>
            <w:r>
              <w:t xml:space="preserve">Somalia is the only country in sub-Saharan Africa with a Jean Monnet Chair. </w:t>
            </w:r>
          </w:p>
        </w:tc>
      </w:tr>
    </w:tbl>
    <w:p w14:paraId="7B871D3E" w14:textId="3537AC79" w:rsidR="00B265AE" w:rsidRDefault="005376A9" w:rsidP="007940A8">
      <w:pPr>
        <w:spacing w:before="120"/>
        <w:jc w:val="both"/>
      </w:pPr>
      <w:r>
        <w:t xml:space="preserve">The EU and the Federal Government of Somalia held an Article 8 Political Dialogue in March 2023. The high-level and political engagement with the FGS will be continued with a joint commitment to </w:t>
      </w:r>
      <w:r w:rsidRPr="006C529F">
        <w:t>socio-economic growth, through increased provision of basic services, education and digital solutions for people in urban and selected rural areas</w:t>
      </w:r>
      <w:r>
        <w:t>.</w:t>
      </w:r>
    </w:p>
    <w:p w14:paraId="3A77430D" w14:textId="2FD2A6CD" w:rsidR="00767C99" w:rsidRDefault="000F2F6D" w:rsidP="001671B9">
      <w:pPr>
        <w:jc w:val="both"/>
      </w:pPr>
      <w:r>
        <w:t>T</w:t>
      </w:r>
      <w:r w:rsidR="00B444FB">
        <w:t xml:space="preserve">he </w:t>
      </w:r>
      <w:r w:rsidR="00767C99" w:rsidRPr="00767C99">
        <w:t>EU w</w:t>
      </w:r>
      <w:r w:rsidR="00767C99" w:rsidRPr="009C7E0A">
        <w:t xml:space="preserve">orks </w:t>
      </w:r>
      <w:r w:rsidR="00456859">
        <w:t xml:space="preserve">in coordination </w:t>
      </w:r>
      <w:r w:rsidR="00767C99" w:rsidRPr="009C7E0A">
        <w:t>w</w:t>
      </w:r>
      <w:r w:rsidR="00767C99">
        <w:t xml:space="preserve">ith </w:t>
      </w:r>
      <w:r w:rsidR="00767C99" w:rsidRPr="00767C99">
        <w:t>GPE</w:t>
      </w:r>
      <w:r w:rsidR="00611B17">
        <w:t xml:space="preserve"> and</w:t>
      </w:r>
      <w:r w:rsidR="00767C99">
        <w:t xml:space="preserve"> ECW in Somalia.</w:t>
      </w:r>
      <w:r w:rsidR="00767C99" w:rsidRPr="00767C99">
        <w:t xml:space="preserve"> </w:t>
      </w:r>
      <w:r w:rsidR="00767C99">
        <w:t xml:space="preserve">GPE </w:t>
      </w:r>
      <w:r w:rsidR="002F390D">
        <w:t>contributes to improved access for disadvantaged children, better teaching and learning outcomes through teacher training, incentives for teachers</w:t>
      </w:r>
      <w:r w:rsidR="00522762">
        <w:t xml:space="preserve">, </w:t>
      </w:r>
      <w:r w:rsidR="002F390D">
        <w:t>teaching and learning materials, and s</w:t>
      </w:r>
      <w:r w:rsidR="002F390D" w:rsidRPr="002F390D">
        <w:t>trengthen</w:t>
      </w:r>
      <w:r w:rsidR="002F390D">
        <w:t>ed</w:t>
      </w:r>
      <w:r w:rsidR="002F390D" w:rsidRPr="002F390D">
        <w:t xml:space="preserve"> institutional systems for better service delivery.</w:t>
      </w:r>
      <w:r w:rsidR="004A7681">
        <w:t xml:space="preserve"> </w:t>
      </w:r>
      <w:r w:rsidR="002F390D">
        <w:t>ECW support</w:t>
      </w:r>
      <w:r w:rsidR="007D3A19">
        <w:t xml:space="preserve"> </w:t>
      </w:r>
      <w:r w:rsidR="002F390D" w:rsidRPr="002F390D">
        <w:t>infrastructure enhancements including building and rehabilitation of classrooms and learning labs</w:t>
      </w:r>
      <w:r w:rsidR="002F390D">
        <w:t xml:space="preserve"> and </w:t>
      </w:r>
      <w:r w:rsidR="002F390D" w:rsidRPr="002F390D">
        <w:t>construction of WASH facilities with gender-segregated latrine blocks</w:t>
      </w:r>
      <w:r w:rsidR="002F390D">
        <w:t>,</w:t>
      </w:r>
      <w:r w:rsidR="002F390D" w:rsidRPr="002F390D">
        <w:t xml:space="preserve"> teacher professional development</w:t>
      </w:r>
      <w:r w:rsidR="002F390D">
        <w:t>,</w:t>
      </w:r>
      <w:r w:rsidR="002F390D" w:rsidRPr="002F390D">
        <w:t xml:space="preserve"> awareness campaigns highlighting the importance of education and nutritious school meals.</w:t>
      </w:r>
    </w:p>
    <w:p w14:paraId="64BBB41A" w14:textId="2E4B1BF6" w:rsidR="00162F65" w:rsidRPr="008D41E9" w:rsidRDefault="00DA1324" w:rsidP="00162F65">
      <w:pPr>
        <w:jc w:val="both"/>
      </w:pPr>
      <w:r>
        <w:rPr>
          <w:b/>
          <w:bCs/>
          <w:sz w:val="28"/>
          <w:szCs w:val="28"/>
        </w:rPr>
        <w:t>O</w:t>
      </w:r>
      <w:r w:rsidR="00440B48">
        <w:rPr>
          <w:b/>
          <w:bCs/>
          <w:sz w:val="28"/>
          <w:szCs w:val="28"/>
        </w:rPr>
        <w:t>ngoing</w:t>
      </w:r>
      <w:r w:rsidR="00162F65" w:rsidRPr="008D41E9">
        <w:rPr>
          <w:b/>
          <w:bCs/>
          <w:sz w:val="28"/>
          <w:szCs w:val="28"/>
        </w:rPr>
        <w:t xml:space="preserve"> EU Programmes</w:t>
      </w:r>
    </w:p>
    <w:p w14:paraId="64C7168B" w14:textId="70454E63" w:rsidR="005C6BD6" w:rsidRDefault="00294CB1" w:rsidP="007C174E">
      <w:pPr>
        <w:jc w:val="both"/>
      </w:pPr>
      <w:r w:rsidRPr="009B13DF">
        <w:t>The</w:t>
      </w:r>
      <w:r w:rsidR="00162F65" w:rsidRPr="009B13DF">
        <w:t xml:space="preserve"> EU </w:t>
      </w:r>
      <w:r w:rsidRPr="009B13DF">
        <w:t xml:space="preserve">support to education </w:t>
      </w:r>
      <w:r w:rsidR="00162F65" w:rsidRPr="009B13DF">
        <w:t>in Somalia</w:t>
      </w:r>
      <w:r w:rsidRPr="009B13DF">
        <w:t xml:space="preserve"> in 2021-2027 period</w:t>
      </w:r>
      <w:r w:rsidR="00162F65" w:rsidRPr="009B13DF">
        <w:t xml:space="preserve"> </w:t>
      </w:r>
      <w:r w:rsidRPr="009B13DF">
        <w:t xml:space="preserve">focuses </w:t>
      </w:r>
      <w:r w:rsidR="00162F65" w:rsidRPr="009B13DF">
        <w:t>on</w:t>
      </w:r>
      <w:r w:rsidR="009B13DF" w:rsidRPr="009B13DF">
        <w:t xml:space="preserve"> e</w:t>
      </w:r>
      <w:r w:rsidR="00162F65" w:rsidRPr="001671B9">
        <w:t>xpanding access</w:t>
      </w:r>
      <w:r w:rsidR="00F430AA" w:rsidRPr="001671B9">
        <w:t xml:space="preserve"> (</w:t>
      </w:r>
      <w:r w:rsidR="00162F65" w:rsidRPr="009B13DF">
        <w:t>including of girls a</w:t>
      </w:r>
      <w:r w:rsidR="00C3045F" w:rsidRPr="009B13DF">
        <w:t xml:space="preserve">nd </w:t>
      </w:r>
      <w:r w:rsidR="00162F65" w:rsidRPr="009B13DF">
        <w:t>out-of-school children</w:t>
      </w:r>
      <w:r w:rsidR="00F430AA" w:rsidRPr="009B13DF">
        <w:t>), s</w:t>
      </w:r>
      <w:r w:rsidR="00162F65" w:rsidRPr="009B13DF">
        <w:t xml:space="preserve">trengthening </w:t>
      </w:r>
      <w:r w:rsidR="00162F65" w:rsidRPr="00EB387C">
        <w:t>teacher quality and management</w:t>
      </w:r>
      <w:r w:rsidR="00162F65" w:rsidRPr="009B13DF">
        <w:t xml:space="preserve">, </w:t>
      </w:r>
      <w:r w:rsidR="009B13DF" w:rsidRPr="009B13DF">
        <w:t>e</w:t>
      </w:r>
      <w:r w:rsidR="00162F65" w:rsidRPr="009B13DF">
        <w:t xml:space="preserve">ncouraging greater government contributions to the </w:t>
      </w:r>
      <w:r w:rsidR="00162F65" w:rsidRPr="00EB387C">
        <w:t>financing of education</w:t>
      </w:r>
      <w:r w:rsidR="009B13DF" w:rsidRPr="00EB387C">
        <w:t>, m</w:t>
      </w:r>
      <w:r w:rsidR="00162F65" w:rsidRPr="009B13DF">
        <w:t xml:space="preserve">aintaining support for </w:t>
      </w:r>
      <w:r w:rsidR="009B13DF" w:rsidRPr="009B13DF">
        <w:t xml:space="preserve">TVET and </w:t>
      </w:r>
      <w:r w:rsidR="00162F65" w:rsidRPr="00EB387C">
        <w:t>higher education</w:t>
      </w:r>
      <w:r w:rsidR="00162F65" w:rsidRPr="009B13DF">
        <w:t>.</w:t>
      </w:r>
      <w:r w:rsidR="005C6BD6">
        <w:t xml:space="preserve"> </w:t>
      </w:r>
    </w:p>
    <w:p w14:paraId="34B4A35A" w14:textId="536E5F1F" w:rsidR="00443A86" w:rsidRDefault="00443A86" w:rsidP="007C174E">
      <w:pPr>
        <w:jc w:val="both"/>
        <w:rPr>
          <w:bCs/>
        </w:rPr>
      </w:pPr>
      <w:r>
        <w:rPr>
          <w:bCs/>
        </w:rPr>
        <w:t xml:space="preserve">With the </w:t>
      </w:r>
      <w:r w:rsidRPr="00DD33F0">
        <w:rPr>
          <w:b/>
          <w:bCs/>
        </w:rPr>
        <w:t>Education Access and Quality Improvement Programme (EAQIP</w:t>
      </w:r>
      <w:r w:rsidRPr="00B745ED">
        <w:rPr>
          <w:b/>
          <w:bCs/>
        </w:rPr>
        <w:t>)</w:t>
      </w:r>
      <w:r>
        <w:t xml:space="preserve"> programme (2022-2026), </w:t>
      </w:r>
      <w:r>
        <w:rPr>
          <w:bCs/>
        </w:rPr>
        <w:t xml:space="preserve">the EU will contribute to the following </w:t>
      </w:r>
      <w:r w:rsidRPr="00730BD4">
        <w:rPr>
          <w:bCs/>
        </w:rPr>
        <w:t>results</w:t>
      </w:r>
      <w:r>
        <w:rPr>
          <w:bCs/>
        </w:rPr>
        <w:t>:</w:t>
      </w:r>
    </w:p>
    <w:tbl>
      <w:tblPr>
        <w:tblStyle w:val="TableGrid"/>
        <w:tblW w:w="0" w:type="auto"/>
        <w:tblLook w:val="04A0" w:firstRow="1" w:lastRow="0" w:firstColumn="1" w:lastColumn="0" w:noHBand="0" w:noVBand="1"/>
      </w:tblPr>
      <w:tblGrid>
        <w:gridCol w:w="1980"/>
        <w:gridCol w:w="8476"/>
      </w:tblGrid>
      <w:tr w:rsidR="00443A86" w14:paraId="3B65304D" w14:textId="77777777" w:rsidTr="0E22F65E">
        <w:tc>
          <w:tcPr>
            <w:tcW w:w="1980" w:type="dxa"/>
            <w:vAlign w:val="center"/>
          </w:tcPr>
          <w:p w14:paraId="43CDAA0A" w14:textId="77777777" w:rsidR="00443A86" w:rsidRDefault="00D65BAF" w:rsidP="00D65BAF">
            <w:pPr>
              <w:jc w:val="center"/>
              <w:rPr>
                <w:lang w:eastAsia="en-GB"/>
              </w:rPr>
            </w:pPr>
            <w:r>
              <w:rPr>
                <w:b/>
                <w:bCs/>
              </w:rPr>
              <w:lastRenderedPageBreak/>
              <w:t>System strengthening</w:t>
            </w:r>
            <w:r>
              <w:rPr>
                <w:lang w:eastAsia="en-GB"/>
              </w:rPr>
              <w:t xml:space="preserve"> </w:t>
            </w:r>
          </w:p>
          <w:p w14:paraId="18C2C98E" w14:textId="44011780" w:rsidR="00DE0ABE" w:rsidRDefault="00DE0ABE" w:rsidP="00D65BAF">
            <w:pPr>
              <w:jc w:val="center"/>
              <w:rPr>
                <w:bCs/>
              </w:rPr>
            </w:pPr>
            <w:r>
              <w:drawing>
                <wp:inline distT="0" distB="0" distL="0" distR="0" wp14:anchorId="78EF697B" wp14:editId="13AE87AD">
                  <wp:extent cx="400050" cy="356310"/>
                  <wp:effectExtent l="0" t="0" r="0" b="5715"/>
                  <wp:docPr id="6" name="Picture 6" descr="Ministry of education icon set. university illustration sign collection. school  symbol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education icon set. university illustration sign collection. school  symbol Stock Vector | Adobe Stock"/>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3451" t="18208" r="14534" b="17650"/>
                          <a:stretch/>
                        </pic:blipFill>
                        <pic:spPr bwMode="auto">
                          <a:xfrm>
                            <a:off x="0" y="0"/>
                            <a:ext cx="408298" cy="3636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76" w:type="dxa"/>
          </w:tcPr>
          <w:p w14:paraId="03BB16C5" w14:textId="4E24A653" w:rsidR="00443A86" w:rsidRPr="00443A86" w:rsidRDefault="00FF5F00" w:rsidP="006740B7">
            <w:pPr>
              <w:jc w:val="both"/>
            </w:pPr>
            <w:r>
              <w:t>C</w:t>
            </w:r>
            <w:r w:rsidR="00D65BAF" w:rsidRPr="00FF5F00">
              <w:t>apacity of public institutions</w:t>
            </w:r>
            <w:r w:rsidR="00D65BAF" w:rsidRPr="00D835EB">
              <w:t xml:space="preserve"> to lead, monitor, and manage the education system</w:t>
            </w:r>
            <w:r>
              <w:t xml:space="preserve"> will be enhanced. A</w:t>
            </w:r>
            <w:r w:rsidRPr="00FF5F00">
              <w:t xml:space="preserve"> systematic approach to school financing</w:t>
            </w:r>
            <w:r>
              <w:t xml:space="preserve"> will be institutionalised </w:t>
            </w:r>
            <w:r w:rsidRPr="00FF5F00">
              <w:t>through school and capitation grants</w:t>
            </w:r>
            <w:r>
              <w:t xml:space="preserve">. </w:t>
            </w:r>
          </w:p>
        </w:tc>
      </w:tr>
      <w:tr w:rsidR="00D65BAF" w14:paraId="2E44D3F3" w14:textId="77777777" w:rsidTr="0E22F65E">
        <w:tc>
          <w:tcPr>
            <w:tcW w:w="1980" w:type="dxa"/>
            <w:vAlign w:val="center"/>
          </w:tcPr>
          <w:p w14:paraId="74727582" w14:textId="77777777" w:rsidR="00D65BAF" w:rsidRPr="00290CFC" w:rsidRDefault="00D65BAF" w:rsidP="00D65BAF">
            <w:pPr>
              <w:jc w:val="center"/>
              <w:rPr>
                <w:b/>
              </w:rPr>
            </w:pPr>
            <w:r w:rsidRPr="00290CFC">
              <w:rPr>
                <w:b/>
              </w:rPr>
              <w:t>Access</w:t>
            </w:r>
          </w:p>
          <w:p w14:paraId="005B3336" w14:textId="5123FBB4" w:rsidR="00D65BAF" w:rsidRDefault="00D65BAF" w:rsidP="00D65BAF">
            <w:pPr>
              <w:jc w:val="center"/>
              <w:rPr>
                <w:bCs/>
              </w:rPr>
            </w:pPr>
            <w:r>
              <w:rPr>
                <w:lang w:eastAsia="en-GB"/>
              </w:rPr>
              <w:drawing>
                <wp:inline distT="0" distB="0" distL="0" distR="0" wp14:anchorId="6C7C19C1" wp14:editId="14B816F7">
                  <wp:extent cx="374650" cy="354709"/>
                  <wp:effectExtent l="0" t="0" r="6350" b="0"/>
                  <wp:docPr id="4" name="Picture 4" descr="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uola"/>
                          <pic:cNvPicPr>
                            <a:picLocks noChangeAspect="1" noChangeArrowheads="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661" b="2661"/>
                          <a:stretch>
                            <a:fillRect/>
                          </a:stretch>
                        </pic:blipFill>
                        <pic:spPr bwMode="auto">
                          <a:xfrm>
                            <a:off x="0" y="0"/>
                            <a:ext cx="390014" cy="369256"/>
                          </a:xfrm>
                          <a:prstGeom prst="rect">
                            <a:avLst/>
                          </a:prstGeom>
                          <a:extLst>
                            <a:ext uri="{53640926-AAD7-44D8-BBD7-CCE9431645EC}">
                              <a14:shadowObscured xmlns:a14="http://schemas.microsoft.com/office/drawing/2010/main"/>
                            </a:ext>
                          </a:extLst>
                        </pic:spPr>
                      </pic:pic>
                    </a:graphicData>
                  </a:graphic>
                </wp:inline>
              </w:drawing>
            </w:r>
          </w:p>
        </w:tc>
        <w:tc>
          <w:tcPr>
            <w:tcW w:w="8476" w:type="dxa"/>
          </w:tcPr>
          <w:p w14:paraId="45C83FCF" w14:textId="15463DAE" w:rsidR="00D65BAF" w:rsidRPr="00443A86" w:rsidRDefault="00290CFC" w:rsidP="006740B7">
            <w:pPr>
              <w:jc w:val="both"/>
            </w:pPr>
            <w:r>
              <w:t>A</w:t>
            </w:r>
            <w:r w:rsidR="00D65BAF" w:rsidRPr="00443A86">
              <w:t>ccess to equitable quality education at primary and secondary levels</w:t>
            </w:r>
            <w:r w:rsidR="00725DD5">
              <w:t xml:space="preserve"> </w:t>
            </w:r>
            <w:r>
              <w:t xml:space="preserve">will be increased </w:t>
            </w:r>
            <w:r w:rsidR="00725DD5">
              <w:t>through g</w:t>
            </w:r>
            <w:r w:rsidR="00D65BAF" w:rsidRPr="00443A86">
              <w:t>rants to Save the Children Denmark, Care Netherlands, and ADRA</w:t>
            </w:r>
            <w:r>
              <w:t xml:space="preserve">. </w:t>
            </w:r>
            <w:r w:rsidR="00D65BAF" w:rsidRPr="00443A86">
              <w:rPr>
                <w:b/>
                <w:bCs/>
              </w:rPr>
              <w:t>100,000 children and young people</w:t>
            </w:r>
            <w:r w:rsidR="00D65BAF" w:rsidRPr="00443A86">
              <w:t xml:space="preserve"> especially those from marginal</w:t>
            </w:r>
            <w:r w:rsidR="00D65BAF">
              <w:t>is</w:t>
            </w:r>
            <w:r w:rsidR="00D65BAF" w:rsidRPr="00443A86">
              <w:t>ed groups such as girls, children with disabilities, pastoralist and rural areas</w:t>
            </w:r>
            <w:r>
              <w:t>, will be targeted</w:t>
            </w:r>
            <w:r w:rsidR="00D65BAF" w:rsidRPr="00443A86">
              <w:t xml:space="preserve">. </w:t>
            </w:r>
            <w:r>
              <w:t>Education</w:t>
            </w:r>
            <w:r w:rsidR="00725DD5" w:rsidRPr="002844F5">
              <w:t xml:space="preserve"> opportunities for displacement</w:t>
            </w:r>
            <w:r w:rsidR="00725DD5">
              <w:t>-</w:t>
            </w:r>
            <w:r w:rsidR="00725DD5" w:rsidRPr="002844F5">
              <w:t xml:space="preserve">affected communities </w:t>
            </w:r>
            <w:r>
              <w:t xml:space="preserve">will be expanded </w:t>
            </w:r>
            <w:r w:rsidR="00725DD5" w:rsidRPr="002844F5">
              <w:t xml:space="preserve">in close coordination </w:t>
            </w:r>
            <w:r w:rsidR="00725DD5" w:rsidRPr="00B47D24">
              <w:t>with DG ECHO’s EiE actions and partners.</w:t>
            </w:r>
          </w:p>
        </w:tc>
      </w:tr>
      <w:tr w:rsidR="00290CFC" w14:paraId="7C3CE79E" w14:textId="77777777" w:rsidTr="0E22F65E">
        <w:tc>
          <w:tcPr>
            <w:tcW w:w="1980" w:type="dxa"/>
            <w:vAlign w:val="center"/>
          </w:tcPr>
          <w:p w14:paraId="58310E71" w14:textId="6BEC37EB" w:rsidR="00290CFC" w:rsidRDefault="006740B7" w:rsidP="00290CFC">
            <w:pPr>
              <w:jc w:val="center"/>
              <w:rPr>
                <w:b/>
                <w:bCs/>
                <w:lang w:eastAsia="en-GB"/>
              </w:rPr>
            </w:pPr>
            <w:r>
              <w:rPr>
                <w:b/>
              </w:rPr>
              <w:t>Equity</w:t>
            </w:r>
          </w:p>
          <w:p w14:paraId="7C36631A" w14:textId="2F26E39A" w:rsidR="00290CFC" w:rsidRPr="00290CFC" w:rsidRDefault="00290CFC" w:rsidP="00290CFC">
            <w:pPr>
              <w:jc w:val="center"/>
              <w:rPr>
                <w:b/>
              </w:rPr>
            </w:pPr>
            <w:r>
              <w:rPr>
                <w:b/>
                <w:bCs/>
                <w:lang w:eastAsia="en-GB"/>
              </w:rPr>
              <w:drawing>
                <wp:inline distT="0" distB="0" distL="0" distR="0" wp14:anchorId="096D77B9" wp14:editId="37E74442">
                  <wp:extent cx="330200" cy="33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35176" cy="335176"/>
                          </a:xfrm>
                          <a:prstGeom prst="rect">
                            <a:avLst/>
                          </a:prstGeom>
                          <a:noFill/>
                        </pic:spPr>
                      </pic:pic>
                    </a:graphicData>
                  </a:graphic>
                </wp:inline>
              </w:drawing>
            </w:r>
            <w:r>
              <w:rPr>
                <w:b/>
                <w:bCs/>
                <w:lang w:eastAsia="en-GB"/>
              </w:rPr>
              <w:drawing>
                <wp:inline distT="0" distB="0" distL="0" distR="0" wp14:anchorId="01F65B33" wp14:editId="6315553E">
                  <wp:extent cx="485029" cy="4850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1480" cy="491480"/>
                          </a:xfrm>
                          <a:prstGeom prst="rect">
                            <a:avLst/>
                          </a:prstGeom>
                          <a:noFill/>
                        </pic:spPr>
                      </pic:pic>
                    </a:graphicData>
                  </a:graphic>
                </wp:inline>
              </w:drawing>
            </w:r>
          </w:p>
        </w:tc>
        <w:tc>
          <w:tcPr>
            <w:tcW w:w="8476" w:type="dxa"/>
          </w:tcPr>
          <w:p w14:paraId="01619A84" w14:textId="5A912F2B" w:rsidR="00290CFC" w:rsidRDefault="29088067" w:rsidP="006740B7">
            <w:pPr>
              <w:spacing w:after="60"/>
              <w:jc w:val="both"/>
            </w:pPr>
            <w:r>
              <w:t>Girls'</w:t>
            </w:r>
            <w:r w:rsidR="451A02CA">
              <w:t xml:space="preserve"> education will be promoted through advocacy, scholarships, gender sensitive teaching, female teachers as role models</w:t>
            </w:r>
            <w:r w:rsidR="006740B7">
              <w:t xml:space="preserve"> </w:t>
            </w:r>
            <w:r w:rsidR="451A02CA">
              <w:t>and dignity kits</w:t>
            </w:r>
            <w:r w:rsidR="006740B7">
              <w:t>.</w:t>
            </w:r>
          </w:p>
          <w:p w14:paraId="6D192CD9" w14:textId="0F87D7D7" w:rsidR="006740B7" w:rsidRDefault="006740B7" w:rsidP="006740B7">
            <w:pPr>
              <w:spacing w:after="60"/>
              <w:jc w:val="both"/>
            </w:pPr>
            <w:r>
              <w:t>E</w:t>
            </w:r>
            <w:r w:rsidRPr="006740B7">
              <w:t>ducation facilities</w:t>
            </w:r>
            <w:r>
              <w:t xml:space="preserve"> will be constructed</w:t>
            </w:r>
            <w:r w:rsidRPr="006740B7">
              <w:t>, rehabilitate</w:t>
            </w:r>
            <w:r>
              <w:t>d</w:t>
            </w:r>
            <w:r w:rsidRPr="006740B7">
              <w:t xml:space="preserve"> and </w:t>
            </w:r>
            <w:r>
              <w:t>equipped to cater to the needs of girls and children with disabilities.</w:t>
            </w:r>
          </w:p>
          <w:p w14:paraId="4D84D71A" w14:textId="67193DDA" w:rsidR="006740B7" w:rsidRDefault="006740B7" w:rsidP="006740B7">
            <w:pPr>
              <w:spacing w:after="60"/>
              <w:jc w:val="both"/>
            </w:pPr>
            <w:r>
              <w:t>Learning materials, b</w:t>
            </w:r>
            <w:r w:rsidRPr="006740B7">
              <w:t xml:space="preserve">raille and assistive devices for children with special education needs </w:t>
            </w:r>
            <w:r>
              <w:t>will be provided.</w:t>
            </w:r>
          </w:p>
        </w:tc>
      </w:tr>
      <w:tr w:rsidR="00512E34" w14:paraId="11A46FA8" w14:textId="77777777" w:rsidTr="0E22F65E">
        <w:tc>
          <w:tcPr>
            <w:tcW w:w="1980" w:type="dxa"/>
            <w:vAlign w:val="center"/>
          </w:tcPr>
          <w:p w14:paraId="6CEE77B4" w14:textId="5ACC6B82" w:rsidR="00512E34" w:rsidRDefault="00D65BAF" w:rsidP="00290CFC">
            <w:pPr>
              <w:jc w:val="center"/>
              <w:rPr>
                <w:b/>
              </w:rPr>
            </w:pPr>
            <w:r w:rsidRPr="00290CFC">
              <w:rPr>
                <w:b/>
              </w:rPr>
              <w:t>Skills</w:t>
            </w:r>
          </w:p>
          <w:p w14:paraId="6F5D37F1" w14:textId="7555B487" w:rsidR="00725DD5" w:rsidRPr="00290CFC" w:rsidRDefault="00290CFC" w:rsidP="00290CFC">
            <w:pPr>
              <w:jc w:val="center"/>
              <w:rPr>
                <w:b/>
              </w:rPr>
            </w:pPr>
            <w:r w:rsidRPr="00E244CF">
              <w:drawing>
                <wp:inline distT="0" distB="0" distL="0" distR="0" wp14:anchorId="34430E36" wp14:editId="02640D3B">
                  <wp:extent cx="387350" cy="38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4222" cy="394222"/>
                          </a:xfrm>
                          <a:prstGeom prst="rect">
                            <a:avLst/>
                          </a:prstGeom>
                          <a:noFill/>
                        </pic:spPr>
                      </pic:pic>
                    </a:graphicData>
                  </a:graphic>
                </wp:inline>
              </w:drawing>
            </w:r>
          </w:p>
        </w:tc>
        <w:tc>
          <w:tcPr>
            <w:tcW w:w="8476" w:type="dxa"/>
          </w:tcPr>
          <w:p w14:paraId="66381C59" w14:textId="1AA309A8" w:rsidR="00512E34" w:rsidRPr="00443A86" w:rsidRDefault="451A02CA" w:rsidP="006740B7">
            <w:pPr>
              <w:jc w:val="both"/>
            </w:pPr>
            <w:r w:rsidRPr="0E22F65E">
              <w:rPr>
                <w:b/>
                <w:bCs/>
              </w:rPr>
              <w:t>1</w:t>
            </w:r>
            <w:r w:rsidR="005A314E">
              <w:rPr>
                <w:b/>
                <w:bCs/>
              </w:rPr>
              <w:t>,</w:t>
            </w:r>
            <w:r w:rsidRPr="0E22F65E">
              <w:rPr>
                <w:b/>
                <w:bCs/>
              </w:rPr>
              <w:t>200 young people</w:t>
            </w:r>
            <w:r>
              <w:t xml:space="preserve"> will receive scholarships for demand driven certified skills training, including </w:t>
            </w:r>
            <w:r w:rsidR="00290CFC">
              <w:t>green and digital skills. Basic literacy and numeracy education will be provided to out of school youth. Links will be created with formal education systems helping the youth back into lower and upper secondary education.</w:t>
            </w:r>
          </w:p>
        </w:tc>
      </w:tr>
      <w:tr w:rsidR="00512E34" w14:paraId="4FA5010B" w14:textId="77777777" w:rsidTr="0E22F65E">
        <w:tc>
          <w:tcPr>
            <w:tcW w:w="1980" w:type="dxa"/>
            <w:vAlign w:val="center"/>
          </w:tcPr>
          <w:p w14:paraId="26C78114" w14:textId="77777777" w:rsidR="00725DD5" w:rsidRDefault="00725DD5" w:rsidP="00725DD5">
            <w:pPr>
              <w:jc w:val="center"/>
              <w:rPr>
                <w:b/>
                <w:bCs/>
              </w:rPr>
            </w:pPr>
            <w:r>
              <w:rPr>
                <w:b/>
                <w:bCs/>
              </w:rPr>
              <w:t>Higher Education</w:t>
            </w:r>
          </w:p>
          <w:p w14:paraId="2025DE8C" w14:textId="5D4A6197" w:rsidR="00512E34" w:rsidRDefault="00725DD5" w:rsidP="00725DD5">
            <w:pPr>
              <w:jc w:val="center"/>
              <w:rPr>
                <w:bCs/>
              </w:rPr>
            </w:pPr>
            <w:r>
              <w:rPr>
                <w:b/>
                <w:bCs/>
                <w:lang w:eastAsia="en-GB"/>
              </w:rPr>
              <w:drawing>
                <wp:inline distT="0" distB="0" distL="0" distR="0" wp14:anchorId="098EBA65" wp14:editId="439174AE">
                  <wp:extent cx="572052" cy="429661"/>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2750" b="98119" l="1957" r="96087">
                                        <a14:foregroundMark x1="20978" y1="28365" x2="20978" y2="28365"/>
                                        <a14:foregroundMark x1="96087" y1="23734" x2="96087" y2="23734"/>
                                        <a14:foregroundMark x1="53696" y1="3039" x2="53696" y2="3039"/>
                                        <a14:foregroundMark x1="8804" y1="27207" x2="8804" y2="27207"/>
                                        <a14:foregroundMark x1="7935" y1="60347" x2="7935" y2="60347"/>
                                        <a14:foregroundMark x1="6739" y1="89436" x2="6739" y2="89436"/>
                                        <a14:foregroundMark x1="6739" y1="98263" x2="6739" y2="98263"/>
                                        <a14:foregroundMark x1="1957" y1="93343" x2="1957" y2="93343"/>
                                        <a14:foregroundMark x1="44457" y1="63821" x2="44457" y2="6382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590325" cy="443385"/>
                          </a:xfrm>
                          <a:prstGeom prst="rect">
                            <a:avLst/>
                          </a:prstGeom>
                          <a:noFill/>
                        </pic:spPr>
                      </pic:pic>
                    </a:graphicData>
                  </a:graphic>
                </wp:inline>
              </w:drawing>
            </w:r>
          </w:p>
        </w:tc>
        <w:tc>
          <w:tcPr>
            <w:tcW w:w="8476" w:type="dxa"/>
          </w:tcPr>
          <w:p w14:paraId="67D774B4" w14:textId="1AB3058F" w:rsidR="00725DD5" w:rsidRPr="00D835EB" w:rsidRDefault="00725DD5" w:rsidP="006740B7">
            <w:pPr>
              <w:jc w:val="both"/>
              <w:rPr>
                <w:b/>
                <w:bCs/>
              </w:rPr>
            </w:pPr>
            <w:r>
              <w:t xml:space="preserve">Partnership with the University of Kenyatta will help strengthen quality assurance and accreditation and building capacity in higher education institutions. It will support linkages between Somali HEIs and EU-funded action </w:t>
            </w:r>
            <w:r w:rsidRPr="00725DD5">
              <w:t xml:space="preserve">on Harmonization for the African Higher Education Quality Assurance and Accreditation (II) Initiative. </w:t>
            </w:r>
          </w:p>
        </w:tc>
      </w:tr>
    </w:tbl>
    <w:p w14:paraId="1CC357C2" w14:textId="77777777" w:rsidR="009A3EF9" w:rsidRPr="004440C8" w:rsidRDefault="009A3EF9" w:rsidP="00503A95">
      <w:pPr>
        <w:pStyle w:val="ListParagraph"/>
        <w:jc w:val="both"/>
      </w:pPr>
    </w:p>
    <w:sectPr w:rsidR="009A3EF9" w:rsidRPr="004440C8" w:rsidSect="008A7FE4">
      <w:headerReference w:type="default" r:id="rId20"/>
      <w:headerReference w:type="first" r:id="rId21"/>
      <w:pgSz w:w="11906" w:h="16838"/>
      <w:pgMar w:top="993"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2CA8" w14:textId="77777777" w:rsidR="00D252BC" w:rsidRDefault="00D252BC" w:rsidP="006650FD">
      <w:pPr>
        <w:spacing w:after="0" w:line="240" w:lineRule="auto"/>
      </w:pPr>
      <w:r>
        <w:separator/>
      </w:r>
    </w:p>
  </w:endnote>
  <w:endnote w:type="continuationSeparator" w:id="0">
    <w:p w14:paraId="54D7C3EE" w14:textId="77777777" w:rsidR="00D252BC" w:rsidRDefault="00D252BC" w:rsidP="0066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Roboto Condensed"/>
    <w:charset w:val="00"/>
    <w:family w:val="auto"/>
    <w:pitch w:val="variable"/>
    <w:sig w:usb0="E0000AFF" w:usb1="5000217F" w:usb2="00000021"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0357" w14:textId="77777777" w:rsidR="00D252BC" w:rsidRDefault="00D252BC" w:rsidP="006650FD">
      <w:pPr>
        <w:spacing w:after="0" w:line="240" w:lineRule="auto"/>
      </w:pPr>
      <w:r>
        <w:separator/>
      </w:r>
    </w:p>
  </w:footnote>
  <w:footnote w:type="continuationSeparator" w:id="0">
    <w:p w14:paraId="7390BB27" w14:textId="77777777" w:rsidR="00D252BC" w:rsidRDefault="00D252BC" w:rsidP="006650FD">
      <w:pPr>
        <w:spacing w:after="0" w:line="240" w:lineRule="auto"/>
      </w:pPr>
      <w:r>
        <w:continuationSeparator/>
      </w:r>
    </w:p>
  </w:footnote>
  <w:footnote w:id="1">
    <w:p w14:paraId="5AEB7B68" w14:textId="291C6870" w:rsidR="00B9654F" w:rsidRDefault="00B9654F" w:rsidP="00B9654F">
      <w:pPr>
        <w:pStyle w:val="FootnoteText"/>
        <w:rPr>
          <w:sz w:val="16"/>
          <w:szCs w:val="16"/>
        </w:rPr>
      </w:pPr>
      <w:r w:rsidRPr="0D558B23">
        <w:rPr>
          <w:rStyle w:val="FootnoteReference"/>
          <w:sz w:val="16"/>
          <w:szCs w:val="16"/>
        </w:rPr>
        <w:footnoteRef/>
      </w:r>
      <w:r w:rsidRPr="0D558B23">
        <w:rPr>
          <w:sz w:val="16"/>
          <w:szCs w:val="16"/>
        </w:rPr>
        <w:t xml:space="preserve"> </w:t>
      </w:r>
      <w:r w:rsidR="00D15E6D" w:rsidRPr="00257568">
        <w:rPr>
          <w:sz w:val="16"/>
          <w:szCs w:val="16"/>
        </w:rPr>
        <w:t xml:space="preserve">2022 Annual report on the implementation of the European Union's external action instruments in 2021 - The staff working document </w:t>
      </w:r>
      <w:hyperlink r:id="rId1" w:history="1">
        <w:r w:rsidR="00D15E6D" w:rsidRPr="00257568">
          <w:rPr>
            <w:rStyle w:val="Hyperlink"/>
            <w:sz w:val="16"/>
            <w:szCs w:val="16"/>
          </w:rPr>
          <w:t>https://op.europa.eu/en/publication-detail/-/publication/856702c5-7b64-11ed-9887-01aa75ed71a1/language-en?WT.mc_id=Searchresult&amp;WT.ria_c=69794&amp;WT.ria_f=6651&amp;WT.ria_ev=search&amp;WT.URL=https%3A%2F%2Finternational-partnerships.ec.europa.eu%2F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73F4" w14:textId="46BE9890" w:rsidR="0038697B" w:rsidRDefault="0038697B" w:rsidP="0038697B">
    <w:pPr>
      <w:pStyle w:val="Header"/>
      <w:tabs>
        <w:tab w:val="left" w:pos="69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01A6" w14:textId="60DFE3F7" w:rsidR="00A42E60" w:rsidRDefault="00DE6057" w:rsidP="00F56E79">
    <w:pPr>
      <w:pStyle w:val="Header"/>
      <w:tabs>
        <w:tab w:val="clear" w:pos="4819"/>
        <w:tab w:val="center" w:pos="5103"/>
        <w:tab w:val="left" w:pos="8364"/>
      </w:tabs>
    </w:pPr>
    <w:r>
      <w:rPr>
        <w:lang w:eastAsia="en-GB"/>
      </w:rPr>
      <mc:AlternateContent>
        <mc:Choice Requires="wps">
          <w:drawing>
            <wp:anchor distT="0" distB="0" distL="114300" distR="114300" simplePos="0" relativeHeight="251659264" behindDoc="0" locked="0" layoutInCell="1" allowOverlap="1" wp14:anchorId="08395818" wp14:editId="685806FA">
              <wp:simplePos x="0" y="0"/>
              <wp:positionH relativeFrom="margin">
                <wp:align>center</wp:align>
              </wp:positionH>
              <wp:positionV relativeFrom="paragraph">
                <wp:posOffset>72390</wp:posOffset>
              </wp:positionV>
              <wp:extent cx="1912620" cy="459105"/>
              <wp:effectExtent l="0" t="0" r="0" b="0"/>
              <wp:wrapNone/>
              <wp:docPr id="56" name="Casella di testo 56"/>
              <wp:cNvGraphicFramePr/>
              <a:graphic xmlns:a="http://schemas.openxmlformats.org/drawingml/2006/main">
                <a:graphicData uri="http://schemas.microsoft.com/office/word/2010/wordprocessingShape">
                  <wps:wsp>
                    <wps:cNvSpPr txBox="1"/>
                    <wps:spPr>
                      <a:xfrm>
                        <a:off x="0" y="0"/>
                        <a:ext cx="1912620" cy="459105"/>
                      </a:xfrm>
                      <a:prstGeom prst="rect">
                        <a:avLst/>
                      </a:prstGeom>
                      <a:solidFill>
                        <a:schemeClr val="lt1"/>
                      </a:solidFill>
                      <a:ln w="6350">
                        <a:noFill/>
                      </a:ln>
                    </wps:spPr>
                    <wps:txbx>
                      <w:txbxContent>
                        <w:p w14:paraId="2AF0A23D" w14:textId="1FB21A8E" w:rsidR="00DE6057" w:rsidRPr="00942617" w:rsidRDefault="00DE6057" w:rsidP="00DE6057">
                          <w:pPr>
                            <w:jc w:val="center"/>
                            <w:rPr>
                              <w:rFonts w:ascii="Roboto" w:hAnsi="Roboto"/>
                              <w:b/>
                              <w:bCs/>
                              <w:color w:val="FFFFFF" w:themeColor="background1"/>
                              <w:sz w:val="44"/>
                              <w:szCs w:val="44"/>
                              <w:lang w:val="it-IT"/>
                              <w14:textOutline w14:w="9525" w14:cap="rnd" w14:cmpd="sng" w14:algn="ctr">
                                <w14:solidFill>
                                  <w14:srgbClr w14:val="1C46F8"/>
                                </w14:solidFill>
                                <w14:prstDash w14:val="solid"/>
                                <w14:bevel/>
                              </w14:textOutline>
                            </w:rPr>
                          </w:pPr>
                          <w:r w:rsidRPr="00942617">
                            <w:rPr>
                              <w:rFonts w:ascii="Roboto" w:hAnsi="Roboto"/>
                              <w:b/>
                              <w:bCs/>
                              <w:color w:val="FFFFFF" w:themeColor="background1"/>
                              <w:sz w:val="44"/>
                              <w:szCs w:val="44"/>
                              <w:lang w:val="it-IT"/>
                              <w14:textOutline w14:w="9525" w14:cap="rnd" w14:cmpd="sng" w14:algn="ctr">
                                <w14:solidFill>
                                  <w14:srgbClr w14:val="1C46F8"/>
                                </w14:solidFill>
                                <w14:prstDash w14:val="solid"/>
                                <w14:bevel/>
                              </w14:textOutline>
                            </w:rPr>
                            <w:t>EDUCATION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95818" id="_x0000_t202" coordsize="21600,21600" o:spt="202" path="m,l,21600r21600,l21600,xe">
              <v:stroke joinstyle="miter"/>
              <v:path gradientshapeok="t" o:connecttype="rect"/>
            </v:shapetype>
            <v:shape id="Casella di testo 56" o:spid="_x0000_s1026" type="#_x0000_t202" style="position:absolute;margin-left:0;margin-top:5.7pt;width:150.6pt;height:36.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" fillcolor="white [3201]" stroked="f" strokeweight=".5pt">
              <v:textbox>
                <w:txbxContent>
                  <w:p w14:paraId="2AF0A23D" w14:textId="1FB21A8E" w:rsidR="00DE6057" w:rsidRPr="00942617" w:rsidRDefault="00DE6057" w:rsidP="00DE6057">
                    <w:pPr>
                      <w:jc w:val="center"/>
                      <w:rPr>
                        <w:rFonts w:ascii="Roboto" w:hAnsi="Roboto"/>
                        <w:b/>
                        <w:bCs/>
                        <w:color w:val="FFFFFF" w:themeColor="background1"/>
                        <w:sz w:val="44"/>
                        <w:szCs w:val="44"/>
                        <w:lang w:val="it-IT"/>
                        <w14:textOutline w14:w="9525" w14:cap="rnd" w14:cmpd="sng" w14:algn="ctr">
                          <w14:solidFill>
                            <w14:srgbClr w14:val="1C46F8"/>
                          </w14:solidFill>
                          <w14:prstDash w14:val="solid"/>
                          <w14:bevel/>
                        </w14:textOutline>
                      </w:rPr>
                    </w:pPr>
                    <w:r w:rsidRPr="00942617">
                      <w:rPr>
                        <w:rFonts w:ascii="Roboto" w:hAnsi="Roboto"/>
                        <w:b/>
                        <w:bCs/>
                        <w:color w:val="FFFFFF" w:themeColor="background1"/>
                        <w:sz w:val="44"/>
                        <w:szCs w:val="44"/>
                        <w:lang w:val="it-IT"/>
                        <w14:textOutline w14:w="9525" w14:cap="rnd" w14:cmpd="sng" w14:algn="ctr">
                          <w14:solidFill>
                            <w14:srgbClr w14:val="1C46F8"/>
                          </w14:solidFill>
                          <w14:prstDash w14:val="solid"/>
                          <w14:bevel/>
                        </w14:textOutline>
                      </w:rPr>
                      <w:t>EDUCATION</w:t>
                    </w:r>
                  </w:p>
                </w:txbxContent>
              </v:textbox>
              <w10:wrap anchorx="margin"/>
            </v:shape>
          </w:pict>
        </mc:Fallback>
      </mc:AlternateContent>
    </w:r>
    <w:r w:rsidR="00A42E60">
      <w:rPr>
        <w:lang w:eastAsia="en-GB"/>
      </w:rPr>
      <w:drawing>
        <wp:inline distT="0" distB="0" distL="0" distR="0" wp14:anchorId="0CE6D9DE" wp14:editId="6EFB1275">
          <wp:extent cx="787763" cy="410210"/>
          <wp:effectExtent l="0" t="0" r="0" b="889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 27"/>
                  <pic:cNvPicPr/>
                </pic:nvPicPr>
                <pic:blipFill rotWithShape="1">
                  <a:blip r:embed="rId1">
                    <a:clrChange>
                      <a:clrFrom>
                        <a:srgbClr val="0011CA"/>
                      </a:clrFrom>
                      <a:clrTo>
                        <a:srgbClr val="0011CA">
                          <a:alpha val="0"/>
                        </a:srgbClr>
                      </a:clrTo>
                    </a:clrChange>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981"/>
                  <a:stretch/>
                </pic:blipFill>
                <pic:spPr bwMode="auto">
                  <a:xfrm>
                    <a:off x="0" y="0"/>
                    <a:ext cx="788128" cy="410400"/>
                  </a:xfrm>
                  <a:prstGeom prst="rect">
                    <a:avLst/>
                  </a:prstGeom>
                  <a:ln>
                    <a:noFill/>
                  </a:ln>
                  <a:extLst>
                    <a:ext uri="{53640926-AAD7-44D8-BBD7-CCE9431645EC}">
                      <a14:shadowObscured xmlns:a14="http://schemas.microsoft.com/office/drawing/2010/main"/>
                    </a:ext>
                  </a:extLst>
                </pic:spPr>
              </pic:pic>
            </a:graphicData>
          </a:graphic>
        </wp:inline>
      </w:drawing>
    </w:r>
    <w:r w:rsidR="00A42E60">
      <w:tab/>
    </w:r>
    <w:r w:rsidR="00A42E60">
      <w:tab/>
    </w:r>
    <w:r w:rsidR="00A42E60">
      <w:rPr>
        <w:lang w:eastAsia="en-GB"/>
      </w:rPr>
      <w:drawing>
        <wp:inline distT="0" distB="0" distL="0" distR="0" wp14:anchorId="474E90AA" wp14:editId="2C10992F">
          <wp:extent cx="626400" cy="414745"/>
          <wp:effectExtent l="0" t="0" r="2540" b="4445"/>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3">
                    <a:extLst>
                      <a:ext uri="{28A0092B-C50C-407E-A947-70E740481C1C}">
                        <a14:useLocalDpi xmlns:a14="http://schemas.microsoft.com/office/drawing/2010/main" val="0"/>
                      </a:ext>
                    </a:extLst>
                  </a:blip>
                  <a:srcRect t="16845" b="16943"/>
                  <a:stretch/>
                </pic:blipFill>
                <pic:spPr bwMode="auto">
                  <a:xfrm flipV="1">
                    <a:off x="0" y="0"/>
                    <a:ext cx="626400" cy="414745"/>
                  </a:xfrm>
                  <a:prstGeom prst="rect">
                    <a:avLst/>
                  </a:prstGeom>
                  <a:ln>
                    <a:noFill/>
                  </a:ln>
                  <a:extLst>
                    <a:ext uri="{53640926-AAD7-44D8-BBD7-CCE9431645EC}">
                      <a14:shadowObscured xmlns:a14="http://schemas.microsoft.com/office/drawing/2010/main"/>
                    </a:ext>
                  </a:extLst>
                </pic:spPr>
              </pic:pic>
            </a:graphicData>
          </a:graphic>
        </wp:inline>
      </w:drawing>
    </w:r>
    <w:r w:rsidR="00A42E60">
      <w:t xml:space="preserve">  </w:t>
    </w:r>
    <w:r w:rsidR="00A42E60">
      <w:rPr>
        <w:lang w:eastAsia="en-GB"/>
      </w:rPr>
      <w:drawing>
        <wp:inline distT="0" distB="0" distL="0" distR="0" wp14:anchorId="13D1683C" wp14:editId="6F4FF1A8">
          <wp:extent cx="630572" cy="413812"/>
          <wp:effectExtent l="0" t="0" r="0" b="5715"/>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magine 77"/>
                  <pic:cNvPicPr/>
                </pic:nvPicPr>
                <pic:blipFill>
                  <a:blip r:embed="rId4">
                    <a:extLst>
                      <a:ext uri="{28A0092B-C50C-407E-A947-70E740481C1C}">
                        <a14:useLocalDpi xmlns:a14="http://schemas.microsoft.com/office/drawing/2010/main" val="0"/>
                      </a:ext>
                    </a:extLst>
                  </a:blip>
                  <a:srcRect t="17188" b="17188"/>
                  <a:stretch>
                    <a:fillRect/>
                  </a:stretch>
                </pic:blipFill>
                <pic:spPr bwMode="auto">
                  <a:xfrm>
                    <a:off x="0" y="0"/>
                    <a:ext cx="630572" cy="41381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ACD"/>
    <w:multiLevelType w:val="hybridMultilevel"/>
    <w:tmpl w:val="B100F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85B4D"/>
    <w:multiLevelType w:val="hybridMultilevel"/>
    <w:tmpl w:val="A74CAF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E5206C"/>
    <w:multiLevelType w:val="hybridMultilevel"/>
    <w:tmpl w:val="3312B8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94F"/>
    <w:multiLevelType w:val="hybridMultilevel"/>
    <w:tmpl w:val="E0FE35B0"/>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4F5DDB"/>
    <w:multiLevelType w:val="hybridMultilevel"/>
    <w:tmpl w:val="A622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62FCA"/>
    <w:multiLevelType w:val="hybridMultilevel"/>
    <w:tmpl w:val="2646C7A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257DF"/>
    <w:multiLevelType w:val="hybridMultilevel"/>
    <w:tmpl w:val="77346F24"/>
    <w:lvl w:ilvl="0" w:tplc="FFFFFFFF">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140829"/>
    <w:multiLevelType w:val="hybridMultilevel"/>
    <w:tmpl w:val="9952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B0C87"/>
    <w:multiLevelType w:val="hybridMultilevel"/>
    <w:tmpl w:val="59B023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F14257"/>
    <w:multiLevelType w:val="hybridMultilevel"/>
    <w:tmpl w:val="A8A06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FF2BB3"/>
    <w:multiLevelType w:val="hybridMultilevel"/>
    <w:tmpl w:val="3B7E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75C0E"/>
    <w:multiLevelType w:val="hybridMultilevel"/>
    <w:tmpl w:val="8EEEDF3C"/>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261286"/>
    <w:multiLevelType w:val="hybridMultilevel"/>
    <w:tmpl w:val="882C60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6936AF6"/>
    <w:multiLevelType w:val="hybridMultilevel"/>
    <w:tmpl w:val="B9F22A94"/>
    <w:lvl w:ilvl="0" w:tplc="FFFFFFFF">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357F80"/>
    <w:multiLevelType w:val="hybridMultilevel"/>
    <w:tmpl w:val="A85A1FD8"/>
    <w:lvl w:ilvl="0" w:tplc="041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15D9E"/>
    <w:multiLevelType w:val="hybridMultilevel"/>
    <w:tmpl w:val="9D100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573764"/>
    <w:multiLevelType w:val="hybridMultilevel"/>
    <w:tmpl w:val="622CB2B2"/>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FD46E65"/>
    <w:multiLevelType w:val="hybridMultilevel"/>
    <w:tmpl w:val="D4FC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E68CE"/>
    <w:multiLevelType w:val="hybridMultilevel"/>
    <w:tmpl w:val="E2D4895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8AC3EAA"/>
    <w:multiLevelType w:val="hybridMultilevel"/>
    <w:tmpl w:val="838AEC34"/>
    <w:lvl w:ilvl="0" w:tplc="FFFFFFFF">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9F61854"/>
    <w:multiLevelType w:val="hybridMultilevel"/>
    <w:tmpl w:val="FFF2713E"/>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C37B7D"/>
    <w:multiLevelType w:val="hybridMultilevel"/>
    <w:tmpl w:val="8CD8D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790328"/>
    <w:multiLevelType w:val="hybridMultilevel"/>
    <w:tmpl w:val="A36E4B18"/>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9968E2"/>
    <w:multiLevelType w:val="hybridMultilevel"/>
    <w:tmpl w:val="45B81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044D45"/>
    <w:multiLevelType w:val="hybridMultilevel"/>
    <w:tmpl w:val="4266A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A84A91"/>
    <w:multiLevelType w:val="hybridMultilevel"/>
    <w:tmpl w:val="BF081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C227F7"/>
    <w:multiLevelType w:val="hybridMultilevel"/>
    <w:tmpl w:val="E092D5A8"/>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0C5883"/>
    <w:multiLevelType w:val="hybridMultilevel"/>
    <w:tmpl w:val="D52448C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192F75"/>
    <w:multiLevelType w:val="hybridMultilevel"/>
    <w:tmpl w:val="24E4B96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EF5DC4"/>
    <w:multiLevelType w:val="hybridMultilevel"/>
    <w:tmpl w:val="DCD69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4366D"/>
    <w:multiLevelType w:val="hybridMultilevel"/>
    <w:tmpl w:val="1A2ED932"/>
    <w:lvl w:ilvl="0" w:tplc="FFB0B5F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595666">
    <w:abstractNumId w:val="9"/>
  </w:num>
  <w:num w:numId="2" w16cid:durableId="700477599">
    <w:abstractNumId w:val="4"/>
  </w:num>
  <w:num w:numId="3" w16cid:durableId="1235048365">
    <w:abstractNumId w:val="29"/>
  </w:num>
  <w:num w:numId="4" w16cid:durableId="394741967">
    <w:abstractNumId w:val="16"/>
  </w:num>
  <w:num w:numId="5" w16cid:durableId="2045131351">
    <w:abstractNumId w:val="12"/>
  </w:num>
  <w:num w:numId="6" w16cid:durableId="1613171164">
    <w:abstractNumId w:val="12"/>
  </w:num>
  <w:num w:numId="7" w16cid:durableId="1202665063">
    <w:abstractNumId w:val="13"/>
  </w:num>
  <w:num w:numId="8" w16cid:durableId="902174827">
    <w:abstractNumId w:val="6"/>
  </w:num>
  <w:num w:numId="9" w16cid:durableId="2032142185">
    <w:abstractNumId w:val="25"/>
  </w:num>
  <w:num w:numId="10" w16cid:durableId="2071345443">
    <w:abstractNumId w:val="26"/>
  </w:num>
  <w:num w:numId="11" w16cid:durableId="351300453">
    <w:abstractNumId w:val="20"/>
  </w:num>
  <w:num w:numId="12" w16cid:durableId="1854152275">
    <w:abstractNumId w:val="3"/>
  </w:num>
  <w:num w:numId="13" w16cid:durableId="1476603014">
    <w:abstractNumId w:val="5"/>
  </w:num>
  <w:num w:numId="14" w16cid:durableId="1805193828">
    <w:abstractNumId w:val="18"/>
  </w:num>
  <w:num w:numId="15" w16cid:durableId="2024436149">
    <w:abstractNumId w:val="22"/>
  </w:num>
  <w:num w:numId="16" w16cid:durableId="339041391">
    <w:abstractNumId w:val="21"/>
  </w:num>
  <w:num w:numId="17" w16cid:durableId="638264072">
    <w:abstractNumId w:val="8"/>
  </w:num>
  <w:num w:numId="18" w16cid:durableId="2028016256">
    <w:abstractNumId w:val="27"/>
  </w:num>
  <w:num w:numId="19" w16cid:durableId="962227544">
    <w:abstractNumId w:val="24"/>
  </w:num>
  <w:num w:numId="20" w16cid:durableId="1331640730">
    <w:abstractNumId w:val="0"/>
  </w:num>
  <w:num w:numId="21" w16cid:durableId="635843699">
    <w:abstractNumId w:val="23"/>
  </w:num>
  <w:num w:numId="22" w16cid:durableId="817109087">
    <w:abstractNumId w:val="14"/>
  </w:num>
  <w:num w:numId="23" w16cid:durableId="1582367175">
    <w:abstractNumId w:val="11"/>
  </w:num>
  <w:num w:numId="24" w16cid:durableId="87239051">
    <w:abstractNumId w:val="1"/>
  </w:num>
  <w:num w:numId="25" w16cid:durableId="1350066968">
    <w:abstractNumId w:val="28"/>
  </w:num>
  <w:num w:numId="26" w16cid:durableId="137769701">
    <w:abstractNumId w:val="15"/>
  </w:num>
  <w:num w:numId="27" w16cid:durableId="818300474">
    <w:abstractNumId w:val="2"/>
  </w:num>
  <w:num w:numId="28" w16cid:durableId="1204321187">
    <w:abstractNumId w:val="19"/>
  </w:num>
  <w:num w:numId="29" w16cid:durableId="978270207">
    <w:abstractNumId w:val="10"/>
  </w:num>
  <w:num w:numId="30" w16cid:durableId="117535101">
    <w:abstractNumId w:val="30"/>
  </w:num>
  <w:num w:numId="31" w16cid:durableId="1644501205">
    <w:abstractNumId w:val="17"/>
  </w:num>
  <w:num w:numId="32" w16cid:durableId="686834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429B9"/>
    <w:rsid w:val="00005DB6"/>
    <w:rsid w:val="000125C5"/>
    <w:rsid w:val="00016808"/>
    <w:rsid w:val="00023B12"/>
    <w:rsid w:val="00031225"/>
    <w:rsid w:val="00031B48"/>
    <w:rsid w:val="0003234D"/>
    <w:rsid w:val="00036E46"/>
    <w:rsid w:val="00041EE5"/>
    <w:rsid w:val="000478C2"/>
    <w:rsid w:val="000513E1"/>
    <w:rsid w:val="00055228"/>
    <w:rsid w:val="00061AB2"/>
    <w:rsid w:val="000628FE"/>
    <w:rsid w:val="00086AF4"/>
    <w:rsid w:val="00097102"/>
    <w:rsid w:val="000B297A"/>
    <w:rsid w:val="000D1D96"/>
    <w:rsid w:val="000D4BEB"/>
    <w:rsid w:val="000E14DD"/>
    <w:rsid w:val="000E735A"/>
    <w:rsid w:val="000F2F6D"/>
    <w:rsid w:val="000F4398"/>
    <w:rsid w:val="00136861"/>
    <w:rsid w:val="00154DBE"/>
    <w:rsid w:val="00162F65"/>
    <w:rsid w:val="001671B9"/>
    <w:rsid w:val="0016750B"/>
    <w:rsid w:val="00177B3F"/>
    <w:rsid w:val="00181A25"/>
    <w:rsid w:val="001838DE"/>
    <w:rsid w:val="00187D8A"/>
    <w:rsid w:val="001940C0"/>
    <w:rsid w:val="001A72BB"/>
    <w:rsid w:val="001B44DF"/>
    <w:rsid w:val="001C0929"/>
    <w:rsid w:val="001C1630"/>
    <w:rsid w:val="00226FF1"/>
    <w:rsid w:val="00230A9B"/>
    <w:rsid w:val="00235DF0"/>
    <w:rsid w:val="0024337E"/>
    <w:rsid w:val="0024387F"/>
    <w:rsid w:val="00243F4C"/>
    <w:rsid w:val="0025351C"/>
    <w:rsid w:val="002638A5"/>
    <w:rsid w:val="002817A2"/>
    <w:rsid w:val="002844F5"/>
    <w:rsid w:val="002851C9"/>
    <w:rsid w:val="00290CFC"/>
    <w:rsid w:val="00294974"/>
    <w:rsid w:val="00294CB1"/>
    <w:rsid w:val="002B7068"/>
    <w:rsid w:val="002C0CDE"/>
    <w:rsid w:val="002C3CC0"/>
    <w:rsid w:val="002D1C04"/>
    <w:rsid w:val="002D2B58"/>
    <w:rsid w:val="002D366D"/>
    <w:rsid w:val="002E07F7"/>
    <w:rsid w:val="002E27A5"/>
    <w:rsid w:val="002F31BE"/>
    <w:rsid w:val="002F390D"/>
    <w:rsid w:val="0031146C"/>
    <w:rsid w:val="00312667"/>
    <w:rsid w:val="0031702B"/>
    <w:rsid w:val="00333909"/>
    <w:rsid w:val="00347723"/>
    <w:rsid w:val="0035565B"/>
    <w:rsid w:val="00363080"/>
    <w:rsid w:val="00371F25"/>
    <w:rsid w:val="0037307A"/>
    <w:rsid w:val="0038697B"/>
    <w:rsid w:val="00391563"/>
    <w:rsid w:val="003978C6"/>
    <w:rsid w:val="003A24F3"/>
    <w:rsid w:val="003A4131"/>
    <w:rsid w:val="003A7C50"/>
    <w:rsid w:val="003C3EA4"/>
    <w:rsid w:val="003D2A9C"/>
    <w:rsid w:val="003E5035"/>
    <w:rsid w:val="00400EE0"/>
    <w:rsid w:val="004030EF"/>
    <w:rsid w:val="00403393"/>
    <w:rsid w:val="004075FC"/>
    <w:rsid w:val="00423072"/>
    <w:rsid w:val="00424F79"/>
    <w:rsid w:val="004307B9"/>
    <w:rsid w:val="0043149F"/>
    <w:rsid w:val="00435B0B"/>
    <w:rsid w:val="00440B48"/>
    <w:rsid w:val="00442DD5"/>
    <w:rsid w:val="00443A86"/>
    <w:rsid w:val="004440C8"/>
    <w:rsid w:val="004548D7"/>
    <w:rsid w:val="00454D39"/>
    <w:rsid w:val="00456859"/>
    <w:rsid w:val="00457FD0"/>
    <w:rsid w:val="004755B4"/>
    <w:rsid w:val="004849B1"/>
    <w:rsid w:val="004A7681"/>
    <w:rsid w:val="004B3030"/>
    <w:rsid w:val="004B73D5"/>
    <w:rsid w:val="004C0320"/>
    <w:rsid w:val="004C751F"/>
    <w:rsid w:val="004E12C6"/>
    <w:rsid w:val="004E40FA"/>
    <w:rsid w:val="004F1ACE"/>
    <w:rsid w:val="004F3A1E"/>
    <w:rsid w:val="004F4360"/>
    <w:rsid w:val="004F6449"/>
    <w:rsid w:val="00503A95"/>
    <w:rsid w:val="005107FC"/>
    <w:rsid w:val="00512E34"/>
    <w:rsid w:val="0051734B"/>
    <w:rsid w:val="00522762"/>
    <w:rsid w:val="00522AE8"/>
    <w:rsid w:val="0052332E"/>
    <w:rsid w:val="005345CA"/>
    <w:rsid w:val="005376A9"/>
    <w:rsid w:val="00546341"/>
    <w:rsid w:val="00552D93"/>
    <w:rsid w:val="00560757"/>
    <w:rsid w:val="00573DDF"/>
    <w:rsid w:val="00591791"/>
    <w:rsid w:val="005A2D21"/>
    <w:rsid w:val="005A314E"/>
    <w:rsid w:val="005B66EC"/>
    <w:rsid w:val="005C6BD6"/>
    <w:rsid w:val="005E046B"/>
    <w:rsid w:val="005F6403"/>
    <w:rsid w:val="00600DD6"/>
    <w:rsid w:val="00604572"/>
    <w:rsid w:val="0061033B"/>
    <w:rsid w:val="00610971"/>
    <w:rsid w:val="00610ADC"/>
    <w:rsid w:val="00611B17"/>
    <w:rsid w:val="006139F1"/>
    <w:rsid w:val="00616AE0"/>
    <w:rsid w:val="00620BFC"/>
    <w:rsid w:val="00621212"/>
    <w:rsid w:val="00621F6A"/>
    <w:rsid w:val="00640155"/>
    <w:rsid w:val="006427A0"/>
    <w:rsid w:val="00650D80"/>
    <w:rsid w:val="0065116A"/>
    <w:rsid w:val="0066378F"/>
    <w:rsid w:val="006650FD"/>
    <w:rsid w:val="00670C2E"/>
    <w:rsid w:val="00671075"/>
    <w:rsid w:val="006740B7"/>
    <w:rsid w:val="006833FA"/>
    <w:rsid w:val="00683630"/>
    <w:rsid w:val="0068721C"/>
    <w:rsid w:val="00687994"/>
    <w:rsid w:val="00697C90"/>
    <w:rsid w:val="006B17A0"/>
    <w:rsid w:val="006B7E54"/>
    <w:rsid w:val="006D2BD2"/>
    <w:rsid w:val="006D3F4D"/>
    <w:rsid w:val="006E2148"/>
    <w:rsid w:val="006E72C6"/>
    <w:rsid w:val="00710011"/>
    <w:rsid w:val="0071543E"/>
    <w:rsid w:val="007207EB"/>
    <w:rsid w:val="00725DD5"/>
    <w:rsid w:val="007269BE"/>
    <w:rsid w:val="00727318"/>
    <w:rsid w:val="007409DD"/>
    <w:rsid w:val="007502E7"/>
    <w:rsid w:val="00755888"/>
    <w:rsid w:val="00767C05"/>
    <w:rsid w:val="00767C99"/>
    <w:rsid w:val="007729CB"/>
    <w:rsid w:val="007738FC"/>
    <w:rsid w:val="00776BFC"/>
    <w:rsid w:val="00787188"/>
    <w:rsid w:val="007940A8"/>
    <w:rsid w:val="007A1EDD"/>
    <w:rsid w:val="007B1087"/>
    <w:rsid w:val="007B6A1A"/>
    <w:rsid w:val="007C174E"/>
    <w:rsid w:val="007D3A19"/>
    <w:rsid w:val="007E405C"/>
    <w:rsid w:val="007E4AD1"/>
    <w:rsid w:val="008106FE"/>
    <w:rsid w:val="008150E9"/>
    <w:rsid w:val="00831E4B"/>
    <w:rsid w:val="00842C2B"/>
    <w:rsid w:val="00860461"/>
    <w:rsid w:val="00867040"/>
    <w:rsid w:val="0087374F"/>
    <w:rsid w:val="0088393E"/>
    <w:rsid w:val="008856A2"/>
    <w:rsid w:val="0089657A"/>
    <w:rsid w:val="00897DC5"/>
    <w:rsid w:val="008A7FE4"/>
    <w:rsid w:val="008B23B8"/>
    <w:rsid w:val="008D41E9"/>
    <w:rsid w:val="008D55BF"/>
    <w:rsid w:val="00921D3D"/>
    <w:rsid w:val="00923F56"/>
    <w:rsid w:val="00926B43"/>
    <w:rsid w:val="00936169"/>
    <w:rsid w:val="00942617"/>
    <w:rsid w:val="009429B9"/>
    <w:rsid w:val="00946131"/>
    <w:rsid w:val="0095014F"/>
    <w:rsid w:val="009523F0"/>
    <w:rsid w:val="00952631"/>
    <w:rsid w:val="0095572A"/>
    <w:rsid w:val="00962D9B"/>
    <w:rsid w:val="00967E22"/>
    <w:rsid w:val="00974577"/>
    <w:rsid w:val="00975816"/>
    <w:rsid w:val="009A3EF9"/>
    <w:rsid w:val="009A47EF"/>
    <w:rsid w:val="009B13DF"/>
    <w:rsid w:val="009C1CF9"/>
    <w:rsid w:val="009C7E0A"/>
    <w:rsid w:val="009D25EA"/>
    <w:rsid w:val="009D45AE"/>
    <w:rsid w:val="009E3AF8"/>
    <w:rsid w:val="009E76A4"/>
    <w:rsid w:val="009F3096"/>
    <w:rsid w:val="009F339C"/>
    <w:rsid w:val="009F45B7"/>
    <w:rsid w:val="00A050DE"/>
    <w:rsid w:val="00A120EF"/>
    <w:rsid w:val="00A12E1C"/>
    <w:rsid w:val="00A27D47"/>
    <w:rsid w:val="00A403E3"/>
    <w:rsid w:val="00A4185A"/>
    <w:rsid w:val="00A42E60"/>
    <w:rsid w:val="00A45A61"/>
    <w:rsid w:val="00A47B40"/>
    <w:rsid w:val="00A53B47"/>
    <w:rsid w:val="00A54549"/>
    <w:rsid w:val="00A758E3"/>
    <w:rsid w:val="00A85305"/>
    <w:rsid w:val="00AA7120"/>
    <w:rsid w:val="00AA7FAE"/>
    <w:rsid w:val="00AE4EBC"/>
    <w:rsid w:val="00AE54D8"/>
    <w:rsid w:val="00AE72A9"/>
    <w:rsid w:val="00AF097C"/>
    <w:rsid w:val="00B107B0"/>
    <w:rsid w:val="00B23487"/>
    <w:rsid w:val="00B24843"/>
    <w:rsid w:val="00B265AE"/>
    <w:rsid w:val="00B30BEC"/>
    <w:rsid w:val="00B444FB"/>
    <w:rsid w:val="00B47D24"/>
    <w:rsid w:val="00B51BEF"/>
    <w:rsid w:val="00B62994"/>
    <w:rsid w:val="00B62F59"/>
    <w:rsid w:val="00B63EEB"/>
    <w:rsid w:val="00B657EB"/>
    <w:rsid w:val="00B8294F"/>
    <w:rsid w:val="00B9490E"/>
    <w:rsid w:val="00B9654F"/>
    <w:rsid w:val="00BA662A"/>
    <w:rsid w:val="00BC25DA"/>
    <w:rsid w:val="00BC6811"/>
    <w:rsid w:val="00BD700C"/>
    <w:rsid w:val="00BF7C5F"/>
    <w:rsid w:val="00C0163B"/>
    <w:rsid w:val="00C06085"/>
    <w:rsid w:val="00C172F1"/>
    <w:rsid w:val="00C21B60"/>
    <w:rsid w:val="00C26E15"/>
    <w:rsid w:val="00C3045F"/>
    <w:rsid w:val="00C31453"/>
    <w:rsid w:val="00C56377"/>
    <w:rsid w:val="00C67EBF"/>
    <w:rsid w:val="00C907AA"/>
    <w:rsid w:val="00C954DD"/>
    <w:rsid w:val="00C96AD6"/>
    <w:rsid w:val="00CA073E"/>
    <w:rsid w:val="00CA206C"/>
    <w:rsid w:val="00CB439F"/>
    <w:rsid w:val="00CC5276"/>
    <w:rsid w:val="00CD20AE"/>
    <w:rsid w:val="00CD604F"/>
    <w:rsid w:val="00CE0886"/>
    <w:rsid w:val="00CE18F5"/>
    <w:rsid w:val="00CE2113"/>
    <w:rsid w:val="00CE606D"/>
    <w:rsid w:val="00CF6189"/>
    <w:rsid w:val="00D022CB"/>
    <w:rsid w:val="00D06E4E"/>
    <w:rsid w:val="00D15E6D"/>
    <w:rsid w:val="00D23E99"/>
    <w:rsid w:val="00D252BC"/>
    <w:rsid w:val="00D300E0"/>
    <w:rsid w:val="00D336F4"/>
    <w:rsid w:val="00D461EA"/>
    <w:rsid w:val="00D52ECE"/>
    <w:rsid w:val="00D56A86"/>
    <w:rsid w:val="00D56AD4"/>
    <w:rsid w:val="00D65BAF"/>
    <w:rsid w:val="00D65F3B"/>
    <w:rsid w:val="00D73296"/>
    <w:rsid w:val="00D75F67"/>
    <w:rsid w:val="00D80160"/>
    <w:rsid w:val="00D82094"/>
    <w:rsid w:val="00D835EB"/>
    <w:rsid w:val="00D9307F"/>
    <w:rsid w:val="00D973FC"/>
    <w:rsid w:val="00DA1324"/>
    <w:rsid w:val="00DA3480"/>
    <w:rsid w:val="00DA50FB"/>
    <w:rsid w:val="00DA589B"/>
    <w:rsid w:val="00DD33F0"/>
    <w:rsid w:val="00DE0ABE"/>
    <w:rsid w:val="00DE3EB4"/>
    <w:rsid w:val="00DE6057"/>
    <w:rsid w:val="00DE7BB3"/>
    <w:rsid w:val="00DF1BB4"/>
    <w:rsid w:val="00DF3B50"/>
    <w:rsid w:val="00DF4B09"/>
    <w:rsid w:val="00E02380"/>
    <w:rsid w:val="00E03F4A"/>
    <w:rsid w:val="00E06806"/>
    <w:rsid w:val="00E06A98"/>
    <w:rsid w:val="00E441BE"/>
    <w:rsid w:val="00E54E3C"/>
    <w:rsid w:val="00E5695C"/>
    <w:rsid w:val="00E70E7C"/>
    <w:rsid w:val="00E82C00"/>
    <w:rsid w:val="00E95D3D"/>
    <w:rsid w:val="00EB387C"/>
    <w:rsid w:val="00EC4B60"/>
    <w:rsid w:val="00ED06A9"/>
    <w:rsid w:val="00ED2720"/>
    <w:rsid w:val="00ED59D6"/>
    <w:rsid w:val="00EE18F7"/>
    <w:rsid w:val="00EE6D9E"/>
    <w:rsid w:val="00EF7C0B"/>
    <w:rsid w:val="00F06949"/>
    <w:rsid w:val="00F06BBB"/>
    <w:rsid w:val="00F13019"/>
    <w:rsid w:val="00F17224"/>
    <w:rsid w:val="00F219E9"/>
    <w:rsid w:val="00F3153B"/>
    <w:rsid w:val="00F34D0E"/>
    <w:rsid w:val="00F430AA"/>
    <w:rsid w:val="00F56E79"/>
    <w:rsid w:val="00F61839"/>
    <w:rsid w:val="00F75190"/>
    <w:rsid w:val="00F8267E"/>
    <w:rsid w:val="00FA6A19"/>
    <w:rsid w:val="00FA7982"/>
    <w:rsid w:val="00FB5277"/>
    <w:rsid w:val="00FC25C1"/>
    <w:rsid w:val="00FE5299"/>
    <w:rsid w:val="00FF1FB5"/>
    <w:rsid w:val="00FF5F00"/>
    <w:rsid w:val="0D558B23"/>
    <w:rsid w:val="0DF47AD2"/>
    <w:rsid w:val="0E22F65E"/>
    <w:rsid w:val="0EA25F4A"/>
    <w:rsid w:val="1254128D"/>
    <w:rsid w:val="14D3A6D1"/>
    <w:rsid w:val="1557D8F3"/>
    <w:rsid w:val="15D4DAB7"/>
    <w:rsid w:val="19811EDA"/>
    <w:rsid w:val="1B3A3D35"/>
    <w:rsid w:val="23611F22"/>
    <w:rsid w:val="2376E9E5"/>
    <w:rsid w:val="25213D3C"/>
    <w:rsid w:val="29088067"/>
    <w:rsid w:val="2FC8BB97"/>
    <w:rsid w:val="30E11EBE"/>
    <w:rsid w:val="34664103"/>
    <w:rsid w:val="3532C1EE"/>
    <w:rsid w:val="353726F7"/>
    <w:rsid w:val="366F6CB8"/>
    <w:rsid w:val="41F38F3C"/>
    <w:rsid w:val="4201BAAA"/>
    <w:rsid w:val="4255B17E"/>
    <w:rsid w:val="431E6DA9"/>
    <w:rsid w:val="451A02CA"/>
    <w:rsid w:val="490A41F3"/>
    <w:rsid w:val="4F605B1A"/>
    <w:rsid w:val="504C5D5D"/>
    <w:rsid w:val="5091F8B9"/>
    <w:rsid w:val="516FB0D5"/>
    <w:rsid w:val="52A2DDBF"/>
    <w:rsid w:val="59E5E920"/>
    <w:rsid w:val="5B7DE37B"/>
    <w:rsid w:val="5C6B7F50"/>
    <w:rsid w:val="5D6CDE2B"/>
    <w:rsid w:val="610C2BDE"/>
    <w:rsid w:val="654BBCD7"/>
    <w:rsid w:val="6DDF9776"/>
    <w:rsid w:val="6F9F6292"/>
    <w:rsid w:val="72B9EF39"/>
    <w:rsid w:val="77090398"/>
    <w:rsid w:val="77D532CD"/>
    <w:rsid w:val="7A4CFEB4"/>
    <w:rsid w:val="7EF46016"/>
    <w:rsid w:val="7FC7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B3897"/>
  <w15:chartTrackingRefBased/>
  <w15:docId w15:val="{3A639CC2-822D-4A00-B833-06FA5461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43"/>
    <w:rPr>
      <w:noProof/>
    </w:rPr>
  </w:style>
  <w:style w:type="paragraph" w:styleId="Heading1">
    <w:name w:val="heading 1"/>
    <w:basedOn w:val="Normal"/>
    <w:next w:val="Normal"/>
    <w:link w:val="Heading1Char"/>
    <w:uiPriority w:val="9"/>
    <w:qFormat/>
    <w:rsid w:val="00B2484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B2484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B2484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2484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2484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2484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2484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2484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2484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43"/>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semiHidden/>
    <w:rsid w:val="00B24843"/>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B248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248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248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248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248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248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248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2484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2484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24843"/>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2484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248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24843"/>
    <w:rPr>
      <w:b/>
      <w:bCs/>
    </w:rPr>
  </w:style>
  <w:style w:type="character" w:styleId="Emphasis">
    <w:name w:val="Emphasis"/>
    <w:basedOn w:val="DefaultParagraphFont"/>
    <w:uiPriority w:val="20"/>
    <w:qFormat/>
    <w:rsid w:val="00B24843"/>
    <w:rPr>
      <w:i/>
      <w:iCs/>
    </w:rPr>
  </w:style>
  <w:style w:type="paragraph" w:styleId="NoSpacing">
    <w:name w:val="No Spacing"/>
    <w:uiPriority w:val="1"/>
    <w:qFormat/>
    <w:rsid w:val="00B24843"/>
    <w:pPr>
      <w:spacing w:after="0" w:line="240" w:lineRule="auto"/>
    </w:pPr>
  </w:style>
  <w:style w:type="paragraph" w:styleId="Quote">
    <w:name w:val="Quote"/>
    <w:basedOn w:val="Normal"/>
    <w:next w:val="Normal"/>
    <w:link w:val="QuoteChar"/>
    <w:uiPriority w:val="29"/>
    <w:qFormat/>
    <w:rsid w:val="00B248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4843"/>
    <w:rPr>
      <w:i/>
      <w:iCs/>
    </w:rPr>
  </w:style>
  <w:style w:type="paragraph" w:styleId="IntenseQuote">
    <w:name w:val="Intense Quote"/>
    <w:basedOn w:val="Normal"/>
    <w:next w:val="Normal"/>
    <w:link w:val="IntenseQuoteChar"/>
    <w:uiPriority w:val="30"/>
    <w:qFormat/>
    <w:rsid w:val="00B2484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484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4843"/>
    <w:rPr>
      <w:i/>
      <w:iCs/>
      <w:color w:val="595959" w:themeColor="text1" w:themeTint="A6"/>
    </w:rPr>
  </w:style>
  <w:style w:type="character" w:styleId="IntenseEmphasis">
    <w:name w:val="Intense Emphasis"/>
    <w:basedOn w:val="DefaultParagraphFont"/>
    <w:uiPriority w:val="21"/>
    <w:qFormat/>
    <w:rsid w:val="00B24843"/>
    <w:rPr>
      <w:b/>
      <w:bCs/>
      <w:i/>
      <w:iCs/>
    </w:rPr>
  </w:style>
  <w:style w:type="character" w:styleId="SubtleReference">
    <w:name w:val="Subtle Reference"/>
    <w:basedOn w:val="DefaultParagraphFont"/>
    <w:uiPriority w:val="31"/>
    <w:qFormat/>
    <w:rsid w:val="00B24843"/>
    <w:rPr>
      <w:smallCaps/>
      <w:color w:val="404040" w:themeColor="text1" w:themeTint="BF"/>
    </w:rPr>
  </w:style>
  <w:style w:type="character" w:styleId="IntenseReference">
    <w:name w:val="Intense Reference"/>
    <w:basedOn w:val="DefaultParagraphFont"/>
    <w:uiPriority w:val="32"/>
    <w:qFormat/>
    <w:rsid w:val="00B24843"/>
    <w:rPr>
      <w:b/>
      <w:bCs/>
      <w:smallCaps/>
      <w:u w:val="single"/>
    </w:rPr>
  </w:style>
  <w:style w:type="character" w:styleId="BookTitle">
    <w:name w:val="Book Title"/>
    <w:basedOn w:val="DefaultParagraphFont"/>
    <w:uiPriority w:val="33"/>
    <w:qFormat/>
    <w:rsid w:val="00B24843"/>
    <w:rPr>
      <w:b/>
      <w:bCs/>
      <w:smallCaps/>
    </w:rPr>
  </w:style>
  <w:style w:type="paragraph" w:styleId="TOCHeading">
    <w:name w:val="TOC Heading"/>
    <w:basedOn w:val="Heading1"/>
    <w:next w:val="Normal"/>
    <w:uiPriority w:val="39"/>
    <w:semiHidden/>
    <w:unhideWhenUsed/>
    <w:qFormat/>
    <w:rsid w:val="00B24843"/>
    <w:pPr>
      <w:outlineLvl w:val="9"/>
    </w:pPr>
  </w:style>
  <w:style w:type="paragraph" w:styleId="ListParagraph">
    <w:name w:val="List Paragraph"/>
    <w:aliases w:val="References,List1,1st level - Bullet List Paragraph,Lettre d'introduction,Normal bullet 2,Medium Grid 1 - Accent 21,FooterText,Bullet list,Bullet List Paragraph,Normal numbered,OBC Bullet,EC,List Paragraph1,Heading 2_"/>
    <w:basedOn w:val="Normal"/>
    <w:link w:val="ListParagraphChar"/>
    <w:uiPriority w:val="34"/>
    <w:qFormat/>
    <w:rsid w:val="00A12E1C"/>
    <w:pPr>
      <w:ind w:left="720"/>
      <w:contextualSpacing/>
    </w:pPr>
  </w:style>
  <w:style w:type="character" w:styleId="CommentReference">
    <w:name w:val="annotation reference"/>
    <w:basedOn w:val="DefaultParagraphFont"/>
    <w:uiPriority w:val="99"/>
    <w:semiHidden/>
    <w:unhideWhenUsed/>
    <w:rsid w:val="007409DD"/>
    <w:rPr>
      <w:sz w:val="16"/>
      <w:szCs w:val="16"/>
    </w:rPr>
  </w:style>
  <w:style w:type="paragraph" w:styleId="CommentText">
    <w:name w:val="annotation text"/>
    <w:basedOn w:val="Normal"/>
    <w:link w:val="CommentTextChar"/>
    <w:uiPriority w:val="99"/>
    <w:unhideWhenUsed/>
    <w:rsid w:val="007409DD"/>
    <w:pPr>
      <w:spacing w:line="240" w:lineRule="auto"/>
    </w:pPr>
    <w:rPr>
      <w:sz w:val="20"/>
      <w:szCs w:val="20"/>
    </w:rPr>
  </w:style>
  <w:style w:type="character" w:customStyle="1" w:styleId="CommentTextChar">
    <w:name w:val="Comment Text Char"/>
    <w:basedOn w:val="DefaultParagraphFont"/>
    <w:link w:val="CommentText"/>
    <w:uiPriority w:val="99"/>
    <w:rsid w:val="007409DD"/>
    <w:rPr>
      <w:sz w:val="20"/>
      <w:szCs w:val="20"/>
    </w:rPr>
  </w:style>
  <w:style w:type="paragraph" w:styleId="CommentSubject">
    <w:name w:val="annotation subject"/>
    <w:basedOn w:val="CommentText"/>
    <w:next w:val="CommentText"/>
    <w:link w:val="CommentSubjectChar"/>
    <w:uiPriority w:val="99"/>
    <w:semiHidden/>
    <w:unhideWhenUsed/>
    <w:rsid w:val="007409DD"/>
    <w:rPr>
      <w:b/>
      <w:bCs/>
    </w:rPr>
  </w:style>
  <w:style w:type="character" w:customStyle="1" w:styleId="CommentSubjectChar">
    <w:name w:val="Comment Subject Char"/>
    <w:basedOn w:val="CommentTextChar"/>
    <w:link w:val="CommentSubject"/>
    <w:uiPriority w:val="99"/>
    <w:semiHidden/>
    <w:rsid w:val="007409DD"/>
    <w:rPr>
      <w:b/>
      <w:bCs/>
      <w:sz w:val="20"/>
      <w:szCs w:val="20"/>
    </w:rPr>
  </w:style>
  <w:style w:type="paragraph" w:styleId="Revision">
    <w:name w:val="Revision"/>
    <w:hidden/>
    <w:uiPriority w:val="99"/>
    <w:semiHidden/>
    <w:rsid w:val="00CA206C"/>
    <w:pPr>
      <w:spacing w:after="0" w:line="240" w:lineRule="auto"/>
    </w:pPr>
  </w:style>
  <w:style w:type="character" w:styleId="Hyperlink">
    <w:name w:val="Hyperlink"/>
    <w:basedOn w:val="DefaultParagraphFont"/>
    <w:uiPriority w:val="99"/>
    <w:semiHidden/>
    <w:unhideWhenUsed/>
    <w:rsid w:val="004755B4"/>
    <w:rPr>
      <w:color w:val="0000FF"/>
      <w:u w:val="single"/>
    </w:rPr>
  </w:style>
  <w:style w:type="paragraph" w:styleId="Header">
    <w:name w:val="header"/>
    <w:basedOn w:val="Normal"/>
    <w:link w:val="HeaderChar"/>
    <w:uiPriority w:val="99"/>
    <w:unhideWhenUsed/>
    <w:rsid w:val="00962D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2D9B"/>
  </w:style>
  <w:style w:type="paragraph" w:styleId="Footer">
    <w:name w:val="footer"/>
    <w:basedOn w:val="Normal"/>
    <w:link w:val="FooterChar"/>
    <w:uiPriority w:val="99"/>
    <w:unhideWhenUsed/>
    <w:rsid w:val="00962D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2D9B"/>
  </w:style>
  <w:style w:type="paragraph" w:styleId="FootnoteText">
    <w:name w:val="footnote text"/>
    <w:basedOn w:val="Normal"/>
    <w:link w:val="FootnoteTextChar"/>
    <w:uiPriority w:val="99"/>
    <w:semiHidden/>
    <w:unhideWhenUsed/>
    <w:rsid w:val="00975816"/>
    <w:pPr>
      <w:spacing w:after="0" w:line="240" w:lineRule="auto"/>
    </w:pPr>
    <w:rPr>
      <w:rFonts w:eastAsiaTheme="minorHAnsi"/>
      <w:color w:val="595959" w:themeColor="text1" w:themeTint="A6"/>
      <w:sz w:val="20"/>
      <w:szCs w:val="20"/>
      <w:lang w:val="en-US"/>
    </w:rPr>
  </w:style>
  <w:style w:type="character" w:customStyle="1" w:styleId="FootnoteTextChar">
    <w:name w:val="Footnote Text Char"/>
    <w:basedOn w:val="DefaultParagraphFont"/>
    <w:link w:val="FootnoteText"/>
    <w:uiPriority w:val="99"/>
    <w:semiHidden/>
    <w:rsid w:val="00975816"/>
    <w:rPr>
      <w:rFonts w:eastAsiaTheme="minorHAnsi"/>
      <w:color w:val="595959" w:themeColor="text1" w:themeTint="A6"/>
      <w:sz w:val="20"/>
      <w:szCs w:val="20"/>
      <w:lang w:val="en-US"/>
    </w:rPr>
  </w:style>
  <w:style w:type="character" w:styleId="FootnoteReference">
    <w:name w:val="footnote reference"/>
    <w:basedOn w:val="DefaultParagraphFont"/>
    <w:uiPriority w:val="99"/>
    <w:semiHidden/>
    <w:unhideWhenUsed/>
    <w:rsid w:val="00975816"/>
    <w:rPr>
      <w:vertAlign w:val="superscript"/>
    </w:rPr>
  </w:style>
  <w:style w:type="table" w:styleId="TableGrid">
    <w:name w:val="Table Grid"/>
    <w:basedOn w:val="TableNormal"/>
    <w:uiPriority w:val="39"/>
    <w:rsid w:val="00ED5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5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190"/>
    <w:rPr>
      <w:rFonts w:ascii="Segoe UI" w:hAnsi="Segoe UI" w:cs="Segoe UI"/>
      <w:sz w:val="18"/>
      <w:szCs w:val="18"/>
    </w:rPr>
  </w:style>
  <w:style w:type="paragraph" w:styleId="NormalWeb">
    <w:name w:val="Normal (Web)"/>
    <w:basedOn w:val="Normal"/>
    <w:uiPriority w:val="99"/>
    <w:semiHidden/>
    <w:unhideWhenUsed/>
    <w:rsid w:val="008856A2"/>
    <w:rPr>
      <w:rFonts w:ascii="Times New Roman" w:hAnsi="Times New Roman" w:cs="Times New Roman"/>
      <w:sz w:val="24"/>
      <w:szCs w:val="24"/>
    </w:rPr>
  </w:style>
  <w:style w:type="character" w:customStyle="1" w:styleId="ListParagraphChar">
    <w:name w:val="List Paragraph Char"/>
    <w:aliases w:val="References Char,List1 Char,1st level - Bullet List Paragraph Char,Lettre d'introduction Char,Normal bullet 2 Char,Medium Grid 1 - Accent 21 Char,FooterText Char,Bullet list Char,Bullet List Paragraph Char,Normal numbered Char,EC Char"/>
    <w:basedOn w:val="DefaultParagraphFont"/>
    <w:link w:val="ListParagraph"/>
    <w:uiPriority w:val="34"/>
    <w:qFormat/>
    <w:rsid w:val="007729CB"/>
    <w:rPr>
      <w:noProof/>
    </w:rPr>
  </w:style>
  <w:style w:type="paragraph" w:customStyle="1" w:styleId="Default">
    <w:name w:val="Default"/>
    <w:rsid w:val="00FF5F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5503">
      <w:bodyDiv w:val="1"/>
      <w:marLeft w:val="0"/>
      <w:marRight w:val="0"/>
      <w:marTop w:val="0"/>
      <w:marBottom w:val="0"/>
      <w:divBdr>
        <w:top w:val="none" w:sz="0" w:space="0" w:color="auto"/>
        <w:left w:val="none" w:sz="0" w:space="0" w:color="auto"/>
        <w:bottom w:val="none" w:sz="0" w:space="0" w:color="auto"/>
        <w:right w:val="none" w:sz="0" w:space="0" w:color="auto"/>
      </w:divBdr>
    </w:div>
    <w:div w:id="255987047">
      <w:bodyDiv w:val="1"/>
      <w:marLeft w:val="0"/>
      <w:marRight w:val="0"/>
      <w:marTop w:val="0"/>
      <w:marBottom w:val="0"/>
      <w:divBdr>
        <w:top w:val="none" w:sz="0" w:space="0" w:color="auto"/>
        <w:left w:val="none" w:sz="0" w:space="0" w:color="auto"/>
        <w:bottom w:val="none" w:sz="0" w:space="0" w:color="auto"/>
        <w:right w:val="none" w:sz="0" w:space="0" w:color="auto"/>
      </w:divBdr>
    </w:div>
    <w:div w:id="356274685">
      <w:bodyDiv w:val="1"/>
      <w:marLeft w:val="0"/>
      <w:marRight w:val="0"/>
      <w:marTop w:val="0"/>
      <w:marBottom w:val="0"/>
      <w:divBdr>
        <w:top w:val="none" w:sz="0" w:space="0" w:color="auto"/>
        <w:left w:val="none" w:sz="0" w:space="0" w:color="auto"/>
        <w:bottom w:val="none" w:sz="0" w:space="0" w:color="auto"/>
        <w:right w:val="none" w:sz="0" w:space="0" w:color="auto"/>
      </w:divBdr>
    </w:div>
    <w:div w:id="364645859">
      <w:bodyDiv w:val="1"/>
      <w:marLeft w:val="0"/>
      <w:marRight w:val="0"/>
      <w:marTop w:val="0"/>
      <w:marBottom w:val="0"/>
      <w:divBdr>
        <w:top w:val="none" w:sz="0" w:space="0" w:color="auto"/>
        <w:left w:val="none" w:sz="0" w:space="0" w:color="auto"/>
        <w:bottom w:val="none" w:sz="0" w:space="0" w:color="auto"/>
        <w:right w:val="none" w:sz="0" w:space="0" w:color="auto"/>
      </w:divBdr>
    </w:div>
    <w:div w:id="514269475">
      <w:bodyDiv w:val="1"/>
      <w:marLeft w:val="0"/>
      <w:marRight w:val="0"/>
      <w:marTop w:val="0"/>
      <w:marBottom w:val="0"/>
      <w:divBdr>
        <w:top w:val="none" w:sz="0" w:space="0" w:color="auto"/>
        <w:left w:val="none" w:sz="0" w:space="0" w:color="auto"/>
        <w:bottom w:val="none" w:sz="0" w:space="0" w:color="auto"/>
        <w:right w:val="none" w:sz="0" w:space="0" w:color="auto"/>
      </w:divBdr>
    </w:div>
    <w:div w:id="526257377">
      <w:bodyDiv w:val="1"/>
      <w:marLeft w:val="0"/>
      <w:marRight w:val="0"/>
      <w:marTop w:val="0"/>
      <w:marBottom w:val="0"/>
      <w:divBdr>
        <w:top w:val="none" w:sz="0" w:space="0" w:color="auto"/>
        <w:left w:val="none" w:sz="0" w:space="0" w:color="auto"/>
        <w:bottom w:val="none" w:sz="0" w:space="0" w:color="auto"/>
        <w:right w:val="none" w:sz="0" w:space="0" w:color="auto"/>
      </w:divBdr>
    </w:div>
    <w:div w:id="703478640">
      <w:bodyDiv w:val="1"/>
      <w:marLeft w:val="0"/>
      <w:marRight w:val="0"/>
      <w:marTop w:val="0"/>
      <w:marBottom w:val="0"/>
      <w:divBdr>
        <w:top w:val="none" w:sz="0" w:space="0" w:color="auto"/>
        <w:left w:val="none" w:sz="0" w:space="0" w:color="auto"/>
        <w:bottom w:val="none" w:sz="0" w:space="0" w:color="auto"/>
        <w:right w:val="none" w:sz="0" w:space="0" w:color="auto"/>
      </w:divBdr>
    </w:div>
    <w:div w:id="1089156873">
      <w:bodyDiv w:val="1"/>
      <w:marLeft w:val="0"/>
      <w:marRight w:val="0"/>
      <w:marTop w:val="0"/>
      <w:marBottom w:val="0"/>
      <w:divBdr>
        <w:top w:val="none" w:sz="0" w:space="0" w:color="auto"/>
        <w:left w:val="none" w:sz="0" w:space="0" w:color="auto"/>
        <w:bottom w:val="none" w:sz="0" w:space="0" w:color="auto"/>
        <w:right w:val="none" w:sz="0" w:space="0" w:color="auto"/>
      </w:divBdr>
    </w:div>
    <w:div w:id="1139610131">
      <w:bodyDiv w:val="1"/>
      <w:marLeft w:val="0"/>
      <w:marRight w:val="0"/>
      <w:marTop w:val="0"/>
      <w:marBottom w:val="0"/>
      <w:divBdr>
        <w:top w:val="none" w:sz="0" w:space="0" w:color="auto"/>
        <w:left w:val="none" w:sz="0" w:space="0" w:color="auto"/>
        <w:bottom w:val="none" w:sz="0" w:space="0" w:color="auto"/>
        <w:right w:val="none" w:sz="0" w:space="0" w:color="auto"/>
      </w:divBdr>
    </w:div>
    <w:div w:id="1356543680">
      <w:bodyDiv w:val="1"/>
      <w:marLeft w:val="0"/>
      <w:marRight w:val="0"/>
      <w:marTop w:val="0"/>
      <w:marBottom w:val="0"/>
      <w:divBdr>
        <w:top w:val="none" w:sz="0" w:space="0" w:color="auto"/>
        <w:left w:val="none" w:sz="0" w:space="0" w:color="auto"/>
        <w:bottom w:val="none" w:sz="0" w:space="0" w:color="auto"/>
        <w:right w:val="none" w:sz="0" w:space="0" w:color="auto"/>
      </w:divBdr>
    </w:div>
    <w:div w:id="1396781384">
      <w:bodyDiv w:val="1"/>
      <w:marLeft w:val="0"/>
      <w:marRight w:val="0"/>
      <w:marTop w:val="0"/>
      <w:marBottom w:val="0"/>
      <w:divBdr>
        <w:top w:val="none" w:sz="0" w:space="0" w:color="auto"/>
        <w:left w:val="none" w:sz="0" w:space="0" w:color="auto"/>
        <w:bottom w:val="none" w:sz="0" w:space="0" w:color="auto"/>
        <w:right w:val="none" w:sz="0" w:space="0" w:color="auto"/>
      </w:divBdr>
    </w:div>
    <w:div w:id="1399283936">
      <w:bodyDiv w:val="1"/>
      <w:marLeft w:val="0"/>
      <w:marRight w:val="0"/>
      <w:marTop w:val="0"/>
      <w:marBottom w:val="0"/>
      <w:divBdr>
        <w:top w:val="none" w:sz="0" w:space="0" w:color="auto"/>
        <w:left w:val="none" w:sz="0" w:space="0" w:color="auto"/>
        <w:bottom w:val="none" w:sz="0" w:space="0" w:color="auto"/>
        <w:right w:val="none" w:sz="0" w:space="0" w:color="auto"/>
      </w:divBdr>
    </w:div>
    <w:div w:id="1519125847">
      <w:bodyDiv w:val="1"/>
      <w:marLeft w:val="0"/>
      <w:marRight w:val="0"/>
      <w:marTop w:val="0"/>
      <w:marBottom w:val="0"/>
      <w:divBdr>
        <w:top w:val="none" w:sz="0" w:space="0" w:color="auto"/>
        <w:left w:val="none" w:sz="0" w:space="0" w:color="auto"/>
        <w:bottom w:val="none" w:sz="0" w:space="0" w:color="auto"/>
        <w:right w:val="none" w:sz="0" w:space="0" w:color="auto"/>
      </w:divBdr>
    </w:div>
    <w:div w:id="1661032766">
      <w:bodyDiv w:val="1"/>
      <w:marLeft w:val="0"/>
      <w:marRight w:val="0"/>
      <w:marTop w:val="0"/>
      <w:marBottom w:val="0"/>
      <w:divBdr>
        <w:top w:val="none" w:sz="0" w:space="0" w:color="auto"/>
        <w:left w:val="none" w:sz="0" w:space="0" w:color="auto"/>
        <w:bottom w:val="none" w:sz="0" w:space="0" w:color="auto"/>
        <w:right w:val="none" w:sz="0" w:space="0" w:color="auto"/>
      </w:divBdr>
    </w:div>
    <w:div w:id="184866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856702c5-7b64-11ed-9887-01aa75ed71a1/language-en?WT.mc_id=Searchresult&amp;WT.ria_c=69794&amp;WT.ria_f=6651&amp;WT.ria_ev=search&amp;WT.URL=https%3A%2F%2Finternational-partnerships.ec.europa.eu%2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2.wdp"/><Relationship Id="rId1" Type="http://schemas.openxmlformats.org/officeDocument/2006/relationships/image" Target="media/image9.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7efdc9-378e-418a-934d-4e27c154476b" xsi:nil="true"/>
    <lcf76f155ced4ddcb4097134ff3c332f xmlns="d47e9b79-a238-4c23-8f8d-deb36af73be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4" ma:contentTypeDescription="Create a new document." ma:contentTypeScope="" ma:versionID="d84d25588ed1142606ed2416bf1abb82">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46327e5e66fff38dfe6246cb089fc84f"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a26ed8-88ab-4e79-aa23-e07204ff037c}"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4645D-689B-4F7F-8596-5E79E47158BE}">
  <ds:schemaRefs>
    <ds:schemaRef ds:uri="http://schemas.microsoft.com/office/2006/metadata/properties"/>
    <ds:schemaRef ds:uri="http://schemas.microsoft.com/office/infopath/2007/PartnerControls"/>
    <ds:schemaRef ds:uri="827efdc9-378e-418a-934d-4e27c154476b"/>
    <ds:schemaRef ds:uri="d47e9b79-a238-4c23-8f8d-deb36af73bea"/>
  </ds:schemaRefs>
</ds:datastoreItem>
</file>

<file path=customXml/itemProps2.xml><?xml version="1.0" encoding="utf-8"?>
<ds:datastoreItem xmlns:ds="http://schemas.openxmlformats.org/officeDocument/2006/customXml" ds:itemID="{05DC2219-7413-4F7C-B4F5-F4D6A370DA93}">
  <ds:schemaRefs>
    <ds:schemaRef ds:uri="http://schemas.microsoft.com/sharepoint/v3/contenttype/forms"/>
  </ds:schemaRefs>
</ds:datastoreItem>
</file>

<file path=customXml/itemProps3.xml><?xml version="1.0" encoding="utf-8"?>
<ds:datastoreItem xmlns:ds="http://schemas.openxmlformats.org/officeDocument/2006/customXml" ds:itemID="{1C20AD4C-A30E-4354-912F-2577E37ABD4D}">
  <ds:schemaRefs>
    <ds:schemaRef ds:uri="http://schemas.openxmlformats.org/officeDocument/2006/bibliography"/>
  </ds:schemaRefs>
</ds:datastoreItem>
</file>

<file path=customXml/itemProps4.xml><?xml version="1.0" encoding="utf-8"?>
<ds:datastoreItem xmlns:ds="http://schemas.openxmlformats.org/officeDocument/2006/customXml" ds:itemID="{FD65C3DF-21AA-4D0F-A76E-8082A12AB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8138</Characters>
  <Application>Microsoft Office Word</Application>
  <DocSecurity>0</DocSecurity>
  <Lines>137</Lines>
  <Paragraphs>54</Paragraphs>
  <ScaleCrop>false</ScaleCrop>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C</dc:creator>
  <cp:keywords/>
  <dc:description/>
  <cp:lastModifiedBy>BARNA Judit (INTPA)</cp:lastModifiedBy>
  <cp:revision>7</cp:revision>
  <dcterms:created xsi:type="dcterms:W3CDTF">2023-05-25T11:12:00Z</dcterms:created>
  <dcterms:modified xsi:type="dcterms:W3CDTF">2023-05-25T12:29:00Z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2023-04-12T12:56:52Z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07bdbe72-e904-479f-bd2c-e2694bed7533</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y fmtid="{D5CDD505-2E9C-101B-9397-08002B2CF9AE}" pid="10" name="MediaServiceImageTags">
    <vt:lpwstr/>
  </property>
</Properties>
</file>