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E368F" w14:textId="5B751A9E" w:rsidR="001C4DB2" w:rsidRPr="0040606B" w:rsidRDefault="0040606B">
      <w:pPr>
        <w:rPr>
          <w:rStyle w:val="IntenseReference"/>
        </w:rPr>
      </w:pPr>
      <w:r w:rsidRPr="0040606B">
        <w:rPr>
          <w:rStyle w:val="IntenseReference"/>
        </w:rPr>
        <w:t>ANNEX 12: Table on Functions for ECOWAS Power System Reliability (PSR) and the Associated Indicators for Market Surveillance (MS)</w:t>
      </w:r>
    </w:p>
    <w:tbl>
      <w:tblPr>
        <w:tblStyle w:val="TableGrid"/>
        <w:tblW w:w="14011" w:type="dxa"/>
        <w:tbl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insideH w:val="single" w:sz="18" w:space="0" w:color="F2F2F2" w:themeColor="background1" w:themeShade="F2"/>
          <w:insideV w:val="single" w:sz="18" w:space="0" w:color="F2F2F2" w:themeColor="background1" w:themeShade="F2"/>
        </w:tblBorders>
        <w:tblLook w:val="04A0" w:firstRow="1" w:lastRow="0" w:firstColumn="1" w:lastColumn="0" w:noHBand="0" w:noVBand="1"/>
      </w:tblPr>
      <w:tblGrid>
        <w:gridCol w:w="1734"/>
        <w:gridCol w:w="12277"/>
      </w:tblGrid>
      <w:tr w:rsidR="0040606B" w:rsidRPr="00CD219F" w14:paraId="126B601B" w14:textId="77777777" w:rsidTr="00C601C8">
        <w:trPr>
          <w:cantSplit/>
          <w:trHeight w:val="307"/>
          <w:tblHeader/>
        </w:trPr>
        <w:tc>
          <w:tcPr>
            <w:tcW w:w="1704" w:type="dxa"/>
            <w:shd w:val="clear" w:color="auto" w:fill="2F5496" w:themeFill="accent1" w:themeFillShade="BF"/>
            <w:vAlign w:val="center"/>
          </w:tcPr>
          <w:p w14:paraId="0391074A" w14:textId="77777777" w:rsidR="0040606B" w:rsidRPr="00CD219F" w:rsidRDefault="0040606B" w:rsidP="00C601C8">
            <w:pPr>
              <w:spacing w:line="264" w:lineRule="auto"/>
              <w:jc w:val="center"/>
              <w:rPr>
                <w:rFonts w:cs="Arial"/>
                <w:b/>
                <w:color w:val="FFFFFF" w:themeColor="background1"/>
                <w:szCs w:val="20"/>
                <w:lang w:val="en-GB"/>
              </w:rPr>
            </w:pPr>
            <w:r w:rsidRPr="00CD219F">
              <w:rPr>
                <w:rFonts w:cs="Arial"/>
                <w:b/>
                <w:color w:val="FFFFFF" w:themeColor="background1"/>
                <w:szCs w:val="20"/>
                <w:lang w:val="en-GB"/>
              </w:rPr>
              <w:t>Functions</w:t>
            </w:r>
          </w:p>
        </w:tc>
        <w:tc>
          <w:tcPr>
            <w:tcW w:w="12307" w:type="dxa"/>
            <w:shd w:val="clear" w:color="auto" w:fill="2F5496" w:themeFill="accent1" w:themeFillShade="BF"/>
            <w:vAlign w:val="center"/>
          </w:tcPr>
          <w:p w14:paraId="6DD15309" w14:textId="77777777" w:rsidR="0040606B" w:rsidRPr="00CD219F" w:rsidRDefault="0040606B" w:rsidP="00C601C8">
            <w:pPr>
              <w:spacing w:line="264" w:lineRule="auto"/>
              <w:jc w:val="center"/>
              <w:rPr>
                <w:rFonts w:cs="Arial"/>
                <w:b/>
                <w:color w:val="FFFFFF" w:themeColor="background1"/>
                <w:szCs w:val="20"/>
                <w:lang w:val="en-GB"/>
              </w:rPr>
            </w:pPr>
            <w:r w:rsidRPr="00CD219F">
              <w:rPr>
                <w:rFonts w:cs="Arial"/>
                <w:b/>
                <w:color w:val="FFFFFF" w:themeColor="background1"/>
                <w:szCs w:val="20"/>
                <w:lang w:val="en-GB"/>
              </w:rPr>
              <w:t>Tasks &amp; Indicators</w:t>
            </w:r>
          </w:p>
        </w:tc>
      </w:tr>
      <w:tr w:rsidR="0040606B" w:rsidRPr="00C601C8" w14:paraId="674AC02D" w14:textId="77777777" w:rsidTr="00C601C8">
        <w:trPr>
          <w:cantSplit/>
          <w:trHeight w:val="1191"/>
        </w:trPr>
        <w:tc>
          <w:tcPr>
            <w:tcW w:w="1704" w:type="dxa"/>
            <w:vAlign w:val="center"/>
          </w:tcPr>
          <w:p w14:paraId="3C52AB93" w14:textId="77777777" w:rsidR="0040606B" w:rsidRPr="00CD219F" w:rsidRDefault="0040606B" w:rsidP="00C601C8">
            <w:pPr>
              <w:rPr>
                <w:rFonts w:cs="Arial"/>
                <w:szCs w:val="20"/>
                <w:lang w:val="en-GB"/>
              </w:rPr>
            </w:pPr>
            <w:r w:rsidRPr="00CD219F">
              <w:rPr>
                <w:rFonts w:cs="Arial"/>
                <w:szCs w:val="20"/>
                <w:lang w:val="en-GB"/>
              </w:rPr>
              <w:t>PSR-1: Drafting and Approving of WAPP Operation Manual</w:t>
            </w:r>
          </w:p>
          <w:p w14:paraId="4A8CEFFB" w14:textId="77777777" w:rsidR="0040606B" w:rsidRPr="00CD219F" w:rsidRDefault="0040606B" w:rsidP="00C601C8">
            <w:pPr>
              <w:rPr>
                <w:rFonts w:cs="Arial"/>
                <w:szCs w:val="20"/>
                <w:lang w:val="en-GB"/>
              </w:rPr>
            </w:pPr>
            <w:r w:rsidRPr="00CD219F">
              <w:rPr>
                <w:rFonts w:cs="Arial"/>
                <w:szCs w:val="20"/>
                <w:lang w:val="en-GB"/>
              </w:rPr>
              <w:t>(Regulation C/REG.27/12/07, Section e.18)</w:t>
            </w:r>
          </w:p>
        </w:tc>
        <w:tc>
          <w:tcPr>
            <w:tcW w:w="12307" w:type="dxa"/>
            <w:vAlign w:val="center"/>
          </w:tcPr>
          <w:p w14:paraId="1BDF5843" w14:textId="77777777" w:rsidR="0040606B" w:rsidRPr="00CD219F" w:rsidRDefault="0040606B" w:rsidP="00C601C8">
            <w:pPr>
              <w:tabs>
                <w:tab w:val="num" w:pos="720"/>
              </w:tabs>
              <w:spacing w:line="264" w:lineRule="auto"/>
              <w:rPr>
                <w:rFonts w:cs="Arial"/>
                <w:szCs w:val="20"/>
                <w:lang w:val="en-GB"/>
              </w:rPr>
            </w:pPr>
            <w:r w:rsidRPr="00CD219F">
              <w:rPr>
                <w:rFonts w:cs="Arial"/>
                <w:szCs w:val="20"/>
                <w:lang w:val="en-GB"/>
              </w:rPr>
              <w:t>Tasks</w:t>
            </w:r>
          </w:p>
          <w:p w14:paraId="6249C147" w14:textId="77777777" w:rsidR="0040606B" w:rsidRPr="0040606B" w:rsidRDefault="0040606B" w:rsidP="00C601C8">
            <w:pPr>
              <w:pStyle w:val="Bullets1"/>
              <w:rPr>
                <w:lang w:val="en-GB"/>
              </w:rPr>
            </w:pPr>
            <w:r w:rsidRPr="0040606B">
              <w:rPr>
                <w:lang w:val="en-GB"/>
              </w:rPr>
              <w:t xml:space="preserve">Set out the standards to be complied with by every user of the Regional </w:t>
            </w:r>
            <w:proofErr w:type="gramStart"/>
            <w:r w:rsidRPr="0040606B">
              <w:rPr>
                <w:lang w:val="en-GB"/>
              </w:rPr>
              <w:t>network</w:t>
            </w:r>
            <w:proofErr w:type="gramEnd"/>
          </w:p>
          <w:p w14:paraId="4288B0D0" w14:textId="77777777" w:rsidR="0040606B" w:rsidRPr="0040606B" w:rsidRDefault="0040606B" w:rsidP="00C601C8">
            <w:pPr>
              <w:pStyle w:val="Bullets1"/>
              <w:rPr>
                <w:lang w:val="en-GB"/>
              </w:rPr>
            </w:pPr>
            <w:r w:rsidRPr="0040606B">
              <w:rPr>
                <w:lang w:val="en-GB"/>
              </w:rPr>
              <w:t xml:space="preserve">Provide procedures for monitoring compliance with the </w:t>
            </w:r>
            <w:proofErr w:type="gramStart"/>
            <w:r w:rsidRPr="0040606B">
              <w:rPr>
                <w:lang w:val="en-GB"/>
              </w:rPr>
              <w:t>standards</w:t>
            </w:r>
            <w:proofErr w:type="gramEnd"/>
          </w:p>
          <w:p w14:paraId="10F3E43F" w14:textId="77777777" w:rsidR="0040606B" w:rsidRPr="0040606B" w:rsidRDefault="0040606B" w:rsidP="00C601C8">
            <w:pPr>
              <w:pStyle w:val="Bullets1"/>
              <w:rPr>
                <w:lang w:val="en-GB"/>
              </w:rPr>
            </w:pPr>
            <w:r w:rsidRPr="0040606B">
              <w:rPr>
                <w:lang w:val="en-GB"/>
              </w:rPr>
              <w:t xml:space="preserve">Provide procedures for carrying out Operational Planning of the </w:t>
            </w:r>
            <w:proofErr w:type="gramStart"/>
            <w:r w:rsidRPr="0040606B">
              <w:rPr>
                <w:lang w:val="en-GB"/>
              </w:rPr>
              <w:t>interconnections</w:t>
            </w:r>
            <w:proofErr w:type="gramEnd"/>
          </w:p>
          <w:p w14:paraId="7787FFB4" w14:textId="77777777" w:rsidR="0040606B" w:rsidRPr="00CD219F" w:rsidRDefault="0040606B" w:rsidP="00C601C8">
            <w:pPr>
              <w:tabs>
                <w:tab w:val="num" w:pos="720"/>
              </w:tabs>
              <w:spacing w:line="264" w:lineRule="auto"/>
              <w:rPr>
                <w:rFonts w:cs="Arial"/>
                <w:szCs w:val="20"/>
                <w:lang w:val="en-GB"/>
              </w:rPr>
            </w:pPr>
            <w:r w:rsidRPr="00CD219F">
              <w:rPr>
                <w:rFonts w:cs="Arial"/>
                <w:szCs w:val="20"/>
                <w:lang w:val="en-GB"/>
              </w:rPr>
              <w:t>Indicator</w:t>
            </w:r>
          </w:p>
          <w:p w14:paraId="37698CC9" w14:textId="77777777" w:rsidR="0040606B" w:rsidRPr="0040606B" w:rsidRDefault="0040606B" w:rsidP="00C601C8">
            <w:pPr>
              <w:pStyle w:val="Bullets1"/>
              <w:rPr>
                <w:b/>
                <w:bCs/>
                <w:lang w:val="en-GB"/>
              </w:rPr>
            </w:pPr>
            <w:r w:rsidRPr="0040606B">
              <w:rPr>
                <w:b/>
                <w:bCs/>
                <w:lang w:val="en-GB"/>
              </w:rPr>
              <w:t>Compliance with the Market Design Provisions</w:t>
            </w:r>
          </w:p>
        </w:tc>
      </w:tr>
      <w:tr w:rsidR="0040606B" w:rsidRPr="00C601C8" w14:paraId="28F1C795" w14:textId="77777777" w:rsidTr="00C601C8">
        <w:trPr>
          <w:cantSplit/>
          <w:trHeight w:val="518"/>
        </w:trPr>
        <w:tc>
          <w:tcPr>
            <w:tcW w:w="1704" w:type="dxa"/>
            <w:vAlign w:val="center"/>
          </w:tcPr>
          <w:p w14:paraId="39BB714A" w14:textId="77777777" w:rsidR="0040606B" w:rsidRPr="00CD219F" w:rsidRDefault="0040606B" w:rsidP="00C601C8">
            <w:pPr>
              <w:rPr>
                <w:rFonts w:cs="Arial"/>
                <w:szCs w:val="20"/>
                <w:lang w:val="en-GB"/>
              </w:rPr>
            </w:pPr>
            <w:r w:rsidRPr="00CD219F">
              <w:rPr>
                <w:rFonts w:cs="Arial"/>
                <w:szCs w:val="20"/>
                <w:lang w:val="en-GB"/>
              </w:rPr>
              <w:t>PSR-2: Operational Planning of Interconnectors</w:t>
            </w:r>
          </w:p>
          <w:p w14:paraId="66F5EFC8" w14:textId="77777777" w:rsidR="0040606B" w:rsidRPr="00CD219F" w:rsidRDefault="0040606B" w:rsidP="00C601C8">
            <w:pPr>
              <w:rPr>
                <w:rFonts w:cs="Arial"/>
                <w:szCs w:val="20"/>
                <w:lang w:val="en-GB"/>
              </w:rPr>
            </w:pPr>
            <w:r w:rsidRPr="00CD219F">
              <w:rPr>
                <w:rFonts w:cs="Arial"/>
                <w:szCs w:val="20"/>
                <w:lang w:val="en-GB"/>
              </w:rPr>
              <w:t>(WAPP OM, P4)</w:t>
            </w:r>
          </w:p>
        </w:tc>
        <w:tc>
          <w:tcPr>
            <w:tcW w:w="12307" w:type="dxa"/>
            <w:vAlign w:val="center"/>
          </w:tcPr>
          <w:p w14:paraId="03FCCBF0" w14:textId="77777777" w:rsidR="0040606B" w:rsidRPr="00CD219F" w:rsidRDefault="0040606B" w:rsidP="00C601C8">
            <w:pPr>
              <w:spacing w:line="264" w:lineRule="auto"/>
              <w:rPr>
                <w:rFonts w:cs="Arial"/>
                <w:szCs w:val="20"/>
                <w:lang w:val="en-GB"/>
              </w:rPr>
            </w:pPr>
            <w:r w:rsidRPr="00CD219F">
              <w:rPr>
                <w:rFonts w:cs="Arial"/>
                <w:szCs w:val="20"/>
                <w:lang w:val="en-GB"/>
              </w:rPr>
              <w:t>Tasks</w:t>
            </w:r>
          </w:p>
          <w:p w14:paraId="14286878" w14:textId="77777777" w:rsidR="0040606B" w:rsidRPr="0040606B" w:rsidRDefault="0040606B" w:rsidP="00C601C8">
            <w:pPr>
              <w:pStyle w:val="Bullets1"/>
              <w:rPr>
                <w:lang w:val="en-GB"/>
              </w:rPr>
            </w:pPr>
            <w:r w:rsidRPr="0040606B">
              <w:rPr>
                <w:lang w:val="en-GB"/>
              </w:rPr>
              <w:t xml:space="preserve">Evaluating the ability of the power system to supply power and energy demand at the delivery points at any time within acceptable </w:t>
            </w:r>
            <w:proofErr w:type="gramStart"/>
            <w:r w:rsidRPr="0040606B">
              <w:rPr>
                <w:lang w:val="en-GB"/>
              </w:rPr>
              <w:t>standards</w:t>
            </w:r>
            <w:proofErr w:type="gramEnd"/>
          </w:p>
          <w:p w14:paraId="6D3C727F" w14:textId="77777777" w:rsidR="0040606B" w:rsidRPr="0040606B" w:rsidRDefault="0040606B" w:rsidP="00C601C8">
            <w:pPr>
              <w:pStyle w:val="Bullets1"/>
              <w:rPr>
                <w:lang w:val="en-GB"/>
              </w:rPr>
            </w:pPr>
            <w:r w:rsidRPr="0040606B">
              <w:rPr>
                <w:lang w:val="en-GB"/>
              </w:rPr>
              <w:t xml:space="preserve">Conducting generation adequacy for the region to establish a power balance </w:t>
            </w:r>
            <w:proofErr w:type="gramStart"/>
            <w:r w:rsidRPr="0040606B">
              <w:rPr>
                <w:lang w:val="en-GB"/>
              </w:rPr>
              <w:t>forecast</w:t>
            </w:r>
            <w:proofErr w:type="gramEnd"/>
          </w:p>
          <w:p w14:paraId="4301671A" w14:textId="77777777" w:rsidR="0040606B" w:rsidRPr="0040606B" w:rsidRDefault="0040606B" w:rsidP="00C601C8">
            <w:pPr>
              <w:pStyle w:val="Bullets1"/>
              <w:rPr>
                <w:lang w:val="en-GB"/>
              </w:rPr>
            </w:pPr>
            <w:r w:rsidRPr="0040606B">
              <w:rPr>
                <w:lang w:val="en-GB"/>
              </w:rPr>
              <w:t>Conducting transmission system adequacy for the WAPP interconnected system</w:t>
            </w:r>
          </w:p>
          <w:p w14:paraId="27DD18C1" w14:textId="77777777" w:rsidR="0040606B" w:rsidRPr="0040606B" w:rsidRDefault="0040606B" w:rsidP="00C601C8">
            <w:pPr>
              <w:pStyle w:val="Bullets1"/>
              <w:rPr>
                <w:lang w:val="en-GB"/>
              </w:rPr>
            </w:pPr>
            <w:r w:rsidRPr="0040606B">
              <w:rPr>
                <w:lang w:val="en-GB"/>
              </w:rPr>
              <w:t xml:space="preserve"> Conduct system analysis to assess the reliability of the interconnected system and determine the investments </w:t>
            </w:r>
            <w:proofErr w:type="gramStart"/>
            <w:r w:rsidRPr="0040606B">
              <w:rPr>
                <w:lang w:val="en-GB"/>
              </w:rPr>
              <w:t>needs</w:t>
            </w:r>
            <w:proofErr w:type="gramEnd"/>
          </w:p>
          <w:p w14:paraId="680B6274" w14:textId="77777777" w:rsidR="0040606B" w:rsidRPr="00CD219F" w:rsidRDefault="0040606B" w:rsidP="00C601C8">
            <w:pPr>
              <w:spacing w:line="264" w:lineRule="auto"/>
              <w:rPr>
                <w:rFonts w:cs="Arial"/>
                <w:szCs w:val="20"/>
                <w:lang w:val="en-GB"/>
              </w:rPr>
            </w:pPr>
            <w:r w:rsidRPr="00CD219F">
              <w:rPr>
                <w:rFonts w:cs="Arial"/>
                <w:szCs w:val="20"/>
                <w:lang w:val="en-GB"/>
              </w:rPr>
              <w:t>Indicator</w:t>
            </w:r>
          </w:p>
          <w:p w14:paraId="17CCDAC7" w14:textId="77777777" w:rsidR="0040606B" w:rsidRPr="0040606B" w:rsidRDefault="0040606B" w:rsidP="00C601C8">
            <w:pPr>
              <w:pStyle w:val="Bullets1"/>
              <w:rPr>
                <w:b/>
                <w:bCs/>
                <w:lang w:val="en-GB"/>
              </w:rPr>
            </w:pPr>
            <w:r w:rsidRPr="0040606B">
              <w:rPr>
                <w:b/>
                <w:bCs/>
                <w:lang w:val="en-GB"/>
              </w:rPr>
              <w:t>Compliance with approved Procedures for Operational Planning of the Interconnectors</w:t>
            </w:r>
          </w:p>
        </w:tc>
      </w:tr>
      <w:tr w:rsidR="0040606B" w:rsidRPr="00C601C8" w14:paraId="127C87B7" w14:textId="77777777" w:rsidTr="00C601C8">
        <w:trPr>
          <w:cantSplit/>
          <w:trHeight w:val="835"/>
        </w:trPr>
        <w:tc>
          <w:tcPr>
            <w:tcW w:w="1704" w:type="dxa"/>
            <w:vAlign w:val="center"/>
          </w:tcPr>
          <w:p w14:paraId="5E8256F3" w14:textId="77777777" w:rsidR="0040606B" w:rsidRPr="00CD219F" w:rsidRDefault="0040606B" w:rsidP="00C601C8">
            <w:pPr>
              <w:rPr>
                <w:rFonts w:cs="Arial"/>
                <w:szCs w:val="20"/>
                <w:lang w:val="en-GB"/>
              </w:rPr>
            </w:pPr>
            <w:r w:rsidRPr="00CD219F">
              <w:rPr>
                <w:rFonts w:cs="Arial"/>
                <w:szCs w:val="20"/>
                <w:lang w:val="en-GB"/>
              </w:rPr>
              <w:t>PSR-3: Addressing issues of Force Majeure Events (FME) in the Electricity Market</w:t>
            </w:r>
          </w:p>
          <w:p w14:paraId="494E8E7B" w14:textId="77777777" w:rsidR="0040606B" w:rsidRPr="00CD219F" w:rsidRDefault="0040606B" w:rsidP="00C601C8">
            <w:pPr>
              <w:rPr>
                <w:rFonts w:cs="Arial"/>
                <w:szCs w:val="20"/>
                <w:lang w:val="en-GB"/>
              </w:rPr>
            </w:pPr>
            <w:r w:rsidRPr="00CD219F">
              <w:rPr>
                <w:rFonts w:cs="Arial"/>
                <w:szCs w:val="20"/>
                <w:lang w:val="en-GB"/>
              </w:rPr>
              <w:t>(RMR, Art.11)</w:t>
            </w:r>
          </w:p>
        </w:tc>
        <w:tc>
          <w:tcPr>
            <w:tcW w:w="12307" w:type="dxa"/>
            <w:vAlign w:val="center"/>
          </w:tcPr>
          <w:p w14:paraId="65BCD53B" w14:textId="77777777" w:rsidR="0040606B" w:rsidRPr="00CD219F" w:rsidRDefault="0040606B" w:rsidP="00C601C8">
            <w:pPr>
              <w:pStyle w:val="Bullets1"/>
              <w:numPr>
                <w:ilvl w:val="0"/>
                <w:numId w:val="0"/>
              </w:numPr>
              <w:ind w:left="360"/>
            </w:pPr>
            <w:proofErr w:type="spellStart"/>
            <w:r w:rsidRPr="00CD219F">
              <w:t>Tasks</w:t>
            </w:r>
            <w:proofErr w:type="spellEnd"/>
          </w:p>
          <w:p w14:paraId="184D1C64" w14:textId="77777777" w:rsidR="0040606B" w:rsidRPr="0040606B" w:rsidRDefault="0040606B" w:rsidP="00C601C8">
            <w:pPr>
              <w:pStyle w:val="Bullets1"/>
              <w:rPr>
                <w:lang w:val="en-GB"/>
              </w:rPr>
            </w:pPr>
            <w:r w:rsidRPr="0040606B">
              <w:rPr>
                <w:lang w:val="en-GB"/>
              </w:rPr>
              <w:t xml:space="preserve">SMO to be promptly informed by the party affected by the FME of the impossibility to meet </w:t>
            </w:r>
            <w:proofErr w:type="gramStart"/>
            <w:r w:rsidRPr="0040606B">
              <w:rPr>
                <w:lang w:val="en-GB"/>
              </w:rPr>
              <w:t>obligations</w:t>
            </w:r>
            <w:proofErr w:type="gramEnd"/>
          </w:p>
          <w:p w14:paraId="6146E7A4" w14:textId="77777777" w:rsidR="0040606B" w:rsidRPr="0040606B" w:rsidRDefault="0040606B" w:rsidP="00C601C8">
            <w:pPr>
              <w:pStyle w:val="Bullets1"/>
              <w:rPr>
                <w:lang w:val="en-GB"/>
              </w:rPr>
            </w:pPr>
            <w:r w:rsidRPr="0040606B">
              <w:rPr>
                <w:lang w:val="en-GB"/>
              </w:rPr>
              <w:t>Suspension of the terms and conditions of the RMR</w:t>
            </w:r>
          </w:p>
          <w:p w14:paraId="78316B12" w14:textId="77777777" w:rsidR="0040606B" w:rsidRPr="0040606B" w:rsidRDefault="0040606B" w:rsidP="00C601C8">
            <w:pPr>
              <w:pStyle w:val="Bullets1"/>
              <w:rPr>
                <w:lang w:val="en-GB"/>
              </w:rPr>
            </w:pPr>
            <w:r w:rsidRPr="0040606B">
              <w:rPr>
                <w:lang w:val="en-GB"/>
              </w:rPr>
              <w:t>SMO to inform all Market Participants of the Event</w:t>
            </w:r>
          </w:p>
          <w:p w14:paraId="1AE59258" w14:textId="77777777" w:rsidR="0040606B" w:rsidRPr="0040606B" w:rsidRDefault="0040606B" w:rsidP="00C601C8">
            <w:pPr>
              <w:pStyle w:val="Bullets1"/>
              <w:rPr>
                <w:lang w:val="en-GB"/>
              </w:rPr>
            </w:pPr>
            <w:r w:rsidRPr="0040606B">
              <w:rPr>
                <w:lang w:val="en-GB"/>
              </w:rPr>
              <w:t xml:space="preserve">SMO verifies the scope of the FME and informs all unaffected participants to continue with </w:t>
            </w:r>
            <w:proofErr w:type="gramStart"/>
            <w:r w:rsidRPr="0040606B">
              <w:rPr>
                <w:lang w:val="en-GB"/>
              </w:rPr>
              <w:t>trades</w:t>
            </w:r>
            <w:proofErr w:type="gramEnd"/>
          </w:p>
          <w:p w14:paraId="742BF6BC" w14:textId="77777777" w:rsidR="0040606B" w:rsidRPr="0040606B" w:rsidRDefault="0040606B" w:rsidP="00C601C8">
            <w:pPr>
              <w:pStyle w:val="Bullets1"/>
              <w:rPr>
                <w:lang w:val="en-GB"/>
              </w:rPr>
            </w:pPr>
            <w:r w:rsidRPr="0040606B">
              <w:rPr>
                <w:lang w:val="en-GB"/>
              </w:rPr>
              <w:t xml:space="preserve"> TSOs of the relevant countries to mitigate the consequences of the Event on the regional transmission </w:t>
            </w:r>
            <w:proofErr w:type="gramStart"/>
            <w:r w:rsidRPr="0040606B">
              <w:rPr>
                <w:lang w:val="en-GB"/>
              </w:rPr>
              <w:t>network</w:t>
            </w:r>
            <w:proofErr w:type="gramEnd"/>
          </w:p>
          <w:p w14:paraId="55A5700C" w14:textId="77777777" w:rsidR="0040606B" w:rsidRPr="00CD219F" w:rsidRDefault="0040606B" w:rsidP="00C601C8">
            <w:pPr>
              <w:pStyle w:val="Bullets1"/>
              <w:numPr>
                <w:ilvl w:val="0"/>
                <w:numId w:val="0"/>
              </w:numPr>
              <w:ind w:left="360"/>
            </w:pPr>
            <w:r w:rsidRPr="00CD219F">
              <w:t>Indicator</w:t>
            </w:r>
          </w:p>
          <w:p w14:paraId="46C86FF9" w14:textId="77777777" w:rsidR="0040606B" w:rsidRPr="0040606B" w:rsidRDefault="0040606B" w:rsidP="00C601C8">
            <w:pPr>
              <w:pStyle w:val="Bullets1"/>
              <w:rPr>
                <w:b/>
                <w:bCs/>
                <w:lang w:val="en-GB"/>
              </w:rPr>
            </w:pPr>
            <w:r w:rsidRPr="0040606B">
              <w:rPr>
                <w:b/>
                <w:bCs/>
                <w:lang w:val="en-GB"/>
              </w:rPr>
              <w:t>Compliance with the approved Procedures for addressing issues of Force Majeure</w:t>
            </w:r>
          </w:p>
        </w:tc>
      </w:tr>
      <w:tr w:rsidR="0040606B" w:rsidRPr="00C601C8" w14:paraId="7416BA6F" w14:textId="77777777" w:rsidTr="00C601C8">
        <w:trPr>
          <w:cantSplit/>
          <w:trHeight w:val="663"/>
        </w:trPr>
        <w:tc>
          <w:tcPr>
            <w:tcW w:w="1704" w:type="dxa"/>
            <w:vAlign w:val="center"/>
          </w:tcPr>
          <w:p w14:paraId="4E6F2C4E" w14:textId="77777777" w:rsidR="0040606B" w:rsidRPr="00CD219F" w:rsidRDefault="0040606B" w:rsidP="00C601C8">
            <w:pPr>
              <w:rPr>
                <w:rFonts w:cs="Arial"/>
                <w:szCs w:val="20"/>
                <w:lang w:val="en-GB"/>
              </w:rPr>
            </w:pPr>
            <w:r w:rsidRPr="00CD219F">
              <w:rPr>
                <w:rFonts w:cs="Arial"/>
                <w:szCs w:val="20"/>
                <w:lang w:val="en-GB"/>
              </w:rPr>
              <w:lastRenderedPageBreak/>
              <w:t>PSR-4: Interconnector Scheduling</w:t>
            </w:r>
          </w:p>
          <w:p w14:paraId="1A03885A" w14:textId="77777777" w:rsidR="0040606B" w:rsidRPr="00CD219F" w:rsidRDefault="0040606B" w:rsidP="00C601C8">
            <w:pPr>
              <w:rPr>
                <w:rFonts w:cs="Arial"/>
                <w:szCs w:val="20"/>
                <w:lang w:val="en-GB"/>
              </w:rPr>
            </w:pPr>
            <w:r w:rsidRPr="00CD219F">
              <w:rPr>
                <w:rFonts w:cs="Arial"/>
                <w:szCs w:val="20"/>
                <w:lang w:val="en-GB"/>
              </w:rPr>
              <w:t>(WAPP OM, P3.3)</w:t>
            </w:r>
          </w:p>
        </w:tc>
        <w:tc>
          <w:tcPr>
            <w:tcW w:w="12307" w:type="dxa"/>
            <w:vAlign w:val="center"/>
          </w:tcPr>
          <w:p w14:paraId="14929A46" w14:textId="77777777" w:rsidR="0040606B" w:rsidRPr="00CD219F" w:rsidRDefault="0040606B" w:rsidP="00C601C8">
            <w:pPr>
              <w:rPr>
                <w:rFonts w:cs="Arial"/>
                <w:szCs w:val="20"/>
                <w:lang w:val="en-GB"/>
              </w:rPr>
            </w:pPr>
            <w:r w:rsidRPr="00CD219F">
              <w:rPr>
                <w:rFonts w:cs="Arial"/>
                <w:szCs w:val="20"/>
                <w:lang w:val="en-GB"/>
              </w:rPr>
              <w:t>Tasks</w:t>
            </w:r>
          </w:p>
          <w:p w14:paraId="57351E09" w14:textId="77777777" w:rsidR="0040606B" w:rsidRPr="0040606B" w:rsidRDefault="0040606B" w:rsidP="00C601C8">
            <w:pPr>
              <w:pStyle w:val="Bullets1"/>
              <w:rPr>
                <w:lang w:val="en-GB"/>
              </w:rPr>
            </w:pPr>
            <w:r w:rsidRPr="0040606B">
              <w:rPr>
                <w:lang w:val="en-GB"/>
              </w:rPr>
              <w:t xml:space="preserve">Determination of transmission capacity between Control Areas based on reliability criteria </w:t>
            </w:r>
            <w:proofErr w:type="gramStart"/>
            <w:r w:rsidRPr="0040606B">
              <w:rPr>
                <w:lang w:val="en-GB"/>
              </w:rPr>
              <w:t>in order to</w:t>
            </w:r>
            <w:proofErr w:type="gramEnd"/>
            <w:r w:rsidRPr="0040606B">
              <w:rPr>
                <w:lang w:val="en-GB"/>
              </w:rPr>
              <w:t xml:space="preserve"> ensure security of the WAPP Grid</w:t>
            </w:r>
          </w:p>
          <w:p w14:paraId="2BCE185C" w14:textId="77777777" w:rsidR="0040606B" w:rsidRPr="0040606B" w:rsidRDefault="0040606B" w:rsidP="00C601C8">
            <w:pPr>
              <w:pStyle w:val="Bullets1"/>
              <w:rPr>
                <w:lang w:val="en-GB"/>
              </w:rPr>
            </w:pPr>
            <w:r w:rsidRPr="0040606B">
              <w:rPr>
                <w:lang w:val="en-GB"/>
              </w:rPr>
              <w:t xml:space="preserve">Communicating the transmission capacity to the </w:t>
            </w:r>
            <w:r w:rsidRPr="0040606B">
              <w:rPr>
                <w:rFonts w:cs="Arial"/>
                <w:lang w:val="en-GB"/>
              </w:rPr>
              <w:t>Information and Coordination Centre</w:t>
            </w:r>
            <w:r w:rsidRPr="0040606B">
              <w:rPr>
                <w:lang w:val="en-GB"/>
              </w:rPr>
              <w:t xml:space="preserve"> (ICC)</w:t>
            </w:r>
          </w:p>
          <w:p w14:paraId="1C895A24" w14:textId="77777777" w:rsidR="0040606B" w:rsidRPr="0040606B" w:rsidRDefault="0040606B" w:rsidP="00C601C8">
            <w:pPr>
              <w:pStyle w:val="Bullets1"/>
              <w:rPr>
                <w:lang w:val="en-GB"/>
              </w:rPr>
            </w:pPr>
            <w:r w:rsidRPr="0040606B">
              <w:rPr>
                <w:lang w:val="en-GB"/>
              </w:rPr>
              <w:t>Assessing and publishing of the capacity on the WAPP website by the ICC</w:t>
            </w:r>
          </w:p>
          <w:p w14:paraId="5C53CCF3" w14:textId="77777777" w:rsidR="0040606B" w:rsidRPr="0040606B" w:rsidRDefault="0040606B" w:rsidP="00C601C8">
            <w:pPr>
              <w:pStyle w:val="Bullets1"/>
              <w:rPr>
                <w:lang w:val="en-GB"/>
              </w:rPr>
            </w:pPr>
            <w:r w:rsidRPr="0040606B">
              <w:rPr>
                <w:lang w:val="en-GB"/>
              </w:rPr>
              <w:t xml:space="preserve">Scheduling and implementing interchange between </w:t>
            </w:r>
            <w:proofErr w:type="gramStart"/>
            <w:r w:rsidRPr="0040606B">
              <w:rPr>
                <w:lang w:val="en-GB"/>
              </w:rPr>
              <w:t>Cas</w:t>
            </w:r>
            <w:proofErr w:type="gramEnd"/>
          </w:p>
          <w:p w14:paraId="15EA771F" w14:textId="77777777" w:rsidR="0040606B" w:rsidRPr="0040606B" w:rsidRDefault="0040606B" w:rsidP="00C601C8">
            <w:pPr>
              <w:pStyle w:val="Bullets1"/>
              <w:rPr>
                <w:lang w:val="en-GB"/>
              </w:rPr>
            </w:pPr>
            <w:r w:rsidRPr="0040606B">
              <w:rPr>
                <w:lang w:val="en-GB"/>
              </w:rPr>
              <w:t>Real-time monitoring of the cross-border power flow between Control Areas</w:t>
            </w:r>
          </w:p>
          <w:p w14:paraId="5EE8A8DE" w14:textId="77777777" w:rsidR="0040606B" w:rsidRPr="00CD219F" w:rsidRDefault="0040606B" w:rsidP="00C601C8">
            <w:pPr>
              <w:rPr>
                <w:rFonts w:cs="Arial"/>
                <w:szCs w:val="20"/>
                <w:lang w:val="en-GB"/>
              </w:rPr>
            </w:pPr>
            <w:r w:rsidRPr="00CD219F">
              <w:rPr>
                <w:rFonts w:cs="Arial"/>
                <w:szCs w:val="20"/>
                <w:lang w:val="en-GB"/>
              </w:rPr>
              <w:t>Indicator</w:t>
            </w:r>
          </w:p>
          <w:p w14:paraId="1EA326DD" w14:textId="77777777" w:rsidR="0040606B" w:rsidRPr="0040606B" w:rsidRDefault="0040606B" w:rsidP="00C601C8">
            <w:pPr>
              <w:pStyle w:val="Bullets1"/>
              <w:rPr>
                <w:b/>
                <w:bCs/>
                <w:lang w:val="en-GB"/>
              </w:rPr>
            </w:pPr>
            <w:r w:rsidRPr="0040606B">
              <w:rPr>
                <w:b/>
                <w:bCs/>
                <w:lang w:val="en-GB"/>
              </w:rPr>
              <w:t>Compliance with the approved Procedures for Interconnector Scheduling</w:t>
            </w:r>
          </w:p>
        </w:tc>
      </w:tr>
      <w:tr w:rsidR="0040606B" w:rsidRPr="00C601C8" w14:paraId="023B280B" w14:textId="77777777" w:rsidTr="00C601C8">
        <w:trPr>
          <w:cantSplit/>
          <w:trHeight w:val="1098"/>
        </w:trPr>
        <w:tc>
          <w:tcPr>
            <w:tcW w:w="1704" w:type="dxa"/>
            <w:vAlign w:val="center"/>
          </w:tcPr>
          <w:p w14:paraId="26FB1F79" w14:textId="77777777" w:rsidR="0040606B" w:rsidRPr="00CD219F" w:rsidRDefault="0040606B" w:rsidP="00C601C8">
            <w:pPr>
              <w:rPr>
                <w:rFonts w:cs="Arial"/>
                <w:szCs w:val="20"/>
                <w:lang w:val="en-GB"/>
              </w:rPr>
            </w:pPr>
            <w:r w:rsidRPr="00CD219F">
              <w:rPr>
                <w:rFonts w:cs="Arial"/>
                <w:szCs w:val="20"/>
                <w:lang w:val="en-GB"/>
              </w:rPr>
              <w:t>PSR-5: Congestion Management</w:t>
            </w:r>
          </w:p>
          <w:p w14:paraId="0AF33535" w14:textId="77777777" w:rsidR="0040606B" w:rsidRPr="00CD219F" w:rsidRDefault="0040606B" w:rsidP="00C601C8">
            <w:pPr>
              <w:rPr>
                <w:rFonts w:cs="Arial"/>
                <w:szCs w:val="20"/>
                <w:lang w:val="en-GB"/>
              </w:rPr>
            </w:pPr>
            <w:r w:rsidRPr="00CD219F">
              <w:rPr>
                <w:rFonts w:cs="Arial"/>
                <w:szCs w:val="20"/>
                <w:lang w:val="en-GB"/>
              </w:rPr>
              <w:t>(WAPP OM, P2.2.5)</w:t>
            </w:r>
          </w:p>
        </w:tc>
        <w:tc>
          <w:tcPr>
            <w:tcW w:w="12307" w:type="dxa"/>
            <w:vAlign w:val="center"/>
          </w:tcPr>
          <w:p w14:paraId="2F4CFA56" w14:textId="77777777" w:rsidR="0040606B" w:rsidRPr="00CD219F" w:rsidRDefault="0040606B" w:rsidP="00C601C8">
            <w:pPr>
              <w:tabs>
                <w:tab w:val="num" w:pos="720"/>
              </w:tabs>
              <w:spacing w:line="264" w:lineRule="auto"/>
              <w:rPr>
                <w:rFonts w:cs="Arial"/>
                <w:szCs w:val="20"/>
                <w:lang w:val="en-GB"/>
              </w:rPr>
            </w:pPr>
            <w:r w:rsidRPr="00CD219F">
              <w:rPr>
                <w:rFonts w:cs="Arial"/>
                <w:szCs w:val="20"/>
                <w:lang w:val="en-GB"/>
              </w:rPr>
              <w:t>Tasks</w:t>
            </w:r>
          </w:p>
          <w:p w14:paraId="372C850B" w14:textId="77777777" w:rsidR="0040606B" w:rsidRPr="0040606B" w:rsidRDefault="0040606B" w:rsidP="00C601C8">
            <w:pPr>
              <w:pStyle w:val="Bullets1"/>
              <w:rPr>
                <w:lang w:val="en-GB"/>
              </w:rPr>
            </w:pPr>
            <w:r w:rsidRPr="0040606B">
              <w:rPr>
                <w:lang w:val="en-GB"/>
              </w:rPr>
              <w:t xml:space="preserve">Determine the maximum load ability of the network </w:t>
            </w:r>
            <w:proofErr w:type="gramStart"/>
            <w:r w:rsidRPr="0040606B">
              <w:rPr>
                <w:lang w:val="en-GB"/>
              </w:rPr>
              <w:t>systems</w:t>
            </w:r>
            <w:proofErr w:type="gramEnd"/>
          </w:p>
          <w:p w14:paraId="41F8BBA1" w14:textId="77777777" w:rsidR="0040606B" w:rsidRPr="0040606B" w:rsidRDefault="0040606B" w:rsidP="00C601C8">
            <w:pPr>
              <w:pStyle w:val="Bullets1"/>
              <w:rPr>
                <w:lang w:val="en-GB"/>
              </w:rPr>
            </w:pPr>
            <w:r w:rsidRPr="0040606B">
              <w:rPr>
                <w:lang w:val="en-GB"/>
              </w:rPr>
              <w:t>Manage the power transmission and distribution among valuable customers, priority-</w:t>
            </w:r>
            <w:proofErr w:type="gramStart"/>
            <w:r w:rsidRPr="0040606B">
              <w:rPr>
                <w:lang w:val="en-GB"/>
              </w:rPr>
              <w:t>wise</w:t>
            </w:r>
            <w:proofErr w:type="gramEnd"/>
          </w:p>
          <w:p w14:paraId="7E42F803" w14:textId="77777777" w:rsidR="0040606B" w:rsidRPr="0040606B" w:rsidRDefault="0040606B" w:rsidP="00C601C8">
            <w:pPr>
              <w:pStyle w:val="Bullets1"/>
              <w:rPr>
                <w:lang w:val="en-GB"/>
              </w:rPr>
            </w:pPr>
            <w:r w:rsidRPr="0040606B">
              <w:rPr>
                <w:lang w:val="en-GB"/>
              </w:rPr>
              <w:t xml:space="preserve">Installation of transformer taps for voltage regulation and loss </w:t>
            </w:r>
            <w:proofErr w:type="gramStart"/>
            <w:r w:rsidRPr="0040606B">
              <w:rPr>
                <w:lang w:val="en-GB"/>
              </w:rPr>
              <w:t>control</w:t>
            </w:r>
            <w:proofErr w:type="gramEnd"/>
          </w:p>
          <w:p w14:paraId="6A3173D6" w14:textId="77777777" w:rsidR="0040606B" w:rsidRPr="0040606B" w:rsidRDefault="0040606B" w:rsidP="00C601C8">
            <w:pPr>
              <w:pStyle w:val="Bullets1"/>
              <w:rPr>
                <w:lang w:val="en-GB"/>
              </w:rPr>
            </w:pPr>
            <w:r w:rsidRPr="0040606B">
              <w:rPr>
                <w:lang w:val="en-GB"/>
              </w:rPr>
              <w:t xml:space="preserve">Generation rescheduling and curtailment of </w:t>
            </w:r>
            <w:proofErr w:type="gramStart"/>
            <w:r w:rsidRPr="0040606B">
              <w:rPr>
                <w:lang w:val="en-GB"/>
              </w:rPr>
              <w:t>transactions</w:t>
            </w:r>
            <w:proofErr w:type="gramEnd"/>
          </w:p>
          <w:p w14:paraId="0635D68D" w14:textId="77777777" w:rsidR="0040606B" w:rsidRPr="0040606B" w:rsidRDefault="0040606B" w:rsidP="00C601C8">
            <w:pPr>
              <w:pStyle w:val="Bullets1"/>
              <w:rPr>
                <w:lang w:val="en-GB"/>
              </w:rPr>
            </w:pPr>
            <w:r w:rsidRPr="0040606B">
              <w:rPr>
                <w:lang w:val="en-GB"/>
              </w:rPr>
              <w:t xml:space="preserve">Develop and impose congestion charges on the network </w:t>
            </w:r>
            <w:proofErr w:type="gramStart"/>
            <w:r w:rsidRPr="0040606B">
              <w:rPr>
                <w:lang w:val="en-GB"/>
              </w:rPr>
              <w:t>users</w:t>
            </w:r>
            <w:proofErr w:type="gramEnd"/>
          </w:p>
          <w:p w14:paraId="5A7491B9" w14:textId="77777777" w:rsidR="0040606B" w:rsidRPr="0040606B" w:rsidRDefault="0040606B" w:rsidP="00C601C8">
            <w:pPr>
              <w:pStyle w:val="Bullets1"/>
              <w:rPr>
                <w:lang w:val="en-GB"/>
              </w:rPr>
            </w:pPr>
            <w:r w:rsidRPr="0040606B">
              <w:rPr>
                <w:lang w:val="en-GB"/>
              </w:rPr>
              <w:t xml:space="preserve">Enhance the maximum load ability limits of the network by improving the reactive power </w:t>
            </w:r>
            <w:proofErr w:type="gramStart"/>
            <w:r w:rsidRPr="0040606B">
              <w:rPr>
                <w:lang w:val="en-GB"/>
              </w:rPr>
              <w:t>level</w:t>
            </w:r>
            <w:proofErr w:type="gramEnd"/>
          </w:p>
          <w:p w14:paraId="45075061" w14:textId="77777777" w:rsidR="0040606B" w:rsidRPr="0040606B" w:rsidRDefault="0040606B" w:rsidP="00C601C8">
            <w:pPr>
              <w:pStyle w:val="Bullets1"/>
              <w:rPr>
                <w:lang w:val="en-GB"/>
              </w:rPr>
            </w:pPr>
            <w:r w:rsidRPr="0040606B">
              <w:rPr>
                <w:lang w:val="en-GB"/>
              </w:rPr>
              <w:t xml:space="preserve">Develop and enforce the use of area prices on some parts of the transmission network to control load on the </w:t>
            </w:r>
            <w:proofErr w:type="gramStart"/>
            <w:r w:rsidRPr="0040606B">
              <w:rPr>
                <w:lang w:val="en-GB"/>
              </w:rPr>
              <w:t>network</w:t>
            </w:r>
            <w:proofErr w:type="gramEnd"/>
          </w:p>
          <w:p w14:paraId="44A381D7" w14:textId="77777777" w:rsidR="0040606B" w:rsidRPr="00CD219F" w:rsidRDefault="0040606B" w:rsidP="00C601C8">
            <w:pPr>
              <w:tabs>
                <w:tab w:val="num" w:pos="720"/>
              </w:tabs>
              <w:spacing w:line="264" w:lineRule="auto"/>
              <w:rPr>
                <w:rFonts w:cs="Arial"/>
                <w:szCs w:val="20"/>
                <w:lang w:val="en-GB"/>
              </w:rPr>
            </w:pPr>
            <w:r w:rsidRPr="00CD219F">
              <w:rPr>
                <w:rFonts w:cs="Arial"/>
                <w:szCs w:val="20"/>
                <w:lang w:val="en-GB"/>
              </w:rPr>
              <w:t>Indicator</w:t>
            </w:r>
          </w:p>
          <w:p w14:paraId="4FB8DE76" w14:textId="77777777" w:rsidR="0040606B" w:rsidRPr="0040606B" w:rsidRDefault="0040606B" w:rsidP="00C601C8">
            <w:pPr>
              <w:pStyle w:val="Bullets1"/>
              <w:rPr>
                <w:b/>
                <w:bCs/>
                <w:lang w:val="en-GB"/>
              </w:rPr>
            </w:pPr>
            <w:r w:rsidRPr="0040606B">
              <w:rPr>
                <w:b/>
                <w:bCs/>
                <w:lang w:val="en-GB"/>
              </w:rPr>
              <w:t>Compliance with the approved Procedures for Congestion Management</w:t>
            </w:r>
          </w:p>
        </w:tc>
      </w:tr>
      <w:tr w:rsidR="0040606B" w:rsidRPr="00C601C8" w14:paraId="04AA0180" w14:textId="77777777" w:rsidTr="00C601C8">
        <w:trPr>
          <w:cantSplit/>
          <w:trHeight w:val="1098"/>
        </w:trPr>
        <w:tc>
          <w:tcPr>
            <w:tcW w:w="1704" w:type="dxa"/>
            <w:vAlign w:val="center"/>
          </w:tcPr>
          <w:p w14:paraId="327BD2F0" w14:textId="77777777" w:rsidR="0040606B" w:rsidRPr="00CD219F" w:rsidRDefault="0040606B" w:rsidP="00C601C8">
            <w:pPr>
              <w:rPr>
                <w:rFonts w:cs="Arial"/>
                <w:szCs w:val="20"/>
                <w:lang w:val="en-GB"/>
              </w:rPr>
            </w:pPr>
            <w:r w:rsidRPr="00CD219F">
              <w:rPr>
                <w:rFonts w:cs="Arial"/>
                <w:szCs w:val="20"/>
                <w:lang w:val="en-GB"/>
              </w:rPr>
              <w:lastRenderedPageBreak/>
              <w:t xml:space="preserve">PSR-6: Coordination with neighbouring Control Areas and TSOs in cases of emergency </w:t>
            </w:r>
          </w:p>
          <w:p w14:paraId="535809B8" w14:textId="77777777" w:rsidR="0040606B" w:rsidRPr="00CD219F" w:rsidRDefault="0040606B" w:rsidP="00C601C8">
            <w:pPr>
              <w:rPr>
                <w:rFonts w:cs="Arial"/>
                <w:szCs w:val="20"/>
                <w:lang w:val="en-GB"/>
              </w:rPr>
            </w:pPr>
            <w:r w:rsidRPr="00CD219F">
              <w:rPr>
                <w:rFonts w:cs="Arial"/>
                <w:szCs w:val="20"/>
                <w:lang w:val="en-GB"/>
              </w:rPr>
              <w:t>(RMR, Art.23)</w:t>
            </w:r>
          </w:p>
          <w:p w14:paraId="7379C217" w14:textId="77777777" w:rsidR="0040606B" w:rsidRPr="00CD219F" w:rsidRDefault="0040606B" w:rsidP="00C601C8">
            <w:pPr>
              <w:rPr>
                <w:rFonts w:cs="Arial"/>
                <w:szCs w:val="20"/>
                <w:lang w:val="en-GB"/>
              </w:rPr>
            </w:pPr>
          </w:p>
        </w:tc>
        <w:tc>
          <w:tcPr>
            <w:tcW w:w="12307" w:type="dxa"/>
            <w:vAlign w:val="center"/>
          </w:tcPr>
          <w:p w14:paraId="2117DBED" w14:textId="77777777" w:rsidR="0040606B" w:rsidRPr="00CD219F" w:rsidRDefault="0040606B" w:rsidP="00C601C8">
            <w:pPr>
              <w:tabs>
                <w:tab w:val="num" w:pos="720"/>
              </w:tabs>
              <w:spacing w:line="264" w:lineRule="auto"/>
              <w:rPr>
                <w:rFonts w:cs="Arial"/>
                <w:szCs w:val="20"/>
                <w:lang w:val="en-GB"/>
              </w:rPr>
            </w:pPr>
            <w:r w:rsidRPr="00CD219F">
              <w:rPr>
                <w:rFonts w:cs="Arial"/>
                <w:szCs w:val="20"/>
                <w:lang w:val="en-GB"/>
              </w:rPr>
              <w:t>Tasks</w:t>
            </w:r>
          </w:p>
          <w:p w14:paraId="2B5CD868" w14:textId="77777777" w:rsidR="0040606B" w:rsidRPr="0040606B" w:rsidRDefault="0040606B" w:rsidP="00C601C8">
            <w:pPr>
              <w:pStyle w:val="Bullets1"/>
              <w:rPr>
                <w:lang w:val="en-GB"/>
              </w:rPr>
            </w:pPr>
            <w:r w:rsidRPr="0040606B">
              <w:rPr>
                <w:lang w:val="en-GB"/>
              </w:rPr>
              <w:t xml:space="preserve">All conditions deviating from normal operation to be considered as </w:t>
            </w:r>
            <w:proofErr w:type="gramStart"/>
            <w:r w:rsidRPr="0040606B">
              <w:rPr>
                <w:lang w:val="en-GB"/>
              </w:rPr>
              <w:t>emergencies</w:t>
            </w:r>
            <w:proofErr w:type="gramEnd"/>
          </w:p>
          <w:p w14:paraId="23E6E84C" w14:textId="77777777" w:rsidR="0040606B" w:rsidRPr="0040606B" w:rsidRDefault="0040606B" w:rsidP="00C601C8">
            <w:pPr>
              <w:pStyle w:val="Bullets1"/>
              <w:rPr>
                <w:lang w:val="en-GB"/>
              </w:rPr>
            </w:pPr>
            <w:r w:rsidRPr="0040606B">
              <w:rPr>
                <w:lang w:val="en-GB"/>
              </w:rPr>
              <w:t xml:space="preserve">The system operator of the affected system to take all necessary measures to prevent any disturbance from spreading, and to ensure efficient restoration of </w:t>
            </w:r>
            <w:proofErr w:type="gramStart"/>
            <w:r w:rsidRPr="0040606B">
              <w:rPr>
                <w:lang w:val="en-GB"/>
              </w:rPr>
              <w:t>supply</w:t>
            </w:r>
            <w:proofErr w:type="gramEnd"/>
          </w:p>
          <w:p w14:paraId="6C6A6F44" w14:textId="77777777" w:rsidR="0040606B" w:rsidRPr="0040606B" w:rsidRDefault="0040606B" w:rsidP="00C601C8">
            <w:pPr>
              <w:pStyle w:val="Bullets1"/>
              <w:rPr>
                <w:lang w:val="en-GB"/>
              </w:rPr>
            </w:pPr>
            <w:r w:rsidRPr="0040606B">
              <w:rPr>
                <w:lang w:val="en-GB"/>
              </w:rPr>
              <w:t xml:space="preserve">A System Operator experiencing or anticipating operation under abnormal conditions to communicate its current and expected status to other neighbouring system operators and notify the </w:t>
            </w:r>
            <w:proofErr w:type="gramStart"/>
            <w:r w:rsidRPr="0040606B">
              <w:rPr>
                <w:lang w:val="en-GB"/>
              </w:rPr>
              <w:t>SMO</w:t>
            </w:r>
            <w:proofErr w:type="gramEnd"/>
          </w:p>
          <w:p w14:paraId="4A3B84BB" w14:textId="77777777" w:rsidR="0040606B" w:rsidRPr="0040606B" w:rsidRDefault="0040606B" w:rsidP="00C601C8">
            <w:pPr>
              <w:pStyle w:val="Bullets1"/>
              <w:rPr>
                <w:lang w:val="en-GB"/>
              </w:rPr>
            </w:pPr>
            <w:r w:rsidRPr="0040606B">
              <w:rPr>
                <w:lang w:val="en-GB"/>
              </w:rPr>
              <w:t xml:space="preserve">Other Power Systems capable of providing assistance to declare their </w:t>
            </w:r>
            <w:proofErr w:type="gramStart"/>
            <w:r w:rsidRPr="0040606B">
              <w:rPr>
                <w:lang w:val="en-GB"/>
              </w:rPr>
              <w:t>capabilities</w:t>
            </w:r>
            <w:proofErr w:type="gramEnd"/>
          </w:p>
          <w:p w14:paraId="685FCBAE" w14:textId="77777777" w:rsidR="0040606B" w:rsidRPr="0040606B" w:rsidRDefault="0040606B" w:rsidP="00C601C8">
            <w:pPr>
              <w:pStyle w:val="Bullets1"/>
              <w:rPr>
                <w:lang w:val="en-GB"/>
              </w:rPr>
            </w:pPr>
            <w:r w:rsidRPr="0040606B">
              <w:rPr>
                <w:lang w:val="en-GB"/>
              </w:rPr>
              <w:t xml:space="preserve">As soon as a system anticipates that it could face operation under abnormal conditions, power station, distribution and transmission operators should be informed so that they can respond quickly and appropriately to the </w:t>
            </w:r>
            <w:proofErr w:type="gramStart"/>
            <w:r w:rsidRPr="0040606B">
              <w:rPr>
                <w:lang w:val="en-GB"/>
              </w:rPr>
              <w:t>situation</w:t>
            </w:r>
            <w:proofErr w:type="gramEnd"/>
          </w:p>
          <w:p w14:paraId="3E15B292" w14:textId="77777777" w:rsidR="0040606B" w:rsidRPr="0040606B" w:rsidRDefault="0040606B" w:rsidP="00C601C8">
            <w:pPr>
              <w:pStyle w:val="Bullets1"/>
              <w:rPr>
                <w:lang w:val="en-GB"/>
              </w:rPr>
            </w:pPr>
            <w:r w:rsidRPr="0040606B">
              <w:rPr>
                <w:lang w:val="en-GB"/>
              </w:rPr>
              <w:t xml:space="preserve">In case of an emergency, the main task for all systems is to maintain the stability of the WAPP Interconnected Power System. The system operator in whose system the emergency occurs should immediately take all possible measures to restore normal operating </w:t>
            </w:r>
            <w:proofErr w:type="gramStart"/>
            <w:r w:rsidRPr="0040606B">
              <w:rPr>
                <w:lang w:val="en-GB"/>
              </w:rPr>
              <w:t>conditions</w:t>
            </w:r>
            <w:proofErr w:type="gramEnd"/>
          </w:p>
          <w:p w14:paraId="61705524" w14:textId="77777777" w:rsidR="0040606B" w:rsidRPr="00CD219F" w:rsidRDefault="0040606B" w:rsidP="00C601C8">
            <w:pPr>
              <w:tabs>
                <w:tab w:val="num" w:pos="720"/>
              </w:tabs>
              <w:spacing w:line="264" w:lineRule="auto"/>
              <w:rPr>
                <w:rFonts w:cs="Arial"/>
                <w:szCs w:val="20"/>
                <w:lang w:val="en-GB"/>
              </w:rPr>
            </w:pPr>
            <w:r w:rsidRPr="00CD219F">
              <w:rPr>
                <w:rFonts w:cs="Arial"/>
                <w:szCs w:val="20"/>
                <w:lang w:val="en-GB"/>
              </w:rPr>
              <w:t>Indicator</w:t>
            </w:r>
          </w:p>
          <w:p w14:paraId="2D7F3892" w14:textId="77777777" w:rsidR="0040606B" w:rsidRPr="0040606B" w:rsidRDefault="0040606B" w:rsidP="00C601C8">
            <w:pPr>
              <w:pStyle w:val="Bullets1"/>
              <w:rPr>
                <w:b/>
                <w:bCs/>
                <w:lang w:val="en-GB"/>
              </w:rPr>
            </w:pPr>
            <w:r w:rsidRPr="0040606B">
              <w:rPr>
                <w:b/>
                <w:bCs/>
                <w:lang w:val="en-GB"/>
              </w:rPr>
              <w:t>Compliance with approved Operation Procedures in emergency conditions</w:t>
            </w:r>
          </w:p>
        </w:tc>
      </w:tr>
      <w:tr w:rsidR="0040606B" w:rsidRPr="00C601C8" w14:paraId="17FA1AB5" w14:textId="77777777" w:rsidTr="00C601C8">
        <w:trPr>
          <w:cantSplit/>
          <w:trHeight w:val="1098"/>
        </w:trPr>
        <w:tc>
          <w:tcPr>
            <w:tcW w:w="1704" w:type="dxa"/>
            <w:vAlign w:val="center"/>
          </w:tcPr>
          <w:p w14:paraId="0908316B" w14:textId="77777777" w:rsidR="0040606B" w:rsidRPr="00CD219F" w:rsidRDefault="0040606B" w:rsidP="00C601C8">
            <w:pPr>
              <w:rPr>
                <w:rFonts w:cs="Arial"/>
                <w:szCs w:val="20"/>
                <w:lang w:val="en-GB"/>
              </w:rPr>
            </w:pPr>
            <w:r w:rsidRPr="00CD219F">
              <w:rPr>
                <w:rFonts w:cs="Arial"/>
                <w:szCs w:val="20"/>
                <w:lang w:val="en-GB"/>
              </w:rPr>
              <w:t>PSR-7: Communication between the Control Areas, Domestic TSOs and the SMO</w:t>
            </w:r>
          </w:p>
          <w:p w14:paraId="1A5C85E7" w14:textId="77777777" w:rsidR="0040606B" w:rsidRPr="00CD219F" w:rsidRDefault="0040606B" w:rsidP="00C601C8">
            <w:pPr>
              <w:rPr>
                <w:rFonts w:cs="Arial"/>
                <w:szCs w:val="20"/>
                <w:lang w:val="en-GB"/>
              </w:rPr>
            </w:pPr>
            <w:r w:rsidRPr="00CD219F">
              <w:rPr>
                <w:rFonts w:cs="Arial"/>
                <w:szCs w:val="20"/>
                <w:lang w:val="en-GB"/>
              </w:rPr>
              <w:t>(RMR, Art.25)</w:t>
            </w:r>
          </w:p>
        </w:tc>
        <w:tc>
          <w:tcPr>
            <w:tcW w:w="12307" w:type="dxa"/>
            <w:vAlign w:val="center"/>
          </w:tcPr>
          <w:p w14:paraId="6A89B2F3" w14:textId="77777777" w:rsidR="0040606B" w:rsidRPr="00CD219F" w:rsidRDefault="0040606B" w:rsidP="00C601C8">
            <w:pPr>
              <w:tabs>
                <w:tab w:val="num" w:pos="720"/>
              </w:tabs>
              <w:spacing w:line="264" w:lineRule="auto"/>
              <w:rPr>
                <w:rFonts w:cs="Arial"/>
                <w:szCs w:val="20"/>
                <w:lang w:val="en-GB"/>
              </w:rPr>
            </w:pPr>
            <w:r w:rsidRPr="00CD219F">
              <w:rPr>
                <w:rFonts w:cs="Arial"/>
                <w:szCs w:val="20"/>
                <w:lang w:val="en-GB"/>
              </w:rPr>
              <w:t>Tasks</w:t>
            </w:r>
          </w:p>
          <w:p w14:paraId="3FA311C8" w14:textId="77777777" w:rsidR="0040606B" w:rsidRPr="0040606B" w:rsidRDefault="0040606B" w:rsidP="00C601C8">
            <w:pPr>
              <w:pStyle w:val="Bullets1"/>
              <w:rPr>
                <w:lang w:val="en-GB"/>
              </w:rPr>
            </w:pPr>
            <w:r w:rsidRPr="0040606B">
              <w:rPr>
                <w:lang w:val="en-GB"/>
              </w:rPr>
              <w:t xml:space="preserve">Each power system and Control Area should be equipped with adequate and reliable communication facilities internally and with other power systems and Control Areas to ensure exchange of information necessary to maintain the reliability of the interconnected power </w:t>
            </w:r>
            <w:proofErr w:type="gramStart"/>
            <w:r w:rsidRPr="0040606B">
              <w:rPr>
                <w:lang w:val="en-GB"/>
              </w:rPr>
              <w:t>system</w:t>
            </w:r>
            <w:proofErr w:type="gramEnd"/>
          </w:p>
          <w:p w14:paraId="6DEE0902" w14:textId="77777777" w:rsidR="0040606B" w:rsidRPr="0040606B" w:rsidRDefault="0040606B" w:rsidP="00C601C8">
            <w:pPr>
              <w:pStyle w:val="Bullets1"/>
              <w:rPr>
                <w:lang w:val="en-GB"/>
              </w:rPr>
            </w:pPr>
            <w:r w:rsidRPr="0040606B">
              <w:rPr>
                <w:lang w:val="en-GB"/>
              </w:rPr>
              <w:t xml:space="preserve">Procedures for Control Centre to Control Centre communication to be established by Power System and Control Area Operators to ensure that communications between operating personnel are consistent, efficient, and effective during normal and emergency </w:t>
            </w:r>
            <w:proofErr w:type="gramStart"/>
            <w:r w:rsidRPr="0040606B">
              <w:rPr>
                <w:lang w:val="en-GB"/>
              </w:rPr>
              <w:t>conditions</w:t>
            </w:r>
            <w:proofErr w:type="gramEnd"/>
          </w:p>
          <w:p w14:paraId="5FDC8C62" w14:textId="77777777" w:rsidR="0040606B" w:rsidRPr="00CD219F" w:rsidRDefault="0040606B" w:rsidP="00C601C8">
            <w:pPr>
              <w:tabs>
                <w:tab w:val="num" w:pos="720"/>
              </w:tabs>
              <w:spacing w:line="264" w:lineRule="auto"/>
              <w:rPr>
                <w:rFonts w:cs="Arial"/>
                <w:szCs w:val="20"/>
                <w:lang w:val="en-GB"/>
              </w:rPr>
            </w:pPr>
            <w:r w:rsidRPr="00CD219F">
              <w:rPr>
                <w:rFonts w:cs="Arial"/>
                <w:szCs w:val="20"/>
                <w:lang w:val="en-GB"/>
              </w:rPr>
              <w:t>Indicator</w:t>
            </w:r>
          </w:p>
          <w:p w14:paraId="2B0272C8" w14:textId="77777777" w:rsidR="0040606B" w:rsidRPr="0040606B" w:rsidRDefault="0040606B" w:rsidP="00C601C8">
            <w:pPr>
              <w:pStyle w:val="Bullets1"/>
              <w:rPr>
                <w:b/>
                <w:bCs/>
                <w:lang w:val="en-GB"/>
              </w:rPr>
            </w:pPr>
            <w:r w:rsidRPr="0040606B">
              <w:rPr>
                <w:b/>
                <w:bCs/>
                <w:lang w:val="en-GB"/>
              </w:rPr>
              <w:t>Compliance with the approved Communication Procedures between Market Institutions</w:t>
            </w:r>
          </w:p>
        </w:tc>
      </w:tr>
      <w:tr w:rsidR="0040606B" w:rsidRPr="00C601C8" w14:paraId="71493F1D" w14:textId="77777777" w:rsidTr="00C601C8">
        <w:trPr>
          <w:cantSplit/>
          <w:trHeight w:val="1098"/>
        </w:trPr>
        <w:tc>
          <w:tcPr>
            <w:tcW w:w="1704" w:type="dxa"/>
            <w:vAlign w:val="center"/>
          </w:tcPr>
          <w:p w14:paraId="70DF4022" w14:textId="77777777" w:rsidR="0040606B" w:rsidRPr="00CD219F" w:rsidRDefault="0040606B" w:rsidP="00C601C8">
            <w:pPr>
              <w:rPr>
                <w:rFonts w:cs="Arial"/>
                <w:szCs w:val="20"/>
                <w:lang w:val="en-GB"/>
              </w:rPr>
            </w:pPr>
            <w:r w:rsidRPr="00CD219F">
              <w:rPr>
                <w:rFonts w:cs="Arial"/>
                <w:szCs w:val="20"/>
                <w:lang w:val="en-GB"/>
              </w:rPr>
              <w:t xml:space="preserve">PSR-8: Maintaining inter and intra-area </w:t>
            </w:r>
            <w:proofErr w:type="gramStart"/>
            <w:r w:rsidRPr="00CD219F">
              <w:rPr>
                <w:rFonts w:cs="Arial"/>
                <w:szCs w:val="20"/>
                <w:lang w:val="en-GB"/>
              </w:rPr>
              <w:t>flows</w:t>
            </w:r>
            <w:proofErr w:type="gramEnd"/>
          </w:p>
          <w:p w14:paraId="3FAC42E6" w14:textId="77777777" w:rsidR="0040606B" w:rsidRPr="00CD219F" w:rsidRDefault="0040606B" w:rsidP="00C601C8">
            <w:pPr>
              <w:rPr>
                <w:rFonts w:cs="Arial"/>
                <w:szCs w:val="20"/>
                <w:lang w:val="en-GB"/>
              </w:rPr>
            </w:pPr>
            <w:r w:rsidRPr="00CD219F">
              <w:rPr>
                <w:rFonts w:cs="Arial"/>
                <w:szCs w:val="20"/>
                <w:lang w:val="en-GB"/>
              </w:rPr>
              <w:t>(RMR. Art.23)</w:t>
            </w:r>
          </w:p>
        </w:tc>
        <w:tc>
          <w:tcPr>
            <w:tcW w:w="12307" w:type="dxa"/>
            <w:vAlign w:val="center"/>
          </w:tcPr>
          <w:p w14:paraId="4E8F56C8" w14:textId="77777777" w:rsidR="0040606B" w:rsidRPr="00CD219F" w:rsidRDefault="0040606B" w:rsidP="00C601C8">
            <w:pPr>
              <w:tabs>
                <w:tab w:val="num" w:pos="720"/>
              </w:tabs>
              <w:spacing w:line="264" w:lineRule="auto"/>
              <w:rPr>
                <w:rFonts w:cs="Arial"/>
                <w:szCs w:val="20"/>
                <w:lang w:val="en-GB"/>
              </w:rPr>
            </w:pPr>
            <w:r w:rsidRPr="00CD219F">
              <w:rPr>
                <w:rFonts w:cs="Arial"/>
                <w:szCs w:val="20"/>
                <w:lang w:val="en-GB"/>
              </w:rPr>
              <w:t>Tasks</w:t>
            </w:r>
          </w:p>
          <w:p w14:paraId="6C011FB4" w14:textId="77777777" w:rsidR="0040606B" w:rsidRPr="0040606B" w:rsidRDefault="0040606B" w:rsidP="00C601C8">
            <w:pPr>
              <w:pStyle w:val="Bullets1"/>
              <w:rPr>
                <w:lang w:val="en-GB"/>
              </w:rPr>
            </w:pPr>
            <w:r w:rsidRPr="0040606B">
              <w:rPr>
                <w:lang w:val="en-GB"/>
              </w:rPr>
              <w:t xml:space="preserve">Ensure that inter and intra-area energy flows are maintained in the Regional Electricity Market, both in quantity and quality (voltage and frequency) </w:t>
            </w:r>
          </w:p>
          <w:p w14:paraId="022A2F8F" w14:textId="77777777" w:rsidR="0040606B" w:rsidRPr="00CD219F" w:rsidRDefault="0040606B" w:rsidP="00C601C8">
            <w:pPr>
              <w:pStyle w:val="Bullets1"/>
              <w:numPr>
                <w:ilvl w:val="0"/>
                <w:numId w:val="0"/>
              </w:numPr>
              <w:ind w:left="284"/>
            </w:pPr>
            <w:r w:rsidRPr="00CD219F">
              <w:t>Indicator</w:t>
            </w:r>
          </w:p>
          <w:p w14:paraId="276F3B78" w14:textId="77777777" w:rsidR="0040606B" w:rsidRPr="0040606B" w:rsidRDefault="0040606B" w:rsidP="00C601C8">
            <w:pPr>
              <w:pStyle w:val="Bullets1"/>
              <w:rPr>
                <w:b/>
                <w:bCs/>
                <w:lang w:val="en-GB"/>
              </w:rPr>
            </w:pPr>
            <w:r w:rsidRPr="0040606B">
              <w:rPr>
                <w:b/>
                <w:bCs/>
                <w:lang w:val="en-GB"/>
              </w:rPr>
              <w:t>Compliance with the approved Procedures for Maintaining Inter and Intra-flows</w:t>
            </w:r>
          </w:p>
        </w:tc>
      </w:tr>
      <w:tr w:rsidR="0040606B" w:rsidRPr="00C601C8" w14:paraId="5AEFCF03" w14:textId="77777777" w:rsidTr="00C601C8">
        <w:trPr>
          <w:cantSplit/>
          <w:trHeight w:val="1098"/>
        </w:trPr>
        <w:tc>
          <w:tcPr>
            <w:tcW w:w="1704" w:type="dxa"/>
            <w:vAlign w:val="center"/>
          </w:tcPr>
          <w:p w14:paraId="2207282F" w14:textId="77777777" w:rsidR="0040606B" w:rsidRPr="00CD219F" w:rsidRDefault="0040606B" w:rsidP="00C601C8">
            <w:pPr>
              <w:rPr>
                <w:rFonts w:cs="Arial"/>
                <w:szCs w:val="20"/>
                <w:lang w:val="en-GB"/>
              </w:rPr>
            </w:pPr>
            <w:r w:rsidRPr="00CD219F">
              <w:rPr>
                <w:rFonts w:cs="Arial"/>
                <w:szCs w:val="20"/>
                <w:lang w:val="en-GB"/>
              </w:rPr>
              <w:lastRenderedPageBreak/>
              <w:t xml:space="preserve">PSR-9: Maintaining flows agreed at the regional level in the </w:t>
            </w:r>
            <w:proofErr w:type="gramStart"/>
            <w:r w:rsidRPr="00CD219F">
              <w:rPr>
                <w:rFonts w:cs="Arial"/>
                <w:szCs w:val="20"/>
                <w:lang w:val="en-GB"/>
              </w:rPr>
              <w:t>Interconnector</w:t>
            </w:r>
            <w:proofErr w:type="gramEnd"/>
          </w:p>
          <w:p w14:paraId="079D553D" w14:textId="77777777" w:rsidR="0040606B" w:rsidRPr="00CD219F" w:rsidRDefault="0040606B" w:rsidP="00C601C8">
            <w:pPr>
              <w:rPr>
                <w:rFonts w:cs="Arial"/>
                <w:szCs w:val="20"/>
                <w:lang w:val="en-GB"/>
              </w:rPr>
            </w:pPr>
            <w:r w:rsidRPr="00CD219F">
              <w:rPr>
                <w:rFonts w:cs="Arial"/>
                <w:szCs w:val="20"/>
                <w:lang w:val="en-GB"/>
              </w:rPr>
              <w:t>(RMR, Art.25)</w:t>
            </w:r>
          </w:p>
        </w:tc>
        <w:tc>
          <w:tcPr>
            <w:tcW w:w="12307" w:type="dxa"/>
            <w:vAlign w:val="center"/>
          </w:tcPr>
          <w:p w14:paraId="39DBC78C" w14:textId="77777777" w:rsidR="0040606B" w:rsidRPr="00CD219F" w:rsidRDefault="0040606B" w:rsidP="00C601C8">
            <w:pPr>
              <w:tabs>
                <w:tab w:val="num" w:pos="720"/>
              </w:tabs>
              <w:spacing w:line="264" w:lineRule="auto"/>
              <w:ind w:left="360"/>
              <w:rPr>
                <w:rFonts w:cs="Arial"/>
                <w:szCs w:val="20"/>
                <w:lang w:val="en-GB"/>
              </w:rPr>
            </w:pPr>
            <w:r w:rsidRPr="00CD219F">
              <w:rPr>
                <w:rFonts w:cs="Arial"/>
                <w:szCs w:val="20"/>
                <w:lang w:val="en-GB"/>
              </w:rPr>
              <w:t>Tasks</w:t>
            </w:r>
          </w:p>
          <w:p w14:paraId="3F831D27" w14:textId="77777777" w:rsidR="0040606B" w:rsidRPr="0040606B" w:rsidRDefault="0040606B" w:rsidP="00C601C8">
            <w:pPr>
              <w:pStyle w:val="Bullets1"/>
              <w:rPr>
                <w:lang w:val="en-GB"/>
              </w:rPr>
            </w:pPr>
            <w:r w:rsidRPr="0040606B">
              <w:rPr>
                <w:lang w:val="en-GB"/>
              </w:rPr>
              <w:t xml:space="preserve">Each Control Area is physically demarcated by the geographical position of the delivery </w:t>
            </w:r>
            <w:proofErr w:type="gramStart"/>
            <w:r w:rsidRPr="0040606B">
              <w:rPr>
                <w:lang w:val="en-GB"/>
              </w:rPr>
              <w:t>points</w:t>
            </w:r>
            <w:proofErr w:type="gramEnd"/>
          </w:p>
          <w:p w14:paraId="24022C19" w14:textId="77777777" w:rsidR="0040606B" w:rsidRPr="0040606B" w:rsidRDefault="0040606B" w:rsidP="00C601C8">
            <w:pPr>
              <w:pStyle w:val="Bullets1"/>
              <w:rPr>
                <w:lang w:val="en-GB"/>
              </w:rPr>
            </w:pPr>
            <w:r w:rsidRPr="0040606B">
              <w:rPr>
                <w:lang w:val="en-GB"/>
              </w:rPr>
              <w:t>Ensure that in each Control Area, the difference between the Day-ahead schedule and the real-time dispatch measured at the tie-lines between adjacent Control Areas (</w:t>
            </w:r>
            <w:proofErr w:type="spellStart"/>
            <w:r w:rsidRPr="0040606B">
              <w:rPr>
                <w:lang w:val="en-GB"/>
              </w:rPr>
              <w:t>i.e</w:t>
            </w:r>
            <w:proofErr w:type="spellEnd"/>
            <w:r w:rsidRPr="0040606B">
              <w:rPr>
                <w:lang w:val="en-GB"/>
              </w:rPr>
              <w:t xml:space="preserve"> Area Control Error) must be close to zero at all </w:t>
            </w:r>
            <w:proofErr w:type="gramStart"/>
            <w:r w:rsidRPr="0040606B">
              <w:rPr>
                <w:lang w:val="en-GB"/>
              </w:rPr>
              <w:t>times</w:t>
            </w:r>
            <w:proofErr w:type="gramEnd"/>
          </w:p>
          <w:p w14:paraId="02628723" w14:textId="77777777" w:rsidR="0040606B" w:rsidRPr="0040606B" w:rsidRDefault="0040606B" w:rsidP="00C601C8">
            <w:pPr>
              <w:pStyle w:val="Bullets1"/>
              <w:rPr>
                <w:lang w:val="en-GB"/>
              </w:rPr>
            </w:pPr>
            <w:r w:rsidRPr="0040606B">
              <w:rPr>
                <w:lang w:val="en-GB"/>
              </w:rPr>
              <w:t xml:space="preserve">Make the control automatic in order to keep the Area Control Error (ACE) close to </w:t>
            </w:r>
            <w:proofErr w:type="gramStart"/>
            <w:r w:rsidRPr="0040606B">
              <w:rPr>
                <w:lang w:val="en-GB"/>
              </w:rPr>
              <w:t>zero</w:t>
            </w:r>
            <w:proofErr w:type="gramEnd"/>
            <w:r w:rsidRPr="0040606B">
              <w:rPr>
                <w:lang w:val="en-GB"/>
              </w:rPr>
              <w:t xml:space="preserve"> </w:t>
            </w:r>
          </w:p>
          <w:p w14:paraId="18E70B34" w14:textId="77777777" w:rsidR="0040606B" w:rsidRPr="0040606B" w:rsidRDefault="0040606B" w:rsidP="00C601C8">
            <w:pPr>
              <w:pStyle w:val="Bullets1"/>
              <w:rPr>
                <w:lang w:val="en-GB"/>
              </w:rPr>
            </w:pPr>
            <w:r w:rsidRPr="0040606B">
              <w:rPr>
                <w:lang w:val="en-GB"/>
              </w:rPr>
              <w:t xml:space="preserve">Ensure that each Control Area operator utilizes subsystems such as Automatic Generation Control (AGC) to automatically direct the loading of regulation </w:t>
            </w:r>
            <w:proofErr w:type="gramStart"/>
            <w:r w:rsidRPr="0040606B">
              <w:rPr>
                <w:lang w:val="en-GB"/>
              </w:rPr>
              <w:t>reserve</w:t>
            </w:r>
            <w:proofErr w:type="gramEnd"/>
          </w:p>
          <w:p w14:paraId="72A59A4A" w14:textId="77777777" w:rsidR="0040606B" w:rsidRPr="0040606B" w:rsidRDefault="0040606B" w:rsidP="00C601C8">
            <w:pPr>
              <w:pStyle w:val="Bullets1"/>
              <w:rPr>
                <w:lang w:val="en-GB"/>
              </w:rPr>
            </w:pPr>
            <w:r w:rsidRPr="0040606B">
              <w:rPr>
                <w:lang w:val="en-GB"/>
              </w:rPr>
              <w:t>Ensure the use of the AGC to limit the magnitude of the Area Control Error (ACE).</w:t>
            </w:r>
          </w:p>
          <w:p w14:paraId="561CF5E7" w14:textId="77777777" w:rsidR="0040606B" w:rsidRPr="0040606B" w:rsidRDefault="0040606B" w:rsidP="00C601C8">
            <w:pPr>
              <w:pStyle w:val="Bullets1"/>
              <w:rPr>
                <w:lang w:val="en-GB"/>
              </w:rPr>
            </w:pPr>
            <w:r w:rsidRPr="0040606B">
              <w:rPr>
                <w:lang w:val="en-GB"/>
              </w:rPr>
              <w:t>In case of deficiency of the AGC, the concerned Control Area Operator to use manual control to adjust generation to maintain scheduled interchanges (flows)</w:t>
            </w:r>
          </w:p>
          <w:p w14:paraId="301283D9" w14:textId="77777777" w:rsidR="0040606B" w:rsidRPr="00CD219F" w:rsidRDefault="0040606B" w:rsidP="00C601C8">
            <w:pPr>
              <w:pStyle w:val="Bullets1"/>
              <w:numPr>
                <w:ilvl w:val="0"/>
                <w:numId w:val="0"/>
              </w:numPr>
              <w:ind w:left="284"/>
            </w:pPr>
            <w:r w:rsidRPr="00CD219F">
              <w:t>Indicator</w:t>
            </w:r>
          </w:p>
          <w:p w14:paraId="5158E902" w14:textId="77777777" w:rsidR="0040606B" w:rsidRPr="0040606B" w:rsidRDefault="0040606B" w:rsidP="00C601C8">
            <w:pPr>
              <w:pStyle w:val="Bullets1"/>
              <w:rPr>
                <w:b/>
                <w:bCs/>
                <w:lang w:val="en-GB"/>
              </w:rPr>
            </w:pPr>
            <w:r w:rsidRPr="0040606B">
              <w:rPr>
                <w:b/>
                <w:bCs/>
                <w:lang w:val="en-GB"/>
              </w:rPr>
              <w:t>Compliance with the approved Operation Procedures on flows in the interlinks</w:t>
            </w:r>
          </w:p>
        </w:tc>
      </w:tr>
      <w:tr w:rsidR="0040606B" w:rsidRPr="00C601C8" w14:paraId="74280EE6" w14:textId="77777777" w:rsidTr="00C601C8">
        <w:trPr>
          <w:cantSplit/>
          <w:trHeight w:val="1098"/>
        </w:trPr>
        <w:tc>
          <w:tcPr>
            <w:tcW w:w="1704" w:type="dxa"/>
            <w:vAlign w:val="center"/>
          </w:tcPr>
          <w:p w14:paraId="3CE58566" w14:textId="77777777" w:rsidR="0040606B" w:rsidRPr="00CD219F" w:rsidRDefault="0040606B" w:rsidP="00C601C8">
            <w:pPr>
              <w:rPr>
                <w:rFonts w:cs="Arial"/>
                <w:szCs w:val="20"/>
                <w:lang w:val="en-GB"/>
              </w:rPr>
            </w:pPr>
            <w:r w:rsidRPr="00CD219F">
              <w:rPr>
                <w:rFonts w:cs="Arial"/>
                <w:szCs w:val="20"/>
                <w:lang w:val="en-GB"/>
              </w:rPr>
              <w:t>PSR-10: Transmission Planning</w:t>
            </w:r>
          </w:p>
        </w:tc>
        <w:tc>
          <w:tcPr>
            <w:tcW w:w="12307" w:type="dxa"/>
            <w:vAlign w:val="center"/>
          </w:tcPr>
          <w:p w14:paraId="4C3B75B1" w14:textId="77777777" w:rsidR="0040606B" w:rsidRPr="00CD219F" w:rsidRDefault="0040606B" w:rsidP="00C601C8">
            <w:pPr>
              <w:tabs>
                <w:tab w:val="num" w:pos="720"/>
                <w:tab w:val="num" w:pos="1440"/>
              </w:tabs>
              <w:spacing w:line="264" w:lineRule="auto"/>
              <w:rPr>
                <w:rFonts w:cs="Arial"/>
                <w:szCs w:val="20"/>
                <w:lang w:val="en-GB"/>
              </w:rPr>
            </w:pPr>
            <w:r w:rsidRPr="00CD219F">
              <w:rPr>
                <w:rFonts w:cs="Arial"/>
                <w:szCs w:val="20"/>
                <w:lang w:val="en-GB"/>
              </w:rPr>
              <w:t>Tasks</w:t>
            </w:r>
          </w:p>
          <w:p w14:paraId="201EE6C3" w14:textId="77777777" w:rsidR="0040606B" w:rsidRPr="0040606B" w:rsidRDefault="0040606B" w:rsidP="00C601C8">
            <w:pPr>
              <w:pStyle w:val="Bullets1"/>
              <w:rPr>
                <w:lang w:val="en-GB"/>
              </w:rPr>
            </w:pPr>
            <w:r w:rsidRPr="0040606B">
              <w:rPr>
                <w:lang w:val="en-GB"/>
              </w:rPr>
              <w:t>Maintain and develop, in cooperation with adjacent and overlapping Transmission Planners, methodologies and tools for the analysis and simulation of the transmission systems, and the evaluation and development of transmission expansion plans.</w:t>
            </w:r>
          </w:p>
          <w:p w14:paraId="5C878A0D" w14:textId="77777777" w:rsidR="0040606B" w:rsidRPr="0040606B" w:rsidRDefault="0040606B" w:rsidP="00C601C8">
            <w:pPr>
              <w:pStyle w:val="Bullets1"/>
              <w:rPr>
                <w:lang w:val="en-GB"/>
              </w:rPr>
            </w:pPr>
            <w:r w:rsidRPr="0040606B">
              <w:rPr>
                <w:lang w:val="en-GB"/>
              </w:rPr>
              <w:t xml:space="preserve">Define, consolidate, and collect or develop information required for transmission planning </w:t>
            </w:r>
            <w:proofErr w:type="gramStart"/>
            <w:r w:rsidRPr="0040606B">
              <w:rPr>
                <w:lang w:val="en-GB"/>
              </w:rPr>
              <w:t>purposes</w:t>
            </w:r>
            <w:proofErr w:type="gramEnd"/>
          </w:p>
          <w:p w14:paraId="56C7EBF0" w14:textId="77777777" w:rsidR="0040606B" w:rsidRPr="0040606B" w:rsidRDefault="0040606B" w:rsidP="00C601C8">
            <w:pPr>
              <w:pStyle w:val="Bullets1"/>
              <w:rPr>
                <w:lang w:val="en-GB"/>
              </w:rPr>
            </w:pPr>
            <w:r w:rsidRPr="0040606B">
              <w:rPr>
                <w:lang w:val="en-GB"/>
              </w:rPr>
              <w:t>Maintain transmission system models (steady state, dynamics, and short circuit) to evaluate Bulk Electric System performance.</w:t>
            </w:r>
          </w:p>
          <w:p w14:paraId="4EB34083" w14:textId="77777777" w:rsidR="0040606B" w:rsidRPr="00CD219F" w:rsidRDefault="0040606B" w:rsidP="00C601C8">
            <w:pPr>
              <w:pStyle w:val="Bullets1"/>
            </w:pPr>
            <w:r w:rsidRPr="0040606B">
              <w:rPr>
                <w:lang w:val="en-GB"/>
              </w:rPr>
              <w:t xml:space="preserve">Evaluate, document, and report on expansion plans for the Transmission Planner area. </w:t>
            </w:r>
            <w:proofErr w:type="spellStart"/>
            <w:r w:rsidRPr="00CD219F">
              <w:t>Assess</w:t>
            </w:r>
            <w:proofErr w:type="spellEnd"/>
            <w:r w:rsidRPr="00CD219F">
              <w:t xml:space="preserve"> </w:t>
            </w:r>
            <w:proofErr w:type="spellStart"/>
            <w:r w:rsidRPr="00CD219F">
              <w:t>whether</w:t>
            </w:r>
            <w:proofErr w:type="spellEnd"/>
            <w:r w:rsidRPr="00CD219F">
              <w:t xml:space="preserve"> the </w:t>
            </w:r>
            <w:proofErr w:type="spellStart"/>
            <w:r w:rsidRPr="00CD219F">
              <w:t>integrated</w:t>
            </w:r>
            <w:proofErr w:type="spellEnd"/>
            <w:r w:rsidRPr="00CD219F">
              <w:t xml:space="preserve"> plan </w:t>
            </w:r>
            <w:proofErr w:type="spellStart"/>
            <w:r w:rsidRPr="00CD219F">
              <w:t>meets</w:t>
            </w:r>
            <w:proofErr w:type="spellEnd"/>
            <w:r w:rsidRPr="00CD219F">
              <w:t xml:space="preserve"> </w:t>
            </w:r>
            <w:proofErr w:type="spellStart"/>
            <w:r w:rsidRPr="00CD219F">
              <w:t>reliability</w:t>
            </w:r>
            <w:proofErr w:type="spellEnd"/>
            <w:r w:rsidRPr="00CD219F">
              <w:t xml:space="preserve"> </w:t>
            </w:r>
            <w:proofErr w:type="spellStart"/>
            <w:r w:rsidRPr="00CD219F">
              <w:t>needs</w:t>
            </w:r>
            <w:proofErr w:type="spellEnd"/>
            <w:r w:rsidRPr="00CD219F">
              <w:t>.</w:t>
            </w:r>
          </w:p>
          <w:p w14:paraId="4DBEB1C3" w14:textId="77777777" w:rsidR="0040606B" w:rsidRPr="0040606B" w:rsidRDefault="0040606B" w:rsidP="00C601C8">
            <w:pPr>
              <w:pStyle w:val="Bullets1"/>
              <w:rPr>
                <w:lang w:val="en-GB"/>
              </w:rPr>
            </w:pPr>
            <w:r w:rsidRPr="0040606B">
              <w:rPr>
                <w:lang w:val="en-GB"/>
              </w:rPr>
              <w:t>Notify Generator Owner, Resource Planners, Transmission Planners and Transmission Owners of any planned transmission changes that may impact their facilities.</w:t>
            </w:r>
          </w:p>
          <w:p w14:paraId="27B66D51" w14:textId="77777777" w:rsidR="0040606B" w:rsidRPr="0040606B" w:rsidRDefault="0040606B" w:rsidP="00C601C8">
            <w:pPr>
              <w:pStyle w:val="Bullets1"/>
              <w:rPr>
                <w:lang w:val="en-GB"/>
              </w:rPr>
            </w:pPr>
            <w:r w:rsidRPr="0040606B">
              <w:rPr>
                <w:lang w:val="en-GB"/>
              </w:rPr>
              <w:t>Define system protection and control needs and requirements to meet reliability needs.</w:t>
            </w:r>
          </w:p>
          <w:p w14:paraId="1C8C9059" w14:textId="77777777" w:rsidR="0040606B" w:rsidRPr="00CD219F" w:rsidRDefault="0040606B" w:rsidP="00C601C8">
            <w:pPr>
              <w:tabs>
                <w:tab w:val="num" w:pos="720"/>
                <w:tab w:val="num" w:pos="1440"/>
              </w:tabs>
              <w:spacing w:line="264" w:lineRule="auto"/>
              <w:rPr>
                <w:rFonts w:cs="Arial"/>
                <w:szCs w:val="20"/>
                <w:lang w:val="en-GB"/>
              </w:rPr>
            </w:pPr>
            <w:r w:rsidRPr="00CD219F">
              <w:rPr>
                <w:rFonts w:cs="Arial"/>
                <w:szCs w:val="20"/>
                <w:lang w:val="en-GB"/>
              </w:rPr>
              <w:t>Indicator</w:t>
            </w:r>
          </w:p>
          <w:p w14:paraId="578A6A97" w14:textId="77777777" w:rsidR="0040606B" w:rsidRPr="0040606B" w:rsidRDefault="0040606B" w:rsidP="00C601C8">
            <w:pPr>
              <w:pStyle w:val="Bullets1"/>
              <w:rPr>
                <w:b/>
                <w:bCs/>
                <w:lang w:val="en-GB"/>
              </w:rPr>
            </w:pPr>
            <w:r w:rsidRPr="0040606B">
              <w:rPr>
                <w:b/>
                <w:bCs/>
                <w:lang w:val="en-GB"/>
              </w:rPr>
              <w:t>Compliance with the approved Procedures for Transmission Planning</w:t>
            </w:r>
          </w:p>
        </w:tc>
      </w:tr>
      <w:tr w:rsidR="0040606B" w:rsidRPr="00C601C8" w14:paraId="348377C4" w14:textId="77777777" w:rsidTr="00C601C8">
        <w:trPr>
          <w:cantSplit/>
          <w:trHeight w:val="1098"/>
        </w:trPr>
        <w:tc>
          <w:tcPr>
            <w:tcW w:w="1704" w:type="dxa"/>
            <w:vAlign w:val="center"/>
          </w:tcPr>
          <w:p w14:paraId="3FD08AE9" w14:textId="77777777" w:rsidR="0040606B" w:rsidRPr="00CD219F" w:rsidRDefault="0040606B" w:rsidP="00C601C8">
            <w:pPr>
              <w:rPr>
                <w:rFonts w:cs="Arial"/>
                <w:szCs w:val="20"/>
                <w:lang w:val="en-GB"/>
              </w:rPr>
            </w:pPr>
            <w:r w:rsidRPr="00CD219F">
              <w:rPr>
                <w:rFonts w:cs="Arial"/>
                <w:szCs w:val="20"/>
                <w:lang w:val="en-GB"/>
              </w:rPr>
              <w:lastRenderedPageBreak/>
              <w:t>PSR-11: Interconnection Capacity Allocation to Contracts</w:t>
            </w:r>
          </w:p>
          <w:p w14:paraId="3E6DE223" w14:textId="77777777" w:rsidR="0040606B" w:rsidRPr="00CD219F" w:rsidRDefault="0040606B" w:rsidP="00C601C8">
            <w:pPr>
              <w:rPr>
                <w:rFonts w:cs="Arial"/>
                <w:szCs w:val="20"/>
                <w:lang w:val="en-GB"/>
              </w:rPr>
            </w:pPr>
            <w:r w:rsidRPr="00CD219F">
              <w:rPr>
                <w:rFonts w:cs="Arial"/>
                <w:szCs w:val="20"/>
                <w:lang w:val="en-GB"/>
              </w:rPr>
              <w:t>(RMR, Art.30, &amp; WTSAUP, Art. 2)</w:t>
            </w:r>
          </w:p>
        </w:tc>
        <w:tc>
          <w:tcPr>
            <w:tcW w:w="12307" w:type="dxa"/>
            <w:vAlign w:val="center"/>
          </w:tcPr>
          <w:p w14:paraId="18893C39" w14:textId="77777777" w:rsidR="0040606B" w:rsidRPr="00CD219F" w:rsidRDefault="0040606B" w:rsidP="00C601C8">
            <w:pPr>
              <w:tabs>
                <w:tab w:val="num" w:pos="720"/>
                <w:tab w:val="num" w:pos="1440"/>
              </w:tabs>
              <w:spacing w:line="264" w:lineRule="auto"/>
              <w:rPr>
                <w:rFonts w:cs="Arial"/>
                <w:szCs w:val="20"/>
                <w:lang w:val="en-GB"/>
              </w:rPr>
            </w:pPr>
            <w:r w:rsidRPr="00CD219F">
              <w:rPr>
                <w:rFonts w:cs="Arial"/>
                <w:szCs w:val="20"/>
                <w:lang w:val="en-GB"/>
              </w:rPr>
              <w:t>Tasks</w:t>
            </w:r>
          </w:p>
          <w:p w14:paraId="63D81293" w14:textId="77777777" w:rsidR="0040606B" w:rsidRPr="0040606B" w:rsidRDefault="0040606B" w:rsidP="00C601C8">
            <w:pPr>
              <w:pStyle w:val="Bullets1"/>
              <w:rPr>
                <w:lang w:val="en-GB"/>
              </w:rPr>
            </w:pPr>
            <w:r w:rsidRPr="0040606B">
              <w:rPr>
                <w:lang w:val="en-GB"/>
              </w:rPr>
              <w:t xml:space="preserve">Determine the Total Interconnector Capacity available to be allocated in respect of the Interconnector in question. Total Interconnector Capacity so determined shall form the basis of Interconnector Capacity allocation. </w:t>
            </w:r>
          </w:p>
          <w:p w14:paraId="734D7042" w14:textId="77777777" w:rsidR="0040606B" w:rsidRPr="0040606B" w:rsidRDefault="0040606B" w:rsidP="00C601C8">
            <w:pPr>
              <w:pStyle w:val="Bullets1"/>
              <w:rPr>
                <w:lang w:val="en-GB"/>
              </w:rPr>
            </w:pPr>
            <w:r w:rsidRPr="0040606B">
              <w:rPr>
                <w:lang w:val="en-GB"/>
              </w:rPr>
              <w:t>Publish on the website the available Interconnector capacity determined.</w:t>
            </w:r>
          </w:p>
          <w:p w14:paraId="7CD89287" w14:textId="77777777" w:rsidR="0040606B" w:rsidRPr="0040606B" w:rsidRDefault="0040606B" w:rsidP="00C601C8">
            <w:pPr>
              <w:pStyle w:val="Bullets1"/>
              <w:rPr>
                <w:lang w:val="en-GB"/>
              </w:rPr>
            </w:pPr>
            <w:r w:rsidRPr="0040606B">
              <w:rPr>
                <w:lang w:val="en-GB"/>
              </w:rPr>
              <w:t>Accept all requests on pro-rata, if additional capacity is available on the Interconnector after all the requests have been satisfied.</w:t>
            </w:r>
          </w:p>
          <w:p w14:paraId="1B7A3D4E" w14:textId="77777777" w:rsidR="0040606B" w:rsidRPr="0040606B" w:rsidRDefault="0040606B" w:rsidP="00C601C8">
            <w:pPr>
              <w:pStyle w:val="Bullets1"/>
              <w:rPr>
                <w:lang w:val="en-GB"/>
              </w:rPr>
            </w:pPr>
            <w:r w:rsidRPr="0040606B">
              <w:rPr>
                <w:lang w:val="en-GB"/>
              </w:rPr>
              <w:t xml:space="preserve">Notify each Participant to whom capacity on the Interconnector has been granted based on Interconnector Capacity Entitlement, of the extent of the access granted provided that such notification shall be indicative </w:t>
            </w:r>
            <w:proofErr w:type="gramStart"/>
            <w:r w:rsidRPr="0040606B">
              <w:rPr>
                <w:lang w:val="en-GB"/>
              </w:rPr>
              <w:t>only</w:t>
            </w:r>
            <w:proofErr w:type="gramEnd"/>
          </w:p>
          <w:p w14:paraId="3B8EA158" w14:textId="77777777" w:rsidR="0040606B" w:rsidRPr="0040606B" w:rsidRDefault="0040606B" w:rsidP="00C601C8">
            <w:pPr>
              <w:pStyle w:val="Bullets1"/>
              <w:rPr>
                <w:lang w:val="en-GB"/>
              </w:rPr>
            </w:pPr>
            <w:r w:rsidRPr="0040606B">
              <w:rPr>
                <w:lang w:val="en-GB"/>
              </w:rPr>
              <w:t>Approve Participant’s request to assign all or part of its Interconnector Capacity Entitlement for a short-term</w:t>
            </w:r>
          </w:p>
          <w:p w14:paraId="69D075CC" w14:textId="77777777" w:rsidR="0040606B" w:rsidRPr="0040606B" w:rsidRDefault="0040606B" w:rsidP="00C601C8">
            <w:pPr>
              <w:pStyle w:val="Bullets1"/>
              <w:rPr>
                <w:lang w:val="en-GB"/>
              </w:rPr>
            </w:pPr>
            <w:r w:rsidRPr="0040606B">
              <w:rPr>
                <w:lang w:val="en-GB"/>
              </w:rPr>
              <w:t xml:space="preserve">Receive Interconnector Capacity Charge in respect of actual Interconnector Capacity to which the Participant is entitled and an Interconnector Usage Charge on the basis of the metered units of Energy imported or exported across the </w:t>
            </w:r>
            <w:proofErr w:type="gramStart"/>
            <w:r w:rsidRPr="0040606B">
              <w:rPr>
                <w:lang w:val="en-GB"/>
              </w:rPr>
              <w:t>Interconnector</w:t>
            </w:r>
            <w:proofErr w:type="gramEnd"/>
          </w:p>
          <w:p w14:paraId="7D44023A" w14:textId="77777777" w:rsidR="0040606B" w:rsidRPr="00CD219F" w:rsidRDefault="0040606B" w:rsidP="00C601C8">
            <w:pPr>
              <w:tabs>
                <w:tab w:val="num" w:pos="720"/>
                <w:tab w:val="num" w:pos="1440"/>
              </w:tabs>
              <w:spacing w:line="264" w:lineRule="auto"/>
              <w:rPr>
                <w:rFonts w:cs="Arial"/>
                <w:szCs w:val="20"/>
                <w:lang w:val="en-GB"/>
              </w:rPr>
            </w:pPr>
            <w:r w:rsidRPr="00CD219F">
              <w:rPr>
                <w:rFonts w:cs="Arial"/>
                <w:szCs w:val="20"/>
                <w:lang w:val="en-GB"/>
              </w:rPr>
              <w:t>Indicator</w:t>
            </w:r>
          </w:p>
          <w:p w14:paraId="35165339" w14:textId="77777777" w:rsidR="0040606B" w:rsidRPr="0040606B" w:rsidRDefault="0040606B" w:rsidP="00C601C8">
            <w:pPr>
              <w:pStyle w:val="Bullets1"/>
              <w:rPr>
                <w:b/>
                <w:bCs/>
                <w:lang w:val="en-GB"/>
              </w:rPr>
            </w:pPr>
            <w:r w:rsidRPr="0040606B">
              <w:rPr>
                <w:b/>
                <w:bCs/>
                <w:lang w:val="en-GB"/>
              </w:rPr>
              <w:t>Compliance with the approved Procedures for Interconnector Capacity Allocation</w:t>
            </w:r>
          </w:p>
        </w:tc>
      </w:tr>
      <w:tr w:rsidR="0040606B" w:rsidRPr="00C601C8" w14:paraId="537B5060" w14:textId="77777777" w:rsidTr="00C601C8">
        <w:trPr>
          <w:cantSplit/>
          <w:trHeight w:val="1098"/>
        </w:trPr>
        <w:tc>
          <w:tcPr>
            <w:tcW w:w="1704" w:type="dxa"/>
            <w:vAlign w:val="center"/>
          </w:tcPr>
          <w:p w14:paraId="32966DAD" w14:textId="77777777" w:rsidR="0040606B" w:rsidRPr="00CD219F" w:rsidRDefault="0040606B" w:rsidP="00C601C8">
            <w:pPr>
              <w:rPr>
                <w:rFonts w:cs="Arial"/>
                <w:szCs w:val="20"/>
                <w:lang w:val="en-GB"/>
              </w:rPr>
            </w:pPr>
            <w:r w:rsidRPr="00CD219F">
              <w:rPr>
                <w:rFonts w:cs="Arial"/>
                <w:szCs w:val="20"/>
                <w:lang w:val="en-GB"/>
              </w:rPr>
              <w:t>PSR-12: Generation &amp; Load Nomination</w:t>
            </w:r>
          </w:p>
        </w:tc>
        <w:tc>
          <w:tcPr>
            <w:tcW w:w="12307" w:type="dxa"/>
            <w:vAlign w:val="center"/>
          </w:tcPr>
          <w:p w14:paraId="4FFA46A9" w14:textId="77777777" w:rsidR="0040606B" w:rsidRPr="00CD219F" w:rsidRDefault="0040606B" w:rsidP="00C601C8">
            <w:pPr>
              <w:tabs>
                <w:tab w:val="num" w:pos="720"/>
                <w:tab w:val="num" w:pos="1440"/>
              </w:tabs>
              <w:spacing w:line="264" w:lineRule="auto"/>
              <w:rPr>
                <w:rFonts w:cs="Arial"/>
                <w:szCs w:val="20"/>
                <w:lang w:val="en-GB"/>
              </w:rPr>
            </w:pPr>
            <w:r w:rsidRPr="00CD219F">
              <w:rPr>
                <w:rFonts w:cs="Arial"/>
                <w:szCs w:val="20"/>
                <w:lang w:val="en-GB"/>
              </w:rPr>
              <w:t>Tasks</w:t>
            </w:r>
          </w:p>
          <w:p w14:paraId="4F759FCE" w14:textId="77777777" w:rsidR="0040606B" w:rsidRPr="0040606B" w:rsidRDefault="0040606B" w:rsidP="00C601C8">
            <w:pPr>
              <w:pStyle w:val="Bullets1"/>
              <w:rPr>
                <w:lang w:val="en-GB"/>
              </w:rPr>
            </w:pPr>
            <w:r w:rsidRPr="0040606B">
              <w:rPr>
                <w:lang w:val="en-GB"/>
              </w:rPr>
              <w:t xml:space="preserve">Participants with interconnector capacity entitlement and daily interconnector capacity allocation to submit interconnector Energy Trade Nomination, in respect of their imports or exports of energy, to the SMO, a day-ahead to the dispatch </w:t>
            </w:r>
            <w:proofErr w:type="gramStart"/>
            <w:r w:rsidRPr="0040606B">
              <w:rPr>
                <w:lang w:val="en-GB"/>
              </w:rPr>
              <w:t>day</w:t>
            </w:r>
            <w:proofErr w:type="gramEnd"/>
          </w:p>
          <w:p w14:paraId="6E807694" w14:textId="77777777" w:rsidR="0040606B" w:rsidRPr="0040606B" w:rsidRDefault="0040606B" w:rsidP="00C601C8">
            <w:pPr>
              <w:pStyle w:val="Bullets1"/>
              <w:rPr>
                <w:lang w:val="en-GB"/>
              </w:rPr>
            </w:pPr>
            <w:r w:rsidRPr="0040606B">
              <w:rPr>
                <w:lang w:val="en-GB"/>
              </w:rPr>
              <w:t xml:space="preserve">Participants for the same transactions to submit separate Nominations for imports and experts in the same dispatch </w:t>
            </w:r>
            <w:proofErr w:type="gramStart"/>
            <w:r w:rsidRPr="0040606B">
              <w:rPr>
                <w:lang w:val="en-GB"/>
              </w:rPr>
              <w:t>day</w:t>
            </w:r>
            <w:proofErr w:type="gramEnd"/>
          </w:p>
          <w:p w14:paraId="5151F650" w14:textId="77777777" w:rsidR="0040606B" w:rsidRPr="0040606B" w:rsidRDefault="0040606B" w:rsidP="00C601C8">
            <w:pPr>
              <w:pStyle w:val="Bullets1"/>
              <w:rPr>
                <w:lang w:val="en-GB"/>
              </w:rPr>
            </w:pPr>
            <w:r w:rsidRPr="0040606B">
              <w:rPr>
                <w:lang w:val="en-GB"/>
              </w:rPr>
              <w:t xml:space="preserve">Nomination to identify the Seller and its location in the adjacent Control Area, where Nomination is in respect of </w:t>
            </w:r>
            <w:proofErr w:type="gramStart"/>
            <w:r w:rsidRPr="0040606B">
              <w:rPr>
                <w:lang w:val="en-GB"/>
              </w:rPr>
              <w:t>import</w:t>
            </w:r>
            <w:proofErr w:type="gramEnd"/>
          </w:p>
          <w:p w14:paraId="5063404A" w14:textId="77777777" w:rsidR="0040606B" w:rsidRPr="0040606B" w:rsidRDefault="0040606B" w:rsidP="00C601C8">
            <w:pPr>
              <w:pStyle w:val="Bullets1"/>
              <w:rPr>
                <w:lang w:val="en-GB"/>
              </w:rPr>
            </w:pPr>
            <w:r w:rsidRPr="0040606B">
              <w:rPr>
                <w:lang w:val="en-GB"/>
              </w:rPr>
              <w:t xml:space="preserve">Nomination to identify the Buyer and its location in the adjacent Control Area, where Nomination is made in respect of an </w:t>
            </w:r>
            <w:proofErr w:type="gramStart"/>
            <w:r w:rsidRPr="0040606B">
              <w:rPr>
                <w:lang w:val="en-GB"/>
              </w:rPr>
              <w:t>export</w:t>
            </w:r>
            <w:proofErr w:type="gramEnd"/>
          </w:p>
          <w:p w14:paraId="0AA63FF0" w14:textId="77777777" w:rsidR="0040606B" w:rsidRPr="0040606B" w:rsidRDefault="0040606B" w:rsidP="00C601C8">
            <w:pPr>
              <w:pStyle w:val="Bullets1"/>
              <w:rPr>
                <w:lang w:val="en-GB"/>
              </w:rPr>
            </w:pPr>
            <w:r w:rsidRPr="0040606B">
              <w:rPr>
                <w:lang w:val="en-GB"/>
              </w:rPr>
              <w:t xml:space="preserve">Energy amount nominated not to be greater than total interconnector capacity allocated to the </w:t>
            </w:r>
            <w:proofErr w:type="gramStart"/>
            <w:r w:rsidRPr="0040606B">
              <w:rPr>
                <w:lang w:val="en-GB"/>
              </w:rPr>
              <w:t>participant</w:t>
            </w:r>
            <w:proofErr w:type="gramEnd"/>
          </w:p>
          <w:p w14:paraId="26EF80A1" w14:textId="77777777" w:rsidR="0040606B" w:rsidRPr="00CD219F" w:rsidRDefault="0040606B" w:rsidP="00C601C8">
            <w:pPr>
              <w:tabs>
                <w:tab w:val="num" w:pos="720"/>
                <w:tab w:val="num" w:pos="1440"/>
              </w:tabs>
              <w:spacing w:line="264" w:lineRule="auto"/>
              <w:rPr>
                <w:rFonts w:cs="Arial"/>
                <w:szCs w:val="20"/>
                <w:lang w:val="en-GB"/>
              </w:rPr>
            </w:pPr>
            <w:r w:rsidRPr="00CD219F">
              <w:rPr>
                <w:rFonts w:cs="Arial"/>
                <w:szCs w:val="20"/>
                <w:lang w:val="en-GB"/>
              </w:rPr>
              <w:t>Indicator</w:t>
            </w:r>
          </w:p>
          <w:p w14:paraId="4D265AEF" w14:textId="77777777" w:rsidR="0040606B" w:rsidRPr="0040606B" w:rsidRDefault="0040606B" w:rsidP="00C601C8">
            <w:pPr>
              <w:pStyle w:val="Bullets1"/>
              <w:rPr>
                <w:b/>
                <w:bCs/>
                <w:lang w:val="en-GB"/>
              </w:rPr>
            </w:pPr>
            <w:r w:rsidRPr="0040606B">
              <w:rPr>
                <w:b/>
                <w:bCs/>
                <w:lang w:val="en-GB"/>
              </w:rPr>
              <w:t>Compliance with the approved Procedures for Generation and Load Nomination</w:t>
            </w:r>
          </w:p>
        </w:tc>
      </w:tr>
      <w:tr w:rsidR="0040606B" w:rsidRPr="00C601C8" w14:paraId="28700302" w14:textId="77777777" w:rsidTr="00C601C8">
        <w:trPr>
          <w:cantSplit/>
          <w:trHeight w:val="1098"/>
        </w:trPr>
        <w:tc>
          <w:tcPr>
            <w:tcW w:w="1704" w:type="dxa"/>
            <w:vAlign w:val="center"/>
          </w:tcPr>
          <w:p w14:paraId="3CC74CA4" w14:textId="77777777" w:rsidR="0040606B" w:rsidRPr="00CD219F" w:rsidRDefault="0040606B" w:rsidP="00C601C8">
            <w:pPr>
              <w:rPr>
                <w:rFonts w:cs="Arial"/>
                <w:szCs w:val="20"/>
                <w:lang w:val="en-GB"/>
              </w:rPr>
            </w:pPr>
            <w:r w:rsidRPr="00CD219F">
              <w:rPr>
                <w:rFonts w:cs="Arial"/>
                <w:szCs w:val="20"/>
                <w:lang w:val="en-GB"/>
              </w:rPr>
              <w:lastRenderedPageBreak/>
              <w:t>PSR-13: Protective Relay Coordination</w:t>
            </w:r>
          </w:p>
          <w:p w14:paraId="44D3FA48" w14:textId="77777777" w:rsidR="0040606B" w:rsidRPr="00CD219F" w:rsidRDefault="0040606B" w:rsidP="00C601C8">
            <w:pPr>
              <w:rPr>
                <w:rFonts w:cs="Arial"/>
                <w:szCs w:val="20"/>
                <w:lang w:val="en-GB"/>
              </w:rPr>
            </w:pPr>
            <w:r w:rsidRPr="00CD219F">
              <w:rPr>
                <w:rFonts w:cs="Arial"/>
                <w:szCs w:val="20"/>
                <w:lang w:val="en-GB"/>
              </w:rPr>
              <w:t>(WAPP, OM, P3.5)</w:t>
            </w:r>
          </w:p>
        </w:tc>
        <w:tc>
          <w:tcPr>
            <w:tcW w:w="12307" w:type="dxa"/>
            <w:vAlign w:val="center"/>
          </w:tcPr>
          <w:p w14:paraId="133579AB" w14:textId="77777777" w:rsidR="0040606B" w:rsidRPr="00CD219F" w:rsidRDefault="0040606B" w:rsidP="00C601C8">
            <w:pPr>
              <w:tabs>
                <w:tab w:val="num" w:pos="720"/>
                <w:tab w:val="num" w:pos="1440"/>
              </w:tabs>
              <w:spacing w:line="264" w:lineRule="auto"/>
              <w:rPr>
                <w:rFonts w:cs="Arial"/>
                <w:szCs w:val="20"/>
                <w:lang w:val="en-GB"/>
              </w:rPr>
            </w:pPr>
            <w:r w:rsidRPr="00CD219F">
              <w:rPr>
                <w:rFonts w:cs="Arial"/>
                <w:szCs w:val="20"/>
                <w:lang w:val="en-GB"/>
              </w:rPr>
              <w:t>Tasks</w:t>
            </w:r>
          </w:p>
          <w:p w14:paraId="058962FA" w14:textId="77777777" w:rsidR="0040606B" w:rsidRPr="0040606B" w:rsidRDefault="0040606B" w:rsidP="00C601C8">
            <w:pPr>
              <w:pStyle w:val="Bullets1"/>
              <w:rPr>
                <w:lang w:val="en-GB"/>
              </w:rPr>
            </w:pPr>
            <w:r w:rsidRPr="0040606B">
              <w:rPr>
                <w:lang w:val="en-GB"/>
              </w:rPr>
              <w:t xml:space="preserve">Each power system to implement a protective system to enhance the system reliability in the event of any adverse occurrence on the </w:t>
            </w:r>
            <w:proofErr w:type="gramStart"/>
            <w:r w:rsidRPr="0040606B">
              <w:rPr>
                <w:lang w:val="en-GB"/>
              </w:rPr>
              <w:t>interconnection</w:t>
            </w:r>
            <w:proofErr w:type="gramEnd"/>
          </w:p>
          <w:p w14:paraId="02A6B9BC" w14:textId="77777777" w:rsidR="0040606B" w:rsidRPr="0040606B" w:rsidRDefault="0040606B" w:rsidP="00C601C8">
            <w:pPr>
              <w:pStyle w:val="Bullets1"/>
              <w:rPr>
                <w:lang w:val="en-GB"/>
              </w:rPr>
            </w:pPr>
            <w:r w:rsidRPr="0040606B">
              <w:rPr>
                <w:lang w:val="en-GB"/>
              </w:rPr>
              <w:t>Coordinating all protective systems in the interconnected system</w:t>
            </w:r>
          </w:p>
          <w:p w14:paraId="51301B84" w14:textId="77777777" w:rsidR="0040606B" w:rsidRPr="0040606B" w:rsidRDefault="0040606B" w:rsidP="00C601C8">
            <w:pPr>
              <w:pStyle w:val="Bullets1"/>
              <w:rPr>
                <w:lang w:val="en-GB"/>
              </w:rPr>
            </w:pPr>
            <w:r w:rsidRPr="0040606B">
              <w:rPr>
                <w:lang w:val="en-GB"/>
              </w:rPr>
              <w:t>Supervising the status of protective systems of each power system and notification of all relevant neighbouring parties of every change in status</w:t>
            </w:r>
          </w:p>
          <w:p w14:paraId="3D9C75F7" w14:textId="77777777" w:rsidR="0040606B" w:rsidRPr="0040606B" w:rsidRDefault="0040606B" w:rsidP="00C601C8">
            <w:pPr>
              <w:pStyle w:val="Bullets1"/>
              <w:rPr>
                <w:lang w:val="en-GB"/>
              </w:rPr>
            </w:pPr>
            <w:r w:rsidRPr="0040606B">
              <w:rPr>
                <w:lang w:val="en-GB"/>
              </w:rPr>
              <w:t>Recalibration of each protective device at least once in a year</w:t>
            </w:r>
          </w:p>
          <w:p w14:paraId="36665B80" w14:textId="77777777" w:rsidR="0040606B" w:rsidRPr="0040606B" w:rsidRDefault="0040606B" w:rsidP="00C601C8">
            <w:pPr>
              <w:pStyle w:val="Bullets1"/>
              <w:rPr>
                <w:lang w:val="en-GB"/>
              </w:rPr>
            </w:pPr>
            <w:r w:rsidRPr="0040606B">
              <w:rPr>
                <w:lang w:val="en-GB"/>
              </w:rPr>
              <w:t>Reviewing the protection setting when required</w:t>
            </w:r>
          </w:p>
          <w:p w14:paraId="0FD0FE04" w14:textId="77777777" w:rsidR="0040606B" w:rsidRPr="0040606B" w:rsidRDefault="0040606B" w:rsidP="00C601C8">
            <w:pPr>
              <w:pStyle w:val="Bullets1"/>
              <w:rPr>
                <w:lang w:val="en-GB"/>
              </w:rPr>
            </w:pPr>
            <w:r w:rsidRPr="0040606B">
              <w:rPr>
                <w:lang w:val="en-GB"/>
              </w:rPr>
              <w:t>Investigating improper operation of a protective device and rectifying promptly</w:t>
            </w:r>
          </w:p>
          <w:p w14:paraId="5FADA1FD" w14:textId="77777777" w:rsidR="0040606B" w:rsidRPr="0040606B" w:rsidRDefault="0040606B" w:rsidP="00C601C8">
            <w:pPr>
              <w:pStyle w:val="Bullets1"/>
              <w:rPr>
                <w:lang w:val="en-GB"/>
              </w:rPr>
            </w:pPr>
            <w:r w:rsidRPr="0040606B">
              <w:rPr>
                <w:lang w:val="en-GB"/>
              </w:rPr>
              <w:t xml:space="preserve">Advance notification of neighbouring systems of changes in generating sources, transmission, load, or operating conditions that may require changes in their protection </w:t>
            </w:r>
            <w:proofErr w:type="gramStart"/>
            <w:r w:rsidRPr="0040606B">
              <w:rPr>
                <w:lang w:val="en-GB"/>
              </w:rPr>
              <w:t>systems</w:t>
            </w:r>
            <w:proofErr w:type="gramEnd"/>
          </w:p>
          <w:p w14:paraId="232C4C24" w14:textId="77777777" w:rsidR="0040606B" w:rsidRPr="00CD219F" w:rsidRDefault="0040606B" w:rsidP="00C601C8">
            <w:pPr>
              <w:tabs>
                <w:tab w:val="num" w:pos="720"/>
                <w:tab w:val="num" w:pos="1440"/>
              </w:tabs>
              <w:spacing w:line="264" w:lineRule="auto"/>
              <w:rPr>
                <w:rFonts w:cs="Arial"/>
                <w:szCs w:val="20"/>
                <w:lang w:val="en-GB"/>
              </w:rPr>
            </w:pPr>
            <w:r w:rsidRPr="00CD219F">
              <w:rPr>
                <w:rFonts w:cs="Arial"/>
                <w:szCs w:val="20"/>
                <w:lang w:val="en-GB"/>
              </w:rPr>
              <w:t>Indicator</w:t>
            </w:r>
          </w:p>
          <w:p w14:paraId="7571C3C3" w14:textId="77777777" w:rsidR="0040606B" w:rsidRPr="0040606B" w:rsidRDefault="0040606B" w:rsidP="00C601C8">
            <w:pPr>
              <w:pStyle w:val="Bullets1"/>
              <w:rPr>
                <w:b/>
                <w:bCs/>
                <w:lang w:val="en-GB"/>
              </w:rPr>
            </w:pPr>
            <w:r w:rsidRPr="0040606B">
              <w:rPr>
                <w:b/>
                <w:bCs/>
                <w:lang w:val="en-GB"/>
              </w:rPr>
              <w:t>Compliance with approved protection procedures for Protective Relay Coordination</w:t>
            </w:r>
          </w:p>
        </w:tc>
      </w:tr>
      <w:tr w:rsidR="0040606B" w:rsidRPr="00C601C8" w14:paraId="2CCFC619" w14:textId="77777777" w:rsidTr="00C601C8">
        <w:trPr>
          <w:cantSplit/>
          <w:trHeight w:val="1098"/>
        </w:trPr>
        <w:tc>
          <w:tcPr>
            <w:tcW w:w="1704" w:type="dxa"/>
            <w:vAlign w:val="center"/>
          </w:tcPr>
          <w:p w14:paraId="6C301E3E" w14:textId="77777777" w:rsidR="0040606B" w:rsidRPr="00CD219F" w:rsidRDefault="0040606B" w:rsidP="00C601C8">
            <w:pPr>
              <w:rPr>
                <w:rFonts w:cs="Arial"/>
                <w:szCs w:val="20"/>
                <w:lang w:val="en-GB"/>
              </w:rPr>
            </w:pPr>
            <w:r w:rsidRPr="00CD219F">
              <w:rPr>
                <w:rFonts w:cs="Arial"/>
                <w:szCs w:val="20"/>
                <w:lang w:val="en-GB"/>
              </w:rPr>
              <w:t xml:space="preserve">PSR-14: Reactive Supply and voltage Control on Tie-lines </w:t>
            </w:r>
          </w:p>
          <w:p w14:paraId="0D052B69" w14:textId="77777777" w:rsidR="0040606B" w:rsidRPr="00CD219F" w:rsidRDefault="0040606B" w:rsidP="00C601C8">
            <w:pPr>
              <w:rPr>
                <w:rFonts w:cs="Arial"/>
                <w:szCs w:val="20"/>
                <w:lang w:val="en-GB"/>
              </w:rPr>
            </w:pPr>
            <w:r w:rsidRPr="00CD219F">
              <w:rPr>
                <w:rFonts w:cs="Arial"/>
                <w:szCs w:val="20"/>
                <w:lang w:val="en-GB"/>
              </w:rPr>
              <w:t>(WAPP OM, P3.6)</w:t>
            </w:r>
          </w:p>
        </w:tc>
        <w:tc>
          <w:tcPr>
            <w:tcW w:w="12307" w:type="dxa"/>
            <w:vAlign w:val="center"/>
          </w:tcPr>
          <w:p w14:paraId="1A5F0A6D" w14:textId="77777777" w:rsidR="0040606B" w:rsidRPr="00CD219F" w:rsidRDefault="0040606B" w:rsidP="00C601C8">
            <w:pPr>
              <w:tabs>
                <w:tab w:val="num" w:pos="720"/>
                <w:tab w:val="num" w:pos="1440"/>
              </w:tabs>
              <w:spacing w:line="264" w:lineRule="auto"/>
              <w:rPr>
                <w:rFonts w:cs="Arial"/>
                <w:szCs w:val="20"/>
                <w:lang w:val="en-GB"/>
              </w:rPr>
            </w:pPr>
            <w:r w:rsidRPr="00CD219F">
              <w:rPr>
                <w:rFonts w:cs="Arial"/>
                <w:szCs w:val="20"/>
                <w:lang w:val="en-GB"/>
              </w:rPr>
              <w:t>Tasks</w:t>
            </w:r>
          </w:p>
          <w:p w14:paraId="4B1FC2AD" w14:textId="77777777" w:rsidR="0040606B" w:rsidRPr="0040606B" w:rsidRDefault="0040606B" w:rsidP="00C601C8">
            <w:pPr>
              <w:pStyle w:val="Bullets1"/>
              <w:rPr>
                <w:lang w:val="en-GB"/>
              </w:rPr>
            </w:pPr>
            <w:r w:rsidRPr="0040606B">
              <w:rPr>
                <w:lang w:val="en-GB"/>
              </w:rPr>
              <w:t xml:space="preserve">Each Control Area Operator to operate its reactive resources to maintain voltages within established </w:t>
            </w:r>
            <w:proofErr w:type="gramStart"/>
            <w:r w:rsidRPr="0040606B">
              <w:rPr>
                <w:lang w:val="en-GB"/>
              </w:rPr>
              <w:t>limits</w:t>
            </w:r>
            <w:proofErr w:type="gramEnd"/>
          </w:p>
          <w:p w14:paraId="1C7C40D7" w14:textId="77777777" w:rsidR="0040606B" w:rsidRPr="0040606B" w:rsidRDefault="0040606B" w:rsidP="00C601C8">
            <w:pPr>
              <w:pStyle w:val="Bullets1"/>
              <w:rPr>
                <w:lang w:val="en-GB"/>
              </w:rPr>
            </w:pPr>
            <w:r w:rsidRPr="0040606B">
              <w:rPr>
                <w:lang w:val="en-GB"/>
              </w:rPr>
              <w:t xml:space="preserve">Limit voltage drop on tie-lines by maintaining reactive power flows at a minimum </w:t>
            </w:r>
            <w:proofErr w:type="gramStart"/>
            <w:r w:rsidRPr="0040606B">
              <w:rPr>
                <w:lang w:val="en-GB"/>
              </w:rPr>
              <w:t>level</w:t>
            </w:r>
            <w:proofErr w:type="gramEnd"/>
            <w:r w:rsidRPr="0040606B">
              <w:rPr>
                <w:lang w:val="en-GB"/>
              </w:rPr>
              <w:t xml:space="preserve"> </w:t>
            </w:r>
          </w:p>
          <w:p w14:paraId="65D03159" w14:textId="77777777" w:rsidR="0040606B" w:rsidRPr="0040606B" w:rsidRDefault="0040606B" w:rsidP="00C601C8">
            <w:pPr>
              <w:pStyle w:val="Bullets1"/>
              <w:rPr>
                <w:lang w:val="en-GB"/>
              </w:rPr>
            </w:pPr>
            <w:r w:rsidRPr="0040606B">
              <w:rPr>
                <w:lang w:val="en-GB"/>
              </w:rPr>
              <w:t xml:space="preserve">Allocate total transfer capacity of the tie-lines mainly to active </w:t>
            </w:r>
            <w:proofErr w:type="gramStart"/>
            <w:r w:rsidRPr="0040606B">
              <w:rPr>
                <w:lang w:val="en-GB"/>
              </w:rPr>
              <w:t>power</w:t>
            </w:r>
            <w:proofErr w:type="gramEnd"/>
          </w:p>
          <w:p w14:paraId="7F021AD7" w14:textId="77777777" w:rsidR="0040606B" w:rsidRPr="0040606B" w:rsidRDefault="0040606B" w:rsidP="00C601C8">
            <w:pPr>
              <w:pStyle w:val="Bullets1"/>
              <w:rPr>
                <w:lang w:val="en-GB"/>
              </w:rPr>
            </w:pPr>
            <w:r w:rsidRPr="0040606B">
              <w:rPr>
                <w:lang w:val="en-GB"/>
              </w:rPr>
              <w:t xml:space="preserve">Maintain voltage difference between the two ends of the tie-line at a minimum, as much as </w:t>
            </w:r>
            <w:proofErr w:type="gramStart"/>
            <w:r w:rsidRPr="0040606B">
              <w:rPr>
                <w:lang w:val="en-GB"/>
              </w:rPr>
              <w:t>possible</w:t>
            </w:r>
            <w:proofErr w:type="gramEnd"/>
          </w:p>
          <w:p w14:paraId="0ECC9F72" w14:textId="77777777" w:rsidR="0040606B" w:rsidRPr="0040606B" w:rsidRDefault="0040606B" w:rsidP="00C601C8">
            <w:pPr>
              <w:pStyle w:val="Bullets1"/>
              <w:rPr>
                <w:lang w:val="en-GB"/>
              </w:rPr>
            </w:pPr>
            <w:r w:rsidRPr="0040606B">
              <w:rPr>
                <w:lang w:val="en-GB"/>
              </w:rPr>
              <w:t>Make specific bilateral agreement to transfer reactive power through tie-lines if reactive power cannot be produced or absorbed in a Control Area</w:t>
            </w:r>
          </w:p>
          <w:p w14:paraId="5B0D9D46" w14:textId="77777777" w:rsidR="0040606B" w:rsidRPr="0040606B" w:rsidRDefault="0040606B" w:rsidP="00C601C8">
            <w:pPr>
              <w:pStyle w:val="Bullets1"/>
              <w:rPr>
                <w:lang w:val="en-GB"/>
              </w:rPr>
            </w:pPr>
            <w:r w:rsidRPr="0040606B">
              <w:rPr>
                <w:lang w:val="en-GB"/>
              </w:rPr>
              <w:t xml:space="preserve">Implement reactive generation scheduling, transmission line and reactive resource switching and load shedding to maintain appropriate voltage </w:t>
            </w:r>
            <w:proofErr w:type="gramStart"/>
            <w:r w:rsidRPr="0040606B">
              <w:rPr>
                <w:lang w:val="en-GB"/>
              </w:rPr>
              <w:t>levels</w:t>
            </w:r>
            <w:proofErr w:type="gramEnd"/>
          </w:p>
          <w:p w14:paraId="34575D7F" w14:textId="77777777" w:rsidR="0040606B" w:rsidRPr="00CD219F" w:rsidRDefault="0040606B" w:rsidP="00C601C8">
            <w:pPr>
              <w:tabs>
                <w:tab w:val="num" w:pos="720"/>
                <w:tab w:val="num" w:pos="1440"/>
              </w:tabs>
              <w:spacing w:line="264" w:lineRule="auto"/>
              <w:rPr>
                <w:rFonts w:cs="Arial"/>
                <w:szCs w:val="20"/>
                <w:lang w:val="en-GB"/>
              </w:rPr>
            </w:pPr>
            <w:r w:rsidRPr="00CD219F">
              <w:rPr>
                <w:rFonts w:cs="Arial"/>
                <w:szCs w:val="20"/>
                <w:lang w:val="en-GB"/>
              </w:rPr>
              <w:t>Indicator</w:t>
            </w:r>
          </w:p>
          <w:p w14:paraId="16AAAD87" w14:textId="77777777" w:rsidR="0040606B" w:rsidRPr="0040606B" w:rsidRDefault="0040606B" w:rsidP="00C601C8">
            <w:pPr>
              <w:pStyle w:val="Bullets1"/>
              <w:rPr>
                <w:b/>
                <w:bCs/>
                <w:lang w:val="en-GB"/>
              </w:rPr>
            </w:pPr>
            <w:r w:rsidRPr="0040606B">
              <w:rPr>
                <w:b/>
                <w:bCs/>
                <w:lang w:val="en-GB"/>
              </w:rPr>
              <w:t>Compliance with approved Voltage Control Procedures for Reactive Supply and Voltage Control on the Tie-lines.</w:t>
            </w:r>
          </w:p>
        </w:tc>
      </w:tr>
      <w:tr w:rsidR="0040606B" w:rsidRPr="00C601C8" w14:paraId="0BE889D3" w14:textId="77777777" w:rsidTr="00C601C8">
        <w:trPr>
          <w:cantSplit/>
          <w:trHeight w:val="1098"/>
        </w:trPr>
        <w:tc>
          <w:tcPr>
            <w:tcW w:w="1704" w:type="dxa"/>
            <w:vAlign w:val="center"/>
          </w:tcPr>
          <w:p w14:paraId="39EF6D72" w14:textId="77777777" w:rsidR="0040606B" w:rsidRPr="00CD219F" w:rsidRDefault="0040606B" w:rsidP="00C601C8">
            <w:pPr>
              <w:rPr>
                <w:rFonts w:cs="Arial"/>
                <w:szCs w:val="20"/>
                <w:lang w:val="en-GB"/>
              </w:rPr>
            </w:pPr>
            <w:r w:rsidRPr="00CD219F">
              <w:rPr>
                <w:rFonts w:cs="Arial"/>
                <w:szCs w:val="20"/>
                <w:lang w:val="en-GB"/>
              </w:rPr>
              <w:lastRenderedPageBreak/>
              <w:t xml:space="preserve">PSR-15: Coordination of </w:t>
            </w:r>
            <w:proofErr w:type="gramStart"/>
            <w:r w:rsidRPr="00CD219F">
              <w:rPr>
                <w:rFonts w:cs="Arial"/>
                <w:szCs w:val="20"/>
                <w:lang w:val="en-GB"/>
              </w:rPr>
              <w:t>Maintenance  Scheduling</w:t>
            </w:r>
            <w:proofErr w:type="gramEnd"/>
          </w:p>
          <w:p w14:paraId="31468961" w14:textId="77777777" w:rsidR="0040606B" w:rsidRPr="00CD219F" w:rsidRDefault="0040606B" w:rsidP="00C601C8">
            <w:pPr>
              <w:rPr>
                <w:rFonts w:cs="Arial"/>
                <w:szCs w:val="20"/>
                <w:lang w:val="en-GB"/>
              </w:rPr>
            </w:pPr>
            <w:r w:rsidRPr="00CD219F">
              <w:rPr>
                <w:rFonts w:cs="Arial"/>
                <w:szCs w:val="20"/>
                <w:lang w:val="en-GB"/>
              </w:rPr>
              <w:t>(WAPP, OM, P4.3)</w:t>
            </w:r>
          </w:p>
        </w:tc>
        <w:tc>
          <w:tcPr>
            <w:tcW w:w="12307" w:type="dxa"/>
            <w:vAlign w:val="center"/>
          </w:tcPr>
          <w:p w14:paraId="7A111558" w14:textId="77777777" w:rsidR="0040606B" w:rsidRPr="00CD219F" w:rsidRDefault="0040606B" w:rsidP="00C601C8">
            <w:pPr>
              <w:tabs>
                <w:tab w:val="num" w:pos="720"/>
                <w:tab w:val="num" w:pos="1440"/>
              </w:tabs>
              <w:spacing w:line="264" w:lineRule="auto"/>
              <w:rPr>
                <w:rFonts w:cs="Arial"/>
                <w:szCs w:val="20"/>
                <w:lang w:val="en-GB"/>
              </w:rPr>
            </w:pPr>
            <w:r w:rsidRPr="00CD219F">
              <w:rPr>
                <w:rFonts w:cs="Arial"/>
                <w:szCs w:val="20"/>
                <w:lang w:val="en-GB"/>
              </w:rPr>
              <w:t>Tasks</w:t>
            </w:r>
          </w:p>
          <w:p w14:paraId="7C6CB944" w14:textId="77777777" w:rsidR="0040606B" w:rsidRPr="0040606B" w:rsidRDefault="0040606B" w:rsidP="00C601C8">
            <w:pPr>
              <w:pStyle w:val="Bullets1"/>
              <w:rPr>
                <w:lang w:val="en-GB"/>
              </w:rPr>
            </w:pPr>
            <w:r w:rsidRPr="0040606B">
              <w:rPr>
                <w:lang w:val="en-GB"/>
              </w:rPr>
              <w:t xml:space="preserve">WAPP interconnected Power Systems mutually agree on the most suitable schedule for maintenance work on tie-lines, generating units and facilities having impact on the interconnected power </w:t>
            </w:r>
            <w:proofErr w:type="gramStart"/>
            <w:r w:rsidRPr="0040606B">
              <w:rPr>
                <w:lang w:val="en-GB"/>
              </w:rPr>
              <w:t>system</w:t>
            </w:r>
            <w:proofErr w:type="gramEnd"/>
          </w:p>
          <w:p w14:paraId="720C5FE9" w14:textId="77777777" w:rsidR="0040606B" w:rsidRPr="0040606B" w:rsidRDefault="0040606B" w:rsidP="00C601C8">
            <w:pPr>
              <w:pStyle w:val="Bullets1"/>
              <w:rPr>
                <w:lang w:val="en-GB"/>
              </w:rPr>
            </w:pPr>
            <w:r w:rsidRPr="0040606B">
              <w:rPr>
                <w:lang w:val="en-GB"/>
              </w:rPr>
              <w:t xml:space="preserve">When maintenance schedules are defined and agreed upon between WAPP interconnected Power Systems, each shall confirm weekly (and daily in case of changes) the outages of important power plants and transmission lines to affected neighbouring Power Systems. </w:t>
            </w:r>
          </w:p>
          <w:p w14:paraId="5FC8515F" w14:textId="77777777" w:rsidR="0040606B" w:rsidRPr="0040606B" w:rsidRDefault="0040606B" w:rsidP="00C601C8">
            <w:pPr>
              <w:pStyle w:val="Bullets1"/>
              <w:rPr>
                <w:lang w:val="en-GB"/>
              </w:rPr>
            </w:pPr>
            <w:r w:rsidRPr="0040606B">
              <w:rPr>
                <w:lang w:val="en-GB"/>
              </w:rPr>
              <w:t xml:space="preserve">Scheduled generating unit outages that may affect the reliability of interconnected power systems </w:t>
            </w:r>
            <w:proofErr w:type="gramStart"/>
            <w:r w:rsidRPr="0040606B">
              <w:rPr>
                <w:lang w:val="en-GB"/>
              </w:rPr>
              <w:t>to  be</w:t>
            </w:r>
            <w:proofErr w:type="gramEnd"/>
            <w:r w:rsidRPr="0040606B">
              <w:rPr>
                <w:lang w:val="en-GB"/>
              </w:rPr>
              <w:t xml:space="preserve"> planned and coordinated among the WAPP interconnected Power Systems of affected Control Areas</w:t>
            </w:r>
          </w:p>
          <w:p w14:paraId="22E6A0BA" w14:textId="77777777" w:rsidR="0040606B" w:rsidRPr="0040606B" w:rsidRDefault="0040606B" w:rsidP="00C601C8">
            <w:pPr>
              <w:pStyle w:val="Bullets1"/>
              <w:rPr>
                <w:lang w:val="en-GB"/>
              </w:rPr>
            </w:pPr>
            <w:r w:rsidRPr="0040606B">
              <w:rPr>
                <w:lang w:val="en-GB"/>
              </w:rPr>
              <w:t>Each WAPP interconnected Power System collect relevant information on scheduled outages of power plants and transmit it to neighbouring WAPP interconnected Power Systems.</w:t>
            </w:r>
          </w:p>
          <w:p w14:paraId="04B0B2AD" w14:textId="77777777" w:rsidR="0040606B" w:rsidRPr="0040606B" w:rsidRDefault="0040606B" w:rsidP="00C601C8">
            <w:pPr>
              <w:pStyle w:val="Bullets1"/>
              <w:rPr>
                <w:lang w:val="en-GB"/>
              </w:rPr>
            </w:pPr>
            <w:r w:rsidRPr="0040606B">
              <w:rPr>
                <w:lang w:val="en-GB"/>
              </w:rPr>
              <w:t>Routine maintenance of telemetering, control equipment and associated communication channels also to be coordinated between the WAPP interconnected Power Systems.</w:t>
            </w:r>
          </w:p>
          <w:p w14:paraId="09C345AE" w14:textId="77777777" w:rsidR="0040606B" w:rsidRPr="00CD219F" w:rsidRDefault="0040606B" w:rsidP="00C601C8">
            <w:pPr>
              <w:tabs>
                <w:tab w:val="num" w:pos="720"/>
                <w:tab w:val="num" w:pos="1440"/>
              </w:tabs>
              <w:spacing w:line="264" w:lineRule="auto"/>
              <w:rPr>
                <w:rFonts w:cs="Arial"/>
                <w:szCs w:val="20"/>
                <w:lang w:val="en-GB"/>
              </w:rPr>
            </w:pPr>
            <w:r w:rsidRPr="00CD219F">
              <w:rPr>
                <w:rFonts w:cs="Arial"/>
                <w:szCs w:val="20"/>
                <w:lang w:val="en-GB"/>
              </w:rPr>
              <w:t>Indicator</w:t>
            </w:r>
          </w:p>
          <w:p w14:paraId="2354EBD8" w14:textId="77777777" w:rsidR="0040606B" w:rsidRPr="0040606B" w:rsidRDefault="0040606B" w:rsidP="00C601C8">
            <w:pPr>
              <w:pStyle w:val="Bullets1"/>
              <w:rPr>
                <w:b/>
                <w:bCs/>
                <w:lang w:val="en-GB"/>
              </w:rPr>
            </w:pPr>
            <w:r w:rsidRPr="0040606B">
              <w:rPr>
                <w:b/>
                <w:bCs/>
                <w:lang w:val="en-GB"/>
              </w:rPr>
              <w:t>Compliance with approved Maintenance Procedures for coordinating Maintenance Schedules.</w:t>
            </w:r>
          </w:p>
        </w:tc>
      </w:tr>
      <w:tr w:rsidR="0040606B" w:rsidRPr="00C601C8" w14:paraId="6D623767" w14:textId="77777777" w:rsidTr="00C601C8">
        <w:trPr>
          <w:cantSplit/>
          <w:trHeight w:val="1098"/>
        </w:trPr>
        <w:tc>
          <w:tcPr>
            <w:tcW w:w="1704" w:type="dxa"/>
            <w:vAlign w:val="center"/>
          </w:tcPr>
          <w:p w14:paraId="72FC1AA6" w14:textId="77777777" w:rsidR="0040606B" w:rsidRPr="00CD219F" w:rsidRDefault="0040606B" w:rsidP="00C601C8">
            <w:pPr>
              <w:rPr>
                <w:rFonts w:cs="Arial"/>
                <w:szCs w:val="20"/>
                <w:lang w:val="en-GB"/>
              </w:rPr>
            </w:pPr>
            <w:r w:rsidRPr="00CD219F">
              <w:rPr>
                <w:rFonts w:cs="Arial"/>
                <w:szCs w:val="20"/>
                <w:lang w:val="en-GB"/>
              </w:rPr>
              <w:t>PSR-16: System Restoration</w:t>
            </w:r>
          </w:p>
          <w:p w14:paraId="4C973895" w14:textId="77777777" w:rsidR="0040606B" w:rsidRPr="00CD219F" w:rsidRDefault="0040606B" w:rsidP="00C601C8">
            <w:pPr>
              <w:rPr>
                <w:rFonts w:cs="Arial"/>
                <w:szCs w:val="20"/>
                <w:lang w:val="en-GB"/>
              </w:rPr>
            </w:pPr>
            <w:r w:rsidRPr="00CD219F">
              <w:rPr>
                <w:rFonts w:cs="Arial"/>
                <w:szCs w:val="20"/>
                <w:lang w:val="en-GB"/>
              </w:rPr>
              <w:t>(WAPP OM, P 5.3)</w:t>
            </w:r>
          </w:p>
        </w:tc>
        <w:tc>
          <w:tcPr>
            <w:tcW w:w="12307" w:type="dxa"/>
            <w:vAlign w:val="center"/>
          </w:tcPr>
          <w:p w14:paraId="606283B8" w14:textId="77777777" w:rsidR="0040606B" w:rsidRPr="00CD219F" w:rsidRDefault="0040606B" w:rsidP="00C601C8">
            <w:pPr>
              <w:tabs>
                <w:tab w:val="num" w:pos="720"/>
                <w:tab w:val="num" w:pos="1440"/>
              </w:tabs>
              <w:spacing w:line="264" w:lineRule="auto"/>
              <w:rPr>
                <w:rFonts w:cs="Arial"/>
                <w:szCs w:val="20"/>
                <w:lang w:val="en-GB"/>
              </w:rPr>
            </w:pPr>
            <w:r w:rsidRPr="00CD219F">
              <w:rPr>
                <w:rFonts w:cs="Arial"/>
                <w:szCs w:val="20"/>
                <w:lang w:val="en-GB"/>
              </w:rPr>
              <w:t>Tasks</w:t>
            </w:r>
          </w:p>
          <w:p w14:paraId="3E6410A5" w14:textId="77777777" w:rsidR="0040606B" w:rsidRPr="0040606B" w:rsidRDefault="0040606B" w:rsidP="00C601C8">
            <w:pPr>
              <w:pStyle w:val="Bullets1"/>
              <w:rPr>
                <w:lang w:val="en-GB"/>
              </w:rPr>
            </w:pPr>
            <w:r w:rsidRPr="0040606B">
              <w:rPr>
                <w:lang w:val="en-GB"/>
              </w:rPr>
              <w:t xml:space="preserve">Restoration of system to normal operation after a system-wide collapse is to be realized as fast as possible in line with the approved </w:t>
            </w:r>
            <w:proofErr w:type="gramStart"/>
            <w:r w:rsidRPr="0040606B">
              <w:rPr>
                <w:lang w:val="en-GB"/>
              </w:rPr>
              <w:t>procedures</w:t>
            </w:r>
            <w:proofErr w:type="gramEnd"/>
          </w:p>
          <w:p w14:paraId="1FDF6BE0" w14:textId="77777777" w:rsidR="0040606B" w:rsidRPr="0040606B" w:rsidRDefault="0040606B" w:rsidP="00C601C8">
            <w:pPr>
              <w:pStyle w:val="Bullets1"/>
              <w:rPr>
                <w:lang w:val="en-GB"/>
              </w:rPr>
            </w:pPr>
            <w:r w:rsidRPr="0040606B">
              <w:rPr>
                <w:lang w:val="en-GB"/>
              </w:rPr>
              <w:t xml:space="preserve">Each Control Area to develop and periodically update a plan to restore its power system to normal conditions in the event of any </w:t>
            </w:r>
            <w:proofErr w:type="gramStart"/>
            <w:r w:rsidRPr="0040606B">
              <w:rPr>
                <w:lang w:val="en-GB"/>
              </w:rPr>
              <w:t>collapse</w:t>
            </w:r>
            <w:proofErr w:type="gramEnd"/>
          </w:p>
          <w:p w14:paraId="593A335C" w14:textId="77777777" w:rsidR="0040606B" w:rsidRPr="0040606B" w:rsidRDefault="0040606B" w:rsidP="00C601C8">
            <w:pPr>
              <w:pStyle w:val="Bullets1"/>
              <w:rPr>
                <w:lang w:val="en-GB"/>
              </w:rPr>
            </w:pPr>
            <w:r w:rsidRPr="0040606B">
              <w:rPr>
                <w:lang w:val="en-GB"/>
              </w:rPr>
              <w:t xml:space="preserve">Such plans to be coordinated with neighbouring systems to ensure effective restoration of the WAPP </w:t>
            </w:r>
            <w:proofErr w:type="gramStart"/>
            <w:r w:rsidRPr="0040606B">
              <w:rPr>
                <w:lang w:val="en-GB"/>
              </w:rPr>
              <w:t>system</w:t>
            </w:r>
            <w:proofErr w:type="gramEnd"/>
          </w:p>
          <w:p w14:paraId="28D13919" w14:textId="77777777" w:rsidR="0040606B" w:rsidRPr="0040606B" w:rsidRDefault="0040606B" w:rsidP="00C601C8">
            <w:pPr>
              <w:pStyle w:val="Bullets1"/>
              <w:rPr>
                <w:lang w:val="en-GB"/>
              </w:rPr>
            </w:pPr>
            <w:r w:rsidRPr="0040606B">
              <w:rPr>
                <w:lang w:val="en-GB"/>
              </w:rPr>
              <w:t xml:space="preserve">Such plans to include restoration of supply to plant auxiliaries from generating sources with black start </w:t>
            </w:r>
            <w:proofErr w:type="gramStart"/>
            <w:r w:rsidRPr="0040606B">
              <w:rPr>
                <w:lang w:val="en-GB"/>
              </w:rPr>
              <w:t>capability</w:t>
            </w:r>
            <w:proofErr w:type="gramEnd"/>
          </w:p>
          <w:p w14:paraId="7D884467" w14:textId="77777777" w:rsidR="0040606B" w:rsidRPr="0040606B" w:rsidRDefault="0040606B" w:rsidP="00C601C8">
            <w:pPr>
              <w:pStyle w:val="Bullets1"/>
              <w:rPr>
                <w:lang w:val="en-GB"/>
              </w:rPr>
            </w:pPr>
            <w:r w:rsidRPr="0040606B">
              <w:rPr>
                <w:lang w:val="en-GB"/>
              </w:rPr>
              <w:t xml:space="preserve">Different parts of the WAPP interconnected system to be synchronized after restoration of frequency and voltage levels in each </w:t>
            </w:r>
            <w:proofErr w:type="gramStart"/>
            <w:r w:rsidRPr="0040606B">
              <w:rPr>
                <w:lang w:val="en-GB"/>
              </w:rPr>
              <w:t>part</w:t>
            </w:r>
            <w:proofErr w:type="gramEnd"/>
          </w:p>
          <w:p w14:paraId="6FB518D4" w14:textId="77777777" w:rsidR="0040606B" w:rsidRPr="00CD219F" w:rsidRDefault="0040606B" w:rsidP="00C601C8">
            <w:pPr>
              <w:tabs>
                <w:tab w:val="num" w:pos="720"/>
                <w:tab w:val="num" w:pos="1440"/>
              </w:tabs>
              <w:spacing w:line="264" w:lineRule="auto"/>
              <w:rPr>
                <w:rFonts w:cs="Arial"/>
                <w:szCs w:val="20"/>
                <w:lang w:val="en-GB"/>
              </w:rPr>
            </w:pPr>
            <w:r w:rsidRPr="00CD219F">
              <w:rPr>
                <w:rFonts w:cs="Arial"/>
                <w:szCs w:val="20"/>
                <w:lang w:val="en-GB"/>
              </w:rPr>
              <w:t>Indicator</w:t>
            </w:r>
          </w:p>
          <w:p w14:paraId="11866F22" w14:textId="77777777" w:rsidR="0040606B" w:rsidRPr="00CD219F" w:rsidRDefault="0040606B" w:rsidP="0040606B">
            <w:pPr>
              <w:numPr>
                <w:ilvl w:val="0"/>
                <w:numId w:val="2"/>
              </w:numPr>
              <w:tabs>
                <w:tab w:val="num" w:pos="720"/>
                <w:tab w:val="num" w:pos="1440"/>
              </w:tabs>
              <w:spacing w:before="120" w:after="120" w:line="264" w:lineRule="auto"/>
              <w:jc w:val="both"/>
              <w:rPr>
                <w:rFonts w:cs="Arial"/>
                <w:b/>
                <w:bCs/>
                <w:szCs w:val="20"/>
                <w:lang w:val="en-GB"/>
              </w:rPr>
            </w:pPr>
            <w:r w:rsidRPr="00CD219F">
              <w:rPr>
                <w:rFonts w:cs="Arial"/>
                <w:b/>
                <w:bCs/>
                <w:szCs w:val="20"/>
                <w:lang w:val="en-GB"/>
              </w:rPr>
              <w:t>Compliance with the approved System Restoration Procedures.</w:t>
            </w:r>
          </w:p>
        </w:tc>
      </w:tr>
      <w:tr w:rsidR="0040606B" w:rsidRPr="00C601C8" w14:paraId="009532B7" w14:textId="77777777" w:rsidTr="00C601C8">
        <w:trPr>
          <w:cantSplit/>
          <w:trHeight w:val="1098"/>
        </w:trPr>
        <w:tc>
          <w:tcPr>
            <w:tcW w:w="1704" w:type="dxa"/>
            <w:vAlign w:val="center"/>
          </w:tcPr>
          <w:p w14:paraId="6BF45244" w14:textId="77777777" w:rsidR="0040606B" w:rsidRPr="00CD219F" w:rsidRDefault="0040606B" w:rsidP="00C601C8">
            <w:pPr>
              <w:rPr>
                <w:rFonts w:cs="Arial"/>
                <w:szCs w:val="20"/>
                <w:lang w:val="en-GB"/>
              </w:rPr>
            </w:pPr>
            <w:r w:rsidRPr="00CD219F">
              <w:rPr>
                <w:rFonts w:cs="Arial"/>
                <w:szCs w:val="20"/>
                <w:lang w:val="en-GB"/>
              </w:rPr>
              <w:lastRenderedPageBreak/>
              <w:t>PSR-17:  Transmission Service</w:t>
            </w:r>
          </w:p>
          <w:p w14:paraId="1704F19E" w14:textId="77777777" w:rsidR="0040606B" w:rsidRPr="00CD219F" w:rsidRDefault="0040606B" w:rsidP="00C601C8">
            <w:pPr>
              <w:rPr>
                <w:rFonts w:cs="Arial"/>
                <w:szCs w:val="20"/>
                <w:lang w:val="en-GB"/>
              </w:rPr>
            </w:pPr>
            <w:r w:rsidRPr="00CD219F">
              <w:rPr>
                <w:rFonts w:cs="Arial"/>
                <w:szCs w:val="20"/>
                <w:lang w:val="en-GB"/>
              </w:rPr>
              <w:t>(WTSAUP, Art. 13)</w:t>
            </w:r>
          </w:p>
        </w:tc>
        <w:tc>
          <w:tcPr>
            <w:tcW w:w="12307" w:type="dxa"/>
            <w:vAlign w:val="center"/>
          </w:tcPr>
          <w:p w14:paraId="33B5F811" w14:textId="77777777" w:rsidR="0040606B" w:rsidRPr="00CD219F" w:rsidRDefault="0040606B" w:rsidP="00C601C8">
            <w:pPr>
              <w:tabs>
                <w:tab w:val="num" w:pos="720"/>
                <w:tab w:val="num" w:pos="1440"/>
              </w:tabs>
              <w:spacing w:line="264" w:lineRule="auto"/>
              <w:ind w:left="360"/>
              <w:rPr>
                <w:rFonts w:cs="Arial"/>
                <w:szCs w:val="20"/>
                <w:lang w:val="en-GB"/>
              </w:rPr>
            </w:pPr>
            <w:r w:rsidRPr="00CD219F">
              <w:rPr>
                <w:rFonts w:cs="Arial"/>
                <w:szCs w:val="20"/>
                <w:lang w:val="en-GB"/>
              </w:rPr>
              <w:t>Tasks</w:t>
            </w:r>
          </w:p>
          <w:p w14:paraId="66FA6A75" w14:textId="77777777" w:rsidR="0040606B" w:rsidRPr="0040606B" w:rsidRDefault="0040606B" w:rsidP="00C601C8">
            <w:pPr>
              <w:pStyle w:val="Bullets1"/>
              <w:rPr>
                <w:lang w:val="en-GB"/>
              </w:rPr>
            </w:pPr>
            <w:r w:rsidRPr="0040606B">
              <w:rPr>
                <w:lang w:val="en-GB"/>
              </w:rPr>
              <w:t xml:space="preserve">Transmission Customer to request for Firm Point-to-point Transmission Service through a written application to the </w:t>
            </w:r>
            <w:proofErr w:type="gramStart"/>
            <w:r w:rsidRPr="0040606B">
              <w:rPr>
                <w:lang w:val="en-GB"/>
              </w:rPr>
              <w:t>SMO</w:t>
            </w:r>
            <w:proofErr w:type="gramEnd"/>
          </w:p>
          <w:p w14:paraId="2FD2F2E1" w14:textId="77777777" w:rsidR="0040606B" w:rsidRPr="0040606B" w:rsidRDefault="0040606B" w:rsidP="00C601C8">
            <w:pPr>
              <w:pStyle w:val="Bullets1"/>
              <w:rPr>
                <w:lang w:val="en-GB"/>
              </w:rPr>
            </w:pPr>
            <w:r w:rsidRPr="0040606B">
              <w:rPr>
                <w:lang w:val="en-GB"/>
              </w:rPr>
              <w:t xml:space="preserve">Include all the relevant information on the application, such as, particulars of the delivery and receiving points of power, description of supply characteristics, </w:t>
            </w:r>
            <w:proofErr w:type="gramStart"/>
            <w:r w:rsidRPr="0040606B">
              <w:rPr>
                <w:lang w:val="en-GB"/>
              </w:rPr>
              <w:t>etc</w:t>
            </w:r>
            <w:proofErr w:type="gramEnd"/>
          </w:p>
          <w:p w14:paraId="4ABC7C8D" w14:textId="77777777" w:rsidR="0040606B" w:rsidRPr="0040606B" w:rsidRDefault="0040606B" w:rsidP="00C601C8">
            <w:pPr>
              <w:pStyle w:val="Bullets1"/>
              <w:rPr>
                <w:lang w:val="en-GB"/>
              </w:rPr>
            </w:pPr>
            <w:r w:rsidRPr="0040606B">
              <w:rPr>
                <w:lang w:val="en-GB"/>
              </w:rPr>
              <w:t xml:space="preserve">SMO to treat information in the Application confidentially, as required by the </w:t>
            </w:r>
            <w:proofErr w:type="gramStart"/>
            <w:r w:rsidRPr="0040606B">
              <w:rPr>
                <w:lang w:val="en-GB"/>
              </w:rPr>
              <w:t>RMR</w:t>
            </w:r>
            <w:proofErr w:type="gramEnd"/>
          </w:p>
          <w:p w14:paraId="3C030CC2" w14:textId="77777777" w:rsidR="0040606B" w:rsidRPr="0040606B" w:rsidRDefault="0040606B" w:rsidP="00C601C8">
            <w:pPr>
              <w:pStyle w:val="Bullets1"/>
              <w:rPr>
                <w:lang w:val="en-GB"/>
              </w:rPr>
            </w:pPr>
            <w:r w:rsidRPr="0040606B">
              <w:rPr>
                <w:lang w:val="en-GB"/>
              </w:rPr>
              <w:t xml:space="preserve">Include a deposit of two month’s charge for capacity reserved, in the </w:t>
            </w:r>
            <w:proofErr w:type="gramStart"/>
            <w:r w:rsidRPr="0040606B">
              <w:rPr>
                <w:lang w:val="en-GB"/>
              </w:rPr>
              <w:t>Application</w:t>
            </w:r>
            <w:proofErr w:type="gramEnd"/>
          </w:p>
          <w:p w14:paraId="5C0D38A7" w14:textId="77777777" w:rsidR="0040606B" w:rsidRPr="0040606B" w:rsidRDefault="0040606B" w:rsidP="00C601C8">
            <w:pPr>
              <w:pStyle w:val="Bullets1"/>
              <w:rPr>
                <w:lang w:val="en-GB"/>
              </w:rPr>
            </w:pPr>
            <w:r w:rsidRPr="0040606B">
              <w:rPr>
                <w:lang w:val="en-GB"/>
              </w:rPr>
              <w:t xml:space="preserve">SMO reject Application if it does not meet the conditions for service, as set forth in WTSAUP, Deposit to be returned if Application is </w:t>
            </w:r>
            <w:proofErr w:type="gramStart"/>
            <w:r w:rsidRPr="0040606B">
              <w:rPr>
                <w:lang w:val="en-GB"/>
              </w:rPr>
              <w:t>rejected</w:t>
            </w:r>
            <w:proofErr w:type="gramEnd"/>
          </w:p>
          <w:p w14:paraId="02435821" w14:textId="77777777" w:rsidR="0040606B" w:rsidRPr="0040606B" w:rsidRDefault="0040606B" w:rsidP="00C601C8">
            <w:pPr>
              <w:pStyle w:val="Bullets1"/>
              <w:rPr>
                <w:lang w:val="en-GB"/>
              </w:rPr>
            </w:pPr>
            <w:r w:rsidRPr="0040606B">
              <w:rPr>
                <w:lang w:val="en-GB"/>
              </w:rPr>
              <w:t xml:space="preserve">SMO to notify the Applicant of the reasons for the </w:t>
            </w:r>
            <w:proofErr w:type="gramStart"/>
            <w:r w:rsidRPr="0040606B">
              <w:rPr>
                <w:lang w:val="en-GB"/>
              </w:rPr>
              <w:t>rejection</w:t>
            </w:r>
            <w:proofErr w:type="gramEnd"/>
          </w:p>
          <w:p w14:paraId="6C98AE52" w14:textId="77777777" w:rsidR="0040606B" w:rsidRPr="00CD219F" w:rsidRDefault="0040606B" w:rsidP="00C601C8">
            <w:pPr>
              <w:tabs>
                <w:tab w:val="num" w:pos="720"/>
                <w:tab w:val="num" w:pos="1440"/>
              </w:tabs>
              <w:spacing w:line="264" w:lineRule="auto"/>
              <w:ind w:left="360"/>
              <w:rPr>
                <w:rFonts w:cs="Arial"/>
                <w:szCs w:val="20"/>
                <w:lang w:val="en-GB"/>
              </w:rPr>
            </w:pPr>
            <w:r w:rsidRPr="00CD219F">
              <w:rPr>
                <w:rFonts w:cs="Arial"/>
                <w:szCs w:val="20"/>
                <w:lang w:val="en-GB"/>
              </w:rPr>
              <w:t>Indicator</w:t>
            </w:r>
          </w:p>
          <w:p w14:paraId="386472CF" w14:textId="77777777" w:rsidR="0040606B" w:rsidRPr="0040606B" w:rsidRDefault="0040606B" w:rsidP="00C601C8">
            <w:pPr>
              <w:pStyle w:val="Bullets1"/>
              <w:rPr>
                <w:b/>
                <w:bCs/>
                <w:lang w:val="en-GB"/>
              </w:rPr>
            </w:pPr>
            <w:r w:rsidRPr="0040606B">
              <w:rPr>
                <w:b/>
                <w:bCs/>
                <w:lang w:val="en-GB"/>
              </w:rPr>
              <w:t>Compliance with the approved Procedures for the provision of Transmission Service.</w:t>
            </w:r>
          </w:p>
        </w:tc>
      </w:tr>
      <w:tr w:rsidR="0040606B" w:rsidRPr="00C601C8" w14:paraId="403179EA" w14:textId="77777777" w:rsidTr="00C601C8">
        <w:trPr>
          <w:cantSplit/>
          <w:trHeight w:val="1098"/>
        </w:trPr>
        <w:tc>
          <w:tcPr>
            <w:tcW w:w="1704" w:type="dxa"/>
            <w:vAlign w:val="center"/>
          </w:tcPr>
          <w:p w14:paraId="76C73CD7" w14:textId="77777777" w:rsidR="0040606B" w:rsidRPr="00CD219F" w:rsidRDefault="0040606B" w:rsidP="00C601C8">
            <w:pPr>
              <w:rPr>
                <w:rFonts w:cs="Arial"/>
                <w:szCs w:val="20"/>
                <w:lang w:val="en-GB"/>
              </w:rPr>
            </w:pPr>
            <w:r w:rsidRPr="00CD219F">
              <w:rPr>
                <w:rFonts w:cs="Arial"/>
                <w:szCs w:val="20"/>
                <w:lang w:val="en-GB"/>
              </w:rPr>
              <w:t>PSR -18: Operating Reserve -Spinning Reserve Services and Frequency Control of the System</w:t>
            </w:r>
          </w:p>
          <w:p w14:paraId="5476044F" w14:textId="77777777" w:rsidR="0040606B" w:rsidRPr="00CD219F" w:rsidRDefault="0040606B" w:rsidP="00C601C8">
            <w:pPr>
              <w:rPr>
                <w:rFonts w:cs="Arial"/>
                <w:szCs w:val="20"/>
                <w:lang w:val="en-GB"/>
              </w:rPr>
            </w:pPr>
            <w:r w:rsidRPr="00CD219F">
              <w:rPr>
                <w:rFonts w:cs="Arial"/>
                <w:szCs w:val="20"/>
                <w:lang w:val="en-GB"/>
              </w:rPr>
              <w:t>(WTSAUP, Schedule 5)</w:t>
            </w:r>
          </w:p>
        </w:tc>
        <w:tc>
          <w:tcPr>
            <w:tcW w:w="12307" w:type="dxa"/>
            <w:vAlign w:val="center"/>
          </w:tcPr>
          <w:p w14:paraId="4E9027FC" w14:textId="77777777" w:rsidR="0040606B" w:rsidRPr="00CD219F" w:rsidRDefault="0040606B" w:rsidP="00C601C8">
            <w:pPr>
              <w:tabs>
                <w:tab w:val="num" w:pos="720"/>
                <w:tab w:val="num" w:pos="1440"/>
              </w:tabs>
              <w:spacing w:line="264" w:lineRule="auto"/>
              <w:rPr>
                <w:rFonts w:cs="Arial"/>
                <w:szCs w:val="20"/>
                <w:lang w:val="en-GB"/>
              </w:rPr>
            </w:pPr>
            <w:r w:rsidRPr="00CD219F">
              <w:rPr>
                <w:rFonts w:cs="Arial"/>
                <w:szCs w:val="20"/>
                <w:lang w:val="en-GB"/>
              </w:rPr>
              <w:t>Tasks</w:t>
            </w:r>
          </w:p>
          <w:p w14:paraId="0B5ACDDC" w14:textId="77777777" w:rsidR="0040606B" w:rsidRPr="0040606B" w:rsidRDefault="0040606B" w:rsidP="00C601C8">
            <w:pPr>
              <w:pStyle w:val="Bullets1"/>
              <w:rPr>
                <w:lang w:val="en-GB"/>
              </w:rPr>
            </w:pPr>
            <w:r w:rsidRPr="0040606B">
              <w:rPr>
                <w:lang w:val="en-GB"/>
              </w:rPr>
              <w:t xml:space="preserve">Spinning Reserve is provided to serve the load immediately in the event of a system </w:t>
            </w:r>
            <w:proofErr w:type="gramStart"/>
            <w:r w:rsidRPr="0040606B">
              <w:rPr>
                <w:lang w:val="en-GB"/>
              </w:rPr>
              <w:t>contingency</w:t>
            </w:r>
            <w:proofErr w:type="gramEnd"/>
            <w:r w:rsidRPr="0040606B">
              <w:rPr>
                <w:lang w:val="en-GB"/>
              </w:rPr>
              <w:t xml:space="preserve"> </w:t>
            </w:r>
          </w:p>
          <w:p w14:paraId="35982632" w14:textId="77777777" w:rsidR="0040606B" w:rsidRPr="0040606B" w:rsidRDefault="0040606B" w:rsidP="00C601C8">
            <w:pPr>
              <w:pStyle w:val="Bullets1"/>
              <w:rPr>
                <w:lang w:val="en-GB"/>
              </w:rPr>
            </w:pPr>
            <w:r w:rsidRPr="0040606B">
              <w:rPr>
                <w:lang w:val="en-GB"/>
              </w:rPr>
              <w:t xml:space="preserve">Spinning Reserve service may be provided by generating units that are on-line and loaded less than maximum </w:t>
            </w:r>
            <w:proofErr w:type="gramStart"/>
            <w:r w:rsidRPr="0040606B">
              <w:rPr>
                <w:lang w:val="en-GB"/>
              </w:rPr>
              <w:t>output</w:t>
            </w:r>
            <w:proofErr w:type="gramEnd"/>
          </w:p>
          <w:p w14:paraId="28FE2BA0" w14:textId="77777777" w:rsidR="0040606B" w:rsidRPr="0040606B" w:rsidRDefault="0040606B" w:rsidP="00C601C8">
            <w:pPr>
              <w:pStyle w:val="Bullets1"/>
              <w:rPr>
                <w:lang w:val="en-GB"/>
              </w:rPr>
            </w:pPr>
            <w:r w:rsidRPr="0040606B">
              <w:rPr>
                <w:lang w:val="en-GB"/>
              </w:rPr>
              <w:t xml:space="preserve">Transmission Customer to purchase the service from the SMO or make alternative </w:t>
            </w:r>
            <w:proofErr w:type="gramStart"/>
            <w:r w:rsidRPr="0040606B">
              <w:rPr>
                <w:lang w:val="en-GB"/>
              </w:rPr>
              <w:t>arrangement  to</w:t>
            </w:r>
            <w:proofErr w:type="gramEnd"/>
            <w:r w:rsidRPr="0040606B">
              <w:rPr>
                <w:lang w:val="en-GB"/>
              </w:rPr>
              <w:t xml:space="preserve"> satisfy the obligation</w:t>
            </w:r>
          </w:p>
          <w:p w14:paraId="39DC5C56" w14:textId="77777777" w:rsidR="0040606B" w:rsidRPr="0040606B" w:rsidRDefault="0040606B" w:rsidP="00C601C8">
            <w:pPr>
              <w:pStyle w:val="Bullets1"/>
              <w:rPr>
                <w:lang w:val="en-GB"/>
              </w:rPr>
            </w:pPr>
            <w:r w:rsidRPr="0040606B">
              <w:rPr>
                <w:lang w:val="en-GB"/>
              </w:rPr>
              <w:t>The SMO to obtain the service from the affected Control Area and provide same to the Transmission Customer</w:t>
            </w:r>
          </w:p>
          <w:p w14:paraId="55CF2675" w14:textId="77777777" w:rsidR="0040606B" w:rsidRPr="0040606B" w:rsidRDefault="0040606B" w:rsidP="00C601C8">
            <w:pPr>
              <w:pStyle w:val="Bullets1"/>
              <w:rPr>
                <w:lang w:val="en-GB"/>
              </w:rPr>
            </w:pPr>
            <w:r w:rsidRPr="0040606B">
              <w:rPr>
                <w:lang w:val="en-GB"/>
              </w:rPr>
              <w:t xml:space="preserve">The SMO to pass through the revenues it receives for the service to Control Area Operator or to other suppliers providing the </w:t>
            </w:r>
            <w:proofErr w:type="gramStart"/>
            <w:r w:rsidRPr="0040606B">
              <w:rPr>
                <w:lang w:val="en-GB"/>
              </w:rPr>
              <w:t>service</w:t>
            </w:r>
            <w:proofErr w:type="gramEnd"/>
          </w:p>
          <w:p w14:paraId="070340D5" w14:textId="77777777" w:rsidR="0040606B" w:rsidRPr="00CD219F" w:rsidRDefault="0040606B" w:rsidP="00C601C8">
            <w:pPr>
              <w:tabs>
                <w:tab w:val="num" w:pos="720"/>
                <w:tab w:val="num" w:pos="1440"/>
              </w:tabs>
              <w:spacing w:line="264" w:lineRule="auto"/>
              <w:rPr>
                <w:rFonts w:cs="Arial"/>
                <w:szCs w:val="20"/>
                <w:lang w:val="en-GB"/>
              </w:rPr>
            </w:pPr>
            <w:r w:rsidRPr="00CD219F">
              <w:rPr>
                <w:rFonts w:cs="Arial"/>
                <w:szCs w:val="20"/>
                <w:lang w:val="en-GB"/>
              </w:rPr>
              <w:t>Indicator</w:t>
            </w:r>
          </w:p>
          <w:p w14:paraId="22DAD531" w14:textId="77777777" w:rsidR="0040606B" w:rsidRPr="0040606B" w:rsidRDefault="0040606B" w:rsidP="00C601C8">
            <w:pPr>
              <w:pStyle w:val="Bullets1"/>
              <w:rPr>
                <w:b/>
                <w:bCs/>
                <w:lang w:val="en-GB"/>
              </w:rPr>
            </w:pPr>
            <w:r w:rsidRPr="0040606B">
              <w:rPr>
                <w:b/>
                <w:bCs/>
                <w:lang w:val="en-GB"/>
              </w:rPr>
              <w:t>Compliance with the approved Procedures for providing Spinning Reserve Service.</w:t>
            </w:r>
          </w:p>
        </w:tc>
      </w:tr>
      <w:tr w:rsidR="0040606B" w:rsidRPr="00C601C8" w14:paraId="59548F63" w14:textId="77777777" w:rsidTr="00C601C8">
        <w:trPr>
          <w:cantSplit/>
          <w:trHeight w:val="1098"/>
        </w:trPr>
        <w:tc>
          <w:tcPr>
            <w:tcW w:w="1704" w:type="dxa"/>
            <w:vAlign w:val="center"/>
          </w:tcPr>
          <w:p w14:paraId="451ED9ED" w14:textId="77777777" w:rsidR="0040606B" w:rsidRPr="00CD219F" w:rsidRDefault="0040606B" w:rsidP="00C601C8">
            <w:pPr>
              <w:rPr>
                <w:rFonts w:cs="Arial"/>
                <w:szCs w:val="20"/>
                <w:lang w:val="en-GB"/>
              </w:rPr>
            </w:pPr>
            <w:r w:rsidRPr="00CD219F">
              <w:rPr>
                <w:rFonts w:cs="Arial"/>
                <w:szCs w:val="20"/>
                <w:lang w:val="en-GB"/>
              </w:rPr>
              <w:lastRenderedPageBreak/>
              <w:t>PSR-19: Transmission Loss Compensation</w:t>
            </w:r>
          </w:p>
          <w:p w14:paraId="4B9B43B8" w14:textId="77777777" w:rsidR="0040606B" w:rsidRPr="00CD219F" w:rsidRDefault="0040606B" w:rsidP="00C601C8">
            <w:pPr>
              <w:rPr>
                <w:rFonts w:cs="Arial"/>
                <w:szCs w:val="20"/>
                <w:lang w:val="en-GB"/>
              </w:rPr>
            </w:pPr>
            <w:r w:rsidRPr="00CD219F">
              <w:rPr>
                <w:rFonts w:cs="Arial"/>
                <w:szCs w:val="20"/>
                <w:lang w:val="en-GB"/>
              </w:rPr>
              <w:t>(WTSAUP, Attachment M)</w:t>
            </w:r>
          </w:p>
        </w:tc>
        <w:tc>
          <w:tcPr>
            <w:tcW w:w="12307" w:type="dxa"/>
            <w:vAlign w:val="center"/>
          </w:tcPr>
          <w:p w14:paraId="1E81D5E5" w14:textId="77777777" w:rsidR="0040606B" w:rsidRPr="00CD219F" w:rsidRDefault="0040606B" w:rsidP="00C601C8">
            <w:pPr>
              <w:tabs>
                <w:tab w:val="num" w:pos="720"/>
                <w:tab w:val="num" w:pos="1440"/>
              </w:tabs>
              <w:spacing w:line="264" w:lineRule="auto"/>
              <w:rPr>
                <w:rFonts w:cs="Arial"/>
                <w:szCs w:val="20"/>
                <w:lang w:val="en-GB"/>
              </w:rPr>
            </w:pPr>
            <w:r w:rsidRPr="00CD219F">
              <w:rPr>
                <w:rFonts w:cs="Arial"/>
                <w:szCs w:val="20"/>
                <w:lang w:val="en-GB"/>
              </w:rPr>
              <w:t>Tasks</w:t>
            </w:r>
          </w:p>
          <w:p w14:paraId="75F762D1" w14:textId="77777777" w:rsidR="0040606B" w:rsidRPr="0040606B" w:rsidRDefault="0040606B" w:rsidP="00C601C8">
            <w:pPr>
              <w:pStyle w:val="Bullets1"/>
              <w:rPr>
                <w:lang w:val="en-GB"/>
              </w:rPr>
            </w:pPr>
            <w:r w:rsidRPr="0040606B">
              <w:rPr>
                <w:lang w:val="en-GB"/>
              </w:rPr>
              <w:t xml:space="preserve">An amount of energy is usually lost in a transmission network whenever it is involved in a </w:t>
            </w:r>
            <w:proofErr w:type="gramStart"/>
            <w:r w:rsidRPr="0040606B">
              <w:rPr>
                <w:lang w:val="en-GB"/>
              </w:rPr>
              <w:t>transaction</w:t>
            </w:r>
            <w:proofErr w:type="gramEnd"/>
          </w:p>
          <w:p w14:paraId="2E96E7B5" w14:textId="77777777" w:rsidR="0040606B" w:rsidRPr="0040606B" w:rsidRDefault="0040606B" w:rsidP="00C601C8">
            <w:pPr>
              <w:pStyle w:val="Bullets1"/>
              <w:rPr>
                <w:lang w:val="en-GB"/>
              </w:rPr>
            </w:pPr>
            <w:r w:rsidRPr="0040606B">
              <w:rPr>
                <w:lang w:val="en-GB"/>
              </w:rPr>
              <w:t>The lost energy is the transmission energy loss that the Transmission Customer is required to replace or compensate the Transmission Operator for</w:t>
            </w:r>
          </w:p>
          <w:p w14:paraId="6E43E74A" w14:textId="77777777" w:rsidR="0040606B" w:rsidRPr="0040606B" w:rsidRDefault="0040606B" w:rsidP="00C601C8">
            <w:pPr>
              <w:pStyle w:val="Bullets1"/>
              <w:rPr>
                <w:lang w:val="en-GB"/>
              </w:rPr>
            </w:pPr>
            <w:r w:rsidRPr="0040606B">
              <w:rPr>
                <w:lang w:val="en-GB"/>
              </w:rPr>
              <w:t>The SMO to calculate a loss matrix once a year to show the composite loss factors for each transaction, as a percentage of the transactions</w:t>
            </w:r>
          </w:p>
          <w:p w14:paraId="3E0CE83C" w14:textId="77777777" w:rsidR="0040606B" w:rsidRPr="0040606B" w:rsidRDefault="0040606B" w:rsidP="00C601C8">
            <w:pPr>
              <w:pStyle w:val="Bullets1"/>
              <w:rPr>
                <w:lang w:val="en-GB"/>
              </w:rPr>
            </w:pPr>
            <w:r w:rsidRPr="0040606B">
              <w:rPr>
                <w:lang w:val="en-GB"/>
              </w:rPr>
              <w:t xml:space="preserve">ERERA to approve the schedule of </w:t>
            </w:r>
            <w:proofErr w:type="gramStart"/>
            <w:r w:rsidRPr="0040606B">
              <w:rPr>
                <w:lang w:val="en-GB"/>
              </w:rPr>
              <w:t>losses</w:t>
            </w:r>
            <w:proofErr w:type="gramEnd"/>
          </w:p>
          <w:p w14:paraId="1036246F" w14:textId="77777777" w:rsidR="0040606B" w:rsidRPr="0040606B" w:rsidRDefault="0040606B" w:rsidP="00C601C8">
            <w:pPr>
              <w:pStyle w:val="Bullets1"/>
              <w:rPr>
                <w:lang w:val="en-GB"/>
              </w:rPr>
            </w:pPr>
            <w:r w:rsidRPr="0040606B">
              <w:rPr>
                <w:lang w:val="en-GB"/>
              </w:rPr>
              <w:t xml:space="preserve">Each Transmission Operator to maintain a schedule showing its allocation of loss energy for the provision of transmission service on its </w:t>
            </w:r>
            <w:proofErr w:type="gramStart"/>
            <w:r w:rsidRPr="0040606B">
              <w:rPr>
                <w:lang w:val="en-GB"/>
              </w:rPr>
              <w:t>system</w:t>
            </w:r>
            <w:proofErr w:type="gramEnd"/>
          </w:p>
          <w:p w14:paraId="0820799D" w14:textId="77777777" w:rsidR="0040606B" w:rsidRPr="0040606B" w:rsidRDefault="0040606B" w:rsidP="00C601C8">
            <w:pPr>
              <w:pStyle w:val="Bullets1"/>
              <w:rPr>
                <w:lang w:val="en-GB"/>
              </w:rPr>
            </w:pPr>
            <w:r w:rsidRPr="0040606B">
              <w:rPr>
                <w:lang w:val="en-GB"/>
              </w:rPr>
              <w:t xml:space="preserve">The SMO to allocate the replaced loss energy, as well as revenues from sale of losses, among the Transmission Operators using an ERERA approved </w:t>
            </w:r>
            <w:proofErr w:type="gramStart"/>
            <w:r w:rsidRPr="0040606B">
              <w:rPr>
                <w:lang w:val="en-GB"/>
              </w:rPr>
              <w:t>procedure</w:t>
            </w:r>
            <w:proofErr w:type="gramEnd"/>
          </w:p>
          <w:p w14:paraId="60E633DB" w14:textId="77777777" w:rsidR="0040606B" w:rsidRPr="00CD219F" w:rsidRDefault="0040606B" w:rsidP="00C601C8">
            <w:pPr>
              <w:tabs>
                <w:tab w:val="num" w:pos="720"/>
                <w:tab w:val="num" w:pos="1440"/>
              </w:tabs>
              <w:spacing w:line="264" w:lineRule="auto"/>
              <w:rPr>
                <w:rFonts w:cs="Arial"/>
                <w:szCs w:val="20"/>
                <w:lang w:val="en-GB"/>
              </w:rPr>
            </w:pPr>
            <w:r w:rsidRPr="00CD219F">
              <w:rPr>
                <w:rFonts w:cs="Arial"/>
                <w:szCs w:val="20"/>
                <w:lang w:val="en-GB"/>
              </w:rPr>
              <w:t>Indicator</w:t>
            </w:r>
          </w:p>
          <w:p w14:paraId="7A603EC2" w14:textId="77777777" w:rsidR="0040606B" w:rsidRPr="0040606B" w:rsidRDefault="0040606B" w:rsidP="00C601C8">
            <w:pPr>
              <w:pStyle w:val="Bullets1"/>
              <w:rPr>
                <w:b/>
                <w:bCs/>
                <w:lang w:val="en-GB"/>
              </w:rPr>
            </w:pPr>
            <w:r w:rsidRPr="0040606B">
              <w:rPr>
                <w:b/>
                <w:bCs/>
                <w:lang w:val="en-GB"/>
              </w:rPr>
              <w:t>Compliance with the approved Procedures for Transmission Loss Compensation</w:t>
            </w:r>
          </w:p>
        </w:tc>
      </w:tr>
      <w:tr w:rsidR="0040606B" w:rsidRPr="00C601C8" w14:paraId="3A532A68" w14:textId="77777777" w:rsidTr="00C601C8">
        <w:trPr>
          <w:cantSplit/>
          <w:trHeight w:val="1098"/>
        </w:trPr>
        <w:tc>
          <w:tcPr>
            <w:tcW w:w="1704" w:type="dxa"/>
            <w:vAlign w:val="center"/>
          </w:tcPr>
          <w:p w14:paraId="1C0DACFF" w14:textId="77777777" w:rsidR="0040606B" w:rsidRPr="00CD219F" w:rsidRDefault="0040606B" w:rsidP="00C601C8">
            <w:pPr>
              <w:rPr>
                <w:rFonts w:cs="Arial"/>
                <w:szCs w:val="20"/>
                <w:lang w:val="en-GB"/>
              </w:rPr>
            </w:pPr>
            <w:r w:rsidRPr="00CD219F">
              <w:rPr>
                <w:rFonts w:cs="Arial"/>
                <w:szCs w:val="20"/>
                <w:lang w:val="en-GB"/>
              </w:rPr>
              <w:t>PSR-20: Curtailment of Firm Transmission Service</w:t>
            </w:r>
          </w:p>
          <w:p w14:paraId="53B278EB" w14:textId="77777777" w:rsidR="0040606B" w:rsidRPr="00CD219F" w:rsidRDefault="0040606B" w:rsidP="00C601C8">
            <w:pPr>
              <w:rPr>
                <w:rFonts w:cs="Arial"/>
                <w:szCs w:val="20"/>
                <w:lang w:val="en-GB"/>
              </w:rPr>
            </w:pPr>
            <w:r w:rsidRPr="00CD219F">
              <w:rPr>
                <w:rFonts w:cs="Arial"/>
                <w:szCs w:val="20"/>
                <w:lang w:val="en-GB"/>
              </w:rPr>
              <w:t>(WTSAUP, Art. 13.6)</w:t>
            </w:r>
          </w:p>
        </w:tc>
        <w:tc>
          <w:tcPr>
            <w:tcW w:w="12307" w:type="dxa"/>
            <w:vAlign w:val="center"/>
          </w:tcPr>
          <w:p w14:paraId="00D5B7C0" w14:textId="77777777" w:rsidR="0040606B" w:rsidRPr="00CD219F" w:rsidRDefault="0040606B" w:rsidP="00C601C8">
            <w:pPr>
              <w:tabs>
                <w:tab w:val="num" w:pos="720"/>
                <w:tab w:val="num" w:pos="1440"/>
              </w:tabs>
              <w:spacing w:line="264" w:lineRule="auto"/>
              <w:rPr>
                <w:rFonts w:cs="Arial"/>
                <w:szCs w:val="20"/>
                <w:lang w:val="en-GB"/>
              </w:rPr>
            </w:pPr>
            <w:r w:rsidRPr="00CD219F">
              <w:rPr>
                <w:rFonts w:cs="Arial"/>
                <w:szCs w:val="20"/>
                <w:lang w:val="en-GB"/>
              </w:rPr>
              <w:t>Tasks</w:t>
            </w:r>
          </w:p>
          <w:p w14:paraId="21F6F534" w14:textId="77777777" w:rsidR="0040606B" w:rsidRPr="0040606B" w:rsidRDefault="0040606B" w:rsidP="00C601C8">
            <w:pPr>
              <w:pStyle w:val="Bullets1"/>
              <w:rPr>
                <w:lang w:val="en-GB"/>
              </w:rPr>
            </w:pPr>
            <w:r w:rsidRPr="0040606B">
              <w:rPr>
                <w:lang w:val="en-GB"/>
              </w:rPr>
              <w:t xml:space="preserve">If a curtailment is required on the WAPPITS to maintain a reliable operation, curtailment will be made on a non-discriminatory basis to the transactions that effectively relieve the </w:t>
            </w:r>
            <w:proofErr w:type="gramStart"/>
            <w:r w:rsidRPr="0040606B">
              <w:rPr>
                <w:lang w:val="en-GB"/>
              </w:rPr>
              <w:t>constraints</w:t>
            </w:r>
            <w:proofErr w:type="gramEnd"/>
          </w:p>
          <w:p w14:paraId="1A298511" w14:textId="77777777" w:rsidR="0040606B" w:rsidRPr="0040606B" w:rsidRDefault="0040606B" w:rsidP="00C601C8">
            <w:pPr>
              <w:pStyle w:val="Bullets1"/>
              <w:rPr>
                <w:lang w:val="en-GB"/>
              </w:rPr>
            </w:pPr>
            <w:r w:rsidRPr="0040606B">
              <w:rPr>
                <w:lang w:val="en-GB"/>
              </w:rPr>
              <w:t xml:space="preserve">Transmission customer to make the required reduction upon request by the SMO, in the event of an </w:t>
            </w:r>
            <w:proofErr w:type="gramStart"/>
            <w:r w:rsidRPr="0040606B">
              <w:rPr>
                <w:lang w:val="en-GB"/>
              </w:rPr>
              <w:t>emergency</w:t>
            </w:r>
            <w:proofErr w:type="gramEnd"/>
          </w:p>
          <w:p w14:paraId="45E28C7E" w14:textId="77777777" w:rsidR="0040606B" w:rsidRPr="0040606B" w:rsidRDefault="0040606B" w:rsidP="00C601C8">
            <w:pPr>
              <w:pStyle w:val="Bullets1"/>
              <w:rPr>
                <w:lang w:val="en-GB"/>
              </w:rPr>
            </w:pPr>
            <w:r w:rsidRPr="0040606B">
              <w:rPr>
                <w:lang w:val="en-GB"/>
              </w:rPr>
              <w:t xml:space="preserve">SMO can curtail any Firm Transmission Service, if in its opinion, an emergency condition exists which can impair the reliability of the transmission </w:t>
            </w:r>
            <w:proofErr w:type="gramStart"/>
            <w:r w:rsidRPr="0040606B">
              <w:rPr>
                <w:lang w:val="en-GB"/>
              </w:rPr>
              <w:t>system</w:t>
            </w:r>
            <w:proofErr w:type="gramEnd"/>
          </w:p>
          <w:p w14:paraId="1F349F85" w14:textId="77777777" w:rsidR="0040606B" w:rsidRPr="0040606B" w:rsidRDefault="0040606B" w:rsidP="00C601C8">
            <w:pPr>
              <w:pStyle w:val="Bullets1"/>
              <w:rPr>
                <w:lang w:val="en-GB"/>
              </w:rPr>
            </w:pPr>
            <w:r w:rsidRPr="0040606B">
              <w:rPr>
                <w:lang w:val="en-GB"/>
              </w:rPr>
              <w:t>Notification of all the affected transmission customers in a timely manner, by the SMO of any scheduled curtailment</w:t>
            </w:r>
          </w:p>
          <w:p w14:paraId="40D8761A" w14:textId="77777777" w:rsidR="0040606B" w:rsidRPr="0040606B" w:rsidRDefault="0040606B" w:rsidP="00C601C8">
            <w:pPr>
              <w:pStyle w:val="Bullets1"/>
              <w:rPr>
                <w:lang w:val="en-GB"/>
              </w:rPr>
            </w:pPr>
            <w:r w:rsidRPr="0040606B">
              <w:rPr>
                <w:lang w:val="en-GB"/>
              </w:rPr>
              <w:t xml:space="preserve">Payment of applicable charges by the transmission customer upon failure to reduce service in response to directive by the </w:t>
            </w:r>
            <w:proofErr w:type="gramStart"/>
            <w:r w:rsidRPr="0040606B">
              <w:rPr>
                <w:lang w:val="en-GB"/>
              </w:rPr>
              <w:t>SMO</w:t>
            </w:r>
            <w:proofErr w:type="gramEnd"/>
          </w:p>
          <w:p w14:paraId="4B37938B" w14:textId="77777777" w:rsidR="0040606B" w:rsidRPr="00CD219F" w:rsidRDefault="0040606B" w:rsidP="00C601C8">
            <w:pPr>
              <w:tabs>
                <w:tab w:val="num" w:pos="720"/>
                <w:tab w:val="num" w:pos="1440"/>
              </w:tabs>
              <w:spacing w:line="264" w:lineRule="auto"/>
              <w:rPr>
                <w:rFonts w:cs="Arial"/>
                <w:szCs w:val="20"/>
                <w:lang w:val="en-GB"/>
              </w:rPr>
            </w:pPr>
            <w:r w:rsidRPr="00CD219F">
              <w:rPr>
                <w:rFonts w:cs="Arial"/>
                <w:szCs w:val="20"/>
                <w:lang w:val="en-GB"/>
              </w:rPr>
              <w:t>Indicator</w:t>
            </w:r>
          </w:p>
          <w:p w14:paraId="2E241C01" w14:textId="77777777" w:rsidR="0040606B" w:rsidRPr="0040606B" w:rsidRDefault="0040606B" w:rsidP="00C601C8">
            <w:pPr>
              <w:pStyle w:val="Bullets1"/>
              <w:rPr>
                <w:b/>
                <w:bCs/>
                <w:lang w:val="en-GB"/>
              </w:rPr>
            </w:pPr>
            <w:r w:rsidRPr="0040606B">
              <w:rPr>
                <w:b/>
                <w:bCs/>
                <w:lang w:val="en-GB"/>
              </w:rPr>
              <w:t>Compliance with the approved Procedures for Curtailment of firm Transmission Service.</w:t>
            </w:r>
          </w:p>
        </w:tc>
      </w:tr>
      <w:tr w:rsidR="0040606B" w:rsidRPr="00C601C8" w14:paraId="79C57004" w14:textId="77777777" w:rsidTr="00C601C8">
        <w:trPr>
          <w:cantSplit/>
          <w:trHeight w:val="1098"/>
        </w:trPr>
        <w:tc>
          <w:tcPr>
            <w:tcW w:w="1704" w:type="dxa"/>
            <w:vAlign w:val="center"/>
          </w:tcPr>
          <w:p w14:paraId="238E9BAB" w14:textId="77777777" w:rsidR="0040606B" w:rsidRPr="00CD219F" w:rsidRDefault="0040606B" w:rsidP="00C601C8">
            <w:pPr>
              <w:rPr>
                <w:rFonts w:cs="Arial"/>
                <w:szCs w:val="20"/>
                <w:lang w:val="en-GB"/>
              </w:rPr>
            </w:pPr>
            <w:r w:rsidRPr="00CD219F">
              <w:rPr>
                <w:rFonts w:cs="Arial"/>
                <w:szCs w:val="20"/>
                <w:lang w:val="en-GB"/>
              </w:rPr>
              <w:lastRenderedPageBreak/>
              <w:t>PSR-21: Provision of Ancillary Services</w:t>
            </w:r>
          </w:p>
          <w:p w14:paraId="30F6B854" w14:textId="77777777" w:rsidR="0040606B" w:rsidRPr="00CD219F" w:rsidRDefault="0040606B" w:rsidP="00C601C8">
            <w:pPr>
              <w:rPr>
                <w:rFonts w:cs="Arial"/>
                <w:szCs w:val="20"/>
                <w:lang w:val="en-GB"/>
              </w:rPr>
            </w:pPr>
            <w:r w:rsidRPr="00CD219F">
              <w:rPr>
                <w:rFonts w:cs="Arial"/>
                <w:szCs w:val="20"/>
                <w:lang w:val="en-GB"/>
              </w:rPr>
              <w:t>(WTSAUP, Art. 3)</w:t>
            </w:r>
          </w:p>
        </w:tc>
        <w:tc>
          <w:tcPr>
            <w:tcW w:w="12307" w:type="dxa"/>
            <w:vAlign w:val="center"/>
          </w:tcPr>
          <w:p w14:paraId="040A33C1" w14:textId="77777777" w:rsidR="0040606B" w:rsidRPr="00CD219F" w:rsidRDefault="0040606B" w:rsidP="00C601C8">
            <w:pPr>
              <w:tabs>
                <w:tab w:val="num" w:pos="720"/>
                <w:tab w:val="num" w:pos="1440"/>
              </w:tabs>
              <w:spacing w:line="264" w:lineRule="auto"/>
              <w:rPr>
                <w:rFonts w:cs="Arial"/>
                <w:szCs w:val="20"/>
                <w:lang w:val="en-GB"/>
              </w:rPr>
            </w:pPr>
            <w:r w:rsidRPr="00CD219F">
              <w:rPr>
                <w:rFonts w:cs="Arial"/>
                <w:szCs w:val="20"/>
                <w:lang w:val="en-GB"/>
              </w:rPr>
              <w:t>Tasks</w:t>
            </w:r>
          </w:p>
          <w:p w14:paraId="1670204C" w14:textId="77777777" w:rsidR="0040606B" w:rsidRPr="0040606B" w:rsidRDefault="0040606B" w:rsidP="00C601C8">
            <w:pPr>
              <w:pStyle w:val="Bullets1"/>
              <w:rPr>
                <w:lang w:val="en-GB"/>
              </w:rPr>
            </w:pPr>
            <w:r w:rsidRPr="0040606B">
              <w:rPr>
                <w:lang w:val="en-GB"/>
              </w:rPr>
              <w:t xml:space="preserve">Reactive Power Regulation Services: to control the reactive power flows </w:t>
            </w:r>
            <w:proofErr w:type="gramStart"/>
            <w:r w:rsidRPr="0040606B">
              <w:rPr>
                <w:lang w:val="en-GB"/>
              </w:rPr>
              <w:t>in order to</w:t>
            </w:r>
            <w:proofErr w:type="gramEnd"/>
            <w:r w:rsidRPr="0040606B">
              <w:rPr>
                <w:lang w:val="en-GB"/>
              </w:rPr>
              <w:t xml:space="preserve"> keep determined voltage levels. </w:t>
            </w:r>
          </w:p>
          <w:p w14:paraId="6693CB63" w14:textId="77777777" w:rsidR="0040606B" w:rsidRPr="0040606B" w:rsidRDefault="0040606B" w:rsidP="00C601C8">
            <w:pPr>
              <w:pStyle w:val="Bullets1"/>
              <w:rPr>
                <w:lang w:val="en-GB"/>
              </w:rPr>
            </w:pPr>
            <w:r w:rsidRPr="0040606B">
              <w:rPr>
                <w:lang w:val="en-GB"/>
              </w:rPr>
              <w:t xml:space="preserve">Frequency Regulation Services: to control the system frequency by maintaining the real time balance between generation and demand of the active </w:t>
            </w:r>
            <w:proofErr w:type="gramStart"/>
            <w:r w:rsidRPr="0040606B">
              <w:rPr>
                <w:lang w:val="en-GB"/>
              </w:rPr>
              <w:t>power</w:t>
            </w:r>
            <w:proofErr w:type="gramEnd"/>
            <w:r w:rsidRPr="0040606B">
              <w:rPr>
                <w:lang w:val="en-GB"/>
              </w:rPr>
              <w:t xml:space="preserve"> </w:t>
            </w:r>
          </w:p>
          <w:p w14:paraId="4EEE959E" w14:textId="77777777" w:rsidR="0040606B" w:rsidRPr="0040606B" w:rsidRDefault="0040606B" w:rsidP="00C601C8">
            <w:pPr>
              <w:pStyle w:val="Bullets1"/>
              <w:rPr>
                <w:lang w:val="en-GB"/>
              </w:rPr>
            </w:pPr>
            <w:r w:rsidRPr="0040606B">
              <w:rPr>
                <w:lang w:val="en-GB"/>
              </w:rPr>
              <w:t xml:space="preserve">Spinning Reserve Services:  designed to respond to uncertainties and for maintaining the integrity of the transmission system and for maintaining the </w:t>
            </w:r>
            <w:proofErr w:type="gramStart"/>
            <w:r w:rsidRPr="0040606B">
              <w:rPr>
                <w:lang w:val="en-GB"/>
              </w:rPr>
              <w:t>balance  between</w:t>
            </w:r>
            <w:proofErr w:type="gramEnd"/>
            <w:r w:rsidRPr="0040606B">
              <w:rPr>
                <w:lang w:val="en-GB"/>
              </w:rPr>
              <w:t xml:space="preserve"> supply and demand.</w:t>
            </w:r>
          </w:p>
          <w:p w14:paraId="31EEA385" w14:textId="77777777" w:rsidR="0040606B" w:rsidRPr="0040606B" w:rsidRDefault="0040606B" w:rsidP="00C601C8">
            <w:pPr>
              <w:pStyle w:val="Bullets1"/>
              <w:rPr>
                <w:lang w:val="en-GB"/>
              </w:rPr>
            </w:pPr>
            <w:r w:rsidRPr="0040606B">
              <w:rPr>
                <w:lang w:val="en-GB"/>
              </w:rPr>
              <w:t>Black Start Services:  to be provided at the strategic parts of the grid to restart the grid after collapse.</w:t>
            </w:r>
          </w:p>
          <w:p w14:paraId="2B03E5FB" w14:textId="77777777" w:rsidR="0040606B" w:rsidRPr="00CD219F" w:rsidRDefault="0040606B" w:rsidP="00C601C8">
            <w:pPr>
              <w:tabs>
                <w:tab w:val="num" w:pos="720"/>
                <w:tab w:val="num" w:pos="1440"/>
              </w:tabs>
              <w:spacing w:line="264" w:lineRule="auto"/>
              <w:rPr>
                <w:rFonts w:cs="Arial"/>
                <w:szCs w:val="20"/>
                <w:lang w:val="en-GB"/>
              </w:rPr>
            </w:pPr>
            <w:r w:rsidRPr="00CD219F">
              <w:rPr>
                <w:rFonts w:cs="Arial"/>
                <w:szCs w:val="20"/>
                <w:lang w:val="en-GB"/>
              </w:rPr>
              <w:t>Indicator</w:t>
            </w:r>
          </w:p>
          <w:p w14:paraId="4F9A9EA8" w14:textId="77777777" w:rsidR="0040606B" w:rsidRPr="0040606B" w:rsidRDefault="0040606B" w:rsidP="00C601C8">
            <w:pPr>
              <w:pStyle w:val="Bullets1"/>
              <w:rPr>
                <w:b/>
                <w:bCs/>
                <w:lang w:val="en-GB"/>
              </w:rPr>
            </w:pPr>
            <w:r w:rsidRPr="0040606B">
              <w:rPr>
                <w:b/>
                <w:bCs/>
                <w:lang w:val="en-GB"/>
              </w:rPr>
              <w:t>Compliance with the approved Procedures for the Provision of Ancillary Services.</w:t>
            </w:r>
          </w:p>
        </w:tc>
      </w:tr>
      <w:tr w:rsidR="0040606B" w:rsidRPr="00C601C8" w14:paraId="1393D1B4" w14:textId="77777777" w:rsidTr="00C601C8">
        <w:trPr>
          <w:cantSplit/>
          <w:trHeight w:val="1098"/>
        </w:trPr>
        <w:tc>
          <w:tcPr>
            <w:tcW w:w="1704" w:type="dxa"/>
            <w:vAlign w:val="center"/>
          </w:tcPr>
          <w:p w14:paraId="26673341" w14:textId="77777777" w:rsidR="0040606B" w:rsidRPr="00CD219F" w:rsidRDefault="0040606B" w:rsidP="00C601C8">
            <w:pPr>
              <w:rPr>
                <w:rFonts w:cs="Arial"/>
                <w:szCs w:val="20"/>
                <w:lang w:val="en-GB"/>
              </w:rPr>
            </w:pPr>
            <w:r w:rsidRPr="00CD219F">
              <w:rPr>
                <w:rFonts w:cs="Arial"/>
                <w:szCs w:val="20"/>
                <w:lang w:val="en-GB"/>
              </w:rPr>
              <w:t>PSR-22: System Operator Certification</w:t>
            </w:r>
          </w:p>
          <w:p w14:paraId="60260A5F" w14:textId="77777777" w:rsidR="0040606B" w:rsidRPr="00CD219F" w:rsidRDefault="0040606B" w:rsidP="00C601C8">
            <w:pPr>
              <w:rPr>
                <w:rFonts w:cs="Arial"/>
                <w:szCs w:val="20"/>
                <w:lang w:val="en-GB"/>
              </w:rPr>
            </w:pPr>
            <w:r w:rsidRPr="00CD219F">
              <w:rPr>
                <w:rFonts w:cs="Arial"/>
                <w:szCs w:val="20"/>
                <w:lang w:val="en-GB"/>
              </w:rPr>
              <w:t>(WAPP OM, P8.2)</w:t>
            </w:r>
          </w:p>
        </w:tc>
        <w:tc>
          <w:tcPr>
            <w:tcW w:w="12307" w:type="dxa"/>
            <w:vAlign w:val="center"/>
          </w:tcPr>
          <w:p w14:paraId="2E68BC79" w14:textId="77777777" w:rsidR="0040606B" w:rsidRPr="00CD219F" w:rsidRDefault="0040606B" w:rsidP="00C601C8">
            <w:pPr>
              <w:tabs>
                <w:tab w:val="num" w:pos="720"/>
                <w:tab w:val="num" w:pos="1440"/>
              </w:tabs>
              <w:spacing w:line="264" w:lineRule="auto"/>
              <w:rPr>
                <w:rFonts w:cs="Arial"/>
                <w:szCs w:val="20"/>
                <w:lang w:val="en-GB"/>
              </w:rPr>
            </w:pPr>
            <w:r w:rsidRPr="00CD219F">
              <w:rPr>
                <w:rFonts w:cs="Arial"/>
                <w:szCs w:val="20"/>
                <w:lang w:val="en-GB"/>
              </w:rPr>
              <w:t>Tasks</w:t>
            </w:r>
          </w:p>
          <w:p w14:paraId="03133F42" w14:textId="77777777" w:rsidR="0040606B" w:rsidRPr="0040606B" w:rsidRDefault="0040606B" w:rsidP="00C601C8">
            <w:pPr>
              <w:pStyle w:val="Bullets1"/>
              <w:rPr>
                <w:lang w:val="en-GB"/>
              </w:rPr>
            </w:pPr>
            <w:r w:rsidRPr="0040606B">
              <w:rPr>
                <w:lang w:val="en-GB"/>
              </w:rPr>
              <w:t xml:space="preserve">Ensure an Authorization to Test (ATT) is obtained. The ATT is necessary for the candidate to schedule an examination. </w:t>
            </w:r>
          </w:p>
          <w:p w14:paraId="146E7D87" w14:textId="77777777" w:rsidR="0040606B" w:rsidRPr="0040606B" w:rsidRDefault="0040606B" w:rsidP="00C601C8">
            <w:pPr>
              <w:pStyle w:val="Bullets1"/>
              <w:rPr>
                <w:lang w:val="en-GB"/>
              </w:rPr>
            </w:pPr>
            <w:r w:rsidRPr="0040606B">
              <w:rPr>
                <w:lang w:val="en-GB"/>
              </w:rPr>
              <w:t>Schedule an examination appointment. Once the ATT number is acquired, an appointment for testing can be scheduled for the candidate.</w:t>
            </w:r>
          </w:p>
          <w:p w14:paraId="6DD26083" w14:textId="77777777" w:rsidR="0040606B" w:rsidRPr="0040606B" w:rsidRDefault="0040606B" w:rsidP="00C601C8">
            <w:pPr>
              <w:pStyle w:val="Bullets1"/>
              <w:rPr>
                <w:lang w:val="en-GB"/>
              </w:rPr>
            </w:pPr>
            <w:r w:rsidRPr="0040606B">
              <w:rPr>
                <w:lang w:val="en-GB"/>
              </w:rPr>
              <w:t>Ensure the relevant examination is passed to obtain a Certificate.</w:t>
            </w:r>
          </w:p>
          <w:p w14:paraId="3ACD6279" w14:textId="77777777" w:rsidR="0040606B" w:rsidRPr="0040606B" w:rsidRDefault="0040606B" w:rsidP="00C601C8">
            <w:pPr>
              <w:pStyle w:val="Bullets1"/>
              <w:rPr>
                <w:lang w:val="en-GB"/>
              </w:rPr>
            </w:pPr>
            <w:r w:rsidRPr="0040606B">
              <w:rPr>
                <w:lang w:val="en-GB"/>
              </w:rPr>
              <w:t>Ensure that Certified Operator retain appropriate documentation for proof of credential maintenance to continue working for the System Operator</w:t>
            </w:r>
          </w:p>
          <w:p w14:paraId="7447908C" w14:textId="77777777" w:rsidR="0040606B" w:rsidRPr="00CD219F" w:rsidRDefault="0040606B" w:rsidP="00C601C8">
            <w:pPr>
              <w:tabs>
                <w:tab w:val="num" w:pos="720"/>
                <w:tab w:val="num" w:pos="1440"/>
              </w:tabs>
              <w:spacing w:line="264" w:lineRule="auto"/>
              <w:rPr>
                <w:rFonts w:cs="Arial"/>
                <w:szCs w:val="20"/>
                <w:lang w:val="en-GB"/>
              </w:rPr>
            </w:pPr>
            <w:r w:rsidRPr="00CD219F">
              <w:rPr>
                <w:rFonts w:cs="Arial"/>
                <w:szCs w:val="20"/>
                <w:lang w:val="en-GB"/>
              </w:rPr>
              <w:t>Indicator</w:t>
            </w:r>
          </w:p>
          <w:p w14:paraId="78814DD5" w14:textId="77777777" w:rsidR="0040606B" w:rsidRPr="0040606B" w:rsidRDefault="0040606B" w:rsidP="00C601C8">
            <w:pPr>
              <w:pStyle w:val="Bullets1"/>
              <w:rPr>
                <w:b/>
                <w:bCs/>
                <w:lang w:val="en-GB"/>
              </w:rPr>
            </w:pPr>
            <w:r w:rsidRPr="0040606B">
              <w:rPr>
                <w:b/>
                <w:bCs/>
                <w:lang w:val="en-GB"/>
              </w:rPr>
              <w:t>Compliance with the approved Procedures for the certification of System Operators</w:t>
            </w:r>
          </w:p>
        </w:tc>
      </w:tr>
      <w:tr w:rsidR="0040606B" w:rsidRPr="00C601C8" w14:paraId="62A12BD8" w14:textId="77777777" w:rsidTr="00C601C8">
        <w:trPr>
          <w:cantSplit/>
          <w:trHeight w:val="1098"/>
        </w:trPr>
        <w:tc>
          <w:tcPr>
            <w:tcW w:w="1704" w:type="dxa"/>
            <w:vAlign w:val="center"/>
          </w:tcPr>
          <w:p w14:paraId="28E09A78" w14:textId="77777777" w:rsidR="0040606B" w:rsidRPr="00CD219F" w:rsidRDefault="0040606B" w:rsidP="00C601C8">
            <w:pPr>
              <w:rPr>
                <w:rFonts w:cs="Arial"/>
                <w:szCs w:val="20"/>
                <w:lang w:val="en-GB"/>
              </w:rPr>
            </w:pPr>
            <w:r w:rsidRPr="00CD219F">
              <w:rPr>
                <w:rFonts w:cs="Arial"/>
                <w:szCs w:val="20"/>
                <w:lang w:val="en-GB"/>
              </w:rPr>
              <w:lastRenderedPageBreak/>
              <w:t>PSR-23: Generation Adequacy Analysis</w:t>
            </w:r>
          </w:p>
          <w:p w14:paraId="4B92AA49" w14:textId="77777777" w:rsidR="0040606B" w:rsidRPr="00CD219F" w:rsidRDefault="0040606B" w:rsidP="00C601C8">
            <w:pPr>
              <w:rPr>
                <w:rFonts w:cs="Arial"/>
                <w:szCs w:val="20"/>
                <w:lang w:val="en-GB"/>
              </w:rPr>
            </w:pPr>
            <w:r w:rsidRPr="00CD219F">
              <w:rPr>
                <w:rFonts w:cs="Arial"/>
                <w:szCs w:val="20"/>
                <w:lang w:val="en-GB"/>
              </w:rPr>
              <w:t>(WAPP OM, P4.1.2)</w:t>
            </w:r>
          </w:p>
        </w:tc>
        <w:tc>
          <w:tcPr>
            <w:tcW w:w="12307" w:type="dxa"/>
            <w:vAlign w:val="center"/>
          </w:tcPr>
          <w:p w14:paraId="549B914E" w14:textId="77777777" w:rsidR="0040606B" w:rsidRPr="00CD219F" w:rsidRDefault="0040606B" w:rsidP="00C601C8">
            <w:pPr>
              <w:tabs>
                <w:tab w:val="num" w:pos="720"/>
                <w:tab w:val="num" w:pos="1440"/>
              </w:tabs>
              <w:spacing w:line="264" w:lineRule="auto"/>
              <w:rPr>
                <w:rFonts w:cs="Arial"/>
                <w:szCs w:val="20"/>
                <w:lang w:val="en-GB"/>
              </w:rPr>
            </w:pPr>
            <w:r w:rsidRPr="00CD219F">
              <w:rPr>
                <w:rFonts w:cs="Arial"/>
                <w:szCs w:val="20"/>
                <w:lang w:val="en-GB"/>
              </w:rPr>
              <w:t>Tasks</w:t>
            </w:r>
          </w:p>
          <w:p w14:paraId="6F222E8E" w14:textId="77777777" w:rsidR="0040606B" w:rsidRPr="0040606B" w:rsidRDefault="0040606B" w:rsidP="00C601C8">
            <w:pPr>
              <w:pStyle w:val="Bullets1"/>
              <w:rPr>
                <w:lang w:val="en-GB"/>
              </w:rPr>
            </w:pPr>
            <w:r w:rsidRPr="0040606B">
              <w:rPr>
                <w:lang w:val="en-GB"/>
              </w:rPr>
              <w:t xml:space="preserve">Generation Adequacy Assessment involves evaluating the ability of the generating units to match system demand </w:t>
            </w:r>
            <w:proofErr w:type="gramStart"/>
            <w:r w:rsidRPr="0040606B">
              <w:rPr>
                <w:lang w:val="en-GB"/>
              </w:rPr>
              <w:t>growth</w:t>
            </w:r>
            <w:proofErr w:type="gramEnd"/>
          </w:p>
          <w:p w14:paraId="0D60F9E5" w14:textId="77777777" w:rsidR="0040606B" w:rsidRPr="0040606B" w:rsidRDefault="0040606B" w:rsidP="00C601C8">
            <w:pPr>
              <w:pStyle w:val="Bullets1"/>
              <w:rPr>
                <w:lang w:val="en-GB"/>
              </w:rPr>
            </w:pPr>
            <w:r w:rsidRPr="0040606B">
              <w:rPr>
                <w:lang w:val="en-GB"/>
              </w:rPr>
              <w:t xml:space="preserve">Every year, each interconnected power system to establish a power balance forecast that has to be included in the system reliability </w:t>
            </w:r>
            <w:proofErr w:type="gramStart"/>
            <w:r w:rsidRPr="0040606B">
              <w:rPr>
                <w:lang w:val="en-GB"/>
              </w:rPr>
              <w:t>Report</w:t>
            </w:r>
            <w:proofErr w:type="gramEnd"/>
          </w:p>
          <w:p w14:paraId="5C5F86DA" w14:textId="77777777" w:rsidR="0040606B" w:rsidRPr="0040606B" w:rsidRDefault="0040606B" w:rsidP="00C601C8">
            <w:pPr>
              <w:pStyle w:val="Bullets1"/>
              <w:rPr>
                <w:lang w:val="en-GB"/>
              </w:rPr>
            </w:pPr>
            <w:r w:rsidRPr="0040606B">
              <w:rPr>
                <w:lang w:val="en-GB"/>
              </w:rPr>
              <w:t xml:space="preserve">The power balance forecast to be for a 10-year </w:t>
            </w:r>
            <w:proofErr w:type="gramStart"/>
            <w:r w:rsidRPr="0040606B">
              <w:rPr>
                <w:lang w:val="en-GB"/>
              </w:rPr>
              <w:t>horizon</w:t>
            </w:r>
            <w:proofErr w:type="gramEnd"/>
          </w:p>
          <w:p w14:paraId="57C55008" w14:textId="77777777" w:rsidR="0040606B" w:rsidRPr="0040606B" w:rsidRDefault="0040606B" w:rsidP="00C601C8">
            <w:pPr>
              <w:pStyle w:val="Bullets1"/>
              <w:rPr>
                <w:lang w:val="en-GB"/>
              </w:rPr>
            </w:pPr>
            <w:r w:rsidRPr="0040606B">
              <w:rPr>
                <w:lang w:val="en-GB"/>
              </w:rPr>
              <w:t>Each interconnected system to determine the difference between the reliable available capacity and the demand (Remaining Capacity)</w:t>
            </w:r>
          </w:p>
          <w:p w14:paraId="479C1FE4" w14:textId="77777777" w:rsidR="0040606B" w:rsidRPr="0040606B" w:rsidRDefault="0040606B" w:rsidP="00C601C8">
            <w:pPr>
              <w:pStyle w:val="Bullets1"/>
              <w:rPr>
                <w:lang w:val="en-GB"/>
              </w:rPr>
            </w:pPr>
            <w:r w:rsidRPr="0040606B">
              <w:rPr>
                <w:lang w:val="en-GB"/>
              </w:rPr>
              <w:t xml:space="preserve">The Remaining Capacity to be available for use to cover loads above forecast demand or plant unplanned outages greater than </w:t>
            </w:r>
            <w:proofErr w:type="gramStart"/>
            <w:r w:rsidRPr="0040606B">
              <w:rPr>
                <w:lang w:val="en-GB"/>
              </w:rPr>
              <w:t>expected</w:t>
            </w:r>
            <w:proofErr w:type="gramEnd"/>
            <w:r w:rsidRPr="0040606B">
              <w:rPr>
                <w:lang w:val="en-GB"/>
              </w:rPr>
              <w:t xml:space="preserve"> </w:t>
            </w:r>
          </w:p>
          <w:p w14:paraId="4B8057A0" w14:textId="77777777" w:rsidR="0040606B" w:rsidRPr="00CD219F" w:rsidRDefault="0040606B" w:rsidP="00C601C8">
            <w:pPr>
              <w:tabs>
                <w:tab w:val="num" w:pos="720"/>
                <w:tab w:val="num" w:pos="1440"/>
              </w:tabs>
              <w:spacing w:line="264" w:lineRule="auto"/>
              <w:rPr>
                <w:rFonts w:cs="Arial"/>
                <w:szCs w:val="20"/>
                <w:lang w:val="en-GB"/>
              </w:rPr>
            </w:pPr>
            <w:r w:rsidRPr="00CD219F">
              <w:rPr>
                <w:rFonts w:cs="Arial"/>
                <w:szCs w:val="20"/>
                <w:lang w:val="en-GB"/>
              </w:rPr>
              <w:t>Indicator</w:t>
            </w:r>
          </w:p>
          <w:p w14:paraId="15AE8140" w14:textId="77777777" w:rsidR="0040606B" w:rsidRPr="0040606B" w:rsidRDefault="0040606B" w:rsidP="00C601C8">
            <w:pPr>
              <w:pStyle w:val="Bullets1"/>
              <w:rPr>
                <w:b/>
                <w:bCs/>
                <w:lang w:val="en-GB"/>
              </w:rPr>
            </w:pPr>
            <w:r w:rsidRPr="0040606B">
              <w:rPr>
                <w:b/>
                <w:bCs/>
                <w:lang w:val="en-GB"/>
              </w:rPr>
              <w:t>Compliance with the approved Procedures for the Preparation of Generation Adequacy Report</w:t>
            </w:r>
          </w:p>
        </w:tc>
      </w:tr>
    </w:tbl>
    <w:p w14:paraId="24841C77" w14:textId="77777777" w:rsidR="0040606B" w:rsidRDefault="0040606B"/>
    <w:sectPr w:rsidR="0040606B" w:rsidSect="0040606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5A27D4"/>
    <w:multiLevelType w:val="hybridMultilevel"/>
    <w:tmpl w:val="485AFABC"/>
    <w:lvl w:ilvl="0" w:tplc="99C6ADC4">
      <w:start w:val="1"/>
      <w:numFmt w:val="bullet"/>
      <w:lvlText w:val="§"/>
      <w:lvlJc w:val="left"/>
      <w:pPr>
        <w:tabs>
          <w:tab w:val="num" w:pos="360"/>
        </w:tabs>
        <w:ind w:left="360" w:hanging="360"/>
      </w:pPr>
      <w:rPr>
        <w:rFonts w:ascii="Wingdings" w:hAnsi="Wingdings" w:hint="default"/>
      </w:rPr>
    </w:lvl>
    <w:lvl w:ilvl="1" w:tplc="A72CC698">
      <w:numFmt w:val="bullet"/>
      <w:lvlText w:val="–"/>
      <w:lvlJc w:val="left"/>
      <w:pPr>
        <w:tabs>
          <w:tab w:val="num" w:pos="1080"/>
        </w:tabs>
        <w:ind w:left="1080" w:hanging="360"/>
      </w:pPr>
      <w:rPr>
        <w:rFonts w:ascii="Times New Roman" w:hAnsi="Times New Roman" w:hint="default"/>
      </w:rPr>
    </w:lvl>
    <w:lvl w:ilvl="2" w:tplc="36108CE8" w:tentative="1">
      <w:start w:val="1"/>
      <w:numFmt w:val="bullet"/>
      <w:lvlText w:val="§"/>
      <w:lvlJc w:val="left"/>
      <w:pPr>
        <w:tabs>
          <w:tab w:val="num" w:pos="1800"/>
        </w:tabs>
        <w:ind w:left="1800" w:hanging="360"/>
      </w:pPr>
      <w:rPr>
        <w:rFonts w:ascii="Wingdings" w:hAnsi="Wingdings" w:hint="default"/>
      </w:rPr>
    </w:lvl>
    <w:lvl w:ilvl="3" w:tplc="4B440490" w:tentative="1">
      <w:start w:val="1"/>
      <w:numFmt w:val="bullet"/>
      <w:lvlText w:val="§"/>
      <w:lvlJc w:val="left"/>
      <w:pPr>
        <w:tabs>
          <w:tab w:val="num" w:pos="2520"/>
        </w:tabs>
        <w:ind w:left="2520" w:hanging="360"/>
      </w:pPr>
      <w:rPr>
        <w:rFonts w:ascii="Wingdings" w:hAnsi="Wingdings" w:hint="default"/>
      </w:rPr>
    </w:lvl>
    <w:lvl w:ilvl="4" w:tplc="8A623268" w:tentative="1">
      <w:start w:val="1"/>
      <w:numFmt w:val="bullet"/>
      <w:lvlText w:val="§"/>
      <w:lvlJc w:val="left"/>
      <w:pPr>
        <w:tabs>
          <w:tab w:val="num" w:pos="3240"/>
        </w:tabs>
        <w:ind w:left="3240" w:hanging="360"/>
      </w:pPr>
      <w:rPr>
        <w:rFonts w:ascii="Wingdings" w:hAnsi="Wingdings" w:hint="default"/>
      </w:rPr>
    </w:lvl>
    <w:lvl w:ilvl="5" w:tplc="3EAA7150" w:tentative="1">
      <w:start w:val="1"/>
      <w:numFmt w:val="bullet"/>
      <w:lvlText w:val="§"/>
      <w:lvlJc w:val="left"/>
      <w:pPr>
        <w:tabs>
          <w:tab w:val="num" w:pos="3960"/>
        </w:tabs>
        <w:ind w:left="3960" w:hanging="360"/>
      </w:pPr>
      <w:rPr>
        <w:rFonts w:ascii="Wingdings" w:hAnsi="Wingdings" w:hint="default"/>
      </w:rPr>
    </w:lvl>
    <w:lvl w:ilvl="6" w:tplc="989E4F2E" w:tentative="1">
      <w:start w:val="1"/>
      <w:numFmt w:val="bullet"/>
      <w:lvlText w:val="§"/>
      <w:lvlJc w:val="left"/>
      <w:pPr>
        <w:tabs>
          <w:tab w:val="num" w:pos="4680"/>
        </w:tabs>
        <w:ind w:left="4680" w:hanging="360"/>
      </w:pPr>
      <w:rPr>
        <w:rFonts w:ascii="Wingdings" w:hAnsi="Wingdings" w:hint="default"/>
      </w:rPr>
    </w:lvl>
    <w:lvl w:ilvl="7" w:tplc="05EA3FC0" w:tentative="1">
      <w:start w:val="1"/>
      <w:numFmt w:val="bullet"/>
      <w:lvlText w:val="§"/>
      <w:lvlJc w:val="left"/>
      <w:pPr>
        <w:tabs>
          <w:tab w:val="num" w:pos="5400"/>
        </w:tabs>
        <w:ind w:left="5400" w:hanging="360"/>
      </w:pPr>
      <w:rPr>
        <w:rFonts w:ascii="Wingdings" w:hAnsi="Wingdings" w:hint="default"/>
      </w:rPr>
    </w:lvl>
    <w:lvl w:ilvl="8" w:tplc="33244036"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647D68F3"/>
    <w:multiLevelType w:val="multilevel"/>
    <w:tmpl w:val="487C42A8"/>
    <w:lvl w:ilvl="0">
      <w:start w:val="1"/>
      <w:numFmt w:val="bullet"/>
      <w:pStyle w:val="Bullets1"/>
      <w:lvlText w:val=""/>
      <w:lvlJc w:val="left"/>
      <w:pPr>
        <w:ind w:left="644" w:hanging="360"/>
      </w:pPr>
      <w:rPr>
        <w:rFonts w:ascii="Symbol" w:hAnsi="Symbol" w:hint="default"/>
        <w:color w:val="auto"/>
      </w:rPr>
    </w:lvl>
    <w:lvl w:ilvl="1">
      <w:start w:val="1"/>
      <w:numFmt w:val="bullet"/>
      <w:lvlText w:val=""/>
      <w:lvlJc w:val="left"/>
      <w:pPr>
        <w:ind w:left="851" w:hanging="283"/>
      </w:pPr>
      <w:rPr>
        <w:rFonts w:ascii="Symbol" w:hAnsi="Symbol" w:hint="default"/>
        <w:color w:val="999999"/>
      </w:rPr>
    </w:lvl>
    <w:lvl w:ilvl="2">
      <w:start w:val="1"/>
      <w:numFmt w:val="bullet"/>
      <w:lvlText w:val=""/>
      <w:lvlJc w:val="left"/>
      <w:pPr>
        <w:ind w:left="1135" w:hanging="284"/>
      </w:pPr>
      <w:rPr>
        <w:rFonts w:ascii="Symbol" w:hAnsi="Symbol" w:hint="default"/>
        <w:color w:val="BDD6EE" w:themeColor="accent5" w:themeTint="66"/>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num w:numId="1" w16cid:durableId="1545287575">
    <w:abstractNumId w:val="1"/>
  </w:num>
  <w:num w:numId="2" w16cid:durableId="1443769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06B"/>
    <w:rsid w:val="000F66B5"/>
    <w:rsid w:val="001C4DB2"/>
    <w:rsid w:val="0040606B"/>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3866E"/>
  <w15:chartTrackingRefBased/>
  <w15:docId w15:val="{DFEF836C-EBAE-48BD-B172-3B3ECACC4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elEcorys,HTG,Table Format 1"/>
    <w:basedOn w:val="TableNormal"/>
    <w:uiPriority w:val="39"/>
    <w:rsid w:val="0040606B"/>
    <w:pPr>
      <w:spacing w:after="0" w:line="240" w:lineRule="auto"/>
    </w:pPr>
    <w:rPr>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1">
    <w:name w:val="Bullets1"/>
    <w:qFormat/>
    <w:rsid w:val="0040606B"/>
    <w:pPr>
      <w:numPr>
        <w:numId w:val="1"/>
      </w:numPr>
      <w:shd w:val="clear" w:color="auto" w:fill="FFFFFF" w:themeFill="background1"/>
      <w:spacing w:before="80" w:after="80" w:line="240" w:lineRule="auto"/>
      <w:jc w:val="both"/>
    </w:pPr>
    <w:rPr>
      <w:rFonts w:ascii="Arial" w:eastAsia="Times New Roman" w:hAnsi="Arial" w:cs="Times New Roman"/>
      <w:snapToGrid w:val="0"/>
      <w:sz w:val="20"/>
      <w:szCs w:val="20"/>
      <w:lang w:eastAsia="fr-BE"/>
      <w14:ligatures w14:val="none"/>
    </w:rPr>
  </w:style>
  <w:style w:type="character" w:styleId="IntenseReference">
    <w:name w:val="Intense Reference"/>
    <w:basedOn w:val="DefaultParagraphFont"/>
    <w:uiPriority w:val="32"/>
    <w:qFormat/>
    <w:rsid w:val="0040606B"/>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2706</Words>
  <Characters>15538</Characters>
  <Application>Microsoft Office Word</Application>
  <DocSecurity>0</DocSecurity>
  <Lines>378</Lines>
  <Paragraphs>222</Paragraphs>
  <ScaleCrop>false</ScaleCrop>
  <Company/>
  <LinksUpToDate>false</LinksUpToDate>
  <CharactersWithSpaces>18022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Parotti, Milena</dc:creator>
  <cp:keywords/>
  <dc:description/>
  <cp:lastModifiedBy>Parotti, Milena</cp:lastModifiedBy>
  <cp:revision>1</cp:revision>
  <dcterms:created xsi:type="dcterms:W3CDTF">2023-07-29T08:29:00Z</dcterms:created>
  <dcterms:modified xsi:type="dcterms:W3CDTF">2023-07-29T08:33:00Z</dcterms:modified>
</cp:coreProperties>
</file>