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B780" w14:textId="6CA17937" w:rsidR="00891CE3" w:rsidRPr="00E229AD" w:rsidRDefault="00891CE3" w:rsidP="006F3C29">
      <w:pPr>
        <w:pStyle w:val="Title"/>
        <w:tabs>
          <w:tab w:val="left" w:pos="8145"/>
        </w:tabs>
        <w:jc w:val="left"/>
        <w:rPr>
          <w:sz w:val="44"/>
          <w:szCs w:val="44"/>
        </w:rPr>
      </w:pPr>
      <w:r w:rsidRPr="00E229AD">
        <w:rPr>
          <w:sz w:val="44"/>
          <w:szCs w:val="44"/>
        </w:rPr>
        <w:t xml:space="preserve">Country engagement </w:t>
      </w:r>
      <w:r w:rsidR="00B865C9" w:rsidRPr="00E229AD">
        <w:rPr>
          <w:sz w:val="44"/>
          <w:szCs w:val="44"/>
        </w:rPr>
        <w:t>strategy</w:t>
      </w:r>
      <w:r w:rsidRPr="00E229AD">
        <w:rPr>
          <w:sz w:val="44"/>
          <w:szCs w:val="44"/>
        </w:rPr>
        <w:t xml:space="preserve">: </w:t>
      </w:r>
      <w:r w:rsidR="00D65F6E">
        <w:rPr>
          <w:sz w:val="44"/>
          <w:szCs w:val="44"/>
        </w:rPr>
        <w:t xml:space="preserve">South Africa </w:t>
      </w:r>
      <w:r w:rsidR="00A4257F" w:rsidRPr="00E229AD">
        <w:rPr>
          <w:sz w:val="44"/>
          <w:szCs w:val="44"/>
        </w:rPr>
        <w:tab/>
      </w:r>
    </w:p>
    <w:p w14:paraId="4D0B76C0" w14:textId="15047DB1" w:rsidR="003427F1" w:rsidRPr="00E229AD" w:rsidRDefault="00F15C5C" w:rsidP="006F3C29">
      <w:pPr>
        <w:pStyle w:val="Subtitle"/>
        <w:jc w:val="left"/>
      </w:pPr>
      <w:r w:rsidRPr="00E229AD">
        <w:t>Version:</w:t>
      </w:r>
      <w:r w:rsidR="00801775">
        <w:t xml:space="preserve"> </w:t>
      </w:r>
      <w:r w:rsidR="00D65F6E">
        <w:t>10 June 2023</w:t>
      </w:r>
    </w:p>
    <w:p w14:paraId="4BD78801" w14:textId="77777777" w:rsidR="003A0772" w:rsidRPr="00E229AD" w:rsidRDefault="003A0772" w:rsidP="008C7160">
      <w:pPr>
        <w:tabs>
          <w:tab w:val="left" w:pos="7563"/>
        </w:tabs>
        <w:spacing w:after="240" w:line="240" w:lineRule="auto"/>
        <w:rPr>
          <w:rFonts w:eastAsiaTheme="majorEastAsia" w:cstheme="minorHAnsi"/>
          <w:b/>
          <w:sz w:val="32"/>
          <w:szCs w:val="22"/>
        </w:rPr>
      </w:pPr>
      <w:r w:rsidRPr="00E229AD">
        <w:rPr>
          <w:rFonts w:eastAsiaTheme="majorEastAsia" w:cstheme="minorHAnsi"/>
          <w:b/>
          <w:sz w:val="32"/>
          <w:szCs w:val="22"/>
        </w:rPr>
        <w:t>CONTENT</w:t>
      </w:r>
      <w:r w:rsidR="008C7160" w:rsidRPr="00E229AD">
        <w:rPr>
          <w:rFonts w:eastAsiaTheme="majorEastAsia" w:cstheme="minorHAnsi"/>
          <w:b/>
          <w:sz w:val="32"/>
          <w:szCs w:val="22"/>
        </w:rPr>
        <w:tab/>
      </w:r>
    </w:p>
    <w:sdt>
      <w:sdtPr>
        <w:id w:val="-1380772924"/>
        <w:docPartObj>
          <w:docPartGallery w:val="Table of Contents"/>
          <w:docPartUnique/>
        </w:docPartObj>
      </w:sdtPr>
      <w:sdtEndPr>
        <w:rPr>
          <w:bCs/>
        </w:rPr>
      </w:sdtEndPr>
      <w:sdtContent>
        <w:p w14:paraId="7D97497F" w14:textId="7B978331" w:rsidR="00200CBA" w:rsidRDefault="003A0772">
          <w:pPr>
            <w:pStyle w:val="TOC1"/>
            <w:tabs>
              <w:tab w:val="right" w:leader="dot" w:pos="9736"/>
            </w:tabs>
            <w:rPr>
              <w:noProof/>
              <w:sz w:val="22"/>
              <w:szCs w:val="22"/>
              <w:lang w:val="en-US"/>
            </w:rPr>
          </w:pPr>
          <w:r w:rsidRPr="00FC2B31">
            <w:rPr>
              <w:bCs/>
            </w:rPr>
            <w:fldChar w:fldCharType="begin"/>
          </w:r>
          <w:r w:rsidRPr="00FC2B31">
            <w:rPr>
              <w:bCs/>
            </w:rPr>
            <w:instrText xml:space="preserve"> TOC \o "1-3" \h \z \u </w:instrText>
          </w:r>
          <w:r w:rsidRPr="00FC2B31">
            <w:rPr>
              <w:bCs/>
            </w:rPr>
            <w:fldChar w:fldCharType="separate"/>
          </w:r>
          <w:hyperlink w:anchor="_Toc139365176" w:history="1">
            <w:r w:rsidR="00200CBA" w:rsidRPr="00280881">
              <w:rPr>
                <w:rStyle w:val="Hyperlink"/>
                <w:noProof/>
              </w:rPr>
              <w:t>PART A: STRATEGIC CONSIDERATIONS</w:t>
            </w:r>
            <w:r w:rsidR="00200CBA">
              <w:rPr>
                <w:noProof/>
                <w:webHidden/>
              </w:rPr>
              <w:tab/>
            </w:r>
            <w:r w:rsidR="00200CBA">
              <w:rPr>
                <w:noProof/>
                <w:webHidden/>
              </w:rPr>
              <w:fldChar w:fldCharType="begin"/>
            </w:r>
            <w:r w:rsidR="00200CBA">
              <w:rPr>
                <w:noProof/>
                <w:webHidden/>
              </w:rPr>
              <w:instrText xml:space="preserve"> PAGEREF _Toc139365176 \h </w:instrText>
            </w:r>
            <w:r w:rsidR="00200CBA">
              <w:rPr>
                <w:noProof/>
                <w:webHidden/>
              </w:rPr>
            </w:r>
            <w:r w:rsidR="00200CBA">
              <w:rPr>
                <w:noProof/>
                <w:webHidden/>
              </w:rPr>
              <w:fldChar w:fldCharType="separate"/>
            </w:r>
            <w:r w:rsidR="00200CBA">
              <w:rPr>
                <w:noProof/>
                <w:webHidden/>
              </w:rPr>
              <w:t>1</w:t>
            </w:r>
            <w:r w:rsidR="00200CBA">
              <w:rPr>
                <w:noProof/>
                <w:webHidden/>
              </w:rPr>
              <w:fldChar w:fldCharType="end"/>
            </w:r>
          </w:hyperlink>
        </w:p>
        <w:p w14:paraId="2FEB980E" w14:textId="7E8DA808" w:rsidR="00200CBA" w:rsidRDefault="00200CBA">
          <w:pPr>
            <w:pStyle w:val="TOC2"/>
            <w:rPr>
              <w:noProof/>
              <w:sz w:val="22"/>
              <w:szCs w:val="22"/>
              <w:lang w:val="en-US"/>
            </w:rPr>
          </w:pPr>
          <w:hyperlink w:anchor="_Toc139365177" w:history="1">
            <w:r w:rsidRPr="00280881">
              <w:rPr>
                <w:rStyle w:val="Hyperlink"/>
                <w:noProof/>
              </w:rPr>
              <w:t>1</w:t>
            </w:r>
            <w:r>
              <w:rPr>
                <w:noProof/>
                <w:sz w:val="22"/>
                <w:szCs w:val="22"/>
                <w:lang w:val="en-US"/>
              </w:rPr>
              <w:tab/>
            </w:r>
            <w:r w:rsidRPr="00280881">
              <w:rPr>
                <w:rStyle w:val="Hyperlink"/>
                <w:smallCaps/>
                <w:noProof/>
                <w:spacing w:val="5"/>
              </w:rPr>
              <w:t>Background</w:t>
            </w:r>
            <w:r>
              <w:rPr>
                <w:noProof/>
                <w:webHidden/>
              </w:rPr>
              <w:tab/>
            </w:r>
            <w:r>
              <w:rPr>
                <w:noProof/>
                <w:webHidden/>
              </w:rPr>
              <w:fldChar w:fldCharType="begin"/>
            </w:r>
            <w:r>
              <w:rPr>
                <w:noProof/>
                <w:webHidden/>
              </w:rPr>
              <w:instrText xml:space="preserve"> PAGEREF _Toc139365177 \h </w:instrText>
            </w:r>
            <w:r>
              <w:rPr>
                <w:noProof/>
                <w:webHidden/>
              </w:rPr>
            </w:r>
            <w:r>
              <w:rPr>
                <w:noProof/>
                <w:webHidden/>
              </w:rPr>
              <w:fldChar w:fldCharType="separate"/>
            </w:r>
            <w:r>
              <w:rPr>
                <w:noProof/>
                <w:webHidden/>
              </w:rPr>
              <w:t>1</w:t>
            </w:r>
            <w:r>
              <w:rPr>
                <w:noProof/>
                <w:webHidden/>
              </w:rPr>
              <w:fldChar w:fldCharType="end"/>
            </w:r>
          </w:hyperlink>
        </w:p>
        <w:p w14:paraId="7C3521EE" w14:textId="5950C897" w:rsidR="00200CBA" w:rsidRDefault="00200CBA">
          <w:pPr>
            <w:pStyle w:val="TOC2"/>
            <w:rPr>
              <w:noProof/>
              <w:sz w:val="22"/>
              <w:szCs w:val="22"/>
              <w:lang w:val="en-US"/>
            </w:rPr>
          </w:pPr>
          <w:hyperlink w:anchor="_Toc139365178" w:history="1">
            <w:r w:rsidRPr="00280881">
              <w:rPr>
                <w:rStyle w:val="Hyperlink"/>
                <w:smallCaps/>
                <w:noProof/>
                <w:spacing w:val="5"/>
              </w:rPr>
              <w:t>2</w:t>
            </w:r>
            <w:r>
              <w:rPr>
                <w:noProof/>
                <w:sz w:val="22"/>
                <w:szCs w:val="22"/>
                <w:lang w:val="en-US"/>
              </w:rPr>
              <w:tab/>
            </w:r>
            <w:r w:rsidRPr="00280881">
              <w:rPr>
                <w:rStyle w:val="Hyperlink"/>
                <w:smallCaps/>
                <w:noProof/>
                <w:spacing w:val="5"/>
              </w:rPr>
              <w:t>Priorities arising from the bilateral climate policy dialogue</w:t>
            </w:r>
            <w:r>
              <w:rPr>
                <w:noProof/>
                <w:webHidden/>
              </w:rPr>
              <w:tab/>
            </w:r>
            <w:r>
              <w:rPr>
                <w:noProof/>
                <w:webHidden/>
              </w:rPr>
              <w:fldChar w:fldCharType="begin"/>
            </w:r>
            <w:r>
              <w:rPr>
                <w:noProof/>
                <w:webHidden/>
              </w:rPr>
              <w:instrText xml:space="preserve"> PAGEREF _Toc139365178 \h </w:instrText>
            </w:r>
            <w:r>
              <w:rPr>
                <w:noProof/>
                <w:webHidden/>
              </w:rPr>
            </w:r>
            <w:r>
              <w:rPr>
                <w:noProof/>
                <w:webHidden/>
              </w:rPr>
              <w:fldChar w:fldCharType="separate"/>
            </w:r>
            <w:r>
              <w:rPr>
                <w:noProof/>
                <w:webHidden/>
              </w:rPr>
              <w:t>3</w:t>
            </w:r>
            <w:r>
              <w:rPr>
                <w:noProof/>
                <w:webHidden/>
              </w:rPr>
              <w:fldChar w:fldCharType="end"/>
            </w:r>
          </w:hyperlink>
        </w:p>
        <w:p w14:paraId="1D63A74B" w14:textId="301C5873" w:rsidR="00200CBA" w:rsidRDefault="00200CBA">
          <w:pPr>
            <w:pStyle w:val="TOC2"/>
            <w:rPr>
              <w:noProof/>
              <w:sz w:val="22"/>
              <w:szCs w:val="22"/>
              <w:lang w:val="en-US"/>
            </w:rPr>
          </w:pPr>
          <w:hyperlink w:anchor="_Toc139365179" w:history="1">
            <w:r w:rsidRPr="00280881">
              <w:rPr>
                <w:rStyle w:val="Hyperlink"/>
                <w:smallCaps/>
                <w:noProof/>
                <w:spacing w:val="5"/>
              </w:rPr>
              <w:t>3</w:t>
            </w:r>
            <w:r>
              <w:rPr>
                <w:noProof/>
                <w:sz w:val="22"/>
                <w:szCs w:val="22"/>
                <w:lang w:val="en-US"/>
              </w:rPr>
              <w:tab/>
            </w:r>
            <w:r w:rsidRPr="00280881">
              <w:rPr>
                <w:rStyle w:val="Hyperlink"/>
                <w:smallCaps/>
                <w:noProof/>
                <w:spacing w:val="5"/>
              </w:rPr>
              <w:t>Relevant cooperation activities through other European projects</w:t>
            </w:r>
            <w:r>
              <w:rPr>
                <w:noProof/>
                <w:webHidden/>
              </w:rPr>
              <w:tab/>
            </w:r>
            <w:r>
              <w:rPr>
                <w:noProof/>
                <w:webHidden/>
              </w:rPr>
              <w:fldChar w:fldCharType="begin"/>
            </w:r>
            <w:r>
              <w:rPr>
                <w:noProof/>
                <w:webHidden/>
              </w:rPr>
              <w:instrText xml:space="preserve"> PAGEREF _Toc139365179 \h </w:instrText>
            </w:r>
            <w:r>
              <w:rPr>
                <w:noProof/>
                <w:webHidden/>
              </w:rPr>
            </w:r>
            <w:r>
              <w:rPr>
                <w:noProof/>
                <w:webHidden/>
              </w:rPr>
              <w:fldChar w:fldCharType="separate"/>
            </w:r>
            <w:r>
              <w:rPr>
                <w:noProof/>
                <w:webHidden/>
              </w:rPr>
              <w:t>4</w:t>
            </w:r>
            <w:r>
              <w:rPr>
                <w:noProof/>
                <w:webHidden/>
              </w:rPr>
              <w:fldChar w:fldCharType="end"/>
            </w:r>
          </w:hyperlink>
        </w:p>
        <w:p w14:paraId="1315973B" w14:textId="2AB88B4C" w:rsidR="00200CBA" w:rsidRDefault="00200CBA">
          <w:pPr>
            <w:pStyle w:val="TOC2"/>
            <w:rPr>
              <w:noProof/>
              <w:sz w:val="22"/>
              <w:szCs w:val="22"/>
              <w:lang w:val="en-US"/>
            </w:rPr>
          </w:pPr>
          <w:hyperlink w:anchor="_Toc139365180" w:history="1">
            <w:r w:rsidRPr="00280881">
              <w:rPr>
                <w:rStyle w:val="Hyperlink"/>
                <w:noProof/>
              </w:rPr>
              <w:t>4</w:t>
            </w:r>
            <w:r>
              <w:rPr>
                <w:noProof/>
                <w:sz w:val="22"/>
                <w:szCs w:val="22"/>
                <w:lang w:val="en-US"/>
              </w:rPr>
              <w:tab/>
            </w:r>
            <w:r w:rsidRPr="00280881">
              <w:rPr>
                <w:rStyle w:val="Hyperlink"/>
                <w:noProof/>
              </w:rPr>
              <w:t>Thematic priorities for EUCDs</w:t>
            </w:r>
            <w:r>
              <w:rPr>
                <w:noProof/>
                <w:webHidden/>
              </w:rPr>
              <w:tab/>
            </w:r>
            <w:r>
              <w:rPr>
                <w:noProof/>
                <w:webHidden/>
              </w:rPr>
              <w:fldChar w:fldCharType="begin"/>
            </w:r>
            <w:r>
              <w:rPr>
                <w:noProof/>
                <w:webHidden/>
              </w:rPr>
              <w:instrText xml:space="preserve"> PAGEREF _Toc139365180 \h </w:instrText>
            </w:r>
            <w:r>
              <w:rPr>
                <w:noProof/>
                <w:webHidden/>
              </w:rPr>
            </w:r>
            <w:r>
              <w:rPr>
                <w:noProof/>
                <w:webHidden/>
              </w:rPr>
              <w:fldChar w:fldCharType="separate"/>
            </w:r>
            <w:r>
              <w:rPr>
                <w:noProof/>
                <w:webHidden/>
              </w:rPr>
              <w:t>5</w:t>
            </w:r>
            <w:r>
              <w:rPr>
                <w:noProof/>
                <w:webHidden/>
              </w:rPr>
              <w:fldChar w:fldCharType="end"/>
            </w:r>
          </w:hyperlink>
        </w:p>
        <w:p w14:paraId="3E5761A4" w14:textId="31BF9938" w:rsidR="00200CBA" w:rsidRDefault="00200CBA">
          <w:pPr>
            <w:pStyle w:val="TOC3"/>
            <w:rPr>
              <w:rFonts w:asciiTheme="minorHAnsi" w:eastAsiaTheme="minorEastAsia" w:hAnsiTheme="minorHAnsi" w:cstheme="minorBidi"/>
              <w:spacing w:val="0"/>
              <w:sz w:val="22"/>
              <w:szCs w:val="22"/>
              <w:lang w:val="en-US"/>
            </w:rPr>
          </w:pPr>
          <w:hyperlink w:anchor="_Toc139365181" w:history="1">
            <w:r w:rsidRPr="00280881">
              <w:rPr>
                <w:rStyle w:val="Hyperlink"/>
                <w:smallCaps/>
              </w:rPr>
              <w:t>Identified priorities</w:t>
            </w:r>
            <w:r>
              <w:rPr>
                <w:webHidden/>
              </w:rPr>
              <w:tab/>
            </w:r>
            <w:r>
              <w:rPr>
                <w:webHidden/>
              </w:rPr>
              <w:fldChar w:fldCharType="begin"/>
            </w:r>
            <w:r>
              <w:rPr>
                <w:webHidden/>
              </w:rPr>
              <w:instrText xml:space="preserve"> PAGEREF _Toc139365181 \h </w:instrText>
            </w:r>
            <w:r>
              <w:rPr>
                <w:webHidden/>
              </w:rPr>
            </w:r>
            <w:r>
              <w:rPr>
                <w:webHidden/>
              </w:rPr>
              <w:fldChar w:fldCharType="separate"/>
            </w:r>
            <w:r>
              <w:rPr>
                <w:webHidden/>
              </w:rPr>
              <w:t>5</w:t>
            </w:r>
            <w:r>
              <w:rPr>
                <w:webHidden/>
              </w:rPr>
              <w:fldChar w:fldCharType="end"/>
            </w:r>
          </w:hyperlink>
        </w:p>
        <w:p w14:paraId="6D9EC620" w14:textId="394994B0" w:rsidR="003A0772" w:rsidRPr="00E229AD" w:rsidRDefault="003A0772" w:rsidP="00B22EFD">
          <w:pPr>
            <w:spacing w:line="240" w:lineRule="auto"/>
            <w:jc w:val="left"/>
          </w:pPr>
          <w:r w:rsidRPr="00FC2B31">
            <w:rPr>
              <w:bCs/>
            </w:rPr>
            <w:fldChar w:fldCharType="end"/>
          </w:r>
        </w:p>
      </w:sdtContent>
    </w:sdt>
    <w:p w14:paraId="7F23A43F" w14:textId="77777777" w:rsidR="006768FB" w:rsidRPr="00E229AD" w:rsidRDefault="006768FB" w:rsidP="00D204C7">
      <w:pPr>
        <w:pStyle w:val="Heading1"/>
      </w:pPr>
      <w:bookmarkStart w:id="0" w:name="_Toc527365597"/>
      <w:bookmarkStart w:id="1" w:name="_Toc139365176"/>
      <w:r w:rsidRPr="00E229AD">
        <w:t xml:space="preserve">PART A: </w:t>
      </w:r>
      <w:r w:rsidR="006F3C29" w:rsidRPr="00E229AD">
        <w:rPr>
          <w:caps w:val="0"/>
        </w:rPr>
        <w:t>STRATEGIC CONSIDERATIONS</w:t>
      </w:r>
      <w:bookmarkEnd w:id="0"/>
      <w:bookmarkEnd w:id="1"/>
    </w:p>
    <w:p w14:paraId="1560F103" w14:textId="77777777" w:rsidR="006768FB" w:rsidRPr="00E229AD" w:rsidRDefault="006768FB" w:rsidP="006F3C29">
      <w:pPr>
        <w:keepNext/>
        <w:spacing w:before="240" w:after="240" w:line="240" w:lineRule="auto"/>
        <w:ind w:left="360" w:hanging="360"/>
        <w:jc w:val="left"/>
        <w:outlineLvl w:val="1"/>
        <w:rPr>
          <w:smallCaps/>
          <w:spacing w:val="5"/>
          <w:sz w:val="28"/>
          <w:szCs w:val="28"/>
        </w:rPr>
      </w:pPr>
      <w:bookmarkStart w:id="2" w:name="_Toc527365598"/>
      <w:bookmarkStart w:id="3" w:name="_Toc139365177"/>
      <w:r w:rsidRPr="00E229AD">
        <w:rPr>
          <w:sz w:val="28"/>
          <w:szCs w:val="28"/>
        </w:rPr>
        <w:t>1</w:t>
      </w:r>
      <w:r w:rsidRPr="00E229AD">
        <w:rPr>
          <w:smallCaps/>
          <w:spacing w:val="5"/>
          <w:sz w:val="28"/>
          <w:szCs w:val="28"/>
        </w:rPr>
        <w:tab/>
        <w:t>Background</w:t>
      </w:r>
      <w:bookmarkEnd w:id="2"/>
      <w:bookmarkEnd w:id="3"/>
    </w:p>
    <w:p w14:paraId="6EBCABD0" w14:textId="77777777" w:rsidR="00D65F6E" w:rsidRPr="00D65F6E" w:rsidRDefault="00D65F6E" w:rsidP="00D65F6E">
      <w:pPr>
        <w:rPr>
          <w:rFonts w:ascii="Calibri" w:hAnsi="Calibri" w:cs="Calibri"/>
        </w:rPr>
      </w:pPr>
      <w:r w:rsidRPr="00D65F6E">
        <w:rPr>
          <w:rFonts w:ascii="Calibri" w:hAnsi="Calibri" w:cs="Calibri"/>
        </w:rPr>
        <w:t>South Africa (RSA) is a middle-income developing country with one of the highest inequality indices globally. Its economy relies strongly on mining and heavy industry, which employs approximately 464 000 individuals. South Africa is going through its worst economic crisis since 1994, intensified by the Covid-19 pandemic impact. According to Stats SA (2023) the official unemployment figure at present stands at 32.9</w:t>
      </w:r>
      <w:proofErr w:type="gramStart"/>
      <w:r w:rsidRPr="00D65F6E">
        <w:rPr>
          <w:rFonts w:ascii="Calibri" w:hAnsi="Calibri" w:cs="Calibri"/>
        </w:rPr>
        <w:t>% ,</w:t>
      </w:r>
      <w:proofErr w:type="gramEnd"/>
      <w:r w:rsidRPr="00D65F6E">
        <w:rPr>
          <w:rFonts w:ascii="Calibri" w:hAnsi="Calibri" w:cs="Calibri"/>
        </w:rPr>
        <w:t xml:space="preserve"> among the highest in the world, while the expanded definition of unemployment - which includes those discouraged from seeking work - has increased 1.2 percentage points to 44.4%. </w:t>
      </w:r>
    </w:p>
    <w:p w14:paraId="57182AC5" w14:textId="77777777" w:rsidR="00D65F6E" w:rsidRPr="00D65F6E" w:rsidRDefault="00D65F6E" w:rsidP="00D65F6E">
      <w:pPr>
        <w:rPr>
          <w:rFonts w:ascii="Calibri" w:hAnsi="Calibri" w:cs="Calibri"/>
        </w:rPr>
      </w:pPr>
      <w:r w:rsidRPr="00D65F6E">
        <w:rPr>
          <w:rFonts w:ascii="Calibri" w:hAnsi="Calibri" w:cs="Calibri"/>
        </w:rPr>
        <w:t>RSA’s per capita</w:t>
      </w:r>
      <w:r w:rsidRPr="00D65F6E">
        <w:rPr>
          <w:rFonts w:ascii="Calibri" w:hAnsi="Calibri" w:cs="Calibri"/>
          <w:b/>
          <w:bCs/>
        </w:rPr>
        <w:t xml:space="preserve"> </w:t>
      </w:r>
      <w:r w:rsidRPr="00D65F6E">
        <w:rPr>
          <w:rFonts w:ascii="Calibri" w:hAnsi="Calibri" w:cs="Calibri"/>
          <w:b/>
        </w:rPr>
        <w:t xml:space="preserve">greenhouse gas </w:t>
      </w:r>
      <w:r w:rsidRPr="00D65F6E">
        <w:rPr>
          <w:rFonts w:ascii="Calibri" w:hAnsi="Calibri" w:cs="Calibri"/>
        </w:rPr>
        <w:t>(GHG) emissions are higher than EU average</w:t>
      </w:r>
      <w:r w:rsidRPr="00D65F6E">
        <w:rPr>
          <w:rFonts w:ascii="Calibri" w:hAnsi="Calibri" w:cs="Calibri"/>
          <w:vertAlign w:val="superscript"/>
        </w:rPr>
        <w:footnoteReference w:id="1"/>
      </w:r>
      <w:r w:rsidRPr="00D65F6E">
        <w:rPr>
          <w:rFonts w:ascii="Calibri" w:hAnsi="Calibri" w:cs="Calibri"/>
        </w:rPr>
        <w:t xml:space="preserve"> and its emissions per capita have increased slightly since 2009. This is by and large due to South Africa’ reliance on coal. About 77% of South Africa's primary energy needs are still provided by coal. Despite an increase in absolute renewable energy supply, it only covers about 5% of electricity demand, mainly wind and solar energy, procured from independent power producers. RSA also ranks medium for its energy use per capita. </w:t>
      </w:r>
    </w:p>
    <w:p w14:paraId="552DAA19" w14:textId="77777777" w:rsidR="00D65F6E" w:rsidRPr="00D65F6E" w:rsidRDefault="00D65F6E" w:rsidP="00D65F6E">
      <w:pPr>
        <w:rPr>
          <w:rFonts w:ascii="Calibri" w:hAnsi="Calibri" w:cs="Calibri"/>
        </w:rPr>
      </w:pPr>
      <w:r w:rsidRPr="00D65F6E">
        <w:rPr>
          <w:rFonts w:ascii="Calibri" w:hAnsi="Calibri" w:cs="Calibri"/>
        </w:rPr>
        <w:t xml:space="preserve">The </w:t>
      </w:r>
      <w:r w:rsidRPr="00D65F6E">
        <w:rPr>
          <w:rFonts w:ascii="Calibri" w:hAnsi="Calibri" w:cs="Calibri"/>
          <w:b/>
        </w:rPr>
        <w:t>Integrated Resource Electricity Plan</w:t>
      </w:r>
      <w:r w:rsidRPr="00D65F6E">
        <w:rPr>
          <w:rFonts w:ascii="Calibri" w:hAnsi="Calibri" w:cs="Calibri"/>
        </w:rPr>
        <w:t xml:space="preserve"> (IRP) submitted in 2019 provides for a significant increase of renewables-based power generation capacity from wind (15.8 GW) and from solar (7.4 GW) by 2030. Coal would reduce to less than 60% of electricity source, wind energy would become the 2</w:t>
      </w:r>
      <w:r w:rsidRPr="00D65F6E">
        <w:rPr>
          <w:rFonts w:ascii="Calibri" w:hAnsi="Calibri" w:cs="Calibri"/>
          <w:vertAlign w:val="superscript"/>
        </w:rPr>
        <w:t>nd</w:t>
      </w:r>
      <w:r w:rsidRPr="00D65F6E">
        <w:rPr>
          <w:rFonts w:ascii="Calibri" w:hAnsi="Calibri" w:cs="Calibri"/>
        </w:rPr>
        <w:t xml:space="preserve"> source of electricity with 18% through annual connection of 1.6 GW wind capacity for the next 10 years). </w:t>
      </w:r>
    </w:p>
    <w:p w14:paraId="53E35573" w14:textId="77777777" w:rsidR="00D65F6E" w:rsidRPr="00D65F6E" w:rsidRDefault="00D65F6E" w:rsidP="00D65F6E">
      <w:pPr>
        <w:rPr>
          <w:rFonts w:ascii="Calibri" w:hAnsi="Calibri" w:cs="Calibri"/>
        </w:rPr>
      </w:pPr>
      <w:r w:rsidRPr="00D65F6E">
        <w:rPr>
          <w:rFonts w:ascii="Calibri" w:hAnsi="Calibri" w:cs="Calibri"/>
        </w:rPr>
        <w:t xml:space="preserve">Despite the success of South Africa's </w:t>
      </w:r>
      <w:r w:rsidRPr="00D65F6E">
        <w:rPr>
          <w:rFonts w:ascii="Calibri" w:hAnsi="Calibri" w:cs="Calibri"/>
          <w:b/>
        </w:rPr>
        <w:t>Renewable Energy Independent Power Procurement Programme</w:t>
      </w:r>
      <w:r w:rsidRPr="00D65F6E">
        <w:rPr>
          <w:rFonts w:ascii="Calibri" w:hAnsi="Calibri" w:cs="Calibri"/>
        </w:rPr>
        <w:t xml:space="preserve"> in the past and promises by the President to fast track the programme, so far there have been considerable delays in connecting projects to the grid. The chronic underinvestment in transmission infrastructure and uncertainty around state utility ESKOM have been the main reasons impeding progress on renewable capacity extension. </w:t>
      </w:r>
    </w:p>
    <w:p w14:paraId="53520AD9" w14:textId="77777777" w:rsidR="00D65F6E" w:rsidRPr="00D65F6E" w:rsidRDefault="00D65F6E" w:rsidP="00D65F6E">
      <w:pPr>
        <w:rPr>
          <w:rFonts w:ascii="Calibri" w:hAnsi="Calibri" w:cs="Calibri"/>
        </w:rPr>
      </w:pPr>
      <w:r w:rsidRPr="00D65F6E">
        <w:rPr>
          <w:rFonts w:ascii="Calibri" w:hAnsi="Calibri" w:cs="Calibri"/>
        </w:rPr>
        <w:lastRenderedPageBreak/>
        <w:t xml:space="preserve">South Africa remains a </w:t>
      </w:r>
      <w:r w:rsidRPr="00D65F6E">
        <w:rPr>
          <w:rFonts w:ascii="Calibri" w:hAnsi="Calibri" w:cs="Calibri"/>
          <w:b/>
        </w:rPr>
        <w:t>steadfast supporter of the UNFCCC process</w:t>
      </w:r>
      <w:r w:rsidRPr="00D65F6E">
        <w:rPr>
          <w:rFonts w:ascii="Calibri" w:hAnsi="Calibri" w:cs="Calibri"/>
        </w:rPr>
        <w:t>, is one of the G20 countries that has announced a net zero carbon economy target by 2050 and submitted its long-term low greenhouse gas emission development strategy to the UNFCCC.</w:t>
      </w:r>
    </w:p>
    <w:p w14:paraId="0D76FA28" w14:textId="77777777" w:rsidR="00D65F6E" w:rsidRPr="00D65F6E" w:rsidRDefault="00D65F6E" w:rsidP="00D65F6E">
      <w:pPr>
        <w:rPr>
          <w:rFonts w:ascii="Calibri" w:hAnsi="Calibri" w:cs="Calibri"/>
          <w:lang w:val="en-ZA"/>
        </w:rPr>
      </w:pPr>
      <w:r w:rsidRPr="00D65F6E">
        <w:rPr>
          <w:rFonts w:ascii="Calibri" w:hAnsi="Calibri" w:cs="Calibri"/>
          <w:lang w:val="en-ZA"/>
        </w:rPr>
        <w:t xml:space="preserve">The domestic implementation of the Paris Agreement is led by the Department of Forestry, Fisheries, and the Environment (DFFE). The Climate Change Bill was introduced to Parliament on 18 February 2022, until it enters into force, coordination of key players (Provinces, Municipalities, National Treasury, Department of Mineral resources and Energy, National Planning Commission) remains a challenge. President </w:t>
      </w:r>
      <w:proofErr w:type="spellStart"/>
      <w:r w:rsidRPr="00D65F6E">
        <w:rPr>
          <w:rFonts w:ascii="Calibri" w:hAnsi="Calibri" w:cs="Calibri"/>
          <w:lang w:val="en-ZA"/>
        </w:rPr>
        <w:t>Ramaphosa</w:t>
      </w:r>
      <w:proofErr w:type="spellEnd"/>
      <w:r w:rsidRPr="00D65F6E">
        <w:rPr>
          <w:rFonts w:ascii="Calibri" w:hAnsi="Calibri" w:cs="Calibri"/>
          <w:lang w:val="en-ZA"/>
        </w:rPr>
        <w:t xml:space="preserve"> established a Presidential Climate Commission (PCC) in 2018 to advise on the country’s climate change response and pathways to a low-carbon climate-resilient economy and society. The PCC has played a positive role to enhance South Africa’s climate ambitions.</w:t>
      </w:r>
    </w:p>
    <w:p w14:paraId="28678369" w14:textId="77777777" w:rsidR="00D65F6E" w:rsidRPr="00D65F6E" w:rsidRDefault="00D65F6E" w:rsidP="00D65F6E">
      <w:pPr>
        <w:rPr>
          <w:rFonts w:ascii="Calibri" w:hAnsi="Calibri" w:cs="Calibri"/>
        </w:rPr>
      </w:pPr>
      <w:r w:rsidRPr="00D65F6E">
        <w:rPr>
          <w:rFonts w:ascii="Calibri" w:hAnsi="Calibri" w:cs="Calibri"/>
        </w:rPr>
        <w:t>South Africa submitted its updated first</w:t>
      </w:r>
      <w:r w:rsidRPr="00D65F6E">
        <w:rPr>
          <w:rFonts w:ascii="Calibri" w:hAnsi="Calibri" w:cs="Calibri"/>
          <w:b/>
        </w:rPr>
        <w:t xml:space="preserve"> Nationally Determined Contribution </w:t>
      </w:r>
      <w:r w:rsidRPr="00D65F6E">
        <w:rPr>
          <w:rFonts w:ascii="Calibri" w:hAnsi="Calibri" w:cs="Calibri"/>
        </w:rPr>
        <w:t xml:space="preserve">to the UNFCCC secretariat in September 2021. The updated NDC complies with the guidance adopted at the 2018 UN Climate Change Conference in Katowice on transparency on the emission reduction ranges. </w:t>
      </w:r>
    </w:p>
    <w:p w14:paraId="2629136F" w14:textId="77777777" w:rsidR="00D65F6E" w:rsidRPr="00D65F6E" w:rsidRDefault="00D65F6E" w:rsidP="00D65F6E">
      <w:pPr>
        <w:rPr>
          <w:rFonts w:ascii="Calibri" w:hAnsi="Calibri" w:cs="Calibri"/>
        </w:rPr>
      </w:pPr>
      <w:r w:rsidRPr="00D65F6E">
        <w:rPr>
          <w:rFonts w:ascii="Calibri" w:hAnsi="Calibri" w:cs="Calibri"/>
        </w:rPr>
        <w:t xml:space="preserve">South Africa commits to keep </w:t>
      </w:r>
      <w:r w:rsidRPr="00D65F6E">
        <w:rPr>
          <w:rFonts w:ascii="Calibri" w:hAnsi="Calibri" w:cs="Calibri"/>
          <w:b/>
        </w:rPr>
        <w:t xml:space="preserve">emissions </w:t>
      </w:r>
      <w:r w:rsidRPr="00D65F6E">
        <w:rPr>
          <w:rFonts w:ascii="Calibri" w:hAnsi="Calibri" w:cs="Calibri"/>
        </w:rPr>
        <w:t xml:space="preserve">within 398-510 Mt CO2-eq in 2025 and 350-420 MtCO2-eq in 2030 (as recommended by the Presidential Climate Commission). Compared to the first NDC the upper end of the target range in 2025 has been reduced by 17%, and the upper end of the target range in 2030 has been reduced by 32%, and the lower range by 12%. The range between upper and lower bounds narrows significantly, from 216 Mt to 112 Mt in 2025 and 70 Mt CO2-eq in 2030. The updated NDC foresees the possibility to use </w:t>
      </w:r>
      <w:r w:rsidRPr="00D65F6E">
        <w:rPr>
          <w:rFonts w:ascii="Calibri" w:hAnsi="Calibri" w:cs="Calibri"/>
          <w:b/>
        </w:rPr>
        <w:t>Article 6</w:t>
      </w:r>
      <w:r w:rsidRPr="00D65F6E">
        <w:rPr>
          <w:rFonts w:ascii="Calibri" w:hAnsi="Calibri" w:cs="Calibri"/>
        </w:rPr>
        <w:t>. There is fierce debate on climate policies, which has flared up due to South Africa’s higher ambitions.</w:t>
      </w:r>
    </w:p>
    <w:p w14:paraId="10DB5D52" w14:textId="77777777" w:rsidR="00D65F6E" w:rsidRPr="00D65F6E" w:rsidRDefault="00D65F6E" w:rsidP="00D65F6E">
      <w:pPr>
        <w:rPr>
          <w:rFonts w:ascii="Calibri" w:hAnsi="Calibri" w:cs="Calibri"/>
        </w:rPr>
      </w:pPr>
      <w:r w:rsidRPr="00D65F6E">
        <w:rPr>
          <w:rFonts w:ascii="Calibri" w:hAnsi="Calibri" w:cs="Calibri"/>
        </w:rPr>
        <w:t xml:space="preserve">The basis for South Africa’s NDC is the assumption that </w:t>
      </w:r>
      <w:r w:rsidRPr="00D65F6E">
        <w:rPr>
          <w:rFonts w:ascii="Calibri" w:hAnsi="Calibri" w:cs="Calibri"/>
          <w:b/>
        </w:rPr>
        <w:t xml:space="preserve">support </w:t>
      </w:r>
      <w:r w:rsidRPr="00D65F6E">
        <w:rPr>
          <w:rFonts w:ascii="Calibri" w:hAnsi="Calibri" w:cs="Calibri"/>
        </w:rPr>
        <w:t xml:space="preserve">will be provided for mitigation, adaptation and loss and damage. SA has received over USD 2.4 Billion/ year in climate finance in </w:t>
      </w:r>
      <w:proofErr w:type="gramStart"/>
      <w:r w:rsidRPr="00D65F6E">
        <w:rPr>
          <w:rFonts w:ascii="Calibri" w:hAnsi="Calibri" w:cs="Calibri"/>
        </w:rPr>
        <w:t>2018/2019, and</w:t>
      </w:r>
      <w:proofErr w:type="gramEnd"/>
      <w:r w:rsidRPr="00D65F6E">
        <w:rPr>
          <w:rFonts w:ascii="Calibri" w:hAnsi="Calibri" w:cs="Calibri"/>
        </w:rPr>
        <w:t xml:space="preserve"> would now require USD 8 billion/ year by 2030 – equally distributed between mitigation and adaptation. SA has consistently called for climate finance to be separate from ODA and to provide support through grants, not to burden the country and developing countries with more debt.</w:t>
      </w:r>
    </w:p>
    <w:p w14:paraId="4A97DE04" w14:textId="77777777" w:rsidR="00D65F6E" w:rsidRPr="00D65F6E" w:rsidRDefault="00D65F6E" w:rsidP="00D65F6E">
      <w:pPr>
        <w:rPr>
          <w:rFonts w:ascii="Calibri" w:hAnsi="Calibri" w:cs="Calibri"/>
        </w:rPr>
      </w:pPr>
      <w:r w:rsidRPr="00D65F6E">
        <w:rPr>
          <w:rFonts w:ascii="Calibri" w:hAnsi="Calibri" w:cs="Calibri"/>
        </w:rPr>
        <w:t xml:space="preserve">There is a comprehensive </w:t>
      </w:r>
      <w:r w:rsidRPr="00D65F6E">
        <w:rPr>
          <w:rFonts w:ascii="Calibri" w:hAnsi="Calibri" w:cs="Calibri"/>
          <w:b/>
        </w:rPr>
        <w:t>adaptation</w:t>
      </w:r>
      <w:r w:rsidRPr="00D65F6E">
        <w:rPr>
          <w:rFonts w:ascii="Calibri" w:hAnsi="Calibri" w:cs="Calibri"/>
        </w:rPr>
        <w:t xml:space="preserve"> component included in the NDC that reflects the objectives of the 2020 National Climate Change Adaptation strategy. It includes an estimate of the actual and foreseen expenditures to adapt to climate change. </w:t>
      </w:r>
    </w:p>
    <w:p w14:paraId="3F2D2761" w14:textId="77777777" w:rsidR="00D65F6E" w:rsidRPr="00D65F6E" w:rsidRDefault="00D65F6E" w:rsidP="00D65F6E">
      <w:pPr>
        <w:rPr>
          <w:rFonts w:ascii="Calibri" w:hAnsi="Calibri" w:cs="Calibri"/>
        </w:rPr>
      </w:pPr>
      <w:r w:rsidRPr="00D65F6E">
        <w:rPr>
          <w:rFonts w:ascii="Calibri" w:hAnsi="Calibri" w:cs="Calibri"/>
        </w:rPr>
        <w:t>The</w:t>
      </w:r>
      <w:r w:rsidRPr="00D65F6E">
        <w:rPr>
          <w:rFonts w:ascii="Calibri" w:hAnsi="Calibri" w:cs="Calibri"/>
          <w:lang w:val="en-ZA"/>
        </w:rPr>
        <w:t xml:space="preserve"> </w:t>
      </w:r>
      <w:r w:rsidRPr="00D65F6E">
        <w:rPr>
          <w:rFonts w:ascii="Calibri" w:hAnsi="Calibri" w:cs="Calibri"/>
          <w:b/>
          <w:lang w:val="en-ZA"/>
        </w:rPr>
        <w:t xml:space="preserve">Climate Change Bill was submitted </w:t>
      </w:r>
      <w:r w:rsidRPr="00D65F6E">
        <w:rPr>
          <w:rFonts w:ascii="Calibri" w:hAnsi="Calibri" w:cs="Calibri"/>
          <w:lang w:val="en-ZA"/>
        </w:rPr>
        <w:t xml:space="preserve">to the National Assembly in October 2021. The Bill seeks to </w:t>
      </w:r>
      <w:r w:rsidRPr="00D65F6E">
        <w:rPr>
          <w:rFonts w:ascii="Calibri" w:hAnsi="Calibri" w:cs="Calibri"/>
          <w:i/>
          <w:lang w:val="en-ZA"/>
        </w:rPr>
        <w:t>‘enable the development of an effective climate change response and a long term, just transition to a climate resilient and low carbon economy and society for South Africa in the context of sustainable development’</w:t>
      </w:r>
      <w:r w:rsidRPr="00D65F6E">
        <w:rPr>
          <w:rFonts w:ascii="Calibri" w:hAnsi="Calibri" w:cs="Calibri"/>
          <w:lang w:val="en-ZA"/>
        </w:rPr>
        <w:t xml:space="preserve">. The Bill is a key piece of legislation as it proposes to integrate climate action across all areas of Government, opening the way for emission reductions in all economic sectors and for climate adaptation responses from local to national levels. The Bill would also give a legal status to the </w:t>
      </w:r>
      <w:r w:rsidRPr="00D65F6E">
        <w:rPr>
          <w:rFonts w:ascii="Calibri" w:hAnsi="Calibri" w:cs="Calibri"/>
          <w:b/>
          <w:lang w:val="en-ZA"/>
        </w:rPr>
        <w:t>Presidential Climate Commission</w:t>
      </w:r>
      <w:r w:rsidRPr="00D65F6E">
        <w:rPr>
          <w:rFonts w:ascii="Calibri" w:hAnsi="Calibri" w:cs="Calibri"/>
          <w:lang w:val="en-ZA"/>
        </w:rPr>
        <w:t>, established for now by Executive decision of the President.</w:t>
      </w:r>
      <w:r w:rsidRPr="00D65F6E">
        <w:rPr>
          <w:rFonts w:ascii="Calibri" w:hAnsi="Calibri" w:cs="Calibri"/>
        </w:rPr>
        <w:t xml:space="preserve">  </w:t>
      </w:r>
    </w:p>
    <w:p w14:paraId="424C8B9B" w14:textId="77777777" w:rsidR="00D65F6E" w:rsidRPr="00D65F6E" w:rsidRDefault="00D65F6E" w:rsidP="00D65F6E">
      <w:pPr>
        <w:rPr>
          <w:rFonts w:ascii="Calibri" w:hAnsi="Calibri" w:cs="Calibri"/>
          <w:lang w:val="en-ZA"/>
        </w:rPr>
      </w:pPr>
    </w:p>
    <w:p w14:paraId="0D948B35" w14:textId="77777777" w:rsidR="00D65F6E" w:rsidRPr="00D65F6E" w:rsidRDefault="00D65F6E" w:rsidP="00D65F6E">
      <w:pPr>
        <w:rPr>
          <w:rFonts w:ascii="Calibri" w:hAnsi="Calibri" w:cs="Calibri"/>
        </w:rPr>
      </w:pPr>
      <w:r w:rsidRPr="00D65F6E">
        <w:rPr>
          <w:rFonts w:ascii="Calibri" w:hAnsi="Calibri" w:cs="Calibri"/>
        </w:rPr>
        <w:t xml:space="preserve">The </w:t>
      </w:r>
      <w:r w:rsidRPr="00D65F6E">
        <w:rPr>
          <w:rFonts w:ascii="Calibri" w:hAnsi="Calibri" w:cs="Calibri"/>
          <w:b/>
        </w:rPr>
        <w:t>National Carbon Tax</w:t>
      </w:r>
      <w:r w:rsidRPr="00D65F6E">
        <w:rPr>
          <w:rFonts w:ascii="Calibri" w:hAnsi="Calibri" w:cs="Calibri"/>
        </w:rPr>
        <w:t xml:space="preserve"> came into effect on 1 June 2019 with a low carbon price and large tax rebate allowances until 2022. The carbon price could be stronger in the 2</w:t>
      </w:r>
      <w:r w:rsidRPr="00D65F6E">
        <w:rPr>
          <w:rFonts w:ascii="Calibri" w:hAnsi="Calibri" w:cs="Calibri"/>
          <w:vertAlign w:val="superscript"/>
        </w:rPr>
        <w:t>nd</w:t>
      </w:r>
      <w:r w:rsidRPr="00D65F6E">
        <w:rPr>
          <w:rFonts w:ascii="Calibri" w:hAnsi="Calibri" w:cs="Calibri"/>
        </w:rPr>
        <w:t xml:space="preserve"> phase kicking in 2023. It remains uncertain how the carbon tax will be implemented together with the sectoral carbon budgets foreseen in the Climate Change Bill.</w:t>
      </w:r>
    </w:p>
    <w:p w14:paraId="16AD3830" w14:textId="77777777" w:rsidR="00D65F6E" w:rsidRPr="00D65F6E" w:rsidRDefault="00D65F6E" w:rsidP="00D65F6E">
      <w:pPr>
        <w:rPr>
          <w:rFonts w:ascii="Calibri" w:hAnsi="Calibri" w:cs="Calibri"/>
        </w:rPr>
      </w:pPr>
      <w:r w:rsidRPr="00D65F6E">
        <w:rPr>
          <w:rFonts w:ascii="Calibri" w:hAnsi="Calibri" w:cs="Calibri"/>
        </w:rPr>
        <w:t xml:space="preserve">National Treasury has developed </w:t>
      </w:r>
      <w:r w:rsidRPr="00D65F6E">
        <w:rPr>
          <w:rFonts w:ascii="Calibri" w:hAnsi="Calibri" w:cs="Calibri"/>
          <w:b/>
        </w:rPr>
        <w:t>a sustainable finance strategy</w:t>
      </w:r>
      <w:r w:rsidRPr="00D65F6E">
        <w:rPr>
          <w:rFonts w:ascii="Calibri" w:hAnsi="Calibri" w:cs="Calibri"/>
        </w:rPr>
        <w:t xml:space="preserve"> and a draft sustainable finance taxonomy, taking inspiration from the EU taxonomy.</w:t>
      </w:r>
    </w:p>
    <w:p w14:paraId="0E514B4E" w14:textId="77777777" w:rsidR="00D65F6E" w:rsidRPr="00D65F6E" w:rsidRDefault="00D65F6E" w:rsidP="00D65F6E">
      <w:pPr>
        <w:rPr>
          <w:rFonts w:ascii="Calibri" w:hAnsi="Calibri" w:cs="Calibri"/>
          <w:lang w:val="en-ZA"/>
        </w:rPr>
      </w:pPr>
      <w:r w:rsidRPr="00D65F6E">
        <w:rPr>
          <w:rFonts w:ascii="Calibri" w:hAnsi="Calibri" w:cs="Calibri"/>
          <w:lang w:val="en-ZA"/>
        </w:rPr>
        <w:t xml:space="preserve">In its collaboration with the EU, South Africa acknowledges the importance of addressing determinants of GHG emissions and climate change in a wide and crosscutting manner. As such, South Africa harnesses the value of co-benefits generated by </w:t>
      </w:r>
      <w:r w:rsidRPr="00D65F6E">
        <w:rPr>
          <w:rFonts w:ascii="Calibri" w:hAnsi="Calibri" w:cs="Calibri"/>
          <w:b/>
          <w:lang w:val="en-ZA"/>
        </w:rPr>
        <w:t>nature-based solutions and increased efficiency in resource use</w:t>
      </w:r>
      <w:r w:rsidRPr="00D65F6E">
        <w:rPr>
          <w:rFonts w:ascii="Calibri" w:hAnsi="Calibri" w:cs="Calibri"/>
          <w:lang w:val="en-ZA"/>
        </w:rPr>
        <w:t xml:space="preserve">. This includes ambitious policy frameworks on </w:t>
      </w:r>
      <w:r w:rsidRPr="00D65F6E">
        <w:rPr>
          <w:rFonts w:ascii="Calibri" w:hAnsi="Calibri" w:cs="Calibri"/>
          <w:lang w:val="en-ZA"/>
        </w:rPr>
        <w:lastRenderedPageBreak/>
        <w:t>biodiversity and landscape conservation, on sustainable water management, and on the development of circular economy.</w:t>
      </w:r>
    </w:p>
    <w:p w14:paraId="5FC295D9" w14:textId="77777777" w:rsidR="00D65F6E" w:rsidRPr="00D65F6E" w:rsidRDefault="00D65F6E" w:rsidP="00D65F6E">
      <w:pPr>
        <w:rPr>
          <w:rFonts w:ascii="Calibri" w:hAnsi="Calibri" w:cs="Calibri"/>
        </w:rPr>
      </w:pPr>
      <w:r w:rsidRPr="00D65F6E">
        <w:rPr>
          <w:rFonts w:ascii="Calibri" w:hAnsi="Calibri" w:cs="Calibri"/>
          <w:b/>
        </w:rPr>
        <w:t>Natural disasters</w:t>
      </w:r>
      <w:r w:rsidRPr="00D65F6E">
        <w:rPr>
          <w:rFonts w:ascii="Calibri" w:hAnsi="Calibri" w:cs="Calibri"/>
        </w:rPr>
        <w:t xml:space="preserve"> in South Africa (</w:t>
      </w:r>
      <w:proofErr w:type="gramStart"/>
      <w:r w:rsidRPr="00D65F6E">
        <w:rPr>
          <w:rFonts w:ascii="Calibri" w:hAnsi="Calibri" w:cs="Calibri"/>
        </w:rPr>
        <w:t>e.g.</w:t>
      </w:r>
      <w:proofErr w:type="gramEnd"/>
      <w:r w:rsidRPr="00D65F6E">
        <w:rPr>
          <w:rFonts w:ascii="Calibri" w:hAnsi="Calibri" w:cs="Calibri"/>
        </w:rPr>
        <w:t xml:space="preserve"> droughts, floods, storms) have led to significant social and economic losses, which is anticipated to exacerbate as consequence of climate change. South Africa is a water-stressed country and droughts are regular occurrence. Droughts significantly affect human health, destroy crops, and have a negative impact on other economic sectors like mining and electricity generation in South Africa. The likelihood of annual severe drought is projected to increase. Floods are a recurring natural disaster in the country and is usually attributable to sudden heavy rainfall incidents. Temperatures have been rising steadily in South Africa. Very high temperatures mean that parts of the country will be much drier and increased evaporation will cause an overall decrease in water availability in an already water stressed country. Frequent wildfires due to extreme temperatures are a major concern causing loss of life and damage to infrastructure.</w:t>
      </w:r>
    </w:p>
    <w:p w14:paraId="46FB8D9C" w14:textId="77777777" w:rsidR="00D65F6E" w:rsidRPr="00D65F6E" w:rsidRDefault="00D65F6E" w:rsidP="00200CBA">
      <w:pPr>
        <w:spacing w:after="120" w:line="240" w:lineRule="auto"/>
        <w:rPr>
          <w:rFonts w:ascii="Calibri" w:hAnsi="Calibri" w:cs="Calibri"/>
        </w:rPr>
      </w:pPr>
      <w:r w:rsidRPr="00D65F6E">
        <w:rPr>
          <w:rFonts w:ascii="Calibri" w:hAnsi="Calibri" w:cs="Calibri"/>
        </w:rPr>
        <w:t xml:space="preserve">South Africa ranks medium in the INFORM risk index:  </w:t>
      </w:r>
    </w:p>
    <w:p w14:paraId="790D7173" w14:textId="13BEC330" w:rsidR="00D65F6E" w:rsidRPr="00D65F6E" w:rsidRDefault="00D65F6E" w:rsidP="00D65F6E">
      <w:pPr>
        <w:rPr>
          <w:rFonts w:ascii="Calibri" w:hAnsi="Calibri" w:cs="Calibri"/>
        </w:rPr>
      </w:pPr>
      <w:r w:rsidRPr="00D65F6E">
        <w:rPr>
          <w:rFonts w:ascii="Calibri" w:hAnsi="Calibri" w:cs="Calibri"/>
        </w:rPr>
        <w:drawing>
          <wp:inline distT="0" distB="0" distL="0" distR="0" wp14:anchorId="7B0AB695" wp14:editId="0B65E9A1">
            <wp:extent cx="3885281" cy="187650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06991" cy="1886993"/>
                    </a:xfrm>
                    <a:prstGeom prst="rect">
                      <a:avLst/>
                    </a:prstGeom>
                  </pic:spPr>
                </pic:pic>
              </a:graphicData>
            </a:graphic>
          </wp:inline>
        </w:drawing>
      </w:r>
    </w:p>
    <w:p w14:paraId="5A493247" w14:textId="4F71C261" w:rsidR="00E3279D" w:rsidRDefault="00905DC7" w:rsidP="00E3279D">
      <w:pPr>
        <w:keepNext/>
        <w:spacing w:before="240" w:after="240" w:line="240" w:lineRule="auto"/>
        <w:ind w:left="360" w:hanging="360"/>
        <w:jc w:val="left"/>
        <w:outlineLvl w:val="1"/>
        <w:rPr>
          <w:smallCaps/>
          <w:spacing w:val="5"/>
          <w:sz w:val="28"/>
          <w:szCs w:val="28"/>
        </w:rPr>
      </w:pPr>
      <w:bookmarkStart w:id="4" w:name="_Toc527365599"/>
      <w:bookmarkStart w:id="5" w:name="_Toc139365178"/>
      <w:r w:rsidRPr="00E229AD">
        <w:rPr>
          <w:smallCaps/>
          <w:spacing w:val="5"/>
          <w:sz w:val="28"/>
          <w:szCs w:val="28"/>
        </w:rPr>
        <w:t>2</w:t>
      </w:r>
      <w:r w:rsidRPr="00E229AD">
        <w:rPr>
          <w:smallCaps/>
          <w:spacing w:val="5"/>
          <w:sz w:val="28"/>
          <w:szCs w:val="28"/>
        </w:rPr>
        <w:tab/>
        <w:t>Priorities arising from the bilateral climate policy dialogue</w:t>
      </w:r>
      <w:bookmarkEnd w:id="4"/>
      <w:bookmarkEnd w:id="5"/>
      <w:r w:rsidRPr="00E229AD">
        <w:rPr>
          <w:smallCaps/>
          <w:spacing w:val="5"/>
          <w:sz w:val="28"/>
          <w:szCs w:val="28"/>
        </w:rPr>
        <w:t xml:space="preserve"> </w:t>
      </w:r>
    </w:p>
    <w:p w14:paraId="58E544A9" w14:textId="77777777" w:rsidR="00763F61" w:rsidRPr="00763F61" w:rsidRDefault="00763F61" w:rsidP="00763F61">
      <w:pPr>
        <w:spacing w:after="160"/>
        <w:jc w:val="left"/>
      </w:pPr>
      <w:r w:rsidRPr="00763F61">
        <w:t xml:space="preserve">South Africa is the </w:t>
      </w:r>
      <w:r w:rsidRPr="00763F61">
        <w:rPr>
          <w:b/>
        </w:rPr>
        <w:t>only EU Strategic Partner in Africa</w:t>
      </w:r>
      <w:r w:rsidRPr="00763F61">
        <w:t xml:space="preserve"> and a preferential trade partner thanks to the EU-SADC Economic Partnership Agreement (EU-SADC EPA). The Trade, Development and Cooperation Agreement (TDCA) is the legal basis for the overall relations between SA and the EU, although the EU-SADC EPA has superseded the TDCA trade rules. EU interests in the country remain strong, especially in bilateral trade and investment, African agenda, and global issues. In addition to the Southern African region (Zimbabwe, Mozambique), SA is an influential actor on the continent (Great Lakes, Libya, African Union), some non-African regions (</w:t>
      </w:r>
      <w:proofErr w:type="gramStart"/>
      <w:r w:rsidRPr="00763F61">
        <w:t>e.g.</w:t>
      </w:r>
      <w:proofErr w:type="gramEnd"/>
      <w:r w:rsidRPr="00763F61">
        <w:t xml:space="preserve"> Gulf region) as well as an important multilateral global player in the context of G20, G77, UNEP, BRICS. SA is therefore an important counterpart for implementation of partnership between Europe and Africa as well as for advancement of global priorities – especially the green deal agenda. </w:t>
      </w:r>
    </w:p>
    <w:p w14:paraId="6E87E820" w14:textId="77777777" w:rsidR="00763F61" w:rsidRPr="00763F61" w:rsidRDefault="00763F61" w:rsidP="00763F61">
      <w:pPr>
        <w:spacing w:after="160"/>
        <w:jc w:val="left"/>
      </w:pPr>
      <w:r w:rsidRPr="00763F61">
        <w:t xml:space="preserve">EU-bilateral Summits at Presidential level are organised in the framework of the Strategic Partnership of 2006 and the Joint Action Plan of 2007, which identified </w:t>
      </w:r>
      <w:r w:rsidRPr="00763F61">
        <w:rPr>
          <w:b/>
        </w:rPr>
        <w:t>climate change as a common concern and an area for cooperation</w:t>
      </w:r>
      <w:r w:rsidRPr="00763F61">
        <w:t>. The seventh RSA-EU Presidential Summit took place in 2018 and called to further SA-EU bilateral partnership in environment, climate change and water and to involve private sector. Yearly meetings have taken place on these topics since then between the European Commission and representatives of the South African government (</w:t>
      </w:r>
      <w:r w:rsidRPr="00763F61">
        <w:rPr>
          <w:lang w:val="en-ZA"/>
        </w:rPr>
        <w:t>Department of Environment, Forestry and Fisheries</w:t>
      </w:r>
      <w:r w:rsidRPr="00763F61">
        <w:t xml:space="preserve"> (DEFF) and Department of Water and Sanitation (DWS)). Executive Vice-President Timmermans last visited South Africa in February 2020. </w:t>
      </w:r>
    </w:p>
    <w:p w14:paraId="6EE10091" w14:textId="4612400B" w:rsidR="00763F61" w:rsidRPr="00763F61" w:rsidRDefault="00763F61" w:rsidP="00763F61">
      <w:pPr>
        <w:spacing w:after="160"/>
        <w:jc w:val="left"/>
      </w:pPr>
      <w:r w:rsidRPr="00763F61">
        <w:t xml:space="preserve">The </w:t>
      </w:r>
      <w:r w:rsidRPr="00763F61">
        <w:rPr>
          <w:b/>
        </w:rPr>
        <w:t>main themes of our co-operation with South Africa on climate action are</w:t>
      </w:r>
      <w:r w:rsidRPr="00763F61">
        <w:t xml:space="preserve"> just energy transition, NDC/long term climate strategy implementation (economy-wide and by keys sectors: energy, industry, etc.), sustainable finance and adaptation challenges. There are regular bilateral exchanges in preparation of UNFCCC COP negotiations as well as UN Environment Assembly, Convention on Biological Diversity and other multilateral environmental agreements, where South Africa is one of the leading African voices. South Africa is influential at Head of States level in the Committee of </w:t>
      </w:r>
      <w:r w:rsidRPr="00763F61">
        <w:lastRenderedPageBreak/>
        <w:t>African Heads of State and Government on Climate Change</w:t>
      </w:r>
      <w:r w:rsidR="00200CBA">
        <w:t xml:space="preserve"> </w:t>
      </w:r>
      <w:r w:rsidRPr="00763F61">
        <w:t xml:space="preserve">(CAHOSCC), at Minister of Environment levels in the African Ministerial Conference on the Environment (AMCEN) and with negotiators in the African Group of Negotiators (AGN). Their main demands in the negotiations concern climate finance, adaptation and loss and damage. At COP26, they did not support the EU’s position on coal phase-out. </w:t>
      </w:r>
    </w:p>
    <w:p w14:paraId="48DFBF13" w14:textId="77777777" w:rsidR="00763F61" w:rsidRPr="00763F61" w:rsidRDefault="00763F61" w:rsidP="00763F61">
      <w:pPr>
        <w:spacing w:after="160"/>
        <w:jc w:val="left"/>
      </w:pPr>
      <w:r w:rsidRPr="00763F61">
        <w:t xml:space="preserve">The EU together with France, Germany, UK and the US signed a political declaration with South Africa at COP26 in November 2021 to initiate a </w:t>
      </w:r>
      <w:r w:rsidRPr="00763F61">
        <w:rPr>
          <w:b/>
        </w:rPr>
        <w:t>Just Energy Transition Partnership</w:t>
      </w:r>
      <w:r w:rsidRPr="00763F61">
        <w:t xml:space="preserve"> (JETP). The International Partners Group (IPG, currently DE, FR, EU, UK, US) intends to mobilise approximately USD 8.5 billion over the next three to five years to support South Africa in achieving the ambitious goals set out in its updated Nationally Determined Contribution, subject to an investment plan, brought forward by RSA. These funds would be mobilised through </w:t>
      </w:r>
      <w:proofErr w:type="gramStart"/>
      <w:r w:rsidRPr="00763F61">
        <w:t>combining:</w:t>
      </w:r>
      <w:proofErr w:type="gramEnd"/>
      <w:r w:rsidRPr="00763F61">
        <w:t xml:space="preserve"> multilateral and bilateral grants, concessional loans, guarantees and private investments, and technical support. By COP27, a detailed agreement will have to be formalized and delivered. The JETP is also a source of great controversy in the public debate.</w:t>
      </w:r>
    </w:p>
    <w:p w14:paraId="4AB2143E" w14:textId="77777777" w:rsidR="00763F61" w:rsidRPr="00763F61" w:rsidRDefault="00763F61" w:rsidP="00763F61">
      <w:pPr>
        <w:spacing w:after="160"/>
        <w:jc w:val="left"/>
      </w:pPr>
      <w:r w:rsidRPr="00763F61">
        <w:t xml:space="preserve">Throughout 2020-2021, South African partners implemented SPIPA activities with a positive policy impact: </w:t>
      </w:r>
    </w:p>
    <w:p w14:paraId="2CBF6E49" w14:textId="77777777" w:rsidR="00763F61" w:rsidRPr="00763F61" w:rsidRDefault="00763F61" w:rsidP="005C528B">
      <w:pPr>
        <w:numPr>
          <w:ilvl w:val="0"/>
          <w:numId w:val="2"/>
        </w:numPr>
        <w:spacing w:after="160"/>
        <w:ind w:left="576" w:hanging="288"/>
        <w:jc w:val="left"/>
      </w:pPr>
      <w:r w:rsidRPr="00763F61">
        <w:t xml:space="preserve">the SPIPA contract with National Business Initiative directly facilitated RSA business leaders voicing their support for an ambitious mitigation target in South Africa’s updated </w:t>
      </w:r>
      <w:proofErr w:type="gramStart"/>
      <w:r w:rsidRPr="00763F61">
        <w:t>NDC;</w:t>
      </w:r>
      <w:proofErr w:type="gramEnd"/>
      <w:r w:rsidRPr="00763F61">
        <w:t xml:space="preserve"> </w:t>
      </w:r>
    </w:p>
    <w:p w14:paraId="46F69F3D" w14:textId="77777777" w:rsidR="00763F61" w:rsidRPr="00763F61" w:rsidRDefault="00763F61" w:rsidP="005C528B">
      <w:pPr>
        <w:numPr>
          <w:ilvl w:val="0"/>
          <w:numId w:val="2"/>
        </w:numPr>
        <w:spacing w:after="160"/>
        <w:ind w:left="576" w:hanging="288"/>
        <w:jc w:val="left"/>
      </w:pPr>
      <w:r w:rsidRPr="00763F61">
        <w:t xml:space="preserve">the SPIPA contracts to </w:t>
      </w:r>
      <w:proofErr w:type="spellStart"/>
      <w:r w:rsidRPr="00763F61">
        <w:t>GreenCape</w:t>
      </w:r>
      <w:proofErr w:type="spellEnd"/>
      <w:r w:rsidRPr="00763F61">
        <w:t xml:space="preserve">, gave visibility to the concrete benefits of the European Green Deal for South African SMEs, cities and society </w:t>
      </w:r>
      <w:proofErr w:type="gramStart"/>
      <w:r w:rsidRPr="00763F61">
        <w:t>at large;</w:t>
      </w:r>
      <w:proofErr w:type="gramEnd"/>
      <w:r w:rsidRPr="00763F61">
        <w:t xml:space="preserve"> </w:t>
      </w:r>
    </w:p>
    <w:p w14:paraId="3FF8706B" w14:textId="44C9FB69" w:rsidR="00E3279D" w:rsidRPr="00E3279D" w:rsidRDefault="00763F61" w:rsidP="005C528B">
      <w:pPr>
        <w:numPr>
          <w:ilvl w:val="0"/>
          <w:numId w:val="2"/>
        </w:numPr>
        <w:spacing w:after="160"/>
        <w:ind w:left="576" w:hanging="288"/>
        <w:jc w:val="left"/>
      </w:pPr>
      <w:r w:rsidRPr="00763F61">
        <w:t xml:space="preserve">the SPIPA contracts with Trade and Industrial Policies Strategies (TIPS), Council for Scientific and Industrial Research (CSIR), University of Cape Town (UCT), the South African Institute </w:t>
      </w:r>
      <w:proofErr w:type="gramStart"/>
      <w:r w:rsidRPr="00763F61">
        <w:t>Of</w:t>
      </w:r>
      <w:proofErr w:type="gramEnd"/>
      <w:r w:rsidRPr="00763F61">
        <w:t xml:space="preserve"> International Affairs and Wildlife and Environment Society of South Africa (WESSA) fed the Presidential Climate Commission public debates just transition and we instrumental to advocate for an ambitious updated NDC.  </w:t>
      </w:r>
    </w:p>
    <w:p w14:paraId="20AFC9C6" w14:textId="77777777" w:rsidR="002F0ACE" w:rsidRPr="00E229AD" w:rsidRDefault="002F0ACE">
      <w:pPr>
        <w:keepNext/>
        <w:spacing w:before="240" w:after="240" w:line="240" w:lineRule="auto"/>
        <w:ind w:left="360" w:hanging="360"/>
        <w:jc w:val="left"/>
        <w:outlineLvl w:val="1"/>
        <w:rPr>
          <w:smallCaps/>
          <w:spacing w:val="5"/>
          <w:sz w:val="28"/>
          <w:szCs w:val="28"/>
        </w:rPr>
      </w:pPr>
      <w:bookmarkStart w:id="6" w:name="_Toc527365600"/>
      <w:bookmarkStart w:id="7" w:name="_Toc139365179"/>
      <w:r w:rsidRPr="00E229AD">
        <w:rPr>
          <w:smallCaps/>
          <w:spacing w:val="5"/>
          <w:sz w:val="28"/>
          <w:szCs w:val="28"/>
        </w:rPr>
        <w:t>3</w:t>
      </w:r>
      <w:r w:rsidRPr="00E229AD">
        <w:rPr>
          <w:smallCaps/>
          <w:spacing w:val="5"/>
          <w:sz w:val="28"/>
          <w:szCs w:val="28"/>
        </w:rPr>
        <w:tab/>
        <w:t>Relevant cooperation activities through other European projects</w:t>
      </w:r>
      <w:bookmarkEnd w:id="6"/>
      <w:bookmarkEnd w:id="7"/>
    </w:p>
    <w:p w14:paraId="384F586F" w14:textId="77777777" w:rsidR="00763F61" w:rsidRPr="00763F61" w:rsidRDefault="00763F61" w:rsidP="00763F61">
      <w:r w:rsidRPr="00763F61">
        <w:t>The EU and its Member States present in South Africa are developing since 2021 a Team Europe Initiative on: “A Just and Green Recovery” to tackle the socio-economic challenges of South Africa simultaneously reducing its emissions</w:t>
      </w:r>
      <w:r w:rsidRPr="00763F61">
        <w:rPr>
          <w:vertAlign w:val="superscript"/>
        </w:rPr>
        <w:footnoteReference w:id="2"/>
      </w:r>
      <w:r w:rsidRPr="00763F61">
        <w:t xml:space="preserve">. </w:t>
      </w:r>
    </w:p>
    <w:p w14:paraId="57007F54" w14:textId="77777777" w:rsidR="00763F61" w:rsidRPr="00763F61" w:rsidRDefault="00763F61" w:rsidP="00763F61">
      <w:r w:rsidRPr="00763F61">
        <w:t>The TEI on a just and green recovery encompasses 3 pillars of work:</w:t>
      </w:r>
    </w:p>
    <w:p w14:paraId="2F779E03" w14:textId="77777777" w:rsidR="00200CBA" w:rsidRDefault="00763F61" w:rsidP="005C528B">
      <w:pPr>
        <w:pStyle w:val="ListParagraph"/>
        <w:numPr>
          <w:ilvl w:val="0"/>
          <w:numId w:val="7"/>
        </w:numPr>
        <w:spacing w:after="120"/>
        <w:ind w:left="576" w:hanging="288"/>
      </w:pPr>
      <w:r w:rsidRPr="00200CBA">
        <w:rPr>
          <w:b/>
        </w:rPr>
        <w:t>Policy reform</w:t>
      </w:r>
      <w:r w:rsidRPr="00763F61">
        <w:t xml:space="preserve"> to inform green recovery to support the country delivering on its international commitments on climate change, environment and biodiversity, as well as on the responsibility to protect its citizens from climate change. Ultimately, this effort is to encourage a shift in budgetary allocations to mitigation and adaptation that ensures equitable and green growth in South Africa.</w:t>
      </w:r>
    </w:p>
    <w:p w14:paraId="1B254164" w14:textId="77777777" w:rsidR="00200CBA" w:rsidRDefault="00763F61" w:rsidP="005C528B">
      <w:pPr>
        <w:pStyle w:val="ListParagraph"/>
        <w:numPr>
          <w:ilvl w:val="0"/>
          <w:numId w:val="7"/>
        </w:numPr>
        <w:ind w:left="576" w:hanging="288"/>
      </w:pPr>
      <w:r w:rsidRPr="00200CBA">
        <w:rPr>
          <w:b/>
        </w:rPr>
        <w:t>Unlocking green investments</w:t>
      </w:r>
      <w:r w:rsidRPr="00763F61">
        <w:t>: Public and private sector blending and investments for green infrastructure for adaptation, inclusive economic recovery, greener long-term competitiveness and service delivery. Through this pillar, the EU and its Member States would showcase how they invest in public and private operators to achieve mitigation and adaptation with the objective of an inclusive, low carbon and equitable South Africa.</w:t>
      </w:r>
    </w:p>
    <w:p w14:paraId="05F8FEA3" w14:textId="2AD07BAC" w:rsidR="00763F61" w:rsidRPr="00763F61" w:rsidRDefault="00763F61" w:rsidP="005C528B">
      <w:pPr>
        <w:pStyle w:val="ListParagraph"/>
        <w:numPr>
          <w:ilvl w:val="0"/>
          <w:numId w:val="7"/>
        </w:numPr>
        <w:ind w:left="576" w:hanging="288"/>
      </w:pPr>
      <w:r w:rsidRPr="00200CBA">
        <w:rPr>
          <w:b/>
        </w:rPr>
        <w:t>Building a knowledge-based transition</w:t>
      </w:r>
      <w:r w:rsidRPr="00763F61">
        <w:t xml:space="preserve">, including civil society voice, through joint research and joint innovation, knowledge exchange, evidence building, and piloting and experience sharing. This pillar reflects </w:t>
      </w:r>
      <w:proofErr w:type="gramStart"/>
      <w:r w:rsidRPr="00763F61">
        <w:t>EU</w:t>
      </w:r>
      <w:proofErr w:type="gramEnd"/>
      <w:r w:rsidRPr="00763F61">
        <w:t xml:space="preserve"> and its Member States engage with South Africa’s society to share knowledge, experience and technology from transition in Europe and we provide finance to South Africa’s scientific community.</w:t>
      </w:r>
    </w:p>
    <w:p w14:paraId="3C4D64F8" w14:textId="77777777" w:rsidR="00763F61" w:rsidRPr="00763F61" w:rsidRDefault="00763F61" w:rsidP="00763F61">
      <w:r w:rsidRPr="00763F61">
        <w:t>The EU and its Member States present in South Africa have also integrated green economy opportunities under the TEIs “Jobs for the future South Africa”.</w:t>
      </w:r>
    </w:p>
    <w:p w14:paraId="4AD86E73" w14:textId="1B79C592" w:rsidR="00801775" w:rsidRPr="00763F61" w:rsidRDefault="00763F61" w:rsidP="00801775">
      <w:r w:rsidRPr="00763F61">
        <w:lastRenderedPageBreak/>
        <w:t>The TEIs on Just and Green Recovery and on Jobs for the future South Africa will contribute to implementation of the JETP.</w:t>
      </w:r>
    </w:p>
    <w:p w14:paraId="47EEF146" w14:textId="34598D96" w:rsidR="006F3C29" w:rsidRPr="00E229AD" w:rsidRDefault="00B30928" w:rsidP="00D204C7">
      <w:pPr>
        <w:pStyle w:val="Heading2"/>
        <w:numPr>
          <w:ilvl w:val="0"/>
          <w:numId w:val="0"/>
        </w:numPr>
        <w:ind w:left="360" w:hanging="360"/>
      </w:pPr>
      <w:bookmarkStart w:id="8" w:name="_Toc527365601"/>
      <w:bookmarkStart w:id="9" w:name="_Toc139365180"/>
      <w:r w:rsidRPr="00E229AD">
        <w:t>4</w:t>
      </w:r>
      <w:r w:rsidRPr="00E229AD">
        <w:tab/>
        <w:t xml:space="preserve">Thematic priorities for </w:t>
      </w:r>
      <w:bookmarkEnd w:id="8"/>
      <w:r w:rsidR="00AB5D8E" w:rsidRPr="00E229AD">
        <w:t>EUCDs</w:t>
      </w:r>
      <w:bookmarkEnd w:id="9"/>
    </w:p>
    <w:p w14:paraId="34AAF474" w14:textId="30A59465" w:rsidR="006F3C29" w:rsidRPr="00E229AD" w:rsidRDefault="005C0C81" w:rsidP="00D204C7">
      <w:pPr>
        <w:keepNext/>
        <w:spacing w:before="240" w:after="120" w:line="240" w:lineRule="auto"/>
        <w:ind w:left="360" w:hanging="360"/>
        <w:outlineLvl w:val="2"/>
        <w:rPr>
          <w:smallCaps/>
          <w:spacing w:val="5"/>
          <w:sz w:val="28"/>
          <w:szCs w:val="32"/>
        </w:rPr>
      </w:pPr>
      <w:bookmarkStart w:id="10" w:name="_Toc139365181"/>
      <w:r w:rsidRPr="00E229AD">
        <w:rPr>
          <w:smallCaps/>
          <w:spacing w:val="5"/>
          <w:sz w:val="28"/>
          <w:szCs w:val="32"/>
        </w:rPr>
        <w:t>Identified priorities</w:t>
      </w:r>
      <w:bookmarkEnd w:id="10"/>
    </w:p>
    <w:p w14:paraId="714F40E9" w14:textId="77777777" w:rsidR="00763F61" w:rsidRPr="00763F61" w:rsidRDefault="00763F61" w:rsidP="00763F61">
      <w:pPr>
        <w:spacing w:after="160"/>
        <w:jc w:val="left"/>
      </w:pPr>
      <w:r w:rsidRPr="00763F61">
        <w:t xml:space="preserve">In the new context of the European Green Deal, several of the priorities identified under SPIPA 1 CES remain valid for 2022-2023: </w:t>
      </w:r>
    </w:p>
    <w:p w14:paraId="087A119A" w14:textId="77777777" w:rsidR="00763F61" w:rsidRPr="00763F61" w:rsidRDefault="00763F61" w:rsidP="00763F61">
      <w:pPr>
        <w:spacing w:after="160"/>
        <w:jc w:val="left"/>
        <w:rPr>
          <w:b/>
        </w:rPr>
      </w:pPr>
      <w:r w:rsidRPr="00763F61">
        <w:rPr>
          <w:b/>
        </w:rPr>
        <w:t xml:space="preserve">Priority 1 - </w:t>
      </w:r>
      <w:r w:rsidRPr="00763F61">
        <w:rPr>
          <w:b/>
          <w:u w:val="single"/>
        </w:rPr>
        <w:t>Just Transition</w:t>
      </w:r>
      <w:r w:rsidRPr="00763F61">
        <w:rPr>
          <w:b/>
        </w:rPr>
        <w:t xml:space="preserve"> </w:t>
      </w:r>
    </w:p>
    <w:p w14:paraId="4E01E43C" w14:textId="77777777" w:rsidR="00763F61" w:rsidRPr="00763F61" w:rsidRDefault="00763F61" w:rsidP="00763F61">
      <w:pPr>
        <w:spacing w:after="160"/>
        <w:jc w:val="left"/>
      </w:pPr>
      <w:r w:rsidRPr="00763F61">
        <w:t xml:space="preserve">EUCDs funding should be mobilised to deliver on the priorities of JETP (see above). </w:t>
      </w:r>
    </w:p>
    <w:p w14:paraId="399DC0D7" w14:textId="77777777" w:rsidR="00763F61" w:rsidRPr="00763F61" w:rsidRDefault="00763F61" w:rsidP="00763F61">
      <w:pPr>
        <w:spacing w:after="160"/>
        <w:jc w:val="left"/>
      </w:pPr>
      <w:r w:rsidRPr="00763F61">
        <w:t xml:space="preserve">The following key activities should be pursued: </w:t>
      </w:r>
    </w:p>
    <w:p w14:paraId="73FBD949" w14:textId="77777777" w:rsidR="00763F61" w:rsidRPr="00763F61" w:rsidRDefault="00763F61" w:rsidP="005C528B">
      <w:pPr>
        <w:numPr>
          <w:ilvl w:val="0"/>
          <w:numId w:val="3"/>
        </w:numPr>
        <w:spacing w:after="160"/>
        <w:ind w:left="576" w:hanging="288"/>
        <w:jc w:val="left"/>
        <w:rPr>
          <w:b/>
        </w:rPr>
      </w:pPr>
      <w:r w:rsidRPr="00763F61">
        <w:rPr>
          <w:lang w:val="en-US"/>
        </w:rPr>
        <w:t>Peer-to-peer exchanges between just transition stakeholders, supported by research into specific issues (e.g., building on just transition finance peer-to-peer exchanges in 2020, National Energy Regulator of South Africa (NERSA) energy tariff exchanges of experiences with EU in 2021, etc.</w:t>
      </w:r>
      <w:proofErr w:type="gramStart"/>
      <w:r w:rsidRPr="00763F61">
        <w:rPr>
          <w:lang w:val="en-US"/>
        </w:rPr>
        <w:t>)</w:t>
      </w:r>
      <w:r w:rsidRPr="00763F61">
        <w:t>;</w:t>
      </w:r>
      <w:proofErr w:type="gramEnd"/>
      <w:r w:rsidRPr="00763F61">
        <w:t xml:space="preserve"> </w:t>
      </w:r>
    </w:p>
    <w:p w14:paraId="1FCBB5EA" w14:textId="77777777" w:rsidR="00763F61" w:rsidRPr="00763F61" w:rsidRDefault="00763F61" w:rsidP="005C528B">
      <w:pPr>
        <w:numPr>
          <w:ilvl w:val="0"/>
          <w:numId w:val="3"/>
        </w:numPr>
        <w:spacing w:after="160"/>
        <w:ind w:left="576" w:hanging="288"/>
        <w:jc w:val="left"/>
        <w:rPr>
          <w:b/>
        </w:rPr>
      </w:pPr>
      <w:r w:rsidRPr="00763F61">
        <w:rPr>
          <w:lang w:val="en-US"/>
        </w:rPr>
        <w:t xml:space="preserve">Stakeholders’ engagement to contribute to South African ownership of the implementation of JETP declaration. </w:t>
      </w:r>
    </w:p>
    <w:p w14:paraId="650E972A" w14:textId="77777777" w:rsidR="00763F61" w:rsidRPr="00763F61" w:rsidRDefault="00763F61" w:rsidP="005C528B">
      <w:pPr>
        <w:numPr>
          <w:ilvl w:val="0"/>
          <w:numId w:val="3"/>
        </w:numPr>
        <w:spacing w:after="160"/>
        <w:ind w:left="576" w:hanging="288"/>
        <w:jc w:val="left"/>
        <w:rPr>
          <w:b/>
        </w:rPr>
      </w:pPr>
      <w:r w:rsidRPr="00763F61">
        <w:rPr>
          <w:lang w:val="en-US"/>
        </w:rPr>
        <w:t>Just Transition actions at local level, e.g., Mpumalanga Province to engage more with business and other actors who are to make just transition happen in regions in transition.</w:t>
      </w:r>
    </w:p>
    <w:p w14:paraId="7BCA1932" w14:textId="77777777" w:rsidR="00763F61" w:rsidRPr="00763F61" w:rsidRDefault="00763F61" w:rsidP="005C528B">
      <w:pPr>
        <w:numPr>
          <w:ilvl w:val="0"/>
          <w:numId w:val="3"/>
        </w:numPr>
        <w:spacing w:after="160"/>
        <w:ind w:left="576" w:hanging="288"/>
        <w:jc w:val="left"/>
        <w:rPr>
          <w:b/>
        </w:rPr>
      </w:pPr>
      <w:r w:rsidRPr="00763F61">
        <w:rPr>
          <w:lang w:val="en-US"/>
        </w:rPr>
        <w:t>Support to the development of circular business models based on the exploitation of mining residues (</w:t>
      </w:r>
      <w:proofErr w:type="gramStart"/>
      <w:r w:rsidRPr="00763F61">
        <w:rPr>
          <w:lang w:val="en-US"/>
        </w:rPr>
        <w:t>e.g.</w:t>
      </w:r>
      <w:proofErr w:type="gramEnd"/>
      <w:r w:rsidRPr="00763F61">
        <w:rPr>
          <w:lang w:val="en-US"/>
        </w:rPr>
        <w:t xml:space="preserve"> ashes). </w:t>
      </w:r>
    </w:p>
    <w:p w14:paraId="1335856F" w14:textId="77777777" w:rsidR="00763F61" w:rsidRPr="00763F61" w:rsidRDefault="00763F61" w:rsidP="00763F61">
      <w:pPr>
        <w:spacing w:after="160"/>
        <w:jc w:val="left"/>
        <w:rPr>
          <w:b/>
          <w:lang w:val="en-US"/>
        </w:rPr>
      </w:pPr>
      <w:r w:rsidRPr="00763F61">
        <w:rPr>
          <w:b/>
          <w:lang w:val="en-US"/>
        </w:rPr>
        <w:t xml:space="preserve">Priority 2 - </w:t>
      </w:r>
      <w:r w:rsidRPr="00763F61">
        <w:rPr>
          <w:b/>
          <w:u w:val="single"/>
          <w:lang w:val="en-US"/>
        </w:rPr>
        <w:t>Climate awareness, communication, and visibility activities</w:t>
      </w:r>
      <w:r w:rsidRPr="00763F61">
        <w:rPr>
          <w:b/>
          <w:lang w:val="en-US"/>
        </w:rPr>
        <w:t xml:space="preserve"> </w:t>
      </w:r>
    </w:p>
    <w:p w14:paraId="074CA6F4" w14:textId="77777777" w:rsidR="00763F61" w:rsidRPr="00763F61" w:rsidRDefault="00763F61" w:rsidP="00763F61">
      <w:pPr>
        <w:spacing w:after="160"/>
        <w:jc w:val="left"/>
      </w:pPr>
      <w:r w:rsidRPr="00763F61">
        <w:rPr>
          <w:lang w:val="en-US"/>
        </w:rPr>
        <w:t xml:space="preserve">EUCDs funding should be mobilized to strengthen awareness in the </w:t>
      </w:r>
      <w:proofErr w:type="gramStart"/>
      <w:r w:rsidRPr="00763F61">
        <w:t>general public</w:t>
      </w:r>
      <w:proofErr w:type="gramEnd"/>
      <w:r w:rsidRPr="00763F61">
        <w:t xml:space="preserve"> about the Paris Agreement, on South Africa’s climate policies and on EU’s support to achieve them. </w:t>
      </w:r>
    </w:p>
    <w:p w14:paraId="22AD97E3" w14:textId="77777777" w:rsidR="00763F61" w:rsidRPr="00763F61" w:rsidRDefault="00763F61" w:rsidP="00763F61">
      <w:pPr>
        <w:spacing w:after="160"/>
        <w:jc w:val="left"/>
      </w:pPr>
      <w:r w:rsidRPr="00763F61">
        <w:t xml:space="preserve">The following key activities should be pursued: </w:t>
      </w:r>
    </w:p>
    <w:p w14:paraId="78A8B09C" w14:textId="77777777" w:rsidR="00763F61" w:rsidRPr="00763F61" w:rsidRDefault="00763F61" w:rsidP="005C528B">
      <w:pPr>
        <w:numPr>
          <w:ilvl w:val="0"/>
          <w:numId w:val="4"/>
        </w:numPr>
        <w:spacing w:after="160"/>
        <w:ind w:left="576" w:hanging="288"/>
        <w:jc w:val="left"/>
        <w:rPr>
          <w:lang w:val="en-US"/>
        </w:rPr>
      </w:pPr>
      <w:r w:rsidRPr="00763F61">
        <w:rPr>
          <w:lang w:val="en-US"/>
        </w:rPr>
        <w:t>Public diplomacy and outreach events addressing key concerns raised in relation to climate and environment action in South Africa (impact on jobs, growth, investments, inequalities and vulnerable communities</w:t>
      </w:r>
      <w:proofErr w:type="gramStart"/>
      <w:r w:rsidRPr="00763F61">
        <w:rPr>
          <w:lang w:val="en-US"/>
        </w:rPr>
        <w:t>);</w:t>
      </w:r>
      <w:proofErr w:type="gramEnd"/>
    </w:p>
    <w:p w14:paraId="7A8C4602" w14:textId="77777777" w:rsidR="00763F61" w:rsidRPr="00763F61" w:rsidRDefault="00763F61" w:rsidP="005C528B">
      <w:pPr>
        <w:numPr>
          <w:ilvl w:val="0"/>
          <w:numId w:val="4"/>
        </w:numPr>
        <w:spacing w:after="160"/>
        <w:ind w:left="576" w:hanging="288"/>
        <w:jc w:val="left"/>
        <w:rPr>
          <w:lang w:val="en-US"/>
        </w:rPr>
      </w:pPr>
      <w:r w:rsidRPr="00763F61">
        <w:rPr>
          <w:lang w:val="en-US"/>
        </w:rPr>
        <w:t xml:space="preserve">Public diplomacy and communication events on the European Green Deal, highlighting also the inter-connection between the climate, biodiversity and resource-use crisis and EU support for South Africa’s climate </w:t>
      </w:r>
      <w:proofErr w:type="gramStart"/>
      <w:r w:rsidRPr="00763F61">
        <w:rPr>
          <w:lang w:val="en-US"/>
        </w:rPr>
        <w:t>objectives;</w:t>
      </w:r>
      <w:proofErr w:type="gramEnd"/>
    </w:p>
    <w:p w14:paraId="7266A5F2" w14:textId="77777777" w:rsidR="00763F61" w:rsidRPr="00763F61" w:rsidRDefault="00763F61" w:rsidP="005C528B">
      <w:pPr>
        <w:numPr>
          <w:ilvl w:val="0"/>
          <w:numId w:val="4"/>
        </w:numPr>
        <w:spacing w:after="160"/>
        <w:ind w:left="576" w:hanging="288"/>
        <w:jc w:val="left"/>
        <w:rPr>
          <w:lang w:val="en-US"/>
        </w:rPr>
      </w:pPr>
      <w:r w:rsidRPr="00763F61">
        <w:rPr>
          <w:lang w:val="en-US"/>
        </w:rPr>
        <w:t>Public diplomacy and outreach events on key international commitments, such as the Global Methane Pledge initiative.</w:t>
      </w:r>
    </w:p>
    <w:p w14:paraId="66F9326B" w14:textId="77777777" w:rsidR="00763F61" w:rsidRPr="00763F61" w:rsidRDefault="00763F61" w:rsidP="00763F61">
      <w:pPr>
        <w:spacing w:after="160"/>
        <w:jc w:val="left"/>
        <w:rPr>
          <w:b/>
          <w:u w:val="single"/>
        </w:rPr>
      </w:pPr>
      <w:r w:rsidRPr="00763F61">
        <w:rPr>
          <w:b/>
        </w:rPr>
        <w:t xml:space="preserve">Priority 3: </w:t>
      </w:r>
      <w:r w:rsidRPr="00763F61">
        <w:rPr>
          <w:b/>
          <w:u w:val="single"/>
        </w:rPr>
        <w:t>Climate policy/ NDC implementation and long-term strategies</w:t>
      </w:r>
    </w:p>
    <w:p w14:paraId="31CFD7C8" w14:textId="02493180" w:rsidR="00763F61" w:rsidRPr="00763F61" w:rsidRDefault="00763F61" w:rsidP="00763F61">
      <w:pPr>
        <w:spacing w:after="160"/>
        <w:jc w:val="left"/>
      </w:pPr>
      <w:r w:rsidRPr="00763F61">
        <w:rPr>
          <w:lang w:val="en-US"/>
        </w:rPr>
        <w:t xml:space="preserve">EUCDs funding should be mobilized to strengthen </w:t>
      </w:r>
      <w:r w:rsidRPr="00763F61">
        <w:t xml:space="preserve">South Africa’s climate policy framework and its capacity to implement an ‘all of Government’ / ‘whole of economy’ approach. </w:t>
      </w:r>
    </w:p>
    <w:p w14:paraId="0D95D094" w14:textId="77777777" w:rsidR="00763F61" w:rsidRPr="00763F61" w:rsidRDefault="00763F61" w:rsidP="00763F61">
      <w:pPr>
        <w:spacing w:after="160"/>
        <w:jc w:val="left"/>
      </w:pPr>
      <w:r w:rsidRPr="00763F61">
        <w:t xml:space="preserve">The following key activities should be pursued: </w:t>
      </w:r>
    </w:p>
    <w:p w14:paraId="476F64BA" w14:textId="77777777" w:rsidR="00763F61" w:rsidRPr="00763F61" w:rsidRDefault="00763F61" w:rsidP="005C528B">
      <w:pPr>
        <w:numPr>
          <w:ilvl w:val="0"/>
          <w:numId w:val="6"/>
        </w:numPr>
        <w:spacing w:after="160"/>
        <w:ind w:left="576" w:hanging="288"/>
        <w:jc w:val="left"/>
        <w:rPr>
          <w:b/>
          <w:u w:val="single"/>
        </w:rPr>
      </w:pPr>
      <w:r w:rsidRPr="00763F61">
        <w:t xml:space="preserve">Mobilise key groups of stakeholders in the definition and implementation of climate policies. </w:t>
      </w:r>
    </w:p>
    <w:p w14:paraId="17781ECC" w14:textId="77777777" w:rsidR="00763F61" w:rsidRPr="00763F61" w:rsidRDefault="00763F61" w:rsidP="005C528B">
      <w:pPr>
        <w:numPr>
          <w:ilvl w:val="0"/>
          <w:numId w:val="6"/>
        </w:numPr>
        <w:spacing w:after="160"/>
        <w:ind w:left="576" w:hanging="288"/>
        <w:jc w:val="left"/>
        <w:rPr>
          <w:b/>
          <w:u w:val="single"/>
        </w:rPr>
      </w:pPr>
      <w:r w:rsidRPr="00763F61">
        <w:t>Collaborate with the Presidential Climate Commission, which has the political weight to broker a national consensus on climate action.</w:t>
      </w:r>
    </w:p>
    <w:p w14:paraId="764228CF" w14:textId="77777777" w:rsidR="00763F61" w:rsidRPr="00763F61" w:rsidRDefault="00763F61" w:rsidP="005C528B">
      <w:pPr>
        <w:numPr>
          <w:ilvl w:val="0"/>
          <w:numId w:val="6"/>
        </w:numPr>
        <w:spacing w:after="160"/>
        <w:ind w:left="576" w:hanging="288"/>
        <w:jc w:val="left"/>
        <w:rPr>
          <w:b/>
          <w:u w:val="single"/>
        </w:rPr>
      </w:pPr>
      <w:r w:rsidRPr="00763F61">
        <w:t>Support the development of circularity in industrial sectors with highest potential to reduce their GHG emissions related to resource extraction and use (</w:t>
      </w:r>
      <w:proofErr w:type="gramStart"/>
      <w:r w:rsidRPr="00763F61">
        <w:t>e.g.</w:t>
      </w:r>
      <w:proofErr w:type="gramEnd"/>
      <w:r w:rsidRPr="00763F61">
        <w:t xml:space="preserve"> food; constructions and building);</w:t>
      </w:r>
    </w:p>
    <w:p w14:paraId="67ED8D9C" w14:textId="3001AEB6" w:rsidR="00763F61" w:rsidRDefault="00763F61" w:rsidP="005C528B">
      <w:pPr>
        <w:numPr>
          <w:ilvl w:val="0"/>
          <w:numId w:val="6"/>
        </w:numPr>
        <w:spacing w:after="160"/>
        <w:ind w:left="576" w:hanging="288"/>
        <w:jc w:val="left"/>
        <w:rPr>
          <w:b/>
          <w:u w:val="single"/>
        </w:rPr>
      </w:pPr>
      <w:r w:rsidRPr="00763F61">
        <w:lastRenderedPageBreak/>
        <w:t>Foster nature protection initiatives bringing perennial and affordable co-benefits for climate mitigation and adaptation (</w:t>
      </w:r>
      <w:proofErr w:type="gramStart"/>
      <w:r w:rsidRPr="00763F61">
        <w:t>e.g.</w:t>
      </w:r>
      <w:proofErr w:type="gramEnd"/>
      <w:r w:rsidRPr="00763F61">
        <w:t xml:space="preserve"> landscape restoration; nature-based wastewater treatment).</w:t>
      </w:r>
      <w:bookmarkStart w:id="11" w:name="_Toc527365488"/>
      <w:bookmarkStart w:id="12" w:name="_Toc527365542"/>
      <w:bookmarkStart w:id="13" w:name="_Toc527365603"/>
      <w:bookmarkStart w:id="14" w:name="_Toc65153238"/>
      <w:bookmarkEnd w:id="11"/>
      <w:bookmarkEnd w:id="12"/>
      <w:bookmarkEnd w:id="13"/>
    </w:p>
    <w:p w14:paraId="4B984F5D" w14:textId="77777777" w:rsidR="00763F61" w:rsidRPr="00763F61" w:rsidRDefault="00763F61" w:rsidP="00763F61">
      <w:pPr>
        <w:spacing w:after="160"/>
        <w:ind w:left="576"/>
        <w:jc w:val="left"/>
        <w:rPr>
          <w:b/>
          <w:u w:val="single"/>
        </w:rPr>
      </w:pPr>
    </w:p>
    <w:p w14:paraId="52228DE6" w14:textId="441154C3" w:rsidR="00763F61" w:rsidRPr="00763F61" w:rsidRDefault="00763F61" w:rsidP="00763F61">
      <w:pPr>
        <w:spacing w:after="160"/>
        <w:jc w:val="left"/>
        <w:rPr>
          <w:b/>
          <w:bCs/>
        </w:rPr>
      </w:pPr>
      <w:r w:rsidRPr="00763F61">
        <w:rPr>
          <w:b/>
          <w:bCs/>
        </w:rPr>
        <w:t>Further potential areas of cooperation</w:t>
      </w:r>
      <w:bookmarkEnd w:id="14"/>
      <w:r w:rsidRPr="00763F61">
        <w:rPr>
          <w:b/>
          <w:bCs/>
        </w:rPr>
        <w:t xml:space="preserve"> </w:t>
      </w:r>
    </w:p>
    <w:p w14:paraId="12AA8766" w14:textId="77777777" w:rsidR="00763F61" w:rsidRPr="00763F61" w:rsidRDefault="00763F61" w:rsidP="00763F61">
      <w:pPr>
        <w:spacing w:after="160"/>
        <w:jc w:val="left"/>
      </w:pPr>
      <w:r w:rsidRPr="00763F61">
        <w:rPr>
          <w:b/>
        </w:rPr>
        <w:t xml:space="preserve">New priority: </w:t>
      </w:r>
      <w:r w:rsidRPr="00763F61">
        <w:t xml:space="preserve"> </w:t>
      </w:r>
      <w:r w:rsidRPr="00763F61">
        <w:rPr>
          <w:b/>
          <w:u w:val="single"/>
        </w:rPr>
        <w:t>Renewable hydrogen and electric vehicles</w:t>
      </w:r>
    </w:p>
    <w:p w14:paraId="65423B8C" w14:textId="77777777" w:rsidR="00763F61" w:rsidRPr="00763F61" w:rsidRDefault="00763F61" w:rsidP="00763F61">
      <w:pPr>
        <w:spacing w:after="160"/>
        <w:jc w:val="left"/>
      </w:pPr>
      <w:r w:rsidRPr="00763F61">
        <w:t xml:space="preserve">Collaboration on renewable hydrogen and electric vehicles is an intrinsic part of the just energy transition partnership with UK, US, FR, DE and EU. </w:t>
      </w:r>
    </w:p>
    <w:p w14:paraId="693C4765" w14:textId="77777777" w:rsidR="00763F61" w:rsidRPr="00763F61" w:rsidRDefault="00763F61" w:rsidP="00763F61">
      <w:pPr>
        <w:spacing w:after="160"/>
        <w:jc w:val="left"/>
      </w:pPr>
      <w:r w:rsidRPr="00763F61">
        <w:t xml:space="preserve">The following key activities should be pursued: </w:t>
      </w:r>
    </w:p>
    <w:p w14:paraId="488BCC40" w14:textId="77777777" w:rsidR="00763F61" w:rsidRPr="00763F61" w:rsidRDefault="00763F61" w:rsidP="005C528B">
      <w:pPr>
        <w:numPr>
          <w:ilvl w:val="0"/>
          <w:numId w:val="5"/>
        </w:numPr>
        <w:spacing w:after="160"/>
        <w:ind w:left="576" w:hanging="288"/>
        <w:jc w:val="left"/>
      </w:pPr>
      <w:r w:rsidRPr="00763F61">
        <w:t xml:space="preserve">Research / peer-to-peer exchanges / outreach and public diplomacy / stakeholder engagements. </w:t>
      </w:r>
    </w:p>
    <w:p w14:paraId="27AFADC5" w14:textId="77777777" w:rsidR="00763F61" w:rsidRPr="00763F61" w:rsidRDefault="00763F61" w:rsidP="00763F61">
      <w:pPr>
        <w:spacing w:after="160"/>
        <w:jc w:val="left"/>
      </w:pPr>
      <w:r w:rsidRPr="00763F61">
        <w:t xml:space="preserve">All activities supported under these four priorities should be aligned with national policy timelines and initiatives and avoid duplications with other sources of funding. </w:t>
      </w:r>
    </w:p>
    <w:p w14:paraId="2A14B84C" w14:textId="538F138D" w:rsidR="00801775" w:rsidRDefault="00801775" w:rsidP="00763F61">
      <w:pPr>
        <w:spacing w:after="160"/>
        <w:jc w:val="left"/>
      </w:pPr>
    </w:p>
    <w:p w14:paraId="265F3942" w14:textId="4203FFFC" w:rsidR="00801775" w:rsidRDefault="00801775" w:rsidP="00801775">
      <w:pPr>
        <w:spacing w:after="0"/>
        <w:rPr>
          <w:b/>
        </w:rPr>
      </w:pPr>
    </w:p>
    <w:p w14:paraId="33823D09" w14:textId="77777777" w:rsidR="00801775" w:rsidRPr="00801775" w:rsidRDefault="00801775" w:rsidP="00801775">
      <w:pPr>
        <w:spacing w:after="160" w:line="259" w:lineRule="auto"/>
        <w:jc w:val="left"/>
        <w:rPr>
          <w:i/>
          <w:iCs/>
        </w:rPr>
      </w:pPr>
    </w:p>
    <w:sectPr w:rsidR="00801775" w:rsidRPr="00801775" w:rsidSect="00801775">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5DAD" w14:textId="77777777" w:rsidR="005C528B" w:rsidRDefault="005C528B" w:rsidP="000E160B">
      <w:pPr>
        <w:spacing w:after="0" w:line="240" w:lineRule="auto"/>
      </w:pPr>
      <w:r>
        <w:separator/>
      </w:r>
    </w:p>
  </w:endnote>
  <w:endnote w:type="continuationSeparator" w:id="0">
    <w:p w14:paraId="43ACF90B" w14:textId="77777777" w:rsidR="005C528B" w:rsidRDefault="005C528B" w:rsidP="000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169341"/>
      <w:docPartObj>
        <w:docPartGallery w:val="Page Numbers (Bottom of Page)"/>
        <w:docPartUnique/>
      </w:docPartObj>
    </w:sdtPr>
    <w:sdtEndPr>
      <w:rPr>
        <w:noProof/>
      </w:rPr>
    </w:sdtEndPr>
    <w:sdtContent>
      <w:p w14:paraId="4E88FE30" w14:textId="2D828544" w:rsidR="00B93EBD" w:rsidRPr="003427F1" w:rsidRDefault="00B93EBD" w:rsidP="00763F61">
        <w:pPr>
          <w:pStyle w:val="Header"/>
          <w:jc w:val="center"/>
          <w:rPr>
            <w:b/>
            <w:sz w:val="16"/>
          </w:rPr>
        </w:pPr>
        <w:r>
          <w:tab/>
        </w:r>
        <w:r w:rsidRPr="00B53BEA">
          <w:rPr>
            <w:b/>
            <w:sz w:val="16"/>
          </w:rPr>
          <w:t xml:space="preserve">– Page </w:t>
        </w:r>
        <w:r w:rsidRPr="00B53BEA">
          <w:rPr>
            <w:b/>
            <w:sz w:val="16"/>
          </w:rPr>
          <w:fldChar w:fldCharType="begin"/>
        </w:r>
        <w:r w:rsidRPr="00B53BEA">
          <w:rPr>
            <w:b/>
            <w:sz w:val="16"/>
          </w:rPr>
          <w:instrText xml:space="preserve"> PAGE   \* MERGEFORMAT </w:instrText>
        </w:r>
        <w:r w:rsidRPr="00B53BEA">
          <w:rPr>
            <w:b/>
            <w:sz w:val="16"/>
          </w:rPr>
          <w:fldChar w:fldCharType="separate"/>
        </w:r>
        <w:r w:rsidR="008B7833">
          <w:rPr>
            <w:b/>
            <w:noProof/>
            <w:sz w:val="16"/>
          </w:rPr>
          <w:t>6</w:t>
        </w:r>
        <w:r w:rsidRPr="00B53BEA">
          <w:rPr>
            <w:b/>
            <w:sz w:val="16"/>
          </w:rPr>
          <w:fldChar w:fldCharType="end"/>
        </w:r>
        <w:r w:rsidRPr="00B53BEA">
          <w:rPr>
            <w:b/>
            <w:sz w:val="16"/>
          </w:rPr>
          <w:t xml:space="preserve"> –</w:t>
        </w:r>
        <w:r>
          <w:rPr>
            <w:noProof/>
          </w:rPr>
          <w:t xml:space="preserve">  </w:t>
        </w:r>
        <w:r w:rsidRPr="00B53BEA">
          <w:rPr>
            <w:b/>
            <w:sz w:val="16"/>
          </w:rPr>
          <w:t xml:space="preserve"> </w:t>
        </w:r>
        <w:r>
          <w:rPr>
            <w:b/>
            <w:sz w:val="16"/>
          </w:rPr>
          <w:tab/>
        </w:r>
        <w:r w:rsidRPr="00A0748F">
          <w:rPr>
            <w:b/>
            <w:sz w:val="16"/>
          </w:rPr>
          <w:t>For internal use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A4A2" w14:textId="77777777" w:rsidR="005C528B" w:rsidRDefault="005C528B" w:rsidP="000E160B">
      <w:pPr>
        <w:spacing w:after="0" w:line="240" w:lineRule="auto"/>
      </w:pPr>
      <w:r>
        <w:separator/>
      </w:r>
    </w:p>
  </w:footnote>
  <w:footnote w:type="continuationSeparator" w:id="0">
    <w:p w14:paraId="17BA0483" w14:textId="77777777" w:rsidR="005C528B" w:rsidRDefault="005C528B" w:rsidP="000E160B">
      <w:pPr>
        <w:spacing w:after="0" w:line="240" w:lineRule="auto"/>
      </w:pPr>
      <w:r>
        <w:continuationSeparator/>
      </w:r>
    </w:p>
  </w:footnote>
  <w:footnote w:id="1">
    <w:p w14:paraId="006238E8" w14:textId="77777777" w:rsidR="00D65F6E" w:rsidRPr="001C6B64" w:rsidRDefault="00D65F6E" w:rsidP="00D65F6E">
      <w:pPr>
        <w:pStyle w:val="FootnoteText"/>
      </w:pPr>
      <w:r>
        <w:rPr>
          <w:rStyle w:val="FootnoteReference"/>
        </w:rPr>
        <w:footnoteRef/>
      </w:r>
      <w:r>
        <w:t xml:space="preserve"> F</w:t>
      </w:r>
      <w:r w:rsidRPr="001C6B64">
        <w:t>rom Joint Research Centre (JRC) EDGAR datasets: RSA 8.31 tCO2/cap in 2018, the same level as in 1990, vs. EU28: 6.78)</w:t>
      </w:r>
    </w:p>
  </w:footnote>
  <w:footnote w:id="2">
    <w:p w14:paraId="7E26575C" w14:textId="77777777" w:rsidR="00763F61" w:rsidRPr="00BF46DD" w:rsidRDefault="00763F61" w:rsidP="00763F61">
      <w:pPr>
        <w:pStyle w:val="FootnoteText"/>
      </w:pPr>
      <w:r>
        <w:rPr>
          <w:rStyle w:val="FootnoteReference"/>
        </w:rPr>
        <w:footnoteRef/>
      </w:r>
      <w:r>
        <w:t xml:space="preserve"> </w:t>
      </w:r>
      <w:r w:rsidRPr="00BF46DD">
        <w:t>AT, BE Flanders, DE, DK, FI, FR, IT, NL, SE, BG, CZ, ES, LT, PL, and PT. EIB, AFD, KFW, GIZ are associated as well as possibly FMO, CDP, Copenhagen Infrastructure Partners (CIP) and PROPARCO)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32B7" w14:textId="0F766FFC" w:rsidR="00B93EBD" w:rsidRPr="002E700B" w:rsidRDefault="00EE3D6D" w:rsidP="000E160B">
    <w:pPr>
      <w:pStyle w:val="Header"/>
      <w:jc w:val="right"/>
      <w:rPr>
        <w:b/>
        <w:sz w:val="16"/>
        <w:lang w:val="fr-BE"/>
      </w:rPr>
    </w:pPr>
    <w:proofErr w:type="spellStart"/>
    <w:r>
      <w:rPr>
        <w:b/>
        <w:sz w:val="16"/>
        <w:lang w:val="fr-BE"/>
      </w:rPr>
      <w:t>EUCDs</w:t>
    </w:r>
    <w:proofErr w:type="spellEnd"/>
    <w:r w:rsidR="00B93EBD">
      <w:rPr>
        <w:b/>
        <w:sz w:val="16"/>
        <w:lang w:val="fr-BE"/>
      </w:rPr>
      <w:t>/</w:t>
    </w:r>
    <w:r w:rsidR="00D65F6E">
      <w:rPr>
        <w:b/>
        <w:sz w:val="16"/>
        <w:lang w:val="fr-BE"/>
      </w:rPr>
      <w:t xml:space="preserve">South </w:t>
    </w:r>
    <w:proofErr w:type="spellStart"/>
    <w:r w:rsidR="00D65F6E">
      <w:rPr>
        <w:b/>
        <w:sz w:val="16"/>
        <w:lang w:val="fr-BE"/>
      </w:rPr>
      <w:t>Africa</w:t>
    </w:r>
    <w:proofErr w:type="spellEnd"/>
    <w:r w:rsidR="00D65F6E">
      <w:rPr>
        <w:b/>
        <w:sz w:val="16"/>
        <w:lang w:val="fr-BE"/>
      </w:rPr>
      <w:t xml:space="preserve"> </w:t>
    </w:r>
    <w:r w:rsidR="00E3279D">
      <w:rPr>
        <w:b/>
        <w:sz w:val="16"/>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3251"/>
    <w:multiLevelType w:val="hybridMultilevel"/>
    <w:tmpl w:val="1E56309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C964C0"/>
    <w:multiLevelType w:val="hybridMultilevel"/>
    <w:tmpl w:val="D2E89D08"/>
    <w:lvl w:ilvl="0" w:tplc="CE04093A">
      <w:start w:val="1"/>
      <w:numFmt w:val="decimal"/>
      <w:pStyle w:val="Heading2"/>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51137E25"/>
    <w:multiLevelType w:val="hybridMultilevel"/>
    <w:tmpl w:val="5D5E5A0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677284"/>
    <w:multiLevelType w:val="hybridMultilevel"/>
    <w:tmpl w:val="143821F4"/>
    <w:lvl w:ilvl="0" w:tplc="A61CF7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62077"/>
    <w:multiLevelType w:val="hybridMultilevel"/>
    <w:tmpl w:val="6E80BE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B16B72"/>
    <w:multiLevelType w:val="hybridMultilevel"/>
    <w:tmpl w:val="8A2A058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3404D0"/>
    <w:multiLevelType w:val="hybridMultilevel"/>
    <w:tmpl w:val="A30E034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4"/>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BR" w:vendorID="64" w:dllVersion="0" w:nlCheck="1" w:checkStyle="0"/>
  <w:activeWritingStyle w:appName="MSWord" w:lang="en-ZA"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91CE3"/>
    <w:rsid w:val="00001105"/>
    <w:rsid w:val="000074BF"/>
    <w:rsid w:val="000078BD"/>
    <w:rsid w:val="000103C4"/>
    <w:rsid w:val="0001314C"/>
    <w:rsid w:val="000134F7"/>
    <w:rsid w:val="00013F50"/>
    <w:rsid w:val="0001492C"/>
    <w:rsid w:val="000170A1"/>
    <w:rsid w:val="00017149"/>
    <w:rsid w:val="00020DD7"/>
    <w:rsid w:val="00023575"/>
    <w:rsid w:val="000248E5"/>
    <w:rsid w:val="00024930"/>
    <w:rsid w:val="0002711D"/>
    <w:rsid w:val="00027130"/>
    <w:rsid w:val="00031ADA"/>
    <w:rsid w:val="00035171"/>
    <w:rsid w:val="0003522A"/>
    <w:rsid w:val="00036295"/>
    <w:rsid w:val="00037A4A"/>
    <w:rsid w:val="00037F62"/>
    <w:rsid w:val="00042D51"/>
    <w:rsid w:val="00044F03"/>
    <w:rsid w:val="000467E4"/>
    <w:rsid w:val="0004748C"/>
    <w:rsid w:val="000526BB"/>
    <w:rsid w:val="000554B5"/>
    <w:rsid w:val="00055C52"/>
    <w:rsid w:val="00056EA4"/>
    <w:rsid w:val="00060122"/>
    <w:rsid w:val="00063FE8"/>
    <w:rsid w:val="00065FDE"/>
    <w:rsid w:val="00066D4E"/>
    <w:rsid w:val="000702A7"/>
    <w:rsid w:val="0007215A"/>
    <w:rsid w:val="00072E95"/>
    <w:rsid w:val="0007578B"/>
    <w:rsid w:val="00076124"/>
    <w:rsid w:val="00077647"/>
    <w:rsid w:val="000814B2"/>
    <w:rsid w:val="00087182"/>
    <w:rsid w:val="0009389F"/>
    <w:rsid w:val="000A0631"/>
    <w:rsid w:val="000A3043"/>
    <w:rsid w:val="000A47FD"/>
    <w:rsid w:val="000A5994"/>
    <w:rsid w:val="000A77F6"/>
    <w:rsid w:val="000B128C"/>
    <w:rsid w:val="000B26FD"/>
    <w:rsid w:val="000B2FEB"/>
    <w:rsid w:val="000B3223"/>
    <w:rsid w:val="000B4738"/>
    <w:rsid w:val="000B4C9C"/>
    <w:rsid w:val="000B5B38"/>
    <w:rsid w:val="000B665E"/>
    <w:rsid w:val="000C038C"/>
    <w:rsid w:val="000C1D14"/>
    <w:rsid w:val="000C57CD"/>
    <w:rsid w:val="000C5C9C"/>
    <w:rsid w:val="000D038A"/>
    <w:rsid w:val="000D0A10"/>
    <w:rsid w:val="000D0C15"/>
    <w:rsid w:val="000D2054"/>
    <w:rsid w:val="000D32F1"/>
    <w:rsid w:val="000D3620"/>
    <w:rsid w:val="000D5459"/>
    <w:rsid w:val="000D642B"/>
    <w:rsid w:val="000E160B"/>
    <w:rsid w:val="000E25CE"/>
    <w:rsid w:val="000E3266"/>
    <w:rsid w:val="000F286C"/>
    <w:rsid w:val="000F2DB1"/>
    <w:rsid w:val="000F3192"/>
    <w:rsid w:val="000F40C4"/>
    <w:rsid w:val="000F5290"/>
    <w:rsid w:val="000F5BDA"/>
    <w:rsid w:val="001016BE"/>
    <w:rsid w:val="0010249E"/>
    <w:rsid w:val="0010383A"/>
    <w:rsid w:val="00103BBB"/>
    <w:rsid w:val="00103F58"/>
    <w:rsid w:val="00104C96"/>
    <w:rsid w:val="001056B9"/>
    <w:rsid w:val="00105901"/>
    <w:rsid w:val="00107FA4"/>
    <w:rsid w:val="001122FA"/>
    <w:rsid w:val="00114496"/>
    <w:rsid w:val="00114A55"/>
    <w:rsid w:val="001152C2"/>
    <w:rsid w:val="00115AAB"/>
    <w:rsid w:val="001167AB"/>
    <w:rsid w:val="00120B9B"/>
    <w:rsid w:val="001237B2"/>
    <w:rsid w:val="00124352"/>
    <w:rsid w:val="00125092"/>
    <w:rsid w:val="00127099"/>
    <w:rsid w:val="00130473"/>
    <w:rsid w:val="00132BE3"/>
    <w:rsid w:val="00132FAE"/>
    <w:rsid w:val="0013431F"/>
    <w:rsid w:val="00136A97"/>
    <w:rsid w:val="00137553"/>
    <w:rsid w:val="001413FF"/>
    <w:rsid w:val="00141555"/>
    <w:rsid w:val="001418BD"/>
    <w:rsid w:val="00141BB2"/>
    <w:rsid w:val="00142D57"/>
    <w:rsid w:val="00144DF7"/>
    <w:rsid w:val="00145052"/>
    <w:rsid w:val="00147C33"/>
    <w:rsid w:val="001500B1"/>
    <w:rsid w:val="001517E9"/>
    <w:rsid w:val="001523D5"/>
    <w:rsid w:val="001524DD"/>
    <w:rsid w:val="00152D1B"/>
    <w:rsid w:val="0015303D"/>
    <w:rsid w:val="00153506"/>
    <w:rsid w:val="00156EAB"/>
    <w:rsid w:val="00157464"/>
    <w:rsid w:val="00160812"/>
    <w:rsid w:val="00160C12"/>
    <w:rsid w:val="00163172"/>
    <w:rsid w:val="00163EE7"/>
    <w:rsid w:val="0016537C"/>
    <w:rsid w:val="001654DC"/>
    <w:rsid w:val="00166408"/>
    <w:rsid w:val="00166E2C"/>
    <w:rsid w:val="00170929"/>
    <w:rsid w:val="00170AC6"/>
    <w:rsid w:val="00171E6B"/>
    <w:rsid w:val="0017225B"/>
    <w:rsid w:val="001734C6"/>
    <w:rsid w:val="00173B2C"/>
    <w:rsid w:val="00173D5B"/>
    <w:rsid w:val="00175E35"/>
    <w:rsid w:val="001765BC"/>
    <w:rsid w:val="00176F9F"/>
    <w:rsid w:val="001828D8"/>
    <w:rsid w:val="00186AA6"/>
    <w:rsid w:val="001909EC"/>
    <w:rsid w:val="001910CF"/>
    <w:rsid w:val="0019234D"/>
    <w:rsid w:val="001925B5"/>
    <w:rsid w:val="00192B9E"/>
    <w:rsid w:val="001944B2"/>
    <w:rsid w:val="00194A60"/>
    <w:rsid w:val="00194D83"/>
    <w:rsid w:val="00194FCC"/>
    <w:rsid w:val="001951DD"/>
    <w:rsid w:val="0019534C"/>
    <w:rsid w:val="0019534E"/>
    <w:rsid w:val="00195D15"/>
    <w:rsid w:val="001966DF"/>
    <w:rsid w:val="0019747E"/>
    <w:rsid w:val="001A242B"/>
    <w:rsid w:val="001A43EC"/>
    <w:rsid w:val="001A50CA"/>
    <w:rsid w:val="001A5D19"/>
    <w:rsid w:val="001A6F2A"/>
    <w:rsid w:val="001B1224"/>
    <w:rsid w:val="001B1411"/>
    <w:rsid w:val="001B1926"/>
    <w:rsid w:val="001B2947"/>
    <w:rsid w:val="001B2CCB"/>
    <w:rsid w:val="001B32E2"/>
    <w:rsid w:val="001B3A0F"/>
    <w:rsid w:val="001B4C70"/>
    <w:rsid w:val="001C10B0"/>
    <w:rsid w:val="001C10F1"/>
    <w:rsid w:val="001C22C4"/>
    <w:rsid w:val="001C22CE"/>
    <w:rsid w:val="001C2F5C"/>
    <w:rsid w:val="001C3769"/>
    <w:rsid w:val="001C6BCF"/>
    <w:rsid w:val="001C7AA7"/>
    <w:rsid w:val="001D01F6"/>
    <w:rsid w:val="001D0F72"/>
    <w:rsid w:val="001D12DD"/>
    <w:rsid w:val="001D16B3"/>
    <w:rsid w:val="001D1CC1"/>
    <w:rsid w:val="001D4CEB"/>
    <w:rsid w:val="001D70AB"/>
    <w:rsid w:val="001D7CB3"/>
    <w:rsid w:val="001E0652"/>
    <w:rsid w:val="001E628B"/>
    <w:rsid w:val="001F1E1E"/>
    <w:rsid w:val="001F673D"/>
    <w:rsid w:val="001F7008"/>
    <w:rsid w:val="001F7B94"/>
    <w:rsid w:val="002001AC"/>
    <w:rsid w:val="0020080B"/>
    <w:rsid w:val="002008C6"/>
    <w:rsid w:val="00200CBA"/>
    <w:rsid w:val="002015E0"/>
    <w:rsid w:val="0020215E"/>
    <w:rsid w:val="00202DE2"/>
    <w:rsid w:val="00203F7F"/>
    <w:rsid w:val="0020410C"/>
    <w:rsid w:val="00204382"/>
    <w:rsid w:val="00205824"/>
    <w:rsid w:val="00206EB9"/>
    <w:rsid w:val="00206F90"/>
    <w:rsid w:val="00207AB7"/>
    <w:rsid w:val="00211596"/>
    <w:rsid w:val="0021342F"/>
    <w:rsid w:val="00213F49"/>
    <w:rsid w:val="00213FB2"/>
    <w:rsid w:val="002150F1"/>
    <w:rsid w:val="00217059"/>
    <w:rsid w:val="00220A22"/>
    <w:rsid w:val="002219F9"/>
    <w:rsid w:val="00222E58"/>
    <w:rsid w:val="002240B6"/>
    <w:rsid w:val="002266A0"/>
    <w:rsid w:val="00226A57"/>
    <w:rsid w:val="00226EB0"/>
    <w:rsid w:val="00227438"/>
    <w:rsid w:val="002305DC"/>
    <w:rsid w:val="00230607"/>
    <w:rsid w:val="00233258"/>
    <w:rsid w:val="0023337C"/>
    <w:rsid w:val="00234A50"/>
    <w:rsid w:val="00234E8A"/>
    <w:rsid w:val="0023571C"/>
    <w:rsid w:val="00235807"/>
    <w:rsid w:val="00236294"/>
    <w:rsid w:val="00240116"/>
    <w:rsid w:val="00241587"/>
    <w:rsid w:val="002429CE"/>
    <w:rsid w:val="00242A20"/>
    <w:rsid w:val="00242C2B"/>
    <w:rsid w:val="00244314"/>
    <w:rsid w:val="00244602"/>
    <w:rsid w:val="002448DA"/>
    <w:rsid w:val="00246F35"/>
    <w:rsid w:val="00252F33"/>
    <w:rsid w:val="00253952"/>
    <w:rsid w:val="002553FC"/>
    <w:rsid w:val="002627A4"/>
    <w:rsid w:val="00263F12"/>
    <w:rsid w:val="00266EFC"/>
    <w:rsid w:val="00270A42"/>
    <w:rsid w:val="00270C99"/>
    <w:rsid w:val="00271607"/>
    <w:rsid w:val="00271818"/>
    <w:rsid w:val="002719DF"/>
    <w:rsid w:val="00271D34"/>
    <w:rsid w:val="002743A9"/>
    <w:rsid w:val="00276649"/>
    <w:rsid w:val="00280D12"/>
    <w:rsid w:val="0028424C"/>
    <w:rsid w:val="00285502"/>
    <w:rsid w:val="002860E8"/>
    <w:rsid w:val="0028796C"/>
    <w:rsid w:val="00287D52"/>
    <w:rsid w:val="0029056C"/>
    <w:rsid w:val="002921C8"/>
    <w:rsid w:val="00292846"/>
    <w:rsid w:val="00294C3F"/>
    <w:rsid w:val="00297B17"/>
    <w:rsid w:val="002A07B3"/>
    <w:rsid w:val="002A183C"/>
    <w:rsid w:val="002A2586"/>
    <w:rsid w:val="002A2CD2"/>
    <w:rsid w:val="002B0083"/>
    <w:rsid w:val="002B163C"/>
    <w:rsid w:val="002B1F3B"/>
    <w:rsid w:val="002B2D01"/>
    <w:rsid w:val="002B2DFB"/>
    <w:rsid w:val="002C0228"/>
    <w:rsid w:val="002C202B"/>
    <w:rsid w:val="002C224C"/>
    <w:rsid w:val="002C22E5"/>
    <w:rsid w:val="002C5C83"/>
    <w:rsid w:val="002C7689"/>
    <w:rsid w:val="002D02AF"/>
    <w:rsid w:val="002E014E"/>
    <w:rsid w:val="002E01BB"/>
    <w:rsid w:val="002E0B04"/>
    <w:rsid w:val="002E3C8F"/>
    <w:rsid w:val="002E4787"/>
    <w:rsid w:val="002E5EC9"/>
    <w:rsid w:val="002E700B"/>
    <w:rsid w:val="002E7213"/>
    <w:rsid w:val="002F08BF"/>
    <w:rsid w:val="002F0ACE"/>
    <w:rsid w:val="002F3821"/>
    <w:rsid w:val="002F3D5E"/>
    <w:rsid w:val="002F4106"/>
    <w:rsid w:val="002F4A81"/>
    <w:rsid w:val="002F75EF"/>
    <w:rsid w:val="002F7CE8"/>
    <w:rsid w:val="00301A30"/>
    <w:rsid w:val="00301BDE"/>
    <w:rsid w:val="00303E3E"/>
    <w:rsid w:val="00304BBF"/>
    <w:rsid w:val="00304E4D"/>
    <w:rsid w:val="00304F61"/>
    <w:rsid w:val="00310075"/>
    <w:rsid w:val="0031270A"/>
    <w:rsid w:val="00314698"/>
    <w:rsid w:val="00314B3E"/>
    <w:rsid w:val="00314D4A"/>
    <w:rsid w:val="003156BB"/>
    <w:rsid w:val="00315E83"/>
    <w:rsid w:val="00316921"/>
    <w:rsid w:val="00317340"/>
    <w:rsid w:val="003209A9"/>
    <w:rsid w:val="00321BE7"/>
    <w:rsid w:val="00322D2C"/>
    <w:rsid w:val="00323CF6"/>
    <w:rsid w:val="00323F7F"/>
    <w:rsid w:val="00323F9B"/>
    <w:rsid w:val="003243B6"/>
    <w:rsid w:val="00327212"/>
    <w:rsid w:val="0033065F"/>
    <w:rsid w:val="00330EC2"/>
    <w:rsid w:val="00334106"/>
    <w:rsid w:val="00334592"/>
    <w:rsid w:val="00334E50"/>
    <w:rsid w:val="00335A49"/>
    <w:rsid w:val="00336287"/>
    <w:rsid w:val="003368D5"/>
    <w:rsid w:val="0034274E"/>
    <w:rsid w:val="003427F1"/>
    <w:rsid w:val="0034501A"/>
    <w:rsid w:val="00345B96"/>
    <w:rsid w:val="003473C6"/>
    <w:rsid w:val="00347750"/>
    <w:rsid w:val="00351670"/>
    <w:rsid w:val="00352728"/>
    <w:rsid w:val="00353B2B"/>
    <w:rsid w:val="00354559"/>
    <w:rsid w:val="00356F7B"/>
    <w:rsid w:val="0035784A"/>
    <w:rsid w:val="00360C4E"/>
    <w:rsid w:val="00361562"/>
    <w:rsid w:val="00361D20"/>
    <w:rsid w:val="003628E3"/>
    <w:rsid w:val="00362DBC"/>
    <w:rsid w:val="00363932"/>
    <w:rsid w:val="00365F20"/>
    <w:rsid w:val="00365FB8"/>
    <w:rsid w:val="003667EF"/>
    <w:rsid w:val="00366B8E"/>
    <w:rsid w:val="00367B25"/>
    <w:rsid w:val="00367BFE"/>
    <w:rsid w:val="00367EDC"/>
    <w:rsid w:val="00367F65"/>
    <w:rsid w:val="00370CF5"/>
    <w:rsid w:val="00371C9F"/>
    <w:rsid w:val="00373C7E"/>
    <w:rsid w:val="0037499B"/>
    <w:rsid w:val="00374FA7"/>
    <w:rsid w:val="00376190"/>
    <w:rsid w:val="00377445"/>
    <w:rsid w:val="00377A55"/>
    <w:rsid w:val="00380269"/>
    <w:rsid w:val="0038252A"/>
    <w:rsid w:val="0038302C"/>
    <w:rsid w:val="00383143"/>
    <w:rsid w:val="0038589A"/>
    <w:rsid w:val="00385BCB"/>
    <w:rsid w:val="0038607A"/>
    <w:rsid w:val="00387432"/>
    <w:rsid w:val="00390837"/>
    <w:rsid w:val="00391188"/>
    <w:rsid w:val="003912DB"/>
    <w:rsid w:val="00393EC8"/>
    <w:rsid w:val="00394F8D"/>
    <w:rsid w:val="003951C3"/>
    <w:rsid w:val="00395D8C"/>
    <w:rsid w:val="0039665C"/>
    <w:rsid w:val="003966D2"/>
    <w:rsid w:val="00396AE7"/>
    <w:rsid w:val="00397C69"/>
    <w:rsid w:val="003A0351"/>
    <w:rsid w:val="003A0772"/>
    <w:rsid w:val="003A14F1"/>
    <w:rsid w:val="003A1B26"/>
    <w:rsid w:val="003A1DEF"/>
    <w:rsid w:val="003A2FE4"/>
    <w:rsid w:val="003A34A1"/>
    <w:rsid w:val="003A4C82"/>
    <w:rsid w:val="003A5706"/>
    <w:rsid w:val="003A7F6B"/>
    <w:rsid w:val="003B0DD9"/>
    <w:rsid w:val="003B1416"/>
    <w:rsid w:val="003B1ACB"/>
    <w:rsid w:val="003B61B6"/>
    <w:rsid w:val="003B6DC0"/>
    <w:rsid w:val="003B7DFD"/>
    <w:rsid w:val="003C0660"/>
    <w:rsid w:val="003C10E2"/>
    <w:rsid w:val="003C64B0"/>
    <w:rsid w:val="003C7090"/>
    <w:rsid w:val="003C7C05"/>
    <w:rsid w:val="003D1100"/>
    <w:rsid w:val="003D2669"/>
    <w:rsid w:val="003D2CE3"/>
    <w:rsid w:val="003D2FC4"/>
    <w:rsid w:val="003D3BC9"/>
    <w:rsid w:val="003E331C"/>
    <w:rsid w:val="003E38D0"/>
    <w:rsid w:val="003E4028"/>
    <w:rsid w:val="003E432C"/>
    <w:rsid w:val="003E55C3"/>
    <w:rsid w:val="003E5A12"/>
    <w:rsid w:val="003E5FBA"/>
    <w:rsid w:val="003E65D1"/>
    <w:rsid w:val="003E7C48"/>
    <w:rsid w:val="003F16B6"/>
    <w:rsid w:val="003F1D77"/>
    <w:rsid w:val="003F2983"/>
    <w:rsid w:val="003F447A"/>
    <w:rsid w:val="003F46AD"/>
    <w:rsid w:val="003F59A6"/>
    <w:rsid w:val="00400F43"/>
    <w:rsid w:val="00404266"/>
    <w:rsid w:val="00406503"/>
    <w:rsid w:val="00411C4C"/>
    <w:rsid w:val="00412696"/>
    <w:rsid w:val="00412902"/>
    <w:rsid w:val="00413BB0"/>
    <w:rsid w:val="00416777"/>
    <w:rsid w:val="00417059"/>
    <w:rsid w:val="00417BD7"/>
    <w:rsid w:val="00421FB2"/>
    <w:rsid w:val="00422B25"/>
    <w:rsid w:val="00430706"/>
    <w:rsid w:val="004310B7"/>
    <w:rsid w:val="0043188A"/>
    <w:rsid w:val="00434736"/>
    <w:rsid w:val="00435434"/>
    <w:rsid w:val="00435458"/>
    <w:rsid w:val="004362A2"/>
    <w:rsid w:val="00437144"/>
    <w:rsid w:val="0044098F"/>
    <w:rsid w:val="0044121F"/>
    <w:rsid w:val="004413DB"/>
    <w:rsid w:val="00445AF5"/>
    <w:rsid w:val="004461FB"/>
    <w:rsid w:val="0044709E"/>
    <w:rsid w:val="00447E16"/>
    <w:rsid w:val="0045251F"/>
    <w:rsid w:val="00454BC3"/>
    <w:rsid w:val="00455EAA"/>
    <w:rsid w:val="00456CA7"/>
    <w:rsid w:val="00456FA5"/>
    <w:rsid w:val="00460391"/>
    <w:rsid w:val="00461D7B"/>
    <w:rsid w:val="0046240A"/>
    <w:rsid w:val="0046272A"/>
    <w:rsid w:val="0046274B"/>
    <w:rsid w:val="00462C40"/>
    <w:rsid w:val="00462E2C"/>
    <w:rsid w:val="0046464B"/>
    <w:rsid w:val="004652E7"/>
    <w:rsid w:val="00465BDD"/>
    <w:rsid w:val="004701A3"/>
    <w:rsid w:val="00471686"/>
    <w:rsid w:val="0047213B"/>
    <w:rsid w:val="00473791"/>
    <w:rsid w:val="004738B7"/>
    <w:rsid w:val="00473DC2"/>
    <w:rsid w:val="00475D03"/>
    <w:rsid w:val="00477AF6"/>
    <w:rsid w:val="00477C73"/>
    <w:rsid w:val="004813FA"/>
    <w:rsid w:val="00483975"/>
    <w:rsid w:val="00484C9D"/>
    <w:rsid w:val="00486413"/>
    <w:rsid w:val="00486CC5"/>
    <w:rsid w:val="0049011E"/>
    <w:rsid w:val="00490601"/>
    <w:rsid w:val="00493DA8"/>
    <w:rsid w:val="0049599F"/>
    <w:rsid w:val="004A05C1"/>
    <w:rsid w:val="004A1026"/>
    <w:rsid w:val="004A4A08"/>
    <w:rsid w:val="004A56E2"/>
    <w:rsid w:val="004A596D"/>
    <w:rsid w:val="004B15F7"/>
    <w:rsid w:val="004B201E"/>
    <w:rsid w:val="004B2129"/>
    <w:rsid w:val="004B30C3"/>
    <w:rsid w:val="004B3140"/>
    <w:rsid w:val="004B3C5A"/>
    <w:rsid w:val="004B3D98"/>
    <w:rsid w:val="004C1408"/>
    <w:rsid w:val="004C3617"/>
    <w:rsid w:val="004C6370"/>
    <w:rsid w:val="004C694F"/>
    <w:rsid w:val="004C6968"/>
    <w:rsid w:val="004C7611"/>
    <w:rsid w:val="004C79BE"/>
    <w:rsid w:val="004D11F7"/>
    <w:rsid w:val="004D1729"/>
    <w:rsid w:val="004D1F0E"/>
    <w:rsid w:val="004D233A"/>
    <w:rsid w:val="004D3420"/>
    <w:rsid w:val="004D358A"/>
    <w:rsid w:val="004D3FD5"/>
    <w:rsid w:val="004D5C58"/>
    <w:rsid w:val="004D66D4"/>
    <w:rsid w:val="004D6BCD"/>
    <w:rsid w:val="004E1719"/>
    <w:rsid w:val="004E1D70"/>
    <w:rsid w:val="004E332C"/>
    <w:rsid w:val="004E3F09"/>
    <w:rsid w:val="004E6BD9"/>
    <w:rsid w:val="004F02A6"/>
    <w:rsid w:val="004F1FB0"/>
    <w:rsid w:val="004F2DF0"/>
    <w:rsid w:val="004F31D6"/>
    <w:rsid w:val="004F383E"/>
    <w:rsid w:val="004F4114"/>
    <w:rsid w:val="004F4BB4"/>
    <w:rsid w:val="004F4F2A"/>
    <w:rsid w:val="004F619B"/>
    <w:rsid w:val="004F6372"/>
    <w:rsid w:val="00501350"/>
    <w:rsid w:val="00502C6C"/>
    <w:rsid w:val="00504F7D"/>
    <w:rsid w:val="00505C43"/>
    <w:rsid w:val="00506EBA"/>
    <w:rsid w:val="005107D9"/>
    <w:rsid w:val="00511C69"/>
    <w:rsid w:val="0051219E"/>
    <w:rsid w:val="00512AE9"/>
    <w:rsid w:val="0051316B"/>
    <w:rsid w:val="00513A47"/>
    <w:rsid w:val="00513D83"/>
    <w:rsid w:val="00514B9F"/>
    <w:rsid w:val="005176AB"/>
    <w:rsid w:val="00517860"/>
    <w:rsid w:val="005200D7"/>
    <w:rsid w:val="00522FEB"/>
    <w:rsid w:val="00524651"/>
    <w:rsid w:val="005261EC"/>
    <w:rsid w:val="00527940"/>
    <w:rsid w:val="005279F5"/>
    <w:rsid w:val="00530C20"/>
    <w:rsid w:val="00532499"/>
    <w:rsid w:val="005326FD"/>
    <w:rsid w:val="00533008"/>
    <w:rsid w:val="005359D1"/>
    <w:rsid w:val="00540729"/>
    <w:rsid w:val="00540AA5"/>
    <w:rsid w:val="00542CD1"/>
    <w:rsid w:val="005438A7"/>
    <w:rsid w:val="00544283"/>
    <w:rsid w:val="00545258"/>
    <w:rsid w:val="005452E1"/>
    <w:rsid w:val="00551846"/>
    <w:rsid w:val="00552294"/>
    <w:rsid w:val="00552D39"/>
    <w:rsid w:val="005557E1"/>
    <w:rsid w:val="00556220"/>
    <w:rsid w:val="00556527"/>
    <w:rsid w:val="00557072"/>
    <w:rsid w:val="005573CE"/>
    <w:rsid w:val="00561ECE"/>
    <w:rsid w:val="00566C97"/>
    <w:rsid w:val="00571085"/>
    <w:rsid w:val="00571AFA"/>
    <w:rsid w:val="005732EF"/>
    <w:rsid w:val="00573B0F"/>
    <w:rsid w:val="00574F47"/>
    <w:rsid w:val="00577006"/>
    <w:rsid w:val="0057710B"/>
    <w:rsid w:val="00577EC9"/>
    <w:rsid w:val="00580A60"/>
    <w:rsid w:val="00582CAC"/>
    <w:rsid w:val="00582FE8"/>
    <w:rsid w:val="0058609F"/>
    <w:rsid w:val="005870FF"/>
    <w:rsid w:val="0059058B"/>
    <w:rsid w:val="00590B3E"/>
    <w:rsid w:val="005917FE"/>
    <w:rsid w:val="00594E8C"/>
    <w:rsid w:val="00595BA6"/>
    <w:rsid w:val="0059697D"/>
    <w:rsid w:val="005971D4"/>
    <w:rsid w:val="005A3EB8"/>
    <w:rsid w:val="005A438D"/>
    <w:rsid w:val="005A461D"/>
    <w:rsid w:val="005A4D33"/>
    <w:rsid w:val="005A629E"/>
    <w:rsid w:val="005A6C30"/>
    <w:rsid w:val="005A71F0"/>
    <w:rsid w:val="005B0548"/>
    <w:rsid w:val="005B2086"/>
    <w:rsid w:val="005B2775"/>
    <w:rsid w:val="005B34EA"/>
    <w:rsid w:val="005B41F9"/>
    <w:rsid w:val="005B5C7C"/>
    <w:rsid w:val="005B68D7"/>
    <w:rsid w:val="005B6E7D"/>
    <w:rsid w:val="005B7816"/>
    <w:rsid w:val="005B7FC3"/>
    <w:rsid w:val="005C09DC"/>
    <w:rsid w:val="005C0C81"/>
    <w:rsid w:val="005C3218"/>
    <w:rsid w:val="005C528B"/>
    <w:rsid w:val="005C5BBB"/>
    <w:rsid w:val="005C7780"/>
    <w:rsid w:val="005C7F2C"/>
    <w:rsid w:val="005D1944"/>
    <w:rsid w:val="005D1A14"/>
    <w:rsid w:val="005D21B1"/>
    <w:rsid w:val="005D2300"/>
    <w:rsid w:val="005D299E"/>
    <w:rsid w:val="005D3C0F"/>
    <w:rsid w:val="005D44BB"/>
    <w:rsid w:val="005D499E"/>
    <w:rsid w:val="005D4AE1"/>
    <w:rsid w:val="005D64D8"/>
    <w:rsid w:val="005D75CE"/>
    <w:rsid w:val="005D7D82"/>
    <w:rsid w:val="005E0122"/>
    <w:rsid w:val="005E0730"/>
    <w:rsid w:val="005E2118"/>
    <w:rsid w:val="005E2FA9"/>
    <w:rsid w:val="005E362B"/>
    <w:rsid w:val="005E39C0"/>
    <w:rsid w:val="005E40E2"/>
    <w:rsid w:val="005E465C"/>
    <w:rsid w:val="005E5CD6"/>
    <w:rsid w:val="005E79CA"/>
    <w:rsid w:val="005E7D29"/>
    <w:rsid w:val="005F09A1"/>
    <w:rsid w:val="005F0E02"/>
    <w:rsid w:val="005F18E1"/>
    <w:rsid w:val="005F2220"/>
    <w:rsid w:val="005F2B90"/>
    <w:rsid w:val="005F3C7C"/>
    <w:rsid w:val="005F43EB"/>
    <w:rsid w:val="005F5FFC"/>
    <w:rsid w:val="005F6978"/>
    <w:rsid w:val="006001D0"/>
    <w:rsid w:val="00600497"/>
    <w:rsid w:val="00602197"/>
    <w:rsid w:val="0060581B"/>
    <w:rsid w:val="00605FD5"/>
    <w:rsid w:val="00606429"/>
    <w:rsid w:val="006110D5"/>
    <w:rsid w:val="006112B7"/>
    <w:rsid w:val="006113C3"/>
    <w:rsid w:val="006119B1"/>
    <w:rsid w:val="00611AA1"/>
    <w:rsid w:val="0061210B"/>
    <w:rsid w:val="006145BD"/>
    <w:rsid w:val="00616AA1"/>
    <w:rsid w:val="006217A7"/>
    <w:rsid w:val="00621DAE"/>
    <w:rsid w:val="00622401"/>
    <w:rsid w:val="00622CAC"/>
    <w:rsid w:val="00623E5E"/>
    <w:rsid w:val="006243B5"/>
    <w:rsid w:val="00624F32"/>
    <w:rsid w:val="0062583C"/>
    <w:rsid w:val="00631A0E"/>
    <w:rsid w:val="00632180"/>
    <w:rsid w:val="0063341A"/>
    <w:rsid w:val="00635EA6"/>
    <w:rsid w:val="0063715C"/>
    <w:rsid w:val="0064009D"/>
    <w:rsid w:val="00641B56"/>
    <w:rsid w:val="00642853"/>
    <w:rsid w:val="00642974"/>
    <w:rsid w:val="006431D7"/>
    <w:rsid w:val="00645665"/>
    <w:rsid w:val="0064616A"/>
    <w:rsid w:val="00651035"/>
    <w:rsid w:val="00651968"/>
    <w:rsid w:val="00654A4B"/>
    <w:rsid w:val="00656913"/>
    <w:rsid w:val="00657488"/>
    <w:rsid w:val="006601BC"/>
    <w:rsid w:val="006604AE"/>
    <w:rsid w:val="00661A37"/>
    <w:rsid w:val="00665C84"/>
    <w:rsid w:val="00665D02"/>
    <w:rsid w:val="00665E46"/>
    <w:rsid w:val="00670BB0"/>
    <w:rsid w:val="00671EFC"/>
    <w:rsid w:val="00672E5D"/>
    <w:rsid w:val="0067415E"/>
    <w:rsid w:val="0067555B"/>
    <w:rsid w:val="006757B5"/>
    <w:rsid w:val="006768FB"/>
    <w:rsid w:val="00677121"/>
    <w:rsid w:val="00680F00"/>
    <w:rsid w:val="00680FEB"/>
    <w:rsid w:val="006811CC"/>
    <w:rsid w:val="006814ED"/>
    <w:rsid w:val="006827EC"/>
    <w:rsid w:val="00684664"/>
    <w:rsid w:val="00684D53"/>
    <w:rsid w:val="00692BE5"/>
    <w:rsid w:val="006938E9"/>
    <w:rsid w:val="00695C98"/>
    <w:rsid w:val="00696287"/>
    <w:rsid w:val="006969C8"/>
    <w:rsid w:val="006A2DB8"/>
    <w:rsid w:val="006A3519"/>
    <w:rsid w:val="006A4FCC"/>
    <w:rsid w:val="006A687D"/>
    <w:rsid w:val="006A7286"/>
    <w:rsid w:val="006B12DB"/>
    <w:rsid w:val="006B1866"/>
    <w:rsid w:val="006B2324"/>
    <w:rsid w:val="006B315E"/>
    <w:rsid w:val="006B42A9"/>
    <w:rsid w:val="006B435B"/>
    <w:rsid w:val="006B5BE5"/>
    <w:rsid w:val="006B5D55"/>
    <w:rsid w:val="006B636B"/>
    <w:rsid w:val="006B6B0C"/>
    <w:rsid w:val="006B6CCC"/>
    <w:rsid w:val="006B7503"/>
    <w:rsid w:val="006C195D"/>
    <w:rsid w:val="006C2766"/>
    <w:rsid w:val="006C4736"/>
    <w:rsid w:val="006C4B0E"/>
    <w:rsid w:val="006C6AF9"/>
    <w:rsid w:val="006C6BD8"/>
    <w:rsid w:val="006C71B2"/>
    <w:rsid w:val="006D1288"/>
    <w:rsid w:val="006D1A18"/>
    <w:rsid w:val="006D3D1F"/>
    <w:rsid w:val="006D3EBD"/>
    <w:rsid w:val="006E14B7"/>
    <w:rsid w:val="006E2B45"/>
    <w:rsid w:val="006E5863"/>
    <w:rsid w:val="006E7518"/>
    <w:rsid w:val="006E7C70"/>
    <w:rsid w:val="006F04C2"/>
    <w:rsid w:val="006F1A41"/>
    <w:rsid w:val="006F21C5"/>
    <w:rsid w:val="006F2825"/>
    <w:rsid w:val="006F2DAA"/>
    <w:rsid w:val="006F2E5A"/>
    <w:rsid w:val="006F3375"/>
    <w:rsid w:val="006F3834"/>
    <w:rsid w:val="006F3C29"/>
    <w:rsid w:val="006F6180"/>
    <w:rsid w:val="006F7010"/>
    <w:rsid w:val="00701F2E"/>
    <w:rsid w:val="00702555"/>
    <w:rsid w:val="0070381C"/>
    <w:rsid w:val="00705260"/>
    <w:rsid w:val="007053E9"/>
    <w:rsid w:val="007058D2"/>
    <w:rsid w:val="007078A1"/>
    <w:rsid w:val="00710176"/>
    <w:rsid w:val="00711381"/>
    <w:rsid w:val="0071147C"/>
    <w:rsid w:val="00711A67"/>
    <w:rsid w:val="00713774"/>
    <w:rsid w:val="007140F0"/>
    <w:rsid w:val="00715B86"/>
    <w:rsid w:val="00720AD7"/>
    <w:rsid w:val="00722162"/>
    <w:rsid w:val="00722451"/>
    <w:rsid w:val="00722901"/>
    <w:rsid w:val="00725FA8"/>
    <w:rsid w:val="00726467"/>
    <w:rsid w:val="00726B4F"/>
    <w:rsid w:val="00727417"/>
    <w:rsid w:val="007304C1"/>
    <w:rsid w:val="00730D00"/>
    <w:rsid w:val="00730EA9"/>
    <w:rsid w:val="007313D5"/>
    <w:rsid w:val="00733010"/>
    <w:rsid w:val="007341EB"/>
    <w:rsid w:val="00734A1E"/>
    <w:rsid w:val="00735AD5"/>
    <w:rsid w:val="00735E0C"/>
    <w:rsid w:val="00736295"/>
    <w:rsid w:val="00736BEA"/>
    <w:rsid w:val="00737A17"/>
    <w:rsid w:val="00737D10"/>
    <w:rsid w:val="00742CC5"/>
    <w:rsid w:val="007440CB"/>
    <w:rsid w:val="00744905"/>
    <w:rsid w:val="00746A1F"/>
    <w:rsid w:val="00746BA1"/>
    <w:rsid w:val="00747C81"/>
    <w:rsid w:val="007508CC"/>
    <w:rsid w:val="007508E4"/>
    <w:rsid w:val="00750C64"/>
    <w:rsid w:val="00753453"/>
    <w:rsid w:val="0075524F"/>
    <w:rsid w:val="00755C59"/>
    <w:rsid w:val="00755C61"/>
    <w:rsid w:val="00756AA7"/>
    <w:rsid w:val="00756CAA"/>
    <w:rsid w:val="007607EB"/>
    <w:rsid w:val="00761454"/>
    <w:rsid w:val="00761B14"/>
    <w:rsid w:val="00761EA6"/>
    <w:rsid w:val="00762AB0"/>
    <w:rsid w:val="00763CD8"/>
    <w:rsid w:val="00763F61"/>
    <w:rsid w:val="00764013"/>
    <w:rsid w:val="007674DD"/>
    <w:rsid w:val="007676D6"/>
    <w:rsid w:val="00770783"/>
    <w:rsid w:val="00770E05"/>
    <w:rsid w:val="00772551"/>
    <w:rsid w:val="00781C6E"/>
    <w:rsid w:val="00786FCD"/>
    <w:rsid w:val="0078701B"/>
    <w:rsid w:val="00787479"/>
    <w:rsid w:val="007905C6"/>
    <w:rsid w:val="00790746"/>
    <w:rsid w:val="00791BE6"/>
    <w:rsid w:val="0079209D"/>
    <w:rsid w:val="00793FAC"/>
    <w:rsid w:val="007952C5"/>
    <w:rsid w:val="007970D7"/>
    <w:rsid w:val="007A16AA"/>
    <w:rsid w:val="007A2A11"/>
    <w:rsid w:val="007A2BD5"/>
    <w:rsid w:val="007A3C67"/>
    <w:rsid w:val="007A4E36"/>
    <w:rsid w:val="007B1CD9"/>
    <w:rsid w:val="007B2DDF"/>
    <w:rsid w:val="007B35FC"/>
    <w:rsid w:val="007B5B16"/>
    <w:rsid w:val="007B6175"/>
    <w:rsid w:val="007B6CFA"/>
    <w:rsid w:val="007C07C3"/>
    <w:rsid w:val="007C1446"/>
    <w:rsid w:val="007C155E"/>
    <w:rsid w:val="007C172C"/>
    <w:rsid w:val="007C1B4C"/>
    <w:rsid w:val="007C2F9E"/>
    <w:rsid w:val="007C32C9"/>
    <w:rsid w:val="007C40D8"/>
    <w:rsid w:val="007C565E"/>
    <w:rsid w:val="007D24F8"/>
    <w:rsid w:val="007D29C4"/>
    <w:rsid w:val="007D39D6"/>
    <w:rsid w:val="007D3BE8"/>
    <w:rsid w:val="007D581E"/>
    <w:rsid w:val="007D6A6A"/>
    <w:rsid w:val="007D6DEC"/>
    <w:rsid w:val="007E0DBE"/>
    <w:rsid w:val="007E0FA4"/>
    <w:rsid w:val="007E117A"/>
    <w:rsid w:val="007E3B6A"/>
    <w:rsid w:val="007E5454"/>
    <w:rsid w:val="007E7EA8"/>
    <w:rsid w:val="007F0FF9"/>
    <w:rsid w:val="007F2941"/>
    <w:rsid w:val="007F2F5B"/>
    <w:rsid w:val="007F3CB0"/>
    <w:rsid w:val="007F6737"/>
    <w:rsid w:val="007F7006"/>
    <w:rsid w:val="007F7CE8"/>
    <w:rsid w:val="0080112C"/>
    <w:rsid w:val="00801775"/>
    <w:rsid w:val="00802997"/>
    <w:rsid w:val="00802FF8"/>
    <w:rsid w:val="008036C0"/>
    <w:rsid w:val="008066C8"/>
    <w:rsid w:val="0081138C"/>
    <w:rsid w:val="0081231C"/>
    <w:rsid w:val="00816A15"/>
    <w:rsid w:val="00816C26"/>
    <w:rsid w:val="00817C06"/>
    <w:rsid w:val="00821EE5"/>
    <w:rsid w:val="00822593"/>
    <w:rsid w:val="0082271D"/>
    <w:rsid w:val="00822E82"/>
    <w:rsid w:val="00823511"/>
    <w:rsid w:val="00823C8D"/>
    <w:rsid w:val="0082504E"/>
    <w:rsid w:val="0082635B"/>
    <w:rsid w:val="008273FF"/>
    <w:rsid w:val="00830597"/>
    <w:rsid w:val="00830F1F"/>
    <w:rsid w:val="00831CE7"/>
    <w:rsid w:val="00833815"/>
    <w:rsid w:val="0083382C"/>
    <w:rsid w:val="008349AA"/>
    <w:rsid w:val="0084082C"/>
    <w:rsid w:val="008435BB"/>
    <w:rsid w:val="0084520E"/>
    <w:rsid w:val="00850611"/>
    <w:rsid w:val="0085135A"/>
    <w:rsid w:val="00851D35"/>
    <w:rsid w:val="00852490"/>
    <w:rsid w:val="00852865"/>
    <w:rsid w:val="00853D0D"/>
    <w:rsid w:val="0085700D"/>
    <w:rsid w:val="0086003C"/>
    <w:rsid w:val="00863527"/>
    <w:rsid w:val="008648B3"/>
    <w:rsid w:val="00864F95"/>
    <w:rsid w:val="0086660C"/>
    <w:rsid w:val="008669A9"/>
    <w:rsid w:val="00872568"/>
    <w:rsid w:val="008737A6"/>
    <w:rsid w:val="00874BB2"/>
    <w:rsid w:val="00875286"/>
    <w:rsid w:val="00876613"/>
    <w:rsid w:val="00877750"/>
    <w:rsid w:val="008777A7"/>
    <w:rsid w:val="00882D5A"/>
    <w:rsid w:val="00887570"/>
    <w:rsid w:val="00891CE3"/>
    <w:rsid w:val="00892618"/>
    <w:rsid w:val="00894080"/>
    <w:rsid w:val="0089494D"/>
    <w:rsid w:val="008A0092"/>
    <w:rsid w:val="008A0ADF"/>
    <w:rsid w:val="008A1FBE"/>
    <w:rsid w:val="008A2C85"/>
    <w:rsid w:val="008A2FD6"/>
    <w:rsid w:val="008A3214"/>
    <w:rsid w:val="008A37BB"/>
    <w:rsid w:val="008A411B"/>
    <w:rsid w:val="008A6C31"/>
    <w:rsid w:val="008B07F7"/>
    <w:rsid w:val="008B45AA"/>
    <w:rsid w:val="008B547B"/>
    <w:rsid w:val="008B579A"/>
    <w:rsid w:val="008B6AA1"/>
    <w:rsid w:val="008B7032"/>
    <w:rsid w:val="008B7833"/>
    <w:rsid w:val="008C0E44"/>
    <w:rsid w:val="008C3945"/>
    <w:rsid w:val="008C5B8B"/>
    <w:rsid w:val="008C6C18"/>
    <w:rsid w:val="008C7160"/>
    <w:rsid w:val="008D043C"/>
    <w:rsid w:val="008D1700"/>
    <w:rsid w:val="008D3A16"/>
    <w:rsid w:val="008D4BC9"/>
    <w:rsid w:val="008D5AB4"/>
    <w:rsid w:val="008D6013"/>
    <w:rsid w:val="008D631E"/>
    <w:rsid w:val="008D6CC9"/>
    <w:rsid w:val="008E0A76"/>
    <w:rsid w:val="008E10A9"/>
    <w:rsid w:val="008E1769"/>
    <w:rsid w:val="008E18D3"/>
    <w:rsid w:val="008E2586"/>
    <w:rsid w:val="008E29E0"/>
    <w:rsid w:val="008E32E4"/>
    <w:rsid w:val="008E3EDF"/>
    <w:rsid w:val="008F0323"/>
    <w:rsid w:val="008F32EC"/>
    <w:rsid w:val="008F3B25"/>
    <w:rsid w:val="008F4164"/>
    <w:rsid w:val="008F6F1B"/>
    <w:rsid w:val="009004EA"/>
    <w:rsid w:val="00900D74"/>
    <w:rsid w:val="0090207F"/>
    <w:rsid w:val="009043EF"/>
    <w:rsid w:val="00904CB8"/>
    <w:rsid w:val="00905D6D"/>
    <w:rsid w:val="00905DC7"/>
    <w:rsid w:val="00906092"/>
    <w:rsid w:val="00906550"/>
    <w:rsid w:val="0090756A"/>
    <w:rsid w:val="009103BA"/>
    <w:rsid w:val="009117A0"/>
    <w:rsid w:val="00912509"/>
    <w:rsid w:val="00914A1E"/>
    <w:rsid w:val="00917DAD"/>
    <w:rsid w:val="0092338C"/>
    <w:rsid w:val="0092374B"/>
    <w:rsid w:val="00924C40"/>
    <w:rsid w:val="00925ADD"/>
    <w:rsid w:val="00931372"/>
    <w:rsid w:val="00931B3B"/>
    <w:rsid w:val="009340E4"/>
    <w:rsid w:val="00934364"/>
    <w:rsid w:val="00934408"/>
    <w:rsid w:val="00940509"/>
    <w:rsid w:val="00940D41"/>
    <w:rsid w:val="00941118"/>
    <w:rsid w:val="00943149"/>
    <w:rsid w:val="00943433"/>
    <w:rsid w:val="009462F8"/>
    <w:rsid w:val="0094740D"/>
    <w:rsid w:val="00953095"/>
    <w:rsid w:val="00953271"/>
    <w:rsid w:val="00957854"/>
    <w:rsid w:val="009579F8"/>
    <w:rsid w:val="00960381"/>
    <w:rsid w:val="00965CBA"/>
    <w:rsid w:val="00966262"/>
    <w:rsid w:val="009672F5"/>
    <w:rsid w:val="00967F70"/>
    <w:rsid w:val="009718E0"/>
    <w:rsid w:val="00972089"/>
    <w:rsid w:val="009756BE"/>
    <w:rsid w:val="00975B47"/>
    <w:rsid w:val="0097757D"/>
    <w:rsid w:val="00977791"/>
    <w:rsid w:val="009813B2"/>
    <w:rsid w:val="00982303"/>
    <w:rsid w:val="009872F9"/>
    <w:rsid w:val="00993600"/>
    <w:rsid w:val="009938EE"/>
    <w:rsid w:val="00995B7F"/>
    <w:rsid w:val="009963A4"/>
    <w:rsid w:val="00997064"/>
    <w:rsid w:val="009A05D0"/>
    <w:rsid w:val="009A1922"/>
    <w:rsid w:val="009A30A5"/>
    <w:rsid w:val="009A401F"/>
    <w:rsid w:val="009A622B"/>
    <w:rsid w:val="009A6ACA"/>
    <w:rsid w:val="009A7A20"/>
    <w:rsid w:val="009B0443"/>
    <w:rsid w:val="009B0CB7"/>
    <w:rsid w:val="009B10CA"/>
    <w:rsid w:val="009B1126"/>
    <w:rsid w:val="009B1253"/>
    <w:rsid w:val="009B1E29"/>
    <w:rsid w:val="009B375F"/>
    <w:rsid w:val="009B43A3"/>
    <w:rsid w:val="009B536D"/>
    <w:rsid w:val="009B5F18"/>
    <w:rsid w:val="009B6559"/>
    <w:rsid w:val="009B6636"/>
    <w:rsid w:val="009B6A43"/>
    <w:rsid w:val="009C06E4"/>
    <w:rsid w:val="009C155E"/>
    <w:rsid w:val="009C1613"/>
    <w:rsid w:val="009C3E80"/>
    <w:rsid w:val="009C49D1"/>
    <w:rsid w:val="009C4CD8"/>
    <w:rsid w:val="009C7EF3"/>
    <w:rsid w:val="009D087E"/>
    <w:rsid w:val="009D0E72"/>
    <w:rsid w:val="009D0FDC"/>
    <w:rsid w:val="009D173B"/>
    <w:rsid w:val="009D1D71"/>
    <w:rsid w:val="009D22E6"/>
    <w:rsid w:val="009D2616"/>
    <w:rsid w:val="009D2C95"/>
    <w:rsid w:val="009D60AB"/>
    <w:rsid w:val="009D7A2D"/>
    <w:rsid w:val="009D7DA1"/>
    <w:rsid w:val="009E0135"/>
    <w:rsid w:val="009E1D2E"/>
    <w:rsid w:val="009E1F68"/>
    <w:rsid w:val="009E27EB"/>
    <w:rsid w:val="009E2A54"/>
    <w:rsid w:val="009E337C"/>
    <w:rsid w:val="009E3DDE"/>
    <w:rsid w:val="009F01EE"/>
    <w:rsid w:val="009F0848"/>
    <w:rsid w:val="009F1114"/>
    <w:rsid w:val="009F7A39"/>
    <w:rsid w:val="009F7C85"/>
    <w:rsid w:val="00A02483"/>
    <w:rsid w:val="00A0281B"/>
    <w:rsid w:val="00A04400"/>
    <w:rsid w:val="00A05B54"/>
    <w:rsid w:val="00A05B6C"/>
    <w:rsid w:val="00A06725"/>
    <w:rsid w:val="00A0748F"/>
    <w:rsid w:val="00A14D11"/>
    <w:rsid w:val="00A17ADF"/>
    <w:rsid w:val="00A205A4"/>
    <w:rsid w:val="00A205D4"/>
    <w:rsid w:val="00A20E8A"/>
    <w:rsid w:val="00A22E21"/>
    <w:rsid w:val="00A23D63"/>
    <w:rsid w:val="00A24A4C"/>
    <w:rsid w:val="00A24D53"/>
    <w:rsid w:val="00A25151"/>
    <w:rsid w:val="00A25910"/>
    <w:rsid w:val="00A25C92"/>
    <w:rsid w:val="00A25FE7"/>
    <w:rsid w:val="00A26CF1"/>
    <w:rsid w:val="00A279E7"/>
    <w:rsid w:val="00A27CBB"/>
    <w:rsid w:val="00A305DF"/>
    <w:rsid w:val="00A3095A"/>
    <w:rsid w:val="00A33EDB"/>
    <w:rsid w:val="00A35521"/>
    <w:rsid w:val="00A35819"/>
    <w:rsid w:val="00A35A3A"/>
    <w:rsid w:val="00A35DA3"/>
    <w:rsid w:val="00A36E04"/>
    <w:rsid w:val="00A3738A"/>
    <w:rsid w:val="00A41CFD"/>
    <w:rsid w:val="00A4257F"/>
    <w:rsid w:val="00A42687"/>
    <w:rsid w:val="00A43533"/>
    <w:rsid w:val="00A44244"/>
    <w:rsid w:val="00A4595F"/>
    <w:rsid w:val="00A47AC1"/>
    <w:rsid w:val="00A47C07"/>
    <w:rsid w:val="00A512B8"/>
    <w:rsid w:val="00A52C8D"/>
    <w:rsid w:val="00A5562A"/>
    <w:rsid w:val="00A602CF"/>
    <w:rsid w:val="00A6238B"/>
    <w:rsid w:val="00A62834"/>
    <w:rsid w:val="00A6323B"/>
    <w:rsid w:val="00A634E3"/>
    <w:rsid w:val="00A648B2"/>
    <w:rsid w:val="00A64B7E"/>
    <w:rsid w:val="00A64E42"/>
    <w:rsid w:val="00A6582E"/>
    <w:rsid w:val="00A7154C"/>
    <w:rsid w:val="00A71E4E"/>
    <w:rsid w:val="00A73CD1"/>
    <w:rsid w:val="00A76D3A"/>
    <w:rsid w:val="00A776B1"/>
    <w:rsid w:val="00A8138F"/>
    <w:rsid w:val="00A84C4F"/>
    <w:rsid w:val="00A851D3"/>
    <w:rsid w:val="00A86B61"/>
    <w:rsid w:val="00A91111"/>
    <w:rsid w:val="00A924C7"/>
    <w:rsid w:val="00A92737"/>
    <w:rsid w:val="00A92A39"/>
    <w:rsid w:val="00A942F8"/>
    <w:rsid w:val="00A96707"/>
    <w:rsid w:val="00A96B3A"/>
    <w:rsid w:val="00A978D1"/>
    <w:rsid w:val="00AA14A6"/>
    <w:rsid w:val="00AA2782"/>
    <w:rsid w:val="00AA553C"/>
    <w:rsid w:val="00AA6294"/>
    <w:rsid w:val="00AA6CE3"/>
    <w:rsid w:val="00AA7B05"/>
    <w:rsid w:val="00AA7D8C"/>
    <w:rsid w:val="00AB13DB"/>
    <w:rsid w:val="00AB239C"/>
    <w:rsid w:val="00AB2991"/>
    <w:rsid w:val="00AB3536"/>
    <w:rsid w:val="00AB3A44"/>
    <w:rsid w:val="00AB54C2"/>
    <w:rsid w:val="00AB5D8E"/>
    <w:rsid w:val="00AB6666"/>
    <w:rsid w:val="00AB6B48"/>
    <w:rsid w:val="00AB75BC"/>
    <w:rsid w:val="00AB7834"/>
    <w:rsid w:val="00AD3F34"/>
    <w:rsid w:val="00AD5CE9"/>
    <w:rsid w:val="00AE2357"/>
    <w:rsid w:val="00AE2642"/>
    <w:rsid w:val="00AE2942"/>
    <w:rsid w:val="00AE387B"/>
    <w:rsid w:val="00AE4689"/>
    <w:rsid w:val="00AE6309"/>
    <w:rsid w:val="00AE6468"/>
    <w:rsid w:val="00AE7E47"/>
    <w:rsid w:val="00AF086E"/>
    <w:rsid w:val="00AF2A0E"/>
    <w:rsid w:val="00AF36D6"/>
    <w:rsid w:val="00AF3DEF"/>
    <w:rsid w:val="00AF4490"/>
    <w:rsid w:val="00AF498D"/>
    <w:rsid w:val="00AF5CF5"/>
    <w:rsid w:val="00B022B7"/>
    <w:rsid w:val="00B03225"/>
    <w:rsid w:val="00B036D0"/>
    <w:rsid w:val="00B04D02"/>
    <w:rsid w:val="00B05921"/>
    <w:rsid w:val="00B06078"/>
    <w:rsid w:val="00B06812"/>
    <w:rsid w:val="00B1006B"/>
    <w:rsid w:val="00B100AD"/>
    <w:rsid w:val="00B11916"/>
    <w:rsid w:val="00B12403"/>
    <w:rsid w:val="00B12511"/>
    <w:rsid w:val="00B145F5"/>
    <w:rsid w:val="00B17124"/>
    <w:rsid w:val="00B2101C"/>
    <w:rsid w:val="00B21E20"/>
    <w:rsid w:val="00B22EFD"/>
    <w:rsid w:val="00B23B30"/>
    <w:rsid w:val="00B24544"/>
    <w:rsid w:val="00B24650"/>
    <w:rsid w:val="00B24E57"/>
    <w:rsid w:val="00B26855"/>
    <w:rsid w:val="00B26DC5"/>
    <w:rsid w:val="00B27440"/>
    <w:rsid w:val="00B30928"/>
    <w:rsid w:val="00B3108E"/>
    <w:rsid w:val="00B310E1"/>
    <w:rsid w:val="00B324DD"/>
    <w:rsid w:val="00B32C52"/>
    <w:rsid w:val="00B35A9D"/>
    <w:rsid w:val="00B37B22"/>
    <w:rsid w:val="00B4092B"/>
    <w:rsid w:val="00B4126C"/>
    <w:rsid w:val="00B4208C"/>
    <w:rsid w:val="00B4252B"/>
    <w:rsid w:val="00B451ED"/>
    <w:rsid w:val="00B46B76"/>
    <w:rsid w:val="00B50467"/>
    <w:rsid w:val="00B521CA"/>
    <w:rsid w:val="00B525B8"/>
    <w:rsid w:val="00B529F6"/>
    <w:rsid w:val="00B541EA"/>
    <w:rsid w:val="00B550A9"/>
    <w:rsid w:val="00B5557C"/>
    <w:rsid w:val="00B5696D"/>
    <w:rsid w:val="00B600CB"/>
    <w:rsid w:val="00B611C2"/>
    <w:rsid w:val="00B64892"/>
    <w:rsid w:val="00B65288"/>
    <w:rsid w:val="00B657FE"/>
    <w:rsid w:val="00B6598E"/>
    <w:rsid w:val="00B65A10"/>
    <w:rsid w:val="00B6727E"/>
    <w:rsid w:val="00B70A38"/>
    <w:rsid w:val="00B71E0E"/>
    <w:rsid w:val="00B72D48"/>
    <w:rsid w:val="00B72DC4"/>
    <w:rsid w:val="00B74619"/>
    <w:rsid w:val="00B76CDE"/>
    <w:rsid w:val="00B80955"/>
    <w:rsid w:val="00B81D92"/>
    <w:rsid w:val="00B81DBB"/>
    <w:rsid w:val="00B821AC"/>
    <w:rsid w:val="00B82809"/>
    <w:rsid w:val="00B83417"/>
    <w:rsid w:val="00B83AAB"/>
    <w:rsid w:val="00B855B8"/>
    <w:rsid w:val="00B8572A"/>
    <w:rsid w:val="00B865C9"/>
    <w:rsid w:val="00B90DC8"/>
    <w:rsid w:val="00B913C7"/>
    <w:rsid w:val="00B93EBD"/>
    <w:rsid w:val="00B94BB8"/>
    <w:rsid w:val="00B96139"/>
    <w:rsid w:val="00B9736A"/>
    <w:rsid w:val="00B97957"/>
    <w:rsid w:val="00BA007E"/>
    <w:rsid w:val="00BA009F"/>
    <w:rsid w:val="00BA0F2F"/>
    <w:rsid w:val="00BA19C4"/>
    <w:rsid w:val="00BA379A"/>
    <w:rsid w:val="00BA4082"/>
    <w:rsid w:val="00BA68D4"/>
    <w:rsid w:val="00BB1A24"/>
    <w:rsid w:val="00BB2481"/>
    <w:rsid w:val="00BB3AF3"/>
    <w:rsid w:val="00BB5DC6"/>
    <w:rsid w:val="00BB5EB5"/>
    <w:rsid w:val="00BB70D4"/>
    <w:rsid w:val="00BB71AA"/>
    <w:rsid w:val="00BB7CC3"/>
    <w:rsid w:val="00BC0428"/>
    <w:rsid w:val="00BC1E71"/>
    <w:rsid w:val="00BC29CA"/>
    <w:rsid w:val="00BC2CE1"/>
    <w:rsid w:val="00BC3574"/>
    <w:rsid w:val="00BC67D2"/>
    <w:rsid w:val="00BD10E3"/>
    <w:rsid w:val="00BD25D7"/>
    <w:rsid w:val="00BD2921"/>
    <w:rsid w:val="00BD339B"/>
    <w:rsid w:val="00BD5D5E"/>
    <w:rsid w:val="00BD6E03"/>
    <w:rsid w:val="00BE1542"/>
    <w:rsid w:val="00BE19CB"/>
    <w:rsid w:val="00BE2B99"/>
    <w:rsid w:val="00BE3783"/>
    <w:rsid w:val="00BE38B0"/>
    <w:rsid w:val="00BE3FE9"/>
    <w:rsid w:val="00BF1923"/>
    <w:rsid w:val="00BF4D62"/>
    <w:rsid w:val="00BF5E7C"/>
    <w:rsid w:val="00C05044"/>
    <w:rsid w:val="00C1138D"/>
    <w:rsid w:val="00C13D65"/>
    <w:rsid w:val="00C1404D"/>
    <w:rsid w:val="00C140F6"/>
    <w:rsid w:val="00C14C01"/>
    <w:rsid w:val="00C14FB9"/>
    <w:rsid w:val="00C17468"/>
    <w:rsid w:val="00C17842"/>
    <w:rsid w:val="00C1785D"/>
    <w:rsid w:val="00C17BFA"/>
    <w:rsid w:val="00C205A3"/>
    <w:rsid w:val="00C20654"/>
    <w:rsid w:val="00C21B3B"/>
    <w:rsid w:val="00C223C4"/>
    <w:rsid w:val="00C22F1F"/>
    <w:rsid w:val="00C2379B"/>
    <w:rsid w:val="00C3021B"/>
    <w:rsid w:val="00C32088"/>
    <w:rsid w:val="00C321BB"/>
    <w:rsid w:val="00C331B1"/>
    <w:rsid w:val="00C33999"/>
    <w:rsid w:val="00C339A7"/>
    <w:rsid w:val="00C33D56"/>
    <w:rsid w:val="00C34B37"/>
    <w:rsid w:val="00C404B7"/>
    <w:rsid w:val="00C407FE"/>
    <w:rsid w:val="00C424C9"/>
    <w:rsid w:val="00C42A4A"/>
    <w:rsid w:val="00C436F9"/>
    <w:rsid w:val="00C44FC1"/>
    <w:rsid w:val="00C47A7E"/>
    <w:rsid w:val="00C47FF4"/>
    <w:rsid w:val="00C51816"/>
    <w:rsid w:val="00C53D70"/>
    <w:rsid w:val="00C54850"/>
    <w:rsid w:val="00C54E0A"/>
    <w:rsid w:val="00C55074"/>
    <w:rsid w:val="00C56782"/>
    <w:rsid w:val="00C56DD6"/>
    <w:rsid w:val="00C60575"/>
    <w:rsid w:val="00C6063E"/>
    <w:rsid w:val="00C60DF4"/>
    <w:rsid w:val="00C61413"/>
    <w:rsid w:val="00C62370"/>
    <w:rsid w:val="00C63338"/>
    <w:rsid w:val="00C643B2"/>
    <w:rsid w:val="00C65073"/>
    <w:rsid w:val="00C70373"/>
    <w:rsid w:val="00C70EC7"/>
    <w:rsid w:val="00C70FAB"/>
    <w:rsid w:val="00C711DD"/>
    <w:rsid w:val="00C75F94"/>
    <w:rsid w:val="00C76F1B"/>
    <w:rsid w:val="00C8173C"/>
    <w:rsid w:val="00C81CD6"/>
    <w:rsid w:val="00C82083"/>
    <w:rsid w:val="00C83064"/>
    <w:rsid w:val="00C84E38"/>
    <w:rsid w:val="00C85E65"/>
    <w:rsid w:val="00C86505"/>
    <w:rsid w:val="00C87288"/>
    <w:rsid w:val="00C872CB"/>
    <w:rsid w:val="00C87AFC"/>
    <w:rsid w:val="00C9101B"/>
    <w:rsid w:val="00C92EC3"/>
    <w:rsid w:val="00C932C1"/>
    <w:rsid w:val="00C93A72"/>
    <w:rsid w:val="00C93F64"/>
    <w:rsid w:val="00C947C8"/>
    <w:rsid w:val="00C977B2"/>
    <w:rsid w:val="00CA22AE"/>
    <w:rsid w:val="00CA7600"/>
    <w:rsid w:val="00CA7E2B"/>
    <w:rsid w:val="00CB2B08"/>
    <w:rsid w:val="00CB3723"/>
    <w:rsid w:val="00CB4BD0"/>
    <w:rsid w:val="00CB6959"/>
    <w:rsid w:val="00CB703E"/>
    <w:rsid w:val="00CC2F05"/>
    <w:rsid w:val="00CC3638"/>
    <w:rsid w:val="00CC3824"/>
    <w:rsid w:val="00CC4F8A"/>
    <w:rsid w:val="00CC4FBF"/>
    <w:rsid w:val="00CC570E"/>
    <w:rsid w:val="00CC5F5E"/>
    <w:rsid w:val="00CC61EB"/>
    <w:rsid w:val="00CC7169"/>
    <w:rsid w:val="00CD1537"/>
    <w:rsid w:val="00CD1C7E"/>
    <w:rsid w:val="00CD2062"/>
    <w:rsid w:val="00CD2948"/>
    <w:rsid w:val="00CD2A54"/>
    <w:rsid w:val="00CD340B"/>
    <w:rsid w:val="00CD41B8"/>
    <w:rsid w:val="00CD7EDD"/>
    <w:rsid w:val="00CE0877"/>
    <w:rsid w:val="00CE2425"/>
    <w:rsid w:val="00CE2CCF"/>
    <w:rsid w:val="00CE3565"/>
    <w:rsid w:val="00CE5893"/>
    <w:rsid w:val="00CE72E9"/>
    <w:rsid w:val="00CE7302"/>
    <w:rsid w:val="00CF03DC"/>
    <w:rsid w:val="00CF1523"/>
    <w:rsid w:val="00CF159C"/>
    <w:rsid w:val="00CF374A"/>
    <w:rsid w:val="00CF5261"/>
    <w:rsid w:val="00CF573E"/>
    <w:rsid w:val="00CF7333"/>
    <w:rsid w:val="00CF7D26"/>
    <w:rsid w:val="00CF7E30"/>
    <w:rsid w:val="00D00760"/>
    <w:rsid w:val="00D021DF"/>
    <w:rsid w:val="00D03991"/>
    <w:rsid w:val="00D03D0C"/>
    <w:rsid w:val="00D04D75"/>
    <w:rsid w:val="00D061DF"/>
    <w:rsid w:val="00D06EAC"/>
    <w:rsid w:val="00D10A9B"/>
    <w:rsid w:val="00D127E4"/>
    <w:rsid w:val="00D137CA"/>
    <w:rsid w:val="00D1472B"/>
    <w:rsid w:val="00D1515E"/>
    <w:rsid w:val="00D15786"/>
    <w:rsid w:val="00D172B7"/>
    <w:rsid w:val="00D17424"/>
    <w:rsid w:val="00D179E6"/>
    <w:rsid w:val="00D203AB"/>
    <w:rsid w:val="00D204C7"/>
    <w:rsid w:val="00D21603"/>
    <w:rsid w:val="00D21B2C"/>
    <w:rsid w:val="00D2235B"/>
    <w:rsid w:val="00D239EC"/>
    <w:rsid w:val="00D26C1C"/>
    <w:rsid w:val="00D30854"/>
    <w:rsid w:val="00D33899"/>
    <w:rsid w:val="00D33BC0"/>
    <w:rsid w:val="00D34279"/>
    <w:rsid w:val="00D34DD5"/>
    <w:rsid w:val="00D35191"/>
    <w:rsid w:val="00D3543F"/>
    <w:rsid w:val="00D35BE9"/>
    <w:rsid w:val="00D37CF0"/>
    <w:rsid w:val="00D40B17"/>
    <w:rsid w:val="00D41607"/>
    <w:rsid w:val="00D41A88"/>
    <w:rsid w:val="00D42820"/>
    <w:rsid w:val="00D42C78"/>
    <w:rsid w:val="00D440E2"/>
    <w:rsid w:val="00D443A8"/>
    <w:rsid w:val="00D5078D"/>
    <w:rsid w:val="00D5204E"/>
    <w:rsid w:val="00D551DE"/>
    <w:rsid w:val="00D5575A"/>
    <w:rsid w:val="00D56401"/>
    <w:rsid w:val="00D5675E"/>
    <w:rsid w:val="00D577D6"/>
    <w:rsid w:val="00D6003D"/>
    <w:rsid w:val="00D60FF9"/>
    <w:rsid w:val="00D6314B"/>
    <w:rsid w:val="00D65F6E"/>
    <w:rsid w:val="00D66782"/>
    <w:rsid w:val="00D70340"/>
    <w:rsid w:val="00D70B82"/>
    <w:rsid w:val="00D7164C"/>
    <w:rsid w:val="00D748D2"/>
    <w:rsid w:val="00D767F8"/>
    <w:rsid w:val="00D76A00"/>
    <w:rsid w:val="00D76C75"/>
    <w:rsid w:val="00D807D1"/>
    <w:rsid w:val="00D8192B"/>
    <w:rsid w:val="00D81AA2"/>
    <w:rsid w:val="00D847BD"/>
    <w:rsid w:val="00D84E04"/>
    <w:rsid w:val="00D862AB"/>
    <w:rsid w:val="00D86636"/>
    <w:rsid w:val="00D87B3C"/>
    <w:rsid w:val="00D90341"/>
    <w:rsid w:val="00D90E41"/>
    <w:rsid w:val="00D95EF9"/>
    <w:rsid w:val="00D962A8"/>
    <w:rsid w:val="00D965FE"/>
    <w:rsid w:val="00DA0A2C"/>
    <w:rsid w:val="00DA10C6"/>
    <w:rsid w:val="00DA319F"/>
    <w:rsid w:val="00DA3879"/>
    <w:rsid w:val="00DA4E55"/>
    <w:rsid w:val="00DA4F5E"/>
    <w:rsid w:val="00DA7A1A"/>
    <w:rsid w:val="00DB195F"/>
    <w:rsid w:val="00DB2787"/>
    <w:rsid w:val="00DB361A"/>
    <w:rsid w:val="00DB4907"/>
    <w:rsid w:val="00DB60AC"/>
    <w:rsid w:val="00DC0162"/>
    <w:rsid w:val="00DC260F"/>
    <w:rsid w:val="00DC3369"/>
    <w:rsid w:val="00DC4DF2"/>
    <w:rsid w:val="00DC53A3"/>
    <w:rsid w:val="00DC7264"/>
    <w:rsid w:val="00DC72FD"/>
    <w:rsid w:val="00DC7748"/>
    <w:rsid w:val="00DC7C69"/>
    <w:rsid w:val="00DC7E43"/>
    <w:rsid w:val="00DD4374"/>
    <w:rsid w:val="00DD4693"/>
    <w:rsid w:val="00DD4C2A"/>
    <w:rsid w:val="00DD6517"/>
    <w:rsid w:val="00DD6860"/>
    <w:rsid w:val="00DE0A2C"/>
    <w:rsid w:val="00DE0C64"/>
    <w:rsid w:val="00DE1B77"/>
    <w:rsid w:val="00DE234D"/>
    <w:rsid w:val="00DE326B"/>
    <w:rsid w:val="00DE550B"/>
    <w:rsid w:val="00DE5AD0"/>
    <w:rsid w:val="00DE7346"/>
    <w:rsid w:val="00DE7628"/>
    <w:rsid w:val="00DF16FB"/>
    <w:rsid w:val="00DF2856"/>
    <w:rsid w:val="00DF2DBB"/>
    <w:rsid w:val="00DF30E1"/>
    <w:rsid w:val="00DF3D10"/>
    <w:rsid w:val="00DF3E60"/>
    <w:rsid w:val="00DF764E"/>
    <w:rsid w:val="00E0059D"/>
    <w:rsid w:val="00E00884"/>
    <w:rsid w:val="00E01C1C"/>
    <w:rsid w:val="00E03647"/>
    <w:rsid w:val="00E05385"/>
    <w:rsid w:val="00E0752C"/>
    <w:rsid w:val="00E1019A"/>
    <w:rsid w:val="00E11F32"/>
    <w:rsid w:val="00E13358"/>
    <w:rsid w:val="00E1434A"/>
    <w:rsid w:val="00E143CA"/>
    <w:rsid w:val="00E1442C"/>
    <w:rsid w:val="00E152E4"/>
    <w:rsid w:val="00E16EC5"/>
    <w:rsid w:val="00E176CE"/>
    <w:rsid w:val="00E229AD"/>
    <w:rsid w:val="00E233C0"/>
    <w:rsid w:val="00E23F33"/>
    <w:rsid w:val="00E24596"/>
    <w:rsid w:val="00E245A4"/>
    <w:rsid w:val="00E24E26"/>
    <w:rsid w:val="00E2520C"/>
    <w:rsid w:val="00E25E31"/>
    <w:rsid w:val="00E2694D"/>
    <w:rsid w:val="00E26AFF"/>
    <w:rsid w:val="00E26B5C"/>
    <w:rsid w:val="00E26C01"/>
    <w:rsid w:val="00E27C0B"/>
    <w:rsid w:val="00E31D84"/>
    <w:rsid w:val="00E31F2F"/>
    <w:rsid w:val="00E326C6"/>
    <w:rsid w:val="00E3279D"/>
    <w:rsid w:val="00E33806"/>
    <w:rsid w:val="00E33E70"/>
    <w:rsid w:val="00E33EDC"/>
    <w:rsid w:val="00E34B58"/>
    <w:rsid w:val="00E3619F"/>
    <w:rsid w:val="00E364D6"/>
    <w:rsid w:val="00E36A6F"/>
    <w:rsid w:val="00E4140F"/>
    <w:rsid w:val="00E4232F"/>
    <w:rsid w:val="00E42980"/>
    <w:rsid w:val="00E436F9"/>
    <w:rsid w:val="00E43BFA"/>
    <w:rsid w:val="00E4404C"/>
    <w:rsid w:val="00E4463B"/>
    <w:rsid w:val="00E45D66"/>
    <w:rsid w:val="00E46E85"/>
    <w:rsid w:val="00E47406"/>
    <w:rsid w:val="00E519FC"/>
    <w:rsid w:val="00E52295"/>
    <w:rsid w:val="00E529CF"/>
    <w:rsid w:val="00E52B31"/>
    <w:rsid w:val="00E52C7B"/>
    <w:rsid w:val="00E537B3"/>
    <w:rsid w:val="00E5469C"/>
    <w:rsid w:val="00E56100"/>
    <w:rsid w:val="00E5618C"/>
    <w:rsid w:val="00E5768B"/>
    <w:rsid w:val="00E57E45"/>
    <w:rsid w:val="00E60D81"/>
    <w:rsid w:val="00E621B3"/>
    <w:rsid w:val="00E65CB0"/>
    <w:rsid w:val="00E67A3E"/>
    <w:rsid w:val="00E71ABE"/>
    <w:rsid w:val="00E72144"/>
    <w:rsid w:val="00E72564"/>
    <w:rsid w:val="00E73D3A"/>
    <w:rsid w:val="00E74D4D"/>
    <w:rsid w:val="00E80518"/>
    <w:rsid w:val="00E808B6"/>
    <w:rsid w:val="00E81504"/>
    <w:rsid w:val="00E8159A"/>
    <w:rsid w:val="00E81E0A"/>
    <w:rsid w:val="00E84B44"/>
    <w:rsid w:val="00E87DEA"/>
    <w:rsid w:val="00E87E9F"/>
    <w:rsid w:val="00E9004C"/>
    <w:rsid w:val="00E90DB3"/>
    <w:rsid w:val="00EA0616"/>
    <w:rsid w:val="00EA11AA"/>
    <w:rsid w:val="00EA4B9D"/>
    <w:rsid w:val="00EA4BCF"/>
    <w:rsid w:val="00EA5244"/>
    <w:rsid w:val="00EA53FF"/>
    <w:rsid w:val="00EA705B"/>
    <w:rsid w:val="00EA72F9"/>
    <w:rsid w:val="00EA7873"/>
    <w:rsid w:val="00EA7D57"/>
    <w:rsid w:val="00EB1022"/>
    <w:rsid w:val="00EB1DC5"/>
    <w:rsid w:val="00EB21AA"/>
    <w:rsid w:val="00EB3D61"/>
    <w:rsid w:val="00EB47C2"/>
    <w:rsid w:val="00EB77D7"/>
    <w:rsid w:val="00EC0ED4"/>
    <w:rsid w:val="00EC2DCB"/>
    <w:rsid w:val="00EC49AA"/>
    <w:rsid w:val="00EC6372"/>
    <w:rsid w:val="00EC6920"/>
    <w:rsid w:val="00EC6FFE"/>
    <w:rsid w:val="00ED0C44"/>
    <w:rsid w:val="00ED135F"/>
    <w:rsid w:val="00ED25B8"/>
    <w:rsid w:val="00ED39EB"/>
    <w:rsid w:val="00ED5782"/>
    <w:rsid w:val="00ED61D4"/>
    <w:rsid w:val="00ED6D1B"/>
    <w:rsid w:val="00ED7ACF"/>
    <w:rsid w:val="00EE0708"/>
    <w:rsid w:val="00EE2987"/>
    <w:rsid w:val="00EE34C5"/>
    <w:rsid w:val="00EE3713"/>
    <w:rsid w:val="00EE3A33"/>
    <w:rsid w:val="00EE3D6D"/>
    <w:rsid w:val="00EE45CF"/>
    <w:rsid w:val="00EE6746"/>
    <w:rsid w:val="00EE6B26"/>
    <w:rsid w:val="00EF3BC6"/>
    <w:rsid w:val="00EF573D"/>
    <w:rsid w:val="00EF7553"/>
    <w:rsid w:val="00EF7CEE"/>
    <w:rsid w:val="00F01E0B"/>
    <w:rsid w:val="00F01EE3"/>
    <w:rsid w:val="00F044E1"/>
    <w:rsid w:val="00F0538C"/>
    <w:rsid w:val="00F066ED"/>
    <w:rsid w:val="00F06BE4"/>
    <w:rsid w:val="00F07082"/>
    <w:rsid w:val="00F101F7"/>
    <w:rsid w:val="00F11426"/>
    <w:rsid w:val="00F11BA0"/>
    <w:rsid w:val="00F13F96"/>
    <w:rsid w:val="00F143E3"/>
    <w:rsid w:val="00F15C5C"/>
    <w:rsid w:val="00F16172"/>
    <w:rsid w:val="00F20ACC"/>
    <w:rsid w:val="00F21BED"/>
    <w:rsid w:val="00F23E7E"/>
    <w:rsid w:val="00F24BC2"/>
    <w:rsid w:val="00F253A0"/>
    <w:rsid w:val="00F2581E"/>
    <w:rsid w:val="00F26426"/>
    <w:rsid w:val="00F26FC3"/>
    <w:rsid w:val="00F278B7"/>
    <w:rsid w:val="00F31DA6"/>
    <w:rsid w:val="00F339C0"/>
    <w:rsid w:val="00F3477A"/>
    <w:rsid w:val="00F34EEE"/>
    <w:rsid w:val="00F35B57"/>
    <w:rsid w:val="00F36CFD"/>
    <w:rsid w:val="00F36E61"/>
    <w:rsid w:val="00F43697"/>
    <w:rsid w:val="00F4445D"/>
    <w:rsid w:val="00F44854"/>
    <w:rsid w:val="00F44869"/>
    <w:rsid w:val="00F45FC2"/>
    <w:rsid w:val="00F470EB"/>
    <w:rsid w:val="00F47AEE"/>
    <w:rsid w:val="00F52720"/>
    <w:rsid w:val="00F53739"/>
    <w:rsid w:val="00F53B4C"/>
    <w:rsid w:val="00F53DDB"/>
    <w:rsid w:val="00F5697B"/>
    <w:rsid w:val="00F60064"/>
    <w:rsid w:val="00F612D6"/>
    <w:rsid w:val="00F62C83"/>
    <w:rsid w:val="00F635F4"/>
    <w:rsid w:val="00F63D5D"/>
    <w:rsid w:val="00F67078"/>
    <w:rsid w:val="00F7120B"/>
    <w:rsid w:val="00F7142A"/>
    <w:rsid w:val="00F748CC"/>
    <w:rsid w:val="00F767C6"/>
    <w:rsid w:val="00F76BC4"/>
    <w:rsid w:val="00F77268"/>
    <w:rsid w:val="00F8075A"/>
    <w:rsid w:val="00F819AE"/>
    <w:rsid w:val="00F82491"/>
    <w:rsid w:val="00F825DD"/>
    <w:rsid w:val="00F84D06"/>
    <w:rsid w:val="00F85605"/>
    <w:rsid w:val="00F85814"/>
    <w:rsid w:val="00F8584E"/>
    <w:rsid w:val="00F858E8"/>
    <w:rsid w:val="00F91783"/>
    <w:rsid w:val="00F91DD7"/>
    <w:rsid w:val="00F92C01"/>
    <w:rsid w:val="00F93DED"/>
    <w:rsid w:val="00F94881"/>
    <w:rsid w:val="00F95548"/>
    <w:rsid w:val="00F9704F"/>
    <w:rsid w:val="00FA4675"/>
    <w:rsid w:val="00FA5521"/>
    <w:rsid w:val="00FA5DD2"/>
    <w:rsid w:val="00FA6003"/>
    <w:rsid w:val="00FA6570"/>
    <w:rsid w:val="00FB1459"/>
    <w:rsid w:val="00FB18D1"/>
    <w:rsid w:val="00FB1A85"/>
    <w:rsid w:val="00FB4633"/>
    <w:rsid w:val="00FB69C3"/>
    <w:rsid w:val="00FC07D8"/>
    <w:rsid w:val="00FC09B3"/>
    <w:rsid w:val="00FC0BF6"/>
    <w:rsid w:val="00FC291A"/>
    <w:rsid w:val="00FC2B31"/>
    <w:rsid w:val="00FC377B"/>
    <w:rsid w:val="00FC4468"/>
    <w:rsid w:val="00FC57F0"/>
    <w:rsid w:val="00FC5D43"/>
    <w:rsid w:val="00FC5E70"/>
    <w:rsid w:val="00FD03F6"/>
    <w:rsid w:val="00FD1F35"/>
    <w:rsid w:val="00FD25EC"/>
    <w:rsid w:val="00FD2A68"/>
    <w:rsid w:val="00FD3998"/>
    <w:rsid w:val="00FD4B15"/>
    <w:rsid w:val="00FD4C73"/>
    <w:rsid w:val="00FD7092"/>
    <w:rsid w:val="00FD7F05"/>
    <w:rsid w:val="00FE2BF5"/>
    <w:rsid w:val="00FE39CF"/>
    <w:rsid w:val="00FE52DC"/>
    <w:rsid w:val="00FE5491"/>
    <w:rsid w:val="00FE5D86"/>
    <w:rsid w:val="00FF2CD4"/>
    <w:rsid w:val="00FF30BB"/>
    <w:rsid w:val="00FF3C07"/>
    <w:rsid w:val="00FF42A5"/>
    <w:rsid w:val="00FF6908"/>
    <w:rsid w:val="00FF7C2D"/>
    <w:rsid w:val="0452C0D0"/>
    <w:rsid w:val="14DD2DB6"/>
    <w:rsid w:val="1A0D1EAE"/>
    <w:rsid w:val="4468EA54"/>
    <w:rsid w:val="46D74076"/>
    <w:rsid w:val="4AD6A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B016"/>
  <w15:docId w15:val="{1CD3F359-BD8B-46CE-BE16-505C8F7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73"/>
  </w:style>
  <w:style w:type="paragraph" w:styleId="Heading1">
    <w:name w:val="heading 1"/>
    <w:basedOn w:val="Normal"/>
    <w:next w:val="Normal"/>
    <w:link w:val="Heading1Char"/>
    <w:uiPriority w:val="9"/>
    <w:qFormat/>
    <w:rsid w:val="006F3C29"/>
    <w:pPr>
      <w:keepNext/>
      <w:spacing w:before="480" w:after="240" w:line="240" w:lineRule="auto"/>
      <w:ind w:left="432" w:hanging="432"/>
      <w:jc w:val="left"/>
      <w:outlineLvl w:val="0"/>
    </w:pPr>
    <w:rPr>
      <w:b/>
      <w:caps/>
      <w:spacing w:val="5"/>
      <w:sz w:val="32"/>
      <w:szCs w:val="32"/>
    </w:rPr>
  </w:style>
  <w:style w:type="paragraph" w:styleId="Heading2">
    <w:name w:val="heading 2"/>
    <w:basedOn w:val="ListParagraph"/>
    <w:next w:val="Normal"/>
    <w:link w:val="Heading2Char"/>
    <w:uiPriority w:val="9"/>
    <w:unhideWhenUsed/>
    <w:qFormat/>
    <w:rsid w:val="006F3C29"/>
    <w:pPr>
      <w:keepNext/>
      <w:numPr>
        <w:numId w:val="1"/>
      </w:numPr>
      <w:spacing w:before="240" w:after="240" w:line="240" w:lineRule="auto"/>
      <w:jc w:val="left"/>
      <w:outlineLvl w:val="1"/>
    </w:pPr>
    <w:rPr>
      <w:smallCaps/>
      <w:spacing w:val="5"/>
      <w:sz w:val="28"/>
      <w:szCs w:val="28"/>
    </w:rPr>
  </w:style>
  <w:style w:type="paragraph" w:styleId="Heading3">
    <w:name w:val="heading 3"/>
    <w:basedOn w:val="Normal"/>
    <w:next w:val="Normal"/>
    <w:link w:val="Heading3Char"/>
    <w:uiPriority w:val="9"/>
    <w:unhideWhenUsed/>
    <w:qFormat/>
    <w:rsid w:val="006F3C29"/>
    <w:pPr>
      <w:spacing w:line="240" w:lineRule="auto"/>
      <w:outlineLvl w:val="2"/>
    </w:pPr>
    <w:rPr>
      <w:b/>
      <w:color w:val="000000" w:themeColor="text1"/>
    </w:rPr>
  </w:style>
  <w:style w:type="paragraph" w:styleId="Heading4">
    <w:name w:val="heading 4"/>
    <w:basedOn w:val="Normal"/>
    <w:next w:val="Normal"/>
    <w:link w:val="Heading4Char"/>
    <w:uiPriority w:val="9"/>
    <w:unhideWhenUsed/>
    <w:qFormat/>
    <w:rsid w:val="000E160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E160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0E160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0E160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0E160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0E160B"/>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60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E160B"/>
    <w:rPr>
      <w:smallCaps/>
      <w:sz w:val="48"/>
      <w:szCs w:val="48"/>
    </w:rPr>
  </w:style>
  <w:style w:type="paragraph" w:styleId="Subtitle">
    <w:name w:val="Subtitle"/>
    <w:basedOn w:val="Normal"/>
    <w:next w:val="Normal"/>
    <w:link w:val="SubtitleChar"/>
    <w:uiPriority w:val="11"/>
    <w:qFormat/>
    <w:rsid w:val="000E160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E160B"/>
    <w:rPr>
      <w:rFonts w:asciiTheme="majorHAnsi" w:eastAsiaTheme="majorEastAsia" w:hAnsiTheme="majorHAnsi" w:cstheme="majorBidi"/>
      <w:szCs w:val="22"/>
    </w:rPr>
  </w:style>
  <w:style w:type="character" w:customStyle="1" w:styleId="Heading1Char">
    <w:name w:val="Heading 1 Char"/>
    <w:basedOn w:val="DefaultParagraphFont"/>
    <w:link w:val="Heading1"/>
    <w:uiPriority w:val="9"/>
    <w:rsid w:val="006F3C29"/>
    <w:rPr>
      <w:b/>
      <w:caps/>
      <w:spacing w:val="5"/>
      <w:sz w:val="32"/>
      <w:szCs w:val="32"/>
    </w:rPr>
  </w:style>
  <w:style w:type="character" w:customStyle="1" w:styleId="Heading2Char">
    <w:name w:val="Heading 2 Char"/>
    <w:basedOn w:val="DefaultParagraphFont"/>
    <w:link w:val="Heading2"/>
    <w:uiPriority w:val="9"/>
    <w:rsid w:val="006F3C29"/>
    <w:rPr>
      <w:smallCaps/>
      <w:spacing w:val="5"/>
      <w:sz w:val="28"/>
      <w:szCs w:val="28"/>
    </w:rPr>
  </w:style>
  <w:style w:type="character" w:customStyle="1" w:styleId="Heading3Char">
    <w:name w:val="Heading 3 Char"/>
    <w:basedOn w:val="DefaultParagraphFont"/>
    <w:link w:val="Heading3"/>
    <w:uiPriority w:val="9"/>
    <w:rsid w:val="006F3C29"/>
    <w:rPr>
      <w:b/>
      <w:color w:val="000000" w:themeColor="text1"/>
    </w:rPr>
  </w:style>
  <w:style w:type="character" w:customStyle="1" w:styleId="Heading4Char">
    <w:name w:val="Heading 4 Char"/>
    <w:basedOn w:val="DefaultParagraphFont"/>
    <w:link w:val="Heading4"/>
    <w:uiPriority w:val="9"/>
    <w:rsid w:val="000E160B"/>
    <w:rPr>
      <w:smallCaps/>
      <w:spacing w:val="10"/>
      <w:sz w:val="22"/>
      <w:szCs w:val="22"/>
    </w:rPr>
  </w:style>
  <w:style w:type="character" w:customStyle="1" w:styleId="Heading5Char">
    <w:name w:val="Heading 5 Char"/>
    <w:basedOn w:val="DefaultParagraphFont"/>
    <w:link w:val="Heading5"/>
    <w:uiPriority w:val="9"/>
    <w:semiHidden/>
    <w:rsid w:val="000E160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0E160B"/>
    <w:rPr>
      <w:smallCaps/>
      <w:color w:val="C0504D" w:themeColor="accent2"/>
      <w:spacing w:val="5"/>
      <w:sz w:val="22"/>
    </w:rPr>
  </w:style>
  <w:style w:type="character" w:customStyle="1" w:styleId="Heading7Char">
    <w:name w:val="Heading 7 Char"/>
    <w:basedOn w:val="DefaultParagraphFont"/>
    <w:link w:val="Heading7"/>
    <w:uiPriority w:val="9"/>
    <w:semiHidden/>
    <w:rsid w:val="000E160B"/>
    <w:rPr>
      <w:b/>
      <w:smallCaps/>
      <w:color w:val="C0504D" w:themeColor="accent2"/>
      <w:spacing w:val="10"/>
    </w:rPr>
  </w:style>
  <w:style w:type="character" w:customStyle="1" w:styleId="Heading8Char">
    <w:name w:val="Heading 8 Char"/>
    <w:basedOn w:val="DefaultParagraphFont"/>
    <w:link w:val="Heading8"/>
    <w:uiPriority w:val="9"/>
    <w:semiHidden/>
    <w:rsid w:val="000E160B"/>
    <w:rPr>
      <w:b/>
      <w:i/>
      <w:smallCaps/>
      <w:color w:val="943634" w:themeColor="accent2" w:themeShade="BF"/>
    </w:rPr>
  </w:style>
  <w:style w:type="character" w:customStyle="1" w:styleId="Heading9Char">
    <w:name w:val="Heading 9 Char"/>
    <w:basedOn w:val="DefaultParagraphFont"/>
    <w:link w:val="Heading9"/>
    <w:uiPriority w:val="9"/>
    <w:semiHidden/>
    <w:rsid w:val="000E160B"/>
    <w:rPr>
      <w:b/>
      <w:i/>
      <w:smallCaps/>
      <w:color w:val="622423" w:themeColor="accent2" w:themeShade="7F"/>
    </w:rPr>
  </w:style>
  <w:style w:type="paragraph" w:styleId="Caption">
    <w:name w:val="caption"/>
    <w:aliases w:val="Source after Chart,Caption-tables"/>
    <w:basedOn w:val="Normal"/>
    <w:next w:val="Normal"/>
    <w:link w:val="CaptionChar"/>
    <w:uiPriority w:val="35"/>
    <w:unhideWhenUsed/>
    <w:qFormat/>
    <w:rsid w:val="000E160B"/>
    <w:rPr>
      <w:b/>
      <w:bCs/>
      <w:caps/>
      <w:sz w:val="16"/>
      <w:szCs w:val="18"/>
    </w:rPr>
  </w:style>
  <w:style w:type="character" w:styleId="Strong">
    <w:name w:val="Strong"/>
    <w:uiPriority w:val="22"/>
    <w:qFormat/>
    <w:rsid w:val="000E160B"/>
    <w:rPr>
      <w:b/>
      <w:color w:val="C0504D" w:themeColor="accent2"/>
    </w:rPr>
  </w:style>
  <w:style w:type="character" w:styleId="Emphasis">
    <w:name w:val="Emphasis"/>
    <w:uiPriority w:val="20"/>
    <w:qFormat/>
    <w:rsid w:val="000E160B"/>
    <w:rPr>
      <w:b/>
      <w:i/>
      <w:spacing w:val="10"/>
    </w:rPr>
  </w:style>
  <w:style w:type="paragraph" w:styleId="NoSpacing">
    <w:name w:val="No Spacing"/>
    <w:basedOn w:val="Normal"/>
    <w:link w:val="NoSpacingChar"/>
    <w:uiPriority w:val="1"/>
    <w:qFormat/>
    <w:rsid w:val="000E160B"/>
    <w:pPr>
      <w:spacing w:after="0" w:line="240" w:lineRule="auto"/>
    </w:pPr>
  </w:style>
  <w:style w:type="character" w:customStyle="1" w:styleId="NoSpacingChar">
    <w:name w:val="No Spacing Char"/>
    <w:basedOn w:val="DefaultParagraphFont"/>
    <w:link w:val="NoSpacing"/>
    <w:uiPriority w:val="1"/>
    <w:rsid w:val="000E160B"/>
  </w:style>
  <w:style w:type="paragraph" w:styleId="ListParagraph">
    <w:name w:val="List Paragraph"/>
    <w:aliases w:val="Dot pt,F5 List Paragraph,List Paragraph1,No Spacing1,List Paragraph Char Char Char,Indicator Text,Numbered Para 1,Colorful List - Accent 11,Bullet 1,Bullet Points,MAIN CONTENT,List Paragraph12,List Paragraph2,Normal numbered,Recommendatio"/>
    <w:basedOn w:val="Normal"/>
    <w:link w:val="ListParagraphChar"/>
    <w:uiPriority w:val="34"/>
    <w:qFormat/>
    <w:rsid w:val="000E160B"/>
    <w:pPr>
      <w:ind w:left="720"/>
      <w:contextualSpacing/>
    </w:pPr>
  </w:style>
  <w:style w:type="paragraph" w:styleId="Quote">
    <w:name w:val="Quote"/>
    <w:basedOn w:val="Normal"/>
    <w:next w:val="Normal"/>
    <w:link w:val="QuoteChar"/>
    <w:uiPriority w:val="29"/>
    <w:qFormat/>
    <w:rsid w:val="000E160B"/>
    <w:rPr>
      <w:i/>
    </w:rPr>
  </w:style>
  <w:style w:type="character" w:customStyle="1" w:styleId="QuoteChar">
    <w:name w:val="Quote Char"/>
    <w:basedOn w:val="DefaultParagraphFont"/>
    <w:link w:val="Quote"/>
    <w:uiPriority w:val="29"/>
    <w:rsid w:val="000E160B"/>
    <w:rPr>
      <w:i/>
    </w:rPr>
  </w:style>
  <w:style w:type="paragraph" w:styleId="IntenseQuote">
    <w:name w:val="Intense Quote"/>
    <w:basedOn w:val="Normal"/>
    <w:next w:val="Normal"/>
    <w:link w:val="IntenseQuoteChar"/>
    <w:uiPriority w:val="30"/>
    <w:qFormat/>
    <w:rsid w:val="000E160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E160B"/>
    <w:rPr>
      <w:b/>
      <w:i/>
      <w:color w:val="FFFFFF" w:themeColor="background1"/>
      <w:shd w:val="clear" w:color="auto" w:fill="C0504D" w:themeFill="accent2"/>
    </w:rPr>
  </w:style>
  <w:style w:type="character" w:styleId="SubtleEmphasis">
    <w:name w:val="Subtle Emphasis"/>
    <w:uiPriority w:val="19"/>
    <w:qFormat/>
    <w:rsid w:val="000E160B"/>
    <w:rPr>
      <w:i/>
    </w:rPr>
  </w:style>
  <w:style w:type="character" w:styleId="IntenseEmphasis">
    <w:name w:val="Intense Emphasis"/>
    <w:uiPriority w:val="21"/>
    <w:qFormat/>
    <w:rsid w:val="000E160B"/>
    <w:rPr>
      <w:b/>
      <w:i/>
      <w:color w:val="C0504D" w:themeColor="accent2"/>
      <w:spacing w:val="10"/>
    </w:rPr>
  </w:style>
  <w:style w:type="character" w:styleId="SubtleReference">
    <w:name w:val="Subtle Reference"/>
    <w:uiPriority w:val="31"/>
    <w:qFormat/>
    <w:rsid w:val="000E160B"/>
    <w:rPr>
      <w:b/>
    </w:rPr>
  </w:style>
  <w:style w:type="character" w:styleId="IntenseReference">
    <w:name w:val="Intense Reference"/>
    <w:uiPriority w:val="32"/>
    <w:qFormat/>
    <w:rsid w:val="000E160B"/>
    <w:rPr>
      <w:b/>
      <w:bCs/>
      <w:smallCaps/>
      <w:spacing w:val="5"/>
      <w:sz w:val="22"/>
      <w:szCs w:val="22"/>
      <w:u w:val="single"/>
    </w:rPr>
  </w:style>
  <w:style w:type="character" w:styleId="BookTitle">
    <w:name w:val="Book Title"/>
    <w:uiPriority w:val="33"/>
    <w:qFormat/>
    <w:rsid w:val="000E160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E160B"/>
    <w:pPr>
      <w:outlineLvl w:val="9"/>
    </w:pPr>
    <w:rPr>
      <w:lang w:bidi="en-US"/>
    </w:rPr>
  </w:style>
  <w:style w:type="paragraph" w:styleId="Header">
    <w:name w:val="header"/>
    <w:basedOn w:val="Normal"/>
    <w:link w:val="HeaderChar"/>
    <w:uiPriority w:val="99"/>
    <w:unhideWhenUsed/>
    <w:rsid w:val="000E16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160B"/>
  </w:style>
  <w:style w:type="paragraph" w:styleId="Footer">
    <w:name w:val="footer"/>
    <w:basedOn w:val="Normal"/>
    <w:link w:val="FooterChar"/>
    <w:uiPriority w:val="99"/>
    <w:unhideWhenUsed/>
    <w:rsid w:val="000E16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160B"/>
  </w:style>
  <w:style w:type="paragraph" w:styleId="CommentText">
    <w:name w:val="annotation text"/>
    <w:basedOn w:val="Normal"/>
    <w:link w:val="CommentTextChar"/>
    <w:rsid w:val="00035171"/>
    <w:pPr>
      <w:spacing w:after="0" w:line="240" w:lineRule="auto"/>
      <w:jc w:val="left"/>
    </w:pPr>
    <w:rPr>
      <w:rFonts w:ascii="Times New Roman" w:eastAsia="MS Mincho" w:hAnsi="Times New Roman" w:cs="Times New Roman"/>
      <w:lang w:eastAsia="ja-JP"/>
    </w:rPr>
  </w:style>
  <w:style w:type="character" w:customStyle="1" w:styleId="CommentTextChar">
    <w:name w:val="Comment Text Char"/>
    <w:basedOn w:val="DefaultParagraphFont"/>
    <w:link w:val="CommentText"/>
    <w:rsid w:val="00035171"/>
    <w:rPr>
      <w:rFonts w:ascii="Times New Roman" w:eastAsia="MS Mincho" w:hAnsi="Times New Roman" w:cs="Times New Roman"/>
      <w:lang w:eastAsia="ja-JP"/>
    </w:rPr>
  </w:style>
  <w:style w:type="table" w:styleId="MediumShading1-Accent1">
    <w:name w:val="Medium Shading 1 Accent 1"/>
    <w:basedOn w:val="TableNormal"/>
    <w:uiPriority w:val="63"/>
    <w:rsid w:val="00035171"/>
    <w:pPr>
      <w:spacing w:after="0" w:line="240" w:lineRule="auto"/>
      <w:jc w:val="left"/>
    </w:pPr>
    <w:rPr>
      <w:rFonts w:ascii="Times New Roman" w:eastAsia="MS Mincho"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aliases w:val="Geneva 9,Font: Geneva 9,Boston 10,f,ft,single space,FOOTNOTES,fn,footnote text,Footnote,12pt,Char1,fn Char Char,fn Char Char Char,footnote text Char Char Char,ALTS FOOTNOTE,ADB,Footnote Text Char Char,Reference,Fußnote,Footnote text,stile "/>
    <w:basedOn w:val="Normal"/>
    <w:link w:val="FootnoteTextChar"/>
    <w:uiPriority w:val="99"/>
    <w:unhideWhenUsed/>
    <w:qFormat/>
    <w:rsid w:val="00035171"/>
    <w:pPr>
      <w:spacing w:after="0" w:line="240" w:lineRule="auto"/>
    </w:pPr>
  </w:style>
  <w:style w:type="character" w:customStyle="1" w:styleId="FootnoteTextChar">
    <w:name w:val="Footnote Text Char"/>
    <w:aliases w:val="Geneva 9 Char,Font: Geneva 9 Char,Boston 10 Char,f Char,ft Char,single space Char,FOOTNOTES Char,fn Char,footnote text Char,Footnote Char,12pt Char,Char1 Char,fn Char Char Char1,fn Char Char Char Char,footnote text Char Char Char Char"/>
    <w:basedOn w:val="DefaultParagraphFont"/>
    <w:link w:val="FootnoteText"/>
    <w:uiPriority w:val="99"/>
    <w:qFormat/>
    <w:rsid w:val="00035171"/>
  </w:style>
  <w:style w:type="character" w:styleId="FootnoteReference">
    <w:name w:val="footnote reference"/>
    <w:aliases w:val="16 Point,Superscript 6 Point,BVI fnr,EN Footnote Reference,-E Fußnotenzeichen,Footnote symbol,Footnote number,Footnote Reference Number,Footnote reference number,Times 10 Point,Exposant 3 Point,number,Voetnootverwijzing,note TESI,Re"/>
    <w:basedOn w:val="DefaultParagraphFont"/>
    <w:link w:val="SUPERSCharCharCharCharCharCharCharChar"/>
    <w:uiPriority w:val="99"/>
    <w:unhideWhenUsed/>
    <w:qFormat/>
    <w:rsid w:val="00035171"/>
    <w:rPr>
      <w:vertAlign w:val="superscript"/>
    </w:rPr>
  </w:style>
  <w:style w:type="table" w:styleId="LightList-Accent2">
    <w:name w:val="Light List Accent 2"/>
    <w:basedOn w:val="TableNormal"/>
    <w:uiPriority w:val="61"/>
    <w:rsid w:val="00DD686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3B1416"/>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3B1416"/>
  </w:style>
  <w:style w:type="paragraph" w:styleId="BalloonText">
    <w:name w:val="Balloon Text"/>
    <w:basedOn w:val="Normal"/>
    <w:link w:val="BalloonTextChar"/>
    <w:uiPriority w:val="99"/>
    <w:semiHidden/>
    <w:unhideWhenUsed/>
    <w:rsid w:val="008F0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23"/>
    <w:rPr>
      <w:rFonts w:ascii="Tahoma" w:hAnsi="Tahoma" w:cs="Tahoma"/>
      <w:sz w:val="16"/>
      <w:szCs w:val="16"/>
    </w:rPr>
  </w:style>
  <w:style w:type="table" w:styleId="TableGrid">
    <w:name w:val="Table Grid"/>
    <w:basedOn w:val="TableNormal"/>
    <w:uiPriority w:val="39"/>
    <w:rsid w:val="00C81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Source after Chart Char,Caption-tables Char"/>
    <w:link w:val="Caption"/>
    <w:uiPriority w:val="35"/>
    <w:rsid w:val="002E700B"/>
    <w:rPr>
      <w:b/>
      <w:bCs/>
      <w:caps/>
      <w:sz w:val="16"/>
      <w:szCs w:val="18"/>
    </w:rPr>
  </w:style>
  <w:style w:type="character" w:styleId="CommentReference">
    <w:name w:val="annotation reference"/>
    <w:basedOn w:val="DefaultParagraphFont"/>
    <w:uiPriority w:val="99"/>
    <w:semiHidden/>
    <w:unhideWhenUsed/>
    <w:rsid w:val="0019747E"/>
    <w:rPr>
      <w:sz w:val="16"/>
      <w:szCs w:val="16"/>
    </w:rPr>
  </w:style>
  <w:style w:type="paragraph" w:styleId="CommentSubject">
    <w:name w:val="annotation subject"/>
    <w:basedOn w:val="CommentText"/>
    <w:next w:val="CommentText"/>
    <w:link w:val="CommentSubjectChar"/>
    <w:uiPriority w:val="99"/>
    <w:semiHidden/>
    <w:unhideWhenUsed/>
    <w:rsid w:val="0019747E"/>
    <w:pPr>
      <w:spacing w:after="200"/>
      <w:jc w:val="both"/>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9747E"/>
    <w:rPr>
      <w:rFonts w:ascii="Times New Roman" w:eastAsia="MS Mincho" w:hAnsi="Times New Roman" w:cs="Times New Roman"/>
      <w:b/>
      <w:bCs/>
      <w:lang w:eastAsia="ja-JP"/>
    </w:rPr>
  </w:style>
  <w:style w:type="paragraph" w:styleId="NormalWeb">
    <w:name w:val="Normal (Web)"/>
    <w:basedOn w:val="Normal"/>
    <w:uiPriority w:val="99"/>
    <w:semiHidden/>
    <w:unhideWhenUsed/>
    <w:rsid w:val="00F93DED"/>
    <w:rPr>
      <w:rFonts w:ascii="Times New Roman" w:hAnsi="Times New Roman" w:cs="Times New Roman"/>
      <w:sz w:val="24"/>
      <w:szCs w:val="24"/>
    </w:rPr>
  </w:style>
  <w:style w:type="paragraph" w:styleId="TOC1">
    <w:name w:val="toc 1"/>
    <w:basedOn w:val="Normal"/>
    <w:next w:val="Normal"/>
    <w:autoRedefine/>
    <w:uiPriority w:val="39"/>
    <w:unhideWhenUsed/>
    <w:rsid w:val="00864F95"/>
    <w:pPr>
      <w:spacing w:after="100"/>
    </w:pPr>
  </w:style>
  <w:style w:type="paragraph" w:styleId="TOC2">
    <w:name w:val="toc 2"/>
    <w:basedOn w:val="Normal"/>
    <w:next w:val="Normal"/>
    <w:autoRedefine/>
    <w:uiPriority w:val="39"/>
    <w:unhideWhenUsed/>
    <w:rsid w:val="006F3C29"/>
    <w:pPr>
      <w:tabs>
        <w:tab w:val="left" w:pos="426"/>
        <w:tab w:val="right" w:leader="dot" w:pos="9736"/>
      </w:tabs>
      <w:spacing w:after="100"/>
      <w:ind w:left="200"/>
    </w:pPr>
  </w:style>
  <w:style w:type="table" w:customStyle="1" w:styleId="DocumentTable1">
    <w:name w:val="Document Table1"/>
    <w:basedOn w:val="TableNormal"/>
    <w:next w:val="TableGrid"/>
    <w:rsid w:val="00FB1459"/>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2">
    <w:name w:val="Document Table2"/>
    <w:basedOn w:val="TableNormal"/>
    <w:next w:val="TableGrid"/>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3">
    <w:name w:val="Document Table3"/>
    <w:basedOn w:val="TableNormal"/>
    <w:next w:val="TableGrid"/>
    <w:rsid w:val="00087182"/>
    <w:pPr>
      <w:spacing w:after="0" w:line="240" w:lineRule="auto"/>
      <w:jc w:val="left"/>
    </w:pPr>
    <w:rPr>
      <w:rFonts w:eastAsiaTheme="minorHAnsi"/>
      <w:sz w:val="22"/>
      <w:szCs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3C29"/>
    <w:pPr>
      <w:tabs>
        <w:tab w:val="right" w:leader="dot" w:pos="9736"/>
      </w:tabs>
      <w:spacing w:after="100"/>
      <w:ind w:left="426"/>
    </w:pPr>
    <w:rPr>
      <w:rFonts w:ascii="Calibri" w:eastAsia="Times New Roman" w:hAnsi="Calibri" w:cs="Times New Roman"/>
      <w:noProof/>
      <w:spacing w:val="5"/>
    </w:rPr>
  </w:style>
  <w:style w:type="character" w:customStyle="1" w:styleId="UnresolvedMention1">
    <w:name w:val="Unresolved Mention1"/>
    <w:basedOn w:val="DefaultParagraphFont"/>
    <w:uiPriority w:val="99"/>
    <w:semiHidden/>
    <w:unhideWhenUsed/>
    <w:rsid w:val="006B315E"/>
    <w:rPr>
      <w:color w:val="808080"/>
      <w:shd w:val="clear" w:color="auto" w:fill="E6E6E6"/>
    </w:rPr>
  </w:style>
  <w:style w:type="character" w:customStyle="1" w:styleId="UnresolvedMention2">
    <w:name w:val="Unresolved Mention2"/>
    <w:basedOn w:val="DefaultParagraphFont"/>
    <w:uiPriority w:val="99"/>
    <w:semiHidden/>
    <w:unhideWhenUsed/>
    <w:rsid w:val="00852490"/>
    <w:rPr>
      <w:color w:val="808080"/>
      <w:shd w:val="clear" w:color="auto" w:fill="E6E6E6"/>
    </w:rPr>
  </w:style>
  <w:style w:type="character" w:styleId="FollowedHyperlink">
    <w:name w:val="FollowedHyperlink"/>
    <w:basedOn w:val="DefaultParagraphFont"/>
    <w:uiPriority w:val="99"/>
    <w:semiHidden/>
    <w:unhideWhenUsed/>
    <w:rsid w:val="00852490"/>
    <w:rPr>
      <w:color w:val="800080" w:themeColor="followedHyperlink"/>
      <w:u w:val="single"/>
    </w:rPr>
  </w:style>
  <w:style w:type="character" w:customStyle="1" w:styleId="UnresolvedMention3">
    <w:name w:val="Unresolved Mention3"/>
    <w:basedOn w:val="DefaultParagraphFont"/>
    <w:uiPriority w:val="99"/>
    <w:semiHidden/>
    <w:unhideWhenUsed/>
    <w:rsid w:val="00CD1C7E"/>
    <w:rPr>
      <w:color w:val="605E5C"/>
      <w:shd w:val="clear" w:color="auto" w:fill="E1DFDD"/>
    </w:rPr>
  </w:style>
  <w:style w:type="character" w:customStyle="1" w:styleId="UnresolvedMention4">
    <w:name w:val="Unresolved Mention4"/>
    <w:basedOn w:val="DefaultParagraphFont"/>
    <w:uiPriority w:val="99"/>
    <w:semiHidden/>
    <w:unhideWhenUsed/>
    <w:rsid w:val="00642853"/>
    <w:rPr>
      <w:color w:val="808080"/>
      <w:shd w:val="clear" w:color="auto" w:fill="E6E6E6"/>
    </w:rPr>
  </w:style>
  <w:style w:type="paragraph" w:styleId="Revision">
    <w:name w:val="Revision"/>
    <w:hidden/>
    <w:uiPriority w:val="99"/>
    <w:semiHidden/>
    <w:rsid w:val="009004EA"/>
    <w:pPr>
      <w:spacing w:after="0" w:line="240" w:lineRule="auto"/>
      <w:jc w:val="left"/>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01775"/>
    <w:pPr>
      <w:spacing w:after="160" w:line="240" w:lineRule="exact"/>
      <w:jc w:val="left"/>
    </w:pPr>
    <w:rPr>
      <w:vertAlign w:val="superscript"/>
    </w:rPr>
  </w:style>
  <w:style w:type="character" w:customStyle="1" w:styleId="normaltextrun">
    <w:name w:val="normaltextrun"/>
    <w:basedOn w:val="DefaultParagraphFont"/>
    <w:rsid w:val="00801775"/>
  </w:style>
  <w:style w:type="character" w:customStyle="1" w:styleId="markedcontent">
    <w:name w:val="markedcontent"/>
    <w:basedOn w:val="DefaultParagraphFont"/>
    <w:rsid w:val="0080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229">
      <w:bodyDiv w:val="1"/>
      <w:marLeft w:val="0"/>
      <w:marRight w:val="0"/>
      <w:marTop w:val="0"/>
      <w:marBottom w:val="0"/>
      <w:divBdr>
        <w:top w:val="none" w:sz="0" w:space="0" w:color="auto"/>
        <w:left w:val="none" w:sz="0" w:space="0" w:color="auto"/>
        <w:bottom w:val="none" w:sz="0" w:space="0" w:color="auto"/>
        <w:right w:val="none" w:sz="0" w:space="0" w:color="auto"/>
      </w:divBdr>
    </w:div>
    <w:div w:id="190339042">
      <w:bodyDiv w:val="1"/>
      <w:marLeft w:val="0"/>
      <w:marRight w:val="0"/>
      <w:marTop w:val="0"/>
      <w:marBottom w:val="0"/>
      <w:divBdr>
        <w:top w:val="none" w:sz="0" w:space="0" w:color="auto"/>
        <w:left w:val="none" w:sz="0" w:space="0" w:color="auto"/>
        <w:bottom w:val="none" w:sz="0" w:space="0" w:color="auto"/>
        <w:right w:val="none" w:sz="0" w:space="0" w:color="auto"/>
      </w:divBdr>
    </w:div>
    <w:div w:id="301469992">
      <w:bodyDiv w:val="1"/>
      <w:marLeft w:val="0"/>
      <w:marRight w:val="0"/>
      <w:marTop w:val="0"/>
      <w:marBottom w:val="0"/>
      <w:divBdr>
        <w:top w:val="none" w:sz="0" w:space="0" w:color="auto"/>
        <w:left w:val="none" w:sz="0" w:space="0" w:color="auto"/>
        <w:bottom w:val="none" w:sz="0" w:space="0" w:color="auto"/>
        <w:right w:val="none" w:sz="0" w:space="0" w:color="auto"/>
      </w:divBdr>
    </w:div>
    <w:div w:id="304549417">
      <w:bodyDiv w:val="1"/>
      <w:marLeft w:val="0"/>
      <w:marRight w:val="0"/>
      <w:marTop w:val="0"/>
      <w:marBottom w:val="0"/>
      <w:divBdr>
        <w:top w:val="none" w:sz="0" w:space="0" w:color="auto"/>
        <w:left w:val="none" w:sz="0" w:space="0" w:color="auto"/>
        <w:bottom w:val="none" w:sz="0" w:space="0" w:color="auto"/>
        <w:right w:val="none" w:sz="0" w:space="0" w:color="auto"/>
      </w:divBdr>
    </w:div>
    <w:div w:id="306594110">
      <w:bodyDiv w:val="1"/>
      <w:marLeft w:val="0"/>
      <w:marRight w:val="0"/>
      <w:marTop w:val="0"/>
      <w:marBottom w:val="0"/>
      <w:divBdr>
        <w:top w:val="none" w:sz="0" w:space="0" w:color="auto"/>
        <w:left w:val="none" w:sz="0" w:space="0" w:color="auto"/>
        <w:bottom w:val="none" w:sz="0" w:space="0" w:color="auto"/>
        <w:right w:val="none" w:sz="0" w:space="0" w:color="auto"/>
      </w:divBdr>
    </w:div>
    <w:div w:id="419105816">
      <w:bodyDiv w:val="1"/>
      <w:marLeft w:val="0"/>
      <w:marRight w:val="0"/>
      <w:marTop w:val="0"/>
      <w:marBottom w:val="0"/>
      <w:divBdr>
        <w:top w:val="none" w:sz="0" w:space="0" w:color="auto"/>
        <w:left w:val="none" w:sz="0" w:space="0" w:color="auto"/>
        <w:bottom w:val="none" w:sz="0" w:space="0" w:color="auto"/>
        <w:right w:val="none" w:sz="0" w:space="0" w:color="auto"/>
      </w:divBdr>
    </w:div>
    <w:div w:id="459962347">
      <w:bodyDiv w:val="1"/>
      <w:marLeft w:val="0"/>
      <w:marRight w:val="0"/>
      <w:marTop w:val="0"/>
      <w:marBottom w:val="0"/>
      <w:divBdr>
        <w:top w:val="none" w:sz="0" w:space="0" w:color="auto"/>
        <w:left w:val="none" w:sz="0" w:space="0" w:color="auto"/>
        <w:bottom w:val="none" w:sz="0" w:space="0" w:color="auto"/>
        <w:right w:val="none" w:sz="0" w:space="0" w:color="auto"/>
      </w:divBdr>
    </w:div>
    <w:div w:id="46184880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6617074">
      <w:bodyDiv w:val="1"/>
      <w:marLeft w:val="0"/>
      <w:marRight w:val="0"/>
      <w:marTop w:val="0"/>
      <w:marBottom w:val="0"/>
      <w:divBdr>
        <w:top w:val="none" w:sz="0" w:space="0" w:color="auto"/>
        <w:left w:val="none" w:sz="0" w:space="0" w:color="auto"/>
        <w:bottom w:val="none" w:sz="0" w:space="0" w:color="auto"/>
        <w:right w:val="none" w:sz="0" w:space="0" w:color="auto"/>
      </w:divBdr>
    </w:div>
    <w:div w:id="661663312">
      <w:bodyDiv w:val="1"/>
      <w:marLeft w:val="0"/>
      <w:marRight w:val="0"/>
      <w:marTop w:val="0"/>
      <w:marBottom w:val="0"/>
      <w:divBdr>
        <w:top w:val="none" w:sz="0" w:space="0" w:color="auto"/>
        <w:left w:val="none" w:sz="0" w:space="0" w:color="auto"/>
        <w:bottom w:val="none" w:sz="0" w:space="0" w:color="auto"/>
        <w:right w:val="none" w:sz="0" w:space="0" w:color="auto"/>
      </w:divBdr>
    </w:div>
    <w:div w:id="713232568">
      <w:bodyDiv w:val="1"/>
      <w:marLeft w:val="0"/>
      <w:marRight w:val="0"/>
      <w:marTop w:val="0"/>
      <w:marBottom w:val="0"/>
      <w:divBdr>
        <w:top w:val="none" w:sz="0" w:space="0" w:color="auto"/>
        <w:left w:val="none" w:sz="0" w:space="0" w:color="auto"/>
        <w:bottom w:val="none" w:sz="0" w:space="0" w:color="auto"/>
        <w:right w:val="none" w:sz="0" w:space="0" w:color="auto"/>
      </w:divBdr>
    </w:div>
    <w:div w:id="718164378">
      <w:bodyDiv w:val="1"/>
      <w:marLeft w:val="0"/>
      <w:marRight w:val="0"/>
      <w:marTop w:val="0"/>
      <w:marBottom w:val="0"/>
      <w:divBdr>
        <w:top w:val="none" w:sz="0" w:space="0" w:color="auto"/>
        <w:left w:val="none" w:sz="0" w:space="0" w:color="auto"/>
        <w:bottom w:val="none" w:sz="0" w:space="0" w:color="auto"/>
        <w:right w:val="none" w:sz="0" w:space="0" w:color="auto"/>
      </w:divBdr>
    </w:div>
    <w:div w:id="798374824">
      <w:bodyDiv w:val="1"/>
      <w:marLeft w:val="0"/>
      <w:marRight w:val="0"/>
      <w:marTop w:val="0"/>
      <w:marBottom w:val="0"/>
      <w:divBdr>
        <w:top w:val="none" w:sz="0" w:space="0" w:color="auto"/>
        <w:left w:val="none" w:sz="0" w:space="0" w:color="auto"/>
        <w:bottom w:val="none" w:sz="0" w:space="0" w:color="auto"/>
        <w:right w:val="none" w:sz="0" w:space="0" w:color="auto"/>
      </w:divBdr>
    </w:div>
    <w:div w:id="847907200">
      <w:bodyDiv w:val="1"/>
      <w:marLeft w:val="0"/>
      <w:marRight w:val="0"/>
      <w:marTop w:val="0"/>
      <w:marBottom w:val="0"/>
      <w:divBdr>
        <w:top w:val="none" w:sz="0" w:space="0" w:color="auto"/>
        <w:left w:val="none" w:sz="0" w:space="0" w:color="auto"/>
        <w:bottom w:val="none" w:sz="0" w:space="0" w:color="auto"/>
        <w:right w:val="none" w:sz="0" w:space="0" w:color="auto"/>
      </w:divBdr>
    </w:div>
    <w:div w:id="947080160">
      <w:bodyDiv w:val="1"/>
      <w:marLeft w:val="0"/>
      <w:marRight w:val="0"/>
      <w:marTop w:val="0"/>
      <w:marBottom w:val="0"/>
      <w:divBdr>
        <w:top w:val="none" w:sz="0" w:space="0" w:color="auto"/>
        <w:left w:val="none" w:sz="0" w:space="0" w:color="auto"/>
        <w:bottom w:val="none" w:sz="0" w:space="0" w:color="auto"/>
        <w:right w:val="none" w:sz="0" w:space="0" w:color="auto"/>
      </w:divBdr>
    </w:div>
    <w:div w:id="967197183">
      <w:bodyDiv w:val="1"/>
      <w:marLeft w:val="0"/>
      <w:marRight w:val="0"/>
      <w:marTop w:val="0"/>
      <w:marBottom w:val="0"/>
      <w:divBdr>
        <w:top w:val="none" w:sz="0" w:space="0" w:color="auto"/>
        <w:left w:val="none" w:sz="0" w:space="0" w:color="auto"/>
        <w:bottom w:val="none" w:sz="0" w:space="0" w:color="auto"/>
        <w:right w:val="none" w:sz="0" w:space="0" w:color="auto"/>
      </w:divBdr>
    </w:div>
    <w:div w:id="994069962">
      <w:bodyDiv w:val="1"/>
      <w:marLeft w:val="0"/>
      <w:marRight w:val="0"/>
      <w:marTop w:val="0"/>
      <w:marBottom w:val="0"/>
      <w:divBdr>
        <w:top w:val="none" w:sz="0" w:space="0" w:color="auto"/>
        <w:left w:val="none" w:sz="0" w:space="0" w:color="auto"/>
        <w:bottom w:val="none" w:sz="0" w:space="0" w:color="auto"/>
        <w:right w:val="none" w:sz="0" w:space="0" w:color="auto"/>
      </w:divBdr>
    </w:div>
    <w:div w:id="1000081131">
      <w:bodyDiv w:val="1"/>
      <w:marLeft w:val="0"/>
      <w:marRight w:val="0"/>
      <w:marTop w:val="0"/>
      <w:marBottom w:val="0"/>
      <w:divBdr>
        <w:top w:val="none" w:sz="0" w:space="0" w:color="auto"/>
        <w:left w:val="none" w:sz="0" w:space="0" w:color="auto"/>
        <w:bottom w:val="none" w:sz="0" w:space="0" w:color="auto"/>
        <w:right w:val="none" w:sz="0" w:space="0" w:color="auto"/>
      </w:divBdr>
    </w:div>
    <w:div w:id="1434206608">
      <w:bodyDiv w:val="1"/>
      <w:marLeft w:val="0"/>
      <w:marRight w:val="0"/>
      <w:marTop w:val="0"/>
      <w:marBottom w:val="0"/>
      <w:divBdr>
        <w:top w:val="none" w:sz="0" w:space="0" w:color="auto"/>
        <w:left w:val="none" w:sz="0" w:space="0" w:color="auto"/>
        <w:bottom w:val="none" w:sz="0" w:space="0" w:color="auto"/>
        <w:right w:val="none" w:sz="0" w:space="0" w:color="auto"/>
      </w:divBdr>
    </w:div>
    <w:div w:id="1479107460">
      <w:bodyDiv w:val="1"/>
      <w:marLeft w:val="0"/>
      <w:marRight w:val="0"/>
      <w:marTop w:val="0"/>
      <w:marBottom w:val="0"/>
      <w:divBdr>
        <w:top w:val="none" w:sz="0" w:space="0" w:color="auto"/>
        <w:left w:val="none" w:sz="0" w:space="0" w:color="auto"/>
        <w:bottom w:val="none" w:sz="0" w:space="0" w:color="auto"/>
        <w:right w:val="none" w:sz="0" w:space="0" w:color="auto"/>
      </w:divBdr>
    </w:div>
    <w:div w:id="1494374401">
      <w:bodyDiv w:val="1"/>
      <w:marLeft w:val="0"/>
      <w:marRight w:val="0"/>
      <w:marTop w:val="0"/>
      <w:marBottom w:val="0"/>
      <w:divBdr>
        <w:top w:val="none" w:sz="0" w:space="0" w:color="auto"/>
        <w:left w:val="none" w:sz="0" w:space="0" w:color="auto"/>
        <w:bottom w:val="none" w:sz="0" w:space="0" w:color="auto"/>
        <w:right w:val="none" w:sz="0" w:space="0" w:color="auto"/>
      </w:divBdr>
    </w:div>
    <w:div w:id="1500580345">
      <w:bodyDiv w:val="1"/>
      <w:marLeft w:val="0"/>
      <w:marRight w:val="0"/>
      <w:marTop w:val="0"/>
      <w:marBottom w:val="0"/>
      <w:divBdr>
        <w:top w:val="none" w:sz="0" w:space="0" w:color="auto"/>
        <w:left w:val="none" w:sz="0" w:space="0" w:color="auto"/>
        <w:bottom w:val="none" w:sz="0" w:space="0" w:color="auto"/>
        <w:right w:val="none" w:sz="0" w:space="0" w:color="auto"/>
      </w:divBdr>
    </w:div>
    <w:div w:id="1517768594">
      <w:bodyDiv w:val="1"/>
      <w:marLeft w:val="0"/>
      <w:marRight w:val="0"/>
      <w:marTop w:val="0"/>
      <w:marBottom w:val="0"/>
      <w:divBdr>
        <w:top w:val="none" w:sz="0" w:space="0" w:color="auto"/>
        <w:left w:val="none" w:sz="0" w:space="0" w:color="auto"/>
        <w:bottom w:val="none" w:sz="0" w:space="0" w:color="auto"/>
        <w:right w:val="none" w:sz="0" w:space="0" w:color="auto"/>
      </w:divBdr>
    </w:div>
    <w:div w:id="1545677645">
      <w:bodyDiv w:val="1"/>
      <w:marLeft w:val="0"/>
      <w:marRight w:val="0"/>
      <w:marTop w:val="0"/>
      <w:marBottom w:val="0"/>
      <w:divBdr>
        <w:top w:val="none" w:sz="0" w:space="0" w:color="auto"/>
        <w:left w:val="none" w:sz="0" w:space="0" w:color="auto"/>
        <w:bottom w:val="none" w:sz="0" w:space="0" w:color="auto"/>
        <w:right w:val="none" w:sz="0" w:space="0" w:color="auto"/>
      </w:divBdr>
    </w:div>
    <w:div w:id="1572232192">
      <w:bodyDiv w:val="1"/>
      <w:marLeft w:val="0"/>
      <w:marRight w:val="0"/>
      <w:marTop w:val="0"/>
      <w:marBottom w:val="0"/>
      <w:divBdr>
        <w:top w:val="none" w:sz="0" w:space="0" w:color="auto"/>
        <w:left w:val="none" w:sz="0" w:space="0" w:color="auto"/>
        <w:bottom w:val="none" w:sz="0" w:space="0" w:color="auto"/>
        <w:right w:val="none" w:sz="0" w:space="0" w:color="auto"/>
      </w:divBdr>
    </w:div>
    <w:div w:id="1672828480">
      <w:bodyDiv w:val="1"/>
      <w:marLeft w:val="0"/>
      <w:marRight w:val="0"/>
      <w:marTop w:val="0"/>
      <w:marBottom w:val="0"/>
      <w:divBdr>
        <w:top w:val="none" w:sz="0" w:space="0" w:color="auto"/>
        <w:left w:val="none" w:sz="0" w:space="0" w:color="auto"/>
        <w:bottom w:val="none" w:sz="0" w:space="0" w:color="auto"/>
        <w:right w:val="none" w:sz="0" w:space="0" w:color="auto"/>
      </w:divBdr>
    </w:div>
    <w:div w:id="1770736388">
      <w:bodyDiv w:val="1"/>
      <w:marLeft w:val="0"/>
      <w:marRight w:val="0"/>
      <w:marTop w:val="0"/>
      <w:marBottom w:val="0"/>
      <w:divBdr>
        <w:top w:val="none" w:sz="0" w:space="0" w:color="auto"/>
        <w:left w:val="none" w:sz="0" w:space="0" w:color="auto"/>
        <w:bottom w:val="none" w:sz="0" w:space="0" w:color="auto"/>
        <w:right w:val="none" w:sz="0" w:space="0" w:color="auto"/>
      </w:divBdr>
    </w:div>
    <w:div w:id="1829518597">
      <w:bodyDiv w:val="1"/>
      <w:marLeft w:val="0"/>
      <w:marRight w:val="0"/>
      <w:marTop w:val="0"/>
      <w:marBottom w:val="0"/>
      <w:divBdr>
        <w:top w:val="none" w:sz="0" w:space="0" w:color="auto"/>
        <w:left w:val="none" w:sz="0" w:space="0" w:color="auto"/>
        <w:bottom w:val="none" w:sz="0" w:space="0" w:color="auto"/>
        <w:right w:val="none" w:sz="0" w:space="0" w:color="auto"/>
      </w:divBdr>
    </w:div>
    <w:div w:id="1920021746">
      <w:bodyDiv w:val="1"/>
      <w:marLeft w:val="0"/>
      <w:marRight w:val="0"/>
      <w:marTop w:val="0"/>
      <w:marBottom w:val="0"/>
      <w:divBdr>
        <w:top w:val="none" w:sz="0" w:space="0" w:color="auto"/>
        <w:left w:val="none" w:sz="0" w:space="0" w:color="auto"/>
        <w:bottom w:val="none" w:sz="0" w:space="0" w:color="auto"/>
        <w:right w:val="none" w:sz="0" w:space="0" w:color="auto"/>
      </w:divBdr>
    </w:div>
    <w:div w:id="1950358651">
      <w:bodyDiv w:val="1"/>
      <w:marLeft w:val="0"/>
      <w:marRight w:val="0"/>
      <w:marTop w:val="0"/>
      <w:marBottom w:val="0"/>
      <w:divBdr>
        <w:top w:val="none" w:sz="0" w:space="0" w:color="auto"/>
        <w:left w:val="none" w:sz="0" w:space="0" w:color="auto"/>
        <w:bottom w:val="none" w:sz="0" w:space="0" w:color="auto"/>
        <w:right w:val="none" w:sz="0" w:space="0" w:color="auto"/>
      </w:divBdr>
    </w:div>
    <w:div w:id="2135173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234caa-62c6-4e57-81ad-a8a497e5b443">
      <Terms xmlns="http://schemas.microsoft.com/office/infopath/2007/PartnerControls"/>
    </lcf76f155ced4ddcb4097134ff3c332f>
    <TaxCatchAll xmlns="6efb9f3c-b134-4d58-bd8b-6641a08e8ed7" xsi:nil="true"/>
    <Tobetransferredtoprocurementfolder xmlns="00234caa-62c6-4e57-81ad-a8a497e5b4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2" ma:contentTypeDescription="Ein neues Dokument erstellen." ma:contentTypeScope="" ma:versionID="74edc0cccf5b2fda2fb211c109b3c4a1">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baad31bdd40ccdd8f645c3045d7e8748" ns2:_="" ns3:_="">
    <xsd:import namespace="00234caa-62c6-4e57-81ad-a8a497e5b443"/>
    <xsd:import namespace="6efb9f3c-b134-4d58-bd8b-6641a08e8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betransferredtoprocuremen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betransferredtoprocurementfolder" ma:index="19" nillable="true" ma:displayName="To be transferred to procurement folder" ma:format="Dropdown" ma:internalName="Tobetransferredtoprocuremen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3bb7ec01-4458-43b0-a5eb-c8ecb09208d3}" ma:internalName="TaxCatchAll" ma:showField="CatchAllData" ma:web="6efb9f3c-b134-4d58-bd8b-6641a08e8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75B85-FEB3-4C63-BF6A-C246A0570EEB}">
  <ds:schemaRefs>
    <ds:schemaRef ds:uri="http://schemas.microsoft.com/office/2006/metadata/properties"/>
    <ds:schemaRef ds:uri="http://schemas.microsoft.com/office/infopath/2007/PartnerControls"/>
    <ds:schemaRef ds:uri="00234caa-62c6-4e57-81ad-a8a497e5b443"/>
    <ds:schemaRef ds:uri="6efb9f3c-b134-4d58-bd8b-6641a08e8ed7"/>
  </ds:schemaRefs>
</ds:datastoreItem>
</file>

<file path=customXml/itemProps2.xml><?xml version="1.0" encoding="utf-8"?>
<ds:datastoreItem xmlns:ds="http://schemas.openxmlformats.org/officeDocument/2006/customXml" ds:itemID="{7D768C54-CF96-4430-9FB3-B3FE23759B9E}">
  <ds:schemaRefs>
    <ds:schemaRef ds:uri="http://schemas.openxmlformats.org/officeDocument/2006/bibliography"/>
  </ds:schemaRefs>
</ds:datastoreItem>
</file>

<file path=customXml/itemProps3.xml><?xml version="1.0" encoding="utf-8"?>
<ds:datastoreItem xmlns:ds="http://schemas.openxmlformats.org/officeDocument/2006/customXml" ds:itemID="{EAA451CC-A11A-48CC-ABF0-D3E730969476}">
  <ds:schemaRefs>
    <ds:schemaRef ds:uri="http://schemas.microsoft.com/sharepoint/v3/contenttype/forms"/>
  </ds:schemaRefs>
</ds:datastoreItem>
</file>

<file path=customXml/itemProps4.xml><?xml version="1.0" encoding="utf-8"?>
<ds:datastoreItem xmlns:ds="http://schemas.openxmlformats.org/officeDocument/2006/customXml" ds:itemID="{EBD453A8-C1EE-402B-96BD-3430EE9D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2598</Words>
  <Characters>14992</Characters>
  <Application>Microsoft Office Word</Application>
  <DocSecurity>0</DocSecurity>
  <Lines>208</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Mueller, Felix GIZ</cp:lastModifiedBy>
  <cp:revision>4</cp:revision>
  <cp:lastPrinted>2022-03-06T21:56:00Z</cp:lastPrinted>
  <dcterms:created xsi:type="dcterms:W3CDTF">2023-07-04T10:09:00Z</dcterms:created>
  <dcterms:modified xsi:type="dcterms:W3CDTF">2023-07-04T10:16:00Z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0x01010058F9B91F74902E44B12417CE2F00E3D2</vt:lpwstr>
  </property>
</Properties>
</file>