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B780" w14:textId="5BBD5B49" w:rsidR="00891CE3" w:rsidRPr="005A22EF" w:rsidRDefault="00891CE3" w:rsidP="006F3C29">
      <w:pPr>
        <w:pStyle w:val="Title"/>
        <w:tabs>
          <w:tab w:val="left" w:pos="8145"/>
        </w:tabs>
        <w:jc w:val="left"/>
        <w:rPr>
          <w:rFonts w:cstheme="minorHAnsi"/>
          <w:sz w:val="44"/>
          <w:szCs w:val="44"/>
        </w:rPr>
      </w:pPr>
      <w:r w:rsidRPr="005A22EF">
        <w:rPr>
          <w:rFonts w:cstheme="minorHAnsi"/>
          <w:sz w:val="44"/>
          <w:szCs w:val="44"/>
        </w:rPr>
        <w:t xml:space="preserve">Country engagement </w:t>
      </w:r>
      <w:r w:rsidR="00B865C9" w:rsidRPr="005A22EF">
        <w:rPr>
          <w:rFonts w:cstheme="minorHAnsi"/>
          <w:sz w:val="44"/>
          <w:szCs w:val="44"/>
        </w:rPr>
        <w:t>strategy</w:t>
      </w:r>
      <w:r w:rsidRPr="005A22EF">
        <w:rPr>
          <w:rFonts w:cstheme="minorHAnsi"/>
          <w:sz w:val="44"/>
          <w:szCs w:val="44"/>
        </w:rPr>
        <w:t xml:space="preserve">: </w:t>
      </w:r>
      <w:r w:rsidR="00DA21A6">
        <w:rPr>
          <w:rFonts w:cstheme="minorHAnsi"/>
          <w:sz w:val="44"/>
          <w:szCs w:val="44"/>
        </w:rPr>
        <w:t>Turkey</w:t>
      </w:r>
      <w:r w:rsidR="005A22EF">
        <w:rPr>
          <w:rFonts w:cstheme="minorHAnsi"/>
          <w:sz w:val="44"/>
          <w:szCs w:val="44"/>
        </w:rPr>
        <w:t xml:space="preserve"> </w:t>
      </w:r>
      <w:r w:rsidR="00A4257F" w:rsidRPr="005A22EF">
        <w:rPr>
          <w:rFonts w:cstheme="minorHAnsi"/>
          <w:sz w:val="44"/>
          <w:szCs w:val="44"/>
        </w:rPr>
        <w:tab/>
      </w:r>
    </w:p>
    <w:p w14:paraId="4D0B76C0" w14:textId="21FC4FB3" w:rsidR="003427F1" w:rsidRPr="00E229AD" w:rsidRDefault="00F15C5C" w:rsidP="006F3C29">
      <w:pPr>
        <w:pStyle w:val="Subtitle"/>
        <w:jc w:val="left"/>
      </w:pPr>
      <w:r w:rsidRPr="00124EC3">
        <w:t>Version:</w:t>
      </w:r>
      <w:r w:rsidRPr="00E229AD">
        <w:t xml:space="preserve"> </w:t>
      </w:r>
      <w:r w:rsidR="00052C75">
        <w:t>March</w:t>
      </w:r>
      <w:r w:rsidR="003031E0">
        <w:t xml:space="preserve"> 2023</w:t>
      </w:r>
    </w:p>
    <w:p w14:paraId="4BD78801" w14:textId="77777777" w:rsidR="003A0772" w:rsidRPr="00E229AD" w:rsidRDefault="003A0772" w:rsidP="008C7160">
      <w:pPr>
        <w:tabs>
          <w:tab w:val="left" w:pos="7563"/>
        </w:tabs>
        <w:spacing w:after="240" w:line="240" w:lineRule="auto"/>
        <w:rPr>
          <w:rFonts w:eastAsiaTheme="majorEastAsia" w:cstheme="minorHAnsi"/>
          <w:b/>
          <w:sz w:val="32"/>
          <w:szCs w:val="22"/>
        </w:rPr>
      </w:pPr>
      <w:r w:rsidRPr="00E229AD">
        <w:rPr>
          <w:rFonts w:eastAsiaTheme="majorEastAsia" w:cstheme="minorHAnsi"/>
          <w:b/>
          <w:sz w:val="32"/>
          <w:szCs w:val="22"/>
        </w:rPr>
        <w:t>CONTENT</w:t>
      </w:r>
      <w:r w:rsidR="008C7160" w:rsidRPr="00E229AD">
        <w:rPr>
          <w:rFonts w:eastAsiaTheme="majorEastAsia" w:cstheme="minorHAnsi"/>
          <w:b/>
          <w:sz w:val="32"/>
          <w:szCs w:val="22"/>
        </w:rPr>
        <w:tab/>
      </w:r>
    </w:p>
    <w:sdt>
      <w:sdtPr>
        <w:id w:val="-1380772924"/>
        <w:docPartObj>
          <w:docPartGallery w:val="Table of Contents"/>
          <w:docPartUnique/>
        </w:docPartObj>
      </w:sdtPr>
      <w:sdtEndPr>
        <w:rPr>
          <w:bCs/>
        </w:rPr>
      </w:sdtEndPr>
      <w:sdtContent>
        <w:p w14:paraId="5EFC626B" w14:textId="72D0A65D" w:rsidR="00DA21A6" w:rsidRDefault="003A0772" w:rsidP="00DA21A6">
          <w:pPr>
            <w:pStyle w:val="TOC1"/>
            <w:rPr>
              <w:noProof/>
              <w:sz w:val="22"/>
              <w:szCs w:val="22"/>
              <w:lang w:val="de-DE" w:eastAsia="de-DE"/>
            </w:rPr>
          </w:pPr>
          <w:r w:rsidRPr="00FC2B31">
            <w:rPr>
              <w:bCs/>
            </w:rPr>
            <w:fldChar w:fldCharType="begin"/>
          </w:r>
          <w:r w:rsidRPr="00FC2B31">
            <w:rPr>
              <w:bCs/>
            </w:rPr>
            <w:instrText xml:space="preserve"> TOC \o "1-3" \h \z \u </w:instrText>
          </w:r>
          <w:r w:rsidRPr="00FC2B31">
            <w:rPr>
              <w:bCs/>
            </w:rPr>
            <w:fldChar w:fldCharType="separate"/>
          </w:r>
          <w:hyperlink w:anchor="_Toc138953751" w:history="1">
            <w:r w:rsidR="00DA21A6" w:rsidRPr="00C92EEE">
              <w:rPr>
                <w:rStyle w:val="Hyperlink"/>
                <w:noProof/>
              </w:rPr>
              <w:t>PART A: STRATEGIC CONSIDERATIONS</w:t>
            </w:r>
            <w:r w:rsidR="00DA21A6">
              <w:rPr>
                <w:noProof/>
                <w:webHidden/>
              </w:rPr>
              <w:tab/>
            </w:r>
            <w:r w:rsidR="00DA21A6">
              <w:rPr>
                <w:noProof/>
                <w:webHidden/>
              </w:rPr>
              <w:fldChar w:fldCharType="begin"/>
            </w:r>
            <w:r w:rsidR="00DA21A6">
              <w:rPr>
                <w:noProof/>
                <w:webHidden/>
              </w:rPr>
              <w:instrText xml:space="preserve"> PAGEREF _Toc138953751 \h </w:instrText>
            </w:r>
            <w:r w:rsidR="00DA21A6">
              <w:rPr>
                <w:noProof/>
                <w:webHidden/>
              </w:rPr>
            </w:r>
            <w:r w:rsidR="00DA21A6">
              <w:rPr>
                <w:noProof/>
                <w:webHidden/>
              </w:rPr>
              <w:fldChar w:fldCharType="separate"/>
            </w:r>
            <w:r w:rsidR="00DA21A6">
              <w:rPr>
                <w:noProof/>
                <w:webHidden/>
              </w:rPr>
              <w:t>1</w:t>
            </w:r>
            <w:r w:rsidR="00DA21A6">
              <w:rPr>
                <w:noProof/>
                <w:webHidden/>
              </w:rPr>
              <w:fldChar w:fldCharType="end"/>
            </w:r>
          </w:hyperlink>
        </w:p>
        <w:p w14:paraId="135891C5" w14:textId="0638DF91" w:rsidR="00DA21A6" w:rsidRDefault="00140D1B">
          <w:pPr>
            <w:pStyle w:val="TOC2"/>
            <w:rPr>
              <w:noProof/>
              <w:sz w:val="22"/>
              <w:szCs w:val="22"/>
              <w:lang w:val="de-DE" w:eastAsia="de-DE"/>
            </w:rPr>
          </w:pPr>
          <w:hyperlink w:anchor="_Toc138953752" w:history="1">
            <w:r w:rsidR="00DA21A6" w:rsidRPr="00C92EEE">
              <w:rPr>
                <w:rStyle w:val="Hyperlink"/>
                <w:noProof/>
              </w:rPr>
              <w:t>1</w:t>
            </w:r>
            <w:r w:rsidR="00DA21A6">
              <w:rPr>
                <w:noProof/>
                <w:sz w:val="22"/>
                <w:szCs w:val="22"/>
                <w:lang w:val="de-DE" w:eastAsia="de-DE"/>
              </w:rPr>
              <w:tab/>
            </w:r>
            <w:r w:rsidR="00DA21A6" w:rsidRPr="00C92EEE">
              <w:rPr>
                <w:rStyle w:val="Hyperlink"/>
                <w:smallCaps/>
                <w:noProof/>
                <w:spacing w:val="5"/>
              </w:rPr>
              <w:t>Background</w:t>
            </w:r>
            <w:r w:rsidR="00DA21A6">
              <w:rPr>
                <w:noProof/>
                <w:webHidden/>
              </w:rPr>
              <w:tab/>
            </w:r>
            <w:r w:rsidR="00DA21A6">
              <w:rPr>
                <w:noProof/>
                <w:webHidden/>
              </w:rPr>
              <w:fldChar w:fldCharType="begin"/>
            </w:r>
            <w:r w:rsidR="00DA21A6">
              <w:rPr>
                <w:noProof/>
                <w:webHidden/>
              </w:rPr>
              <w:instrText xml:space="preserve"> PAGEREF _Toc138953752 \h </w:instrText>
            </w:r>
            <w:r w:rsidR="00DA21A6">
              <w:rPr>
                <w:noProof/>
                <w:webHidden/>
              </w:rPr>
            </w:r>
            <w:r w:rsidR="00DA21A6">
              <w:rPr>
                <w:noProof/>
                <w:webHidden/>
              </w:rPr>
              <w:fldChar w:fldCharType="separate"/>
            </w:r>
            <w:r w:rsidR="00DA21A6">
              <w:rPr>
                <w:noProof/>
                <w:webHidden/>
              </w:rPr>
              <w:t>1</w:t>
            </w:r>
            <w:r w:rsidR="00DA21A6">
              <w:rPr>
                <w:noProof/>
                <w:webHidden/>
              </w:rPr>
              <w:fldChar w:fldCharType="end"/>
            </w:r>
          </w:hyperlink>
        </w:p>
        <w:p w14:paraId="47DCDF73" w14:textId="67C3D6EF" w:rsidR="00DA21A6" w:rsidRDefault="00140D1B">
          <w:pPr>
            <w:pStyle w:val="TOC2"/>
            <w:rPr>
              <w:noProof/>
              <w:sz w:val="22"/>
              <w:szCs w:val="22"/>
              <w:lang w:val="de-DE" w:eastAsia="de-DE"/>
            </w:rPr>
          </w:pPr>
          <w:hyperlink w:anchor="_Toc138953753" w:history="1">
            <w:r w:rsidR="00DA21A6" w:rsidRPr="00C92EEE">
              <w:rPr>
                <w:rStyle w:val="Hyperlink"/>
                <w:smallCaps/>
                <w:noProof/>
                <w:spacing w:val="5"/>
              </w:rPr>
              <w:t>2</w:t>
            </w:r>
            <w:r w:rsidR="00DA21A6">
              <w:rPr>
                <w:noProof/>
                <w:sz w:val="22"/>
                <w:szCs w:val="22"/>
                <w:lang w:val="de-DE" w:eastAsia="de-DE"/>
              </w:rPr>
              <w:tab/>
            </w:r>
            <w:r w:rsidR="00DA21A6" w:rsidRPr="00C92EEE">
              <w:rPr>
                <w:rStyle w:val="Hyperlink"/>
                <w:smallCaps/>
                <w:noProof/>
                <w:spacing w:val="5"/>
              </w:rPr>
              <w:t>Priorities arising from the bilateral climate policy dialogue</w:t>
            </w:r>
            <w:r w:rsidR="00DA21A6">
              <w:rPr>
                <w:noProof/>
                <w:webHidden/>
              </w:rPr>
              <w:tab/>
            </w:r>
            <w:r w:rsidR="00DA21A6">
              <w:rPr>
                <w:noProof/>
                <w:webHidden/>
              </w:rPr>
              <w:fldChar w:fldCharType="begin"/>
            </w:r>
            <w:r w:rsidR="00DA21A6">
              <w:rPr>
                <w:noProof/>
                <w:webHidden/>
              </w:rPr>
              <w:instrText xml:space="preserve"> PAGEREF _Toc138953753 \h </w:instrText>
            </w:r>
            <w:r w:rsidR="00DA21A6">
              <w:rPr>
                <w:noProof/>
                <w:webHidden/>
              </w:rPr>
            </w:r>
            <w:r w:rsidR="00DA21A6">
              <w:rPr>
                <w:noProof/>
                <w:webHidden/>
              </w:rPr>
              <w:fldChar w:fldCharType="separate"/>
            </w:r>
            <w:r w:rsidR="00DA21A6">
              <w:rPr>
                <w:noProof/>
                <w:webHidden/>
              </w:rPr>
              <w:t>4</w:t>
            </w:r>
            <w:r w:rsidR="00DA21A6">
              <w:rPr>
                <w:noProof/>
                <w:webHidden/>
              </w:rPr>
              <w:fldChar w:fldCharType="end"/>
            </w:r>
          </w:hyperlink>
        </w:p>
        <w:p w14:paraId="7F75110C" w14:textId="3C33E7F8" w:rsidR="00DA21A6" w:rsidRDefault="00140D1B">
          <w:pPr>
            <w:pStyle w:val="TOC2"/>
            <w:rPr>
              <w:noProof/>
              <w:sz w:val="22"/>
              <w:szCs w:val="22"/>
              <w:lang w:val="de-DE" w:eastAsia="de-DE"/>
            </w:rPr>
          </w:pPr>
          <w:hyperlink w:anchor="_Toc138953754" w:history="1">
            <w:r w:rsidR="00DA21A6" w:rsidRPr="00C92EEE">
              <w:rPr>
                <w:rStyle w:val="Hyperlink"/>
                <w:smallCaps/>
                <w:noProof/>
                <w:spacing w:val="5"/>
              </w:rPr>
              <w:t>3</w:t>
            </w:r>
            <w:r w:rsidR="00DA21A6">
              <w:rPr>
                <w:noProof/>
                <w:sz w:val="22"/>
                <w:szCs w:val="22"/>
                <w:lang w:val="de-DE" w:eastAsia="de-DE"/>
              </w:rPr>
              <w:tab/>
            </w:r>
            <w:r w:rsidR="00DA21A6" w:rsidRPr="00C92EEE">
              <w:rPr>
                <w:rStyle w:val="Hyperlink"/>
                <w:smallCaps/>
                <w:noProof/>
                <w:spacing w:val="5"/>
              </w:rPr>
              <w:t>Relevant cooperation activities through other European projects</w:t>
            </w:r>
            <w:r w:rsidR="00DA21A6">
              <w:rPr>
                <w:noProof/>
                <w:webHidden/>
              </w:rPr>
              <w:tab/>
            </w:r>
            <w:r w:rsidR="00DA21A6">
              <w:rPr>
                <w:noProof/>
                <w:webHidden/>
              </w:rPr>
              <w:fldChar w:fldCharType="begin"/>
            </w:r>
            <w:r w:rsidR="00DA21A6">
              <w:rPr>
                <w:noProof/>
                <w:webHidden/>
              </w:rPr>
              <w:instrText xml:space="preserve"> PAGEREF _Toc138953754 \h </w:instrText>
            </w:r>
            <w:r w:rsidR="00DA21A6">
              <w:rPr>
                <w:noProof/>
                <w:webHidden/>
              </w:rPr>
            </w:r>
            <w:r w:rsidR="00DA21A6">
              <w:rPr>
                <w:noProof/>
                <w:webHidden/>
              </w:rPr>
              <w:fldChar w:fldCharType="separate"/>
            </w:r>
            <w:r w:rsidR="00DA21A6">
              <w:rPr>
                <w:noProof/>
                <w:webHidden/>
              </w:rPr>
              <w:t>5</w:t>
            </w:r>
            <w:r w:rsidR="00DA21A6">
              <w:rPr>
                <w:noProof/>
                <w:webHidden/>
              </w:rPr>
              <w:fldChar w:fldCharType="end"/>
            </w:r>
          </w:hyperlink>
        </w:p>
        <w:p w14:paraId="491BE422" w14:textId="7BE8D5D7" w:rsidR="00DA21A6" w:rsidRDefault="00140D1B">
          <w:pPr>
            <w:pStyle w:val="TOC2"/>
            <w:rPr>
              <w:noProof/>
              <w:sz w:val="22"/>
              <w:szCs w:val="22"/>
              <w:lang w:val="de-DE" w:eastAsia="de-DE"/>
            </w:rPr>
          </w:pPr>
          <w:hyperlink w:anchor="_Toc138953755" w:history="1">
            <w:r w:rsidR="00DA21A6" w:rsidRPr="00C92EEE">
              <w:rPr>
                <w:rStyle w:val="Hyperlink"/>
                <w:noProof/>
              </w:rPr>
              <w:t>4</w:t>
            </w:r>
            <w:r w:rsidR="00DA21A6">
              <w:rPr>
                <w:noProof/>
                <w:sz w:val="22"/>
                <w:szCs w:val="22"/>
                <w:lang w:val="de-DE" w:eastAsia="de-DE"/>
              </w:rPr>
              <w:tab/>
            </w:r>
            <w:r w:rsidR="00DA21A6" w:rsidRPr="00C92EEE">
              <w:rPr>
                <w:rStyle w:val="Hyperlink"/>
                <w:noProof/>
              </w:rPr>
              <w:t>Thematic priorities for EUCDs</w:t>
            </w:r>
            <w:r w:rsidR="00DA21A6">
              <w:rPr>
                <w:noProof/>
                <w:webHidden/>
              </w:rPr>
              <w:tab/>
            </w:r>
            <w:r w:rsidR="00DA21A6">
              <w:rPr>
                <w:noProof/>
                <w:webHidden/>
              </w:rPr>
              <w:fldChar w:fldCharType="begin"/>
            </w:r>
            <w:r w:rsidR="00DA21A6">
              <w:rPr>
                <w:noProof/>
                <w:webHidden/>
              </w:rPr>
              <w:instrText xml:space="preserve"> PAGEREF _Toc138953755 \h </w:instrText>
            </w:r>
            <w:r w:rsidR="00DA21A6">
              <w:rPr>
                <w:noProof/>
                <w:webHidden/>
              </w:rPr>
            </w:r>
            <w:r w:rsidR="00DA21A6">
              <w:rPr>
                <w:noProof/>
                <w:webHidden/>
              </w:rPr>
              <w:fldChar w:fldCharType="separate"/>
            </w:r>
            <w:r w:rsidR="00DA21A6">
              <w:rPr>
                <w:noProof/>
                <w:webHidden/>
              </w:rPr>
              <w:t>7</w:t>
            </w:r>
            <w:r w:rsidR="00DA21A6">
              <w:rPr>
                <w:noProof/>
                <w:webHidden/>
              </w:rPr>
              <w:fldChar w:fldCharType="end"/>
            </w:r>
          </w:hyperlink>
        </w:p>
        <w:p w14:paraId="4E0BC00C" w14:textId="29752982" w:rsidR="00DA21A6" w:rsidRDefault="00140D1B">
          <w:pPr>
            <w:pStyle w:val="TOC3"/>
            <w:rPr>
              <w:rFonts w:asciiTheme="minorHAnsi" w:eastAsiaTheme="minorEastAsia" w:hAnsiTheme="minorHAnsi" w:cstheme="minorBidi"/>
              <w:spacing w:val="0"/>
              <w:sz w:val="22"/>
              <w:szCs w:val="22"/>
              <w:lang w:val="de-DE" w:eastAsia="de-DE"/>
            </w:rPr>
          </w:pPr>
          <w:hyperlink w:anchor="_Toc138953756" w:history="1">
            <w:r w:rsidR="00DA21A6" w:rsidRPr="00C92EEE">
              <w:rPr>
                <w:rStyle w:val="Hyperlink"/>
                <w:smallCaps/>
              </w:rPr>
              <w:t>Identified priorities</w:t>
            </w:r>
            <w:r w:rsidR="00DA21A6">
              <w:rPr>
                <w:webHidden/>
              </w:rPr>
              <w:tab/>
            </w:r>
            <w:r w:rsidR="00DA21A6">
              <w:rPr>
                <w:webHidden/>
              </w:rPr>
              <w:fldChar w:fldCharType="begin"/>
            </w:r>
            <w:r w:rsidR="00DA21A6">
              <w:rPr>
                <w:webHidden/>
              </w:rPr>
              <w:instrText xml:space="preserve"> PAGEREF _Toc138953756 \h </w:instrText>
            </w:r>
            <w:r w:rsidR="00DA21A6">
              <w:rPr>
                <w:webHidden/>
              </w:rPr>
            </w:r>
            <w:r w:rsidR="00DA21A6">
              <w:rPr>
                <w:webHidden/>
              </w:rPr>
              <w:fldChar w:fldCharType="separate"/>
            </w:r>
            <w:r w:rsidR="00DA21A6">
              <w:rPr>
                <w:webHidden/>
              </w:rPr>
              <w:t>7</w:t>
            </w:r>
            <w:r w:rsidR="00DA21A6">
              <w:rPr>
                <w:webHidden/>
              </w:rPr>
              <w:fldChar w:fldCharType="end"/>
            </w:r>
          </w:hyperlink>
        </w:p>
        <w:p w14:paraId="6D9EC620" w14:textId="33D36214" w:rsidR="003A0772" w:rsidRPr="00E229AD" w:rsidRDefault="003A0772" w:rsidP="00B22EFD">
          <w:pPr>
            <w:spacing w:line="240" w:lineRule="auto"/>
            <w:jc w:val="left"/>
          </w:pPr>
          <w:r w:rsidRPr="00FC2B31">
            <w:rPr>
              <w:bCs/>
            </w:rPr>
            <w:fldChar w:fldCharType="end"/>
          </w:r>
        </w:p>
      </w:sdtContent>
    </w:sdt>
    <w:p w14:paraId="7F23A43F" w14:textId="77777777" w:rsidR="006768FB" w:rsidRPr="005A22EF" w:rsidRDefault="006768FB" w:rsidP="005A22EF">
      <w:pPr>
        <w:pStyle w:val="Heading1"/>
      </w:pPr>
      <w:bookmarkStart w:id="0" w:name="_Toc527365597"/>
      <w:bookmarkStart w:id="1" w:name="_Toc138953751"/>
      <w:r w:rsidRPr="005A22EF">
        <w:t xml:space="preserve">PART A: </w:t>
      </w:r>
      <w:r w:rsidR="006F3C29" w:rsidRPr="005A22EF">
        <w:t>STRATEGIC CONSIDERATIONS</w:t>
      </w:r>
      <w:bookmarkEnd w:id="0"/>
      <w:bookmarkEnd w:id="1"/>
    </w:p>
    <w:p w14:paraId="1560F103" w14:textId="77777777" w:rsidR="006768FB" w:rsidRPr="00E229AD" w:rsidRDefault="006768FB" w:rsidP="006F3C29">
      <w:pPr>
        <w:keepNext/>
        <w:spacing w:before="240" w:after="240" w:line="240" w:lineRule="auto"/>
        <w:ind w:left="360" w:hanging="360"/>
        <w:jc w:val="left"/>
        <w:outlineLvl w:val="1"/>
        <w:rPr>
          <w:smallCaps/>
          <w:spacing w:val="5"/>
          <w:sz w:val="28"/>
          <w:szCs w:val="28"/>
        </w:rPr>
      </w:pPr>
      <w:bookmarkStart w:id="2" w:name="_Toc527365598"/>
      <w:bookmarkStart w:id="3" w:name="_Toc138953752"/>
      <w:r w:rsidRPr="00E229AD">
        <w:rPr>
          <w:sz w:val="28"/>
          <w:szCs w:val="28"/>
        </w:rPr>
        <w:t>1</w:t>
      </w:r>
      <w:r w:rsidRPr="00E229AD">
        <w:rPr>
          <w:smallCaps/>
          <w:spacing w:val="5"/>
          <w:sz w:val="28"/>
          <w:szCs w:val="28"/>
        </w:rPr>
        <w:tab/>
        <w:t>Background</w:t>
      </w:r>
      <w:bookmarkEnd w:id="2"/>
      <w:bookmarkEnd w:id="3"/>
    </w:p>
    <w:p w14:paraId="6085E964" w14:textId="77777777" w:rsidR="00A340F1" w:rsidRPr="00A340F1" w:rsidRDefault="00A340F1" w:rsidP="00A340F1">
      <w:r w:rsidRPr="00A340F1">
        <w:t>Turkey is among the major emitters in G20 countries with its 523.9 Mt CO2-eq of emissions</w:t>
      </w:r>
      <w:r w:rsidRPr="00A340F1">
        <w:rPr>
          <w:vertAlign w:val="superscript"/>
        </w:rPr>
        <w:footnoteReference w:id="1"/>
      </w:r>
      <w:r w:rsidRPr="00A340F1">
        <w:t xml:space="preserve"> (excl. LULUCF) in 2020, which indicated 3.1% increase compared to 2019. The country’s emissions increased by 138.4 % compared to the base year, 1990, making the fastest-growing emitter in the G20. </w:t>
      </w:r>
    </w:p>
    <w:p w14:paraId="5BF4A54C" w14:textId="77777777" w:rsidR="00810788" w:rsidRPr="00810788" w:rsidRDefault="00810788" w:rsidP="00810788">
      <w:r w:rsidRPr="00810788">
        <w:t xml:space="preserve">Turkey’s status under the UNFCCC is a traditionally contentious issue: the country has long objected to being listed in both Annex I and Annex II of the UNFCCC, and therefore refused to ratify the Convention until a 2001 COP decision removed Turkey from Annex II and recognised its special circumstances. Ever since, Turkey has repeatedly and consistently requested treatment as a non-Annex I Party </w:t>
      </w:r>
      <w:proofErr w:type="gramStart"/>
      <w:r w:rsidRPr="00810788">
        <w:rPr>
          <w:i/>
          <w:iCs/>
        </w:rPr>
        <w:t>i.e.</w:t>
      </w:r>
      <w:proofErr w:type="gramEnd"/>
      <w:r w:rsidRPr="00810788">
        <w:t xml:space="preserve"> eligibility for financial support as a developing country. This strategy notably resulted in 2014 in a series of COP decisions establishing such eligibility (without however explicit mention of Green Climate Fund, Climate Technology Centre and Network or Nationally Appropriate Mitigation Actions) and urging Annex II parties </w:t>
      </w:r>
      <w:r w:rsidRPr="00810788">
        <w:rPr>
          <w:i/>
          <w:iCs/>
        </w:rPr>
        <w:t>''in a position to do so''</w:t>
      </w:r>
      <w:r w:rsidRPr="00810788">
        <w:t xml:space="preserve"> to provide climate change-related support to Turkey. </w:t>
      </w:r>
    </w:p>
    <w:p w14:paraId="765FF852" w14:textId="77777777" w:rsidR="00472646" w:rsidRPr="00472646" w:rsidRDefault="00472646" w:rsidP="00472646">
      <w:pPr>
        <w:rPr>
          <w:rFonts w:cs="Arial"/>
        </w:rPr>
      </w:pPr>
      <w:r w:rsidRPr="00472646">
        <w:rPr>
          <w:rFonts w:cs="Arial"/>
        </w:rPr>
        <w:t xml:space="preserve">Nonetheless, Turkey still used the argument of its UNFCCC status and its access to international climate finance to considerably delay the ratification of the Paris Agreement. Five years after its signature, and after a surprise announcement by President </w:t>
      </w:r>
      <w:proofErr w:type="spellStart"/>
      <w:r w:rsidRPr="00472646">
        <w:rPr>
          <w:rFonts w:cs="Arial"/>
        </w:rPr>
        <w:t>Erdoğan</w:t>
      </w:r>
      <w:proofErr w:type="spellEnd"/>
      <w:r w:rsidRPr="00472646">
        <w:rPr>
          <w:rFonts w:cs="Arial"/>
        </w:rPr>
        <w:t xml:space="preserve"> at the UN General Assembly, Turkey finally ratified the Paris Agreement on 7 October 2021. On the same occasion, President </w:t>
      </w:r>
      <w:proofErr w:type="spellStart"/>
      <w:r w:rsidRPr="00472646">
        <w:rPr>
          <w:rFonts w:cs="Arial"/>
        </w:rPr>
        <w:t>Erdoğan</w:t>
      </w:r>
      <w:proofErr w:type="spellEnd"/>
      <w:r w:rsidRPr="00472646">
        <w:rPr>
          <w:rFonts w:cs="Arial"/>
        </w:rPr>
        <w:t xml:space="preserve"> announced that Turkey would be pursuing the goal of net-zero by 2053, an objective that by all accounts will be very difficult to fulfil considering the current trajectory of emissions. </w:t>
      </w:r>
    </w:p>
    <w:p w14:paraId="08765061" w14:textId="77777777" w:rsidR="00EE534E" w:rsidRPr="00EE534E" w:rsidRDefault="00EE534E" w:rsidP="00EE534E">
      <w:r w:rsidRPr="00EE534E">
        <w:t xml:space="preserve">A USD 3.2 billion package of investment funded </w:t>
      </w:r>
      <w:proofErr w:type="gramStart"/>
      <w:r w:rsidRPr="00EE534E">
        <w:t>in particular by</w:t>
      </w:r>
      <w:proofErr w:type="gramEnd"/>
      <w:r w:rsidRPr="00EE534E">
        <w:t xml:space="preserve"> France, Germany and the World Bank has reportedly pushed the decision to ratify over the finish line in the run up to COP26. During COP26, Turkey thus became Party to the Paris Agreement, while also signing the Glasgow Declaration on Forests and land use; the country did however not join the Global Methane Pledge. At COP27 the Minister of Environment, Urbanization and Climate Change indicated Turkey’s willingness to host 31</w:t>
      </w:r>
      <w:r w:rsidRPr="00EE534E">
        <w:rPr>
          <w:vertAlign w:val="superscript"/>
        </w:rPr>
        <w:t>st</w:t>
      </w:r>
      <w:r w:rsidRPr="00EE534E">
        <w:t xml:space="preserve"> COP in Turkey.</w:t>
      </w:r>
    </w:p>
    <w:p w14:paraId="7F0153F9" w14:textId="77777777" w:rsidR="00A97EF6" w:rsidRPr="00A97EF6" w:rsidRDefault="00A97EF6" w:rsidP="00A97EF6">
      <w:r w:rsidRPr="00A97EF6">
        <w:lastRenderedPageBreak/>
        <w:t>Turkey’s Nationally Determined Contribution – 2015 INDC that became by default the 1</w:t>
      </w:r>
      <w:r w:rsidRPr="00A97EF6">
        <w:rPr>
          <w:vertAlign w:val="superscript"/>
        </w:rPr>
        <w:t>st</w:t>
      </w:r>
      <w:r w:rsidRPr="00A97EF6">
        <w:t xml:space="preserve"> NDC with the ratification – contains a greenhouse gas reduction target (including LULUCF) of up to 21% below business-as-usual in 2030, a target the country will overachieve and that implies a continuous increase of emissions since 2015 (or 355% above 1990 levels, while 28% is estimated as necessary to keep below the 1.5°C limit</w:t>
      </w:r>
      <w:r w:rsidRPr="00A97EF6">
        <w:rPr>
          <w:vertAlign w:val="superscript"/>
        </w:rPr>
        <w:footnoteReference w:id="2"/>
      </w:r>
      <w:r w:rsidRPr="00A97EF6">
        <w:t>). The NDC was not accompanied by a long-term strategy and did not contain any estimates of “investment needs”.</w:t>
      </w:r>
    </w:p>
    <w:p w14:paraId="70E8392D" w14:textId="77777777" w:rsidR="004C29AF" w:rsidRPr="004C29AF" w:rsidRDefault="004C29AF" w:rsidP="004C29AF">
      <w:pPr>
        <w:rPr>
          <w:rFonts w:cs="Arial"/>
        </w:rPr>
      </w:pPr>
      <w:r w:rsidRPr="004C29AF">
        <w:rPr>
          <w:rFonts w:cs="Arial"/>
        </w:rPr>
        <w:t xml:space="preserve">The country’s second NDC is under preparation, and it is planned to be finalized in 2023 with a declared GHG emission reduction target of 41% by 2030 compared to BAU scenario. The peak year of emissions has been announced as 2038. However, sectoral targets and other details have not been announced yet. </w:t>
      </w:r>
    </w:p>
    <w:p w14:paraId="231B9EE4" w14:textId="6B1DE12E" w:rsidR="00DA21A6" w:rsidRPr="00DA21A6" w:rsidRDefault="00DA21A6" w:rsidP="00DA21A6">
      <w:pPr>
        <w:rPr>
          <w:b/>
          <w:bCs/>
        </w:rPr>
      </w:pPr>
      <w:r w:rsidRPr="00DA21A6">
        <w:rPr>
          <w:b/>
          <w:bCs/>
        </w:rPr>
        <w:t>Institutional Structure</w:t>
      </w:r>
    </w:p>
    <w:p w14:paraId="773CD0BB" w14:textId="77777777" w:rsidR="000F3FD9" w:rsidRPr="000F3FD9" w:rsidRDefault="000F3FD9" w:rsidP="000F3FD9">
      <w:r w:rsidRPr="000F3FD9">
        <w:t>Following the ratification of the Paris Agreement, the Ministry has changed its institutional structure that coordinates the climate change policy from a department on climate change into a rather unique “Climate Change Presidency” and changed the Ministry’s name to “Ministry of Environment, Urbanization and Climate Change”. The Climate Presidency has several departments such as “Carbon Pricing”, “GHG Emissions Monitoring”, “GHG Mitigation Policies” and “Climate Change Adaptation and Local Policies” and enjoys a certain degree of autonomy within the ministry.</w:t>
      </w:r>
    </w:p>
    <w:p w14:paraId="1D8ED714" w14:textId="77777777" w:rsidR="00904C01" w:rsidRPr="00904C01" w:rsidRDefault="00904C01" w:rsidP="00904C01">
      <w:r w:rsidRPr="00904C01">
        <w:t xml:space="preserve">The Climate Presidency also serves as the secretariat for Climate Change and Adaptation Coordination Board, which was established in 2001 (formerly Climate Change Coordination Board). The Coordination Board includes 22 key state and non-state institutions (such as </w:t>
      </w:r>
      <w:proofErr w:type="spellStart"/>
      <w:r w:rsidRPr="00904C01">
        <w:t>TurkStat</w:t>
      </w:r>
      <w:proofErr w:type="spellEnd"/>
      <w:r w:rsidRPr="00904C01">
        <w:t xml:space="preserve">, Min of Energy, Turkish Industry and Business Association (TÜSİAD), Disaster and Emergency Management Presidency (AFAD), etc.) to discuss and decide on national climate change policies.  </w:t>
      </w:r>
    </w:p>
    <w:p w14:paraId="757059BA" w14:textId="77777777" w:rsidR="00251900" w:rsidRPr="00251900" w:rsidRDefault="00251900" w:rsidP="00251900">
      <w:r w:rsidRPr="00251900">
        <w:t xml:space="preserve">The government also created a Climate Council in 2022, bringing together a very large number of ministries, stakeholders and international organisations present in the country. This Council met for the first and so </w:t>
      </w:r>
      <w:proofErr w:type="gramStart"/>
      <w:r w:rsidRPr="00251900">
        <w:t>far</w:t>
      </w:r>
      <w:proofErr w:type="gramEnd"/>
      <w:r w:rsidRPr="00251900">
        <w:t xml:space="preserve"> only time in Konya in February 2022. </w:t>
      </w:r>
      <w:proofErr w:type="gramStart"/>
      <w:r w:rsidRPr="00251900">
        <w:t>However</w:t>
      </w:r>
      <w:proofErr w:type="gramEnd"/>
      <w:r w:rsidRPr="00251900">
        <w:t xml:space="preserve"> the Council does not have a decision-making role unlike the Climate Change and Adaptation Coordination Board.</w:t>
      </w:r>
    </w:p>
    <w:p w14:paraId="7278B8D3" w14:textId="77777777" w:rsidR="00DA21A6" w:rsidRPr="00DA21A6" w:rsidRDefault="00DA21A6" w:rsidP="00DA21A6">
      <w:pPr>
        <w:rPr>
          <w:b/>
          <w:bCs/>
        </w:rPr>
      </w:pPr>
      <w:r w:rsidRPr="00DA21A6">
        <w:rPr>
          <w:b/>
          <w:bCs/>
        </w:rPr>
        <w:t>Policy Framework and Recent Developments:</w:t>
      </w:r>
    </w:p>
    <w:p w14:paraId="0DA48B70" w14:textId="77777777" w:rsidR="001672EB" w:rsidRPr="001672EB" w:rsidRDefault="001672EB" w:rsidP="001672EB">
      <w:r w:rsidRPr="001672EB">
        <w:t>At policy-making level, Turkey has so far not been developing measures that could reduce its emissions or increase its resilience, and climate generally has not been very high on the agenda of public authorities – at least until ratification of the Paris Agreement. Strategic documents that provide the basis for Turkey’s climate change policies and measures, currently still with a horizon up to 2023 (100</w:t>
      </w:r>
      <w:r w:rsidRPr="001672EB">
        <w:rPr>
          <w:vertAlign w:val="superscript"/>
        </w:rPr>
        <w:t>th</w:t>
      </w:r>
      <w:r w:rsidRPr="001672EB">
        <w:t xml:space="preserve"> anniversary of the Republic of Turkey), come from the period between the opening of the environment chapter of the EU accession (2009) and the conservative turn of the Turkish policies (2016). However, the “Long-term Climate Change Strategy” which will provide the details for 2053 net-zero strategy, is under development.</w:t>
      </w:r>
    </w:p>
    <w:p w14:paraId="79DDE9A2" w14:textId="77777777" w:rsidR="0046264E" w:rsidRPr="0046264E" w:rsidRDefault="0046264E" w:rsidP="0046264E">
      <w:pPr>
        <w:rPr>
          <w:rFonts w:cs="Arial"/>
        </w:rPr>
      </w:pPr>
      <w:r w:rsidRPr="0046264E">
        <w:rPr>
          <w:rFonts w:cs="Arial"/>
        </w:rPr>
        <w:t xml:space="preserve">The update of the National Climate Change Adaptation Strategy and Action Plan was planned to be finalized by the end of 2022, but so far it has not been published. The Adaptation Strategy and Action Plan is expected to include a broader scope compared to the earlier version, with a more inclusive approach on vulnerability assessments being performed together with local authorities and business sectors, through an EU funded project (Instrument for Pre-Accession). At local level, several metropolitan municipalities have voluntarily prepared their climate change action plans including climate mitigation and adaptation actions. </w:t>
      </w:r>
    </w:p>
    <w:p w14:paraId="2E02FB68" w14:textId="77777777" w:rsidR="001559CD" w:rsidRPr="001559CD" w:rsidRDefault="001559CD" w:rsidP="001559CD">
      <w:r w:rsidRPr="001559CD">
        <w:t xml:space="preserve">The long-awaited “Climate Law” is close to finalization. In 2021, the Climate Law has been announced to update current policies, targets and regulations for 2050, including implementation of an emission trading system (ETS – see below), but its ambition and goals are still unclear. The Climate Law is also expected to </w:t>
      </w:r>
      <w:proofErr w:type="gramStart"/>
      <w:r w:rsidRPr="001559CD">
        <w:t>frame  the</w:t>
      </w:r>
      <w:proofErr w:type="gramEnd"/>
      <w:r w:rsidRPr="001559CD">
        <w:t xml:space="preserve"> requirements and methodologies regarding the emerging emission trading system in Turkey.   So far, the most tangible legislation addressing climate change mitigation efforts has been the Regulation on Greenhouse Gas Emission Monitoring, Reporting and Verification </w:t>
      </w:r>
      <w:r w:rsidRPr="001559CD">
        <w:lastRenderedPageBreak/>
        <w:t xml:space="preserve">which has been in force since 2014. The Regulation focuses on monitoring, reporting and verification of GHG emissions of selected energy intensive sectors in line with related EU </w:t>
      </w:r>
      <w:r w:rsidRPr="001559CD">
        <w:rPr>
          <w:i/>
          <w:iCs/>
        </w:rPr>
        <w:t>acquis</w:t>
      </w:r>
      <w:r w:rsidRPr="001559CD">
        <w:t xml:space="preserve">. </w:t>
      </w:r>
    </w:p>
    <w:p w14:paraId="6E5013C6" w14:textId="77777777" w:rsidR="00DE7E3A" w:rsidRPr="00DE7E3A" w:rsidRDefault="00DE7E3A" w:rsidP="00DE7E3A">
      <w:r w:rsidRPr="00DE7E3A">
        <w:t xml:space="preserve">Turkey has been working on an ETS to be launched for several years. The country has participated in the Partnership for Market Readiness (PMR) and eventually </w:t>
      </w:r>
      <w:proofErr w:type="gramStart"/>
      <w:r w:rsidRPr="00DE7E3A">
        <w:t>submitted an application</w:t>
      </w:r>
      <w:proofErr w:type="gramEnd"/>
      <w:r w:rsidRPr="00DE7E3A">
        <w:t xml:space="preserve"> for participating in the Partnership for Market Implementation (PMI) after the ratification of the Paris Agreement. The PMI project is expected to start in 2023, combined with a pilot scale start of the ETS system. </w:t>
      </w:r>
    </w:p>
    <w:p w14:paraId="4C6406CB" w14:textId="77777777" w:rsidR="00B82CEE" w:rsidRPr="00B82CEE" w:rsidRDefault="00B82CEE" w:rsidP="00B82CEE">
      <w:r w:rsidRPr="00B82CEE">
        <w:t xml:space="preserve">Turkey has published its “National Energy Plan” (available in Turkish only) in December 2022, which indicates that carbon prices in several sectors have been determined but does not give details about the prices.  </w:t>
      </w:r>
    </w:p>
    <w:p w14:paraId="705043E9" w14:textId="77777777" w:rsidR="00855CE8" w:rsidRPr="00855CE8" w:rsidRDefault="00855CE8" w:rsidP="00855CE8">
      <w:r w:rsidRPr="00855CE8">
        <w:t xml:space="preserve">An action plan on the EU’s Green Deal was released in July 2021, mostly a compilation of existing or upcoming actions at regulatory level driven by the ambition to limit the impact of CBAM on the Turkish economy, without attempting to establish a vision </w:t>
      </w:r>
      <w:proofErr w:type="gramStart"/>
      <w:r w:rsidRPr="00855CE8">
        <w:t>similar to</w:t>
      </w:r>
      <w:proofErr w:type="gramEnd"/>
      <w:r w:rsidRPr="00855CE8">
        <w:t xml:space="preserve"> that of the EGD.</w:t>
      </w:r>
    </w:p>
    <w:p w14:paraId="3E8A1CC5" w14:textId="77777777" w:rsidR="00DA21A6" w:rsidRDefault="00DA21A6" w:rsidP="00DA21A6">
      <w:r>
        <w:t xml:space="preserve">Turkey’s power generation from renewables (wind, solar and hydropower) amounted to 37% in 2020, which is envisaged to rise to 39% in 2025, 43% in 2030 51.6% in 2035 (Turkey’s National Energy Plan, 2022). </w:t>
      </w:r>
      <w:r w:rsidRPr="00921176">
        <w:t>National Energy Plan</w:t>
      </w:r>
      <w:r>
        <w:t xml:space="preserve"> also </w:t>
      </w:r>
      <w:r w:rsidRPr="006F7652">
        <w:t xml:space="preserve">indicates Turkey’s </w:t>
      </w:r>
      <w:r>
        <w:t>target</w:t>
      </w:r>
      <w:r w:rsidRPr="006F7652">
        <w:t xml:space="preserve"> to increase its solar </w:t>
      </w:r>
      <w:r>
        <w:t>power generation</w:t>
      </w:r>
      <w:r w:rsidRPr="006F7652">
        <w:t xml:space="preserve"> capacity to 52.9 GW by 2035 (7.8 GW in 2021), wind capacity to 29.6 GW in 2035 (10.6 GW in 2021), and hydro capacity 35.1 GW (31.5 GW in 2021). The Plan indicates nuclear capacity as a renewable source with a target to reach to 7.2 GW in 2035. The Plan foresees the share of coal as 3.6%, natural gas as 11.7</w:t>
      </w:r>
      <w:r>
        <w:t>%</w:t>
      </w:r>
      <w:r w:rsidRPr="006F7652">
        <w:t xml:space="preserve"> and oil as 5.6% in primary energy consumption by 2035.</w:t>
      </w:r>
      <w:r>
        <w:t xml:space="preserve"> The Plan indicates that no carbon capture and storage investment is foreseen until 2035. </w:t>
      </w:r>
    </w:p>
    <w:p w14:paraId="6B9E4859" w14:textId="77777777" w:rsidR="000E19FB" w:rsidRPr="000E19FB" w:rsidRDefault="000E19FB" w:rsidP="000E19FB">
      <w:r w:rsidRPr="000E19FB">
        <w:t>However, energy policy choices so far have been based on traditional energy security considerations (</w:t>
      </w:r>
      <w:proofErr w:type="gramStart"/>
      <w:r w:rsidRPr="000E19FB">
        <w:rPr>
          <w:i/>
          <w:iCs/>
        </w:rPr>
        <w:t>i.e.</w:t>
      </w:r>
      <w:proofErr w:type="gramEnd"/>
      <w:r w:rsidRPr="000E19FB">
        <w:t xml:space="preserve"> coal baseload expansion, nuclear energy and local content requirements), according to the 11</w:t>
      </w:r>
      <w:r w:rsidRPr="000E19FB">
        <w:rPr>
          <w:vertAlign w:val="superscript"/>
        </w:rPr>
        <w:t>th</w:t>
      </w:r>
      <w:r w:rsidRPr="000E19FB">
        <w:t xml:space="preserve"> Development Plan. The Plan also foresees the development of a nuclear industry, with a first active unit in Akkuyu due in 2023. The upcoming years will show the level of engagement of the country to the National Energy Plan’s targets, as well as NDC and net-zero by 2053 targets.</w:t>
      </w:r>
    </w:p>
    <w:p w14:paraId="22AB8802" w14:textId="77777777" w:rsidR="00395A66" w:rsidRPr="00395A66" w:rsidRDefault="00395A66" w:rsidP="00395A66">
      <w:r w:rsidRPr="00395A66">
        <w:t xml:space="preserve">Despite the decarbonization targets, Turkey continues to rely on coal power significantly (35% of power production in 2020 according to Climate Transparency), and the government plans to meet increased energy demand by building up to 11 new coal-fired power plants, despite doubts about the efficiency and reliability of such plants considering the intensifying water stress in the region. Although no new coal plant licenses have been issued since 2019, this is likely more due to the overabundance of already-issued licenses resulting from the decelerated economic growth than to climate concerns. </w:t>
      </w:r>
    </w:p>
    <w:p w14:paraId="19D4C805" w14:textId="77777777" w:rsidR="005B6604" w:rsidRPr="005B6604" w:rsidRDefault="005B6604" w:rsidP="005B6604">
      <w:r w:rsidRPr="005B6604">
        <w:t xml:space="preserve">Some coal plants were also suspended in 2020 due to air pollution limit violations. While Turkey had stated that three plants will come into operation between 2023 and 2030, the precise consequences of both China’s announcement of the end of new coal-fired power projects abroad and the Long-term Climate Change Strategy that will target net-zero emissions by 2053 are yet to be determined. </w:t>
      </w:r>
    </w:p>
    <w:p w14:paraId="798F41E8" w14:textId="74549C5E" w:rsidR="00DA21A6" w:rsidRPr="00DA21A6" w:rsidRDefault="00DA21A6" w:rsidP="00DA21A6">
      <w:pPr>
        <w:rPr>
          <w:rFonts w:cs="Arial"/>
          <w:b/>
          <w:bCs/>
        </w:rPr>
      </w:pPr>
      <w:r w:rsidRPr="00DA21A6">
        <w:rPr>
          <w:rFonts w:cs="Arial"/>
          <w:b/>
          <w:bCs/>
        </w:rPr>
        <w:t>Climate Impacts</w:t>
      </w:r>
    </w:p>
    <w:p w14:paraId="345DBD1D" w14:textId="77777777" w:rsidR="000A3EEC" w:rsidRPr="000A3EEC" w:rsidRDefault="000A3EEC" w:rsidP="000A3EEC">
      <w:pPr>
        <w:rPr>
          <w:rFonts w:cs="Arial"/>
        </w:rPr>
      </w:pPr>
      <w:r w:rsidRPr="000A3EEC">
        <w:rPr>
          <w:rFonts w:cs="Arial"/>
        </w:rPr>
        <w:t xml:space="preserve">As for recent climate change-induced natural phenomena, Turkey features among the most vulnerable countries of the Mediterranean basin. It suffered during the summer of 2021 from its worst-ever forest fire season (a 5-times bigger area than the 2008-2020 average burnt) in the wake of a record heatwave, which led to the activation by Turkey of the EU Civil Protection Mechanism. The fires triggered large-scale controversies over the country’s lack of preparedness and shed a vivid light on Turkey’s lack of climate change mitigation ambition. </w:t>
      </w:r>
    </w:p>
    <w:p w14:paraId="14FDFC36" w14:textId="77777777" w:rsidR="002650C7" w:rsidRPr="002650C7" w:rsidRDefault="002650C7" w:rsidP="002650C7">
      <w:pPr>
        <w:rPr>
          <w:rFonts w:cs="Arial"/>
        </w:rPr>
      </w:pPr>
      <w:r w:rsidRPr="002650C7">
        <w:rPr>
          <w:rFonts w:cs="Arial"/>
        </w:rPr>
        <w:t xml:space="preserve">In addition, in 2021 a layer of marine mucilage started blanketing the water in the Marmara Sea. This thick, sticky and slime-like organic matter is a very visible manifestation of poor wastewater management and climate change (increase in seawater temperature) and threatens large portions of the biodiversity in the Marmara Sea while also affecting </w:t>
      </w:r>
      <w:r w:rsidRPr="002650C7">
        <w:rPr>
          <w:rFonts w:cs="Arial"/>
        </w:rPr>
        <w:lastRenderedPageBreak/>
        <w:t xml:space="preserve">fisheries and tourism. The mucilage sparked off unusually strong controversies over environmental management in Turkey. Very tangible consequences of climate change have emerged also in the fields of agriculture, water and health. </w:t>
      </w:r>
    </w:p>
    <w:p w14:paraId="13C050B0" w14:textId="77777777" w:rsidR="00D8526F" w:rsidRPr="00D8526F" w:rsidRDefault="00D8526F" w:rsidP="00D8526F">
      <w:r w:rsidRPr="00D8526F">
        <w:t>In 2022 again, Turkey suffered from extreme weather events, droughts and heat waves in a variety of parts of the country. Flash floods following dry seasons caused deaths. Droughts combined with unsustainable water use practices have already caused drops in agricultural yields</w:t>
      </w:r>
      <w:r w:rsidRPr="00D8526F">
        <w:rPr>
          <w:vertAlign w:val="superscript"/>
        </w:rPr>
        <w:footnoteReference w:id="3"/>
      </w:r>
      <w:r w:rsidRPr="00D8526F">
        <w:t xml:space="preserve"> in several parts of the country. Frequency and severity of extreme weather events are expected to increase in upcoming years. </w:t>
      </w:r>
    </w:p>
    <w:p w14:paraId="3EE4DF65" w14:textId="44E4D8E8" w:rsidR="00905DC7" w:rsidRDefault="00905DC7">
      <w:pPr>
        <w:keepNext/>
        <w:spacing w:before="240" w:after="240" w:line="240" w:lineRule="auto"/>
        <w:ind w:left="360" w:hanging="360"/>
        <w:jc w:val="left"/>
        <w:outlineLvl w:val="1"/>
        <w:rPr>
          <w:smallCaps/>
          <w:spacing w:val="5"/>
          <w:sz w:val="28"/>
          <w:szCs w:val="28"/>
        </w:rPr>
      </w:pPr>
      <w:bookmarkStart w:id="4" w:name="_Toc527365599"/>
      <w:bookmarkStart w:id="5" w:name="_Toc138953753"/>
      <w:r w:rsidRPr="00E229AD">
        <w:rPr>
          <w:smallCaps/>
          <w:spacing w:val="5"/>
          <w:sz w:val="28"/>
          <w:szCs w:val="28"/>
        </w:rPr>
        <w:t>2</w:t>
      </w:r>
      <w:r w:rsidRPr="00E229AD">
        <w:rPr>
          <w:smallCaps/>
          <w:spacing w:val="5"/>
          <w:sz w:val="28"/>
          <w:szCs w:val="28"/>
        </w:rPr>
        <w:tab/>
        <w:t>Priorities arising from the bilateral climate policy dialogue</w:t>
      </w:r>
      <w:bookmarkEnd w:id="4"/>
      <w:bookmarkEnd w:id="5"/>
      <w:r w:rsidRPr="00E229AD">
        <w:rPr>
          <w:smallCaps/>
          <w:spacing w:val="5"/>
          <w:sz w:val="28"/>
          <w:szCs w:val="28"/>
        </w:rPr>
        <w:t xml:space="preserve"> </w:t>
      </w:r>
    </w:p>
    <w:p w14:paraId="434A2082" w14:textId="77777777" w:rsidR="00F25A60" w:rsidRPr="00F25A60" w:rsidRDefault="00F25A60" w:rsidP="00F25A60">
      <w:pPr>
        <w:rPr>
          <w:rFonts w:ascii="Calibri" w:eastAsia="Calibri" w:hAnsi="Calibri" w:cs="Calibri"/>
        </w:rPr>
      </w:pPr>
      <w:r w:rsidRPr="00F25A60">
        <w:rPr>
          <w:rFonts w:ascii="Calibri" w:eastAsia="Calibri" w:hAnsi="Calibri" w:cs="Calibri"/>
        </w:rPr>
        <w:t>Turkey has been an EU candidate country since 1999 and accession negotiations were opened in 2005, with 16 chapters opened so far including on environment (out of 35, only one chapter closed; chapter 27 relates to environment and climate, among others). According to the latest, 2022, Country Report on chapter 27, Turkey has some level of preparation</w:t>
      </w:r>
      <w:r w:rsidRPr="00F25A60">
        <w:rPr>
          <w:rFonts w:ascii="Calibri" w:eastAsia="Calibri" w:hAnsi="Calibri" w:cs="Calibri"/>
          <w:b/>
          <w:bCs/>
        </w:rPr>
        <w:t xml:space="preserve"> </w:t>
      </w:r>
      <w:r w:rsidRPr="00F25A60">
        <w:rPr>
          <w:rFonts w:ascii="Calibri" w:eastAsia="Calibri" w:hAnsi="Calibri" w:cs="Calibri"/>
        </w:rPr>
        <w:t xml:space="preserve">in this area, and faces critical environmental and climate challenges, both as regards mitigation and adaptation. Turkey made no progress on climate change in 2022, contrary to expectations following the ratification of the Paris Agreement in October 2021 and the announcement that the country would aim at reaching net-zero emissions by 2053. A climate law and the Emissions Trading System legislation are yet to be adopted, and an enhanced nationally determined contribution submitted before COP27. Mainstreaming of climate action into other sector policies remained limited. Regarding its other commitments under the UN Framework Convention on Climate Change, Turkey submitted the latest national inventory on greenhouse gasses in April 2021. Turkey legislation is currently not aligned with the Emission Trading Directive and with the EU4s economy-wide greenhouse gas monitoring mechanism. Turkey sill does not fully implement the Fuel Quality Directive. It also does not align with emissions standards for new cars. An alignment plan for the Carbon Capture and Storage Directive needs to be established.  </w:t>
      </w:r>
    </w:p>
    <w:p w14:paraId="1FDDB72E" w14:textId="77777777" w:rsidR="00C40261" w:rsidRPr="00C40261" w:rsidRDefault="00C40261" w:rsidP="00C40261">
      <w:pPr>
        <w:rPr>
          <w:rFonts w:ascii="Calibri" w:eastAsia="Calibri" w:hAnsi="Calibri" w:cs="Calibri"/>
        </w:rPr>
      </w:pPr>
      <w:proofErr w:type="gramStart"/>
      <w:r w:rsidRPr="00C40261">
        <w:rPr>
          <w:rFonts w:ascii="Calibri" w:eastAsia="Calibri" w:hAnsi="Calibri" w:cs="Calibri"/>
        </w:rPr>
        <w:t>In light of</w:t>
      </w:r>
      <w:proofErr w:type="gramEnd"/>
      <w:r w:rsidRPr="00C40261">
        <w:rPr>
          <w:rFonts w:ascii="Calibri" w:eastAsia="Calibri" w:hAnsi="Calibri" w:cs="Calibri"/>
        </w:rPr>
        <w:t xml:space="preserve"> the continued backsliding on core EU principles and values, the Council noted in June 2018 that Turkey's accession negotiations had </w:t>
      </w:r>
      <w:r w:rsidRPr="00C40261">
        <w:rPr>
          <w:rFonts w:ascii="Calibri" w:eastAsia="Calibri" w:hAnsi="Calibri" w:cs="Calibri"/>
          <w:i/>
          <w:iCs/>
        </w:rPr>
        <w:t>“effectively come to a standstill and no further chapters can be considered for opening or closing”</w:t>
      </w:r>
      <w:r w:rsidRPr="00C40261">
        <w:rPr>
          <w:rFonts w:ascii="Calibri" w:eastAsia="Calibri" w:hAnsi="Calibri" w:cs="Calibri"/>
        </w:rPr>
        <w:t xml:space="preserve">. Turkey has been in a Customs Union with the EU since 1995. It covers all industrial </w:t>
      </w:r>
      <w:proofErr w:type="gramStart"/>
      <w:r w:rsidRPr="00C40261">
        <w:rPr>
          <w:rFonts w:ascii="Calibri" w:eastAsia="Calibri" w:hAnsi="Calibri" w:cs="Calibri"/>
        </w:rPr>
        <w:t>goods, but</w:t>
      </w:r>
      <w:proofErr w:type="gramEnd"/>
      <w:r w:rsidRPr="00C40261">
        <w:rPr>
          <w:rFonts w:ascii="Calibri" w:eastAsia="Calibri" w:hAnsi="Calibri" w:cs="Calibri"/>
        </w:rPr>
        <w:t xml:space="preserve"> does not address agriculture (except for processed agricultural products), services or public procurement. The Customs Union provides for a common external tariff for the products covered. It also foresees that Turkey aligns to EU law in areas related to the Customs Union, such as customs legislation, the removal of technical barriers to trade, and the approximation of laws on protecting intellectual, industrial and commercial property and competition rules. The Customs Union’s modernisation is a long-standing key request from Turkey, </w:t>
      </w:r>
      <w:proofErr w:type="gramStart"/>
      <w:r w:rsidRPr="00C40261">
        <w:rPr>
          <w:rFonts w:ascii="Calibri" w:eastAsia="Calibri" w:hAnsi="Calibri" w:cs="Calibri"/>
        </w:rPr>
        <w:t>in particular to</w:t>
      </w:r>
      <w:proofErr w:type="gramEnd"/>
      <w:r w:rsidRPr="00C40261">
        <w:rPr>
          <w:rFonts w:ascii="Calibri" w:eastAsia="Calibri" w:hAnsi="Calibri" w:cs="Calibri"/>
        </w:rPr>
        <w:t xml:space="preserve"> make it more fit for purpose in the current global trade context.</w:t>
      </w:r>
    </w:p>
    <w:p w14:paraId="537215B0" w14:textId="77777777" w:rsidR="00794E76" w:rsidRPr="00794E76" w:rsidRDefault="00794E76" w:rsidP="00794E76">
      <w:pPr>
        <w:rPr>
          <w:rFonts w:ascii="Calibri" w:eastAsia="Calibri" w:hAnsi="Calibri" w:cs="Calibri"/>
        </w:rPr>
      </w:pPr>
      <w:r w:rsidRPr="00794E76">
        <w:rPr>
          <w:rFonts w:ascii="Calibri" w:eastAsia="Calibri" w:hAnsi="Calibri" w:cs="Calibri"/>
        </w:rPr>
        <w:t xml:space="preserve">After reaching a low point in 2020, EU-Turkey bilateral relations improved early 2021. In March, a European Council statement expressed the EU’s readiness to engage with Turkey in phased, proportionate and reversible manner to enhance cooperation in </w:t>
      </w:r>
      <w:proofErr w:type="gramStart"/>
      <w:r w:rsidRPr="00794E76">
        <w:rPr>
          <w:rFonts w:ascii="Calibri" w:eastAsia="Calibri" w:hAnsi="Calibri" w:cs="Calibri"/>
        </w:rPr>
        <w:t>a number of</w:t>
      </w:r>
      <w:proofErr w:type="gramEnd"/>
      <w:r w:rsidRPr="00794E76">
        <w:rPr>
          <w:rFonts w:ascii="Calibri" w:eastAsia="Calibri" w:hAnsi="Calibri" w:cs="Calibri"/>
        </w:rPr>
        <w:t xml:space="preserve"> areas of common interest, subject to the established conditionalities set out in previous Council conclusions. More intense diplomatic contacts resumed, including at high level. This EU position was reiterated in the Council conclusions of June 2021. Thereafter, the hardened position of Turkey on Cyprus (violation of UNSC resolutions on </w:t>
      </w:r>
      <w:proofErr w:type="spellStart"/>
      <w:r w:rsidRPr="00794E76">
        <w:rPr>
          <w:rFonts w:ascii="Calibri" w:eastAsia="Calibri" w:hAnsi="Calibri" w:cs="Calibri"/>
        </w:rPr>
        <w:t>Varosha</w:t>
      </w:r>
      <w:proofErr w:type="spellEnd"/>
      <w:r w:rsidRPr="00794E76">
        <w:rPr>
          <w:rFonts w:ascii="Calibri" w:eastAsia="Calibri" w:hAnsi="Calibri" w:cs="Calibri"/>
        </w:rPr>
        <w:t>), the EU new measures on steel and Turkey’s refusal to tackle existing trade irritants effectively led to a pause in the improvement of bilateral relations, aggravated by continuous divergences on foreign policy as well as backsliding in the rule of law and fundamental rights in Turkey.</w:t>
      </w:r>
    </w:p>
    <w:p w14:paraId="52858597" w14:textId="77777777" w:rsidR="005B536A" w:rsidRPr="005B536A" w:rsidRDefault="005B536A" w:rsidP="005B536A">
      <w:pPr>
        <w:rPr>
          <w:rFonts w:ascii="Calibri" w:eastAsia="Calibri" w:hAnsi="Calibri" w:cs="Calibri"/>
        </w:rPr>
      </w:pPr>
      <w:bookmarkStart w:id="6" w:name="_Hlk125992339"/>
      <w:r w:rsidRPr="005B536A">
        <w:rPr>
          <w:rFonts w:ascii="Calibri" w:eastAsia="Calibri" w:hAnsi="Calibri" w:cs="Calibri"/>
        </w:rPr>
        <w:t>Nonetheless, the Commission has been continuing its engagement on key “issues of mutual concern” of the positive agenda (which explicitly included climate in the March 2021 Statement) through High-Level Dialogues, and one was kick-started on</w:t>
      </w:r>
      <w:r w:rsidRPr="005B536A">
        <w:rPr>
          <w:rFonts w:ascii="Calibri" w:eastAsia="Calibri" w:hAnsi="Calibri" w:cs="Calibri"/>
          <w:b/>
          <w:bCs/>
        </w:rPr>
        <w:t xml:space="preserve"> </w:t>
      </w:r>
      <w:r w:rsidRPr="005B536A">
        <w:rPr>
          <w:rFonts w:ascii="Calibri" w:eastAsia="Calibri" w:hAnsi="Calibri" w:cs="Calibri"/>
        </w:rPr>
        <w:t xml:space="preserve">climate in September 2021 with EVP Timmermans and Minister Murat </w:t>
      </w:r>
      <w:proofErr w:type="spellStart"/>
      <w:r w:rsidRPr="005B536A">
        <w:rPr>
          <w:rFonts w:ascii="Calibri" w:eastAsia="Calibri" w:hAnsi="Calibri" w:cs="Calibri"/>
        </w:rPr>
        <w:t>Kurum</w:t>
      </w:r>
      <w:proofErr w:type="spellEnd"/>
      <w:r w:rsidRPr="005B536A">
        <w:rPr>
          <w:rFonts w:ascii="Calibri" w:eastAsia="Calibri" w:hAnsi="Calibri" w:cs="Calibri"/>
        </w:rPr>
        <w:t xml:space="preserve"> during an in-person meeting in Brussels, followed by a second ministerial meeting in Ankara in April 2022. Two topics were identified for technical work </w:t>
      </w:r>
      <w:r w:rsidRPr="005B536A">
        <w:rPr>
          <w:rFonts w:ascii="Calibri" w:eastAsia="Calibri" w:hAnsi="Calibri" w:cs="Calibri"/>
        </w:rPr>
        <w:lastRenderedPageBreak/>
        <w:t xml:space="preserve">under the dialogue: carbon pricing and climate change adaptation, with a bilateral working group established for both topics. </w:t>
      </w:r>
    </w:p>
    <w:p w14:paraId="35BD2172" w14:textId="77777777" w:rsidR="00DC76D6" w:rsidRPr="00DC76D6" w:rsidRDefault="00DC76D6" w:rsidP="00DC76D6">
      <w:pPr>
        <w:rPr>
          <w:rFonts w:ascii="Calibri" w:eastAsia="Calibri" w:hAnsi="Calibri" w:cs="Calibri"/>
        </w:rPr>
      </w:pPr>
      <w:r w:rsidRPr="00DC76D6">
        <w:rPr>
          <w:rFonts w:ascii="Calibri" w:eastAsia="Calibri" w:hAnsi="Calibri" w:cs="Calibri"/>
        </w:rPr>
        <w:t xml:space="preserve">As a result, we should in Turkey consider activities </w:t>
      </w:r>
      <w:proofErr w:type="gramStart"/>
      <w:r w:rsidRPr="00DC76D6">
        <w:rPr>
          <w:rFonts w:ascii="Calibri" w:eastAsia="Calibri" w:hAnsi="Calibri" w:cs="Calibri"/>
        </w:rPr>
        <w:t>supporting directly</w:t>
      </w:r>
      <w:proofErr w:type="gramEnd"/>
      <w:r w:rsidRPr="00DC76D6">
        <w:rPr>
          <w:rFonts w:ascii="Calibri" w:eastAsia="Calibri" w:hAnsi="Calibri" w:cs="Calibri"/>
        </w:rPr>
        <w:t xml:space="preserve"> this process and focusing on carbon pricing and adaptation.</w:t>
      </w:r>
    </w:p>
    <w:p w14:paraId="20AFC9C6" w14:textId="77777777" w:rsidR="002F0ACE" w:rsidRPr="00E229AD" w:rsidRDefault="002F0ACE">
      <w:pPr>
        <w:keepNext/>
        <w:spacing w:before="240" w:after="240" w:line="240" w:lineRule="auto"/>
        <w:ind w:left="360" w:hanging="360"/>
        <w:jc w:val="left"/>
        <w:outlineLvl w:val="1"/>
        <w:rPr>
          <w:smallCaps/>
          <w:spacing w:val="5"/>
          <w:sz w:val="28"/>
          <w:szCs w:val="28"/>
        </w:rPr>
      </w:pPr>
      <w:bookmarkStart w:id="7" w:name="_Toc527365600"/>
      <w:bookmarkStart w:id="8" w:name="_Toc138953754"/>
      <w:bookmarkEnd w:id="6"/>
      <w:r w:rsidRPr="00E229AD">
        <w:rPr>
          <w:smallCaps/>
          <w:spacing w:val="5"/>
          <w:sz w:val="28"/>
          <w:szCs w:val="28"/>
        </w:rPr>
        <w:t>3</w:t>
      </w:r>
      <w:r w:rsidRPr="00E229AD">
        <w:rPr>
          <w:smallCaps/>
          <w:spacing w:val="5"/>
          <w:sz w:val="28"/>
          <w:szCs w:val="28"/>
        </w:rPr>
        <w:tab/>
        <w:t>Relevant cooperation activities through other European projects</w:t>
      </w:r>
      <w:bookmarkEnd w:id="7"/>
      <w:bookmarkEnd w:id="8"/>
    </w:p>
    <w:p w14:paraId="0D5BF58B" w14:textId="77777777" w:rsidR="00DA21A6" w:rsidRPr="00DA21A6" w:rsidRDefault="00DA21A6" w:rsidP="00DA21A6">
      <w:pPr>
        <w:rPr>
          <w:rFonts w:eastAsia="Calibri" w:cstheme="minorHAnsi"/>
          <w:b/>
          <w:bCs/>
        </w:rPr>
      </w:pPr>
      <w:bookmarkStart w:id="9" w:name="_Hlk125992637"/>
      <w:r w:rsidRPr="00DA21A6">
        <w:rPr>
          <w:rFonts w:eastAsia="Calibri" w:cstheme="minorHAnsi"/>
          <w:b/>
          <w:bCs/>
        </w:rPr>
        <w:t xml:space="preserve">EU financing of climate actions in Turkey </w:t>
      </w:r>
    </w:p>
    <w:bookmarkEnd w:id="9"/>
    <w:p w14:paraId="7DD8A55F" w14:textId="77777777" w:rsidR="00B2553D" w:rsidRPr="00B2553D" w:rsidRDefault="00B2553D" w:rsidP="00140D1B">
      <w:pPr>
        <w:rPr>
          <w:rFonts w:eastAsia="Calibri" w:cstheme="minorHAnsi"/>
        </w:rPr>
      </w:pPr>
      <w:r w:rsidRPr="00B2553D">
        <w:rPr>
          <w:rFonts w:eastAsia="Calibri" w:cstheme="minorHAnsi"/>
        </w:rPr>
        <w:t xml:space="preserve">The Commission is working on adopting the first bilateral programme under the new IPA III. The Commission proposal for Turkey for 2021 amounts to a total of 235 million. The 2021 programme will be focusing on the reuse of wastewater and the promotion of local climate change mitigation and adaptation (20 million) while improving the local capacity for disaster management (4 million).  IPA III support will attract private sector participation in the creation of a resource-efficient, digitalised, smart, safe and sustainable low-carbon economy by creating the appropriate legislative frameworks in line with the EU </w:t>
      </w:r>
      <w:proofErr w:type="gramStart"/>
      <w:r w:rsidRPr="00B2553D">
        <w:rPr>
          <w:rFonts w:eastAsia="Calibri" w:cstheme="minorHAnsi"/>
          <w:i/>
        </w:rPr>
        <w:t>acquis</w:t>
      </w:r>
      <w:r w:rsidRPr="00B2553D">
        <w:rPr>
          <w:rFonts w:eastAsia="Calibri" w:cstheme="minorHAnsi"/>
        </w:rPr>
        <w:t>, and</w:t>
      </w:r>
      <w:proofErr w:type="gramEnd"/>
      <w:r w:rsidRPr="00B2553D">
        <w:rPr>
          <w:rFonts w:eastAsia="Calibri" w:cstheme="minorHAnsi"/>
        </w:rPr>
        <w:t xml:space="preserve"> improving the monitoring and measurement for efficient heating and cooling systems in place. This will lead to improving the energy performance of buildings while decreasing the public expenditure on energy consumption. It will also facilitate the development of sustainable pilot projects involving ports, vessels and the usage of alternative fuel in the Turkish maritime sector.</w:t>
      </w:r>
    </w:p>
    <w:p w14:paraId="7505E56C" w14:textId="77777777" w:rsidR="006A3A32" w:rsidRPr="006A3A32" w:rsidRDefault="006A3A32" w:rsidP="00140D1B">
      <w:pPr>
        <w:rPr>
          <w:rFonts w:eastAsia="Calibri" w:cstheme="minorHAnsi"/>
        </w:rPr>
      </w:pPr>
      <w:r w:rsidRPr="006A3A32">
        <w:rPr>
          <w:rFonts w:eastAsia="Calibri" w:cstheme="minorHAnsi"/>
        </w:rPr>
        <w:t>Within the total budget for 20221, there will also be substantial EU funding to co-finance TR participation in EU programmes (EUR 134.5 million) to boost people-to-people contacts in line with the positive agenda. This includes programmes such as Civil Protection Mechanism-</w:t>
      </w:r>
      <w:proofErr w:type="spellStart"/>
      <w:r w:rsidRPr="006A3A32">
        <w:rPr>
          <w:rFonts w:eastAsia="Calibri" w:cstheme="minorHAnsi"/>
        </w:rPr>
        <w:t>RescEU</w:t>
      </w:r>
      <w:proofErr w:type="spellEnd"/>
      <w:r w:rsidRPr="006A3A32">
        <w:rPr>
          <w:rFonts w:eastAsia="Calibri" w:cstheme="minorHAnsi"/>
        </w:rPr>
        <w:t xml:space="preserve"> and EU4Health but also co-financing for further participation in the European Environment Agency. In 2021, following a formal request, Turkey was granted access to Horizon Europe; similar negotiations are ongoing regarding Turkey’s participation in the LIFE programme.</w:t>
      </w:r>
    </w:p>
    <w:p w14:paraId="54F3E581" w14:textId="77777777" w:rsidR="003D22C4" w:rsidRPr="003D22C4" w:rsidRDefault="003D22C4" w:rsidP="00140D1B">
      <w:pPr>
        <w:rPr>
          <w:rFonts w:eastAsia="Calibri" w:cstheme="minorHAnsi"/>
        </w:rPr>
      </w:pPr>
      <w:r w:rsidRPr="003D22C4">
        <w:rPr>
          <w:rFonts w:eastAsia="Calibri" w:cstheme="minorHAnsi"/>
        </w:rPr>
        <w:t xml:space="preserve">In addition to the grant resources from IPA III, Turkey is fully eligible to benefit from the European Fund for Sustainable Development Plus (EFSD+). The Commission established the </w:t>
      </w:r>
      <w:proofErr w:type="spellStart"/>
      <w:r w:rsidRPr="003D22C4">
        <w:rPr>
          <w:rFonts w:eastAsia="Calibri" w:cstheme="minorHAnsi"/>
        </w:rPr>
        <w:t>Türkiye</w:t>
      </w:r>
      <w:proofErr w:type="spellEnd"/>
      <w:r w:rsidRPr="003D22C4">
        <w:rPr>
          <w:rFonts w:eastAsia="Calibri" w:cstheme="minorHAnsi"/>
        </w:rPr>
        <w:t xml:space="preserve"> Investment Platform (TIP) to enable stronger EU support to investments in the three overarching policy priorities of the European Fund for Sustainable Development + (EFSD+), namely the Green Deal, global gateways as well as jobs and growth. This should facilitate the identification and selection of viable investment opportunities, including on climate action areas, to be financed via EU guarantees and/or blending interventions to International Financial Institutions for their operations in Turkey. </w:t>
      </w:r>
    </w:p>
    <w:p w14:paraId="2F1ACE5F" w14:textId="77777777" w:rsidR="00DA21A6" w:rsidRPr="00DA21A6" w:rsidRDefault="00DA21A6" w:rsidP="00140D1B">
      <w:pPr>
        <w:rPr>
          <w:rFonts w:eastAsia="Calibri" w:cstheme="minorHAnsi"/>
        </w:rPr>
      </w:pPr>
      <w:r w:rsidRPr="00DA21A6">
        <w:rPr>
          <w:rFonts w:eastAsia="Calibri" w:cstheme="minorHAnsi"/>
        </w:rPr>
        <w:t>List of IPA II projects funded in period 2014-2020:</w:t>
      </w:r>
    </w:p>
    <w:tbl>
      <w:tblPr>
        <w:tblStyle w:val="TableGrid"/>
        <w:tblW w:w="0" w:type="auto"/>
        <w:tblLayout w:type="fixed"/>
        <w:tblLook w:val="04A0" w:firstRow="1" w:lastRow="0" w:firstColumn="1" w:lastColumn="0" w:noHBand="0" w:noVBand="1"/>
      </w:tblPr>
      <w:tblGrid>
        <w:gridCol w:w="7820"/>
        <w:gridCol w:w="1890"/>
      </w:tblGrid>
      <w:tr w:rsidR="007529F6" w14:paraId="10B7B3F5" w14:textId="77777777" w:rsidTr="007529F6">
        <w:trPr>
          <w:trHeight w:val="525"/>
        </w:trPr>
        <w:tc>
          <w:tcPr>
            <w:tcW w:w="78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179D307" w14:textId="77777777" w:rsidR="007529F6" w:rsidRDefault="007529F6" w:rsidP="00B233F7">
            <w:pPr>
              <w:spacing w:line="276" w:lineRule="auto"/>
            </w:pPr>
            <w:r w:rsidRPr="1677960A">
              <w:rPr>
                <w:rFonts w:ascii="Calibri" w:eastAsia="Calibri" w:hAnsi="Calibri" w:cs="Calibri"/>
                <w:b/>
                <w:bCs/>
              </w:rPr>
              <w:t>Title</w:t>
            </w:r>
          </w:p>
        </w:tc>
        <w:tc>
          <w:tcPr>
            <w:tcW w:w="18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9A16BF8" w14:textId="77777777" w:rsidR="007529F6" w:rsidRDefault="007529F6" w:rsidP="00B233F7">
            <w:pPr>
              <w:spacing w:line="276" w:lineRule="auto"/>
            </w:pPr>
            <w:r w:rsidRPr="1677960A">
              <w:rPr>
                <w:rFonts w:ascii="Calibri" w:eastAsia="Calibri" w:hAnsi="Calibri" w:cs="Calibri"/>
                <w:b/>
                <w:bCs/>
              </w:rPr>
              <w:t>Total Budget</w:t>
            </w:r>
          </w:p>
        </w:tc>
      </w:tr>
      <w:tr w:rsidR="007529F6" w14:paraId="7E23F348" w14:textId="77777777" w:rsidTr="007529F6">
        <w:trPr>
          <w:trHeight w:val="330"/>
        </w:trPr>
        <w:tc>
          <w:tcPr>
            <w:tcW w:w="7820" w:type="dxa"/>
            <w:tcBorders>
              <w:top w:val="single" w:sz="8" w:space="0" w:color="auto"/>
              <w:left w:val="single" w:sz="8" w:space="0" w:color="auto"/>
              <w:bottom w:val="single" w:sz="8" w:space="0" w:color="auto"/>
              <w:right w:val="single" w:sz="8" w:space="0" w:color="auto"/>
            </w:tcBorders>
          </w:tcPr>
          <w:p w14:paraId="727F6D95" w14:textId="77777777" w:rsidR="007529F6" w:rsidRDefault="007529F6" w:rsidP="00B233F7">
            <w:pPr>
              <w:spacing w:line="276" w:lineRule="auto"/>
            </w:pPr>
            <w:r w:rsidRPr="1677960A">
              <w:rPr>
                <w:rFonts w:ascii="Calibri" w:eastAsia="Calibri" w:hAnsi="Calibri" w:cs="Calibri"/>
              </w:rPr>
              <w:t>Improving Air Quality and Raising Public Awareness in Cities in Turkey (CITYAIR)</w:t>
            </w:r>
          </w:p>
        </w:tc>
        <w:tc>
          <w:tcPr>
            <w:tcW w:w="1890" w:type="dxa"/>
            <w:tcBorders>
              <w:top w:val="single" w:sz="8" w:space="0" w:color="auto"/>
              <w:left w:val="single" w:sz="8" w:space="0" w:color="auto"/>
              <w:bottom w:val="single" w:sz="8" w:space="0" w:color="auto"/>
              <w:right w:val="single" w:sz="8" w:space="0" w:color="auto"/>
            </w:tcBorders>
          </w:tcPr>
          <w:p w14:paraId="1D9BD415" w14:textId="77777777" w:rsidR="007529F6" w:rsidRDefault="007529F6" w:rsidP="00B233F7">
            <w:pPr>
              <w:spacing w:line="276" w:lineRule="auto"/>
            </w:pPr>
            <w:r w:rsidRPr="1677960A">
              <w:rPr>
                <w:rFonts w:ascii="Calibri" w:eastAsia="Calibri" w:hAnsi="Calibri" w:cs="Calibri"/>
              </w:rPr>
              <w:t xml:space="preserve">€3.500.000,00 </w:t>
            </w:r>
          </w:p>
        </w:tc>
      </w:tr>
      <w:tr w:rsidR="007529F6" w14:paraId="232120E4" w14:textId="77777777" w:rsidTr="007529F6">
        <w:trPr>
          <w:trHeight w:val="330"/>
        </w:trPr>
        <w:tc>
          <w:tcPr>
            <w:tcW w:w="7820" w:type="dxa"/>
            <w:tcBorders>
              <w:top w:val="single" w:sz="8" w:space="0" w:color="auto"/>
              <w:left w:val="single" w:sz="8" w:space="0" w:color="auto"/>
              <w:bottom w:val="single" w:sz="8" w:space="0" w:color="auto"/>
              <w:right w:val="single" w:sz="8" w:space="0" w:color="auto"/>
            </w:tcBorders>
          </w:tcPr>
          <w:p w14:paraId="44390033" w14:textId="77777777" w:rsidR="007529F6" w:rsidRDefault="007529F6" w:rsidP="00B233F7">
            <w:pPr>
              <w:spacing w:line="276" w:lineRule="auto"/>
            </w:pPr>
            <w:r w:rsidRPr="1677960A">
              <w:rPr>
                <w:rFonts w:ascii="Calibri" w:eastAsia="Calibri" w:hAnsi="Calibri" w:cs="Calibri"/>
              </w:rPr>
              <w:t>Technical Assistance for Supporting the Management and Implementation of ESOP</w:t>
            </w:r>
          </w:p>
        </w:tc>
        <w:tc>
          <w:tcPr>
            <w:tcW w:w="1890" w:type="dxa"/>
            <w:tcBorders>
              <w:top w:val="single" w:sz="8" w:space="0" w:color="auto"/>
              <w:left w:val="single" w:sz="8" w:space="0" w:color="auto"/>
              <w:bottom w:val="single" w:sz="8" w:space="0" w:color="auto"/>
              <w:right w:val="single" w:sz="8" w:space="0" w:color="auto"/>
            </w:tcBorders>
          </w:tcPr>
          <w:p w14:paraId="59C985DC" w14:textId="77777777" w:rsidR="007529F6" w:rsidRDefault="007529F6" w:rsidP="00B233F7">
            <w:pPr>
              <w:spacing w:line="276" w:lineRule="auto"/>
            </w:pPr>
            <w:r w:rsidRPr="1677960A">
              <w:rPr>
                <w:rFonts w:ascii="Calibri" w:eastAsia="Calibri" w:hAnsi="Calibri" w:cs="Calibri"/>
              </w:rPr>
              <w:t xml:space="preserve">€21,000,000.00 </w:t>
            </w:r>
          </w:p>
        </w:tc>
      </w:tr>
      <w:tr w:rsidR="007529F6" w14:paraId="61406C56" w14:textId="77777777" w:rsidTr="007529F6">
        <w:trPr>
          <w:trHeight w:val="330"/>
        </w:trPr>
        <w:tc>
          <w:tcPr>
            <w:tcW w:w="7820" w:type="dxa"/>
            <w:tcBorders>
              <w:top w:val="single" w:sz="8" w:space="0" w:color="auto"/>
              <w:left w:val="single" w:sz="8" w:space="0" w:color="auto"/>
              <w:bottom w:val="single" w:sz="8" w:space="0" w:color="auto"/>
              <w:right w:val="single" w:sz="8" w:space="0" w:color="auto"/>
            </w:tcBorders>
          </w:tcPr>
          <w:p w14:paraId="48F787BF" w14:textId="77777777" w:rsidR="007529F6" w:rsidRPr="00DC7BDC" w:rsidRDefault="007529F6" w:rsidP="00B233F7">
            <w:pPr>
              <w:spacing w:line="276" w:lineRule="auto"/>
              <w:rPr>
                <w:rFonts w:ascii="Calibri" w:eastAsia="Calibri" w:hAnsi="Calibri" w:cs="Calibri"/>
              </w:rPr>
            </w:pPr>
            <w:r w:rsidRPr="00DC7BDC">
              <w:rPr>
                <w:rFonts w:ascii="Calibri" w:eastAsia="Calibri" w:hAnsi="Calibri" w:cs="Calibri"/>
              </w:rPr>
              <w:t>Technical Assistance for Developed Analytical Basis for Formulating Strategies and Actions Towards Low Carbon Development</w:t>
            </w:r>
          </w:p>
        </w:tc>
        <w:tc>
          <w:tcPr>
            <w:tcW w:w="1890" w:type="dxa"/>
            <w:tcBorders>
              <w:top w:val="single" w:sz="8" w:space="0" w:color="auto"/>
              <w:left w:val="single" w:sz="8" w:space="0" w:color="auto"/>
              <w:bottom w:val="single" w:sz="8" w:space="0" w:color="auto"/>
              <w:right w:val="single" w:sz="8" w:space="0" w:color="auto"/>
            </w:tcBorders>
          </w:tcPr>
          <w:p w14:paraId="5B1F77B6" w14:textId="77777777" w:rsidR="007529F6" w:rsidRPr="1677960A" w:rsidRDefault="007529F6" w:rsidP="00B233F7">
            <w:pPr>
              <w:spacing w:line="276" w:lineRule="auto"/>
              <w:rPr>
                <w:rFonts w:ascii="Calibri" w:eastAsia="Calibri" w:hAnsi="Calibri" w:cs="Calibri"/>
              </w:rPr>
            </w:pPr>
            <w:r w:rsidRPr="1677960A">
              <w:rPr>
                <w:rFonts w:ascii="Calibri" w:eastAsia="Calibri" w:hAnsi="Calibri" w:cs="Calibri"/>
              </w:rPr>
              <w:t>€</w:t>
            </w:r>
            <w:r>
              <w:rPr>
                <w:rFonts w:ascii="Calibri" w:eastAsia="Calibri" w:hAnsi="Calibri" w:cs="Calibri"/>
              </w:rPr>
              <w:t>3,900,000.00</w:t>
            </w:r>
          </w:p>
        </w:tc>
      </w:tr>
      <w:tr w:rsidR="007529F6" w14:paraId="74961980" w14:textId="77777777" w:rsidTr="007529F6">
        <w:trPr>
          <w:trHeight w:val="330"/>
        </w:trPr>
        <w:tc>
          <w:tcPr>
            <w:tcW w:w="7820" w:type="dxa"/>
            <w:tcBorders>
              <w:top w:val="single" w:sz="8" w:space="0" w:color="auto"/>
              <w:left w:val="single" w:sz="8" w:space="0" w:color="auto"/>
              <w:bottom w:val="single" w:sz="8" w:space="0" w:color="auto"/>
              <w:right w:val="single" w:sz="8" w:space="0" w:color="auto"/>
            </w:tcBorders>
          </w:tcPr>
          <w:p w14:paraId="7F891CAB" w14:textId="77777777" w:rsidR="007529F6" w:rsidRPr="00DC7BDC" w:rsidRDefault="007529F6" w:rsidP="00B233F7">
            <w:pPr>
              <w:spacing w:line="276" w:lineRule="auto"/>
              <w:rPr>
                <w:rFonts w:ascii="Calibri" w:eastAsia="Calibri" w:hAnsi="Calibri" w:cs="Calibri"/>
              </w:rPr>
            </w:pPr>
            <w:r w:rsidRPr="00DC7BDC">
              <w:rPr>
                <w:rFonts w:ascii="Calibri" w:eastAsia="Calibri" w:hAnsi="Calibri" w:cs="Calibri"/>
              </w:rPr>
              <w:t>Technical Assistance for Support to Mechanism for Monitoring Turkey’s GHG Emissions Project</w:t>
            </w:r>
          </w:p>
        </w:tc>
        <w:tc>
          <w:tcPr>
            <w:tcW w:w="1890" w:type="dxa"/>
            <w:tcBorders>
              <w:top w:val="single" w:sz="8" w:space="0" w:color="auto"/>
              <w:left w:val="single" w:sz="8" w:space="0" w:color="auto"/>
              <w:bottom w:val="single" w:sz="8" w:space="0" w:color="auto"/>
              <w:right w:val="single" w:sz="8" w:space="0" w:color="auto"/>
            </w:tcBorders>
          </w:tcPr>
          <w:p w14:paraId="4A1DCEDF" w14:textId="77777777" w:rsidR="007529F6" w:rsidRPr="1677960A" w:rsidRDefault="007529F6" w:rsidP="00B233F7">
            <w:pPr>
              <w:spacing w:line="276" w:lineRule="auto"/>
              <w:rPr>
                <w:rFonts w:ascii="Calibri" w:eastAsia="Calibri" w:hAnsi="Calibri" w:cs="Calibri"/>
              </w:rPr>
            </w:pPr>
            <w:r w:rsidRPr="1677960A">
              <w:rPr>
                <w:rFonts w:ascii="Calibri" w:eastAsia="Calibri" w:hAnsi="Calibri" w:cs="Calibri"/>
              </w:rPr>
              <w:t>€2</w:t>
            </w:r>
            <w:r>
              <w:rPr>
                <w:rFonts w:ascii="Calibri" w:eastAsia="Calibri" w:hAnsi="Calibri" w:cs="Calibri"/>
              </w:rPr>
              <w:t>,400,000.00</w:t>
            </w:r>
          </w:p>
        </w:tc>
      </w:tr>
      <w:tr w:rsidR="007529F6" w14:paraId="00666E36" w14:textId="77777777" w:rsidTr="007529F6">
        <w:trPr>
          <w:trHeight w:val="420"/>
        </w:trPr>
        <w:tc>
          <w:tcPr>
            <w:tcW w:w="7820" w:type="dxa"/>
            <w:tcBorders>
              <w:top w:val="single" w:sz="8" w:space="0" w:color="auto"/>
              <w:left w:val="single" w:sz="8" w:space="0" w:color="auto"/>
              <w:bottom w:val="single" w:sz="8" w:space="0" w:color="auto"/>
              <w:right w:val="single" w:sz="8" w:space="0" w:color="auto"/>
            </w:tcBorders>
          </w:tcPr>
          <w:p w14:paraId="3D5D3132" w14:textId="77777777" w:rsidR="007529F6" w:rsidRDefault="007529F6" w:rsidP="00B233F7">
            <w:pPr>
              <w:spacing w:line="276" w:lineRule="auto"/>
            </w:pPr>
            <w:r w:rsidRPr="1677960A">
              <w:rPr>
                <w:rFonts w:ascii="Calibri" w:eastAsia="Calibri" w:hAnsi="Calibri" w:cs="Calibri"/>
              </w:rPr>
              <w:t>Identification and Remediation of Contaminated Sites with Persistent Organic Pollutants (POPs)</w:t>
            </w:r>
          </w:p>
        </w:tc>
        <w:tc>
          <w:tcPr>
            <w:tcW w:w="1890" w:type="dxa"/>
            <w:tcBorders>
              <w:top w:val="single" w:sz="8" w:space="0" w:color="auto"/>
              <w:left w:val="single" w:sz="8" w:space="0" w:color="auto"/>
              <w:bottom w:val="single" w:sz="8" w:space="0" w:color="auto"/>
              <w:right w:val="single" w:sz="8" w:space="0" w:color="auto"/>
            </w:tcBorders>
          </w:tcPr>
          <w:p w14:paraId="3B352202" w14:textId="77777777" w:rsidR="007529F6" w:rsidRDefault="007529F6" w:rsidP="00B233F7">
            <w:pPr>
              <w:spacing w:line="276" w:lineRule="auto"/>
            </w:pPr>
            <w:r w:rsidRPr="1677960A">
              <w:rPr>
                <w:rFonts w:ascii="Calibri" w:eastAsia="Calibri" w:hAnsi="Calibri" w:cs="Calibri"/>
              </w:rPr>
              <w:t>€3.030.000,00</w:t>
            </w:r>
          </w:p>
        </w:tc>
      </w:tr>
      <w:tr w:rsidR="007529F6" w14:paraId="08195325" w14:textId="77777777" w:rsidTr="007529F6">
        <w:trPr>
          <w:trHeight w:val="480"/>
        </w:trPr>
        <w:tc>
          <w:tcPr>
            <w:tcW w:w="7820" w:type="dxa"/>
            <w:tcBorders>
              <w:top w:val="single" w:sz="8" w:space="0" w:color="auto"/>
              <w:left w:val="single" w:sz="8" w:space="0" w:color="auto"/>
              <w:bottom w:val="single" w:sz="8" w:space="0" w:color="auto"/>
              <w:right w:val="single" w:sz="8" w:space="0" w:color="auto"/>
            </w:tcBorders>
          </w:tcPr>
          <w:p w14:paraId="749ECC08" w14:textId="77777777" w:rsidR="007529F6" w:rsidRDefault="007529F6" w:rsidP="00B233F7">
            <w:pPr>
              <w:spacing w:line="276" w:lineRule="auto"/>
            </w:pPr>
            <w:r w:rsidRPr="1677960A">
              <w:rPr>
                <w:rFonts w:ascii="Calibri" w:eastAsia="Calibri" w:hAnsi="Calibri" w:cs="Calibri"/>
              </w:rPr>
              <w:t>Enhancing Adaptation Action in Turkey Project</w:t>
            </w:r>
          </w:p>
        </w:tc>
        <w:tc>
          <w:tcPr>
            <w:tcW w:w="1890" w:type="dxa"/>
            <w:tcBorders>
              <w:top w:val="single" w:sz="8" w:space="0" w:color="auto"/>
              <w:left w:val="single" w:sz="8" w:space="0" w:color="auto"/>
              <w:bottom w:val="single" w:sz="8" w:space="0" w:color="auto"/>
              <w:right w:val="single" w:sz="8" w:space="0" w:color="auto"/>
            </w:tcBorders>
          </w:tcPr>
          <w:p w14:paraId="0B063484" w14:textId="77777777" w:rsidR="007529F6" w:rsidRDefault="007529F6" w:rsidP="00B233F7">
            <w:pPr>
              <w:spacing w:line="276" w:lineRule="auto"/>
            </w:pPr>
            <w:r w:rsidRPr="1677960A">
              <w:rPr>
                <w:rFonts w:ascii="Calibri" w:eastAsia="Calibri" w:hAnsi="Calibri" w:cs="Calibri"/>
              </w:rPr>
              <w:t xml:space="preserve">€11.000.000,00 </w:t>
            </w:r>
          </w:p>
        </w:tc>
      </w:tr>
      <w:tr w:rsidR="007529F6" w14:paraId="0400A780" w14:textId="77777777" w:rsidTr="007529F6">
        <w:trPr>
          <w:trHeight w:val="630"/>
        </w:trPr>
        <w:tc>
          <w:tcPr>
            <w:tcW w:w="7820" w:type="dxa"/>
            <w:tcBorders>
              <w:top w:val="single" w:sz="8" w:space="0" w:color="auto"/>
              <w:left w:val="single" w:sz="8" w:space="0" w:color="auto"/>
              <w:bottom w:val="single" w:sz="8" w:space="0" w:color="auto"/>
              <w:right w:val="single" w:sz="8" w:space="0" w:color="auto"/>
            </w:tcBorders>
          </w:tcPr>
          <w:p w14:paraId="4E9765D7" w14:textId="77777777" w:rsidR="007529F6" w:rsidRDefault="007529F6" w:rsidP="00B233F7">
            <w:pPr>
              <w:spacing w:line="276" w:lineRule="auto"/>
            </w:pPr>
            <w:r w:rsidRPr="1677960A">
              <w:rPr>
                <w:rFonts w:ascii="Calibri" w:eastAsia="Calibri" w:hAnsi="Calibri" w:cs="Calibri"/>
              </w:rPr>
              <w:t>Determination of Industrial Emissions Strategy of Turkey in accordance with Integrated Pollution Prevention and Control (DIES)</w:t>
            </w:r>
          </w:p>
        </w:tc>
        <w:tc>
          <w:tcPr>
            <w:tcW w:w="1890" w:type="dxa"/>
            <w:tcBorders>
              <w:top w:val="single" w:sz="8" w:space="0" w:color="auto"/>
              <w:left w:val="single" w:sz="8" w:space="0" w:color="auto"/>
              <w:bottom w:val="single" w:sz="8" w:space="0" w:color="auto"/>
              <w:right w:val="single" w:sz="8" w:space="0" w:color="auto"/>
            </w:tcBorders>
          </w:tcPr>
          <w:p w14:paraId="212ADA2D" w14:textId="77777777" w:rsidR="007529F6" w:rsidRDefault="007529F6" w:rsidP="00B233F7">
            <w:pPr>
              <w:spacing w:line="276" w:lineRule="auto"/>
            </w:pPr>
            <w:r w:rsidRPr="1677960A">
              <w:rPr>
                <w:rFonts w:ascii="Calibri" w:eastAsia="Calibri" w:hAnsi="Calibri" w:cs="Calibri"/>
              </w:rPr>
              <w:t xml:space="preserve">€4.500.000,00 </w:t>
            </w:r>
          </w:p>
        </w:tc>
      </w:tr>
      <w:tr w:rsidR="007529F6" w14:paraId="76B1A0A7" w14:textId="77777777" w:rsidTr="007529F6">
        <w:trPr>
          <w:trHeight w:val="420"/>
        </w:trPr>
        <w:tc>
          <w:tcPr>
            <w:tcW w:w="7820" w:type="dxa"/>
            <w:tcBorders>
              <w:top w:val="single" w:sz="8" w:space="0" w:color="auto"/>
              <w:left w:val="single" w:sz="8" w:space="0" w:color="auto"/>
              <w:bottom w:val="single" w:sz="8" w:space="0" w:color="auto"/>
              <w:right w:val="single" w:sz="8" w:space="0" w:color="auto"/>
            </w:tcBorders>
          </w:tcPr>
          <w:p w14:paraId="282680FD" w14:textId="77777777" w:rsidR="007529F6" w:rsidRDefault="007529F6" w:rsidP="00B233F7">
            <w:pPr>
              <w:spacing w:line="276" w:lineRule="auto"/>
            </w:pPr>
            <w:r w:rsidRPr="1677960A">
              <w:rPr>
                <w:rFonts w:ascii="Calibri" w:eastAsia="Calibri" w:hAnsi="Calibri" w:cs="Calibri"/>
              </w:rPr>
              <w:t>Training for Institutional Capacity Building on Climate Change Adaptation</w:t>
            </w:r>
          </w:p>
        </w:tc>
        <w:tc>
          <w:tcPr>
            <w:tcW w:w="1890" w:type="dxa"/>
            <w:tcBorders>
              <w:top w:val="single" w:sz="8" w:space="0" w:color="auto"/>
              <w:left w:val="single" w:sz="8" w:space="0" w:color="auto"/>
              <w:bottom w:val="single" w:sz="8" w:space="0" w:color="auto"/>
              <w:right w:val="single" w:sz="8" w:space="0" w:color="auto"/>
            </w:tcBorders>
          </w:tcPr>
          <w:p w14:paraId="682F392F" w14:textId="77777777" w:rsidR="007529F6" w:rsidRDefault="007529F6" w:rsidP="00B233F7">
            <w:pPr>
              <w:spacing w:line="276" w:lineRule="auto"/>
            </w:pPr>
            <w:r w:rsidRPr="1677960A">
              <w:rPr>
                <w:rFonts w:ascii="Calibri" w:eastAsia="Calibri" w:hAnsi="Calibri" w:cs="Calibri"/>
              </w:rPr>
              <w:t xml:space="preserve">€299.000,00 </w:t>
            </w:r>
          </w:p>
        </w:tc>
      </w:tr>
      <w:tr w:rsidR="007529F6" w14:paraId="64963F6B" w14:textId="77777777" w:rsidTr="007529F6">
        <w:trPr>
          <w:trHeight w:val="420"/>
        </w:trPr>
        <w:tc>
          <w:tcPr>
            <w:tcW w:w="7820" w:type="dxa"/>
            <w:tcBorders>
              <w:top w:val="single" w:sz="8" w:space="0" w:color="auto"/>
              <w:left w:val="single" w:sz="8" w:space="0" w:color="auto"/>
              <w:bottom w:val="single" w:sz="8" w:space="0" w:color="auto"/>
              <w:right w:val="single" w:sz="8" w:space="0" w:color="auto"/>
            </w:tcBorders>
          </w:tcPr>
          <w:p w14:paraId="176D2C0B" w14:textId="77777777" w:rsidR="007529F6" w:rsidRDefault="007529F6" w:rsidP="00B233F7">
            <w:pPr>
              <w:spacing w:line="276" w:lineRule="auto"/>
            </w:pPr>
            <w:r w:rsidRPr="1677960A">
              <w:rPr>
                <w:rFonts w:ascii="Calibri" w:eastAsia="Calibri" w:hAnsi="Calibri" w:cs="Calibri"/>
              </w:rPr>
              <w:lastRenderedPageBreak/>
              <w:t>Technical Assistance to Conduct Chemical Safety Assessments under the scope of REACH Regulation</w:t>
            </w:r>
          </w:p>
        </w:tc>
        <w:tc>
          <w:tcPr>
            <w:tcW w:w="1890" w:type="dxa"/>
            <w:tcBorders>
              <w:top w:val="single" w:sz="8" w:space="0" w:color="auto"/>
              <w:left w:val="single" w:sz="8" w:space="0" w:color="auto"/>
              <w:bottom w:val="single" w:sz="8" w:space="0" w:color="auto"/>
              <w:right w:val="single" w:sz="8" w:space="0" w:color="auto"/>
            </w:tcBorders>
          </w:tcPr>
          <w:p w14:paraId="523F61C2" w14:textId="77777777" w:rsidR="007529F6" w:rsidRDefault="007529F6" w:rsidP="00B233F7">
            <w:pPr>
              <w:spacing w:line="276" w:lineRule="auto"/>
            </w:pPr>
            <w:r w:rsidRPr="1677960A">
              <w:rPr>
                <w:rFonts w:ascii="Calibri" w:eastAsia="Calibri" w:hAnsi="Calibri" w:cs="Calibri"/>
              </w:rPr>
              <w:t xml:space="preserve">€1,600,000.00 </w:t>
            </w:r>
          </w:p>
        </w:tc>
      </w:tr>
      <w:tr w:rsidR="007529F6" w14:paraId="4416BE00" w14:textId="77777777" w:rsidTr="007529F6">
        <w:trPr>
          <w:trHeight w:val="630"/>
        </w:trPr>
        <w:tc>
          <w:tcPr>
            <w:tcW w:w="7820" w:type="dxa"/>
            <w:tcBorders>
              <w:top w:val="single" w:sz="8" w:space="0" w:color="auto"/>
              <w:left w:val="single" w:sz="8" w:space="0" w:color="auto"/>
              <w:bottom w:val="single" w:sz="8" w:space="0" w:color="auto"/>
              <w:right w:val="single" w:sz="8" w:space="0" w:color="auto"/>
            </w:tcBorders>
          </w:tcPr>
          <w:p w14:paraId="730BD3F2" w14:textId="77777777" w:rsidR="007529F6" w:rsidRDefault="007529F6" w:rsidP="00B233F7">
            <w:pPr>
              <w:spacing w:line="276" w:lineRule="auto"/>
            </w:pPr>
            <w:r w:rsidRPr="1677960A">
              <w:rPr>
                <w:rFonts w:ascii="Calibri" w:eastAsia="Calibri" w:hAnsi="Calibri" w:cs="Calibri"/>
              </w:rPr>
              <w:t>Technical Assistance to Enhance the Capacity of AFAD (Disaster and Emergency Management Presidency) in the Adaptation and Reduction of Disaster Risks resulting from the Climate Change in Turkey (ESOP)</w:t>
            </w:r>
          </w:p>
        </w:tc>
        <w:tc>
          <w:tcPr>
            <w:tcW w:w="1890" w:type="dxa"/>
            <w:tcBorders>
              <w:top w:val="single" w:sz="8" w:space="0" w:color="auto"/>
              <w:left w:val="single" w:sz="8" w:space="0" w:color="auto"/>
              <w:bottom w:val="single" w:sz="8" w:space="0" w:color="auto"/>
              <w:right w:val="single" w:sz="8" w:space="0" w:color="auto"/>
            </w:tcBorders>
          </w:tcPr>
          <w:p w14:paraId="27CED038" w14:textId="77777777" w:rsidR="007529F6" w:rsidRDefault="007529F6" w:rsidP="00B233F7">
            <w:pPr>
              <w:spacing w:line="276" w:lineRule="auto"/>
            </w:pPr>
            <w:r w:rsidRPr="1677960A">
              <w:rPr>
                <w:rFonts w:ascii="Calibri" w:eastAsia="Calibri" w:hAnsi="Calibri" w:cs="Calibri"/>
              </w:rPr>
              <w:t xml:space="preserve">€3.000.000,00 </w:t>
            </w:r>
          </w:p>
        </w:tc>
      </w:tr>
      <w:tr w:rsidR="007529F6" w14:paraId="580D4EB8" w14:textId="77777777" w:rsidTr="007529F6">
        <w:trPr>
          <w:trHeight w:val="630"/>
        </w:trPr>
        <w:tc>
          <w:tcPr>
            <w:tcW w:w="7820" w:type="dxa"/>
            <w:tcBorders>
              <w:top w:val="single" w:sz="8" w:space="0" w:color="auto"/>
              <w:left w:val="single" w:sz="8" w:space="0" w:color="auto"/>
              <w:bottom w:val="single" w:sz="8" w:space="0" w:color="auto"/>
              <w:right w:val="single" w:sz="8" w:space="0" w:color="auto"/>
            </w:tcBorders>
          </w:tcPr>
          <w:p w14:paraId="3783CEAE" w14:textId="77777777" w:rsidR="007529F6" w:rsidRDefault="007529F6" w:rsidP="00B233F7">
            <w:pPr>
              <w:spacing w:line="276" w:lineRule="auto"/>
            </w:pPr>
            <w:r w:rsidRPr="1677960A">
              <w:rPr>
                <w:rFonts w:ascii="Calibri" w:eastAsia="Calibri" w:hAnsi="Calibri" w:cs="Calibri"/>
              </w:rPr>
              <w:t>Preparation, Implementation and Monitoring of Species Action Plans for Endangered Species in Turkey within the Concept of a New Methodology</w:t>
            </w:r>
          </w:p>
        </w:tc>
        <w:tc>
          <w:tcPr>
            <w:tcW w:w="1890" w:type="dxa"/>
            <w:tcBorders>
              <w:top w:val="single" w:sz="8" w:space="0" w:color="auto"/>
              <w:left w:val="single" w:sz="8" w:space="0" w:color="auto"/>
              <w:bottom w:val="single" w:sz="8" w:space="0" w:color="auto"/>
              <w:right w:val="single" w:sz="8" w:space="0" w:color="auto"/>
            </w:tcBorders>
          </w:tcPr>
          <w:p w14:paraId="569CCA64" w14:textId="77777777" w:rsidR="007529F6" w:rsidRDefault="007529F6" w:rsidP="00B233F7">
            <w:pPr>
              <w:spacing w:line="276" w:lineRule="auto"/>
            </w:pPr>
            <w:r w:rsidRPr="1677960A">
              <w:rPr>
                <w:rFonts w:ascii="Calibri" w:eastAsia="Calibri" w:hAnsi="Calibri" w:cs="Calibri"/>
              </w:rPr>
              <w:t xml:space="preserve">€2,500,000.00 </w:t>
            </w:r>
          </w:p>
        </w:tc>
      </w:tr>
      <w:tr w:rsidR="007529F6" w14:paraId="127C397A" w14:textId="77777777" w:rsidTr="007529F6">
        <w:trPr>
          <w:trHeight w:val="630"/>
        </w:trPr>
        <w:tc>
          <w:tcPr>
            <w:tcW w:w="7820" w:type="dxa"/>
            <w:tcBorders>
              <w:top w:val="single" w:sz="8" w:space="0" w:color="auto"/>
              <w:left w:val="single" w:sz="8" w:space="0" w:color="auto"/>
              <w:bottom w:val="single" w:sz="8" w:space="0" w:color="auto"/>
              <w:right w:val="single" w:sz="8" w:space="0" w:color="auto"/>
            </w:tcBorders>
          </w:tcPr>
          <w:p w14:paraId="1191D45E" w14:textId="77777777" w:rsidR="007529F6" w:rsidRDefault="007529F6" w:rsidP="00B233F7">
            <w:pPr>
              <w:spacing w:line="276" w:lineRule="auto"/>
            </w:pPr>
            <w:r w:rsidRPr="1677960A">
              <w:rPr>
                <w:rFonts w:ascii="Calibri" w:eastAsia="Calibri" w:hAnsi="Calibri" w:cs="Calibri"/>
              </w:rPr>
              <w:t xml:space="preserve">Addressing of Invasive Alien Species Threats in Terrestrial Areas and Inland Waters in Turkey </w:t>
            </w:r>
          </w:p>
        </w:tc>
        <w:tc>
          <w:tcPr>
            <w:tcW w:w="1890" w:type="dxa"/>
            <w:tcBorders>
              <w:top w:val="single" w:sz="8" w:space="0" w:color="auto"/>
              <w:left w:val="single" w:sz="8" w:space="0" w:color="auto"/>
              <w:bottom w:val="single" w:sz="8" w:space="0" w:color="auto"/>
              <w:right w:val="single" w:sz="8" w:space="0" w:color="auto"/>
            </w:tcBorders>
          </w:tcPr>
          <w:p w14:paraId="228CE6BA" w14:textId="77777777" w:rsidR="007529F6" w:rsidRDefault="007529F6" w:rsidP="00B233F7">
            <w:pPr>
              <w:spacing w:line="276" w:lineRule="auto"/>
            </w:pPr>
            <w:r w:rsidRPr="1677960A">
              <w:rPr>
                <w:rFonts w:ascii="Calibri" w:eastAsia="Calibri" w:hAnsi="Calibri" w:cs="Calibri"/>
              </w:rPr>
              <w:t xml:space="preserve">€2,500,000.00 </w:t>
            </w:r>
          </w:p>
        </w:tc>
      </w:tr>
      <w:tr w:rsidR="007529F6" w14:paraId="2C7D62F0" w14:textId="77777777" w:rsidTr="007529F6">
        <w:trPr>
          <w:trHeight w:val="630"/>
        </w:trPr>
        <w:tc>
          <w:tcPr>
            <w:tcW w:w="7820" w:type="dxa"/>
            <w:tcBorders>
              <w:top w:val="single" w:sz="8" w:space="0" w:color="auto"/>
              <w:left w:val="single" w:sz="8" w:space="0" w:color="auto"/>
              <w:bottom w:val="single" w:sz="8" w:space="0" w:color="auto"/>
              <w:right w:val="single" w:sz="8" w:space="0" w:color="auto"/>
            </w:tcBorders>
          </w:tcPr>
          <w:p w14:paraId="42B5B0DF" w14:textId="77777777" w:rsidR="007529F6" w:rsidRDefault="007529F6" w:rsidP="00B233F7">
            <w:pPr>
              <w:spacing w:line="276" w:lineRule="auto"/>
            </w:pPr>
            <w:r w:rsidRPr="1677960A">
              <w:rPr>
                <w:rFonts w:ascii="Calibri" w:eastAsia="Calibri" w:hAnsi="Calibri" w:cs="Calibri"/>
              </w:rPr>
              <w:t xml:space="preserve">Supporting Implementation of By-law on Strategic Environmental Assessment (SEA) Project </w:t>
            </w:r>
          </w:p>
        </w:tc>
        <w:tc>
          <w:tcPr>
            <w:tcW w:w="1890" w:type="dxa"/>
            <w:tcBorders>
              <w:top w:val="single" w:sz="8" w:space="0" w:color="auto"/>
              <w:left w:val="single" w:sz="8" w:space="0" w:color="auto"/>
              <w:bottom w:val="single" w:sz="8" w:space="0" w:color="auto"/>
              <w:right w:val="single" w:sz="8" w:space="0" w:color="auto"/>
            </w:tcBorders>
          </w:tcPr>
          <w:p w14:paraId="4F4F33A7" w14:textId="77777777" w:rsidR="007529F6" w:rsidRDefault="007529F6" w:rsidP="00B233F7">
            <w:pPr>
              <w:spacing w:line="276" w:lineRule="auto"/>
            </w:pPr>
            <w:r w:rsidRPr="1677960A">
              <w:rPr>
                <w:rFonts w:ascii="Calibri" w:eastAsia="Calibri" w:hAnsi="Calibri" w:cs="Calibri"/>
              </w:rPr>
              <w:t xml:space="preserve">€299,000.00 </w:t>
            </w:r>
          </w:p>
        </w:tc>
      </w:tr>
      <w:tr w:rsidR="007529F6" w14:paraId="4C74B4C5" w14:textId="77777777" w:rsidTr="007529F6">
        <w:trPr>
          <w:trHeight w:val="210"/>
        </w:trPr>
        <w:tc>
          <w:tcPr>
            <w:tcW w:w="7820" w:type="dxa"/>
            <w:tcBorders>
              <w:top w:val="single" w:sz="8" w:space="0" w:color="auto"/>
              <w:left w:val="single" w:sz="8" w:space="0" w:color="auto"/>
              <w:bottom w:val="single" w:sz="8" w:space="0" w:color="auto"/>
              <w:right w:val="single" w:sz="8" w:space="0" w:color="auto"/>
            </w:tcBorders>
          </w:tcPr>
          <w:p w14:paraId="61495FC9" w14:textId="77777777" w:rsidR="007529F6" w:rsidRDefault="007529F6" w:rsidP="00B233F7">
            <w:pPr>
              <w:spacing w:line="276" w:lineRule="auto"/>
            </w:pPr>
            <w:r w:rsidRPr="1677960A">
              <w:rPr>
                <w:rFonts w:ascii="Calibri" w:eastAsia="Calibri" w:hAnsi="Calibri" w:cs="Calibri"/>
              </w:rPr>
              <w:t>Sustainable Cities- Direct Grant to World Bank</w:t>
            </w:r>
          </w:p>
        </w:tc>
        <w:tc>
          <w:tcPr>
            <w:tcW w:w="1890" w:type="dxa"/>
            <w:tcBorders>
              <w:top w:val="single" w:sz="8" w:space="0" w:color="auto"/>
              <w:left w:val="single" w:sz="8" w:space="0" w:color="auto"/>
              <w:bottom w:val="single" w:sz="8" w:space="0" w:color="auto"/>
              <w:right w:val="single" w:sz="8" w:space="0" w:color="auto"/>
            </w:tcBorders>
          </w:tcPr>
          <w:p w14:paraId="56EC909D" w14:textId="77777777" w:rsidR="007529F6" w:rsidRDefault="007529F6" w:rsidP="00B233F7">
            <w:pPr>
              <w:spacing w:line="276" w:lineRule="auto"/>
              <w:rPr>
                <w:rFonts w:ascii="Calibri" w:eastAsia="Calibri" w:hAnsi="Calibri" w:cs="Calibri"/>
              </w:rPr>
            </w:pPr>
            <w:r w:rsidRPr="635C19F3">
              <w:rPr>
                <w:rFonts w:ascii="Calibri" w:eastAsia="Calibri" w:hAnsi="Calibri" w:cs="Calibri"/>
              </w:rPr>
              <w:t xml:space="preserve">€25.000.000,00 </w:t>
            </w:r>
          </w:p>
        </w:tc>
      </w:tr>
    </w:tbl>
    <w:p w14:paraId="6DC4EDC2" w14:textId="0E3CE898" w:rsidR="00DA21A6" w:rsidRPr="00DA21A6" w:rsidRDefault="00DA21A6" w:rsidP="00140D1B">
      <w:pPr>
        <w:rPr>
          <w:rFonts w:cstheme="minorHAnsi"/>
        </w:rPr>
      </w:pPr>
    </w:p>
    <w:p w14:paraId="40FF257B" w14:textId="77777777" w:rsidR="002F3BA4" w:rsidRPr="002F3BA4" w:rsidRDefault="002F3BA4" w:rsidP="00140D1B">
      <w:pPr>
        <w:rPr>
          <w:rFonts w:eastAsia="Calibri" w:cstheme="minorHAnsi"/>
        </w:rPr>
      </w:pPr>
      <w:r w:rsidRPr="002F3BA4">
        <w:rPr>
          <w:rFonts w:eastAsia="Calibri" w:cstheme="minorHAnsi"/>
        </w:rPr>
        <w:t>Turkey has also signed in October 2021 a Memorandum of Understanding with the World Bank, France and Germany, and is thus set to receive EUR 3 billion worth of loans to help the country reach its clean energy goals following ratification of the Paris agreement.</w:t>
      </w:r>
    </w:p>
    <w:p w14:paraId="48B4D658" w14:textId="77777777" w:rsidR="00FA6A0E" w:rsidRPr="00FA6A0E" w:rsidRDefault="00FA6A0E" w:rsidP="00140D1B">
      <w:pPr>
        <w:rPr>
          <w:rFonts w:eastAsia="Calibri" w:cstheme="minorHAnsi"/>
        </w:rPr>
      </w:pPr>
      <w:r w:rsidRPr="00FA6A0E">
        <w:rPr>
          <w:rFonts w:eastAsia="Calibri" w:cstheme="minorHAnsi"/>
        </w:rPr>
        <w:t xml:space="preserve">Additionally, the Global Covenant of Mayors recently launched “EU4 Energy Transition: Covenant of Mayors </w:t>
      </w:r>
      <w:proofErr w:type="gramStart"/>
      <w:r w:rsidRPr="00FA6A0E">
        <w:rPr>
          <w:rFonts w:eastAsia="Calibri" w:cstheme="minorHAnsi"/>
        </w:rPr>
        <w:t>In</w:t>
      </w:r>
      <w:proofErr w:type="gramEnd"/>
      <w:r w:rsidRPr="00FA6A0E">
        <w:rPr>
          <w:rFonts w:eastAsia="Calibri" w:cstheme="minorHAnsi"/>
        </w:rPr>
        <w:t xml:space="preserve"> Western Balkans And Turkey” project as there is considerable potential for city-level action in the whole region, incl. Turkey. Istanbul Metropolitan Municipality has been involved in the project as the beneficiary and the municipality of </w:t>
      </w:r>
      <w:proofErr w:type="spellStart"/>
      <w:r w:rsidRPr="00FA6A0E">
        <w:rPr>
          <w:rFonts w:eastAsia="Calibri" w:cstheme="minorHAnsi"/>
        </w:rPr>
        <w:t>Bağcılar</w:t>
      </w:r>
      <w:proofErr w:type="spellEnd"/>
      <w:r w:rsidRPr="00FA6A0E">
        <w:rPr>
          <w:rFonts w:eastAsia="Calibri" w:cstheme="minorHAnsi"/>
        </w:rPr>
        <w:t xml:space="preserve"> (Istanbul) has already finalised its sustainable energy and climate action plan.</w:t>
      </w:r>
    </w:p>
    <w:p w14:paraId="7ABC5B5E" w14:textId="77777777" w:rsidR="00DA21A6" w:rsidRPr="00DA21A6" w:rsidRDefault="00DA21A6" w:rsidP="00140D1B">
      <w:pPr>
        <w:rPr>
          <w:rFonts w:eastAsia="Calibri" w:cstheme="minorHAnsi"/>
          <w:b/>
          <w:bCs/>
        </w:rPr>
      </w:pPr>
      <w:r w:rsidRPr="00DA21A6">
        <w:rPr>
          <w:rFonts w:eastAsia="Calibri" w:cstheme="minorHAnsi"/>
          <w:b/>
          <w:bCs/>
        </w:rPr>
        <w:t>Other international sources of climate finance (Member States, IFIs, etc.)</w:t>
      </w:r>
    </w:p>
    <w:p w14:paraId="3DF35577" w14:textId="77777777" w:rsidR="00DA4EE7" w:rsidRDefault="00DA4EE7" w:rsidP="00140D1B">
      <w:pPr>
        <w:rPr>
          <w:rFonts w:ascii="Calibri" w:eastAsia="Calibri" w:hAnsi="Calibri" w:cs="Calibri"/>
        </w:rPr>
      </w:pPr>
      <w:r w:rsidRPr="5D9484E3">
        <w:rPr>
          <w:rFonts w:ascii="Calibri" w:eastAsia="Calibri" w:hAnsi="Calibri" w:cs="Calibri"/>
        </w:rPr>
        <w:t>Turkey has long from a wide variety of funding opportunities for climate action:</w:t>
      </w:r>
    </w:p>
    <w:p w14:paraId="1F7A5E41" w14:textId="77777777" w:rsidR="00F94493" w:rsidRPr="00F94493" w:rsidRDefault="00F94493" w:rsidP="00140D1B">
      <w:pPr>
        <w:pStyle w:val="ListParagraph"/>
        <w:numPr>
          <w:ilvl w:val="0"/>
          <w:numId w:val="49"/>
        </w:numPr>
        <w:spacing w:after="120"/>
        <w:ind w:left="692" w:hanging="346"/>
        <w:contextualSpacing w:val="0"/>
        <w:rPr>
          <w:rFonts w:ascii="Calibri" w:eastAsia="Calibri" w:hAnsi="Calibri" w:cs="Calibri"/>
        </w:rPr>
      </w:pPr>
      <w:r w:rsidRPr="00F94493">
        <w:rPr>
          <w:rFonts w:ascii="Calibri" w:eastAsia="Calibri" w:hAnsi="Calibri" w:cs="Calibri"/>
        </w:rPr>
        <w:t xml:space="preserve">The European Bank for Reconstruction and Development consistently invests in large-scale decarbonisation projects in Turkey, the EBRD’s largest country of operation. EBRD has invested </w:t>
      </w:r>
      <w:r w:rsidRPr="00F94493">
        <w:rPr>
          <w:rFonts w:ascii="Calibri" w:eastAsia="Calibri" w:hAnsi="Calibri" w:cs="Calibri"/>
          <w:color w:val="212529"/>
        </w:rPr>
        <w:t>€</w:t>
      </w:r>
      <w:r w:rsidRPr="00F94493">
        <w:rPr>
          <w:rFonts w:ascii="Calibri" w:eastAsia="Calibri" w:hAnsi="Calibri" w:cs="Calibri"/>
        </w:rPr>
        <w:t>1.63 billion in 2022, where more than half of the investment has been dedicated to sustainability-related investments.</w:t>
      </w:r>
      <w:r w:rsidRPr="00F94493">
        <w:rPr>
          <w:rFonts w:ascii="Calibri" w:eastAsia="Calibri" w:hAnsi="Calibri" w:cs="Calibri"/>
          <w:color w:val="212529"/>
        </w:rPr>
        <w:t xml:space="preserve"> In January 2023, the EBRD announced that its total investment in the country including the 2022 figures amounted to €17 billion, where more than half of the budget contributed to supporting sustainability. Out of the current active portfolio projects in the country, the most recent ones notably focus on energy efficiency (e.g. €</w:t>
      </w:r>
      <w:r w:rsidRPr="00F94493">
        <w:rPr>
          <w:rFonts w:ascii="Calibri" w:eastAsia="Calibri" w:hAnsi="Calibri" w:cs="Calibri"/>
        </w:rPr>
        <w:t xml:space="preserve">110 million “green loan” to the major electricity distributer and retailer </w:t>
      </w:r>
      <w:proofErr w:type="spellStart"/>
      <w:r w:rsidRPr="00F94493">
        <w:rPr>
          <w:rFonts w:ascii="Calibri" w:eastAsia="Calibri" w:hAnsi="Calibri" w:cs="Calibri"/>
        </w:rPr>
        <w:t>Enerjisa</w:t>
      </w:r>
      <w:proofErr w:type="spellEnd"/>
      <w:r w:rsidRPr="00F94493">
        <w:rPr>
          <w:rFonts w:ascii="Calibri" w:eastAsia="Calibri" w:hAnsi="Calibri" w:cs="Calibri"/>
        </w:rPr>
        <w:t xml:space="preserve">), </w:t>
      </w:r>
      <w:r w:rsidRPr="00F94493">
        <w:rPr>
          <w:rFonts w:ascii="Calibri" w:eastAsia="Calibri" w:hAnsi="Calibri" w:cs="Calibri"/>
          <w:color w:val="212529"/>
        </w:rPr>
        <w:t>€</w:t>
      </w:r>
      <w:r w:rsidRPr="00F94493">
        <w:rPr>
          <w:rFonts w:ascii="Calibri" w:eastAsia="Calibri" w:hAnsi="Calibri" w:cs="Calibri"/>
        </w:rPr>
        <w:t>200 million to EV production facility of Ford Otosan, renewable energies (</w:t>
      </w:r>
      <w:r w:rsidRPr="00F94493">
        <w:rPr>
          <w:rFonts w:ascii="Calibri" w:eastAsia="Calibri" w:hAnsi="Calibri" w:cs="Calibri"/>
          <w:color w:val="3C4043"/>
        </w:rPr>
        <w:t>$</w:t>
      </w:r>
      <w:r w:rsidRPr="00F94493">
        <w:rPr>
          <w:rFonts w:ascii="Calibri" w:eastAsia="Calibri" w:hAnsi="Calibri" w:cs="Calibri"/>
        </w:rPr>
        <w:t xml:space="preserve">80 million loan to </w:t>
      </w:r>
      <w:proofErr w:type="spellStart"/>
      <w:r w:rsidRPr="00F94493">
        <w:rPr>
          <w:rFonts w:ascii="Calibri" w:eastAsia="Calibri" w:hAnsi="Calibri" w:cs="Calibri"/>
        </w:rPr>
        <w:t>Borusan</w:t>
      </w:r>
      <w:proofErr w:type="spellEnd"/>
      <w:r w:rsidRPr="00F94493">
        <w:rPr>
          <w:rFonts w:ascii="Calibri" w:eastAsia="Calibri" w:hAnsi="Calibri" w:cs="Calibri"/>
        </w:rPr>
        <w:t xml:space="preserve">, </w:t>
      </w:r>
      <w:r w:rsidRPr="00F94493">
        <w:rPr>
          <w:rFonts w:ascii="Calibri" w:eastAsia="Calibri" w:hAnsi="Calibri" w:cs="Calibri"/>
          <w:color w:val="212529"/>
        </w:rPr>
        <w:t>€17 million</w:t>
      </w:r>
      <w:r w:rsidRPr="00F94493">
        <w:rPr>
          <w:rFonts w:ascii="Calibri" w:eastAsia="Calibri" w:hAnsi="Calibri" w:cs="Calibri"/>
        </w:rPr>
        <w:t xml:space="preserve"> loan and grants for</w:t>
      </w:r>
      <w:r w:rsidRPr="00F94493">
        <w:rPr>
          <w:rFonts w:ascii="Calibri" w:eastAsia="Calibri" w:hAnsi="Calibri" w:cs="Calibri"/>
          <w:color w:val="2F343A"/>
        </w:rPr>
        <w:t xml:space="preserve"> solar photovoltaic (PV) plants in Gaziantep) and </w:t>
      </w:r>
      <w:r w:rsidRPr="00F94493">
        <w:rPr>
          <w:rFonts w:ascii="Calibri" w:eastAsia="Calibri" w:hAnsi="Calibri" w:cs="Calibri"/>
          <w:color w:val="212529"/>
        </w:rPr>
        <w:t>city transport (€22 million loan and grant for natural gas buses in Mersin, and previously low carbon transport in Ankara and Izmir)</w:t>
      </w:r>
      <w:r w:rsidRPr="00F94493">
        <w:rPr>
          <w:rFonts w:ascii="Calibri" w:eastAsia="Calibri" w:hAnsi="Calibri" w:cs="Calibri"/>
        </w:rPr>
        <w:t xml:space="preserve">; </w:t>
      </w:r>
    </w:p>
    <w:p w14:paraId="3A88DE81" w14:textId="77777777" w:rsidR="00AD72B6" w:rsidRPr="00873C53" w:rsidRDefault="00AD72B6" w:rsidP="00140D1B">
      <w:pPr>
        <w:pStyle w:val="ListParagraph"/>
        <w:numPr>
          <w:ilvl w:val="0"/>
          <w:numId w:val="49"/>
        </w:numPr>
        <w:spacing w:after="120"/>
        <w:ind w:left="692" w:hanging="346"/>
        <w:contextualSpacing w:val="0"/>
        <w:rPr>
          <w:sz w:val="18"/>
          <w:szCs w:val="18"/>
        </w:rPr>
      </w:pPr>
      <w:r w:rsidRPr="5D9484E3">
        <w:rPr>
          <w:rFonts w:ascii="Calibri" w:eastAsia="Calibri" w:hAnsi="Calibri" w:cs="Calibri"/>
        </w:rPr>
        <w:t>UN agencies and organisations are massively present in Turkey and have actively participated in climate-related capacity-building</w:t>
      </w:r>
      <w:r>
        <w:rPr>
          <w:rFonts w:ascii="Calibri" w:eastAsia="Calibri" w:hAnsi="Calibri" w:cs="Calibri"/>
        </w:rPr>
        <w:t xml:space="preserve"> projects. </w:t>
      </w:r>
      <w:r w:rsidRPr="5D9484E3">
        <w:rPr>
          <w:rFonts w:ascii="Calibri" w:eastAsia="Calibri" w:hAnsi="Calibri" w:cs="Calibri"/>
        </w:rPr>
        <w:t xml:space="preserve">UNDP is </w:t>
      </w:r>
      <w:r w:rsidRPr="00AC2B0C">
        <w:rPr>
          <w:rFonts w:ascii="Calibri" w:eastAsia="Calibri" w:hAnsi="Calibri" w:cs="Calibri"/>
        </w:rPr>
        <w:t xml:space="preserve">currently implementing the EU-funded “Enhancing Climate Change Adaptation Action” </w:t>
      </w:r>
      <w:r w:rsidRPr="00FE4929">
        <w:rPr>
          <w:rFonts w:ascii="Calibri" w:eastAsia="Calibri" w:hAnsi="Calibri" w:cs="Calibri"/>
          <w:color w:val="212529"/>
        </w:rPr>
        <w:t>project</w:t>
      </w:r>
      <w:r w:rsidRPr="00AC2B0C">
        <w:rPr>
          <w:rFonts w:ascii="Calibri" w:eastAsia="Calibri" w:hAnsi="Calibri" w:cs="Calibri"/>
        </w:rPr>
        <w:t xml:space="preserve"> (totalling EUR 11 million)</w:t>
      </w:r>
      <w:r w:rsidRPr="00873C53">
        <w:rPr>
          <w:rFonts w:ascii="Calibri" w:eastAsia="Calibri" w:hAnsi="Calibri" w:cs="Calibri"/>
        </w:rPr>
        <w:t>. UNDP also has supported Turkey’s efforts on transparency reporting to the UNFCCC, through the project “</w:t>
      </w:r>
      <w:r w:rsidRPr="00AC2B0C">
        <w:rPr>
          <w:rFonts w:ascii="Calibri" w:eastAsia="Calibri" w:hAnsi="Calibri" w:cs="Calibri"/>
        </w:rPr>
        <w:t>Support</w:t>
      </w:r>
      <w:r w:rsidRPr="00F240AF">
        <w:rPr>
          <w:rFonts w:ascii="Calibri" w:eastAsia="Calibri" w:hAnsi="Calibri" w:cs="Calibri"/>
        </w:rPr>
        <w:t xml:space="preserve"> for the Preparation of the Turkey's National Communication and Third Biennial Report to UNFCCC</w:t>
      </w:r>
      <w:r>
        <w:rPr>
          <w:rFonts w:ascii="Calibri" w:eastAsia="Calibri" w:hAnsi="Calibri" w:cs="Calibri"/>
        </w:rPr>
        <w:t>”</w:t>
      </w:r>
      <w:r w:rsidRPr="00873C53">
        <w:rPr>
          <w:rFonts w:ascii="Calibri" w:eastAsia="Calibri" w:hAnsi="Calibri" w:cs="Calibri"/>
        </w:rPr>
        <w:t>.</w:t>
      </w:r>
      <w:r>
        <w:rPr>
          <w:rFonts w:ascii="Calibri" w:eastAsia="Calibri" w:hAnsi="Calibri" w:cs="Calibri"/>
        </w:rPr>
        <w:t xml:space="preserve"> Besides the UNDP, FAO provides support to Turkey in climate change-related topics. FAO Office in Turkey currently supports drafting of Turkey’s 8</w:t>
      </w:r>
      <w:r w:rsidRPr="00873C53">
        <w:rPr>
          <w:rFonts w:ascii="Calibri" w:eastAsia="Calibri" w:hAnsi="Calibri" w:cs="Calibri"/>
          <w:vertAlign w:val="superscript"/>
        </w:rPr>
        <w:t>th</w:t>
      </w:r>
      <w:r>
        <w:rPr>
          <w:rFonts w:ascii="Calibri" w:eastAsia="Calibri" w:hAnsi="Calibri" w:cs="Calibri"/>
        </w:rPr>
        <w:t xml:space="preserve"> National </w:t>
      </w:r>
      <w:proofErr w:type="gramStart"/>
      <w:r>
        <w:rPr>
          <w:rFonts w:ascii="Calibri" w:eastAsia="Calibri" w:hAnsi="Calibri" w:cs="Calibri"/>
        </w:rPr>
        <w:t>Communication;</w:t>
      </w:r>
      <w:proofErr w:type="gramEnd"/>
    </w:p>
    <w:p w14:paraId="36130853" w14:textId="77777777" w:rsidR="00FE7EC7" w:rsidRDefault="00FE7EC7" w:rsidP="00140D1B">
      <w:pPr>
        <w:pStyle w:val="ListParagraph"/>
        <w:numPr>
          <w:ilvl w:val="0"/>
          <w:numId w:val="49"/>
        </w:numPr>
        <w:spacing w:after="120"/>
        <w:ind w:left="692" w:hanging="346"/>
        <w:contextualSpacing w:val="0"/>
        <w:rPr>
          <w:sz w:val="18"/>
          <w:szCs w:val="18"/>
        </w:rPr>
      </w:pPr>
      <w:r w:rsidRPr="00F240AF">
        <w:rPr>
          <w:rFonts w:ascii="Calibri" w:eastAsia="Calibri" w:hAnsi="Calibri" w:cs="Calibri"/>
        </w:rPr>
        <w:t>The World Bank has funded activities on carbon pricing as part of the Partnership for Market Readiness</w:t>
      </w:r>
      <w:r w:rsidRPr="5D9484E3">
        <w:rPr>
          <w:rFonts w:ascii="Calibri" w:eastAsia="Calibri" w:hAnsi="Calibri" w:cs="Calibri"/>
        </w:rPr>
        <w:t xml:space="preserve"> and Partnership for Market Implementation</w:t>
      </w:r>
      <w:r>
        <w:rPr>
          <w:rFonts w:ascii="Calibri" w:eastAsia="Calibri" w:hAnsi="Calibri" w:cs="Calibri"/>
        </w:rPr>
        <w:t xml:space="preserve"> will start in 2023</w:t>
      </w:r>
      <w:r w:rsidRPr="00194060">
        <w:rPr>
          <w:rFonts w:ascii="Calibri" w:eastAsia="Calibri" w:hAnsi="Calibri" w:cs="Calibri"/>
        </w:rPr>
        <w:t xml:space="preserve">. </w:t>
      </w:r>
      <w:r w:rsidRPr="00873C53">
        <w:rPr>
          <w:rFonts w:ascii="Calibri" w:eastAsia="Calibri" w:hAnsi="Calibri" w:cs="Calibri"/>
        </w:rPr>
        <w:t xml:space="preserve">In 2022, </w:t>
      </w:r>
      <w:r w:rsidRPr="00194060">
        <w:rPr>
          <w:rFonts w:ascii="Calibri" w:eastAsia="Calibri" w:hAnsi="Calibri" w:cs="Calibri"/>
        </w:rPr>
        <w:t>US$ 512.15 million</w:t>
      </w:r>
      <w:r>
        <w:rPr>
          <w:rFonts w:ascii="Calibri" w:eastAsia="Calibri" w:hAnsi="Calibri" w:cs="Calibri"/>
        </w:rPr>
        <w:t xml:space="preserve"> has been committed to “</w:t>
      </w:r>
      <w:r w:rsidRPr="00873C53">
        <w:rPr>
          <w:rFonts w:ascii="Calibri" w:eastAsia="Calibri" w:hAnsi="Calibri" w:cs="Calibri"/>
        </w:rPr>
        <w:t xml:space="preserve">Climate and </w:t>
      </w:r>
      <w:r w:rsidRPr="00FE4929">
        <w:rPr>
          <w:rFonts w:ascii="Calibri" w:eastAsia="Calibri" w:hAnsi="Calibri" w:cs="Calibri"/>
          <w:color w:val="212529"/>
        </w:rPr>
        <w:t>Disaster</w:t>
      </w:r>
      <w:r w:rsidRPr="00873C53">
        <w:rPr>
          <w:rFonts w:ascii="Calibri" w:eastAsia="Calibri" w:hAnsi="Calibri" w:cs="Calibri"/>
        </w:rPr>
        <w:t xml:space="preserve"> Resilient Cities Project”, and US$ 341.27 million to “Turkey Climate Smart and Competitive Agricultural Growth Project (TUCSAP</w:t>
      </w:r>
      <w:r w:rsidRPr="00EA4A06">
        <w:t xml:space="preserve">)”. </w:t>
      </w:r>
    </w:p>
    <w:p w14:paraId="1826014C" w14:textId="77777777" w:rsidR="00EB1DE2" w:rsidRPr="00873C53" w:rsidRDefault="00EB1DE2" w:rsidP="00140D1B">
      <w:pPr>
        <w:pStyle w:val="ListParagraph"/>
        <w:numPr>
          <w:ilvl w:val="0"/>
          <w:numId w:val="49"/>
        </w:numPr>
        <w:spacing w:after="160"/>
        <w:ind w:left="692" w:hanging="346"/>
        <w:rPr>
          <w:sz w:val="18"/>
        </w:rPr>
      </w:pPr>
      <w:r w:rsidRPr="5D9484E3">
        <w:rPr>
          <w:rFonts w:ascii="Calibri" w:eastAsia="Calibri" w:hAnsi="Calibri" w:cs="Calibri"/>
        </w:rPr>
        <w:lastRenderedPageBreak/>
        <w:t xml:space="preserve">Among EU Member States, Germany emerges as the main donor and cooperation driver in Turkey, </w:t>
      </w:r>
      <w:proofErr w:type="gramStart"/>
      <w:r w:rsidRPr="5D9484E3">
        <w:rPr>
          <w:rFonts w:ascii="Calibri" w:eastAsia="Calibri" w:hAnsi="Calibri" w:cs="Calibri"/>
        </w:rPr>
        <w:t>in particular through</w:t>
      </w:r>
      <w:proofErr w:type="gramEnd"/>
      <w:r w:rsidRPr="5D9484E3">
        <w:rPr>
          <w:rFonts w:ascii="Calibri" w:eastAsia="Calibri" w:hAnsi="Calibri" w:cs="Calibri"/>
        </w:rPr>
        <w:t xml:space="preserve"> GIZ. With the Turkish Ministry of Environment, Urbanization and Climate Change as lead executing agency, GIZ indeed implemented a project on “Capacity development for the monitoring, reporting and verification of greenhouse gas emissions” (2013-2021 - €5,4 million), that resulted in companies accounting for more than 50% of Turkey’s GHG emissions submitting verified emissions reports every year, as well as an “Energy Efficiency in Public Buildings” (2014-2020 - €6,5 million) project, with strong capacity-building, awareness-raising and technology cooperation components. Both projects were commissioned by the German Federal Ministry of Environment, which regularly meet with its Turkish counterpart through the Turkish-German Environmental Steering Committee and the Turkish-German Energy Forum.</w:t>
      </w:r>
      <w:r>
        <w:t xml:space="preserve"> </w:t>
      </w:r>
      <w:r w:rsidRPr="00873C53">
        <w:t xml:space="preserve">Germany and France, through </w:t>
      </w:r>
      <w:proofErr w:type="spellStart"/>
      <w:r w:rsidRPr="00873C53">
        <w:t>KfW</w:t>
      </w:r>
      <w:proofErr w:type="spellEnd"/>
      <w:r w:rsidRPr="00873C53">
        <w:t xml:space="preserve"> and AFD, are implementing the USD 3.2 billion memorandum of understanding on climate investment negotiated in 2021 together with the World Bank.</w:t>
      </w:r>
    </w:p>
    <w:p w14:paraId="1136BEDA" w14:textId="34CA07EE" w:rsidR="00DA21A6" w:rsidRPr="00DA21A6" w:rsidRDefault="00DA21A6" w:rsidP="00140D1B">
      <w:pPr>
        <w:rPr>
          <w:rFonts w:eastAsia="Calibri" w:cstheme="minorHAnsi"/>
        </w:rPr>
      </w:pPr>
      <w:r w:rsidRPr="00DA21A6">
        <w:rPr>
          <w:rFonts w:eastAsia="Calibri" w:cstheme="minorHAnsi"/>
        </w:rPr>
        <w:t xml:space="preserve">All the projects stemming from these past activities need to be considered when engaging in Turkey, </w:t>
      </w:r>
      <w:proofErr w:type="gramStart"/>
      <w:r w:rsidRPr="00DA21A6">
        <w:rPr>
          <w:rFonts w:eastAsia="Calibri" w:cstheme="minorHAnsi"/>
        </w:rPr>
        <w:t>in order to</w:t>
      </w:r>
      <w:proofErr w:type="gramEnd"/>
      <w:r w:rsidRPr="00DA21A6">
        <w:rPr>
          <w:rFonts w:eastAsia="Calibri" w:cstheme="minorHAnsi"/>
        </w:rPr>
        <w:t xml:space="preserve"> build on them rather than duplicating.</w:t>
      </w:r>
    </w:p>
    <w:p w14:paraId="47EEF146" w14:textId="34598D96" w:rsidR="006F3C29" w:rsidRPr="00E229AD" w:rsidRDefault="00B30928" w:rsidP="00D204C7">
      <w:pPr>
        <w:pStyle w:val="Heading2"/>
        <w:numPr>
          <w:ilvl w:val="0"/>
          <w:numId w:val="0"/>
        </w:numPr>
        <w:ind w:left="360" w:hanging="360"/>
      </w:pPr>
      <w:bookmarkStart w:id="10" w:name="_Toc527365601"/>
      <w:bookmarkStart w:id="11" w:name="_Toc138953755"/>
      <w:r w:rsidRPr="00E229AD">
        <w:t>4</w:t>
      </w:r>
      <w:r w:rsidRPr="00E229AD">
        <w:tab/>
        <w:t xml:space="preserve">Thematic priorities for </w:t>
      </w:r>
      <w:bookmarkEnd w:id="10"/>
      <w:r w:rsidR="00AB5D8E" w:rsidRPr="00E229AD">
        <w:t>EUCDs</w:t>
      </w:r>
      <w:bookmarkEnd w:id="11"/>
    </w:p>
    <w:p w14:paraId="34AAF474" w14:textId="30A59465" w:rsidR="006F3C29" w:rsidRPr="00E229AD" w:rsidRDefault="005C0C81" w:rsidP="00D204C7">
      <w:pPr>
        <w:keepNext/>
        <w:spacing w:before="240" w:after="120" w:line="240" w:lineRule="auto"/>
        <w:ind w:left="360" w:hanging="360"/>
        <w:outlineLvl w:val="2"/>
        <w:rPr>
          <w:smallCaps/>
          <w:spacing w:val="5"/>
          <w:sz w:val="28"/>
          <w:szCs w:val="32"/>
        </w:rPr>
      </w:pPr>
      <w:bookmarkStart w:id="12" w:name="_Toc138953756"/>
      <w:r w:rsidRPr="00E229AD">
        <w:rPr>
          <w:smallCaps/>
          <w:spacing w:val="5"/>
          <w:sz w:val="28"/>
          <w:szCs w:val="32"/>
        </w:rPr>
        <w:t>Identified priorities</w:t>
      </w:r>
      <w:bookmarkEnd w:id="12"/>
    </w:p>
    <w:p w14:paraId="4EC50C77" w14:textId="77777777" w:rsidR="00DA21A6" w:rsidRDefault="00DA21A6" w:rsidP="00DA21A6">
      <w:pPr>
        <w:rPr>
          <w:rFonts w:ascii="Calibri" w:eastAsia="Calibri" w:hAnsi="Calibri" w:cs="Calibri"/>
        </w:rPr>
      </w:pPr>
      <w:r w:rsidRPr="704A57C5">
        <w:rPr>
          <w:rFonts w:ascii="Calibri" w:eastAsia="Calibri" w:hAnsi="Calibri" w:cs="Calibri"/>
        </w:rPr>
        <w:t>Based on the above, the following topics should be considered for engagement with Turkey:</w:t>
      </w:r>
    </w:p>
    <w:p w14:paraId="02FE707C" w14:textId="77777777" w:rsidR="00090771" w:rsidRDefault="00090771" w:rsidP="00140D1B">
      <w:pPr>
        <w:pStyle w:val="ListParagraph"/>
        <w:numPr>
          <w:ilvl w:val="0"/>
          <w:numId w:val="50"/>
        </w:numPr>
        <w:spacing w:after="120"/>
        <w:ind w:left="692" w:hanging="346"/>
        <w:contextualSpacing w:val="0"/>
        <w:rPr>
          <w:rFonts w:ascii="Calibri" w:eastAsia="Calibri" w:hAnsi="Calibri" w:cs="Calibri"/>
        </w:rPr>
      </w:pPr>
      <w:r w:rsidRPr="704A57C5">
        <w:rPr>
          <w:rFonts w:ascii="Calibri" w:eastAsia="Calibri" w:hAnsi="Calibri" w:cs="Calibri"/>
          <w:b/>
          <w:bCs/>
        </w:rPr>
        <w:t>Carbon pricing</w:t>
      </w:r>
      <w:r w:rsidRPr="704A57C5">
        <w:rPr>
          <w:rFonts w:ascii="Calibri" w:eastAsia="Calibri" w:hAnsi="Calibri" w:cs="Calibri"/>
        </w:rPr>
        <w:t xml:space="preserve"> – in the context of the High-Level Dialogue: Turkey has taken steps towards an Emission Trading System and has now applied to the Partnership for Market Implementation. Setting up an ETS in Turkey would be a key requirement </w:t>
      </w:r>
      <w:proofErr w:type="gramStart"/>
      <w:r w:rsidRPr="704A57C5">
        <w:rPr>
          <w:rFonts w:ascii="Calibri" w:eastAsia="Calibri" w:hAnsi="Calibri" w:cs="Calibri"/>
        </w:rPr>
        <w:t>in light of</w:t>
      </w:r>
      <w:proofErr w:type="gramEnd"/>
      <w:r w:rsidRPr="704A57C5">
        <w:rPr>
          <w:rFonts w:ascii="Calibri" w:eastAsia="Calibri" w:hAnsi="Calibri" w:cs="Calibri"/>
        </w:rPr>
        <w:t xml:space="preserve"> the accession process, a major achievement from a decarbonisation perspective and a clear win for the EU climate diplomacy. Entry points include both public authorities (Ministry of the Environment, Urbanisation and Climate Change) and stakeholders (the Turkish business sector has been supportive of strong decarbonisation actions in order to protect the economy’s competitiveness and access to the EU market); both have a very direct interest in moving ahead on this topic in order to minimise the impact of the Carbon Border Adjustment </w:t>
      </w:r>
      <w:proofErr w:type="gramStart"/>
      <w:r w:rsidRPr="704A57C5">
        <w:rPr>
          <w:rFonts w:ascii="Calibri" w:eastAsia="Calibri" w:hAnsi="Calibri" w:cs="Calibri"/>
        </w:rPr>
        <w:t>Mechanism;</w:t>
      </w:r>
      <w:proofErr w:type="gramEnd"/>
    </w:p>
    <w:p w14:paraId="619CDF96" w14:textId="77777777" w:rsidR="00F86289" w:rsidRDefault="00F86289" w:rsidP="00140D1B">
      <w:pPr>
        <w:pStyle w:val="ListParagraph"/>
        <w:numPr>
          <w:ilvl w:val="0"/>
          <w:numId w:val="50"/>
        </w:numPr>
        <w:spacing w:after="120"/>
        <w:ind w:left="692" w:hanging="346"/>
        <w:contextualSpacing w:val="0"/>
        <w:rPr>
          <w:rFonts w:ascii="Calibri" w:eastAsia="Calibri" w:hAnsi="Calibri" w:cs="Calibri"/>
        </w:rPr>
      </w:pPr>
      <w:r w:rsidRPr="704A57C5">
        <w:rPr>
          <w:rFonts w:ascii="Calibri" w:eastAsia="Calibri" w:hAnsi="Calibri" w:cs="Calibri"/>
          <w:b/>
          <w:bCs/>
        </w:rPr>
        <w:t xml:space="preserve">Adaptation </w:t>
      </w:r>
      <w:r w:rsidRPr="704A57C5">
        <w:rPr>
          <w:rFonts w:ascii="Calibri" w:eastAsia="Calibri" w:hAnsi="Calibri" w:cs="Calibri"/>
        </w:rPr>
        <w:t xml:space="preserve">– in the context of the High-Level Dialogue: Turkey is updating its National Adaptation Strategy </w:t>
      </w:r>
      <w:r>
        <w:rPr>
          <w:rFonts w:ascii="Calibri" w:eastAsia="Calibri" w:hAnsi="Calibri" w:cs="Calibri"/>
        </w:rPr>
        <w:t xml:space="preserve">and Action Plan </w:t>
      </w:r>
      <w:r w:rsidRPr="704A57C5">
        <w:rPr>
          <w:rFonts w:ascii="Calibri" w:eastAsia="Calibri" w:hAnsi="Calibri" w:cs="Calibri"/>
        </w:rPr>
        <w:t xml:space="preserve">with EU support. Considering the vulnerability level of the Turkish territory and the interest expressed by Turkish authorities. This could include involving the Global Covenant of Mayors for reaching out to local authorities, a major part of the resilience equation in the </w:t>
      </w:r>
      <w:proofErr w:type="gramStart"/>
      <w:r w:rsidRPr="704A57C5">
        <w:rPr>
          <w:rFonts w:ascii="Calibri" w:eastAsia="Calibri" w:hAnsi="Calibri" w:cs="Calibri"/>
        </w:rPr>
        <w:t>country;</w:t>
      </w:r>
      <w:proofErr w:type="gramEnd"/>
    </w:p>
    <w:p w14:paraId="63BF65FF" w14:textId="77777777" w:rsidR="00546E57" w:rsidRDefault="00546E57" w:rsidP="00140D1B">
      <w:pPr>
        <w:pStyle w:val="ListParagraph"/>
        <w:numPr>
          <w:ilvl w:val="0"/>
          <w:numId w:val="50"/>
        </w:numPr>
        <w:spacing w:after="120"/>
        <w:ind w:left="692" w:hanging="346"/>
        <w:contextualSpacing w:val="0"/>
        <w:rPr>
          <w:rFonts w:ascii="Calibri" w:eastAsia="Calibri" w:hAnsi="Calibri" w:cs="Calibri"/>
        </w:rPr>
      </w:pPr>
      <w:r w:rsidRPr="704A57C5">
        <w:rPr>
          <w:rFonts w:ascii="Calibri" w:eastAsia="Calibri" w:hAnsi="Calibri" w:cs="Calibri"/>
          <w:b/>
          <w:bCs/>
        </w:rPr>
        <w:t>Decarbonisation modelling</w:t>
      </w:r>
      <w:r w:rsidRPr="704A57C5">
        <w:rPr>
          <w:rFonts w:ascii="Calibri" w:eastAsia="Calibri" w:hAnsi="Calibri" w:cs="Calibri"/>
        </w:rPr>
        <w:t xml:space="preserve">: the recent objective of reaching net-zero 2053 does not appear to be backed by very robust economic modelling and many parameters deserve in-depth scrutiny. However, the long-term strategy expected for late 2022/early 2023 could help lift some </w:t>
      </w:r>
      <w:proofErr w:type="gramStart"/>
      <w:r w:rsidRPr="704A57C5">
        <w:rPr>
          <w:rFonts w:ascii="Calibri" w:eastAsia="Calibri" w:hAnsi="Calibri" w:cs="Calibri"/>
        </w:rPr>
        <w:t>uncertainty;</w:t>
      </w:r>
      <w:proofErr w:type="gramEnd"/>
    </w:p>
    <w:p w14:paraId="35EE8D65" w14:textId="77777777" w:rsidR="00140D1B" w:rsidRPr="00CC39C2" w:rsidRDefault="00140D1B" w:rsidP="00140D1B">
      <w:pPr>
        <w:pStyle w:val="ListParagraph"/>
        <w:numPr>
          <w:ilvl w:val="0"/>
          <w:numId w:val="50"/>
        </w:numPr>
        <w:spacing w:after="160"/>
        <w:ind w:left="692" w:hanging="346"/>
        <w:rPr>
          <w:rFonts w:ascii="Calibri" w:eastAsia="Calibri" w:hAnsi="Calibri" w:cs="Calibri"/>
        </w:rPr>
      </w:pPr>
      <w:r w:rsidRPr="704A57C5">
        <w:rPr>
          <w:rFonts w:ascii="Calibri" w:eastAsia="Calibri" w:hAnsi="Calibri" w:cs="Calibri"/>
          <w:b/>
          <w:bCs/>
        </w:rPr>
        <w:t>Coal phase-out</w:t>
      </w:r>
      <w:r>
        <w:rPr>
          <w:rFonts w:ascii="Calibri" w:eastAsia="Calibri" w:hAnsi="Calibri" w:cs="Calibri"/>
          <w:b/>
          <w:bCs/>
        </w:rPr>
        <w:t xml:space="preserve"> and just transition</w:t>
      </w:r>
      <w:r w:rsidRPr="704A57C5">
        <w:rPr>
          <w:rFonts w:ascii="Calibri" w:eastAsia="Calibri" w:hAnsi="Calibri" w:cs="Calibri"/>
          <w:b/>
          <w:bCs/>
        </w:rPr>
        <w:t>:</w:t>
      </w:r>
      <w:r w:rsidRPr="704A57C5">
        <w:rPr>
          <w:rFonts w:ascii="Calibri" w:eastAsia="Calibri" w:hAnsi="Calibri" w:cs="Calibri"/>
        </w:rPr>
        <w:t xml:space="preserve"> </w:t>
      </w:r>
      <w:proofErr w:type="gramStart"/>
      <w:r w:rsidRPr="704A57C5">
        <w:rPr>
          <w:rFonts w:ascii="Calibri" w:eastAsia="Calibri" w:hAnsi="Calibri" w:cs="Calibri"/>
        </w:rPr>
        <w:t>in light of</w:t>
      </w:r>
      <w:proofErr w:type="gramEnd"/>
      <w:r w:rsidRPr="704A57C5">
        <w:rPr>
          <w:rFonts w:ascii="Calibri" w:eastAsia="Calibri" w:hAnsi="Calibri" w:cs="Calibri"/>
        </w:rPr>
        <w:t xml:space="preserve"> China’s U-turn in terms of funding coal-powered plants globally, Turkey could be one of the most affected countries. Power generation is the prime lever of </w:t>
      </w:r>
      <w:r w:rsidRPr="00194060">
        <w:rPr>
          <w:rFonts w:ascii="Calibri" w:eastAsia="Calibri" w:hAnsi="Calibri" w:cs="Calibri"/>
        </w:rPr>
        <w:t xml:space="preserve">action for achieving net-zero. </w:t>
      </w:r>
      <w:proofErr w:type="gramStart"/>
      <w:r w:rsidRPr="00194060">
        <w:rPr>
          <w:rFonts w:ascii="Calibri" w:eastAsia="Calibri" w:hAnsi="Calibri" w:cs="Calibri"/>
        </w:rPr>
        <w:t>It is clear that reaching</w:t>
      </w:r>
      <w:proofErr w:type="gramEnd"/>
      <w:r w:rsidRPr="00194060">
        <w:rPr>
          <w:rFonts w:ascii="Calibri" w:eastAsia="Calibri" w:hAnsi="Calibri" w:cs="Calibri"/>
        </w:rPr>
        <w:t xml:space="preserve"> net-zero emissions by 2053 requires phasing out coal power around or soon after 2040. </w:t>
      </w:r>
      <w:r>
        <w:rPr>
          <w:rFonts w:ascii="Calibri" w:eastAsia="Calibri" w:hAnsi="Calibri" w:cs="Calibri"/>
        </w:rPr>
        <w:t>Considering Turkey’s domestic production of coal and lignite and concerns for its energy security, it is critical to factor in economic and social opportunities for coal-reliant regions in any strategy aiming at reducing the share of coal in the energy mix.</w:t>
      </w:r>
    </w:p>
    <w:p w14:paraId="01782860" w14:textId="7F6DE4C6" w:rsidR="008A3214" w:rsidRPr="00DA21A6" w:rsidRDefault="008A3214" w:rsidP="00140D1B">
      <w:pPr>
        <w:pStyle w:val="ListParagraph"/>
        <w:spacing w:after="160"/>
        <w:ind w:left="680"/>
        <w:rPr>
          <w:rFonts w:ascii="Calibri" w:hAnsi="Calibri" w:cs="Calibri"/>
          <w:shd w:val="clear" w:color="auto" w:fill="FFFFFF"/>
        </w:rPr>
      </w:pPr>
    </w:p>
    <w:sectPr w:rsidR="008A3214" w:rsidRPr="00DA21A6" w:rsidSect="005F0E0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9867" w14:textId="77777777" w:rsidR="00397D84" w:rsidRDefault="00397D84" w:rsidP="000E160B">
      <w:pPr>
        <w:spacing w:after="0" w:line="240" w:lineRule="auto"/>
      </w:pPr>
      <w:r>
        <w:separator/>
      </w:r>
    </w:p>
  </w:endnote>
  <w:endnote w:type="continuationSeparator" w:id="0">
    <w:p w14:paraId="0ECA45EC" w14:textId="77777777" w:rsidR="00397D84" w:rsidRDefault="00397D84" w:rsidP="000E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169341"/>
      <w:docPartObj>
        <w:docPartGallery w:val="Page Numbers (Bottom of Page)"/>
        <w:docPartUnique/>
      </w:docPartObj>
    </w:sdtPr>
    <w:sdtEndPr>
      <w:rPr>
        <w:noProof/>
      </w:rPr>
    </w:sdtEndPr>
    <w:sdtContent>
      <w:p w14:paraId="4E88FE30" w14:textId="46CD87BC" w:rsidR="00B93EBD" w:rsidRPr="003427F1" w:rsidRDefault="00B93EBD" w:rsidP="003427F1">
        <w:pPr>
          <w:pStyle w:val="Header"/>
          <w:jc w:val="right"/>
          <w:rPr>
            <w:b/>
            <w:sz w:val="16"/>
          </w:rPr>
        </w:pPr>
        <w:r>
          <w:tab/>
        </w:r>
        <w:r w:rsidRPr="00B53BEA">
          <w:rPr>
            <w:b/>
            <w:sz w:val="16"/>
          </w:rPr>
          <w:t xml:space="preserve">– Page </w:t>
        </w:r>
        <w:r w:rsidRPr="00B53BEA">
          <w:rPr>
            <w:b/>
            <w:sz w:val="16"/>
          </w:rPr>
          <w:fldChar w:fldCharType="begin"/>
        </w:r>
        <w:r w:rsidRPr="00B53BEA">
          <w:rPr>
            <w:b/>
            <w:sz w:val="16"/>
          </w:rPr>
          <w:instrText xml:space="preserve"> PAGE   \* MERGEFORMAT </w:instrText>
        </w:r>
        <w:r w:rsidRPr="00B53BEA">
          <w:rPr>
            <w:b/>
            <w:sz w:val="16"/>
          </w:rPr>
          <w:fldChar w:fldCharType="separate"/>
        </w:r>
        <w:r w:rsidR="008B7833">
          <w:rPr>
            <w:b/>
            <w:noProof/>
            <w:sz w:val="16"/>
          </w:rPr>
          <w:t>6</w:t>
        </w:r>
        <w:r w:rsidRPr="00B53BEA">
          <w:rPr>
            <w:b/>
            <w:sz w:val="16"/>
          </w:rPr>
          <w:fldChar w:fldCharType="end"/>
        </w:r>
        <w:r w:rsidRPr="00B53BEA">
          <w:rPr>
            <w:b/>
            <w:sz w:val="16"/>
          </w:rPr>
          <w:t xml:space="preserve"> –</w:t>
        </w:r>
        <w:r>
          <w:rPr>
            <w:noProof/>
          </w:rPr>
          <w:t xml:space="preserve">  </w:t>
        </w:r>
        <w:r w:rsidRPr="00B53BEA">
          <w:rPr>
            <w:b/>
            <w:sz w:val="16"/>
          </w:rPr>
          <w:t xml:space="preserve"> </w:t>
        </w:r>
        <w:r>
          <w:rPr>
            <w:b/>
            <w:sz w:val="16"/>
          </w:rPr>
          <w:tab/>
        </w:r>
        <w:r w:rsidRPr="00A0748F">
          <w:rPr>
            <w:b/>
            <w:sz w:val="16"/>
          </w:rPr>
          <w:t>For internal use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649B" w14:textId="77777777" w:rsidR="00397D84" w:rsidRDefault="00397D84" w:rsidP="000E160B">
      <w:pPr>
        <w:spacing w:after="0" w:line="240" w:lineRule="auto"/>
      </w:pPr>
      <w:r>
        <w:separator/>
      </w:r>
    </w:p>
  </w:footnote>
  <w:footnote w:type="continuationSeparator" w:id="0">
    <w:p w14:paraId="727D55B6" w14:textId="77777777" w:rsidR="00397D84" w:rsidRDefault="00397D84" w:rsidP="000E160B">
      <w:pPr>
        <w:spacing w:after="0" w:line="240" w:lineRule="auto"/>
      </w:pPr>
      <w:r>
        <w:continuationSeparator/>
      </w:r>
    </w:p>
  </w:footnote>
  <w:footnote w:id="1">
    <w:p w14:paraId="0C5785A9" w14:textId="77777777" w:rsidR="00A340F1" w:rsidRPr="00873C53" w:rsidRDefault="00A340F1" w:rsidP="00A340F1">
      <w:pPr>
        <w:pStyle w:val="FootnoteText"/>
        <w:rPr>
          <w:lang w:val="en-US"/>
        </w:rPr>
      </w:pPr>
      <w:r>
        <w:rPr>
          <w:rStyle w:val="FootnoteReference"/>
        </w:rPr>
        <w:footnoteRef/>
      </w:r>
      <w:r>
        <w:t xml:space="preserve"> </w:t>
      </w:r>
      <w:proofErr w:type="spellStart"/>
      <w:r w:rsidRPr="00873C53">
        <w:rPr>
          <w:sz w:val="16"/>
          <w:szCs w:val="16"/>
          <w:lang w:val="en-US"/>
        </w:rPr>
        <w:t>TurkStat</w:t>
      </w:r>
      <w:proofErr w:type="spellEnd"/>
      <w:r w:rsidRPr="00873C53">
        <w:rPr>
          <w:sz w:val="16"/>
          <w:szCs w:val="16"/>
          <w:lang w:val="en-US"/>
        </w:rPr>
        <w:t>, 2022, National Inventory Report for submission under the UNFCCC, April 2022</w:t>
      </w:r>
    </w:p>
  </w:footnote>
  <w:footnote w:id="2">
    <w:p w14:paraId="70FF7316" w14:textId="77777777" w:rsidR="00A97EF6" w:rsidRPr="00923BEA" w:rsidRDefault="00A97EF6" w:rsidP="00A97EF6">
      <w:pPr>
        <w:pStyle w:val="FootnoteText"/>
      </w:pPr>
      <w:r>
        <w:rPr>
          <w:rStyle w:val="FootnoteReference"/>
        </w:rPr>
        <w:footnoteRef/>
      </w:r>
      <w:r>
        <w:t xml:space="preserve"> </w:t>
      </w:r>
      <w:r w:rsidRPr="00923BEA">
        <w:rPr>
          <w:sz w:val="16"/>
        </w:rPr>
        <w:t xml:space="preserve">Climate Transparency, Turkey Report </w:t>
      </w:r>
      <w:r>
        <w:rPr>
          <w:sz w:val="16"/>
        </w:rPr>
        <w:t>(</w:t>
      </w:r>
      <w:r w:rsidRPr="00923BEA">
        <w:rPr>
          <w:sz w:val="16"/>
        </w:rPr>
        <w:t>202</w:t>
      </w:r>
      <w:r>
        <w:rPr>
          <w:sz w:val="16"/>
        </w:rPr>
        <w:t>1)</w:t>
      </w:r>
      <w:r w:rsidRPr="00923BEA">
        <w:rPr>
          <w:sz w:val="16"/>
        </w:rPr>
        <w:t xml:space="preserve">, p. 1 </w:t>
      </w:r>
    </w:p>
  </w:footnote>
  <w:footnote w:id="3">
    <w:p w14:paraId="53E43EFC" w14:textId="77777777" w:rsidR="00D8526F" w:rsidRPr="007E51F2" w:rsidRDefault="00D8526F" w:rsidP="00D8526F">
      <w:pPr>
        <w:pStyle w:val="FootnoteText"/>
        <w:rPr>
          <w:lang w:val="en-US"/>
        </w:rPr>
      </w:pPr>
      <w:r>
        <w:rPr>
          <w:rStyle w:val="FootnoteReference"/>
        </w:rPr>
        <w:footnoteRef/>
      </w:r>
      <w:r>
        <w:t xml:space="preserve"> </w:t>
      </w:r>
      <w:r w:rsidRPr="007E51F2">
        <w:rPr>
          <w:sz w:val="16"/>
          <w:szCs w:val="16"/>
          <w:lang w:val="en-US"/>
        </w:rPr>
        <w:t>According to media coverage of interviews made with experts such as Head of Federation of Turkish Food and Beverage Industry Associations</w:t>
      </w:r>
      <w:r>
        <w:rPr>
          <w:sz w:val="16"/>
          <w:szCs w:val="16"/>
          <w:lang w:val="en-US"/>
        </w:rPr>
        <w:t xml:space="preserve">: </w:t>
      </w:r>
      <w:hyperlink r:id="rId1" w:history="1">
        <w:r w:rsidRPr="00E4463B">
          <w:rPr>
            <w:rStyle w:val="Hyperlink"/>
            <w:sz w:val="16"/>
            <w:szCs w:val="16"/>
            <w:lang w:val="en-US"/>
          </w:rPr>
          <w:t>https://www.cumhuriyet.com.tr/ekonomi/ekmek-hayvansal-urunler-bakliyat-hububat-ve-bitkisel-yaglarda-yeni-zamlar-kapida-1872687</w:t>
        </w:r>
      </w:hyperlink>
      <w:r>
        <w:rPr>
          <w:sz w:val="16"/>
          <w:szCs w:val="16"/>
          <w:lang w:val="en-US"/>
        </w:rPr>
        <w:t xml:space="preserve"> ,</w:t>
      </w:r>
      <w:r w:rsidRPr="007E51F2">
        <w:rPr>
          <w:sz w:val="16"/>
          <w:szCs w:val="16"/>
          <w:lang w:val="en-US"/>
        </w:rPr>
        <w:t xml:space="preserve"> climate experts</w:t>
      </w:r>
      <w:r>
        <w:rPr>
          <w:sz w:val="16"/>
          <w:szCs w:val="16"/>
          <w:lang w:val="en-US"/>
        </w:rPr>
        <w:t xml:space="preserve">, and Head Chamber of Agricultural Engineers of several cities in Turkey: </w:t>
      </w:r>
      <w:hyperlink r:id="rId2" w:history="1">
        <w:r w:rsidRPr="00E4463B">
          <w:rPr>
            <w:rStyle w:val="Hyperlink"/>
            <w:sz w:val="16"/>
            <w:szCs w:val="16"/>
            <w:lang w:val="en-US"/>
          </w:rPr>
          <w:t>https://www.gazeteduvar.com.tr/turkiyede-kurak-gunler-tarimin-kaderi-ocak-ayinda-belli-olacak-haber-1598877</w:t>
        </w:r>
      </w:hyperlink>
      <w:r>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32B7" w14:textId="5B0F977B" w:rsidR="00B93EBD" w:rsidRPr="002E700B" w:rsidRDefault="00EE3D6D" w:rsidP="000E160B">
    <w:pPr>
      <w:pStyle w:val="Header"/>
      <w:jc w:val="right"/>
      <w:rPr>
        <w:b/>
        <w:sz w:val="16"/>
        <w:lang w:val="fr-BE"/>
      </w:rPr>
    </w:pPr>
    <w:proofErr w:type="spellStart"/>
    <w:r>
      <w:rPr>
        <w:b/>
        <w:sz w:val="16"/>
        <w:lang w:val="fr-BE"/>
      </w:rPr>
      <w:t>EUCDs</w:t>
    </w:r>
    <w:proofErr w:type="spellEnd"/>
    <w:r w:rsidR="00B93EBD">
      <w:rPr>
        <w:b/>
        <w:sz w:val="16"/>
        <w:lang w:val="fr-BE"/>
      </w:rPr>
      <w:t>/</w:t>
    </w:r>
    <w:proofErr w:type="spellStart"/>
    <w:r w:rsidR="00DA21A6">
      <w:rPr>
        <w:b/>
        <w:sz w:val="16"/>
        <w:lang w:val="fr-BE"/>
      </w:rPr>
      <w:t>Turkey</w:t>
    </w:r>
    <w:proofErr w:type="spellEnd"/>
    <w:r w:rsidR="005A22EF">
      <w:rPr>
        <w:b/>
        <w:sz w:val="16"/>
        <w:lang w:val="fr-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1963"/>
    <w:multiLevelType w:val="hybridMultilevel"/>
    <w:tmpl w:val="4CAE2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372D04"/>
    <w:multiLevelType w:val="hybridMultilevel"/>
    <w:tmpl w:val="3F5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252FE"/>
    <w:multiLevelType w:val="hybridMultilevel"/>
    <w:tmpl w:val="F2FE8C52"/>
    <w:lvl w:ilvl="0" w:tplc="0CDE1D4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5665A"/>
    <w:multiLevelType w:val="hybridMultilevel"/>
    <w:tmpl w:val="C414E84A"/>
    <w:lvl w:ilvl="0" w:tplc="0407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9C793D"/>
    <w:multiLevelType w:val="hybridMultilevel"/>
    <w:tmpl w:val="2F8C7F08"/>
    <w:lvl w:ilvl="0" w:tplc="0407000B">
      <w:start w:val="1"/>
      <w:numFmt w:val="bullet"/>
      <w:lvlText w:val=""/>
      <w:lvlJc w:val="left"/>
      <w:pPr>
        <w:ind w:left="360" w:hanging="360"/>
      </w:pPr>
      <w:rPr>
        <w:rFonts w:ascii="Wingdings" w:hAnsi="Wingdings" w:hint="default"/>
      </w:rPr>
    </w:lvl>
    <w:lvl w:ilvl="1" w:tplc="080A0001">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8BB7351"/>
    <w:multiLevelType w:val="hybridMultilevel"/>
    <w:tmpl w:val="35C40406"/>
    <w:lvl w:ilvl="0" w:tplc="CB9A680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6854AE"/>
    <w:multiLevelType w:val="hybridMultilevel"/>
    <w:tmpl w:val="C48E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2739"/>
    <w:multiLevelType w:val="hybridMultilevel"/>
    <w:tmpl w:val="05ECA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252623"/>
    <w:multiLevelType w:val="hybridMultilevel"/>
    <w:tmpl w:val="68249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F45892"/>
    <w:multiLevelType w:val="hybridMultilevel"/>
    <w:tmpl w:val="2E9A29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2F70A5"/>
    <w:multiLevelType w:val="hybridMultilevel"/>
    <w:tmpl w:val="4DA62E3C"/>
    <w:lvl w:ilvl="0" w:tplc="3216CEE8">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B86EDC"/>
    <w:multiLevelType w:val="hybridMultilevel"/>
    <w:tmpl w:val="909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904D2"/>
    <w:multiLevelType w:val="hybridMultilevel"/>
    <w:tmpl w:val="3F0E5C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0A735B8"/>
    <w:multiLevelType w:val="hybridMultilevel"/>
    <w:tmpl w:val="1A6A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B35D9"/>
    <w:multiLevelType w:val="multilevel"/>
    <w:tmpl w:val="04070025"/>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2D373D0"/>
    <w:multiLevelType w:val="hybridMultilevel"/>
    <w:tmpl w:val="84AC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E4B60"/>
    <w:multiLevelType w:val="hybridMultilevel"/>
    <w:tmpl w:val="D8E6ACD6"/>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9869E5"/>
    <w:multiLevelType w:val="hybridMultilevel"/>
    <w:tmpl w:val="7A28BAD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C964C0"/>
    <w:multiLevelType w:val="hybridMultilevel"/>
    <w:tmpl w:val="D2E89D08"/>
    <w:lvl w:ilvl="0" w:tplc="CE04093A">
      <w:start w:val="1"/>
      <w:numFmt w:val="decimal"/>
      <w:pStyle w:val="Heading2"/>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B270471"/>
    <w:multiLevelType w:val="hybridMultilevel"/>
    <w:tmpl w:val="43D0F69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BE21412"/>
    <w:multiLevelType w:val="hybridMultilevel"/>
    <w:tmpl w:val="3E360E5C"/>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9B35DC"/>
    <w:multiLevelType w:val="hybridMultilevel"/>
    <w:tmpl w:val="EF1464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D379EC"/>
    <w:multiLevelType w:val="hybridMultilevel"/>
    <w:tmpl w:val="303C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43D47"/>
    <w:multiLevelType w:val="hybridMultilevel"/>
    <w:tmpl w:val="CAB8AD7C"/>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BB618C"/>
    <w:multiLevelType w:val="hybridMultilevel"/>
    <w:tmpl w:val="0C1CF254"/>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D779A9"/>
    <w:multiLevelType w:val="hybridMultilevel"/>
    <w:tmpl w:val="4886CD74"/>
    <w:lvl w:ilvl="0" w:tplc="040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C10707"/>
    <w:multiLevelType w:val="hybridMultilevel"/>
    <w:tmpl w:val="B014A52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D5CA1EA">
      <w:numFmt w:val="bullet"/>
      <w:lvlText w:val="·"/>
      <w:lvlJc w:val="left"/>
      <w:pPr>
        <w:ind w:left="2160" w:hanging="360"/>
      </w:pPr>
      <w:rPr>
        <w:rFonts w:ascii="Calibri" w:eastAsiaTheme="minorEastAsia"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D0D6E"/>
    <w:multiLevelType w:val="hybridMultilevel"/>
    <w:tmpl w:val="C2EEDA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AE56C78"/>
    <w:multiLevelType w:val="multilevel"/>
    <w:tmpl w:val="6F14C43E"/>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15:restartNumberingAfterBreak="0">
    <w:nsid w:val="4B257C45"/>
    <w:multiLevelType w:val="hybridMultilevel"/>
    <w:tmpl w:val="724EA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CC798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7A7C35"/>
    <w:multiLevelType w:val="hybridMultilevel"/>
    <w:tmpl w:val="3E6E4E0C"/>
    <w:lvl w:ilvl="0" w:tplc="0407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2ED5E63"/>
    <w:multiLevelType w:val="hybridMultilevel"/>
    <w:tmpl w:val="A3301828"/>
    <w:lvl w:ilvl="0" w:tplc="3216CEE8">
      <w:numFmt w:val="bullet"/>
      <w:lvlText w:val="-"/>
      <w:lvlJc w:val="left"/>
      <w:pPr>
        <w:ind w:left="360" w:hanging="360"/>
      </w:pPr>
      <w:rPr>
        <w:rFonts w:ascii="Calibri" w:eastAsiaTheme="minorEastAsia"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F130B1"/>
    <w:multiLevelType w:val="hybridMultilevel"/>
    <w:tmpl w:val="8C785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CE4E48"/>
    <w:multiLevelType w:val="hybridMultilevel"/>
    <w:tmpl w:val="D80CE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B5689C"/>
    <w:multiLevelType w:val="hybridMultilevel"/>
    <w:tmpl w:val="EFECB0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C624677"/>
    <w:multiLevelType w:val="hybridMultilevel"/>
    <w:tmpl w:val="1CA8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383977"/>
    <w:multiLevelType w:val="hybridMultilevel"/>
    <w:tmpl w:val="A34E8444"/>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505261"/>
    <w:multiLevelType w:val="hybridMultilevel"/>
    <w:tmpl w:val="4B267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8757BF"/>
    <w:multiLevelType w:val="hybridMultilevel"/>
    <w:tmpl w:val="52D6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C4CB6"/>
    <w:multiLevelType w:val="hybridMultilevel"/>
    <w:tmpl w:val="304E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3E2D04"/>
    <w:multiLevelType w:val="hybridMultilevel"/>
    <w:tmpl w:val="33CC8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445B0A"/>
    <w:multiLevelType w:val="hybridMultilevel"/>
    <w:tmpl w:val="D432428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B4855C1"/>
    <w:multiLevelType w:val="hybridMultilevel"/>
    <w:tmpl w:val="28548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874CA8"/>
    <w:multiLevelType w:val="multilevel"/>
    <w:tmpl w:val="F078EF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7973BC"/>
    <w:multiLevelType w:val="hybridMultilevel"/>
    <w:tmpl w:val="2E6E7EC6"/>
    <w:lvl w:ilvl="0" w:tplc="E312C49E">
      <w:start w:val="1"/>
      <w:numFmt w:val="bullet"/>
      <w:lvlText w:val=""/>
      <w:lvlJc w:val="left"/>
      <w:pPr>
        <w:ind w:left="360" w:hanging="360"/>
      </w:pPr>
      <w:rPr>
        <w:rFonts w:ascii="Symbol" w:hAnsi="Symbol" w:hint="default"/>
        <w:lang w:val="fr-B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EBF357E"/>
    <w:multiLevelType w:val="hybridMultilevel"/>
    <w:tmpl w:val="7D3AC122"/>
    <w:lvl w:ilvl="0" w:tplc="72F6B0F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45"/>
  </w:num>
  <w:num w:numId="3">
    <w:abstractNumId w:val="10"/>
  </w:num>
  <w:num w:numId="4">
    <w:abstractNumId w:val="22"/>
  </w:num>
  <w:num w:numId="5">
    <w:abstractNumId w:val="7"/>
  </w:num>
  <w:num w:numId="6">
    <w:abstractNumId w:val="11"/>
  </w:num>
  <w:num w:numId="7">
    <w:abstractNumId w:val="41"/>
  </w:num>
  <w:num w:numId="8">
    <w:abstractNumId w:val="38"/>
  </w:num>
  <w:num w:numId="9">
    <w:abstractNumId w:val="25"/>
  </w:num>
  <w:num w:numId="10">
    <w:abstractNumId w:val="42"/>
  </w:num>
  <w:num w:numId="11">
    <w:abstractNumId w:val="21"/>
  </w:num>
  <w:num w:numId="12">
    <w:abstractNumId w:val="19"/>
  </w:num>
  <w:num w:numId="13">
    <w:abstractNumId w:val="26"/>
  </w:num>
  <w:num w:numId="14">
    <w:abstractNumId w:val="35"/>
  </w:num>
  <w:num w:numId="15">
    <w:abstractNumId w:val="27"/>
  </w:num>
  <w:num w:numId="16">
    <w:abstractNumId w:val="0"/>
  </w:num>
  <w:num w:numId="17">
    <w:abstractNumId w:val="9"/>
  </w:num>
  <w:num w:numId="18">
    <w:abstractNumId w:val="12"/>
  </w:num>
  <w:num w:numId="19">
    <w:abstractNumId w:val="3"/>
  </w:num>
  <w:num w:numId="20">
    <w:abstractNumId w:val="37"/>
  </w:num>
  <w:num w:numId="21">
    <w:abstractNumId w:val="44"/>
  </w:num>
  <w:num w:numId="22">
    <w:abstractNumId w:val="18"/>
  </w:num>
  <w:num w:numId="23">
    <w:abstractNumId w:val="18"/>
  </w:num>
  <w:num w:numId="24">
    <w:abstractNumId w:val="18"/>
  </w:num>
  <w:num w:numId="25">
    <w:abstractNumId w:val="18"/>
  </w:num>
  <w:num w:numId="26">
    <w:abstractNumId w:val="30"/>
  </w:num>
  <w:num w:numId="27">
    <w:abstractNumId w:val="14"/>
  </w:num>
  <w:num w:numId="28">
    <w:abstractNumId w:val="2"/>
  </w:num>
  <w:num w:numId="29">
    <w:abstractNumId w:val="5"/>
  </w:num>
  <w:num w:numId="30">
    <w:abstractNumId w:val="24"/>
  </w:num>
  <w:num w:numId="31">
    <w:abstractNumId w:val="16"/>
  </w:num>
  <w:num w:numId="32">
    <w:abstractNumId w:val="20"/>
  </w:num>
  <w:num w:numId="33">
    <w:abstractNumId w:val="17"/>
  </w:num>
  <w:num w:numId="34">
    <w:abstractNumId w:val="46"/>
  </w:num>
  <w:num w:numId="35">
    <w:abstractNumId w:val="23"/>
  </w:num>
  <w:num w:numId="36">
    <w:abstractNumId w:val="15"/>
  </w:num>
  <w:num w:numId="37">
    <w:abstractNumId w:val="34"/>
  </w:num>
  <w:num w:numId="38">
    <w:abstractNumId w:val="33"/>
  </w:num>
  <w:num w:numId="39">
    <w:abstractNumId w:val="1"/>
  </w:num>
  <w:num w:numId="40">
    <w:abstractNumId w:val="8"/>
  </w:num>
  <w:num w:numId="41">
    <w:abstractNumId w:val="31"/>
  </w:num>
  <w:num w:numId="42">
    <w:abstractNumId w:val="40"/>
  </w:num>
  <w:num w:numId="43">
    <w:abstractNumId w:val="4"/>
  </w:num>
  <w:num w:numId="44">
    <w:abstractNumId w:val="28"/>
  </w:num>
  <w:num w:numId="45">
    <w:abstractNumId w:val="36"/>
  </w:num>
  <w:num w:numId="46">
    <w:abstractNumId w:val="43"/>
  </w:num>
  <w:num w:numId="47">
    <w:abstractNumId w:val="39"/>
  </w:num>
  <w:num w:numId="48">
    <w:abstractNumId w:val="29"/>
  </w:num>
  <w:num w:numId="49">
    <w:abstractNumId w:val="13"/>
  </w:num>
  <w:num w:numId="5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s-CO"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91CE3"/>
    <w:rsid w:val="00001105"/>
    <w:rsid w:val="000074BF"/>
    <w:rsid w:val="000078BD"/>
    <w:rsid w:val="000103C4"/>
    <w:rsid w:val="0001314C"/>
    <w:rsid w:val="000134F7"/>
    <w:rsid w:val="00013F50"/>
    <w:rsid w:val="0001492C"/>
    <w:rsid w:val="000170A1"/>
    <w:rsid w:val="00017149"/>
    <w:rsid w:val="00020DD7"/>
    <w:rsid w:val="00023575"/>
    <w:rsid w:val="000248E5"/>
    <w:rsid w:val="00024930"/>
    <w:rsid w:val="0002711D"/>
    <w:rsid w:val="00027130"/>
    <w:rsid w:val="00031ADA"/>
    <w:rsid w:val="00035171"/>
    <w:rsid w:val="0003522A"/>
    <w:rsid w:val="00036295"/>
    <w:rsid w:val="00037A4A"/>
    <w:rsid w:val="00037F27"/>
    <w:rsid w:val="00037F62"/>
    <w:rsid w:val="00042D51"/>
    <w:rsid w:val="00044F03"/>
    <w:rsid w:val="000467E4"/>
    <w:rsid w:val="0004748C"/>
    <w:rsid w:val="000526BB"/>
    <w:rsid w:val="00052C75"/>
    <w:rsid w:val="000554B5"/>
    <w:rsid w:val="00055C52"/>
    <w:rsid w:val="00056EA4"/>
    <w:rsid w:val="00060122"/>
    <w:rsid w:val="00063FE8"/>
    <w:rsid w:val="00065FDE"/>
    <w:rsid w:val="00066D4E"/>
    <w:rsid w:val="000702A7"/>
    <w:rsid w:val="0007215A"/>
    <w:rsid w:val="00072E95"/>
    <w:rsid w:val="0007578B"/>
    <w:rsid w:val="00076124"/>
    <w:rsid w:val="00077647"/>
    <w:rsid w:val="000814B2"/>
    <w:rsid w:val="00087182"/>
    <w:rsid w:val="00090771"/>
    <w:rsid w:val="0009389F"/>
    <w:rsid w:val="000A0631"/>
    <w:rsid w:val="000A3043"/>
    <w:rsid w:val="000A3EEC"/>
    <w:rsid w:val="000A47FD"/>
    <w:rsid w:val="000A5994"/>
    <w:rsid w:val="000A77F6"/>
    <w:rsid w:val="000B128C"/>
    <w:rsid w:val="000B26FD"/>
    <w:rsid w:val="000B2FEB"/>
    <w:rsid w:val="000B3223"/>
    <w:rsid w:val="000B4738"/>
    <w:rsid w:val="000B4C9C"/>
    <w:rsid w:val="000B665E"/>
    <w:rsid w:val="000C038C"/>
    <w:rsid w:val="000C1D14"/>
    <w:rsid w:val="000C57CD"/>
    <w:rsid w:val="000C5C9C"/>
    <w:rsid w:val="000D038A"/>
    <w:rsid w:val="000D0A10"/>
    <w:rsid w:val="000D0C15"/>
    <w:rsid w:val="000D2054"/>
    <w:rsid w:val="000D32F1"/>
    <w:rsid w:val="000D3620"/>
    <w:rsid w:val="000D5459"/>
    <w:rsid w:val="000D642B"/>
    <w:rsid w:val="000E160B"/>
    <w:rsid w:val="000E19FB"/>
    <w:rsid w:val="000E25CE"/>
    <w:rsid w:val="000E3266"/>
    <w:rsid w:val="000F286C"/>
    <w:rsid w:val="000F2DB1"/>
    <w:rsid w:val="000F3192"/>
    <w:rsid w:val="000F3FD9"/>
    <w:rsid w:val="000F40C4"/>
    <w:rsid w:val="000F5290"/>
    <w:rsid w:val="000F5BDA"/>
    <w:rsid w:val="001016BE"/>
    <w:rsid w:val="0010249E"/>
    <w:rsid w:val="0010383A"/>
    <w:rsid w:val="00103BBB"/>
    <w:rsid w:val="00103F58"/>
    <w:rsid w:val="00104C96"/>
    <w:rsid w:val="001056B9"/>
    <w:rsid w:val="00105901"/>
    <w:rsid w:val="00107FA4"/>
    <w:rsid w:val="001122FA"/>
    <w:rsid w:val="00114496"/>
    <w:rsid w:val="00114A55"/>
    <w:rsid w:val="001152C2"/>
    <w:rsid w:val="00115AAB"/>
    <w:rsid w:val="001167AB"/>
    <w:rsid w:val="00120B9B"/>
    <w:rsid w:val="001237B2"/>
    <w:rsid w:val="00124352"/>
    <w:rsid w:val="00124EC3"/>
    <w:rsid w:val="00125092"/>
    <w:rsid w:val="00127099"/>
    <w:rsid w:val="00130473"/>
    <w:rsid w:val="00132BE3"/>
    <w:rsid w:val="00132FAE"/>
    <w:rsid w:val="0013431F"/>
    <w:rsid w:val="00136A97"/>
    <w:rsid w:val="00137553"/>
    <w:rsid w:val="00140D1B"/>
    <w:rsid w:val="001413FF"/>
    <w:rsid w:val="00141555"/>
    <w:rsid w:val="001418BD"/>
    <w:rsid w:val="00141BB2"/>
    <w:rsid w:val="00142D57"/>
    <w:rsid w:val="00144DF7"/>
    <w:rsid w:val="00145052"/>
    <w:rsid w:val="00147C33"/>
    <w:rsid w:val="001500B1"/>
    <w:rsid w:val="001517E9"/>
    <w:rsid w:val="001523D5"/>
    <w:rsid w:val="001524DD"/>
    <w:rsid w:val="00152D1B"/>
    <w:rsid w:val="0015303D"/>
    <w:rsid w:val="00153506"/>
    <w:rsid w:val="001559CD"/>
    <w:rsid w:val="00156EAB"/>
    <w:rsid w:val="00157464"/>
    <w:rsid w:val="00160812"/>
    <w:rsid w:val="00160C12"/>
    <w:rsid w:val="00163172"/>
    <w:rsid w:val="00163EE7"/>
    <w:rsid w:val="0016537C"/>
    <w:rsid w:val="001654DC"/>
    <w:rsid w:val="00166408"/>
    <w:rsid w:val="00166E2C"/>
    <w:rsid w:val="001672EB"/>
    <w:rsid w:val="00170929"/>
    <w:rsid w:val="00170AC6"/>
    <w:rsid w:val="00171E6B"/>
    <w:rsid w:val="0017225B"/>
    <w:rsid w:val="001734C6"/>
    <w:rsid w:val="00173B2C"/>
    <w:rsid w:val="00173D5B"/>
    <w:rsid w:val="00175E35"/>
    <w:rsid w:val="001765BC"/>
    <w:rsid w:val="00176F9F"/>
    <w:rsid w:val="001828D8"/>
    <w:rsid w:val="00186AA6"/>
    <w:rsid w:val="001909EC"/>
    <w:rsid w:val="001910CF"/>
    <w:rsid w:val="0019234D"/>
    <w:rsid w:val="001925B5"/>
    <w:rsid w:val="00192B9E"/>
    <w:rsid w:val="001944B2"/>
    <w:rsid w:val="00194A60"/>
    <w:rsid w:val="00194D83"/>
    <w:rsid w:val="00194FCC"/>
    <w:rsid w:val="001951DD"/>
    <w:rsid w:val="0019534C"/>
    <w:rsid w:val="0019534E"/>
    <w:rsid w:val="00195D15"/>
    <w:rsid w:val="001966DF"/>
    <w:rsid w:val="0019747E"/>
    <w:rsid w:val="001A242B"/>
    <w:rsid w:val="001A43EC"/>
    <w:rsid w:val="001A50CA"/>
    <w:rsid w:val="001A5D19"/>
    <w:rsid w:val="001A6F2A"/>
    <w:rsid w:val="001B1224"/>
    <w:rsid w:val="001B1411"/>
    <w:rsid w:val="001B1926"/>
    <w:rsid w:val="001B2947"/>
    <w:rsid w:val="001B2CCB"/>
    <w:rsid w:val="001B32E2"/>
    <w:rsid w:val="001B3A0F"/>
    <w:rsid w:val="001B4C70"/>
    <w:rsid w:val="001C10B0"/>
    <w:rsid w:val="001C10F1"/>
    <w:rsid w:val="001C22C4"/>
    <w:rsid w:val="001C22CE"/>
    <w:rsid w:val="001C2F5C"/>
    <w:rsid w:val="001C3769"/>
    <w:rsid w:val="001C6BCF"/>
    <w:rsid w:val="001C7AA7"/>
    <w:rsid w:val="001D01F6"/>
    <w:rsid w:val="001D0F72"/>
    <w:rsid w:val="001D12DD"/>
    <w:rsid w:val="001D16B3"/>
    <w:rsid w:val="001D1CC1"/>
    <w:rsid w:val="001D243C"/>
    <w:rsid w:val="001D4CEB"/>
    <w:rsid w:val="001D70AB"/>
    <w:rsid w:val="001D7CB3"/>
    <w:rsid w:val="001E0652"/>
    <w:rsid w:val="001E628B"/>
    <w:rsid w:val="001F1E1E"/>
    <w:rsid w:val="001F673D"/>
    <w:rsid w:val="001F7008"/>
    <w:rsid w:val="001F7B94"/>
    <w:rsid w:val="002001AC"/>
    <w:rsid w:val="0020080B"/>
    <w:rsid w:val="002008C6"/>
    <w:rsid w:val="002015E0"/>
    <w:rsid w:val="0020215E"/>
    <w:rsid w:val="00202DE2"/>
    <w:rsid w:val="00203F7F"/>
    <w:rsid w:val="0020410C"/>
    <w:rsid w:val="00204382"/>
    <w:rsid w:val="00205824"/>
    <w:rsid w:val="00206EB9"/>
    <w:rsid w:val="00206F90"/>
    <w:rsid w:val="00207AB7"/>
    <w:rsid w:val="00211596"/>
    <w:rsid w:val="0021342F"/>
    <w:rsid w:val="00213F49"/>
    <w:rsid w:val="00213FB2"/>
    <w:rsid w:val="002150F1"/>
    <w:rsid w:val="00217059"/>
    <w:rsid w:val="00220A22"/>
    <w:rsid w:val="002219F9"/>
    <w:rsid w:val="00222E58"/>
    <w:rsid w:val="002240B6"/>
    <w:rsid w:val="002266A0"/>
    <w:rsid w:val="00226A57"/>
    <w:rsid w:val="00226EB0"/>
    <w:rsid w:val="00227438"/>
    <w:rsid w:val="002305DC"/>
    <w:rsid w:val="00230607"/>
    <w:rsid w:val="00233258"/>
    <w:rsid w:val="0023337C"/>
    <w:rsid w:val="00234A50"/>
    <w:rsid w:val="00234E8A"/>
    <w:rsid w:val="0023571C"/>
    <w:rsid w:val="00235807"/>
    <w:rsid w:val="00236294"/>
    <w:rsid w:val="00240116"/>
    <w:rsid w:val="00241587"/>
    <w:rsid w:val="002429CE"/>
    <w:rsid w:val="00242A20"/>
    <w:rsid w:val="00242C2B"/>
    <w:rsid w:val="00244314"/>
    <w:rsid w:val="00244602"/>
    <w:rsid w:val="002448DA"/>
    <w:rsid w:val="00246F35"/>
    <w:rsid w:val="00251900"/>
    <w:rsid w:val="00252F33"/>
    <w:rsid w:val="00253952"/>
    <w:rsid w:val="002553FC"/>
    <w:rsid w:val="002627A4"/>
    <w:rsid w:val="00263F12"/>
    <w:rsid w:val="002650C7"/>
    <w:rsid w:val="00266EFC"/>
    <w:rsid w:val="00270A42"/>
    <w:rsid w:val="00270C99"/>
    <w:rsid w:val="00271607"/>
    <w:rsid w:val="00271818"/>
    <w:rsid w:val="002719DF"/>
    <w:rsid w:val="00271D34"/>
    <w:rsid w:val="00274181"/>
    <w:rsid w:val="002743A9"/>
    <w:rsid w:val="00276649"/>
    <w:rsid w:val="00280D12"/>
    <w:rsid w:val="0028424C"/>
    <w:rsid w:val="00285502"/>
    <w:rsid w:val="002860E8"/>
    <w:rsid w:val="0028796C"/>
    <w:rsid w:val="00287D52"/>
    <w:rsid w:val="0029056C"/>
    <w:rsid w:val="002921C8"/>
    <w:rsid w:val="00292846"/>
    <w:rsid w:val="00294C3F"/>
    <w:rsid w:val="00297B17"/>
    <w:rsid w:val="002A07B3"/>
    <w:rsid w:val="002A183C"/>
    <w:rsid w:val="002A2586"/>
    <w:rsid w:val="002A2CD2"/>
    <w:rsid w:val="002B0083"/>
    <w:rsid w:val="002B163C"/>
    <w:rsid w:val="002B1F3B"/>
    <w:rsid w:val="002B2D01"/>
    <w:rsid w:val="002B2DFB"/>
    <w:rsid w:val="002C0228"/>
    <w:rsid w:val="002C202B"/>
    <w:rsid w:val="002C224C"/>
    <w:rsid w:val="002C22E5"/>
    <w:rsid w:val="002C5C83"/>
    <w:rsid w:val="002C7689"/>
    <w:rsid w:val="002D02AF"/>
    <w:rsid w:val="002E014E"/>
    <w:rsid w:val="002E01BB"/>
    <w:rsid w:val="002E0B04"/>
    <w:rsid w:val="002E3C8F"/>
    <w:rsid w:val="002E4787"/>
    <w:rsid w:val="002E5EC9"/>
    <w:rsid w:val="002E700B"/>
    <w:rsid w:val="002E7213"/>
    <w:rsid w:val="002F08BF"/>
    <w:rsid w:val="002F0ACE"/>
    <w:rsid w:val="002F3821"/>
    <w:rsid w:val="002F3BA4"/>
    <w:rsid w:val="002F3D5E"/>
    <w:rsid w:val="002F4106"/>
    <w:rsid w:val="002F4A81"/>
    <w:rsid w:val="002F75EF"/>
    <w:rsid w:val="002F7CE8"/>
    <w:rsid w:val="00301A30"/>
    <w:rsid w:val="00301BDE"/>
    <w:rsid w:val="003031E0"/>
    <w:rsid w:val="00303E3E"/>
    <w:rsid w:val="00304BBF"/>
    <w:rsid w:val="00304E4D"/>
    <w:rsid w:val="00304F61"/>
    <w:rsid w:val="00310075"/>
    <w:rsid w:val="0031270A"/>
    <w:rsid w:val="00314698"/>
    <w:rsid w:val="00314B3E"/>
    <w:rsid w:val="00314D4A"/>
    <w:rsid w:val="003156BB"/>
    <w:rsid w:val="00315E83"/>
    <w:rsid w:val="00316921"/>
    <w:rsid w:val="00317340"/>
    <w:rsid w:val="003209A9"/>
    <w:rsid w:val="00321BE7"/>
    <w:rsid w:val="00322D2C"/>
    <w:rsid w:val="00323CF6"/>
    <w:rsid w:val="00323F7F"/>
    <w:rsid w:val="00323F9B"/>
    <w:rsid w:val="003243B6"/>
    <w:rsid w:val="00327212"/>
    <w:rsid w:val="0033065F"/>
    <w:rsid w:val="00330EC2"/>
    <w:rsid w:val="00334106"/>
    <w:rsid w:val="00334592"/>
    <w:rsid w:val="00334E50"/>
    <w:rsid w:val="00335A49"/>
    <w:rsid w:val="00336287"/>
    <w:rsid w:val="003368D5"/>
    <w:rsid w:val="0034274E"/>
    <w:rsid w:val="003427F1"/>
    <w:rsid w:val="0034501A"/>
    <w:rsid w:val="00345B96"/>
    <w:rsid w:val="003473C6"/>
    <w:rsid w:val="00347750"/>
    <w:rsid w:val="00351670"/>
    <w:rsid w:val="00352728"/>
    <w:rsid w:val="00353B2B"/>
    <w:rsid w:val="00354559"/>
    <w:rsid w:val="00356F7B"/>
    <w:rsid w:val="0035784A"/>
    <w:rsid w:val="00360C4E"/>
    <w:rsid w:val="00361562"/>
    <w:rsid w:val="00361D20"/>
    <w:rsid w:val="003628E3"/>
    <w:rsid w:val="00362DBC"/>
    <w:rsid w:val="00363932"/>
    <w:rsid w:val="00365F20"/>
    <w:rsid w:val="00365FB8"/>
    <w:rsid w:val="003667EF"/>
    <w:rsid w:val="00366B8E"/>
    <w:rsid w:val="00367B25"/>
    <w:rsid w:val="00367BFE"/>
    <w:rsid w:val="00367EDC"/>
    <w:rsid w:val="00367F65"/>
    <w:rsid w:val="00370CF5"/>
    <w:rsid w:val="00371C9F"/>
    <w:rsid w:val="00373C7E"/>
    <w:rsid w:val="0037499B"/>
    <w:rsid w:val="00374FA7"/>
    <w:rsid w:val="00376190"/>
    <w:rsid w:val="00377445"/>
    <w:rsid w:val="00377A55"/>
    <w:rsid w:val="00380269"/>
    <w:rsid w:val="0038252A"/>
    <w:rsid w:val="0038302C"/>
    <w:rsid w:val="00383143"/>
    <w:rsid w:val="0038589A"/>
    <w:rsid w:val="00385BCB"/>
    <w:rsid w:val="0038607A"/>
    <w:rsid w:val="00387432"/>
    <w:rsid w:val="00390837"/>
    <w:rsid w:val="00391188"/>
    <w:rsid w:val="003912DB"/>
    <w:rsid w:val="00393EC8"/>
    <w:rsid w:val="00394F8D"/>
    <w:rsid w:val="003951C3"/>
    <w:rsid w:val="00395A66"/>
    <w:rsid w:val="00395D8C"/>
    <w:rsid w:val="0039665C"/>
    <w:rsid w:val="003966D2"/>
    <w:rsid w:val="00396AE7"/>
    <w:rsid w:val="00397C69"/>
    <w:rsid w:val="00397D84"/>
    <w:rsid w:val="003A0351"/>
    <w:rsid w:val="003A0772"/>
    <w:rsid w:val="003A14F1"/>
    <w:rsid w:val="003A1B26"/>
    <w:rsid w:val="003A1DEF"/>
    <w:rsid w:val="003A2FE4"/>
    <w:rsid w:val="003A34A1"/>
    <w:rsid w:val="003A4C82"/>
    <w:rsid w:val="003A5706"/>
    <w:rsid w:val="003A7F6B"/>
    <w:rsid w:val="003B0DD9"/>
    <w:rsid w:val="003B1416"/>
    <w:rsid w:val="003B1ACB"/>
    <w:rsid w:val="003B61B6"/>
    <w:rsid w:val="003B6DC0"/>
    <w:rsid w:val="003B7DFD"/>
    <w:rsid w:val="003C0660"/>
    <w:rsid w:val="003C10E2"/>
    <w:rsid w:val="003C64B0"/>
    <w:rsid w:val="003C7090"/>
    <w:rsid w:val="003C7C05"/>
    <w:rsid w:val="003D1100"/>
    <w:rsid w:val="003D22C4"/>
    <w:rsid w:val="003D2669"/>
    <w:rsid w:val="003D2CE3"/>
    <w:rsid w:val="003D2FC4"/>
    <w:rsid w:val="003D3BC9"/>
    <w:rsid w:val="003E331C"/>
    <w:rsid w:val="003E4028"/>
    <w:rsid w:val="003E432C"/>
    <w:rsid w:val="003E55C3"/>
    <w:rsid w:val="003E5A12"/>
    <w:rsid w:val="003E5FBA"/>
    <w:rsid w:val="003E65D1"/>
    <w:rsid w:val="003E7C48"/>
    <w:rsid w:val="003F16B6"/>
    <w:rsid w:val="003F1D77"/>
    <w:rsid w:val="003F2983"/>
    <w:rsid w:val="003F447A"/>
    <w:rsid w:val="003F46AD"/>
    <w:rsid w:val="003F59A6"/>
    <w:rsid w:val="00400F43"/>
    <w:rsid w:val="00404266"/>
    <w:rsid w:val="00406503"/>
    <w:rsid w:val="00411C4C"/>
    <w:rsid w:val="00412696"/>
    <w:rsid w:val="00412902"/>
    <w:rsid w:val="00413BB0"/>
    <w:rsid w:val="00416777"/>
    <w:rsid w:val="00417059"/>
    <w:rsid w:val="00417BD7"/>
    <w:rsid w:val="00421FB2"/>
    <w:rsid w:val="00422B25"/>
    <w:rsid w:val="00430706"/>
    <w:rsid w:val="004310B7"/>
    <w:rsid w:val="0043188A"/>
    <w:rsid w:val="00434736"/>
    <w:rsid w:val="00435434"/>
    <w:rsid w:val="00435458"/>
    <w:rsid w:val="004362A2"/>
    <w:rsid w:val="00437144"/>
    <w:rsid w:val="0044098F"/>
    <w:rsid w:val="0044121F"/>
    <w:rsid w:val="004413DB"/>
    <w:rsid w:val="00445AF5"/>
    <w:rsid w:val="004461FB"/>
    <w:rsid w:val="0044709E"/>
    <w:rsid w:val="00447E16"/>
    <w:rsid w:val="0045251F"/>
    <w:rsid w:val="00454BC3"/>
    <w:rsid w:val="00455EAA"/>
    <w:rsid w:val="00456CA7"/>
    <w:rsid w:val="00456FA5"/>
    <w:rsid w:val="00460391"/>
    <w:rsid w:val="00461D7B"/>
    <w:rsid w:val="0046240A"/>
    <w:rsid w:val="0046264E"/>
    <w:rsid w:val="0046272A"/>
    <w:rsid w:val="0046274B"/>
    <w:rsid w:val="00462C40"/>
    <w:rsid w:val="00462E2C"/>
    <w:rsid w:val="0046464B"/>
    <w:rsid w:val="004652E7"/>
    <w:rsid w:val="00465BDD"/>
    <w:rsid w:val="004701A3"/>
    <w:rsid w:val="00471686"/>
    <w:rsid w:val="0047213B"/>
    <w:rsid w:val="00472646"/>
    <w:rsid w:val="00473791"/>
    <w:rsid w:val="004738B7"/>
    <w:rsid w:val="00473DC2"/>
    <w:rsid w:val="00475D03"/>
    <w:rsid w:val="00477AF6"/>
    <w:rsid w:val="00477C73"/>
    <w:rsid w:val="004813FA"/>
    <w:rsid w:val="00483975"/>
    <w:rsid w:val="00484C9D"/>
    <w:rsid w:val="00486413"/>
    <w:rsid w:val="00486CC5"/>
    <w:rsid w:val="0049011E"/>
    <w:rsid w:val="00490601"/>
    <w:rsid w:val="00493DA8"/>
    <w:rsid w:val="0049599F"/>
    <w:rsid w:val="004A05C1"/>
    <w:rsid w:val="004A1026"/>
    <w:rsid w:val="004A4A08"/>
    <w:rsid w:val="004A56E2"/>
    <w:rsid w:val="004A596D"/>
    <w:rsid w:val="004B15F7"/>
    <w:rsid w:val="004B201E"/>
    <w:rsid w:val="004B2129"/>
    <w:rsid w:val="004B30C3"/>
    <w:rsid w:val="004B3140"/>
    <w:rsid w:val="004B3C5A"/>
    <w:rsid w:val="004B3D98"/>
    <w:rsid w:val="004C1408"/>
    <w:rsid w:val="004C29AF"/>
    <w:rsid w:val="004C3617"/>
    <w:rsid w:val="004C6370"/>
    <w:rsid w:val="004C694F"/>
    <w:rsid w:val="004C6968"/>
    <w:rsid w:val="004C7611"/>
    <w:rsid w:val="004C79BE"/>
    <w:rsid w:val="004D11F7"/>
    <w:rsid w:val="004D1729"/>
    <w:rsid w:val="004D1F0E"/>
    <w:rsid w:val="004D233A"/>
    <w:rsid w:val="004D3420"/>
    <w:rsid w:val="004D358A"/>
    <w:rsid w:val="004D3FD5"/>
    <w:rsid w:val="004D5C58"/>
    <w:rsid w:val="004D66D4"/>
    <w:rsid w:val="004D6BCD"/>
    <w:rsid w:val="004E1719"/>
    <w:rsid w:val="004E1D70"/>
    <w:rsid w:val="004E332C"/>
    <w:rsid w:val="004E3F09"/>
    <w:rsid w:val="004E6BD9"/>
    <w:rsid w:val="004F02A6"/>
    <w:rsid w:val="004F1FB0"/>
    <w:rsid w:val="004F2DF0"/>
    <w:rsid w:val="004F31D6"/>
    <w:rsid w:val="004F383E"/>
    <w:rsid w:val="004F4114"/>
    <w:rsid w:val="004F4BB4"/>
    <w:rsid w:val="004F4F2A"/>
    <w:rsid w:val="004F619B"/>
    <w:rsid w:val="004F6372"/>
    <w:rsid w:val="00501350"/>
    <w:rsid w:val="00502C6C"/>
    <w:rsid w:val="00504F7D"/>
    <w:rsid w:val="00505C43"/>
    <w:rsid w:val="00506EBA"/>
    <w:rsid w:val="005107D9"/>
    <w:rsid w:val="00511C69"/>
    <w:rsid w:val="0051219E"/>
    <w:rsid w:val="00512AE9"/>
    <w:rsid w:val="0051316B"/>
    <w:rsid w:val="00513A47"/>
    <w:rsid w:val="00513D83"/>
    <w:rsid w:val="00514B9F"/>
    <w:rsid w:val="005176AB"/>
    <w:rsid w:val="00517860"/>
    <w:rsid w:val="005200D7"/>
    <w:rsid w:val="00522FEB"/>
    <w:rsid w:val="00524651"/>
    <w:rsid w:val="005261EC"/>
    <w:rsid w:val="00527940"/>
    <w:rsid w:val="005279F5"/>
    <w:rsid w:val="00530C20"/>
    <w:rsid w:val="00532499"/>
    <w:rsid w:val="005326FD"/>
    <w:rsid w:val="00533008"/>
    <w:rsid w:val="005359D1"/>
    <w:rsid w:val="00540729"/>
    <w:rsid w:val="00540AA5"/>
    <w:rsid w:val="00542CD1"/>
    <w:rsid w:val="005438A7"/>
    <w:rsid w:val="00544283"/>
    <w:rsid w:val="00545258"/>
    <w:rsid w:val="005452E1"/>
    <w:rsid w:val="00546E57"/>
    <w:rsid w:val="00551846"/>
    <w:rsid w:val="00552294"/>
    <w:rsid w:val="00552D39"/>
    <w:rsid w:val="005557E1"/>
    <w:rsid w:val="00556220"/>
    <w:rsid w:val="00556527"/>
    <w:rsid w:val="00557072"/>
    <w:rsid w:val="005573CE"/>
    <w:rsid w:val="00561ECE"/>
    <w:rsid w:val="00566C97"/>
    <w:rsid w:val="00571085"/>
    <w:rsid w:val="00571AFA"/>
    <w:rsid w:val="005732EF"/>
    <w:rsid w:val="00573B0F"/>
    <w:rsid w:val="00574F47"/>
    <w:rsid w:val="00577006"/>
    <w:rsid w:val="0057710B"/>
    <w:rsid w:val="00577EC9"/>
    <w:rsid w:val="00580A60"/>
    <w:rsid w:val="00582CAC"/>
    <w:rsid w:val="00582FE8"/>
    <w:rsid w:val="0058609F"/>
    <w:rsid w:val="005870FF"/>
    <w:rsid w:val="0059058B"/>
    <w:rsid w:val="00590B3E"/>
    <w:rsid w:val="005917FE"/>
    <w:rsid w:val="00594E8C"/>
    <w:rsid w:val="00595BA6"/>
    <w:rsid w:val="0059697D"/>
    <w:rsid w:val="005971D4"/>
    <w:rsid w:val="005A22EF"/>
    <w:rsid w:val="005A3EB8"/>
    <w:rsid w:val="005A438D"/>
    <w:rsid w:val="005A461D"/>
    <w:rsid w:val="005A4D33"/>
    <w:rsid w:val="005A629E"/>
    <w:rsid w:val="005A6C30"/>
    <w:rsid w:val="005A71F0"/>
    <w:rsid w:val="005B0548"/>
    <w:rsid w:val="005B2086"/>
    <w:rsid w:val="005B2775"/>
    <w:rsid w:val="005B34EA"/>
    <w:rsid w:val="005B41F9"/>
    <w:rsid w:val="005B536A"/>
    <w:rsid w:val="005B5C7C"/>
    <w:rsid w:val="005B6604"/>
    <w:rsid w:val="005B68D7"/>
    <w:rsid w:val="005B6E7D"/>
    <w:rsid w:val="005B7816"/>
    <w:rsid w:val="005B7FC3"/>
    <w:rsid w:val="005C09DC"/>
    <w:rsid w:val="005C0C81"/>
    <w:rsid w:val="005C3218"/>
    <w:rsid w:val="005C5BBB"/>
    <w:rsid w:val="005C7780"/>
    <w:rsid w:val="005C7F2C"/>
    <w:rsid w:val="005D1944"/>
    <w:rsid w:val="005D1A14"/>
    <w:rsid w:val="005D21B1"/>
    <w:rsid w:val="005D2300"/>
    <w:rsid w:val="005D299E"/>
    <w:rsid w:val="005D3C0F"/>
    <w:rsid w:val="005D44BB"/>
    <w:rsid w:val="005D499E"/>
    <w:rsid w:val="005D4AE1"/>
    <w:rsid w:val="005D64D8"/>
    <w:rsid w:val="005D75CE"/>
    <w:rsid w:val="005D7D82"/>
    <w:rsid w:val="005E0122"/>
    <w:rsid w:val="005E0730"/>
    <w:rsid w:val="005E2118"/>
    <w:rsid w:val="005E2FA9"/>
    <w:rsid w:val="005E362B"/>
    <w:rsid w:val="005E39C0"/>
    <w:rsid w:val="005E40E2"/>
    <w:rsid w:val="005E465C"/>
    <w:rsid w:val="005E5CD6"/>
    <w:rsid w:val="005E79CA"/>
    <w:rsid w:val="005E7D29"/>
    <w:rsid w:val="005F09A1"/>
    <w:rsid w:val="005F0E02"/>
    <w:rsid w:val="005F18E1"/>
    <w:rsid w:val="005F2220"/>
    <w:rsid w:val="005F2B90"/>
    <w:rsid w:val="005F3C7C"/>
    <w:rsid w:val="005F43EB"/>
    <w:rsid w:val="005F5FFC"/>
    <w:rsid w:val="005F6978"/>
    <w:rsid w:val="006001D0"/>
    <w:rsid w:val="00600497"/>
    <w:rsid w:val="00602197"/>
    <w:rsid w:val="0060581B"/>
    <w:rsid w:val="00605FD5"/>
    <w:rsid w:val="00606429"/>
    <w:rsid w:val="006110D5"/>
    <w:rsid w:val="006112B7"/>
    <w:rsid w:val="006113C3"/>
    <w:rsid w:val="006119B1"/>
    <w:rsid w:val="00611AA1"/>
    <w:rsid w:val="0061210B"/>
    <w:rsid w:val="006145BD"/>
    <w:rsid w:val="00616AA1"/>
    <w:rsid w:val="006217A7"/>
    <w:rsid w:val="00621DAE"/>
    <w:rsid w:val="00622401"/>
    <w:rsid w:val="00622CAC"/>
    <w:rsid w:val="00623E5E"/>
    <w:rsid w:val="006243B5"/>
    <w:rsid w:val="00624F32"/>
    <w:rsid w:val="0062583C"/>
    <w:rsid w:val="00631A0E"/>
    <w:rsid w:val="00632180"/>
    <w:rsid w:val="0063341A"/>
    <w:rsid w:val="00635EA6"/>
    <w:rsid w:val="0063715C"/>
    <w:rsid w:val="0064009D"/>
    <w:rsid w:val="00641B56"/>
    <w:rsid w:val="00642853"/>
    <w:rsid w:val="00642974"/>
    <w:rsid w:val="006431D7"/>
    <w:rsid w:val="00645665"/>
    <w:rsid w:val="0064616A"/>
    <w:rsid w:val="00651035"/>
    <w:rsid w:val="00651968"/>
    <w:rsid w:val="00654A4B"/>
    <w:rsid w:val="00656913"/>
    <w:rsid w:val="00657488"/>
    <w:rsid w:val="006601BC"/>
    <w:rsid w:val="006604AE"/>
    <w:rsid w:val="00661A37"/>
    <w:rsid w:val="00665C84"/>
    <w:rsid w:val="00665D02"/>
    <w:rsid w:val="00665E46"/>
    <w:rsid w:val="00670BB0"/>
    <w:rsid w:val="00671EFC"/>
    <w:rsid w:val="00672E5D"/>
    <w:rsid w:val="0067415E"/>
    <w:rsid w:val="0067555B"/>
    <w:rsid w:val="006757B5"/>
    <w:rsid w:val="006768FB"/>
    <w:rsid w:val="00677121"/>
    <w:rsid w:val="00680F00"/>
    <w:rsid w:val="00680FEB"/>
    <w:rsid w:val="006811CC"/>
    <w:rsid w:val="006814ED"/>
    <w:rsid w:val="006827EC"/>
    <w:rsid w:val="00684664"/>
    <w:rsid w:val="00684D53"/>
    <w:rsid w:val="00692BE5"/>
    <w:rsid w:val="006938E9"/>
    <w:rsid w:val="00695C98"/>
    <w:rsid w:val="00696287"/>
    <w:rsid w:val="006969C8"/>
    <w:rsid w:val="006A2DB8"/>
    <w:rsid w:val="006A3519"/>
    <w:rsid w:val="006A3A32"/>
    <w:rsid w:val="006A4FCC"/>
    <w:rsid w:val="006A687D"/>
    <w:rsid w:val="006A7286"/>
    <w:rsid w:val="006B12DB"/>
    <w:rsid w:val="006B1866"/>
    <w:rsid w:val="006B2324"/>
    <w:rsid w:val="006B315E"/>
    <w:rsid w:val="006B42A9"/>
    <w:rsid w:val="006B435B"/>
    <w:rsid w:val="006B5BE5"/>
    <w:rsid w:val="006B5D55"/>
    <w:rsid w:val="006B636B"/>
    <w:rsid w:val="006B6B0C"/>
    <w:rsid w:val="006B6CCC"/>
    <w:rsid w:val="006B7503"/>
    <w:rsid w:val="006C195D"/>
    <w:rsid w:val="006C2766"/>
    <w:rsid w:val="006C4736"/>
    <w:rsid w:val="006C4B0E"/>
    <w:rsid w:val="006C6AF9"/>
    <w:rsid w:val="006C6BD8"/>
    <w:rsid w:val="006C71B2"/>
    <w:rsid w:val="006D1288"/>
    <w:rsid w:val="006D1A18"/>
    <w:rsid w:val="006D3D1F"/>
    <w:rsid w:val="006D3EBD"/>
    <w:rsid w:val="006E14B7"/>
    <w:rsid w:val="006E2B45"/>
    <w:rsid w:val="006E5863"/>
    <w:rsid w:val="006E7518"/>
    <w:rsid w:val="006E7C70"/>
    <w:rsid w:val="006F04C2"/>
    <w:rsid w:val="006F1A41"/>
    <w:rsid w:val="006F21C5"/>
    <w:rsid w:val="006F2825"/>
    <w:rsid w:val="006F2DAA"/>
    <w:rsid w:val="006F2E5A"/>
    <w:rsid w:val="006F3375"/>
    <w:rsid w:val="006F3834"/>
    <w:rsid w:val="006F3C29"/>
    <w:rsid w:val="006F6180"/>
    <w:rsid w:val="006F7010"/>
    <w:rsid w:val="00701F2E"/>
    <w:rsid w:val="00702555"/>
    <w:rsid w:val="0070381C"/>
    <w:rsid w:val="00705260"/>
    <w:rsid w:val="007053E9"/>
    <w:rsid w:val="007058D2"/>
    <w:rsid w:val="007078A1"/>
    <w:rsid w:val="00710176"/>
    <w:rsid w:val="00711381"/>
    <w:rsid w:val="0071147C"/>
    <w:rsid w:val="00711A67"/>
    <w:rsid w:val="00713774"/>
    <w:rsid w:val="007140F0"/>
    <w:rsid w:val="00715B86"/>
    <w:rsid w:val="00715BAF"/>
    <w:rsid w:val="00720AD7"/>
    <w:rsid w:val="00722162"/>
    <w:rsid w:val="00722451"/>
    <w:rsid w:val="00722901"/>
    <w:rsid w:val="00725FA8"/>
    <w:rsid w:val="00726467"/>
    <w:rsid w:val="00726B4F"/>
    <w:rsid w:val="00727417"/>
    <w:rsid w:val="007304C1"/>
    <w:rsid w:val="00730D00"/>
    <w:rsid w:val="00730EA9"/>
    <w:rsid w:val="007313D5"/>
    <w:rsid w:val="00733010"/>
    <w:rsid w:val="007341EB"/>
    <w:rsid w:val="00734A1E"/>
    <w:rsid w:val="00735AD5"/>
    <w:rsid w:val="00735E0C"/>
    <w:rsid w:val="00736295"/>
    <w:rsid w:val="00736BEA"/>
    <w:rsid w:val="00737A17"/>
    <w:rsid w:val="00737D10"/>
    <w:rsid w:val="00742CC5"/>
    <w:rsid w:val="007440CB"/>
    <w:rsid w:val="00744905"/>
    <w:rsid w:val="00746A1F"/>
    <w:rsid w:val="00746BA1"/>
    <w:rsid w:val="00747C81"/>
    <w:rsid w:val="007508CC"/>
    <w:rsid w:val="007508E4"/>
    <w:rsid w:val="00750C64"/>
    <w:rsid w:val="007529F6"/>
    <w:rsid w:val="00753453"/>
    <w:rsid w:val="0075524F"/>
    <w:rsid w:val="00755C59"/>
    <w:rsid w:val="00755C61"/>
    <w:rsid w:val="00756AA7"/>
    <w:rsid w:val="00756CAA"/>
    <w:rsid w:val="007607EB"/>
    <w:rsid w:val="00761454"/>
    <w:rsid w:val="00761B14"/>
    <w:rsid w:val="00761EA6"/>
    <w:rsid w:val="00762AB0"/>
    <w:rsid w:val="00763CD8"/>
    <w:rsid w:val="00764013"/>
    <w:rsid w:val="007674DD"/>
    <w:rsid w:val="007676D6"/>
    <w:rsid w:val="00770783"/>
    <w:rsid w:val="00770E05"/>
    <w:rsid w:val="00772551"/>
    <w:rsid w:val="00781C6E"/>
    <w:rsid w:val="00786FCD"/>
    <w:rsid w:val="0078701B"/>
    <w:rsid w:val="00787479"/>
    <w:rsid w:val="007905C6"/>
    <w:rsid w:val="00790746"/>
    <w:rsid w:val="00791BE6"/>
    <w:rsid w:val="0079209D"/>
    <w:rsid w:val="00793FAC"/>
    <w:rsid w:val="00794E76"/>
    <w:rsid w:val="007952C5"/>
    <w:rsid w:val="007970D7"/>
    <w:rsid w:val="007A16AA"/>
    <w:rsid w:val="007A2A11"/>
    <w:rsid w:val="007A2BD5"/>
    <w:rsid w:val="007A3C67"/>
    <w:rsid w:val="007A4E36"/>
    <w:rsid w:val="007B1CD9"/>
    <w:rsid w:val="007B2DDF"/>
    <w:rsid w:val="007B35FC"/>
    <w:rsid w:val="007B5B16"/>
    <w:rsid w:val="007B6175"/>
    <w:rsid w:val="007B6CFA"/>
    <w:rsid w:val="007C07C3"/>
    <w:rsid w:val="007C1446"/>
    <w:rsid w:val="007C155E"/>
    <w:rsid w:val="007C172C"/>
    <w:rsid w:val="007C1B4C"/>
    <w:rsid w:val="007C2F9E"/>
    <w:rsid w:val="007C32C9"/>
    <w:rsid w:val="007C40D8"/>
    <w:rsid w:val="007C565E"/>
    <w:rsid w:val="007D24F8"/>
    <w:rsid w:val="007D29C4"/>
    <w:rsid w:val="007D39D6"/>
    <w:rsid w:val="007D3BE8"/>
    <w:rsid w:val="007D581E"/>
    <w:rsid w:val="007D6A6A"/>
    <w:rsid w:val="007D6DEC"/>
    <w:rsid w:val="007E0DBE"/>
    <w:rsid w:val="007E0FA4"/>
    <w:rsid w:val="007E117A"/>
    <w:rsid w:val="007E3B6A"/>
    <w:rsid w:val="007E5454"/>
    <w:rsid w:val="007E7EA8"/>
    <w:rsid w:val="007F0FF9"/>
    <w:rsid w:val="007F2941"/>
    <w:rsid w:val="007F2F5B"/>
    <w:rsid w:val="007F3CB0"/>
    <w:rsid w:val="007F6737"/>
    <w:rsid w:val="007F7006"/>
    <w:rsid w:val="007F7CE8"/>
    <w:rsid w:val="0080112C"/>
    <w:rsid w:val="00802997"/>
    <w:rsid w:val="00802FF8"/>
    <w:rsid w:val="008036C0"/>
    <w:rsid w:val="008066C8"/>
    <w:rsid w:val="00810788"/>
    <w:rsid w:val="0081138C"/>
    <w:rsid w:val="0081231C"/>
    <w:rsid w:val="00816A15"/>
    <w:rsid w:val="00816C26"/>
    <w:rsid w:val="00817C06"/>
    <w:rsid w:val="00821EE5"/>
    <w:rsid w:val="00822593"/>
    <w:rsid w:val="0082271D"/>
    <w:rsid w:val="00822E82"/>
    <w:rsid w:val="00823511"/>
    <w:rsid w:val="00823C8D"/>
    <w:rsid w:val="0082504E"/>
    <w:rsid w:val="0082635B"/>
    <w:rsid w:val="008273FF"/>
    <w:rsid w:val="00830597"/>
    <w:rsid w:val="00830F1F"/>
    <w:rsid w:val="00831CE7"/>
    <w:rsid w:val="00833815"/>
    <w:rsid w:val="0083382C"/>
    <w:rsid w:val="008349AA"/>
    <w:rsid w:val="0084082C"/>
    <w:rsid w:val="008435BB"/>
    <w:rsid w:val="0084520E"/>
    <w:rsid w:val="00850611"/>
    <w:rsid w:val="0085135A"/>
    <w:rsid w:val="00851D35"/>
    <w:rsid w:val="00852490"/>
    <w:rsid w:val="00852865"/>
    <w:rsid w:val="00853D0D"/>
    <w:rsid w:val="00855CE8"/>
    <w:rsid w:val="0085700D"/>
    <w:rsid w:val="0086003C"/>
    <w:rsid w:val="00863527"/>
    <w:rsid w:val="008648B3"/>
    <w:rsid w:val="00864F95"/>
    <w:rsid w:val="0086660C"/>
    <w:rsid w:val="008669A9"/>
    <w:rsid w:val="00872568"/>
    <w:rsid w:val="008737A6"/>
    <w:rsid w:val="00874BB2"/>
    <w:rsid w:val="00875286"/>
    <w:rsid w:val="00876613"/>
    <w:rsid w:val="00877750"/>
    <w:rsid w:val="008777A7"/>
    <w:rsid w:val="00882D5A"/>
    <w:rsid w:val="00887570"/>
    <w:rsid w:val="00891CE3"/>
    <w:rsid w:val="00892618"/>
    <w:rsid w:val="00894080"/>
    <w:rsid w:val="0089494D"/>
    <w:rsid w:val="008A0092"/>
    <w:rsid w:val="008A0ADF"/>
    <w:rsid w:val="008A1FBE"/>
    <w:rsid w:val="008A2C85"/>
    <w:rsid w:val="008A2FD6"/>
    <w:rsid w:val="008A3214"/>
    <w:rsid w:val="008A37BB"/>
    <w:rsid w:val="008A411B"/>
    <w:rsid w:val="008A6C31"/>
    <w:rsid w:val="008B07F7"/>
    <w:rsid w:val="008B45AA"/>
    <w:rsid w:val="008B547B"/>
    <w:rsid w:val="008B579A"/>
    <w:rsid w:val="008B6AA1"/>
    <w:rsid w:val="008B7032"/>
    <w:rsid w:val="008B7833"/>
    <w:rsid w:val="008C0E44"/>
    <w:rsid w:val="008C3945"/>
    <w:rsid w:val="008C5B8B"/>
    <w:rsid w:val="008C6C18"/>
    <w:rsid w:val="008C7160"/>
    <w:rsid w:val="008D043C"/>
    <w:rsid w:val="008D1700"/>
    <w:rsid w:val="008D3A16"/>
    <w:rsid w:val="008D4BC9"/>
    <w:rsid w:val="008D5AB4"/>
    <w:rsid w:val="008D6013"/>
    <w:rsid w:val="008D631E"/>
    <w:rsid w:val="008D6CC9"/>
    <w:rsid w:val="008E0A76"/>
    <w:rsid w:val="008E10A9"/>
    <w:rsid w:val="008E1769"/>
    <w:rsid w:val="008E18D3"/>
    <w:rsid w:val="008E2586"/>
    <w:rsid w:val="008E29E0"/>
    <w:rsid w:val="008E32E4"/>
    <w:rsid w:val="008E3EDF"/>
    <w:rsid w:val="008F0323"/>
    <w:rsid w:val="008F32EC"/>
    <w:rsid w:val="008F3B25"/>
    <w:rsid w:val="008F4164"/>
    <w:rsid w:val="008F6F1B"/>
    <w:rsid w:val="009004EA"/>
    <w:rsid w:val="00900D74"/>
    <w:rsid w:val="0090207F"/>
    <w:rsid w:val="009043EF"/>
    <w:rsid w:val="00904C01"/>
    <w:rsid w:val="00904CB8"/>
    <w:rsid w:val="00905D6D"/>
    <w:rsid w:val="00905DC7"/>
    <w:rsid w:val="00906092"/>
    <w:rsid w:val="00906550"/>
    <w:rsid w:val="0090756A"/>
    <w:rsid w:val="009103BA"/>
    <w:rsid w:val="009117A0"/>
    <w:rsid w:val="00912509"/>
    <w:rsid w:val="00914A1E"/>
    <w:rsid w:val="00917DAD"/>
    <w:rsid w:val="0092338C"/>
    <w:rsid w:val="0092374B"/>
    <w:rsid w:val="00924C40"/>
    <w:rsid w:val="00925ADD"/>
    <w:rsid w:val="00931372"/>
    <w:rsid w:val="00931B3B"/>
    <w:rsid w:val="009340E4"/>
    <w:rsid w:val="00934364"/>
    <w:rsid w:val="00934408"/>
    <w:rsid w:val="00940509"/>
    <w:rsid w:val="00940D41"/>
    <w:rsid w:val="00941118"/>
    <w:rsid w:val="00943149"/>
    <w:rsid w:val="00943433"/>
    <w:rsid w:val="009462F8"/>
    <w:rsid w:val="0094740D"/>
    <w:rsid w:val="00953095"/>
    <w:rsid w:val="00953271"/>
    <w:rsid w:val="00957854"/>
    <w:rsid w:val="009579F8"/>
    <w:rsid w:val="00960381"/>
    <w:rsid w:val="009606E0"/>
    <w:rsid w:val="00965CBA"/>
    <w:rsid w:val="00966262"/>
    <w:rsid w:val="009672F5"/>
    <w:rsid w:val="00967F70"/>
    <w:rsid w:val="009718E0"/>
    <w:rsid w:val="00972089"/>
    <w:rsid w:val="009756BE"/>
    <w:rsid w:val="00975B47"/>
    <w:rsid w:val="0097757D"/>
    <w:rsid w:val="00977791"/>
    <w:rsid w:val="009813B2"/>
    <w:rsid w:val="00982303"/>
    <w:rsid w:val="009872F9"/>
    <w:rsid w:val="00993600"/>
    <w:rsid w:val="009938EE"/>
    <w:rsid w:val="00995B7F"/>
    <w:rsid w:val="009963A4"/>
    <w:rsid w:val="00997064"/>
    <w:rsid w:val="009A05D0"/>
    <w:rsid w:val="009A1922"/>
    <w:rsid w:val="009A30A5"/>
    <w:rsid w:val="009A401F"/>
    <w:rsid w:val="009A622B"/>
    <w:rsid w:val="009A6ACA"/>
    <w:rsid w:val="009A7A20"/>
    <w:rsid w:val="009B0443"/>
    <w:rsid w:val="009B0CB7"/>
    <w:rsid w:val="009B10CA"/>
    <w:rsid w:val="009B1126"/>
    <w:rsid w:val="009B1253"/>
    <w:rsid w:val="009B1E29"/>
    <w:rsid w:val="009B375F"/>
    <w:rsid w:val="009B43A3"/>
    <w:rsid w:val="009B536D"/>
    <w:rsid w:val="009B5F18"/>
    <w:rsid w:val="009B6559"/>
    <w:rsid w:val="009B6636"/>
    <w:rsid w:val="009B6A43"/>
    <w:rsid w:val="009C06E4"/>
    <w:rsid w:val="009C155E"/>
    <w:rsid w:val="009C1613"/>
    <w:rsid w:val="009C3E80"/>
    <w:rsid w:val="009C49D1"/>
    <w:rsid w:val="009C4CD8"/>
    <w:rsid w:val="009C7EF3"/>
    <w:rsid w:val="009D087E"/>
    <w:rsid w:val="009D0E72"/>
    <w:rsid w:val="009D0FDC"/>
    <w:rsid w:val="009D173B"/>
    <w:rsid w:val="009D1D71"/>
    <w:rsid w:val="009D22E6"/>
    <w:rsid w:val="009D2616"/>
    <w:rsid w:val="009D2C95"/>
    <w:rsid w:val="009D60AB"/>
    <w:rsid w:val="009D7A2D"/>
    <w:rsid w:val="009D7DA1"/>
    <w:rsid w:val="009E0135"/>
    <w:rsid w:val="009E1D2E"/>
    <w:rsid w:val="009E1F68"/>
    <w:rsid w:val="009E27EB"/>
    <w:rsid w:val="009E2A54"/>
    <w:rsid w:val="009E337C"/>
    <w:rsid w:val="009E3DDE"/>
    <w:rsid w:val="009F01EE"/>
    <w:rsid w:val="009F0848"/>
    <w:rsid w:val="009F1114"/>
    <w:rsid w:val="009F7A39"/>
    <w:rsid w:val="009F7C85"/>
    <w:rsid w:val="00A02483"/>
    <w:rsid w:val="00A0281B"/>
    <w:rsid w:val="00A04400"/>
    <w:rsid w:val="00A05B54"/>
    <w:rsid w:val="00A05B6C"/>
    <w:rsid w:val="00A06725"/>
    <w:rsid w:val="00A0748F"/>
    <w:rsid w:val="00A14D11"/>
    <w:rsid w:val="00A17ADF"/>
    <w:rsid w:val="00A205A4"/>
    <w:rsid w:val="00A205D4"/>
    <w:rsid w:val="00A20E8A"/>
    <w:rsid w:val="00A22E21"/>
    <w:rsid w:val="00A23D63"/>
    <w:rsid w:val="00A24A4C"/>
    <w:rsid w:val="00A24D53"/>
    <w:rsid w:val="00A25151"/>
    <w:rsid w:val="00A25910"/>
    <w:rsid w:val="00A25C92"/>
    <w:rsid w:val="00A25FE7"/>
    <w:rsid w:val="00A26CF1"/>
    <w:rsid w:val="00A279E7"/>
    <w:rsid w:val="00A27CBB"/>
    <w:rsid w:val="00A305DF"/>
    <w:rsid w:val="00A3095A"/>
    <w:rsid w:val="00A33EDB"/>
    <w:rsid w:val="00A340F1"/>
    <w:rsid w:val="00A35521"/>
    <w:rsid w:val="00A35819"/>
    <w:rsid w:val="00A35A3A"/>
    <w:rsid w:val="00A35DA3"/>
    <w:rsid w:val="00A36E04"/>
    <w:rsid w:val="00A3738A"/>
    <w:rsid w:val="00A41CFD"/>
    <w:rsid w:val="00A4257F"/>
    <w:rsid w:val="00A42687"/>
    <w:rsid w:val="00A43533"/>
    <w:rsid w:val="00A44244"/>
    <w:rsid w:val="00A4595F"/>
    <w:rsid w:val="00A47AC1"/>
    <w:rsid w:val="00A47C07"/>
    <w:rsid w:val="00A512B8"/>
    <w:rsid w:val="00A52C8D"/>
    <w:rsid w:val="00A5562A"/>
    <w:rsid w:val="00A602CF"/>
    <w:rsid w:val="00A6238B"/>
    <w:rsid w:val="00A62834"/>
    <w:rsid w:val="00A6323B"/>
    <w:rsid w:val="00A634E3"/>
    <w:rsid w:val="00A648B2"/>
    <w:rsid w:val="00A64B7E"/>
    <w:rsid w:val="00A64E42"/>
    <w:rsid w:val="00A6582E"/>
    <w:rsid w:val="00A7154C"/>
    <w:rsid w:val="00A71E4E"/>
    <w:rsid w:val="00A73CD1"/>
    <w:rsid w:val="00A76D3A"/>
    <w:rsid w:val="00A776B1"/>
    <w:rsid w:val="00A8138F"/>
    <w:rsid w:val="00A84C4F"/>
    <w:rsid w:val="00A851D3"/>
    <w:rsid w:val="00A86B61"/>
    <w:rsid w:val="00A91111"/>
    <w:rsid w:val="00A924C7"/>
    <w:rsid w:val="00A92737"/>
    <w:rsid w:val="00A92A39"/>
    <w:rsid w:val="00A942F8"/>
    <w:rsid w:val="00A96707"/>
    <w:rsid w:val="00A96B3A"/>
    <w:rsid w:val="00A978D1"/>
    <w:rsid w:val="00A97EF6"/>
    <w:rsid w:val="00AA14A6"/>
    <w:rsid w:val="00AA2782"/>
    <w:rsid w:val="00AA553C"/>
    <w:rsid w:val="00AA6294"/>
    <w:rsid w:val="00AA6CE3"/>
    <w:rsid w:val="00AA7B05"/>
    <w:rsid w:val="00AA7D8C"/>
    <w:rsid w:val="00AB13DB"/>
    <w:rsid w:val="00AB239C"/>
    <w:rsid w:val="00AB2991"/>
    <w:rsid w:val="00AB3536"/>
    <w:rsid w:val="00AB3A44"/>
    <w:rsid w:val="00AB54C2"/>
    <w:rsid w:val="00AB5D8E"/>
    <w:rsid w:val="00AB6666"/>
    <w:rsid w:val="00AB6B48"/>
    <w:rsid w:val="00AB75BC"/>
    <w:rsid w:val="00AB7834"/>
    <w:rsid w:val="00AD3F34"/>
    <w:rsid w:val="00AD45FC"/>
    <w:rsid w:val="00AD5CE9"/>
    <w:rsid w:val="00AD72B6"/>
    <w:rsid w:val="00AE2357"/>
    <w:rsid w:val="00AE2642"/>
    <w:rsid w:val="00AE2942"/>
    <w:rsid w:val="00AE387B"/>
    <w:rsid w:val="00AE4689"/>
    <w:rsid w:val="00AE6309"/>
    <w:rsid w:val="00AE6468"/>
    <w:rsid w:val="00AE7E47"/>
    <w:rsid w:val="00AF086E"/>
    <w:rsid w:val="00AF2A0E"/>
    <w:rsid w:val="00AF36D6"/>
    <w:rsid w:val="00AF3DEF"/>
    <w:rsid w:val="00AF4490"/>
    <w:rsid w:val="00AF498D"/>
    <w:rsid w:val="00AF5CF5"/>
    <w:rsid w:val="00B022B7"/>
    <w:rsid w:val="00B03225"/>
    <w:rsid w:val="00B036D0"/>
    <w:rsid w:val="00B04D02"/>
    <w:rsid w:val="00B05921"/>
    <w:rsid w:val="00B06078"/>
    <w:rsid w:val="00B06812"/>
    <w:rsid w:val="00B1006B"/>
    <w:rsid w:val="00B100AD"/>
    <w:rsid w:val="00B11916"/>
    <w:rsid w:val="00B12403"/>
    <w:rsid w:val="00B12511"/>
    <w:rsid w:val="00B145F5"/>
    <w:rsid w:val="00B17124"/>
    <w:rsid w:val="00B2101C"/>
    <w:rsid w:val="00B21E20"/>
    <w:rsid w:val="00B22EFD"/>
    <w:rsid w:val="00B23B30"/>
    <w:rsid w:val="00B24544"/>
    <w:rsid w:val="00B24650"/>
    <w:rsid w:val="00B24E57"/>
    <w:rsid w:val="00B2553D"/>
    <w:rsid w:val="00B26855"/>
    <w:rsid w:val="00B26DC5"/>
    <w:rsid w:val="00B27440"/>
    <w:rsid w:val="00B30928"/>
    <w:rsid w:val="00B3108E"/>
    <w:rsid w:val="00B310E1"/>
    <w:rsid w:val="00B324DD"/>
    <w:rsid w:val="00B32C52"/>
    <w:rsid w:val="00B35A9D"/>
    <w:rsid w:val="00B37B22"/>
    <w:rsid w:val="00B4092B"/>
    <w:rsid w:val="00B4126C"/>
    <w:rsid w:val="00B4208C"/>
    <w:rsid w:val="00B4252B"/>
    <w:rsid w:val="00B451ED"/>
    <w:rsid w:val="00B46B76"/>
    <w:rsid w:val="00B50467"/>
    <w:rsid w:val="00B521CA"/>
    <w:rsid w:val="00B525B8"/>
    <w:rsid w:val="00B529F6"/>
    <w:rsid w:val="00B541EA"/>
    <w:rsid w:val="00B550A9"/>
    <w:rsid w:val="00B5557C"/>
    <w:rsid w:val="00B5696D"/>
    <w:rsid w:val="00B600CB"/>
    <w:rsid w:val="00B611C2"/>
    <w:rsid w:val="00B64892"/>
    <w:rsid w:val="00B65288"/>
    <w:rsid w:val="00B657FE"/>
    <w:rsid w:val="00B6598E"/>
    <w:rsid w:val="00B65A10"/>
    <w:rsid w:val="00B6727E"/>
    <w:rsid w:val="00B70A38"/>
    <w:rsid w:val="00B71E0E"/>
    <w:rsid w:val="00B72D48"/>
    <w:rsid w:val="00B72DC4"/>
    <w:rsid w:val="00B74619"/>
    <w:rsid w:val="00B76CDE"/>
    <w:rsid w:val="00B80955"/>
    <w:rsid w:val="00B81D92"/>
    <w:rsid w:val="00B81DBB"/>
    <w:rsid w:val="00B821AC"/>
    <w:rsid w:val="00B82809"/>
    <w:rsid w:val="00B82CEE"/>
    <w:rsid w:val="00B83417"/>
    <w:rsid w:val="00B83AAB"/>
    <w:rsid w:val="00B855B8"/>
    <w:rsid w:val="00B8572A"/>
    <w:rsid w:val="00B865C9"/>
    <w:rsid w:val="00B90DC8"/>
    <w:rsid w:val="00B913C7"/>
    <w:rsid w:val="00B93EBD"/>
    <w:rsid w:val="00B94BB8"/>
    <w:rsid w:val="00B96139"/>
    <w:rsid w:val="00B9736A"/>
    <w:rsid w:val="00B97957"/>
    <w:rsid w:val="00BA007E"/>
    <w:rsid w:val="00BA009F"/>
    <w:rsid w:val="00BA0F2F"/>
    <w:rsid w:val="00BA19C4"/>
    <w:rsid w:val="00BA379A"/>
    <w:rsid w:val="00BA4082"/>
    <w:rsid w:val="00BA68D4"/>
    <w:rsid w:val="00BB1A24"/>
    <w:rsid w:val="00BB2481"/>
    <w:rsid w:val="00BB3AF3"/>
    <w:rsid w:val="00BB5DC6"/>
    <w:rsid w:val="00BB5EB5"/>
    <w:rsid w:val="00BB70D4"/>
    <w:rsid w:val="00BB71AA"/>
    <w:rsid w:val="00BB7CC3"/>
    <w:rsid w:val="00BC0428"/>
    <w:rsid w:val="00BC1E71"/>
    <w:rsid w:val="00BC29CA"/>
    <w:rsid w:val="00BC2CE1"/>
    <w:rsid w:val="00BC3574"/>
    <w:rsid w:val="00BC67D2"/>
    <w:rsid w:val="00BD10E3"/>
    <w:rsid w:val="00BD25D7"/>
    <w:rsid w:val="00BD2921"/>
    <w:rsid w:val="00BD339B"/>
    <w:rsid w:val="00BD5D5E"/>
    <w:rsid w:val="00BD6E03"/>
    <w:rsid w:val="00BE1542"/>
    <w:rsid w:val="00BE19CB"/>
    <w:rsid w:val="00BE2B99"/>
    <w:rsid w:val="00BE3783"/>
    <w:rsid w:val="00BE38B0"/>
    <w:rsid w:val="00BE3FE9"/>
    <w:rsid w:val="00BF1923"/>
    <w:rsid w:val="00BF4D62"/>
    <w:rsid w:val="00BF5E7C"/>
    <w:rsid w:val="00C05044"/>
    <w:rsid w:val="00C1138D"/>
    <w:rsid w:val="00C13D65"/>
    <w:rsid w:val="00C1404D"/>
    <w:rsid w:val="00C140F6"/>
    <w:rsid w:val="00C14C01"/>
    <w:rsid w:val="00C14FB9"/>
    <w:rsid w:val="00C17468"/>
    <w:rsid w:val="00C17842"/>
    <w:rsid w:val="00C1785D"/>
    <w:rsid w:val="00C17BFA"/>
    <w:rsid w:val="00C205A3"/>
    <w:rsid w:val="00C20654"/>
    <w:rsid w:val="00C21B3B"/>
    <w:rsid w:val="00C223C4"/>
    <w:rsid w:val="00C22F1F"/>
    <w:rsid w:val="00C2379B"/>
    <w:rsid w:val="00C3021B"/>
    <w:rsid w:val="00C32088"/>
    <w:rsid w:val="00C321BB"/>
    <w:rsid w:val="00C331B1"/>
    <w:rsid w:val="00C33999"/>
    <w:rsid w:val="00C339A7"/>
    <w:rsid w:val="00C33D56"/>
    <w:rsid w:val="00C34B37"/>
    <w:rsid w:val="00C40261"/>
    <w:rsid w:val="00C404B7"/>
    <w:rsid w:val="00C407FE"/>
    <w:rsid w:val="00C424C9"/>
    <w:rsid w:val="00C42A4A"/>
    <w:rsid w:val="00C436F9"/>
    <w:rsid w:val="00C44FC1"/>
    <w:rsid w:val="00C47A7E"/>
    <w:rsid w:val="00C47FF4"/>
    <w:rsid w:val="00C51816"/>
    <w:rsid w:val="00C53D70"/>
    <w:rsid w:val="00C54850"/>
    <w:rsid w:val="00C54E0A"/>
    <w:rsid w:val="00C55074"/>
    <w:rsid w:val="00C56782"/>
    <w:rsid w:val="00C56DD6"/>
    <w:rsid w:val="00C60575"/>
    <w:rsid w:val="00C6063E"/>
    <w:rsid w:val="00C60DF4"/>
    <w:rsid w:val="00C61413"/>
    <w:rsid w:val="00C62370"/>
    <w:rsid w:val="00C63338"/>
    <w:rsid w:val="00C643B2"/>
    <w:rsid w:val="00C65073"/>
    <w:rsid w:val="00C70373"/>
    <w:rsid w:val="00C70EC7"/>
    <w:rsid w:val="00C70FAB"/>
    <w:rsid w:val="00C711DD"/>
    <w:rsid w:val="00C75F94"/>
    <w:rsid w:val="00C76F1B"/>
    <w:rsid w:val="00C8173C"/>
    <w:rsid w:val="00C81CD6"/>
    <w:rsid w:val="00C82083"/>
    <w:rsid w:val="00C83064"/>
    <w:rsid w:val="00C84E38"/>
    <w:rsid w:val="00C85E65"/>
    <w:rsid w:val="00C86505"/>
    <w:rsid w:val="00C87288"/>
    <w:rsid w:val="00C872CB"/>
    <w:rsid w:val="00C87AFC"/>
    <w:rsid w:val="00C9101B"/>
    <w:rsid w:val="00C92EC3"/>
    <w:rsid w:val="00C932C1"/>
    <w:rsid w:val="00C93A72"/>
    <w:rsid w:val="00C93F64"/>
    <w:rsid w:val="00C947C8"/>
    <w:rsid w:val="00C977B2"/>
    <w:rsid w:val="00CA22AE"/>
    <w:rsid w:val="00CA7600"/>
    <w:rsid w:val="00CA7E2B"/>
    <w:rsid w:val="00CB2B08"/>
    <w:rsid w:val="00CB3723"/>
    <w:rsid w:val="00CB4BD0"/>
    <w:rsid w:val="00CB6959"/>
    <w:rsid w:val="00CB703E"/>
    <w:rsid w:val="00CC2F05"/>
    <w:rsid w:val="00CC3638"/>
    <w:rsid w:val="00CC3824"/>
    <w:rsid w:val="00CC4F8A"/>
    <w:rsid w:val="00CC4FBF"/>
    <w:rsid w:val="00CC570E"/>
    <w:rsid w:val="00CC5F5E"/>
    <w:rsid w:val="00CC61EB"/>
    <w:rsid w:val="00CC7169"/>
    <w:rsid w:val="00CD1537"/>
    <w:rsid w:val="00CD1C7E"/>
    <w:rsid w:val="00CD2062"/>
    <w:rsid w:val="00CD2948"/>
    <w:rsid w:val="00CD2A54"/>
    <w:rsid w:val="00CD340B"/>
    <w:rsid w:val="00CD41B8"/>
    <w:rsid w:val="00CD7EDD"/>
    <w:rsid w:val="00CE0877"/>
    <w:rsid w:val="00CE2425"/>
    <w:rsid w:val="00CE2CCF"/>
    <w:rsid w:val="00CE3565"/>
    <w:rsid w:val="00CE5893"/>
    <w:rsid w:val="00CE72E9"/>
    <w:rsid w:val="00CE7302"/>
    <w:rsid w:val="00CF03DC"/>
    <w:rsid w:val="00CF1523"/>
    <w:rsid w:val="00CF159C"/>
    <w:rsid w:val="00CF30E3"/>
    <w:rsid w:val="00CF374A"/>
    <w:rsid w:val="00CF5261"/>
    <w:rsid w:val="00CF573E"/>
    <w:rsid w:val="00CF7333"/>
    <w:rsid w:val="00CF7D26"/>
    <w:rsid w:val="00CF7E30"/>
    <w:rsid w:val="00D00760"/>
    <w:rsid w:val="00D021DF"/>
    <w:rsid w:val="00D03991"/>
    <w:rsid w:val="00D03D0C"/>
    <w:rsid w:val="00D04D75"/>
    <w:rsid w:val="00D061DF"/>
    <w:rsid w:val="00D06EAC"/>
    <w:rsid w:val="00D10A9B"/>
    <w:rsid w:val="00D127E4"/>
    <w:rsid w:val="00D137CA"/>
    <w:rsid w:val="00D1472B"/>
    <w:rsid w:val="00D1515E"/>
    <w:rsid w:val="00D15786"/>
    <w:rsid w:val="00D172B7"/>
    <w:rsid w:val="00D17424"/>
    <w:rsid w:val="00D179E6"/>
    <w:rsid w:val="00D203AB"/>
    <w:rsid w:val="00D204C7"/>
    <w:rsid w:val="00D21603"/>
    <w:rsid w:val="00D21B2C"/>
    <w:rsid w:val="00D2235B"/>
    <w:rsid w:val="00D239EC"/>
    <w:rsid w:val="00D26C1C"/>
    <w:rsid w:val="00D30854"/>
    <w:rsid w:val="00D33899"/>
    <w:rsid w:val="00D33BC0"/>
    <w:rsid w:val="00D34279"/>
    <w:rsid w:val="00D34DD5"/>
    <w:rsid w:val="00D35191"/>
    <w:rsid w:val="00D3543F"/>
    <w:rsid w:val="00D35BE9"/>
    <w:rsid w:val="00D37CF0"/>
    <w:rsid w:val="00D40B17"/>
    <w:rsid w:val="00D41607"/>
    <w:rsid w:val="00D41A88"/>
    <w:rsid w:val="00D42820"/>
    <w:rsid w:val="00D42C78"/>
    <w:rsid w:val="00D440E2"/>
    <w:rsid w:val="00D443A8"/>
    <w:rsid w:val="00D5078D"/>
    <w:rsid w:val="00D5204E"/>
    <w:rsid w:val="00D551DE"/>
    <w:rsid w:val="00D5575A"/>
    <w:rsid w:val="00D56401"/>
    <w:rsid w:val="00D5675E"/>
    <w:rsid w:val="00D577D6"/>
    <w:rsid w:val="00D6003D"/>
    <w:rsid w:val="00D60FF9"/>
    <w:rsid w:val="00D6314B"/>
    <w:rsid w:val="00D66782"/>
    <w:rsid w:val="00D70340"/>
    <w:rsid w:val="00D70B82"/>
    <w:rsid w:val="00D7164C"/>
    <w:rsid w:val="00D748D2"/>
    <w:rsid w:val="00D767F8"/>
    <w:rsid w:val="00D76A00"/>
    <w:rsid w:val="00D76C75"/>
    <w:rsid w:val="00D807D1"/>
    <w:rsid w:val="00D8192B"/>
    <w:rsid w:val="00D81AA2"/>
    <w:rsid w:val="00D847BD"/>
    <w:rsid w:val="00D84E04"/>
    <w:rsid w:val="00D8526F"/>
    <w:rsid w:val="00D862AB"/>
    <w:rsid w:val="00D86636"/>
    <w:rsid w:val="00D87B3C"/>
    <w:rsid w:val="00D90341"/>
    <w:rsid w:val="00D90E41"/>
    <w:rsid w:val="00D95EF9"/>
    <w:rsid w:val="00D962A8"/>
    <w:rsid w:val="00D965FE"/>
    <w:rsid w:val="00DA0A2C"/>
    <w:rsid w:val="00DA10C6"/>
    <w:rsid w:val="00DA21A6"/>
    <w:rsid w:val="00DA319F"/>
    <w:rsid w:val="00DA3879"/>
    <w:rsid w:val="00DA4E55"/>
    <w:rsid w:val="00DA4EE7"/>
    <w:rsid w:val="00DA4F5E"/>
    <w:rsid w:val="00DA7A1A"/>
    <w:rsid w:val="00DB195F"/>
    <w:rsid w:val="00DB2787"/>
    <w:rsid w:val="00DB361A"/>
    <w:rsid w:val="00DB4907"/>
    <w:rsid w:val="00DB60AC"/>
    <w:rsid w:val="00DC0162"/>
    <w:rsid w:val="00DC260F"/>
    <w:rsid w:val="00DC3369"/>
    <w:rsid w:val="00DC4DF2"/>
    <w:rsid w:val="00DC53A3"/>
    <w:rsid w:val="00DC7264"/>
    <w:rsid w:val="00DC72FD"/>
    <w:rsid w:val="00DC76D6"/>
    <w:rsid w:val="00DC7748"/>
    <w:rsid w:val="00DC7C69"/>
    <w:rsid w:val="00DC7E43"/>
    <w:rsid w:val="00DD4374"/>
    <w:rsid w:val="00DD4693"/>
    <w:rsid w:val="00DD4C2A"/>
    <w:rsid w:val="00DD6517"/>
    <w:rsid w:val="00DD6860"/>
    <w:rsid w:val="00DE0A2C"/>
    <w:rsid w:val="00DE0C64"/>
    <w:rsid w:val="00DE1B77"/>
    <w:rsid w:val="00DE234D"/>
    <w:rsid w:val="00DE326B"/>
    <w:rsid w:val="00DE550B"/>
    <w:rsid w:val="00DE5AD0"/>
    <w:rsid w:val="00DE7346"/>
    <w:rsid w:val="00DE7628"/>
    <w:rsid w:val="00DE7E3A"/>
    <w:rsid w:val="00DF16FB"/>
    <w:rsid w:val="00DF2856"/>
    <w:rsid w:val="00DF2DBB"/>
    <w:rsid w:val="00DF30E1"/>
    <w:rsid w:val="00DF3D10"/>
    <w:rsid w:val="00DF3E60"/>
    <w:rsid w:val="00DF764E"/>
    <w:rsid w:val="00E0059D"/>
    <w:rsid w:val="00E00884"/>
    <w:rsid w:val="00E01C1C"/>
    <w:rsid w:val="00E03647"/>
    <w:rsid w:val="00E05385"/>
    <w:rsid w:val="00E0752C"/>
    <w:rsid w:val="00E1019A"/>
    <w:rsid w:val="00E11F32"/>
    <w:rsid w:val="00E13358"/>
    <w:rsid w:val="00E1434A"/>
    <w:rsid w:val="00E143CA"/>
    <w:rsid w:val="00E1442C"/>
    <w:rsid w:val="00E152E4"/>
    <w:rsid w:val="00E16EC5"/>
    <w:rsid w:val="00E176CE"/>
    <w:rsid w:val="00E229AD"/>
    <w:rsid w:val="00E233C0"/>
    <w:rsid w:val="00E23F33"/>
    <w:rsid w:val="00E24596"/>
    <w:rsid w:val="00E245A4"/>
    <w:rsid w:val="00E24E26"/>
    <w:rsid w:val="00E2520C"/>
    <w:rsid w:val="00E25E31"/>
    <w:rsid w:val="00E2694D"/>
    <w:rsid w:val="00E26AFF"/>
    <w:rsid w:val="00E26B5C"/>
    <w:rsid w:val="00E26C01"/>
    <w:rsid w:val="00E27C0B"/>
    <w:rsid w:val="00E31D84"/>
    <w:rsid w:val="00E31F2F"/>
    <w:rsid w:val="00E326C6"/>
    <w:rsid w:val="00E33806"/>
    <w:rsid w:val="00E33E70"/>
    <w:rsid w:val="00E33EDC"/>
    <w:rsid w:val="00E34B58"/>
    <w:rsid w:val="00E3619F"/>
    <w:rsid w:val="00E364D6"/>
    <w:rsid w:val="00E36A6F"/>
    <w:rsid w:val="00E4140F"/>
    <w:rsid w:val="00E4232F"/>
    <w:rsid w:val="00E42980"/>
    <w:rsid w:val="00E436F9"/>
    <w:rsid w:val="00E43BFA"/>
    <w:rsid w:val="00E4404C"/>
    <w:rsid w:val="00E4463B"/>
    <w:rsid w:val="00E45D66"/>
    <w:rsid w:val="00E46E85"/>
    <w:rsid w:val="00E47406"/>
    <w:rsid w:val="00E519FC"/>
    <w:rsid w:val="00E52295"/>
    <w:rsid w:val="00E529CF"/>
    <w:rsid w:val="00E52B31"/>
    <w:rsid w:val="00E52C7B"/>
    <w:rsid w:val="00E537B3"/>
    <w:rsid w:val="00E5469C"/>
    <w:rsid w:val="00E56100"/>
    <w:rsid w:val="00E5618C"/>
    <w:rsid w:val="00E5768B"/>
    <w:rsid w:val="00E57E45"/>
    <w:rsid w:val="00E60D81"/>
    <w:rsid w:val="00E621B3"/>
    <w:rsid w:val="00E65CB0"/>
    <w:rsid w:val="00E67A3E"/>
    <w:rsid w:val="00E71ABE"/>
    <w:rsid w:val="00E72144"/>
    <w:rsid w:val="00E72564"/>
    <w:rsid w:val="00E73D3A"/>
    <w:rsid w:val="00E74D4D"/>
    <w:rsid w:val="00E80518"/>
    <w:rsid w:val="00E808B6"/>
    <w:rsid w:val="00E81504"/>
    <w:rsid w:val="00E8159A"/>
    <w:rsid w:val="00E81E0A"/>
    <w:rsid w:val="00E84B44"/>
    <w:rsid w:val="00E87DEA"/>
    <w:rsid w:val="00E87E9F"/>
    <w:rsid w:val="00E9004C"/>
    <w:rsid w:val="00E90DB3"/>
    <w:rsid w:val="00EA0616"/>
    <w:rsid w:val="00EA11AA"/>
    <w:rsid w:val="00EA4B9D"/>
    <w:rsid w:val="00EA4BCF"/>
    <w:rsid w:val="00EA5244"/>
    <w:rsid w:val="00EA53FF"/>
    <w:rsid w:val="00EA705B"/>
    <w:rsid w:val="00EA72F9"/>
    <w:rsid w:val="00EA7873"/>
    <w:rsid w:val="00EA7D57"/>
    <w:rsid w:val="00EB1022"/>
    <w:rsid w:val="00EB1DC5"/>
    <w:rsid w:val="00EB1DE2"/>
    <w:rsid w:val="00EB21AA"/>
    <w:rsid w:val="00EB3D61"/>
    <w:rsid w:val="00EB47C2"/>
    <w:rsid w:val="00EB77D7"/>
    <w:rsid w:val="00EC0ED4"/>
    <w:rsid w:val="00EC2DCB"/>
    <w:rsid w:val="00EC49AA"/>
    <w:rsid w:val="00EC6372"/>
    <w:rsid w:val="00EC6920"/>
    <w:rsid w:val="00EC6FFE"/>
    <w:rsid w:val="00ED0C44"/>
    <w:rsid w:val="00ED135F"/>
    <w:rsid w:val="00ED25B8"/>
    <w:rsid w:val="00ED39EB"/>
    <w:rsid w:val="00ED5782"/>
    <w:rsid w:val="00ED61D4"/>
    <w:rsid w:val="00ED6D1B"/>
    <w:rsid w:val="00ED7ACF"/>
    <w:rsid w:val="00EE0708"/>
    <w:rsid w:val="00EE2987"/>
    <w:rsid w:val="00EE34C5"/>
    <w:rsid w:val="00EE3713"/>
    <w:rsid w:val="00EE3A33"/>
    <w:rsid w:val="00EE3D6D"/>
    <w:rsid w:val="00EE45CF"/>
    <w:rsid w:val="00EE534E"/>
    <w:rsid w:val="00EE6746"/>
    <w:rsid w:val="00EE6B26"/>
    <w:rsid w:val="00EF3BC6"/>
    <w:rsid w:val="00EF573D"/>
    <w:rsid w:val="00EF7553"/>
    <w:rsid w:val="00EF7CEE"/>
    <w:rsid w:val="00F01E0B"/>
    <w:rsid w:val="00F01EE3"/>
    <w:rsid w:val="00F044E1"/>
    <w:rsid w:val="00F0538C"/>
    <w:rsid w:val="00F066ED"/>
    <w:rsid w:val="00F06BE4"/>
    <w:rsid w:val="00F07082"/>
    <w:rsid w:val="00F101F7"/>
    <w:rsid w:val="00F11426"/>
    <w:rsid w:val="00F11BA0"/>
    <w:rsid w:val="00F13F96"/>
    <w:rsid w:val="00F143E3"/>
    <w:rsid w:val="00F15C5C"/>
    <w:rsid w:val="00F16172"/>
    <w:rsid w:val="00F20ACC"/>
    <w:rsid w:val="00F21BED"/>
    <w:rsid w:val="00F23E7E"/>
    <w:rsid w:val="00F24BC2"/>
    <w:rsid w:val="00F253A0"/>
    <w:rsid w:val="00F2581E"/>
    <w:rsid w:val="00F25A60"/>
    <w:rsid w:val="00F26426"/>
    <w:rsid w:val="00F26FC3"/>
    <w:rsid w:val="00F278B7"/>
    <w:rsid w:val="00F31DA6"/>
    <w:rsid w:val="00F339C0"/>
    <w:rsid w:val="00F3477A"/>
    <w:rsid w:val="00F34EEE"/>
    <w:rsid w:val="00F35B57"/>
    <w:rsid w:val="00F36CFD"/>
    <w:rsid w:val="00F36E61"/>
    <w:rsid w:val="00F43697"/>
    <w:rsid w:val="00F4445D"/>
    <w:rsid w:val="00F44854"/>
    <w:rsid w:val="00F44869"/>
    <w:rsid w:val="00F45FC2"/>
    <w:rsid w:val="00F470EB"/>
    <w:rsid w:val="00F47AEE"/>
    <w:rsid w:val="00F52720"/>
    <w:rsid w:val="00F53739"/>
    <w:rsid w:val="00F53B4C"/>
    <w:rsid w:val="00F53DDB"/>
    <w:rsid w:val="00F5697B"/>
    <w:rsid w:val="00F60064"/>
    <w:rsid w:val="00F612D6"/>
    <w:rsid w:val="00F62C83"/>
    <w:rsid w:val="00F635F4"/>
    <w:rsid w:val="00F63D5D"/>
    <w:rsid w:val="00F67078"/>
    <w:rsid w:val="00F7120B"/>
    <w:rsid w:val="00F7142A"/>
    <w:rsid w:val="00F748CC"/>
    <w:rsid w:val="00F767C6"/>
    <w:rsid w:val="00F76BC4"/>
    <w:rsid w:val="00F77268"/>
    <w:rsid w:val="00F8075A"/>
    <w:rsid w:val="00F819AE"/>
    <w:rsid w:val="00F82491"/>
    <w:rsid w:val="00F825DD"/>
    <w:rsid w:val="00F84D06"/>
    <w:rsid w:val="00F85605"/>
    <w:rsid w:val="00F85814"/>
    <w:rsid w:val="00F8584E"/>
    <w:rsid w:val="00F858E8"/>
    <w:rsid w:val="00F86289"/>
    <w:rsid w:val="00F91783"/>
    <w:rsid w:val="00F91DD7"/>
    <w:rsid w:val="00F92C01"/>
    <w:rsid w:val="00F93DED"/>
    <w:rsid w:val="00F94493"/>
    <w:rsid w:val="00F94881"/>
    <w:rsid w:val="00F95548"/>
    <w:rsid w:val="00F9704F"/>
    <w:rsid w:val="00FA4675"/>
    <w:rsid w:val="00FA5521"/>
    <w:rsid w:val="00FA5DD2"/>
    <w:rsid w:val="00FA6003"/>
    <w:rsid w:val="00FA6570"/>
    <w:rsid w:val="00FA6A0E"/>
    <w:rsid w:val="00FB1459"/>
    <w:rsid w:val="00FB18D1"/>
    <w:rsid w:val="00FB1A85"/>
    <w:rsid w:val="00FB4633"/>
    <w:rsid w:val="00FB69C3"/>
    <w:rsid w:val="00FC07D8"/>
    <w:rsid w:val="00FC09B3"/>
    <w:rsid w:val="00FC0BF6"/>
    <w:rsid w:val="00FC291A"/>
    <w:rsid w:val="00FC2B31"/>
    <w:rsid w:val="00FC377B"/>
    <w:rsid w:val="00FC4468"/>
    <w:rsid w:val="00FC57F0"/>
    <w:rsid w:val="00FC5D43"/>
    <w:rsid w:val="00FC5E70"/>
    <w:rsid w:val="00FD03F6"/>
    <w:rsid w:val="00FD1F35"/>
    <w:rsid w:val="00FD25EC"/>
    <w:rsid w:val="00FD2A68"/>
    <w:rsid w:val="00FD3998"/>
    <w:rsid w:val="00FD4B15"/>
    <w:rsid w:val="00FD4C73"/>
    <w:rsid w:val="00FD7092"/>
    <w:rsid w:val="00FD7F05"/>
    <w:rsid w:val="00FE2BF5"/>
    <w:rsid w:val="00FE39CF"/>
    <w:rsid w:val="00FE52DC"/>
    <w:rsid w:val="00FE5491"/>
    <w:rsid w:val="00FE5D86"/>
    <w:rsid w:val="00FE7EC7"/>
    <w:rsid w:val="00FF2CD4"/>
    <w:rsid w:val="00FF30BB"/>
    <w:rsid w:val="00FF3C07"/>
    <w:rsid w:val="00FF42A5"/>
    <w:rsid w:val="00FF6908"/>
    <w:rsid w:val="00FF7C2D"/>
    <w:rsid w:val="0452C0D0"/>
    <w:rsid w:val="14DD2DB6"/>
    <w:rsid w:val="1A0D1EAE"/>
    <w:rsid w:val="4468EA54"/>
    <w:rsid w:val="46D74076"/>
    <w:rsid w:val="4AD6AF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B016"/>
  <w15:docId w15:val="{1CD3F359-BD8B-46CE-BE16-505C8F7C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C73"/>
  </w:style>
  <w:style w:type="paragraph" w:styleId="Heading1">
    <w:name w:val="heading 1"/>
    <w:basedOn w:val="Normal"/>
    <w:next w:val="Normal"/>
    <w:link w:val="Heading1Char"/>
    <w:uiPriority w:val="9"/>
    <w:qFormat/>
    <w:rsid w:val="006F3C29"/>
    <w:pPr>
      <w:keepNext/>
      <w:spacing w:before="480" w:after="240" w:line="240" w:lineRule="auto"/>
      <w:ind w:left="432" w:hanging="432"/>
      <w:jc w:val="left"/>
      <w:outlineLvl w:val="0"/>
    </w:pPr>
    <w:rPr>
      <w:b/>
      <w:caps/>
      <w:spacing w:val="5"/>
      <w:sz w:val="32"/>
      <w:szCs w:val="32"/>
    </w:rPr>
  </w:style>
  <w:style w:type="paragraph" w:styleId="Heading2">
    <w:name w:val="heading 2"/>
    <w:basedOn w:val="ListParagraph"/>
    <w:next w:val="Normal"/>
    <w:link w:val="Heading2Char"/>
    <w:uiPriority w:val="9"/>
    <w:unhideWhenUsed/>
    <w:qFormat/>
    <w:rsid w:val="006F3C29"/>
    <w:pPr>
      <w:keepNext/>
      <w:numPr>
        <w:numId w:val="22"/>
      </w:numPr>
      <w:spacing w:before="240" w:after="240" w:line="240" w:lineRule="auto"/>
      <w:jc w:val="left"/>
      <w:outlineLvl w:val="1"/>
    </w:pPr>
    <w:rPr>
      <w:smallCaps/>
      <w:spacing w:val="5"/>
      <w:sz w:val="28"/>
      <w:szCs w:val="28"/>
    </w:rPr>
  </w:style>
  <w:style w:type="paragraph" w:styleId="Heading3">
    <w:name w:val="heading 3"/>
    <w:basedOn w:val="Normal"/>
    <w:next w:val="Normal"/>
    <w:link w:val="Heading3Char"/>
    <w:uiPriority w:val="9"/>
    <w:unhideWhenUsed/>
    <w:qFormat/>
    <w:rsid w:val="006F3C29"/>
    <w:pPr>
      <w:spacing w:line="240" w:lineRule="auto"/>
      <w:outlineLvl w:val="2"/>
    </w:pPr>
    <w:rPr>
      <w:b/>
      <w:color w:val="000000" w:themeColor="text1"/>
    </w:rPr>
  </w:style>
  <w:style w:type="paragraph" w:styleId="Heading4">
    <w:name w:val="heading 4"/>
    <w:basedOn w:val="Normal"/>
    <w:next w:val="Normal"/>
    <w:link w:val="Heading4Char"/>
    <w:uiPriority w:val="9"/>
    <w:unhideWhenUsed/>
    <w:qFormat/>
    <w:rsid w:val="000E160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E160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0E160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0E160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0E160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0E160B"/>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160B"/>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E160B"/>
    <w:rPr>
      <w:smallCaps/>
      <w:sz w:val="48"/>
      <w:szCs w:val="48"/>
    </w:rPr>
  </w:style>
  <w:style w:type="paragraph" w:styleId="Subtitle">
    <w:name w:val="Subtitle"/>
    <w:basedOn w:val="Normal"/>
    <w:next w:val="Normal"/>
    <w:link w:val="SubtitleChar"/>
    <w:uiPriority w:val="11"/>
    <w:qFormat/>
    <w:rsid w:val="000E160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E160B"/>
    <w:rPr>
      <w:rFonts w:asciiTheme="majorHAnsi" w:eastAsiaTheme="majorEastAsia" w:hAnsiTheme="majorHAnsi" w:cstheme="majorBidi"/>
      <w:szCs w:val="22"/>
    </w:rPr>
  </w:style>
  <w:style w:type="character" w:customStyle="1" w:styleId="Heading1Char">
    <w:name w:val="Heading 1 Char"/>
    <w:basedOn w:val="DefaultParagraphFont"/>
    <w:link w:val="Heading1"/>
    <w:uiPriority w:val="9"/>
    <w:rsid w:val="006F3C29"/>
    <w:rPr>
      <w:b/>
      <w:caps/>
      <w:spacing w:val="5"/>
      <w:sz w:val="32"/>
      <w:szCs w:val="32"/>
    </w:rPr>
  </w:style>
  <w:style w:type="character" w:customStyle="1" w:styleId="Heading2Char">
    <w:name w:val="Heading 2 Char"/>
    <w:basedOn w:val="DefaultParagraphFont"/>
    <w:link w:val="Heading2"/>
    <w:uiPriority w:val="9"/>
    <w:rsid w:val="006F3C29"/>
    <w:rPr>
      <w:smallCaps/>
      <w:spacing w:val="5"/>
      <w:sz w:val="28"/>
      <w:szCs w:val="28"/>
    </w:rPr>
  </w:style>
  <w:style w:type="character" w:customStyle="1" w:styleId="Heading3Char">
    <w:name w:val="Heading 3 Char"/>
    <w:basedOn w:val="DefaultParagraphFont"/>
    <w:link w:val="Heading3"/>
    <w:uiPriority w:val="9"/>
    <w:rsid w:val="006F3C29"/>
    <w:rPr>
      <w:b/>
      <w:color w:val="000000" w:themeColor="text1"/>
    </w:rPr>
  </w:style>
  <w:style w:type="character" w:customStyle="1" w:styleId="Heading4Char">
    <w:name w:val="Heading 4 Char"/>
    <w:basedOn w:val="DefaultParagraphFont"/>
    <w:link w:val="Heading4"/>
    <w:uiPriority w:val="9"/>
    <w:rsid w:val="000E160B"/>
    <w:rPr>
      <w:smallCaps/>
      <w:spacing w:val="10"/>
      <w:sz w:val="22"/>
      <w:szCs w:val="22"/>
    </w:rPr>
  </w:style>
  <w:style w:type="character" w:customStyle="1" w:styleId="Heading5Char">
    <w:name w:val="Heading 5 Char"/>
    <w:basedOn w:val="DefaultParagraphFont"/>
    <w:link w:val="Heading5"/>
    <w:uiPriority w:val="9"/>
    <w:semiHidden/>
    <w:rsid w:val="000E160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0E160B"/>
    <w:rPr>
      <w:smallCaps/>
      <w:color w:val="C0504D" w:themeColor="accent2"/>
      <w:spacing w:val="5"/>
      <w:sz w:val="22"/>
    </w:rPr>
  </w:style>
  <w:style w:type="character" w:customStyle="1" w:styleId="Heading7Char">
    <w:name w:val="Heading 7 Char"/>
    <w:basedOn w:val="DefaultParagraphFont"/>
    <w:link w:val="Heading7"/>
    <w:uiPriority w:val="9"/>
    <w:semiHidden/>
    <w:rsid w:val="000E160B"/>
    <w:rPr>
      <w:b/>
      <w:smallCaps/>
      <w:color w:val="C0504D" w:themeColor="accent2"/>
      <w:spacing w:val="10"/>
    </w:rPr>
  </w:style>
  <w:style w:type="character" w:customStyle="1" w:styleId="Heading8Char">
    <w:name w:val="Heading 8 Char"/>
    <w:basedOn w:val="DefaultParagraphFont"/>
    <w:link w:val="Heading8"/>
    <w:uiPriority w:val="9"/>
    <w:semiHidden/>
    <w:rsid w:val="000E160B"/>
    <w:rPr>
      <w:b/>
      <w:i/>
      <w:smallCaps/>
      <w:color w:val="943634" w:themeColor="accent2" w:themeShade="BF"/>
    </w:rPr>
  </w:style>
  <w:style w:type="character" w:customStyle="1" w:styleId="Heading9Char">
    <w:name w:val="Heading 9 Char"/>
    <w:basedOn w:val="DefaultParagraphFont"/>
    <w:link w:val="Heading9"/>
    <w:uiPriority w:val="9"/>
    <w:semiHidden/>
    <w:rsid w:val="000E160B"/>
    <w:rPr>
      <w:b/>
      <w:i/>
      <w:smallCaps/>
      <w:color w:val="622423" w:themeColor="accent2" w:themeShade="7F"/>
    </w:rPr>
  </w:style>
  <w:style w:type="paragraph" w:styleId="Caption">
    <w:name w:val="caption"/>
    <w:aliases w:val="Source after Chart,Caption-tables"/>
    <w:basedOn w:val="Normal"/>
    <w:next w:val="Normal"/>
    <w:link w:val="CaptionChar"/>
    <w:uiPriority w:val="35"/>
    <w:unhideWhenUsed/>
    <w:qFormat/>
    <w:rsid w:val="000E160B"/>
    <w:rPr>
      <w:b/>
      <w:bCs/>
      <w:caps/>
      <w:sz w:val="16"/>
      <w:szCs w:val="18"/>
    </w:rPr>
  </w:style>
  <w:style w:type="character" w:styleId="Strong">
    <w:name w:val="Strong"/>
    <w:uiPriority w:val="22"/>
    <w:qFormat/>
    <w:rsid w:val="000E160B"/>
    <w:rPr>
      <w:b/>
      <w:color w:val="C0504D" w:themeColor="accent2"/>
    </w:rPr>
  </w:style>
  <w:style w:type="character" w:styleId="Emphasis">
    <w:name w:val="Emphasis"/>
    <w:uiPriority w:val="20"/>
    <w:qFormat/>
    <w:rsid w:val="000E160B"/>
    <w:rPr>
      <w:b/>
      <w:i/>
      <w:spacing w:val="10"/>
    </w:rPr>
  </w:style>
  <w:style w:type="paragraph" w:styleId="NoSpacing">
    <w:name w:val="No Spacing"/>
    <w:basedOn w:val="Normal"/>
    <w:link w:val="NoSpacingChar"/>
    <w:uiPriority w:val="1"/>
    <w:qFormat/>
    <w:rsid w:val="000E160B"/>
    <w:pPr>
      <w:spacing w:after="0" w:line="240" w:lineRule="auto"/>
    </w:pPr>
  </w:style>
  <w:style w:type="character" w:customStyle="1" w:styleId="NoSpacingChar">
    <w:name w:val="No Spacing Char"/>
    <w:basedOn w:val="DefaultParagraphFont"/>
    <w:link w:val="NoSpacing"/>
    <w:uiPriority w:val="1"/>
    <w:rsid w:val="000E160B"/>
  </w:style>
  <w:style w:type="paragraph" w:styleId="ListParagraph">
    <w:name w:val="List Paragraph"/>
    <w:aliases w:val="Dot pt,F5 List Paragraph,List Paragraph1,No Spacing1,List Paragraph Char Char Char,Indicator Text,Numbered Para 1,Colorful List - Accent 11,Bullet 1,Bullet Points,MAIN CONTENT,List Paragraph12,List Paragraph2,Normal numbered"/>
    <w:basedOn w:val="Normal"/>
    <w:link w:val="ListParagraphChar"/>
    <w:uiPriority w:val="34"/>
    <w:qFormat/>
    <w:rsid w:val="000E160B"/>
    <w:pPr>
      <w:ind w:left="720"/>
      <w:contextualSpacing/>
    </w:pPr>
  </w:style>
  <w:style w:type="paragraph" w:styleId="Quote">
    <w:name w:val="Quote"/>
    <w:basedOn w:val="Normal"/>
    <w:next w:val="Normal"/>
    <w:link w:val="QuoteChar"/>
    <w:uiPriority w:val="29"/>
    <w:qFormat/>
    <w:rsid w:val="000E160B"/>
    <w:rPr>
      <w:i/>
    </w:rPr>
  </w:style>
  <w:style w:type="character" w:customStyle="1" w:styleId="QuoteChar">
    <w:name w:val="Quote Char"/>
    <w:basedOn w:val="DefaultParagraphFont"/>
    <w:link w:val="Quote"/>
    <w:uiPriority w:val="29"/>
    <w:rsid w:val="000E160B"/>
    <w:rPr>
      <w:i/>
    </w:rPr>
  </w:style>
  <w:style w:type="paragraph" w:styleId="IntenseQuote">
    <w:name w:val="Intense Quote"/>
    <w:basedOn w:val="Normal"/>
    <w:next w:val="Normal"/>
    <w:link w:val="IntenseQuoteChar"/>
    <w:uiPriority w:val="30"/>
    <w:qFormat/>
    <w:rsid w:val="000E160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E160B"/>
    <w:rPr>
      <w:b/>
      <w:i/>
      <w:color w:val="FFFFFF" w:themeColor="background1"/>
      <w:shd w:val="clear" w:color="auto" w:fill="C0504D" w:themeFill="accent2"/>
    </w:rPr>
  </w:style>
  <w:style w:type="character" w:styleId="SubtleEmphasis">
    <w:name w:val="Subtle Emphasis"/>
    <w:uiPriority w:val="19"/>
    <w:qFormat/>
    <w:rsid w:val="000E160B"/>
    <w:rPr>
      <w:i/>
    </w:rPr>
  </w:style>
  <w:style w:type="character" w:styleId="IntenseEmphasis">
    <w:name w:val="Intense Emphasis"/>
    <w:uiPriority w:val="21"/>
    <w:qFormat/>
    <w:rsid w:val="000E160B"/>
    <w:rPr>
      <w:b/>
      <w:i/>
      <w:color w:val="C0504D" w:themeColor="accent2"/>
      <w:spacing w:val="10"/>
    </w:rPr>
  </w:style>
  <w:style w:type="character" w:styleId="SubtleReference">
    <w:name w:val="Subtle Reference"/>
    <w:uiPriority w:val="31"/>
    <w:qFormat/>
    <w:rsid w:val="000E160B"/>
    <w:rPr>
      <w:b/>
    </w:rPr>
  </w:style>
  <w:style w:type="character" w:styleId="IntenseReference">
    <w:name w:val="Intense Reference"/>
    <w:uiPriority w:val="32"/>
    <w:qFormat/>
    <w:rsid w:val="000E160B"/>
    <w:rPr>
      <w:b/>
      <w:bCs/>
      <w:smallCaps/>
      <w:spacing w:val="5"/>
      <w:sz w:val="22"/>
      <w:szCs w:val="22"/>
      <w:u w:val="single"/>
    </w:rPr>
  </w:style>
  <w:style w:type="character" w:styleId="BookTitle">
    <w:name w:val="Book Title"/>
    <w:uiPriority w:val="33"/>
    <w:qFormat/>
    <w:rsid w:val="000E160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E160B"/>
    <w:pPr>
      <w:outlineLvl w:val="9"/>
    </w:pPr>
    <w:rPr>
      <w:lang w:bidi="en-US"/>
    </w:rPr>
  </w:style>
  <w:style w:type="paragraph" w:styleId="Header">
    <w:name w:val="header"/>
    <w:basedOn w:val="Normal"/>
    <w:link w:val="HeaderChar"/>
    <w:uiPriority w:val="99"/>
    <w:unhideWhenUsed/>
    <w:rsid w:val="000E16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160B"/>
  </w:style>
  <w:style w:type="paragraph" w:styleId="Footer">
    <w:name w:val="footer"/>
    <w:basedOn w:val="Normal"/>
    <w:link w:val="FooterChar"/>
    <w:uiPriority w:val="99"/>
    <w:unhideWhenUsed/>
    <w:rsid w:val="000E16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160B"/>
  </w:style>
  <w:style w:type="paragraph" w:styleId="CommentText">
    <w:name w:val="annotation text"/>
    <w:basedOn w:val="Normal"/>
    <w:link w:val="CommentTextChar"/>
    <w:uiPriority w:val="99"/>
    <w:rsid w:val="00035171"/>
    <w:pPr>
      <w:spacing w:after="0" w:line="240" w:lineRule="auto"/>
      <w:jc w:val="left"/>
    </w:pPr>
    <w:rPr>
      <w:rFonts w:ascii="Times New Roman" w:eastAsia="MS Mincho" w:hAnsi="Times New Roman" w:cs="Times New Roman"/>
      <w:lang w:eastAsia="ja-JP"/>
    </w:rPr>
  </w:style>
  <w:style w:type="character" w:customStyle="1" w:styleId="CommentTextChar">
    <w:name w:val="Comment Text Char"/>
    <w:basedOn w:val="DefaultParagraphFont"/>
    <w:link w:val="CommentText"/>
    <w:uiPriority w:val="99"/>
    <w:rsid w:val="00035171"/>
    <w:rPr>
      <w:rFonts w:ascii="Times New Roman" w:eastAsia="MS Mincho" w:hAnsi="Times New Roman" w:cs="Times New Roman"/>
      <w:lang w:eastAsia="ja-JP"/>
    </w:rPr>
  </w:style>
  <w:style w:type="table" w:styleId="MediumShading1-Accent1">
    <w:name w:val="Medium Shading 1 Accent 1"/>
    <w:basedOn w:val="TableNormal"/>
    <w:uiPriority w:val="63"/>
    <w:rsid w:val="00035171"/>
    <w:pPr>
      <w:spacing w:after="0" w:line="240" w:lineRule="auto"/>
      <w:jc w:val="left"/>
    </w:pPr>
    <w:rPr>
      <w:rFonts w:ascii="Times New Roman" w:eastAsia="MS Mincho" w:hAnsi="Times New Roman" w:cs="Times New Roman"/>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035171"/>
    <w:pPr>
      <w:spacing w:after="0" w:line="240" w:lineRule="auto"/>
    </w:pPr>
  </w:style>
  <w:style w:type="character" w:customStyle="1" w:styleId="FootnoteTextChar">
    <w:name w:val="Footnote Text Char"/>
    <w:basedOn w:val="DefaultParagraphFont"/>
    <w:link w:val="FootnoteText"/>
    <w:uiPriority w:val="99"/>
    <w:semiHidden/>
    <w:rsid w:val="00035171"/>
  </w:style>
  <w:style w:type="character" w:styleId="FootnoteReference">
    <w:name w:val="footnote reference"/>
    <w:basedOn w:val="DefaultParagraphFont"/>
    <w:uiPriority w:val="99"/>
    <w:semiHidden/>
    <w:unhideWhenUsed/>
    <w:rsid w:val="00035171"/>
    <w:rPr>
      <w:vertAlign w:val="superscript"/>
    </w:rPr>
  </w:style>
  <w:style w:type="table" w:styleId="LightList-Accent2">
    <w:name w:val="Light List Accent 2"/>
    <w:basedOn w:val="TableNormal"/>
    <w:uiPriority w:val="61"/>
    <w:rsid w:val="00DD686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3B1416"/>
    <w:rPr>
      <w:color w:val="0000FF" w:themeColor="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3B1416"/>
  </w:style>
  <w:style w:type="paragraph" w:styleId="BalloonText">
    <w:name w:val="Balloon Text"/>
    <w:basedOn w:val="Normal"/>
    <w:link w:val="BalloonTextChar"/>
    <w:uiPriority w:val="99"/>
    <w:semiHidden/>
    <w:unhideWhenUsed/>
    <w:rsid w:val="008F0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23"/>
    <w:rPr>
      <w:rFonts w:ascii="Tahoma" w:hAnsi="Tahoma" w:cs="Tahoma"/>
      <w:sz w:val="16"/>
      <w:szCs w:val="16"/>
    </w:rPr>
  </w:style>
  <w:style w:type="table" w:styleId="TableGrid">
    <w:name w:val="Table Grid"/>
    <w:basedOn w:val="TableNormal"/>
    <w:uiPriority w:val="59"/>
    <w:rsid w:val="00C81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Source after Chart Char,Caption-tables Char"/>
    <w:link w:val="Caption"/>
    <w:uiPriority w:val="35"/>
    <w:rsid w:val="002E700B"/>
    <w:rPr>
      <w:b/>
      <w:bCs/>
      <w:caps/>
      <w:sz w:val="16"/>
      <w:szCs w:val="18"/>
    </w:rPr>
  </w:style>
  <w:style w:type="character" w:styleId="CommentReference">
    <w:name w:val="annotation reference"/>
    <w:basedOn w:val="DefaultParagraphFont"/>
    <w:uiPriority w:val="99"/>
    <w:semiHidden/>
    <w:unhideWhenUsed/>
    <w:rsid w:val="0019747E"/>
    <w:rPr>
      <w:sz w:val="16"/>
      <w:szCs w:val="16"/>
    </w:rPr>
  </w:style>
  <w:style w:type="paragraph" w:styleId="CommentSubject">
    <w:name w:val="annotation subject"/>
    <w:basedOn w:val="CommentText"/>
    <w:next w:val="CommentText"/>
    <w:link w:val="CommentSubjectChar"/>
    <w:uiPriority w:val="99"/>
    <w:semiHidden/>
    <w:unhideWhenUsed/>
    <w:rsid w:val="0019747E"/>
    <w:pPr>
      <w:spacing w:after="200"/>
      <w:jc w:val="both"/>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9747E"/>
    <w:rPr>
      <w:rFonts w:ascii="Times New Roman" w:eastAsia="MS Mincho" w:hAnsi="Times New Roman" w:cs="Times New Roman"/>
      <w:b/>
      <w:bCs/>
      <w:lang w:eastAsia="ja-JP"/>
    </w:rPr>
  </w:style>
  <w:style w:type="paragraph" w:styleId="NormalWeb">
    <w:name w:val="Normal (Web)"/>
    <w:basedOn w:val="Normal"/>
    <w:uiPriority w:val="99"/>
    <w:unhideWhenUsed/>
    <w:rsid w:val="00F93DED"/>
    <w:rPr>
      <w:rFonts w:ascii="Times New Roman" w:hAnsi="Times New Roman" w:cs="Times New Roman"/>
      <w:sz w:val="24"/>
      <w:szCs w:val="24"/>
    </w:rPr>
  </w:style>
  <w:style w:type="paragraph" w:styleId="TOC1">
    <w:name w:val="toc 1"/>
    <w:basedOn w:val="Normal"/>
    <w:next w:val="Normal"/>
    <w:autoRedefine/>
    <w:uiPriority w:val="39"/>
    <w:unhideWhenUsed/>
    <w:rsid w:val="00DA21A6"/>
    <w:pPr>
      <w:tabs>
        <w:tab w:val="right" w:leader="dot" w:pos="9736"/>
      </w:tabs>
      <w:spacing w:after="100"/>
    </w:pPr>
  </w:style>
  <w:style w:type="paragraph" w:styleId="TOC2">
    <w:name w:val="toc 2"/>
    <w:basedOn w:val="Normal"/>
    <w:next w:val="Normal"/>
    <w:autoRedefine/>
    <w:uiPriority w:val="39"/>
    <w:unhideWhenUsed/>
    <w:rsid w:val="006F3C29"/>
    <w:pPr>
      <w:tabs>
        <w:tab w:val="left" w:pos="426"/>
        <w:tab w:val="right" w:leader="dot" w:pos="9736"/>
      </w:tabs>
      <w:spacing w:after="100"/>
      <w:ind w:left="200"/>
    </w:pPr>
  </w:style>
  <w:style w:type="table" w:customStyle="1" w:styleId="DocumentTable1">
    <w:name w:val="Document Table1"/>
    <w:basedOn w:val="TableNormal"/>
    <w:next w:val="TableGrid"/>
    <w:rsid w:val="00FB1459"/>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2">
    <w:name w:val="Document Table2"/>
    <w:basedOn w:val="TableNormal"/>
    <w:next w:val="TableGrid"/>
    <w:rsid w:val="00087182"/>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3">
    <w:name w:val="Document Table3"/>
    <w:basedOn w:val="TableNormal"/>
    <w:next w:val="TableGrid"/>
    <w:rsid w:val="00087182"/>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F3C29"/>
    <w:pPr>
      <w:tabs>
        <w:tab w:val="right" w:leader="dot" w:pos="9736"/>
      </w:tabs>
      <w:spacing w:after="100"/>
      <w:ind w:left="426"/>
    </w:pPr>
    <w:rPr>
      <w:rFonts w:ascii="Calibri" w:eastAsia="Times New Roman" w:hAnsi="Calibri" w:cs="Times New Roman"/>
      <w:noProof/>
      <w:spacing w:val="5"/>
    </w:rPr>
  </w:style>
  <w:style w:type="character" w:customStyle="1" w:styleId="UnresolvedMention1">
    <w:name w:val="Unresolved Mention1"/>
    <w:basedOn w:val="DefaultParagraphFont"/>
    <w:uiPriority w:val="99"/>
    <w:semiHidden/>
    <w:unhideWhenUsed/>
    <w:rsid w:val="006B315E"/>
    <w:rPr>
      <w:color w:val="808080"/>
      <w:shd w:val="clear" w:color="auto" w:fill="E6E6E6"/>
    </w:rPr>
  </w:style>
  <w:style w:type="character" w:customStyle="1" w:styleId="UnresolvedMention2">
    <w:name w:val="Unresolved Mention2"/>
    <w:basedOn w:val="DefaultParagraphFont"/>
    <w:uiPriority w:val="99"/>
    <w:semiHidden/>
    <w:unhideWhenUsed/>
    <w:rsid w:val="00852490"/>
    <w:rPr>
      <w:color w:val="808080"/>
      <w:shd w:val="clear" w:color="auto" w:fill="E6E6E6"/>
    </w:rPr>
  </w:style>
  <w:style w:type="character" w:styleId="FollowedHyperlink">
    <w:name w:val="FollowedHyperlink"/>
    <w:basedOn w:val="DefaultParagraphFont"/>
    <w:uiPriority w:val="99"/>
    <w:semiHidden/>
    <w:unhideWhenUsed/>
    <w:rsid w:val="00852490"/>
    <w:rPr>
      <w:color w:val="800080" w:themeColor="followedHyperlink"/>
      <w:u w:val="single"/>
    </w:rPr>
  </w:style>
  <w:style w:type="character" w:customStyle="1" w:styleId="UnresolvedMention3">
    <w:name w:val="Unresolved Mention3"/>
    <w:basedOn w:val="DefaultParagraphFont"/>
    <w:uiPriority w:val="99"/>
    <w:semiHidden/>
    <w:unhideWhenUsed/>
    <w:rsid w:val="00CD1C7E"/>
    <w:rPr>
      <w:color w:val="605E5C"/>
      <w:shd w:val="clear" w:color="auto" w:fill="E1DFDD"/>
    </w:rPr>
  </w:style>
  <w:style w:type="character" w:customStyle="1" w:styleId="UnresolvedMention4">
    <w:name w:val="Unresolved Mention4"/>
    <w:basedOn w:val="DefaultParagraphFont"/>
    <w:uiPriority w:val="99"/>
    <w:semiHidden/>
    <w:unhideWhenUsed/>
    <w:rsid w:val="00642853"/>
    <w:rPr>
      <w:color w:val="808080"/>
      <w:shd w:val="clear" w:color="auto" w:fill="E6E6E6"/>
    </w:rPr>
  </w:style>
  <w:style w:type="paragraph" w:styleId="Revision">
    <w:name w:val="Revision"/>
    <w:hidden/>
    <w:uiPriority w:val="99"/>
    <w:semiHidden/>
    <w:rsid w:val="009004EA"/>
    <w:pPr>
      <w:spacing w:after="0" w:line="240" w:lineRule="auto"/>
      <w:jc w:val="left"/>
    </w:pPr>
  </w:style>
  <w:style w:type="character" w:customStyle="1" w:styleId="Other1">
    <w:name w:val="Other|1_"/>
    <w:basedOn w:val="DefaultParagraphFont"/>
    <w:link w:val="Other10"/>
    <w:rsid w:val="005A22EF"/>
    <w:rPr>
      <w:rFonts w:ascii="Calibri" w:eastAsia="Calibri" w:hAnsi="Calibri" w:cs="Calibri"/>
    </w:rPr>
  </w:style>
  <w:style w:type="paragraph" w:customStyle="1" w:styleId="Other10">
    <w:name w:val="Other|1"/>
    <w:basedOn w:val="Normal"/>
    <w:link w:val="Other1"/>
    <w:rsid w:val="005A22EF"/>
    <w:pPr>
      <w:widowControl w:val="0"/>
      <w:spacing w:after="0" w:line="240" w:lineRule="auto"/>
      <w:jc w:val="left"/>
    </w:pPr>
    <w:rPr>
      <w:rFonts w:ascii="Calibri" w:eastAsia="Calibri" w:hAnsi="Calibri" w:cs="Calibri"/>
    </w:rPr>
  </w:style>
  <w:style w:type="paragraph" w:customStyle="1" w:styleId="P68B1DB1-Style279">
    <w:name w:val="P68B1DB1-Style279"/>
    <w:basedOn w:val="Other10"/>
    <w:rsid w:val="005A22EF"/>
    <w:pPr>
      <w:spacing w:after="120" w:line="302" w:lineRule="auto"/>
    </w:pPr>
    <w:rPr>
      <w:rFonts w:ascii="Times New Roman" w:eastAsia="Times New Roman" w:hAnsi="Times New Roman" w:cs="Times New Roman"/>
      <w:b/>
      <w:color w:val="000000"/>
      <w:lang w:eastAsia="en-GB"/>
    </w:rPr>
  </w:style>
  <w:style w:type="character" w:customStyle="1" w:styleId="normaltextrun">
    <w:name w:val="normaltextrun"/>
    <w:basedOn w:val="DefaultParagraphFont"/>
    <w:rsid w:val="005A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229">
      <w:bodyDiv w:val="1"/>
      <w:marLeft w:val="0"/>
      <w:marRight w:val="0"/>
      <w:marTop w:val="0"/>
      <w:marBottom w:val="0"/>
      <w:divBdr>
        <w:top w:val="none" w:sz="0" w:space="0" w:color="auto"/>
        <w:left w:val="none" w:sz="0" w:space="0" w:color="auto"/>
        <w:bottom w:val="none" w:sz="0" w:space="0" w:color="auto"/>
        <w:right w:val="none" w:sz="0" w:space="0" w:color="auto"/>
      </w:divBdr>
    </w:div>
    <w:div w:id="190339042">
      <w:bodyDiv w:val="1"/>
      <w:marLeft w:val="0"/>
      <w:marRight w:val="0"/>
      <w:marTop w:val="0"/>
      <w:marBottom w:val="0"/>
      <w:divBdr>
        <w:top w:val="none" w:sz="0" w:space="0" w:color="auto"/>
        <w:left w:val="none" w:sz="0" w:space="0" w:color="auto"/>
        <w:bottom w:val="none" w:sz="0" w:space="0" w:color="auto"/>
        <w:right w:val="none" w:sz="0" w:space="0" w:color="auto"/>
      </w:divBdr>
    </w:div>
    <w:div w:id="301469992">
      <w:bodyDiv w:val="1"/>
      <w:marLeft w:val="0"/>
      <w:marRight w:val="0"/>
      <w:marTop w:val="0"/>
      <w:marBottom w:val="0"/>
      <w:divBdr>
        <w:top w:val="none" w:sz="0" w:space="0" w:color="auto"/>
        <w:left w:val="none" w:sz="0" w:space="0" w:color="auto"/>
        <w:bottom w:val="none" w:sz="0" w:space="0" w:color="auto"/>
        <w:right w:val="none" w:sz="0" w:space="0" w:color="auto"/>
      </w:divBdr>
    </w:div>
    <w:div w:id="304549417">
      <w:bodyDiv w:val="1"/>
      <w:marLeft w:val="0"/>
      <w:marRight w:val="0"/>
      <w:marTop w:val="0"/>
      <w:marBottom w:val="0"/>
      <w:divBdr>
        <w:top w:val="none" w:sz="0" w:space="0" w:color="auto"/>
        <w:left w:val="none" w:sz="0" w:space="0" w:color="auto"/>
        <w:bottom w:val="none" w:sz="0" w:space="0" w:color="auto"/>
        <w:right w:val="none" w:sz="0" w:space="0" w:color="auto"/>
      </w:divBdr>
    </w:div>
    <w:div w:id="306594110">
      <w:bodyDiv w:val="1"/>
      <w:marLeft w:val="0"/>
      <w:marRight w:val="0"/>
      <w:marTop w:val="0"/>
      <w:marBottom w:val="0"/>
      <w:divBdr>
        <w:top w:val="none" w:sz="0" w:space="0" w:color="auto"/>
        <w:left w:val="none" w:sz="0" w:space="0" w:color="auto"/>
        <w:bottom w:val="none" w:sz="0" w:space="0" w:color="auto"/>
        <w:right w:val="none" w:sz="0" w:space="0" w:color="auto"/>
      </w:divBdr>
    </w:div>
    <w:div w:id="419105816">
      <w:bodyDiv w:val="1"/>
      <w:marLeft w:val="0"/>
      <w:marRight w:val="0"/>
      <w:marTop w:val="0"/>
      <w:marBottom w:val="0"/>
      <w:divBdr>
        <w:top w:val="none" w:sz="0" w:space="0" w:color="auto"/>
        <w:left w:val="none" w:sz="0" w:space="0" w:color="auto"/>
        <w:bottom w:val="none" w:sz="0" w:space="0" w:color="auto"/>
        <w:right w:val="none" w:sz="0" w:space="0" w:color="auto"/>
      </w:divBdr>
    </w:div>
    <w:div w:id="459962347">
      <w:bodyDiv w:val="1"/>
      <w:marLeft w:val="0"/>
      <w:marRight w:val="0"/>
      <w:marTop w:val="0"/>
      <w:marBottom w:val="0"/>
      <w:divBdr>
        <w:top w:val="none" w:sz="0" w:space="0" w:color="auto"/>
        <w:left w:val="none" w:sz="0" w:space="0" w:color="auto"/>
        <w:bottom w:val="none" w:sz="0" w:space="0" w:color="auto"/>
        <w:right w:val="none" w:sz="0" w:space="0" w:color="auto"/>
      </w:divBdr>
    </w:div>
    <w:div w:id="461848807">
      <w:bodyDiv w:val="1"/>
      <w:marLeft w:val="0"/>
      <w:marRight w:val="0"/>
      <w:marTop w:val="0"/>
      <w:marBottom w:val="0"/>
      <w:divBdr>
        <w:top w:val="none" w:sz="0" w:space="0" w:color="auto"/>
        <w:left w:val="none" w:sz="0" w:space="0" w:color="auto"/>
        <w:bottom w:val="none" w:sz="0" w:space="0" w:color="auto"/>
        <w:right w:val="none" w:sz="0" w:space="0" w:color="auto"/>
      </w:divBdr>
    </w:div>
    <w:div w:id="599265427">
      <w:bodyDiv w:val="1"/>
      <w:marLeft w:val="0"/>
      <w:marRight w:val="0"/>
      <w:marTop w:val="0"/>
      <w:marBottom w:val="0"/>
      <w:divBdr>
        <w:top w:val="none" w:sz="0" w:space="0" w:color="auto"/>
        <w:left w:val="none" w:sz="0" w:space="0" w:color="auto"/>
        <w:bottom w:val="none" w:sz="0" w:space="0" w:color="auto"/>
        <w:right w:val="none" w:sz="0" w:space="0" w:color="auto"/>
      </w:divBdr>
    </w:div>
    <w:div w:id="606617074">
      <w:bodyDiv w:val="1"/>
      <w:marLeft w:val="0"/>
      <w:marRight w:val="0"/>
      <w:marTop w:val="0"/>
      <w:marBottom w:val="0"/>
      <w:divBdr>
        <w:top w:val="none" w:sz="0" w:space="0" w:color="auto"/>
        <w:left w:val="none" w:sz="0" w:space="0" w:color="auto"/>
        <w:bottom w:val="none" w:sz="0" w:space="0" w:color="auto"/>
        <w:right w:val="none" w:sz="0" w:space="0" w:color="auto"/>
      </w:divBdr>
    </w:div>
    <w:div w:id="661663312">
      <w:bodyDiv w:val="1"/>
      <w:marLeft w:val="0"/>
      <w:marRight w:val="0"/>
      <w:marTop w:val="0"/>
      <w:marBottom w:val="0"/>
      <w:divBdr>
        <w:top w:val="none" w:sz="0" w:space="0" w:color="auto"/>
        <w:left w:val="none" w:sz="0" w:space="0" w:color="auto"/>
        <w:bottom w:val="none" w:sz="0" w:space="0" w:color="auto"/>
        <w:right w:val="none" w:sz="0" w:space="0" w:color="auto"/>
      </w:divBdr>
    </w:div>
    <w:div w:id="713232568">
      <w:bodyDiv w:val="1"/>
      <w:marLeft w:val="0"/>
      <w:marRight w:val="0"/>
      <w:marTop w:val="0"/>
      <w:marBottom w:val="0"/>
      <w:divBdr>
        <w:top w:val="none" w:sz="0" w:space="0" w:color="auto"/>
        <w:left w:val="none" w:sz="0" w:space="0" w:color="auto"/>
        <w:bottom w:val="none" w:sz="0" w:space="0" w:color="auto"/>
        <w:right w:val="none" w:sz="0" w:space="0" w:color="auto"/>
      </w:divBdr>
    </w:div>
    <w:div w:id="718164378">
      <w:bodyDiv w:val="1"/>
      <w:marLeft w:val="0"/>
      <w:marRight w:val="0"/>
      <w:marTop w:val="0"/>
      <w:marBottom w:val="0"/>
      <w:divBdr>
        <w:top w:val="none" w:sz="0" w:space="0" w:color="auto"/>
        <w:left w:val="none" w:sz="0" w:space="0" w:color="auto"/>
        <w:bottom w:val="none" w:sz="0" w:space="0" w:color="auto"/>
        <w:right w:val="none" w:sz="0" w:space="0" w:color="auto"/>
      </w:divBdr>
    </w:div>
    <w:div w:id="798374824">
      <w:bodyDiv w:val="1"/>
      <w:marLeft w:val="0"/>
      <w:marRight w:val="0"/>
      <w:marTop w:val="0"/>
      <w:marBottom w:val="0"/>
      <w:divBdr>
        <w:top w:val="none" w:sz="0" w:space="0" w:color="auto"/>
        <w:left w:val="none" w:sz="0" w:space="0" w:color="auto"/>
        <w:bottom w:val="none" w:sz="0" w:space="0" w:color="auto"/>
        <w:right w:val="none" w:sz="0" w:space="0" w:color="auto"/>
      </w:divBdr>
    </w:div>
    <w:div w:id="847907200">
      <w:bodyDiv w:val="1"/>
      <w:marLeft w:val="0"/>
      <w:marRight w:val="0"/>
      <w:marTop w:val="0"/>
      <w:marBottom w:val="0"/>
      <w:divBdr>
        <w:top w:val="none" w:sz="0" w:space="0" w:color="auto"/>
        <w:left w:val="none" w:sz="0" w:space="0" w:color="auto"/>
        <w:bottom w:val="none" w:sz="0" w:space="0" w:color="auto"/>
        <w:right w:val="none" w:sz="0" w:space="0" w:color="auto"/>
      </w:divBdr>
    </w:div>
    <w:div w:id="947080160">
      <w:bodyDiv w:val="1"/>
      <w:marLeft w:val="0"/>
      <w:marRight w:val="0"/>
      <w:marTop w:val="0"/>
      <w:marBottom w:val="0"/>
      <w:divBdr>
        <w:top w:val="none" w:sz="0" w:space="0" w:color="auto"/>
        <w:left w:val="none" w:sz="0" w:space="0" w:color="auto"/>
        <w:bottom w:val="none" w:sz="0" w:space="0" w:color="auto"/>
        <w:right w:val="none" w:sz="0" w:space="0" w:color="auto"/>
      </w:divBdr>
    </w:div>
    <w:div w:id="967197183">
      <w:bodyDiv w:val="1"/>
      <w:marLeft w:val="0"/>
      <w:marRight w:val="0"/>
      <w:marTop w:val="0"/>
      <w:marBottom w:val="0"/>
      <w:divBdr>
        <w:top w:val="none" w:sz="0" w:space="0" w:color="auto"/>
        <w:left w:val="none" w:sz="0" w:space="0" w:color="auto"/>
        <w:bottom w:val="none" w:sz="0" w:space="0" w:color="auto"/>
        <w:right w:val="none" w:sz="0" w:space="0" w:color="auto"/>
      </w:divBdr>
    </w:div>
    <w:div w:id="994069962">
      <w:bodyDiv w:val="1"/>
      <w:marLeft w:val="0"/>
      <w:marRight w:val="0"/>
      <w:marTop w:val="0"/>
      <w:marBottom w:val="0"/>
      <w:divBdr>
        <w:top w:val="none" w:sz="0" w:space="0" w:color="auto"/>
        <w:left w:val="none" w:sz="0" w:space="0" w:color="auto"/>
        <w:bottom w:val="none" w:sz="0" w:space="0" w:color="auto"/>
        <w:right w:val="none" w:sz="0" w:space="0" w:color="auto"/>
      </w:divBdr>
    </w:div>
    <w:div w:id="1000081131">
      <w:bodyDiv w:val="1"/>
      <w:marLeft w:val="0"/>
      <w:marRight w:val="0"/>
      <w:marTop w:val="0"/>
      <w:marBottom w:val="0"/>
      <w:divBdr>
        <w:top w:val="none" w:sz="0" w:space="0" w:color="auto"/>
        <w:left w:val="none" w:sz="0" w:space="0" w:color="auto"/>
        <w:bottom w:val="none" w:sz="0" w:space="0" w:color="auto"/>
        <w:right w:val="none" w:sz="0" w:space="0" w:color="auto"/>
      </w:divBdr>
    </w:div>
    <w:div w:id="1434206608">
      <w:bodyDiv w:val="1"/>
      <w:marLeft w:val="0"/>
      <w:marRight w:val="0"/>
      <w:marTop w:val="0"/>
      <w:marBottom w:val="0"/>
      <w:divBdr>
        <w:top w:val="none" w:sz="0" w:space="0" w:color="auto"/>
        <w:left w:val="none" w:sz="0" w:space="0" w:color="auto"/>
        <w:bottom w:val="none" w:sz="0" w:space="0" w:color="auto"/>
        <w:right w:val="none" w:sz="0" w:space="0" w:color="auto"/>
      </w:divBdr>
    </w:div>
    <w:div w:id="1479107460">
      <w:bodyDiv w:val="1"/>
      <w:marLeft w:val="0"/>
      <w:marRight w:val="0"/>
      <w:marTop w:val="0"/>
      <w:marBottom w:val="0"/>
      <w:divBdr>
        <w:top w:val="none" w:sz="0" w:space="0" w:color="auto"/>
        <w:left w:val="none" w:sz="0" w:space="0" w:color="auto"/>
        <w:bottom w:val="none" w:sz="0" w:space="0" w:color="auto"/>
        <w:right w:val="none" w:sz="0" w:space="0" w:color="auto"/>
      </w:divBdr>
    </w:div>
    <w:div w:id="1494374401">
      <w:bodyDiv w:val="1"/>
      <w:marLeft w:val="0"/>
      <w:marRight w:val="0"/>
      <w:marTop w:val="0"/>
      <w:marBottom w:val="0"/>
      <w:divBdr>
        <w:top w:val="none" w:sz="0" w:space="0" w:color="auto"/>
        <w:left w:val="none" w:sz="0" w:space="0" w:color="auto"/>
        <w:bottom w:val="none" w:sz="0" w:space="0" w:color="auto"/>
        <w:right w:val="none" w:sz="0" w:space="0" w:color="auto"/>
      </w:divBdr>
    </w:div>
    <w:div w:id="1500580345">
      <w:bodyDiv w:val="1"/>
      <w:marLeft w:val="0"/>
      <w:marRight w:val="0"/>
      <w:marTop w:val="0"/>
      <w:marBottom w:val="0"/>
      <w:divBdr>
        <w:top w:val="none" w:sz="0" w:space="0" w:color="auto"/>
        <w:left w:val="none" w:sz="0" w:space="0" w:color="auto"/>
        <w:bottom w:val="none" w:sz="0" w:space="0" w:color="auto"/>
        <w:right w:val="none" w:sz="0" w:space="0" w:color="auto"/>
      </w:divBdr>
    </w:div>
    <w:div w:id="1517768594">
      <w:bodyDiv w:val="1"/>
      <w:marLeft w:val="0"/>
      <w:marRight w:val="0"/>
      <w:marTop w:val="0"/>
      <w:marBottom w:val="0"/>
      <w:divBdr>
        <w:top w:val="none" w:sz="0" w:space="0" w:color="auto"/>
        <w:left w:val="none" w:sz="0" w:space="0" w:color="auto"/>
        <w:bottom w:val="none" w:sz="0" w:space="0" w:color="auto"/>
        <w:right w:val="none" w:sz="0" w:space="0" w:color="auto"/>
      </w:divBdr>
    </w:div>
    <w:div w:id="1545677645">
      <w:bodyDiv w:val="1"/>
      <w:marLeft w:val="0"/>
      <w:marRight w:val="0"/>
      <w:marTop w:val="0"/>
      <w:marBottom w:val="0"/>
      <w:divBdr>
        <w:top w:val="none" w:sz="0" w:space="0" w:color="auto"/>
        <w:left w:val="none" w:sz="0" w:space="0" w:color="auto"/>
        <w:bottom w:val="none" w:sz="0" w:space="0" w:color="auto"/>
        <w:right w:val="none" w:sz="0" w:space="0" w:color="auto"/>
      </w:divBdr>
    </w:div>
    <w:div w:id="1572232192">
      <w:bodyDiv w:val="1"/>
      <w:marLeft w:val="0"/>
      <w:marRight w:val="0"/>
      <w:marTop w:val="0"/>
      <w:marBottom w:val="0"/>
      <w:divBdr>
        <w:top w:val="none" w:sz="0" w:space="0" w:color="auto"/>
        <w:left w:val="none" w:sz="0" w:space="0" w:color="auto"/>
        <w:bottom w:val="none" w:sz="0" w:space="0" w:color="auto"/>
        <w:right w:val="none" w:sz="0" w:space="0" w:color="auto"/>
      </w:divBdr>
    </w:div>
    <w:div w:id="1672828480">
      <w:bodyDiv w:val="1"/>
      <w:marLeft w:val="0"/>
      <w:marRight w:val="0"/>
      <w:marTop w:val="0"/>
      <w:marBottom w:val="0"/>
      <w:divBdr>
        <w:top w:val="none" w:sz="0" w:space="0" w:color="auto"/>
        <w:left w:val="none" w:sz="0" w:space="0" w:color="auto"/>
        <w:bottom w:val="none" w:sz="0" w:space="0" w:color="auto"/>
        <w:right w:val="none" w:sz="0" w:space="0" w:color="auto"/>
      </w:divBdr>
    </w:div>
    <w:div w:id="1770736388">
      <w:bodyDiv w:val="1"/>
      <w:marLeft w:val="0"/>
      <w:marRight w:val="0"/>
      <w:marTop w:val="0"/>
      <w:marBottom w:val="0"/>
      <w:divBdr>
        <w:top w:val="none" w:sz="0" w:space="0" w:color="auto"/>
        <w:left w:val="none" w:sz="0" w:space="0" w:color="auto"/>
        <w:bottom w:val="none" w:sz="0" w:space="0" w:color="auto"/>
        <w:right w:val="none" w:sz="0" w:space="0" w:color="auto"/>
      </w:divBdr>
    </w:div>
    <w:div w:id="1829518597">
      <w:bodyDiv w:val="1"/>
      <w:marLeft w:val="0"/>
      <w:marRight w:val="0"/>
      <w:marTop w:val="0"/>
      <w:marBottom w:val="0"/>
      <w:divBdr>
        <w:top w:val="none" w:sz="0" w:space="0" w:color="auto"/>
        <w:left w:val="none" w:sz="0" w:space="0" w:color="auto"/>
        <w:bottom w:val="none" w:sz="0" w:space="0" w:color="auto"/>
        <w:right w:val="none" w:sz="0" w:space="0" w:color="auto"/>
      </w:divBdr>
    </w:div>
    <w:div w:id="1920021746">
      <w:bodyDiv w:val="1"/>
      <w:marLeft w:val="0"/>
      <w:marRight w:val="0"/>
      <w:marTop w:val="0"/>
      <w:marBottom w:val="0"/>
      <w:divBdr>
        <w:top w:val="none" w:sz="0" w:space="0" w:color="auto"/>
        <w:left w:val="none" w:sz="0" w:space="0" w:color="auto"/>
        <w:bottom w:val="none" w:sz="0" w:space="0" w:color="auto"/>
        <w:right w:val="none" w:sz="0" w:space="0" w:color="auto"/>
      </w:divBdr>
    </w:div>
    <w:div w:id="1950358651">
      <w:bodyDiv w:val="1"/>
      <w:marLeft w:val="0"/>
      <w:marRight w:val="0"/>
      <w:marTop w:val="0"/>
      <w:marBottom w:val="0"/>
      <w:divBdr>
        <w:top w:val="none" w:sz="0" w:space="0" w:color="auto"/>
        <w:left w:val="none" w:sz="0" w:space="0" w:color="auto"/>
        <w:bottom w:val="none" w:sz="0" w:space="0" w:color="auto"/>
        <w:right w:val="none" w:sz="0" w:space="0" w:color="auto"/>
      </w:divBdr>
    </w:div>
    <w:div w:id="213517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azeteduvar.com.tr/turkiyede-kurak-gunler-tarimin-kaderi-ocak-ayinda-belli-olacak-haber-1598877" TargetMode="External"/><Relationship Id="rId1" Type="http://schemas.openxmlformats.org/officeDocument/2006/relationships/hyperlink" Target="https://www.cumhuriyet.com.tr/ekonomi/ekmek-hayvansal-urunler-bakliyat-hububat-ve-bitkisel-yaglarda-yeni-zamlar-kapida-1872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2" ma:contentTypeDescription="Ein neues Dokument erstellen." ma:contentTypeScope="" ma:versionID="74edc0cccf5b2fda2fb211c109b3c4a1">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baad31bdd40ccdd8f645c3045d7e8748" ns2:_="" ns3:_="">
    <xsd:import namespace="00234caa-62c6-4e57-81ad-a8a497e5b443"/>
    <xsd:import namespace="6efb9f3c-b134-4d58-bd8b-6641a08e8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obetransferredtoprocuremen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betransferredtoprocurementfolder" ma:index="19" nillable="true" ma:displayName="To be transferred to procurement folder" ma:format="Dropdown" ma:internalName="Tobetransferredtoprocuremen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3bb7ec01-4458-43b0-a5eb-c8ecb09208d3}" ma:internalName="TaxCatchAll" ma:showField="CatchAllData" ma:web="6efb9f3c-b134-4d58-bd8b-6641a08e8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234caa-62c6-4e57-81ad-a8a497e5b443">
      <Terms xmlns="http://schemas.microsoft.com/office/infopath/2007/PartnerControls"/>
    </lcf76f155ced4ddcb4097134ff3c332f>
    <TaxCatchAll xmlns="6efb9f3c-b134-4d58-bd8b-6641a08e8ed7" xsi:nil="true"/>
    <Tobetransferredtoprocurementfolder xmlns="00234caa-62c6-4e57-81ad-a8a497e5b443" xsi:nil="true"/>
  </documentManagement>
</p:properties>
</file>

<file path=customXml/itemProps1.xml><?xml version="1.0" encoding="utf-8"?>
<ds:datastoreItem xmlns:ds="http://schemas.openxmlformats.org/officeDocument/2006/customXml" ds:itemID="{7D768C54-CF96-4430-9FB3-B3FE23759B9E}">
  <ds:schemaRefs>
    <ds:schemaRef ds:uri="http://schemas.openxmlformats.org/officeDocument/2006/bibliography"/>
  </ds:schemaRefs>
</ds:datastoreItem>
</file>

<file path=customXml/itemProps2.xml><?xml version="1.0" encoding="utf-8"?>
<ds:datastoreItem xmlns:ds="http://schemas.openxmlformats.org/officeDocument/2006/customXml" ds:itemID="{EAA451CC-A11A-48CC-ABF0-D3E730969476}">
  <ds:schemaRefs>
    <ds:schemaRef ds:uri="http://schemas.microsoft.com/sharepoint/v3/contenttype/forms"/>
  </ds:schemaRefs>
</ds:datastoreItem>
</file>

<file path=customXml/itemProps3.xml><?xml version="1.0" encoding="utf-8"?>
<ds:datastoreItem xmlns:ds="http://schemas.openxmlformats.org/officeDocument/2006/customXml" ds:itemID="{EBD453A8-C1EE-402B-96BD-3430EE9D9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75B85-FEB3-4C63-BF6A-C246A0570EEB}">
  <ds:schemaRefs>
    <ds:schemaRef ds:uri="http://schemas.microsoft.com/office/2006/metadata/properties"/>
    <ds:schemaRef ds:uri="00234caa-62c6-4e57-81ad-a8a497e5b443"/>
    <ds:schemaRef ds:uri="http://purl.org/dc/terms/"/>
    <ds:schemaRef ds:uri="6efb9f3c-b134-4d58-bd8b-6641a08e8ed7"/>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4021</Words>
  <Characters>22601</Characters>
  <Application>Microsoft Office Word</Application>
  <DocSecurity>0</DocSecurity>
  <Lines>301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Mueller, Felix GIZ</cp:lastModifiedBy>
  <cp:revision>47</cp:revision>
  <cp:lastPrinted>2022-03-06T21:56:00Z</cp:lastPrinted>
  <dcterms:created xsi:type="dcterms:W3CDTF">2023-06-29T15:56:00Z</dcterms:created>
  <dcterms:modified xsi:type="dcterms:W3CDTF">2023-07-03T11:37:00Z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0x01010058F9B91F74902E44B12417CE2F00E3D2</vt:lpwstr>
  </property>
  <property fmtid="{D5CDD505-2E9C-101B-9397-08002B2CF9AE}" pid="3" name="MediaServiceImageTags">
    <vt:lpwstr/>
  </property>
</Properties>
</file>