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26" w:rsidRPr="001E27BC" w:rsidRDefault="00C3636E" w:rsidP="0076070B">
      <w:pPr>
        <w:pStyle w:val="Frontpage"/>
        <w:ind w:left="-1418" w:right="-1418"/>
        <w:jc w:val="both"/>
        <w:rPr>
          <w:rFonts w:ascii="Arial" w:hAnsi="Arial" w:cs="Arial"/>
          <w:color w:val="1F497D"/>
        </w:rPr>
      </w:pPr>
      <w:bookmarkStart w:id="0" w:name="_GoBack"/>
      <w:bookmarkEnd w:id="0"/>
      <w:r w:rsidRPr="001E27BC">
        <w:rPr>
          <w:rFonts w:ascii="Arial" w:hAnsi="Arial" w:cs="Arial"/>
          <w:noProof/>
          <w:color w:val="1F497D"/>
          <w:lang w:val="en-US"/>
        </w:rPr>
        <w:drawing>
          <wp:anchor distT="0" distB="0" distL="114300" distR="114300" simplePos="0" relativeHeight="251657728" behindDoc="1" locked="0" layoutInCell="1" allowOverlap="1">
            <wp:simplePos x="0" y="0"/>
            <wp:positionH relativeFrom="column">
              <wp:posOffset>-895985</wp:posOffset>
            </wp:positionH>
            <wp:positionV relativeFrom="paragraph">
              <wp:posOffset>-617855</wp:posOffset>
            </wp:positionV>
            <wp:extent cx="7729220" cy="1238250"/>
            <wp:effectExtent l="19050" t="0" r="5080" b="0"/>
            <wp:wrapNone/>
            <wp:docPr id="4" name="Bild 4" descr="Heade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2x"/>
                    <pic:cNvPicPr>
                      <a:picLocks noChangeAspect="1" noChangeArrowheads="1"/>
                    </pic:cNvPicPr>
                  </pic:nvPicPr>
                  <pic:blipFill>
                    <a:blip r:embed="rId8" cstate="print"/>
                    <a:srcRect/>
                    <a:stretch>
                      <a:fillRect/>
                    </a:stretch>
                  </pic:blipFill>
                  <pic:spPr bwMode="auto">
                    <a:xfrm>
                      <a:off x="0" y="0"/>
                      <a:ext cx="7729220" cy="1238250"/>
                    </a:xfrm>
                    <a:prstGeom prst="rect">
                      <a:avLst/>
                    </a:prstGeom>
                    <a:noFill/>
                    <a:ln w="9525">
                      <a:noFill/>
                      <a:miter lim="800000"/>
                      <a:headEnd/>
                      <a:tailEnd/>
                    </a:ln>
                  </pic:spPr>
                </pic:pic>
              </a:graphicData>
            </a:graphic>
          </wp:anchor>
        </w:drawing>
      </w:r>
    </w:p>
    <w:p w:rsidR="000A2726" w:rsidRPr="001E27BC" w:rsidRDefault="000A2726" w:rsidP="0076070B">
      <w:pPr>
        <w:pStyle w:val="Frontpage"/>
        <w:jc w:val="both"/>
        <w:rPr>
          <w:rFonts w:ascii="Arial" w:hAnsi="Arial" w:cs="Arial"/>
          <w:color w:val="1F497D"/>
        </w:rPr>
      </w:pPr>
    </w:p>
    <w:p w:rsidR="000A2726" w:rsidRPr="001E27BC" w:rsidRDefault="000A2726" w:rsidP="0076070B">
      <w:pPr>
        <w:pStyle w:val="Frontpage"/>
        <w:jc w:val="both"/>
        <w:rPr>
          <w:rFonts w:ascii="Arial" w:hAnsi="Arial" w:cs="Arial"/>
          <w:color w:val="1F497D"/>
        </w:rPr>
      </w:pPr>
    </w:p>
    <w:p w:rsidR="000A2726" w:rsidRPr="001E27BC" w:rsidRDefault="000A2726" w:rsidP="0076070B">
      <w:pPr>
        <w:pStyle w:val="Frontpage"/>
        <w:jc w:val="both"/>
        <w:rPr>
          <w:rFonts w:ascii="Arial" w:hAnsi="Arial" w:cs="Arial"/>
          <w:color w:val="1F497D"/>
        </w:rPr>
      </w:pPr>
    </w:p>
    <w:p w:rsidR="000A2726" w:rsidRPr="001E27BC" w:rsidRDefault="000A2726" w:rsidP="0076070B">
      <w:pPr>
        <w:pStyle w:val="Frontpage"/>
        <w:jc w:val="both"/>
        <w:rPr>
          <w:rFonts w:ascii="Arial" w:hAnsi="Arial" w:cs="Arial"/>
          <w:color w:val="1F497D"/>
        </w:rPr>
      </w:pPr>
    </w:p>
    <w:p w:rsidR="000A2726" w:rsidRPr="001E27BC" w:rsidRDefault="000A2726" w:rsidP="0076070B">
      <w:pPr>
        <w:pStyle w:val="Frontpage"/>
        <w:jc w:val="both"/>
        <w:rPr>
          <w:rFonts w:ascii="Arial" w:hAnsi="Arial" w:cs="Arial"/>
          <w:color w:val="31849B"/>
        </w:rPr>
      </w:pPr>
    </w:p>
    <w:p w:rsidR="00F95527" w:rsidRPr="001E27BC" w:rsidRDefault="00F95527" w:rsidP="0076070B">
      <w:pPr>
        <w:pStyle w:val="Frontpage"/>
        <w:ind w:left="-142" w:right="-151"/>
        <w:jc w:val="both"/>
        <w:rPr>
          <w:rFonts w:ascii="Arial" w:hAnsi="Arial" w:cs="Arial"/>
          <w:color w:val="17365D"/>
          <w:sz w:val="28"/>
          <w:szCs w:val="28"/>
        </w:rPr>
      </w:pPr>
    </w:p>
    <w:p w:rsidR="00F95527" w:rsidRPr="001E27BC" w:rsidRDefault="00F95527" w:rsidP="0076070B">
      <w:pPr>
        <w:pStyle w:val="Frontpage"/>
        <w:ind w:left="-142" w:right="-151"/>
        <w:jc w:val="both"/>
        <w:rPr>
          <w:rFonts w:ascii="Arial" w:hAnsi="Arial" w:cs="Arial"/>
          <w:color w:val="17365D"/>
          <w:sz w:val="28"/>
          <w:szCs w:val="28"/>
        </w:rPr>
      </w:pPr>
    </w:p>
    <w:p w:rsidR="00F95527" w:rsidRPr="001E27BC" w:rsidRDefault="00F95527" w:rsidP="0076070B">
      <w:pPr>
        <w:pStyle w:val="Frontpage"/>
        <w:ind w:left="-142" w:right="-151"/>
        <w:jc w:val="both"/>
        <w:rPr>
          <w:rFonts w:ascii="Arial" w:hAnsi="Arial" w:cs="Arial"/>
          <w:color w:val="17365D"/>
          <w:sz w:val="28"/>
          <w:szCs w:val="28"/>
        </w:rPr>
      </w:pPr>
    </w:p>
    <w:p w:rsidR="00F95527" w:rsidRPr="001E27BC" w:rsidRDefault="00F95527" w:rsidP="002E4E02">
      <w:pPr>
        <w:pStyle w:val="Frontpage"/>
        <w:ind w:left="-142" w:right="-151"/>
        <w:jc w:val="center"/>
        <w:rPr>
          <w:rFonts w:ascii="Arial" w:hAnsi="Arial" w:cs="Arial"/>
          <w:color w:val="17365D"/>
          <w:sz w:val="28"/>
          <w:szCs w:val="28"/>
        </w:rPr>
      </w:pPr>
    </w:p>
    <w:p w:rsidR="000A2726" w:rsidRPr="001E27BC" w:rsidRDefault="000A2726" w:rsidP="002E4E02">
      <w:pPr>
        <w:pStyle w:val="Frontpage"/>
        <w:ind w:left="-142" w:right="-151"/>
        <w:jc w:val="center"/>
        <w:rPr>
          <w:color w:val="17365D"/>
          <w:sz w:val="28"/>
          <w:szCs w:val="28"/>
        </w:rPr>
      </w:pPr>
      <w:r w:rsidRPr="001E27BC">
        <w:rPr>
          <w:color w:val="17365D"/>
          <w:sz w:val="28"/>
          <w:szCs w:val="28"/>
        </w:rPr>
        <w:t>Framework Contract EuropeAid/127054/C/SER/Multi - Lot 6: Environment</w:t>
      </w:r>
    </w:p>
    <w:p w:rsidR="000A2726" w:rsidRPr="001E27BC" w:rsidRDefault="000A2726" w:rsidP="002E4E02">
      <w:pPr>
        <w:pStyle w:val="Frontpage"/>
        <w:ind w:left="-142" w:right="-151"/>
        <w:jc w:val="center"/>
        <w:rPr>
          <w:color w:val="17365D"/>
          <w:sz w:val="28"/>
          <w:szCs w:val="28"/>
        </w:rPr>
      </w:pPr>
    </w:p>
    <w:p w:rsidR="000A2726" w:rsidRPr="001E27BC" w:rsidRDefault="000A2726" w:rsidP="002E4E02">
      <w:pPr>
        <w:pStyle w:val="Frontpage"/>
        <w:ind w:left="-142" w:right="-151"/>
        <w:jc w:val="center"/>
        <w:rPr>
          <w:color w:val="17365D"/>
          <w:sz w:val="28"/>
          <w:szCs w:val="28"/>
        </w:rPr>
      </w:pPr>
      <w:r w:rsidRPr="001E27BC">
        <w:rPr>
          <w:color w:val="17365D"/>
          <w:sz w:val="28"/>
          <w:szCs w:val="28"/>
        </w:rPr>
        <w:t>Request for Services No.</w:t>
      </w:r>
      <w:r w:rsidRPr="001E27BC" w:rsidDel="005C58DE">
        <w:rPr>
          <w:color w:val="17365D"/>
          <w:sz w:val="28"/>
          <w:szCs w:val="28"/>
        </w:rPr>
        <w:t xml:space="preserve"> </w:t>
      </w:r>
      <w:r w:rsidR="00744B04" w:rsidRPr="001E27BC">
        <w:rPr>
          <w:color w:val="17365D"/>
          <w:sz w:val="28"/>
          <w:szCs w:val="28"/>
        </w:rPr>
        <w:t>2013/331334/1 &amp; 2013/331284/1</w:t>
      </w:r>
    </w:p>
    <w:p w:rsidR="000A2726" w:rsidRPr="001E27BC" w:rsidRDefault="000A2726" w:rsidP="002E4E02">
      <w:pPr>
        <w:pStyle w:val="Frontpage"/>
        <w:jc w:val="center"/>
        <w:rPr>
          <w:color w:val="17365D"/>
          <w:sz w:val="40"/>
        </w:rPr>
      </w:pPr>
    </w:p>
    <w:p w:rsidR="000A2726" w:rsidRPr="001E27BC" w:rsidRDefault="000A2726" w:rsidP="002E4E02">
      <w:pPr>
        <w:pStyle w:val="Frontpage"/>
        <w:jc w:val="center"/>
        <w:rPr>
          <w:color w:val="17365D"/>
          <w:sz w:val="40"/>
        </w:rPr>
      </w:pPr>
    </w:p>
    <w:p w:rsidR="000A2726" w:rsidRPr="001E27BC" w:rsidRDefault="000A2726" w:rsidP="002E4E02">
      <w:pPr>
        <w:pStyle w:val="Frontpage"/>
        <w:jc w:val="center"/>
        <w:rPr>
          <w:color w:val="17365D"/>
          <w:sz w:val="40"/>
        </w:rPr>
      </w:pPr>
    </w:p>
    <w:p w:rsidR="000A2726" w:rsidRPr="001E27BC" w:rsidRDefault="00744B04" w:rsidP="002E4E02">
      <w:pPr>
        <w:pStyle w:val="Frontpage"/>
        <w:ind w:left="-142" w:right="-129"/>
        <w:jc w:val="center"/>
        <w:rPr>
          <w:color w:val="17365D"/>
          <w:sz w:val="40"/>
        </w:rPr>
      </w:pPr>
      <w:r w:rsidRPr="001E27BC">
        <w:rPr>
          <w:color w:val="17365D"/>
          <w:sz w:val="40"/>
        </w:rPr>
        <w:t>Evaluation of the Global Climate Change Alliance</w:t>
      </w:r>
      <w:r w:rsidR="000411D4" w:rsidRPr="001E27BC">
        <w:rPr>
          <w:color w:val="17365D"/>
          <w:sz w:val="40"/>
        </w:rPr>
        <w:t xml:space="preserve"> </w:t>
      </w:r>
      <w:r w:rsidRPr="001E27BC">
        <w:rPr>
          <w:color w:val="17365D"/>
          <w:sz w:val="40"/>
        </w:rPr>
        <w:t>(GCCA)</w:t>
      </w:r>
    </w:p>
    <w:p w:rsidR="006C2691" w:rsidRPr="001E27BC" w:rsidRDefault="006C2691" w:rsidP="002E4E02">
      <w:pPr>
        <w:pStyle w:val="Frontpage"/>
        <w:ind w:left="-142" w:right="-129"/>
        <w:jc w:val="center"/>
        <w:rPr>
          <w:color w:val="17365D"/>
          <w:sz w:val="40"/>
        </w:rPr>
      </w:pPr>
    </w:p>
    <w:p w:rsidR="006C2691" w:rsidRPr="001E27BC" w:rsidRDefault="002E4E02" w:rsidP="002E4E02">
      <w:pPr>
        <w:pStyle w:val="Frontpage"/>
        <w:ind w:left="218" w:right="-129"/>
        <w:jc w:val="center"/>
        <w:rPr>
          <w:color w:val="17365D"/>
          <w:sz w:val="40"/>
        </w:rPr>
      </w:pPr>
      <w:r w:rsidRPr="001E27BC">
        <w:rPr>
          <w:color w:val="17365D"/>
          <w:sz w:val="40"/>
        </w:rPr>
        <w:t>Global programme</w:t>
      </w:r>
    </w:p>
    <w:p w:rsidR="00744B04" w:rsidRPr="001E27BC" w:rsidRDefault="00744B04" w:rsidP="002E4E02">
      <w:pPr>
        <w:pStyle w:val="Frontpage"/>
        <w:jc w:val="center"/>
        <w:rPr>
          <w:color w:val="17365D"/>
          <w:sz w:val="40"/>
        </w:rPr>
      </w:pPr>
    </w:p>
    <w:p w:rsidR="000A2726" w:rsidRPr="001E27BC" w:rsidRDefault="00744B04" w:rsidP="002E4E02">
      <w:pPr>
        <w:pStyle w:val="Frontpage"/>
        <w:jc w:val="center"/>
        <w:rPr>
          <w:color w:val="17365D"/>
          <w:sz w:val="40"/>
        </w:rPr>
      </w:pPr>
      <w:r w:rsidRPr="001E27BC">
        <w:rPr>
          <w:color w:val="17365D"/>
          <w:sz w:val="40"/>
        </w:rPr>
        <w:t>World-Wide</w:t>
      </w:r>
    </w:p>
    <w:p w:rsidR="000A2726" w:rsidRPr="001E27BC" w:rsidRDefault="000A2726" w:rsidP="002E4E02">
      <w:pPr>
        <w:pStyle w:val="Frontpage"/>
        <w:jc w:val="center"/>
        <w:rPr>
          <w:color w:val="17365D"/>
          <w:sz w:val="40"/>
        </w:rPr>
      </w:pPr>
    </w:p>
    <w:p w:rsidR="00744B04" w:rsidRPr="001E27BC" w:rsidRDefault="00744B04" w:rsidP="002E4E02">
      <w:pPr>
        <w:pStyle w:val="Frontpage"/>
        <w:jc w:val="center"/>
        <w:rPr>
          <w:color w:val="17365D"/>
          <w:sz w:val="40"/>
        </w:rPr>
      </w:pPr>
    </w:p>
    <w:p w:rsidR="003551B4" w:rsidRPr="001E27BC" w:rsidRDefault="00553B17" w:rsidP="002E4E02">
      <w:pPr>
        <w:pStyle w:val="Frontpage"/>
        <w:jc w:val="center"/>
        <w:rPr>
          <w:color w:val="17365D"/>
          <w:sz w:val="40"/>
        </w:rPr>
      </w:pPr>
      <w:r w:rsidRPr="001E27BC">
        <w:rPr>
          <w:color w:val="17365D"/>
          <w:sz w:val="40"/>
        </w:rPr>
        <w:t>Final</w:t>
      </w:r>
      <w:r w:rsidR="009F3948" w:rsidRPr="001E27BC">
        <w:rPr>
          <w:color w:val="17365D"/>
          <w:sz w:val="40"/>
        </w:rPr>
        <w:t xml:space="preserve"> </w:t>
      </w:r>
      <w:r w:rsidR="003551B4" w:rsidRPr="001E27BC">
        <w:rPr>
          <w:color w:val="17365D"/>
          <w:sz w:val="40"/>
        </w:rPr>
        <w:t>Report</w:t>
      </w:r>
    </w:p>
    <w:p w:rsidR="000A2726" w:rsidRPr="001E27BC" w:rsidRDefault="000A2726" w:rsidP="002E4E02">
      <w:pPr>
        <w:pStyle w:val="Frontpage"/>
        <w:jc w:val="center"/>
        <w:rPr>
          <w:color w:val="17365D"/>
          <w:sz w:val="40"/>
        </w:rPr>
      </w:pPr>
    </w:p>
    <w:p w:rsidR="0043080D" w:rsidRDefault="005D0C86" w:rsidP="002E4E02">
      <w:pPr>
        <w:pStyle w:val="Frontpage"/>
        <w:jc w:val="center"/>
        <w:rPr>
          <w:color w:val="17365D"/>
          <w:sz w:val="32"/>
          <w:szCs w:val="32"/>
        </w:rPr>
      </w:pPr>
      <w:r w:rsidRPr="007F71FA">
        <w:rPr>
          <w:color w:val="17365D"/>
          <w:sz w:val="32"/>
          <w:szCs w:val="32"/>
        </w:rPr>
        <w:t>6</w:t>
      </w:r>
      <w:r w:rsidRPr="007F71FA">
        <w:rPr>
          <w:color w:val="17365D"/>
          <w:sz w:val="32"/>
          <w:szCs w:val="32"/>
          <w:vertAlign w:val="superscript"/>
        </w:rPr>
        <w:t>th</w:t>
      </w:r>
      <w:r w:rsidRPr="007F71FA">
        <w:rPr>
          <w:color w:val="17365D"/>
          <w:sz w:val="32"/>
          <w:szCs w:val="32"/>
        </w:rPr>
        <w:t xml:space="preserve"> </w:t>
      </w:r>
      <w:r w:rsidR="00272E52">
        <w:rPr>
          <w:color w:val="17365D"/>
          <w:sz w:val="32"/>
          <w:szCs w:val="32"/>
        </w:rPr>
        <w:t>February</w:t>
      </w:r>
      <w:r w:rsidR="009F4FD1" w:rsidRPr="007F71FA">
        <w:rPr>
          <w:color w:val="17365D"/>
          <w:sz w:val="32"/>
          <w:szCs w:val="32"/>
        </w:rPr>
        <w:t xml:space="preserve"> </w:t>
      </w:r>
      <w:r w:rsidR="006F175E" w:rsidRPr="007F71FA">
        <w:rPr>
          <w:color w:val="17365D"/>
          <w:sz w:val="32"/>
          <w:szCs w:val="32"/>
        </w:rPr>
        <w:t>2015</w:t>
      </w:r>
    </w:p>
    <w:p w:rsidR="000A2726" w:rsidRPr="001E27BC" w:rsidRDefault="0043080D" w:rsidP="002E4E02">
      <w:pPr>
        <w:pStyle w:val="Frontpage"/>
        <w:jc w:val="center"/>
        <w:rPr>
          <w:color w:val="17365D"/>
          <w:sz w:val="32"/>
          <w:szCs w:val="32"/>
        </w:rPr>
      </w:pPr>
      <w:r>
        <w:rPr>
          <w:color w:val="17365D"/>
          <w:sz w:val="32"/>
          <w:szCs w:val="32"/>
        </w:rPr>
        <w:t>(Revised 20</w:t>
      </w:r>
      <w:r w:rsidRPr="0043080D">
        <w:rPr>
          <w:color w:val="17365D"/>
          <w:sz w:val="32"/>
          <w:szCs w:val="32"/>
          <w:vertAlign w:val="superscript"/>
        </w:rPr>
        <w:t>th</w:t>
      </w:r>
      <w:r>
        <w:rPr>
          <w:color w:val="17365D"/>
          <w:sz w:val="32"/>
          <w:szCs w:val="32"/>
        </w:rPr>
        <w:t xml:space="preserve"> April 2015)</w:t>
      </w:r>
    </w:p>
    <w:p w:rsidR="000A2726" w:rsidRPr="001E27BC" w:rsidRDefault="000A2726" w:rsidP="002E4E02">
      <w:pPr>
        <w:pStyle w:val="Frontpage"/>
        <w:jc w:val="center"/>
        <w:rPr>
          <w:rFonts w:ascii="Arial" w:hAnsi="Arial" w:cs="Arial"/>
          <w:color w:val="17365D"/>
        </w:rPr>
      </w:pPr>
    </w:p>
    <w:p w:rsidR="003551B4" w:rsidRPr="001E27BC" w:rsidRDefault="003551B4" w:rsidP="002E4E02">
      <w:pPr>
        <w:pStyle w:val="Frontpage"/>
        <w:jc w:val="center"/>
        <w:rPr>
          <w:rFonts w:ascii="Arial" w:hAnsi="Arial" w:cs="Arial"/>
          <w:color w:val="17365D"/>
        </w:rPr>
      </w:pPr>
    </w:p>
    <w:p w:rsidR="003551B4" w:rsidRPr="001E27BC" w:rsidRDefault="003551B4" w:rsidP="002E4E02">
      <w:pPr>
        <w:pStyle w:val="Frontpage"/>
        <w:jc w:val="center"/>
        <w:rPr>
          <w:rFonts w:ascii="Arial" w:hAnsi="Arial" w:cs="Arial"/>
          <w:color w:val="17365D"/>
        </w:rPr>
      </w:pPr>
    </w:p>
    <w:p w:rsidR="00F95527" w:rsidRPr="001E27BC" w:rsidRDefault="00F95527" w:rsidP="002E4E02">
      <w:pPr>
        <w:pStyle w:val="Frontpage"/>
        <w:jc w:val="center"/>
        <w:rPr>
          <w:rFonts w:ascii="Arial" w:hAnsi="Arial" w:cs="Arial"/>
          <w:b/>
          <w:color w:val="17365D"/>
        </w:rPr>
      </w:pPr>
    </w:p>
    <w:p w:rsidR="000A2726" w:rsidRPr="001E27BC" w:rsidRDefault="000A2726" w:rsidP="002E4E02">
      <w:pPr>
        <w:pStyle w:val="Frontpage"/>
        <w:jc w:val="center"/>
        <w:rPr>
          <w:rFonts w:ascii="Arial" w:hAnsi="Arial" w:cs="Arial"/>
          <w:color w:val="17365D"/>
        </w:rPr>
      </w:pPr>
    </w:p>
    <w:p w:rsidR="000A2726" w:rsidRPr="001E27BC" w:rsidRDefault="000A2726" w:rsidP="002E4E02">
      <w:pPr>
        <w:pStyle w:val="Frontpage"/>
        <w:jc w:val="center"/>
        <w:rPr>
          <w:rFonts w:ascii="Arial" w:hAnsi="Arial" w:cs="Arial"/>
          <w:color w:val="17365D"/>
        </w:rPr>
      </w:pPr>
    </w:p>
    <w:p w:rsidR="000A2726" w:rsidRPr="001E27BC" w:rsidRDefault="00C3636E" w:rsidP="002E4E02">
      <w:pPr>
        <w:pStyle w:val="Frontpage"/>
        <w:jc w:val="center"/>
        <w:rPr>
          <w:rFonts w:ascii="Arial" w:hAnsi="Arial" w:cs="Arial"/>
          <w:color w:val="17365D"/>
          <w:sz w:val="40"/>
        </w:rPr>
      </w:pPr>
      <w:r w:rsidRPr="001E27BC">
        <w:rPr>
          <w:rFonts w:ascii="Arial" w:hAnsi="Arial" w:cs="Arial"/>
          <w:noProof/>
          <w:color w:val="17365D"/>
          <w:sz w:val="20"/>
          <w:szCs w:val="20"/>
          <w:lang w:val="en-US"/>
        </w:rPr>
        <w:drawing>
          <wp:inline distT="0" distB="0" distL="0" distR="0">
            <wp:extent cx="609600" cy="428625"/>
            <wp:effectExtent l="19050" t="0" r="0" b="0"/>
            <wp:docPr id="1" name="Picture 1" descr="european-commiss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commission-flag"/>
                    <pic:cNvPicPr>
                      <a:picLocks noChangeAspect="1" noChangeArrowheads="1"/>
                    </pic:cNvPicPr>
                  </pic:nvPicPr>
                  <pic:blipFill>
                    <a:blip r:embed="rId9" cstate="print"/>
                    <a:srcRect/>
                    <a:stretch>
                      <a:fillRect/>
                    </a:stretch>
                  </pic:blipFill>
                  <pic:spPr bwMode="auto">
                    <a:xfrm>
                      <a:off x="0" y="0"/>
                      <a:ext cx="609600" cy="428625"/>
                    </a:xfrm>
                    <a:prstGeom prst="rect">
                      <a:avLst/>
                    </a:prstGeom>
                    <a:noFill/>
                    <a:ln w="9525">
                      <a:noFill/>
                      <a:miter lim="800000"/>
                      <a:headEnd/>
                      <a:tailEnd/>
                    </a:ln>
                  </pic:spPr>
                </pic:pic>
              </a:graphicData>
            </a:graphic>
          </wp:inline>
        </w:drawing>
      </w:r>
    </w:p>
    <w:p w:rsidR="000A2726" w:rsidRPr="001E27BC" w:rsidRDefault="000A2726" w:rsidP="002E4E02">
      <w:pPr>
        <w:pStyle w:val="Frontpage"/>
        <w:jc w:val="center"/>
        <w:rPr>
          <w:rFonts w:ascii="Arial" w:hAnsi="Arial" w:cs="Arial"/>
          <w:color w:val="17365D"/>
          <w:sz w:val="20"/>
          <w:szCs w:val="20"/>
        </w:rPr>
      </w:pPr>
      <w:r w:rsidRPr="001E27BC">
        <w:rPr>
          <w:rFonts w:ascii="Arial" w:hAnsi="Arial" w:cs="Arial"/>
          <w:color w:val="17365D"/>
          <w:sz w:val="20"/>
          <w:szCs w:val="20"/>
        </w:rPr>
        <w:t>A project funded by</w:t>
      </w:r>
    </w:p>
    <w:p w:rsidR="000A2726" w:rsidRPr="001E27BC" w:rsidRDefault="000A2726" w:rsidP="002E4E02">
      <w:pPr>
        <w:pStyle w:val="Frontpage"/>
        <w:jc w:val="center"/>
        <w:rPr>
          <w:rFonts w:ascii="Arial" w:hAnsi="Arial" w:cs="Arial"/>
          <w:color w:val="17365D"/>
          <w:sz w:val="20"/>
          <w:szCs w:val="20"/>
        </w:rPr>
      </w:pPr>
      <w:proofErr w:type="gramStart"/>
      <w:r w:rsidRPr="001E27BC">
        <w:rPr>
          <w:rFonts w:ascii="Arial" w:hAnsi="Arial" w:cs="Arial"/>
          <w:color w:val="17365D"/>
          <w:sz w:val="20"/>
          <w:szCs w:val="20"/>
        </w:rPr>
        <w:t>the</w:t>
      </w:r>
      <w:proofErr w:type="gramEnd"/>
      <w:r w:rsidRPr="001E27BC">
        <w:rPr>
          <w:rFonts w:ascii="Arial" w:hAnsi="Arial" w:cs="Arial"/>
          <w:color w:val="17365D"/>
          <w:sz w:val="20"/>
          <w:szCs w:val="20"/>
        </w:rPr>
        <w:t xml:space="preserve"> European Union</w:t>
      </w:r>
    </w:p>
    <w:p w:rsidR="004E7B95" w:rsidRPr="001E27BC" w:rsidRDefault="004E7B95" w:rsidP="002E4E02">
      <w:pPr>
        <w:spacing w:after="0" w:line="240" w:lineRule="auto"/>
        <w:jc w:val="center"/>
        <w:rPr>
          <w:rFonts w:ascii="Arial" w:hAnsi="Arial" w:cs="Arial"/>
          <w:color w:val="17365D"/>
          <w:sz w:val="20"/>
          <w:szCs w:val="20"/>
        </w:rPr>
      </w:pPr>
      <w:r w:rsidRPr="001E27BC">
        <w:rPr>
          <w:rFonts w:ascii="Arial" w:hAnsi="Arial" w:cs="Arial"/>
          <w:color w:val="17365D"/>
          <w:sz w:val="20"/>
          <w:szCs w:val="20"/>
        </w:rPr>
        <w:br w:type="page"/>
      </w:r>
    </w:p>
    <w:p w:rsidR="003D513A" w:rsidRPr="001E27BC" w:rsidRDefault="003D513A" w:rsidP="0076070B">
      <w:pPr>
        <w:pStyle w:val="Frontpage"/>
        <w:jc w:val="both"/>
        <w:rPr>
          <w:rFonts w:ascii="Arial" w:hAnsi="Arial" w:cs="Arial"/>
          <w:color w:val="17365D"/>
          <w:sz w:val="20"/>
          <w:szCs w:val="20"/>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4E7B95" w:rsidRPr="001E27BC" w:rsidRDefault="004E7B95" w:rsidP="0076070B">
      <w:pPr>
        <w:pStyle w:val="Frontpage"/>
        <w:jc w:val="both"/>
        <w:rPr>
          <w:rFonts w:cs="Arial"/>
          <w:color w:val="1F497D"/>
          <w:sz w:val="22"/>
          <w:szCs w:val="22"/>
        </w:rPr>
      </w:pPr>
    </w:p>
    <w:p w:rsidR="004E7B95" w:rsidRPr="001E27BC" w:rsidRDefault="004E7B95" w:rsidP="0076070B">
      <w:pPr>
        <w:pStyle w:val="Frontpage"/>
        <w:jc w:val="both"/>
        <w:rPr>
          <w:rFonts w:cs="Arial"/>
          <w:color w:val="1F497D"/>
          <w:sz w:val="22"/>
          <w:szCs w:val="22"/>
        </w:rPr>
      </w:pPr>
    </w:p>
    <w:p w:rsidR="004E7B95" w:rsidRPr="001E27BC" w:rsidRDefault="004E7B95"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D30281" w:rsidRPr="001E27BC" w:rsidRDefault="002930FB" w:rsidP="002E4E02">
      <w:pPr>
        <w:pStyle w:val="Frontpage"/>
        <w:ind w:left="-284" w:right="-142"/>
        <w:jc w:val="center"/>
        <w:rPr>
          <w:rFonts w:cs="Arial"/>
          <w:color w:val="1F497D"/>
          <w:sz w:val="22"/>
          <w:szCs w:val="22"/>
        </w:rPr>
      </w:pPr>
      <w:r w:rsidRPr="001E27BC">
        <w:rPr>
          <w:rFonts w:cs="Arial"/>
          <w:color w:val="1F497D"/>
          <w:sz w:val="22"/>
          <w:szCs w:val="22"/>
        </w:rPr>
        <w:t>This evaluation is supported and guided by the European Commission and presented by the Euronet</w:t>
      </w:r>
    </w:p>
    <w:p w:rsidR="003D513A" w:rsidRPr="001E27BC" w:rsidRDefault="002930FB" w:rsidP="002E4E02">
      <w:pPr>
        <w:pStyle w:val="Frontpage"/>
        <w:ind w:left="-284" w:right="-142"/>
        <w:jc w:val="center"/>
        <w:rPr>
          <w:rFonts w:cs="Arial"/>
          <w:color w:val="1F497D"/>
          <w:sz w:val="22"/>
          <w:szCs w:val="22"/>
        </w:rPr>
      </w:pPr>
      <w:r w:rsidRPr="001E27BC">
        <w:rPr>
          <w:rFonts w:cs="Arial"/>
          <w:color w:val="1F497D"/>
          <w:sz w:val="22"/>
          <w:szCs w:val="22"/>
        </w:rPr>
        <w:t>Consortium</w:t>
      </w:r>
      <w:r w:rsidR="00D30281" w:rsidRPr="001E27BC">
        <w:rPr>
          <w:rFonts w:cs="Arial"/>
          <w:color w:val="1F497D"/>
          <w:sz w:val="22"/>
          <w:szCs w:val="22"/>
        </w:rPr>
        <w:t>.</w:t>
      </w:r>
      <w:r w:rsidRPr="001E27BC">
        <w:rPr>
          <w:rFonts w:cs="Arial"/>
          <w:color w:val="1F497D"/>
          <w:sz w:val="22"/>
          <w:szCs w:val="22"/>
        </w:rPr>
        <w:t xml:space="preserve"> </w:t>
      </w:r>
      <w:r w:rsidR="00D30281" w:rsidRPr="001E27BC">
        <w:rPr>
          <w:rFonts w:cs="Arial"/>
          <w:color w:val="1F497D"/>
          <w:sz w:val="22"/>
          <w:szCs w:val="22"/>
        </w:rPr>
        <w:t xml:space="preserve"> </w:t>
      </w:r>
      <w:r w:rsidRPr="001E27BC">
        <w:rPr>
          <w:rFonts w:cs="Arial"/>
          <w:color w:val="1F497D"/>
          <w:sz w:val="22"/>
          <w:szCs w:val="22"/>
        </w:rPr>
        <w:t>The report does not necessarily reflect the views and opinions of the European Commission</w:t>
      </w:r>
      <w:r w:rsidR="00D30281" w:rsidRPr="001E27BC">
        <w:rPr>
          <w:rFonts w:cs="Arial"/>
          <w:color w:val="1F497D"/>
          <w:sz w:val="22"/>
          <w:szCs w:val="22"/>
        </w:rPr>
        <w:t>.</w:t>
      </w: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3D513A" w:rsidP="002E4E02">
      <w:pPr>
        <w:pStyle w:val="Frontpage"/>
        <w:jc w:val="center"/>
        <w:rPr>
          <w:rFonts w:cs="Arial"/>
          <w:color w:val="1F497D"/>
          <w:sz w:val="22"/>
          <w:szCs w:val="22"/>
        </w:rPr>
      </w:pPr>
    </w:p>
    <w:p w:rsidR="003D513A" w:rsidRPr="001E27BC" w:rsidRDefault="00F95527" w:rsidP="002E4E02">
      <w:pPr>
        <w:pStyle w:val="Frontpage"/>
        <w:jc w:val="center"/>
        <w:rPr>
          <w:rFonts w:cs="Arial"/>
          <w:color w:val="1F497D"/>
          <w:sz w:val="22"/>
          <w:szCs w:val="22"/>
        </w:rPr>
      </w:pPr>
      <w:r w:rsidRPr="001E27BC">
        <w:rPr>
          <w:rFonts w:cs="Arial"/>
          <w:color w:val="1F497D"/>
          <w:sz w:val="22"/>
          <w:szCs w:val="22"/>
        </w:rPr>
        <w:t>The mission is</w:t>
      </w:r>
      <w:r w:rsidR="003D513A" w:rsidRPr="001E27BC">
        <w:rPr>
          <w:rFonts w:cs="Arial"/>
          <w:color w:val="1F497D"/>
          <w:sz w:val="22"/>
          <w:szCs w:val="22"/>
        </w:rPr>
        <w:t xml:space="preserve"> carried out by:</w:t>
      </w:r>
    </w:p>
    <w:p w:rsidR="002E4E02" w:rsidRPr="001E27BC" w:rsidRDefault="002E4E02" w:rsidP="002E4E02">
      <w:pPr>
        <w:pStyle w:val="Frontpage"/>
        <w:jc w:val="center"/>
        <w:rPr>
          <w:rFonts w:cs="Arial"/>
          <w:color w:val="1F497D"/>
          <w:sz w:val="22"/>
          <w:szCs w:val="22"/>
        </w:rPr>
      </w:pPr>
    </w:p>
    <w:p w:rsidR="00F95527" w:rsidRPr="001E27BC" w:rsidRDefault="00F95527" w:rsidP="002E4E02">
      <w:pPr>
        <w:pStyle w:val="Frontpage"/>
        <w:jc w:val="center"/>
        <w:rPr>
          <w:rFonts w:cs="Arial"/>
          <w:color w:val="1F497D"/>
          <w:sz w:val="22"/>
          <w:szCs w:val="22"/>
        </w:rPr>
      </w:pPr>
      <w:r w:rsidRPr="001E27BC">
        <w:rPr>
          <w:rFonts w:cs="Arial"/>
          <w:color w:val="1F497D"/>
          <w:sz w:val="22"/>
          <w:szCs w:val="22"/>
        </w:rPr>
        <w:t>Egger TOPPER</w:t>
      </w:r>
    </w:p>
    <w:p w:rsidR="003D513A" w:rsidRPr="001E27BC" w:rsidRDefault="00553B17" w:rsidP="002E4E02">
      <w:pPr>
        <w:pStyle w:val="Frontpage"/>
        <w:jc w:val="center"/>
        <w:rPr>
          <w:rFonts w:cs="Arial"/>
          <w:color w:val="1F497D"/>
          <w:sz w:val="22"/>
          <w:szCs w:val="22"/>
        </w:rPr>
      </w:pPr>
      <w:r w:rsidRPr="001E27BC">
        <w:rPr>
          <w:rFonts w:cs="Arial"/>
          <w:color w:val="1F497D"/>
          <w:sz w:val="22"/>
          <w:szCs w:val="22"/>
        </w:rPr>
        <w:t>Dean PALLEN</w:t>
      </w:r>
    </w:p>
    <w:p w:rsidR="00F95527" w:rsidRPr="001E27BC" w:rsidRDefault="00F95527" w:rsidP="002E4E02">
      <w:pPr>
        <w:pStyle w:val="Frontpage"/>
        <w:jc w:val="center"/>
        <w:rPr>
          <w:rFonts w:cs="Arial"/>
          <w:color w:val="1F497D"/>
          <w:sz w:val="22"/>
          <w:szCs w:val="22"/>
        </w:rPr>
      </w:pPr>
    </w:p>
    <w:p w:rsidR="002E4E02" w:rsidRPr="001E27BC" w:rsidRDefault="003D513A" w:rsidP="002E4E02">
      <w:pPr>
        <w:pStyle w:val="Frontpage"/>
        <w:jc w:val="center"/>
        <w:rPr>
          <w:rFonts w:cs="Arial"/>
          <w:color w:val="1F497D"/>
          <w:sz w:val="22"/>
          <w:szCs w:val="22"/>
        </w:rPr>
      </w:pPr>
      <w:r w:rsidRPr="001E27BC">
        <w:rPr>
          <w:rFonts w:cs="Arial"/>
          <w:color w:val="1F497D"/>
          <w:sz w:val="22"/>
          <w:szCs w:val="22"/>
        </w:rPr>
        <w:t xml:space="preserve">Quality control: </w:t>
      </w:r>
    </w:p>
    <w:p w:rsidR="002E4E02" w:rsidRPr="001E27BC" w:rsidRDefault="002E4E02" w:rsidP="002E4E02">
      <w:pPr>
        <w:pStyle w:val="Frontpage"/>
        <w:jc w:val="center"/>
        <w:rPr>
          <w:rFonts w:cs="Arial"/>
          <w:color w:val="1F497D"/>
          <w:sz w:val="22"/>
          <w:szCs w:val="22"/>
        </w:rPr>
      </w:pPr>
    </w:p>
    <w:p w:rsidR="002E4E02" w:rsidRPr="001E27BC" w:rsidRDefault="00712E9F" w:rsidP="002E4E02">
      <w:pPr>
        <w:pStyle w:val="Frontpage"/>
        <w:jc w:val="center"/>
        <w:rPr>
          <w:rFonts w:cs="Arial"/>
          <w:color w:val="1F497D"/>
          <w:sz w:val="22"/>
          <w:szCs w:val="22"/>
        </w:rPr>
      </w:pPr>
      <w:r w:rsidRPr="001E27BC">
        <w:rPr>
          <w:rFonts w:cs="Arial"/>
          <w:color w:val="1F497D"/>
          <w:sz w:val="22"/>
          <w:szCs w:val="22"/>
        </w:rPr>
        <w:t>Dolf Noppen</w:t>
      </w:r>
      <w:r w:rsidR="002C16DB" w:rsidRPr="001E27BC">
        <w:rPr>
          <w:rFonts w:cs="Arial"/>
          <w:color w:val="1F497D"/>
          <w:sz w:val="22"/>
          <w:szCs w:val="22"/>
        </w:rPr>
        <w:t xml:space="preserve"> </w:t>
      </w:r>
    </w:p>
    <w:p w:rsidR="003D513A" w:rsidRPr="001E27BC" w:rsidRDefault="002C16DB" w:rsidP="002E4E02">
      <w:pPr>
        <w:pStyle w:val="Frontpage"/>
        <w:jc w:val="center"/>
        <w:rPr>
          <w:rFonts w:cs="Arial"/>
          <w:color w:val="1F497D"/>
          <w:sz w:val="22"/>
          <w:szCs w:val="22"/>
        </w:rPr>
      </w:pPr>
      <w:r w:rsidRPr="001E27BC">
        <w:rPr>
          <w:rFonts w:cs="Arial"/>
          <w:color w:val="1F497D"/>
          <w:sz w:val="22"/>
          <w:szCs w:val="22"/>
        </w:rPr>
        <w:t>Per Kirkeman</w:t>
      </w:r>
    </w:p>
    <w:p w:rsidR="003D513A" w:rsidRPr="001E27BC" w:rsidRDefault="003D513A" w:rsidP="002E4E02">
      <w:pPr>
        <w:pStyle w:val="Frontpage"/>
        <w:jc w:val="center"/>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2E4E02" w:rsidRPr="001E27BC" w:rsidRDefault="002E4E02" w:rsidP="0076070B">
      <w:pPr>
        <w:pStyle w:val="Frontpage"/>
        <w:jc w:val="both"/>
        <w:rPr>
          <w:rFonts w:cs="Arial"/>
          <w:color w:val="1F497D"/>
          <w:sz w:val="22"/>
          <w:szCs w:val="22"/>
        </w:rPr>
      </w:pPr>
    </w:p>
    <w:p w:rsidR="002E4E02" w:rsidRPr="001E27BC" w:rsidRDefault="002E4E02" w:rsidP="0076070B">
      <w:pPr>
        <w:pStyle w:val="Frontpage"/>
        <w:jc w:val="both"/>
        <w:rPr>
          <w:rFonts w:cs="Arial"/>
          <w:color w:val="1F497D"/>
          <w:sz w:val="22"/>
          <w:szCs w:val="22"/>
        </w:rPr>
      </w:pPr>
    </w:p>
    <w:p w:rsidR="002E4E02" w:rsidRPr="001E27BC" w:rsidRDefault="002E4E02"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p>
    <w:p w:rsidR="003D513A" w:rsidRPr="001E27BC" w:rsidRDefault="003D513A" w:rsidP="0076070B">
      <w:pPr>
        <w:pStyle w:val="Frontpage"/>
        <w:jc w:val="both"/>
        <w:rPr>
          <w:rFonts w:cs="Arial"/>
          <w:color w:val="1F497D"/>
          <w:sz w:val="22"/>
          <w:szCs w:val="22"/>
        </w:rPr>
      </w:pPr>
      <w:r w:rsidRPr="001E27BC">
        <w:rPr>
          <w:rFonts w:cs="Arial"/>
          <w:color w:val="1F497D"/>
          <w:sz w:val="22"/>
          <w:szCs w:val="22"/>
        </w:rPr>
        <w:t>EURONET Consortium is composed of:</w:t>
      </w:r>
    </w:p>
    <w:p w:rsidR="003D513A" w:rsidRPr="00957345" w:rsidRDefault="003D513A" w:rsidP="0076070B">
      <w:pPr>
        <w:pStyle w:val="Frontpage"/>
        <w:jc w:val="both"/>
        <w:rPr>
          <w:rFonts w:cs="Arial"/>
          <w:color w:val="1F497D"/>
          <w:sz w:val="22"/>
          <w:szCs w:val="22"/>
          <w:lang w:val="it-IT"/>
        </w:rPr>
      </w:pPr>
      <w:r w:rsidRPr="00957345">
        <w:rPr>
          <w:rFonts w:cs="Arial"/>
          <w:color w:val="1F497D"/>
          <w:sz w:val="22"/>
          <w:szCs w:val="22"/>
          <w:lang w:val="it-IT"/>
        </w:rPr>
        <w:t>Ardanuy, AGEG, ALATEC, Baastel, CERC, DHI, Euronet,</w:t>
      </w:r>
    </w:p>
    <w:p w:rsidR="003D513A" w:rsidRPr="00957345" w:rsidRDefault="003D513A" w:rsidP="0076070B">
      <w:pPr>
        <w:pStyle w:val="Frontpage"/>
        <w:jc w:val="both"/>
        <w:rPr>
          <w:rFonts w:cs="Arial"/>
          <w:color w:val="1F497D"/>
          <w:sz w:val="22"/>
          <w:szCs w:val="22"/>
          <w:lang w:val="it-IT"/>
        </w:rPr>
      </w:pPr>
      <w:r w:rsidRPr="00957345">
        <w:rPr>
          <w:rFonts w:cs="Arial"/>
          <w:color w:val="1F497D"/>
          <w:sz w:val="22"/>
          <w:szCs w:val="22"/>
          <w:lang w:val="it-IT"/>
        </w:rPr>
        <w:t>Hydroconseil, Nordeco, NCG, and ORBICON.</w:t>
      </w:r>
    </w:p>
    <w:p w:rsidR="00E21A15" w:rsidRPr="00957345" w:rsidRDefault="00E21A15" w:rsidP="0076070B">
      <w:pPr>
        <w:pStyle w:val="Frontpage"/>
        <w:jc w:val="both"/>
        <w:rPr>
          <w:rFonts w:cs="Arial"/>
          <w:color w:val="1F497D"/>
          <w:sz w:val="22"/>
          <w:szCs w:val="22"/>
          <w:lang w:val="it-IT"/>
        </w:rPr>
      </w:pPr>
    </w:p>
    <w:p w:rsidR="003D513A" w:rsidRPr="001E27BC" w:rsidRDefault="003D513A" w:rsidP="0076070B">
      <w:pPr>
        <w:pStyle w:val="Frontpage"/>
        <w:jc w:val="both"/>
        <w:rPr>
          <w:rFonts w:cs="Arial"/>
          <w:color w:val="1F497D"/>
          <w:sz w:val="22"/>
          <w:szCs w:val="22"/>
        </w:rPr>
      </w:pPr>
      <w:r w:rsidRPr="001E27BC">
        <w:rPr>
          <w:rFonts w:cs="Arial"/>
          <w:noProof/>
          <w:color w:val="1F497D"/>
          <w:sz w:val="22"/>
          <w:szCs w:val="22"/>
          <w:lang w:val="en-US"/>
        </w:rPr>
        <w:drawing>
          <wp:inline distT="0" distB="0" distL="0" distR="0">
            <wp:extent cx="5762625" cy="504825"/>
            <wp:effectExtent l="19050" t="0" r="0" b="0"/>
            <wp:docPr id="3" name="Bild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10" cstate="print"/>
                    <a:srcRect/>
                    <a:stretch>
                      <a:fillRect/>
                    </a:stretch>
                  </pic:blipFill>
                  <pic:spPr bwMode="auto">
                    <a:xfrm>
                      <a:off x="0" y="0"/>
                      <a:ext cx="5762625" cy="504825"/>
                    </a:xfrm>
                    <a:prstGeom prst="rect">
                      <a:avLst/>
                    </a:prstGeom>
                    <a:noFill/>
                    <a:ln w="9525">
                      <a:noFill/>
                      <a:miter lim="800000"/>
                      <a:headEnd/>
                      <a:tailEnd/>
                    </a:ln>
                  </pic:spPr>
                </pic:pic>
              </a:graphicData>
            </a:graphic>
          </wp:inline>
        </w:drawing>
      </w:r>
    </w:p>
    <w:p w:rsidR="003D513A" w:rsidRPr="001E27BC" w:rsidRDefault="003D513A" w:rsidP="0076070B">
      <w:pPr>
        <w:pStyle w:val="Frontpage"/>
        <w:jc w:val="both"/>
        <w:rPr>
          <w:rFonts w:cs="Arial"/>
          <w:color w:val="1F497D"/>
          <w:sz w:val="22"/>
          <w:szCs w:val="22"/>
        </w:rPr>
      </w:pPr>
    </w:p>
    <w:p w:rsidR="003D513A" w:rsidRPr="001E27BC" w:rsidRDefault="003D513A" w:rsidP="0076070B">
      <w:pPr>
        <w:ind w:left="-1411"/>
        <w:sectPr w:rsidR="003D513A" w:rsidRPr="001E27BC">
          <w:footerReference w:type="even" r:id="rId11"/>
          <w:headerReference w:type="first" r:id="rId12"/>
          <w:footerReference w:type="first" r:id="rId13"/>
          <w:pgSz w:w="11907" w:h="16839" w:code="9"/>
          <w:pgMar w:top="0" w:right="1275" w:bottom="0" w:left="1276" w:header="706" w:footer="706" w:gutter="0"/>
          <w:pgNumType w:fmt="lowerRoman" w:start="1"/>
          <w:cols w:space="708"/>
          <w:titlePg/>
          <w:docGrid w:linePitch="360"/>
        </w:sectPr>
      </w:pPr>
    </w:p>
    <w:p w:rsidR="00817C1D" w:rsidRPr="001E27BC" w:rsidRDefault="003D513A" w:rsidP="0076070B">
      <w:pPr>
        <w:pStyle w:val="IntroandAnnexheading"/>
        <w:jc w:val="both"/>
        <w:rPr>
          <w:lang w:val="en-GB"/>
        </w:rPr>
      </w:pPr>
      <w:bookmarkStart w:id="1" w:name="_Toc376936419"/>
      <w:r w:rsidRPr="001E27BC">
        <w:rPr>
          <w:lang w:val="en-GB"/>
        </w:rPr>
        <w:t>Table of Contents</w:t>
      </w:r>
      <w:bookmarkEnd w:id="1"/>
    </w:p>
    <w:p w:rsidR="00F36E2F" w:rsidRPr="001E27BC" w:rsidRDefault="00F36E2F" w:rsidP="0076070B">
      <w:pPr>
        <w:pStyle w:val="IntroandAnnexheading"/>
        <w:jc w:val="both"/>
        <w:rPr>
          <w:lang w:val="en-GB"/>
        </w:rPr>
      </w:pPr>
    </w:p>
    <w:p w:rsidR="00B8773C" w:rsidRDefault="00E05987">
      <w:pPr>
        <w:pStyle w:val="TOC1"/>
        <w:rPr>
          <w:rFonts w:asciiTheme="minorHAnsi" w:eastAsiaTheme="minorEastAsia" w:hAnsiTheme="minorHAnsi" w:cstheme="minorBidi"/>
          <w:sz w:val="24"/>
          <w:lang w:val="en-US"/>
        </w:rPr>
      </w:pPr>
      <w:r w:rsidRPr="00E05987">
        <w:fldChar w:fldCharType="begin"/>
      </w:r>
      <w:r w:rsidR="003D513A" w:rsidRPr="001E27BC">
        <w:instrText xml:space="preserve"> TOC \o "1-3" \h \z \t "Intro and Annex heading;1" </w:instrText>
      </w:r>
      <w:r w:rsidRPr="00E05987">
        <w:fldChar w:fldCharType="separate"/>
      </w:r>
      <w:r w:rsidR="00B8773C">
        <w:t>Acronyms</w:t>
      </w:r>
      <w:r w:rsidR="00B8773C">
        <w:tab/>
      </w:r>
      <w:r>
        <w:fldChar w:fldCharType="begin"/>
      </w:r>
      <w:r w:rsidR="00B8773C">
        <w:instrText xml:space="preserve"> PAGEREF _Toc284767302 \h </w:instrText>
      </w:r>
      <w:r>
        <w:fldChar w:fldCharType="separate"/>
      </w:r>
      <w:r w:rsidR="00B8773C">
        <w:t>ii</w:t>
      </w:r>
      <w:r>
        <w:fldChar w:fldCharType="end"/>
      </w:r>
    </w:p>
    <w:p w:rsidR="00B8773C" w:rsidRDefault="00B8773C">
      <w:pPr>
        <w:pStyle w:val="TOC1"/>
        <w:rPr>
          <w:rFonts w:asciiTheme="minorHAnsi" w:eastAsiaTheme="minorEastAsia" w:hAnsiTheme="minorHAnsi" w:cstheme="minorBidi"/>
          <w:sz w:val="24"/>
          <w:lang w:val="en-US"/>
        </w:rPr>
      </w:pPr>
      <w:r>
        <w:t>Executive Summary</w:t>
      </w:r>
      <w:r>
        <w:tab/>
      </w:r>
      <w:r w:rsidR="00E05987">
        <w:fldChar w:fldCharType="begin"/>
      </w:r>
      <w:r>
        <w:instrText xml:space="preserve"> PAGEREF _Toc284767303 \h </w:instrText>
      </w:r>
      <w:r w:rsidR="00E05987">
        <w:fldChar w:fldCharType="separate"/>
      </w:r>
      <w:r>
        <w:t>iii</w:t>
      </w:r>
      <w:r w:rsidR="00E05987">
        <w:fldChar w:fldCharType="end"/>
      </w:r>
    </w:p>
    <w:p w:rsidR="00B8773C" w:rsidRDefault="00B8773C">
      <w:pPr>
        <w:pStyle w:val="TOC1"/>
        <w:tabs>
          <w:tab w:val="left" w:pos="470"/>
        </w:tabs>
        <w:rPr>
          <w:rFonts w:asciiTheme="minorHAnsi" w:eastAsiaTheme="minorEastAsia" w:hAnsiTheme="minorHAnsi" w:cstheme="minorBidi"/>
          <w:sz w:val="24"/>
          <w:lang w:val="en-US"/>
        </w:rPr>
      </w:pPr>
      <w:r>
        <w:t xml:space="preserve">1. </w:t>
      </w:r>
      <w:r>
        <w:rPr>
          <w:rFonts w:asciiTheme="minorHAnsi" w:eastAsiaTheme="minorEastAsia" w:hAnsiTheme="minorHAnsi" w:cstheme="minorBidi"/>
          <w:sz w:val="24"/>
          <w:lang w:val="en-US"/>
        </w:rPr>
        <w:tab/>
      </w:r>
      <w:r>
        <w:t>Introduction</w:t>
      </w:r>
      <w:r>
        <w:tab/>
      </w:r>
      <w:r w:rsidR="00E05987">
        <w:fldChar w:fldCharType="begin"/>
      </w:r>
      <w:r>
        <w:instrText xml:space="preserve"> PAGEREF _Toc284767304 \h </w:instrText>
      </w:r>
      <w:r w:rsidR="00E05987">
        <w:fldChar w:fldCharType="separate"/>
      </w:r>
      <w:r>
        <w:t>1</w:t>
      </w:r>
      <w:r w:rsidR="00E05987">
        <w:fldChar w:fldCharType="end"/>
      </w:r>
    </w:p>
    <w:p w:rsidR="00B8773C" w:rsidRDefault="00B8773C">
      <w:pPr>
        <w:pStyle w:val="TOC2"/>
        <w:tabs>
          <w:tab w:val="left" w:pos="823"/>
        </w:tabs>
        <w:rPr>
          <w:rFonts w:asciiTheme="minorHAnsi" w:eastAsiaTheme="minorEastAsia" w:hAnsiTheme="minorHAnsi" w:cstheme="minorBidi"/>
          <w:noProof/>
          <w:sz w:val="24"/>
          <w:lang w:val="en-US"/>
        </w:rPr>
      </w:pPr>
      <w:r>
        <w:rPr>
          <w:noProof/>
        </w:rPr>
        <w:t xml:space="preserve">1.1 </w:t>
      </w:r>
      <w:r>
        <w:rPr>
          <w:rFonts w:asciiTheme="minorHAnsi" w:eastAsiaTheme="minorEastAsia" w:hAnsiTheme="minorHAnsi" w:cstheme="minorBidi"/>
          <w:noProof/>
          <w:sz w:val="24"/>
          <w:lang w:val="en-US"/>
        </w:rPr>
        <w:tab/>
      </w:r>
      <w:r>
        <w:rPr>
          <w:noProof/>
        </w:rPr>
        <w:t>Context of the evaluation</w:t>
      </w:r>
      <w:r>
        <w:rPr>
          <w:noProof/>
        </w:rPr>
        <w:tab/>
      </w:r>
      <w:r w:rsidR="00E05987">
        <w:rPr>
          <w:noProof/>
        </w:rPr>
        <w:fldChar w:fldCharType="begin"/>
      </w:r>
      <w:r>
        <w:rPr>
          <w:noProof/>
        </w:rPr>
        <w:instrText xml:space="preserve"> PAGEREF _Toc284767305 \h </w:instrText>
      </w:r>
      <w:r w:rsidR="000679A0">
        <w:rPr>
          <w:noProof/>
        </w:rPr>
      </w:r>
      <w:r w:rsidR="00E05987">
        <w:rPr>
          <w:noProof/>
        </w:rPr>
        <w:fldChar w:fldCharType="separate"/>
      </w:r>
      <w:r>
        <w:rPr>
          <w:noProof/>
        </w:rPr>
        <w:t>1</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1.1.1</w:t>
      </w:r>
      <w:r>
        <w:rPr>
          <w:rFonts w:asciiTheme="minorHAnsi" w:eastAsiaTheme="minorEastAsia" w:hAnsiTheme="minorHAnsi" w:cstheme="minorBidi"/>
          <w:noProof/>
          <w:sz w:val="24"/>
          <w:lang w:val="en-US"/>
        </w:rPr>
        <w:tab/>
      </w:r>
      <w:r>
        <w:rPr>
          <w:noProof/>
        </w:rPr>
        <w:t>The evaluation assignment</w:t>
      </w:r>
      <w:r>
        <w:rPr>
          <w:noProof/>
        </w:rPr>
        <w:tab/>
      </w:r>
      <w:r w:rsidR="00E05987">
        <w:rPr>
          <w:noProof/>
        </w:rPr>
        <w:fldChar w:fldCharType="begin"/>
      </w:r>
      <w:r>
        <w:rPr>
          <w:noProof/>
        </w:rPr>
        <w:instrText xml:space="preserve"> PAGEREF _Toc284767306 \h </w:instrText>
      </w:r>
      <w:r w:rsidR="000679A0">
        <w:rPr>
          <w:noProof/>
        </w:rPr>
      </w:r>
      <w:r w:rsidR="00E05987">
        <w:rPr>
          <w:noProof/>
        </w:rPr>
        <w:fldChar w:fldCharType="separate"/>
      </w:r>
      <w:r>
        <w:rPr>
          <w:noProof/>
        </w:rPr>
        <w:t>1</w:t>
      </w:r>
      <w:r w:rsidR="00E05987">
        <w:rPr>
          <w:noProof/>
        </w:rPr>
        <w:fldChar w:fldCharType="end"/>
      </w:r>
    </w:p>
    <w:p w:rsidR="00B8773C" w:rsidRDefault="00B8773C">
      <w:pPr>
        <w:pStyle w:val="TOC3"/>
        <w:tabs>
          <w:tab w:val="left" w:pos="1238"/>
          <w:tab w:val="right" w:leader="dot" w:pos="9016"/>
        </w:tabs>
        <w:rPr>
          <w:rFonts w:asciiTheme="minorHAnsi" w:eastAsiaTheme="minorEastAsia" w:hAnsiTheme="minorHAnsi" w:cstheme="minorBidi"/>
          <w:noProof/>
          <w:sz w:val="24"/>
          <w:lang w:val="en-US"/>
        </w:rPr>
      </w:pPr>
      <w:r>
        <w:rPr>
          <w:noProof/>
        </w:rPr>
        <w:t xml:space="preserve">1.1.2 </w:t>
      </w:r>
      <w:r>
        <w:rPr>
          <w:rFonts w:asciiTheme="minorHAnsi" w:eastAsiaTheme="minorEastAsia" w:hAnsiTheme="minorHAnsi" w:cstheme="minorBidi"/>
          <w:noProof/>
          <w:sz w:val="24"/>
          <w:lang w:val="en-US"/>
        </w:rPr>
        <w:tab/>
      </w:r>
      <w:r>
        <w:rPr>
          <w:noProof/>
        </w:rPr>
        <w:t>The GCCA</w:t>
      </w:r>
      <w:r>
        <w:rPr>
          <w:noProof/>
        </w:rPr>
        <w:tab/>
      </w:r>
      <w:r w:rsidR="00E05987">
        <w:rPr>
          <w:noProof/>
        </w:rPr>
        <w:fldChar w:fldCharType="begin"/>
      </w:r>
      <w:r>
        <w:rPr>
          <w:noProof/>
        </w:rPr>
        <w:instrText xml:space="preserve"> PAGEREF _Toc284767307 \h </w:instrText>
      </w:r>
      <w:r w:rsidR="000679A0">
        <w:rPr>
          <w:noProof/>
        </w:rPr>
      </w:r>
      <w:r w:rsidR="00E05987">
        <w:rPr>
          <w:noProof/>
        </w:rPr>
        <w:fldChar w:fldCharType="separate"/>
      </w:r>
      <w:r>
        <w:rPr>
          <w:noProof/>
        </w:rPr>
        <w:t>2</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1.2</w:t>
      </w:r>
      <w:r>
        <w:rPr>
          <w:rFonts w:asciiTheme="minorHAnsi" w:eastAsiaTheme="minorEastAsia" w:hAnsiTheme="minorHAnsi" w:cstheme="minorBidi"/>
          <w:noProof/>
          <w:sz w:val="24"/>
          <w:lang w:val="en-US"/>
        </w:rPr>
        <w:tab/>
      </w:r>
      <w:r>
        <w:rPr>
          <w:noProof/>
        </w:rPr>
        <w:t>Methodology</w:t>
      </w:r>
      <w:r>
        <w:rPr>
          <w:noProof/>
        </w:rPr>
        <w:tab/>
      </w:r>
      <w:r w:rsidR="00E05987">
        <w:rPr>
          <w:noProof/>
        </w:rPr>
        <w:fldChar w:fldCharType="begin"/>
      </w:r>
      <w:r>
        <w:rPr>
          <w:noProof/>
        </w:rPr>
        <w:instrText xml:space="preserve"> PAGEREF _Toc284767308 \h </w:instrText>
      </w:r>
      <w:r w:rsidR="000679A0">
        <w:rPr>
          <w:noProof/>
        </w:rPr>
      </w:r>
      <w:r w:rsidR="00E05987">
        <w:rPr>
          <w:noProof/>
        </w:rPr>
        <w:fldChar w:fldCharType="separate"/>
      </w:r>
      <w:r>
        <w:rPr>
          <w:noProof/>
        </w:rPr>
        <w:t>5</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1.2.1</w:t>
      </w:r>
      <w:r>
        <w:rPr>
          <w:rFonts w:asciiTheme="minorHAnsi" w:eastAsiaTheme="minorEastAsia" w:hAnsiTheme="minorHAnsi" w:cstheme="minorBidi"/>
          <w:noProof/>
          <w:sz w:val="24"/>
          <w:lang w:val="en-US"/>
        </w:rPr>
        <w:tab/>
      </w:r>
      <w:r>
        <w:rPr>
          <w:noProof/>
        </w:rPr>
        <w:t>Evaluation questions</w:t>
      </w:r>
      <w:r>
        <w:rPr>
          <w:noProof/>
        </w:rPr>
        <w:tab/>
      </w:r>
      <w:r w:rsidR="00E05987">
        <w:rPr>
          <w:noProof/>
        </w:rPr>
        <w:fldChar w:fldCharType="begin"/>
      </w:r>
      <w:r>
        <w:rPr>
          <w:noProof/>
        </w:rPr>
        <w:instrText xml:space="preserve"> PAGEREF _Toc284767309 \h </w:instrText>
      </w:r>
      <w:r w:rsidR="000679A0">
        <w:rPr>
          <w:noProof/>
        </w:rPr>
      </w:r>
      <w:r w:rsidR="00E05987">
        <w:rPr>
          <w:noProof/>
        </w:rPr>
        <w:fldChar w:fldCharType="separate"/>
      </w:r>
      <w:r>
        <w:rPr>
          <w:noProof/>
        </w:rPr>
        <w:t>5</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1.2.2</w:t>
      </w:r>
      <w:r>
        <w:rPr>
          <w:rFonts w:asciiTheme="minorHAnsi" w:eastAsiaTheme="minorEastAsia" w:hAnsiTheme="minorHAnsi" w:cstheme="minorBidi"/>
          <w:noProof/>
          <w:sz w:val="24"/>
          <w:lang w:val="en-US"/>
        </w:rPr>
        <w:tab/>
      </w:r>
      <w:r>
        <w:rPr>
          <w:noProof/>
        </w:rPr>
        <w:t>Evaluation Matrix</w:t>
      </w:r>
      <w:r>
        <w:rPr>
          <w:noProof/>
        </w:rPr>
        <w:tab/>
      </w:r>
      <w:r w:rsidR="00E05987">
        <w:rPr>
          <w:noProof/>
        </w:rPr>
        <w:fldChar w:fldCharType="begin"/>
      </w:r>
      <w:r>
        <w:rPr>
          <w:noProof/>
        </w:rPr>
        <w:instrText xml:space="preserve"> PAGEREF _Toc284767310 \h </w:instrText>
      </w:r>
      <w:r w:rsidR="000679A0">
        <w:rPr>
          <w:noProof/>
        </w:rPr>
      </w:r>
      <w:r w:rsidR="00E05987">
        <w:rPr>
          <w:noProof/>
        </w:rPr>
        <w:fldChar w:fldCharType="separate"/>
      </w:r>
      <w:r>
        <w:rPr>
          <w:noProof/>
        </w:rPr>
        <w:t>6</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1.2.3</w:t>
      </w:r>
      <w:r>
        <w:rPr>
          <w:rFonts w:asciiTheme="minorHAnsi" w:eastAsiaTheme="minorEastAsia" w:hAnsiTheme="minorHAnsi" w:cstheme="minorBidi"/>
          <w:noProof/>
          <w:sz w:val="24"/>
          <w:lang w:val="en-US"/>
        </w:rPr>
        <w:tab/>
      </w:r>
      <w:r>
        <w:rPr>
          <w:noProof/>
        </w:rPr>
        <w:t>Scoring table</w:t>
      </w:r>
      <w:r>
        <w:rPr>
          <w:noProof/>
        </w:rPr>
        <w:tab/>
      </w:r>
      <w:r w:rsidR="00E05987">
        <w:rPr>
          <w:noProof/>
        </w:rPr>
        <w:fldChar w:fldCharType="begin"/>
      </w:r>
      <w:r>
        <w:rPr>
          <w:noProof/>
        </w:rPr>
        <w:instrText xml:space="preserve"> PAGEREF _Toc284767311 \h </w:instrText>
      </w:r>
      <w:r w:rsidR="000679A0">
        <w:rPr>
          <w:noProof/>
        </w:rPr>
      </w:r>
      <w:r w:rsidR="00E05987">
        <w:rPr>
          <w:noProof/>
        </w:rPr>
        <w:fldChar w:fldCharType="separate"/>
      </w:r>
      <w:r>
        <w:rPr>
          <w:noProof/>
        </w:rPr>
        <w:t>7</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1.2.4</w:t>
      </w:r>
      <w:r>
        <w:rPr>
          <w:rFonts w:asciiTheme="minorHAnsi" w:eastAsiaTheme="minorEastAsia" w:hAnsiTheme="minorHAnsi" w:cstheme="minorBidi"/>
          <w:noProof/>
          <w:sz w:val="24"/>
          <w:lang w:val="en-US"/>
        </w:rPr>
        <w:tab/>
      </w:r>
      <w:r>
        <w:rPr>
          <w:noProof/>
        </w:rPr>
        <w:t>Synthesis</w:t>
      </w:r>
      <w:r>
        <w:rPr>
          <w:noProof/>
        </w:rPr>
        <w:tab/>
      </w:r>
      <w:r w:rsidR="00E05987">
        <w:rPr>
          <w:noProof/>
        </w:rPr>
        <w:fldChar w:fldCharType="begin"/>
      </w:r>
      <w:r>
        <w:rPr>
          <w:noProof/>
        </w:rPr>
        <w:instrText xml:space="preserve"> PAGEREF _Toc284767312 \h </w:instrText>
      </w:r>
      <w:r w:rsidR="000679A0">
        <w:rPr>
          <w:noProof/>
        </w:rPr>
      </w:r>
      <w:r w:rsidR="00E05987">
        <w:rPr>
          <w:noProof/>
        </w:rPr>
        <w:fldChar w:fldCharType="separate"/>
      </w:r>
      <w:r>
        <w:rPr>
          <w:noProof/>
        </w:rPr>
        <w:t>7</w:t>
      </w:r>
      <w:r w:rsidR="00E05987">
        <w:rPr>
          <w:noProof/>
        </w:rPr>
        <w:fldChar w:fldCharType="end"/>
      </w:r>
    </w:p>
    <w:p w:rsidR="00B8773C" w:rsidRDefault="00B8773C">
      <w:pPr>
        <w:pStyle w:val="TOC3"/>
        <w:tabs>
          <w:tab w:val="left" w:pos="1180"/>
          <w:tab w:val="right" w:leader="dot" w:pos="9016"/>
        </w:tabs>
        <w:rPr>
          <w:rFonts w:asciiTheme="minorHAnsi" w:eastAsiaTheme="minorEastAsia" w:hAnsiTheme="minorHAnsi" w:cstheme="minorBidi"/>
          <w:noProof/>
          <w:sz w:val="24"/>
          <w:lang w:val="en-US"/>
        </w:rPr>
      </w:pPr>
      <w:r>
        <w:rPr>
          <w:noProof/>
        </w:rPr>
        <w:t>1.2.5</w:t>
      </w:r>
      <w:r>
        <w:rPr>
          <w:rFonts w:asciiTheme="minorHAnsi" w:eastAsiaTheme="minorEastAsia" w:hAnsiTheme="minorHAnsi" w:cstheme="minorBidi"/>
          <w:noProof/>
          <w:sz w:val="24"/>
          <w:lang w:val="en-US"/>
        </w:rPr>
        <w:tab/>
      </w:r>
      <w:r>
        <w:rPr>
          <w:noProof/>
        </w:rPr>
        <w:t>Reflections on the methodology</w:t>
      </w:r>
      <w:r>
        <w:rPr>
          <w:noProof/>
        </w:rPr>
        <w:tab/>
      </w:r>
      <w:r w:rsidR="00E05987">
        <w:rPr>
          <w:noProof/>
        </w:rPr>
        <w:fldChar w:fldCharType="begin"/>
      </w:r>
      <w:r>
        <w:rPr>
          <w:noProof/>
        </w:rPr>
        <w:instrText xml:space="preserve"> PAGEREF _Toc284767313 \h </w:instrText>
      </w:r>
      <w:r w:rsidR="000679A0">
        <w:rPr>
          <w:noProof/>
        </w:rPr>
      </w:r>
      <w:r w:rsidR="00E05987">
        <w:rPr>
          <w:noProof/>
        </w:rPr>
        <w:fldChar w:fldCharType="separate"/>
      </w:r>
      <w:r>
        <w:rPr>
          <w:noProof/>
        </w:rPr>
        <w:t>7</w:t>
      </w:r>
      <w:r w:rsidR="00E05987">
        <w:rPr>
          <w:noProof/>
        </w:rPr>
        <w:fldChar w:fldCharType="end"/>
      </w:r>
    </w:p>
    <w:p w:rsidR="00B8773C" w:rsidRDefault="00B8773C">
      <w:pPr>
        <w:pStyle w:val="TOC1"/>
        <w:tabs>
          <w:tab w:val="left" w:pos="355"/>
        </w:tabs>
        <w:rPr>
          <w:rFonts w:asciiTheme="minorHAnsi" w:eastAsiaTheme="minorEastAsia" w:hAnsiTheme="minorHAnsi" w:cstheme="minorBidi"/>
          <w:sz w:val="24"/>
          <w:lang w:val="en-US"/>
        </w:rPr>
      </w:pPr>
      <w:r>
        <w:t>2</w:t>
      </w:r>
      <w:r>
        <w:rPr>
          <w:rFonts w:asciiTheme="minorHAnsi" w:eastAsiaTheme="minorEastAsia" w:hAnsiTheme="minorHAnsi" w:cstheme="minorBidi"/>
          <w:sz w:val="24"/>
          <w:lang w:val="en-US"/>
        </w:rPr>
        <w:tab/>
      </w:r>
      <w:r>
        <w:t>Main findings</w:t>
      </w:r>
      <w:r>
        <w:tab/>
      </w:r>
      <w:r w:rsidR="00E05987">
        <w:fldChar w:fldCharType="begin"/>
      </w:r>
      <w:r>
        <w:instrText xml:space="preserve"> PAGEREF _Toc284767314 \h </w:instrText>
      </w:r>
      <w:r w:rsidR="00E05987">
        <w:fldChar w:fldCharType="separate"/>
      </w:r>
      <w:r>
        <w:t>8</w:t>
      </w:r>
      <w:r w:rsidR="00E05987">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2.1</w:t>
      </w:r>
      <w:r>
        <w:rPr>
          <w:rFonts w:asciiTheme="minorHAnsi" w:eastAsiaTheme="minorEastAsia" w:hAnsiTheme="minorHAnsi" w:cstheme="minorBidi"/>
          <w:noProof/>
          <w:sz w:val="24"/>
          <w:lang w:val="en-US"/>
        </w:rPr>
        <w:tab/>
      </w:r>
      <w:r>
        <w:rPr>
          <w:noProof/>
        </w:rPr>
        <w:t>On relevance (problems and needs):</w:t>
      </w:r>
      <w:r>
        <w:rPr>
          <w:noProof/>
        </w:rPr>
        <w:tab/>
      </w:r>
      <w:r w:rsidR="00E05987">
        <w:rPr>
          <w:noProof/>
        </w:rPr>
        <w:fldChar w:fldCharType="begin"/>
      </w:r>
      <w:r>
        <w:rPr>
          <w:noProof/>
        </w:rPr>
        <w:instrText xml:space="preserve"> PAGEREF _Toc284767315 \h </w:instrText>
      </w:r>
      <w:r w:rsidR="000679A0">
        <w:rPr>
          <w:noProof/>
        </w:rPr>
      </w:r>
      <w:r w:rsidR="00E05987">
        <w:rPr>
          <w:noProof/>
        </w:rPr>
        <w:fldChar w:fldCharType="separate"/>
      </w:r>
      <w:r>
        <w:rPr>
          <w:noProof/>
        </w:rPr>
        <w:t>8</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2.2</w:t>
      </w:r>
      <w:r>
        <w:rPr>
          <w:rFonts w:asciiTheme="minorHAnsi" w:eastAsiaTheme="minorEastAsia" w:hAnsiTheme="minorHAnsi" w:cstheme="minorBidi"/>
          <w:noProof/>
          <w:sz w:val="24"/>
          <w:lang w:val="en-US"/>
        </w:rPr>
        <w:tab/>
      </w:r>
      <w:r>
        <w:rPr>
          <w:noProof/>
        </w:rPr>
        <w:t>On design:</w:t>
      </w:r>
      <w:r>
        <w:rPr>
          <w:noProof/>
        </w:rPr>
        <w:tab/>
      </w:r>
      <w:r w:rsidR="00E05987">
        <w:rPr>
          <w:noProof/>
        </w:rPr>
        <w:fldChar w:fldCharType="begin"/>
      </w:r>
      <w:r>
        <w:rPr>
          <w:noProof/>
        </w:rPr>
        <w:instrText xml:space="preserve"> PAGEREF _Toc284767316 \h </w:instrText>
      </w:r>
      <w:r w:rsidR="000679A0">
        <w:rPr>
          <w:noProof/>
        </w:rPr>
      </w:r>
      <w:r w:rsidR="00E05987">
        <w:rPr>
          <w:noProof/>
        </w:rPr>
        <w:fldChar w:fldCharType="separate"/>
      </w:r>
      <w:r>
        <w:rPr>
          <w:noProof/>
        </w:rPr>
        <w:t>11</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2.3</w:t>
      </w:r>
      <w:r>
        <w:rPr>
          <w:rFonts w:asciiTheme="minorHAnsi" w:eastAsiaTheme="minorEastAsia" w:hAnsiTheme="minorHAnsi" w:cstheme="minorBidi"/>
          <w:noProof/>
          <w:sz w:val="24"/>
          <w:lang w:val="en-US"/>
        </w:rPr>
        <w:tab/>
      </w:r>
      <w:r>
        <w:rPr>
          <w:noProof/>
        </w:rPr>
        <w:t>On effectiveness (achievement of purpose):</w:t>
      </w:r>
      <w:r>
        <w:rPr>
          <w:noProof/>
        </w:rPr>
        <w:tab/>
      </w:r>
      <w:r w:rsidR="00E05987">
        <w:rPr>
          <w:noProof/>
        </w:rPr>
        <w:fldChar w:fldCharType="begin"/>
      </w:r>
      <w:r>
        <w:rPr>
          <w:noProof/>
        </w:rPr>
        <w:instrText xml:space="preserve"> PAGEREF _Toc284767317 \h </w:instrText>
      </w:r>
      <w:r w:rsidR="000679A0">
        <w:rPr>
          <w:noProof/>
        </w:rPr>
      </w:r>
      <w:r w:rsidR="00E05987">
        <w:rPr>
          <w:noProof/>
        </w:rPr>
        <w:fldChar w:fldCharType="separate"/>
      </w:r>
      <w:r>
        <w:rPr>
          <w:noProof/>
        </w:rPr>
        <w:t>12</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2.4</w:t>
      </w:r>
      <w:r>
        <w:rPr>
          <w:rFonts w:asciiTheme="minorHAnsi" w:eastAsiaTheme="minorEastAsia" w:hAnsiTheme="minorHAnsi" w:cstheme="minorBidi"/>
          <w:noProof/>
          <w:sz w:val="24"/>
          <w:lang w:val="en-US"/>
        </w:rPr>
        <w:tab/>
      </w:r>
      <w:r>
        <w:rPr>
          <w:noProof/>
        </w:rPr>
        <w:t>On efficiency (sound management and value for money):</w:t>
      </w:r>
      <w:r>
        <w:rPr>
          <w:noProof/>
        </w:rPr>
        <w:tab/>
      </w:r>
      <w:r w:rsidR="00E05987">
        <w:rPr>
          <w:noProof/>
        </w:rPr>
        <w:fldChar w:fldCharType="begin"/>
      </w:r>
      <w:r>
        <w:rPr>
          <w:noProof/>
        </w:rPr>
        <w:instrText xml:space="preserve"> PAGEREF _Toc284767318 \h </w:instrText>
      </w:r>
      <w:r w:rsidR="000679A0">
        <w:rPr>
          <w:noProof/>
        </w:rPr>
      </w:r>
      <w:r w:rsidR="00E05987">
        <w:rPr>
          <w:noProof/>
        </w:rPr>
        <w:fldChar w:fldCharType="separate"/>
      </w:r>
      <w:r>
        <w:rPr>
          <w:noProof/>
        </w:rPr>
        <w:t>19</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2.5</w:t>
      </w:r>
      <w:r>
        <w:rPr>
          <w:rFonts w:asciiTheme="minorHAnsi" w:eastAsiaTheme="minorEastAsia" w:hAnsiTheme="minorHAnsi" w:cstheme="minorBidi"/>
          <w:noProof/>
          <w:sz w:val="24"/>
          <w:lang w:val="en-US"/>
        </w:rPr>
        <w:tab/>
      </w:r>
      <w:r>
        <w:rPr>
          <w:noProof/>
        </w:rPr>
        <w:t>On impact (achievement of wider effects):</w:t>
      </w:r>
      <w:r>
        <w:rPr>
          <w:noProof/>
        </w:rPr>
        <w:tab/>
      </w:r>
      <w:r w:rsidR="00E05987">
        <w:rPr>
          <w:noProof/>
        </w:rPr>
        <w:fldChar w:fldCharType="begin"/>
      </w:r>
      <w:r>
        <w:rPr>
          <w:noProof/>
        </w:rPr>
        <w:instrText xml:space="preserve"> PAGEREF _Toc284767319 \h </w:instrText>
      </w:r>
      <w:r w:rsidR="000679A0">
        <w:rPr>
          <w:noProof/>
        </w:rPr>
      </w:r>
      <w:r w:rsidR="00E05987">
        <w:rPr>
          <w:noProof/>
        </w:rPr>
        <w:fldChar w:fldCharType="separate"/>
      </w:r>
      <w:r>
        <w:rPr>
          <w:noProof/>
        </w:rPr>
        <w:t>23</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2.6</w:t>
      </w:r>
      <w:r>
        <w:rPr>
          <w:rFonts w:asciiTheme="minorHAnsi" w:eastAsiaTheme="minorEastAsia" w:hAnsiTheme="minorHAnsi" w:cstheme="minorBidi"/>
          <w:noProof/>
          <w:sz w:val="24"/>
          <w:lang w:val="en-US"/>
        </w:rPr>
        <w:tab/>
      </w:r>
      <w:r>
        <w:rPr>
          <w:noProof/>
        </w:rPr>
        <w:t>On sustainability (likely continuation of achieved results):</w:t>
      </w:r>
      <w:r>
        <w:rPr>
          <w:noProof/>
        </w:rPr>
        <w:tab/>
      </w:r>
      <w:r w:rsidR="00E05987">
        <w:rPr>
          <w:noProof/>
        </w:rPr>
        <w:fldChar w:fldCharType="begin"/>
      </w:r>
      <w:r>
        <w:rPr>
          <w:noProof/>
        </w:rPr>
        <w:instrText xml:space="preserve"> PAGEREF _Toc284767320 \h </w:instrText>
      </w:r>
      <w:r w:rsidR="000679A0">
        <w:rPr>
          <w:noProof/>
        </w:rPr>
      </w:r>
      <w:r w:rsidR="00E05987">
        <w:rPr>
          <w:noProof/>
        </w:rPr>
        <w:fldChar w:fldCharType="separate"/>
      </w:r>
      <w:r>
        <w:rPr>
          <w:noProof/>
        </w:rPr>
        <w:t>25</w:t>
      </w:r>
      <w:r w:rsidR="00E05987">
        <w:rPr>
          <w:noProof/>
        </w:rPr>
        <w:fldChar w:fldCharType="end"/>
      </w:r>
    </w:p>
    <w:p w:rsidR="00B8773C" w:rsidRDefault="00B8773C">
      <w:pPr>
        <w:pStyle w:val="TOC1"/>
        <w:tabs>
          <w:tab w:val="left" w:pos="355"/>
        </w:tabs>
        <w:rPr>
          <w:rFonts w:asciiTheme="minorHAnsi" w:eastAsiaTheme="minorEastAsia" w:hAnsiTheme="minorHAnsi" w:cstheme="minorBidi"/>
          <w:sz w:val="24"/>
          <w:lang w:val="en-US"/>
        </w:rPr>
      </w:pPr>
      <w:r>
        <w:t>3</w:t>
      </w:r>
      <w:r>
        <w:rPr>
          <w:rFonts w:asciiTheme="minorHAnsi" w:eastAsiaTheme="minorEastAsia" w:hAnsiTheme="minorHAnsi" w:cstheme="minorBidi"/>
          <w:sz w:val="24"/>
          <w:lang w:val="en-US"/>
        </w:rPr>
        <w:tab/>
      </w:r>
      <w:r>
        <w:t>Overall Assessment</w:t>
      </w:r>
      <w:r>
        <w:tab/>
      </w:r>
      <w:r w:rsidR="00E05987">
        <w:fldChar w:fldCharType="begin"/>
      </w:r>
      <w:r>
        <w:instrText xml:space="preserve"> PAGEREF _Toc284767321 \h </w:instrText>
      </w:r>
      <w:r w:rsidR="00E05987">
        <w:fldChar w:fldCharType="separate"/>
      </w:r>
      <w:r>
        <w:t>27</w:t>
      </w:r>
      <w:r w:rsidR="00E05987">
        <w:fldChar w:fldCharType="end"/>
      </w:r>
    </w:p>
    <w:p w:rsidR="00B8773C" w:rsidRDefault="00B8773C">
      <w:pPr>
        <w:pStyle w:val="TOC1"/>
        <w:tabs>
          <w:tab w:val="left" w:pos="355"/>
        </w:tabs>
        <w:rPr>
          <w:rFonts w:asciiTheme="minorHAnsi" w:eastAsiaTheme="minorEastAsia" w:hAnsiTheme="minorHAnsi" w:cstheme="minorBidi"/>
          <w:sz w:val="24"/>
          <w:lang w:val="en-US"/>
        </w:rPr>
      </w:pPr>
      <w:r>
        <w:t>4</w:t>
      </w:r>
      <w:r>
        <w:rPr>
          <w:rFonts w:asciiTheme="minorHAnsi" w:eastAsiaTheme="minorEastAsia" w:hAnsiTheme="minorHAnsi" w:cstheme="minorBidi"/>
          <w:sz w:val="24"/>
          <w:lang w:val="en-US"/>
        </w:rPr>
        <w:tab/>
      </w:r>
      <w:r>
        <w:t>Conclusions, Recommendations and Lessons Learned</w:t>
      </w:r>
      <w:r>
        <w:tab/>
      </w:r>
      <w:r w:rsidR="00E05987">
        <w:fldChar w:fldCharType="begin"/>
      </w:r>
      <w:r>
        <w:instrText xml:space="preserve"> PAGEREF _Toc284767322 \h </w:instrText>
      </w:r>
      <w:r w:rsidR="00E05987">
        <w:fldChar w:fldCharType="separate"/>
      </w:r>
      <w:r>
        <w:t>32</w:t>
      </w:r>
      <w:r w:rsidR="00E05987">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4.2</w:t>
      </w:r>
      <w:r>
        <w:rPr>
          <w:rFonts w:asciiTheme="minorHAnsi" w:eastAsiaTheme="minorEastAsia" w:hAnsiTheme="minorHAnsi" w:cstheme="minorBidi"/>
          <w:noProof/>
          <w:sz w:val="24"/>
          <w:lang w:val="en-US"/>
        </w:rPr>
        <w:tab/>
      </w:r>
      <w:r>
        <w:rPr>
          <w:noProof/>
        </w:rPr>
        <w:t>Conclusions and Recommendations</w:t>
      </w:r>
      <w:r>
        <w:rPr>
          <w:noProof/>
        </w:rPr>
        <w:tab/>
      </w:r>
      <w:r w:rsidR="00E05987">
        <w:rPr>
          <w:noProof/>
        </w:rPr>
        <w:fldChar w:fldCharType="begin"/>
      </w:r>
      <w:r>
        <w:rPr>
          <w:noProof/>
        </w:rPr>
        <w:instrText xml:space="preserve"> PAGEREF _Toc284767323 \h </w:instrText>
      </w:r>
      <w:r w:rsidR="000679A0">
        <w:rPr>
          <w:noProof/>
        </w:rPr>
      </w:r>
      <w:r w:rsidR="00E05987">
        <w:rPr>
          <w:noProof/>
        </w:rPr>
        <w:fldChar w:fldCharType="separate"/>
      </w:r>
      <w:r>
        <w:rPr>
          <w:noProof/>
        </w:rPr>
        <w:t>32</w:t>
      </w:r>
      <w:r w:rsidR="00E05987">
        <w:rPr>
          <w:noProof/>
        </w:rPr>
        <w:fldChar w:fldCharType="end"/>
      </w:r>
    </w:p>
    <w:p w:rsidR="00B8773C" w:rsidRDefault="00B8773C">
      <w:pPr>
        <w:pStyle w:val="TOC2"/>
        <w:tabs>
          <w:tab w:val="left" w:pos="765"/>
        </w:tabs>
        <w:rPr>
          <w:rFonts w:asciiTheme="minorHAnsi" w:eastAsiaTheme="minorEastAsia" w:hAnsiTheme="minorHAnsi" w:cstheme="minorBidi"/>
          <w:noProof/>
          <w:sz w:val="24"/>
          <w:lang w:val="en-US"/>
        </w:rPr>
      </w:pPr>
      <w:r>
        <w:rPr>
          <w:noProof/>
        </w:rPr>
        <w:t>4.3</w:t>
      </w:r>
      <w:r>
        <w:rPr>
          <w:rFonts w:asciiTheme="minorHAnsi" w:eastAsiaTheme="minorEastAsia" w:hAnsiTheme="minorHAnsi" w:cstheme="minorBidi"/>
          <w:noProof/>
          <w:sz w:val="24"/>
          <w:lang w:val="en-US"/>
        </w:rPr>
        <w:tab/>
      </w:r>
      <w:r>
        <w:rPr>
          <w:noProof/>
        </w:rPr>
        <w:t>Lessons Learned</w:t>
      </w:r>
      <w:r>
        <w:rPr>
          <w:noProof/>
        </w:rPr>
        <w:tab/>
      </w:r>
      <w:r w:rsidR="00E05987">
        <w:rPr>
          <w:noProof/>
        </w:rPr>
        <w:fldChar w:fldCharType="begin"/>
      </w:r>
      <w:r>
        <w:rPr>
          <w:noProof/>
        </w:rPr>
        <w:instrText xml:space="preserve"> PAGEREF _Toc284767324 \h </w:instrText>
      </w:r>
      <w:r w:rsidR="000679A0">
        <w:rPr>
          <w:noProof/>
        </w:rPr>
      </w:r>
      <w:r w:rsidR="00E05987">
        <w:rPr>
          <w:noProof/>
        </w:rPr>
        <w:fldChar w:fldCharType="separate"/>
      </w:r>
      <w:r>
        <w:rPr>
          <w:noProof/>
        </w:rPr>
        <w:t>40</w:t>
      </w:r>
      <w:r w:rsidR="00E05987">
        <w:rPr>
          <w:noProof/>
        </w:rPr>
        <w:fldChar w:fldCharType="end"/>
      </w:r>
    </w:p>
    <w:p w:rsidR="00B8773C" w:rsidRDefault="00B8773C">
      <w:pPr>
        <w:pStyle w:val="TOC1"/>
        <w:tabs>
          <w:tab w:val="left" w:pos="355"/>
        </w:tabs>
        <w:rPr>
          <w:rFonts w:asciiTheme="minorHAnsi" w:eastAsiaTheme="minorEastAsia" w:hAnsiTheme="minorHAnsi" w:cstheme="minorBidi"/>
          <w:sz w:val="24"/>
          <w:lang w:val="en-US"/>
        </w:rPr>
      </w:pPr>
      <w:r>
        <w:t>5</w:t>
      </w:r>
      <w:r>
        <w:rPr>
          <w:rFonts w:asciiTheme="minorHAnsi" w:eastAsiaTheme="minorEastAsia" w:hAnsiTheme="minorHAnsi" w:cstheme="minorBidi"/>
          <w:sz w:val="24"/>
          <w:lang w:val="en-US"/>
        </w:rPr>
        <w:tab/>
      </w:r>
      <w:r>
        <w:t>ANNEXES</w:t>
      </w:r>
      <w:r>
        <w:tab/>
      </w:r>
      <w:r w:rsidR="00E05987">
        <w:fldChar w:fldCharType="begin"/>
      </w:r>
      <w:r>
        <w:instrText xml:space="preserve"> PAGEREF _Toc284767325 \h </w:instrText>
      </w:r>
      <w:r w:rsidR="00E05987">
        <w:fldChar w:fldCharType="separate"/>
      </w:r>
      <w:r>
        <w:t>42</w:t>
      </w:r>
      <w:r w:rsidR="00E05987">
        <w:fldChar w:fldCharType="end"/>
      </w:r>
    </w:p>
    <w:p w:rsidR="002A064C" w:rsidRDefault="00E05987" w:rsidP="003936A6">
      <w:pPr>
        <w:pStyle w:val="Heading1"/>
      </w:pPr>
      <w:r w:rsidRPr="001E27BC">
        <w:fldChar w:fldCharType="end"/>
      </w:r>
    </w:p>
    <w:p w:rsidR="002D5C94" w:rsidRPr="001E27BC" w:rsidRDefault="002A064C" w:rsidP="002A064C">
      <w:pPr>
        <w:spacing w:after="0" w:line="240" w:lineRule="auto"/>
        <w:jc w:val="left"/>
      </w:pPr>
      <w:r>
        <w:rPr>
          <w:b/>
        </w:rPr>
        <w:br w:type="page"/>
      </w:r>
      <w:bookmarkStart w:id="2" w:name="_Toc314509605"/>
      <w:bookmarkStart w:id="3" w:name="_Toc336273430"/>
    </w:p>
    <w:p w:rsidR="00C66C21" w:rsidRPr="001E27BC" w:rsidRDefault="00C66C21" w:rsidP="003936A6">
      <w:pPr>
        <w:pStyle w:val="Heading1"/>
      </w:pPr>
      <w:bookmarkStart w:id="4" w:name="_Toc284767302"/>
      <w:r w:rsidRPr="001E27BC">
        <w:t>A</w:t>
      </w:r>
      <w:r w:rsidR="002A064C">
        <w:t>cronyms</w:t>
      </w:r>
      <w:bookmarkEnd w:id="4"/>
      <w:r w:rsidR="002A064C">
        <w:t xml:space="preserve"> </w:t>
      </w:r>
      <w:bookmarkEnd w:id="2"/>
      <w:bookmarkEnd w:id="3"/>
    </w:p>
    <w:tbl>
      <w:tblPr>
        <w:tblW w:w="0" w:type="auto"/>
        <w:tblLook w:val="04A0"/>
      </w:tblPr>
      <w:tblGrid>
        <w:gridCol w:w="2093"/>
        <w:gridCol w:w="6763"/>
      </w:tblGrid>
      <w:tr w:rsidR="00C66C21" w:rsidRPr="001E27BC">
        <w:tc>
          <w:tcPr>
            <w:tcW w:w="209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ACP</w:t>
            </w:r>
          </w:p>
          <w:p w:rsidR="005D4037" w:rsidRPr="001E27BC" w:rsidRDefault="005D4037" w:rsidP="00863500">
            <w:pPr>
              <w:spacing w:before="20" w:after="20" w:line="252" w:lineRule="auto"/>
              <w:rPr>
                <w:rFonts w:cs="Arial"/>
                <w:sz w:val="20"/>
              </w:rPr>
            </w:pPr>
            <w:r w:rsidRPr="001E27BC">
              <w:rPr>
                <w:rFonts w:cs="Arial"/>
                <w:sz w:val="20"/>
              </w:rPr>
              <w:t>ADB</w:t>
            </w:r>
          </w:p>
        </w:tc>
        <w:tc>
          <w:tcPr>
            <w:tcW w:w="676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African, Caribbean and Pacific group of states</w:t>
            </w:r>
          </w:p>
          <w:p w:rsidR="005D4037" w:rsidRPr="001E27BC" w:rsidRDefault="005D4037" w:rsidP="00863500">
            <w:pPr>
              <w:spacing w:before="20" w:after="20" w:line="252" w:lineRule="auto"/>
              <w:rPr>
                <w:rFonts w:cs="Arial"/>
                <w:sz w:val="20"/>
              </w:rPr>
            </w:pPr>
            <w:r w:rsidRPr="001E27BC">
              <w:rPr>
                <w:rFonts w:cs="Arial"/>
                <w:sz w:val="20"/>
              </w:rPr>
              <w:t>Asian Development Bank</w:t>
            </w:r>
          </w:p>
        </w:tc>
      </w:tr>
      <w:tr w:rsidR="00C66C21" w:rsidRPr="001E27BC">
        <w:tc>
          <w:tcPr>
            <w:tcW w:w="2093" w:type="dxa"/>
            <w:shd w:val="clear" w:color="auto" w:fill="auto"/>
          </w:tcPr>
          <w:p w:rsidR="00B5108C" w:rsidRPr="001E27BC" w:rsidRDefault="00B5108C" w:rsidP="00863500">
            <w:pPr>
              <w:spacing w:before="20" w:after="20" w:line="252" w:lineRule="auto"/>
              <w:rPr>
                <w:rFonts w:cs="Arial"/>
                <w:sz w:val="20"/>
              </w:rPr>
            </w:pPr>
            <w:r w:rsidRPr="001E27BC">
              <w:rPr>
                <w:rFonts w:cs="Arial"/>
                <w:sz w:val="20"/>
              </w:rPr>
              <w:t>BMZ</w:t>
            </w:r>
          </w:p>
          <w:p w:rsidR="001E77DA" w:rsidRPr="001E27BC" w:rsidRDefault="001E77DA" w:rsidP="00863500">
            <w:pPr>
              <w:spacing w:before="20" w:after="20" w:line="252" w:lineRule="auto"/>
              <w:rPr>
                <w:rFonts w:cs="Arial"/>
                <w:sz w:val="20"/>
              </w:rPr>
            </w:pPr>
            <w:r w:rsidRPr="001E27BC">
              <w:rPr>
                <w:rFonts w:cs="Arial"/>
                <w:sz w:val="20"/>
              </w:rPr>
              <w:t>CC</w:t>
            </w:r>
          </w:p>
          <w:p w:rsidR="005D4037" w:rsidRPr="001E27BC" w:rsidRDefault="005D4037" w:rsidP="00863500">
            <w:pPr>
              <w:spacing w:before="20" w:after="20" w:line="252" w:lineRule="auto"/>
              <w:rPr>
                <w:rFonts w:cs="Arial"/>
                <w:sz w:val="20"/>
              </w:rPr>
            </w:pPr>
            <w:r w:rsidRPr="001E27BC">
              <w:rPr>
                <w:rFonts w:cs="Arial"/>
                <w:sz w:val="20"/>
              </w:rPr>
              <w:t>CCCCC</w:t>
            </w:r>
          </w:p>
          <w:p w:rsidR="00E12B5F" w:rsidRPr="001E27BC" w:rsidRDefault="00E12B5F" w:rsidP="00863500">
            <w:pPr>
              <w:spacing w:before="20" w:after="20" w:line="252" w:lineRule="auto"/>
              <w:rPr>
                <w:rFonts w:cs="Arial"/>
                <w:sz w:val="20"/>
              </w:rPr>
            </w:pPr>
            <w:r w:rsidRPr="001E27BC">
              <w:rPr>
                <w:rFonts w:cs="Arial"/>
                <w:sz w:val="20"/>
              </w:rPr>
              <w:t>CDM</w:t>
            </w:r>
          </w:p>
          <w:p w:rsidR="00957DC7" w:rsidRPr="001E27BC" w:rsidRDefault="00957DC7" w:rsidP="00863500">
            <w:pPr>
              <w:spacing w:before="20" w:after="20" w:line="252" w:lineRule="auto"/>
              <w:rPr>
                <w:rFonts w:cs="Arial"/>
                <w:sz w:val="20"/>
              </w:rPr>
            </w:pPr>
            <w:r w:rsidRPr="001E27BC">
              <w:rPr>
                <w:rFonts w:cs="Arial"/>
                <w:sz w:val="20"/>
              </w:rPr>
              <w:t>CILSS</w:t>
            </w:r>
          </w:p>
          <w:p w:rsidR="00957DC7" w:rsidRPr="001E27BC" w:rsidRDefault="00C66C21" w:rsidP="00863500">
            <w:pPr>
              <w:spacing w:before="20" w:after="20" w:line="252" w:lineRule="auto"/>
              <w:rPr>
                <w:rFonts w:cs="Arial"/>
                <w:sz w:val="20"/>
              </w:rPr>
            </w:pPr>
            <w:r w:rsidRPr="001E27BC">
              <w:rPr>
                <w:rFonts w:cs="Arial"/>
                <w:sz w:val="20"/>
              </w:rPr>
              <w:t>COP</w:t>
            </w:r>
          </w:p>
        </w:tc>
        <w:tc>
          <w:tcPr>
            <w:tcW w:w="6763" w:type="dxa"/>
            <w:shd w:val="clear" w:color="auto" w:fill="auto"/>
          </w:tcPr>
          <w:p w:rsidR="00B5108C" w:rsidRPr="001E27BC" w:rsidRDefault="00487388" w:rsidP="00863500">
            <w:pPr>
              <w:spacing w:before="20" w:after="20" w:line="252" w:lineRule="auto"/>
              <w:rPr>
                <w:rFonts w:cs="Arial"/>
                <w:sz w:val="20"/>
              </w:rPr>
            </w:pPr>
            <w:r w:rsidRPr="001E27BC">
              <w:rPr>
                <w:rFonts w:cs="Arial"/>
                <w:sz w:val="20"/>
              </w:rPr>
              <w:t>German Federal Ministry for Economic Cooperation and Development</w:t>
            </w:r>
          </w:p>
          <w:p w:rsidR="001E77DA" w:rsidRPr="001E27BC" w:rsidRDefault="001E77DA" w:rsidP="00863500">
            <w:pPr>
              <w:spacing w:before="20" w:after="20" w:line="252" w:lineRule="auto"/>
              <w:rPr>
                <w:rFonts w:cs="Arial"/>
                <w:sz w:val="20"/>
              </w:rPr>
            </w:pPr>
            <w:r w:rsidRPr="001E27BC">
              <w:rPr>
                <w:rFonts w:cs="Arial"/>
                <w:sz w:val="20"/>
              </w:rPr>
              <w:t>Climate Change</w:t>
            </w:r>
          </w:p>
          <w:p w:rsidR="005D4037" w:rsidRPr="001E27BC" w:rsidRDefault="005D4037" w:rsidP="005D4037">
            <w:pPr>
              <w:spacing w:before="20" w:after="20" w:line="252" w:lineRule="auto"/>
              <w:rPr>
                <w:rFonts w:cs="Arial"/>
                <w:sz w:val="20"/>
              </w:rPr>
            </w:pPr>
            <w:r w:rsidRPr="001E27BC">
              <w:rPr>
                <w:rFonts w:cs="Arial"/>
                <w:sz w:val="20"/>
              </w:rPr>
              <w:t>Caribbean Community Climate Change Centre</w:t>
            </w:r>
          </w:p>
          <w:p w:rsidR="00E12B5F" w:rsidRPr="001E27BC" w:rsidRDefault="00F32ADA" w:rsidP="00863500">
            <w:pPr>
              <w:spacing w:before="20" w:after="20" w:line="252" w:lineRule="auto"/>
              <w:rPr>
                <w:rFonts w:cs="Arial"/>
                <w:sz w:val="20"/>
              </w:rPr>
            </w:pPr>
            <w:r w:rsidRPr="001E27BC">
              <w:rPr>
                <w:rFonts w:cs="Arial"/>
                <w:sz w:val="20"/>
              </w:rPr>
              <w:t>Clean D</w:t>
            </w:r>
            <w:r w:rsidR="00E12B5F" w:rsidRPr="001E27BC">
              <w:rPr>
                <w:rFonts w:cs="Arial"/>
                <w:sz w:val="20"/>
              </w:rPr>
              <w:t>evelopment Mechanism</w:t>
            </w:r>
          </w:p>
          <w:p w:rsidR="00957DC7" w:rsidRPr="001E27BC" w:rsidRDefault="000A34D3" w:rsidP="00863500">
            <w:pPr>
              <w:spacing w:before="20" w:after="20" w:line="252" w:lineRule="auto"/>
              <w:rPr>
                <w:rFonts w:cs="Arial"/>
                <w:sz w:val="20"/>
              </w:rPr>
            </w:pPr>
            <w:r w:rsidRPr="001E27BC">
              <w:rPr>
                <w:rFonts w:cs="Arial"/>
                <w:sz w:val="20"/>
              </w:rPr>
              <w:t>Permanent Interstates Committee for Drought Control in the Sahel</w:t>
            </w:r>
          </w:p>
          <w:p w:rsidR="00957DC7" w:rsidRPr="001E27BC" w:rsidRDefault="00C66C21" w:rsidP="00863500">
            <w:pPr>
              <w:spacing w:before="20" w:after="20" w:line="252" w:lineRule="auto"/>
              <w:rPr>
                <w:rFonts w:cs="Arial"/>
                <w:sz w:val="20"/>
              </w:rPr>
            </w:pPr>
            <w:r w:rsidRPr="001E27BC">
              <w:rPr>
                <w:rFonts w:cs="Arial"/>
                <w:sz w:val="20"/>
              </w:rPr>
              <w:t xml:space="preserve">Conference of the Parties </w:t>
            </w:r>
          </w:p>
        </w:tc>
      </w:tr>
      <w:tr w:rsidR="00C66C21" w:rsidRPr="001E27BC">
        <w:tc>
          <w:tcPr>
            <w:tcW w:w="2093" w:type="dxa"/>
            <w:shd w:val="clear" w:color="auto" w:fill="auto"/>
          </w:tcPr>
          <w:p w:rsidR="00C66C21" w:rsidRPr="001E27BC" w:rsidRDefault="002F0A22" w:rsidP="00863500">
            <w:pPr>
              <w:spacing w:before="20" w:after="20" w:line="252" w:lineRule="auto"/>
              <w:rPr>
                <w:rFonts w:cs="Arial"/>
                <w:sz w:val="20"/>
              </w:rPr>
            </w:pPr>
            <w:r w:rsidRPr="001E27BC">
              <w:rPr>
                <w:rFonts w:cs="Arial"/>
                <w:sz w:val="20"/>
              </w:rPr>
              <w:t>CSF</w:t>
            </w:r>
          </w:p>
        </w:tc>
        <w:tc>
          <w:tcPr>
            <w:tcW w:w="676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Climate Support Facility</w:t>
            </w:r>
            <w:r w:rsidR="00F32ADA" w:rsidRPr="001E27BC">
              <w:rPr>
                <w:rFonts w:cs="Arial"/>
                <w:sz w:val="20"/>
              </w:rPr>
              <w:t xml:space="preserve"> (component of </w:t>
            </w:r>
            <w:r w:rsidRPr="001E27BC">
              <w:rPr>
                <w:rFonts w:cs="Arial"/>
                <w:sz w:val="20"/>
              </w:rPr>
              <w:t>the Intra-ACP Programme of the GCCA</w:t>
            </w:r>
            <w:r w:rsidR="00F32ADA" w:rsidRPr="001E27BC">
              <w:rPr>
                <w:rFonts w:cs="Arial"/>
                <w:sz w:val="20"/>
              </w:rPr>
              <w:t>)</w:t>
            </w:r>
          </w:p>
        </w:tc>
      </w:tr>
      <w:tr w:rsidR="00C66C21" w:rsidRPr="001E27BC">
        <w:tc>
          <w:tcPr>
            <w:tcW w:w="2093" w:type="dxa"/>
            <w:shd w:val="clear" w:color="auto" w:fill="auto"/>
          </w:tcPr>
          <w:p w:rsidR="002F0A22" w:rsidRPr="001E27BC" w:rsidRDefault="002F0A22" w:rsidP="002F0A22">
            <w:pPr>
              <w:spacing w:before="20" w:after="20" w:line="252" w:lineRule="auto"/>
              <w:rPr>
                <w:rFonts w:cs="Arial"/>
                <w:sz w:val="20"/>
              </w:rPr>
            </w:pPr>
            <w:r w:rsidRPr="001E27BC">
              <w:rPr>
                <w:rFonts w:cs="Arial"/>
                <w:sz w:val="20"/>
              </w:rPr>
              <w:t>DAC</w:t>
            </w:r>
          </w:p>
          <w:p w:rsidR="0085073D" w:rsidRPr="001E27BC" w:rsidRDefault="002F0A22" w:rsidP="002F0A22">
            <w:pPr>
              <w:spacing w:before="20" w:after="20" w:line="252" w:lineRule="auto"/>
              <w:rPr>
                <w:rFonts w:cs="Arial"/>
                <w:sz w:val="20"/>
              </w:rPr>
            </w:pPr>
            <w:r w:rsidRPr="001E27BC">
              <w:rPr>
                <w:rFonts w:cs="Arial"/>
                <w:sz w:val="20"/>
              </w:rPr>
              <w:t>DANIDA</w:t>
            </w:r>
          </w:p>
        </w:tc>
        <w:tc>
          <w:tcPr>
            <w:tcW w:w="6763" w:type="dxa"/>
            <w:shd w:val="clear" w:color="auto" w:fill="auto"/>
          </w:tcPr>
          <w:p w:rsidR="00C66C21" w:rsidRPr="001E27BC" w:rsidRDefault="00957DC7" w:rsidP="00863500">
            <w:pPr>
              <w:spacing w:before="20" w:after="20" w:line="252" w:lineRule="auto"/>
              <w:rPr>
                <w:rFonts w:cs="Arial"/>
                <w:sz w:val="20"/>
              </w:rPr>
            </w:pPr>
            <w:r w:rsidRPr="001E27BC">
              <w:rPr>
                <w:rFonts w:cs="Arial"/>
                <w:sz w:val="20"/>
              </w:rPr>
              <w:t>Development Assistance Committee (OECD)</w:t>
            </w:r>
          </w:p>
          <w:p w:rsidR="0085073D" w:rsidRPr="001E27BC" w:rsidRDefault="0085073D" w:rsidP="00863500">
            <w:pPr>
              <w:spacing w:before="20" w:after="20" w:line="252" w:lineRule="auto"/>
              <w:rPr>
                <w:rFonts w:cs="Arial"/>
                <w:sz w:val="20"/>
              </w:rPr>
            </w:pPr>
            <w:r w:rsidRPr="001E27BC">
              <w:rPr>
                <w:rFonts w:cs="Arial"/>
                <w:sz w:val="20"/>
              </w:rPr>
              <w:t>Danish International Development Agency</w:t>
            </w:r>
          </w:p>
        </w:tc>
      </w:tr>
      <w:tr w:rsidR="00502758" w:rsidRPr="001E27BC">
        <w:tc>
          <w:tcPr>
            <w:tcW w:w="209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DEVCO</w:t>
            </w:r>
          </w:p>
        </w:tc>
        <w:tc>
          <w:tcPr>
            <w:tcW w:w="676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Directorate General Development and Cooperation of the EC</w:t>
            </w:r>
          </w:p>
        </w:tc>
      </w:tr>
      <w:tr w:rsidR="00502758" w:rsidRPr="001E27BC">
        <w:tc>
          <w:tcPr>
            <w:tcW w:w="209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DEVCO C2</w:t>
            </w:r>
          </w:p>
        </w:tc>
        <w:tc>
          <w:tcPr>
            <w:tcW w:w="676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w:t>
            </w:r>
            <w:r w:rsidR="00F32ADA" w:rsidRPr="001E27BC">
              <w:rPr>
                <w:rFonts w:cs="Arial"/>
                <w:sz w:val="20"/>
              </w:rPr>
              <w:t xml:space="preserve">EVCO </w:t>
            </w:r>
            <w:r w:rsidRPr="001E27BC">
              <w:rPr>
                <w:rFonts w:cs="Arial"/>
                <w:sz w:val="20"/>
              </w:rPr>
              <w:t>– Climate change, environment, natural resources and water Unit</w:t>
            </w:r>
          </w:p>
        </w:tc>
      </w:tr>
      <w:tr w:rsidR="00502758" w:rsidRPr="001E27BC">
        <w:trPr>
          <w:trHeight w:val="340"/>
        </w:trPr>
        <w:tc>
          <w:tcPr>
            <w:tcW w:w="209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DEVCO E3</w:t>
            </w:r>
          </w:p>
          <w:p w:rsidR="0085073D" w:rsidRPr="001E27BC" w:rsidRDefault="0085073D" w:rsidP="0085073D">
            <w:pPr>
              <w:spacing w:before="20" w:after="20" w:line="252" w:lineRule="auto"/>
              <w:rPr>
                <w:rFonts w:cs="Arial"/>
                <w:sz w:val="20"/>
              </w:rPr>
            </w:pPr>
            <w:r w:rsidRPr="001E27BC">
              <w:rPr>
                <w:rFonts w:cs="Arial"/>
                <w:sz w:val="20"/>
              </w:rPr>
              <w:t>DFID</w:t>
            </w:r>
          </w:p>
        </w:tc>
        <w:tc>
          <w:tcPr>
            <w:tcW w:w="6763" w:type="dxa"/>
            <w:shd w:val="clear" w:color="auto" w:fill="auto"/>
          </w:tcPr>
          <w:p w:rsidR="00502758" w:rsidRPr="001E27BC" w:rsidRDefault="00502758" w:rsidP="00863500">
            <w:pPr>
              <w:spacing w:before="20" w:after="20" w:line="252" w:lineRule="auto"/>
              <w:rPr>
                <w:rFonts w:cs="Arial"/>
                <w:sz w:val="20"/>
              </w:rPr>
            </w:pPr>
            <w:r w:rsidRPr="001E27BC">
              <w:rPr>
                <w:rFonts w:cs="Arial"/>
                <w:sz w:val="20"/>
              </w:rPr>
              <w:t>D</w:t>
            </w:r>
            <w:r w:rsidR="00F32ADA" w:rsidRPr="001E27BC">
              <w:rPr>
                <w:rFonts w:cs="Arial"/>
                <w:sz w:val="20"/>
              </w:rPr>
              <w:t xml:space="preserve">EVCO </w:t>
            </w:r>
            <w:r w:rsidRPr="001E27BC">
              <w:rPr>
                <w:rFonts w:cs="Arial"/>
                <w:sz w:val="20"/>
              </w:rPr>
              <w:t xml:space="preserve">– Regional programmes, </w:t>
            </w:r>
            <w:r w:rsidR="00F32ADA" w:rsidRPr="001E27BC">
              <w:rPr>
                <w:rFonts w:cs="Arial"/>
                <w:sz w:val="20"/>
              </w:rPr>
              <w:t>s</w:t>
            </w:r>
            <w:r w:rsidRPr="001E27BC">
              <w:rPr>
                <w:rFonts w:cs="Arial"/>
                <w:sz w:val="20"/>
              </w:rPr>
              <w:t>ub-Saharan Africa and ACP-wide Unit</w:t>
            </w:r>
          </w:p>
          <w:p w:rsidR="0085073D" w:rsidRPr="001E27BC" w:rsidRDefault="0085073D" w:rsidP="00863500">
            <w:pPr>
              <w:spacing w:before="20" w:after="20" w:line="252" w:lineRule="auto"/>
              <w:rPr>
                <w:rFonts w:cs="Arial"/>
                <w:sz w:val="20"/>
              </w:rPr>
            </w:pPr>
            <w:r w:rsidRPr="001E27BC">
              <w:rPr>
                <w:rFonts w:cs="Arial"/>
                <w:sz w:val="20"/>
              </w:rPr>
              <w:t xml:space="preserve">Department for International Development </w:t>
            </w:r>
          </w:p>
        </w:tc>
      </w:tr>
      <w:tr w:rsidR="00E12B5F" w:rsidRPr="001E27BC">
        <w:tc>
          <w:tcPr>
            <w:tcW w:w="2093" w:type="dxa"/>
            <w:shd w:val="clear" w:color="auto" w:fill="auto"/>
          </w:tcPr>
          <w:p w:rsidR="00E12B5F" w:rsidRPr="001E27BC" w:rsidRDefault="00E12B5F" w:rsidP="00863500">
            <w:pPr>
              <w:spacing w:before="20" w:after="20" w:line="252" w:lineRule="auto"/>
              <w:rPr>
                <w:rFonts w:cs="Arial"/>
                <w:sz w:val="20"/>
              </w:rPr>
            </w:pPr>
            <w:r w:rsidRPr="001E27BC">
              <w:rPr>
                <w:rFonts w:cs="Arial"/>
                <w:sz w:val="20"/>
              </w:rPr>
              <w:t>DRR</w:t>
            </w:r>
          </w:p>
          <w:p w:rsidR="00E12B5F" w:rsidRPr="001E27BC" w:rsidRDefault="00E12B5F" w:rsidP="00863500">
            <w:pPr>
              <w:spacing w:before="20" w:after="20" w:line="252" w:lineRule="auto"/>
              <w:rPr>
                <w:rFonts w:cs="Arial"/>
                <w:sz w:val="20"/>
              </w:rPr>
            </w:pPr>
            <w:r w:rsidRPr="001E27BC">
              <w:rPr>
                <w:rFonts w:cs="Arial"/>
                <w:sz w:val="20"/>
              </w:rPr>
              <w:t>EC</w:t>
            </w:r>
          </w:p>
        </w:tc>
        <w:tc>
          <w:tcPr>
            <w:tcW w:w="6763" w:type="dxa"/>
            <w:shd w:val="clear" w:color="auto" w:fill="auto"/>
          </w:tcPr>
          <w:p w:rsidR="00E12B5F" w:rsidRPr="001E27BC" w:rsidRDefault="00E12B5F" w:rsidP="00863500">
            <w:pPr>
              <w:spacing w:before="20" w:after="20" w:line="252" w:lineRule="auto"/>
              <w:rPr>
                <w:rFonts w:cs="Arial"/>
                <w:sz w:val="20"/>
              </w:rPr>
            </w:pPr>
            <w:r w:rsidRPr="001E27BC">
              <w:rPr>
                <w:rFonts w:cs="Arial"/>
                <w:sz w:val="20"/>
              </w:rPr>
              <w:t>Disaster Risk Reduction</w:t>
            </w:r>
          </w:p>
          <w:p w:rsidR="00E12B5F" w:rsidRPr="001E27BC" w:rsidRDefault="00E12B5F" w:rsidP="00863500">
            <w:pPr>
              <w:spacing w:before="20" w:after="20" w:line="252" w:lineRule="auto"/>
              <w:rPr>
                <w:rFonts w:cs="Arial"/>
                <w:sz w:val="20"/>
              </w:rPr>
            </w:pPr>
            <w:r w:rsidRPr="001E27BC">
              <w:rPr>
                <w:rFonts w:cs="Arial"/>
                <w:sz w:val="20"/>
              </w:rPr>
              <w:t>European Commission</w:t>
            </w:r>
          </w:p>
        </w:tc>
      </w:tr>
      <w:tr w:rsidR="00C66C21" w:rsidRPr="001E27BC">
        <w:tc>
          <w:tcPr>
            <w:tcW w:w="209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EDF</w:t>
            </w:r>
          </w:p>
        </w:tc>
        <w:tc>
          <w:tcPr>
            <w:tcW w:w="676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European Development Fund</w:t>
            </w:r>
          </w:p>
        </w:tc>
      </w:tr>
      <w:tr w:rsidR="00C66C21" w:rsidRPr="001E27BC">
        <w:tc>
          <w:tcPr>
            <w:tcW w:w="2093" w:type="dxa"/>
            <w:shd w:val="clear" w:color="auto" w:fill="auto"/>
          </w:tcPr>
          <w:p w:rsidR="00957DC7" w:rsidRPr="001E27BC" w:rsidRDefault="00957DC7" w:rsidP="00863500">
            <w:pPr>
              <w:spacing w:before="20" w:after="20" w:line="252" w:lineRule="auto"/>
              <w:rPr>
                <w:rFonts w:cs="Arial"/>
                <w:sz w:val="20"/>
              </w:rPr>
            </w:pPr>
            <w:r w:rsidRPr="001E27BC">
              <w:rPr>
                <w:rFonts w:cs="Arial"/>
                <w:sz w:val="20"/>
              </w:rPr>
              <w:t>EQ</w:t>
            </w:r>
          </w:p>
          <w:p w:rsidR="00C66C21" w:rsidRPr="001E27BC" w:rsidRDefault="00C66C21" w:rsidP="00863500">
            <w:pPr>
              <w:spacing w:before="20" w:after="20" w:line="252" w:lineRule="auto"/>
              <w:rPr>
                <w:rFonts w:cs="Arial"/>
                <w:sz w:val="20"/>
              </w:rPr>
            </w:pPr>
            <w:r w:rsidRPr="001E27BC">
              <w:rPr>
                <w:rFonts w:cs="Arial"/>
                <w:sz w:val="20"/>
              </w:rPr>
              <w:t>EU</w:t>
            </w:r>
            <w:r w:rsidR="000A34D3" w:rsidRPr="001E27BC">
              <w:rPr>
                <w:rFonts w:cs="Arial"/>
                <w:sz w:val="20"/>
              </w:rPr>
              <w:t xml:space="preserve"> (D)</w:t>
            </w:r>
          </w:p>
          <w:p w:rsidR="00525D67" w:rsidRPr="001E27BC" w:rsidRDefault="00525D67" w:rsidP="00863500">
            <w:pPr>
              <w:spacing w:before="20" w:after="20" w:line="252" w:lineRule="auto"/>
              <w:rPr>
                <w:rFonts w:cs="Arial"/>
                <w:sz w:val="20"/>
              </w:rPr>
            </w:pPr>
            <w:r w:rsidRPr="001E27BC">
              <w:rPr>
                <w:rFonts w:cs="Arial"/>
                <w:sz w:val="20"/>
              </w:rPr>
              <w:t>FSF</w:t>
            </w:r>
          </w:p>
        </w:tc>
        <w:tc>
          <w:tcPr>
            <w:tcW w:w="6763" w:type="dxa"/>
            <w:shd w:val="clear" w:color="auto" w:fill="auto"/>
          </w:tcPr>
          <w:p w:rsidR="00957DC7" w:rsidRPr="001E27BC" w:rsidRDefault="00957DC7" w:rsidP="00863500">
            <w:pPr>
              <w:spacing w:before="20" w:after="20" w:line="252" w:lineRule="auto"/>
              <w:rPr>
                <w:rFonts w:cs="Arial"/>
                <w:sz w:val="20"/>
              </w:rPr>
            </w:pPr>
            <w:r w:rsidRPr="001E27BC">
              <w:rPr>
                <w:rFonts w:cs="Arial"/>
                <w:sz w:val="20"/>
              </w:rPr>
              <w:t>Evaluation Question</w:t>
            </w:r>
          </w:p>
          <w:p w:rsidR="00C66C21" w:rsidRPr="001E27BC" w:rsidRDefault="00C66C21" w:rsidP="00863500">
            <w:pPr>
              <w:spacing w:before="20" w:after="20" w:line="252" w:lineRule="auto"/>
              <w:rPr>
                <w:rFonts w:cs="Arial"/>
                <w:sz w:val="20"/>
              </w:rPr>
            </w:pPr>
            <w:r w:rsidRPr="001E27BC">
              <w:rPr>
                <w:rFonts w:cs="Arial"/>
                <w:sz w:val="20"/>
              </w:rPr>
              <w:t>European Union</w:t>
            </w:r>
            <w:r w:rsidR="000A34D3" w:rsidRPr="001E27BC">
              <w:rPr>
                <w:rFonts w:cs="Arial"/>
                <w:sz w:val="20"/>
              </w:rPr>
              <w:t xml:space="preserve"> (Delegation)</w:t>
            </w:r>
          </w:p>
          <w:p w:rsidR="00525D67" w:rsidRPr="001E27BC" w:rsidRDefault="00525D67" w:rsidP="00863500">
            <w:pPr>
              <w:spacing w:before="20" w:after="20" w:line="252" w:lineRule="auto"/>
              <w:rPr>
                <w:rFonts w:cs="Arial"/>
                <w:sz w:val="20"/>
              </w:rPr>
            </w:pPr>
            <w:r w:rsidRPr="001E27BC">
              <w:rPr>
                <w:rFonts w:cs="Arial"/>
                <w:sz w:val="20"/>
              </w:rPr>
              <w:t>Fast Start Finance</w:t>
            </w:r>
          </w:p>
        </w:tc>
      </w:tr>
      <w:tr w:rsidR="00C66C21" w:rsidRPr="001E27BC">
        <w:tc>
          <w:tcPr>
            <w:tcW w:w="209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GCCA</w:t>
            </w:r>
          </w:p>
          <w:p w:rsidR="002559FD" w:rsidRPr="001E27BC" w:rsidRDefault="002559FD" w:rsidP="00863500">
            <w:pPr>
              <w:spacing w:before="20" w:after="20" w:line="252" w:lineRule="auto"/>
              <w:rPr>
                <w:rFonts w:cs="Arial"/>
                <w:sz w:val="20"/>
              </w:rPr>
            </w:pPr>
            <w:r w:rsidRPr="001E27BC">
              <w:rPr>
                <w:rFonts w:cs="Arial"/>
                <w:sz w:val="20"/>
              </w:rPr>
              <w:t>GBS</w:t>
            </w:r>
          </w:p>
        </w:tc>
        <w:tc>
          <w:tcPr>
            <w:tcW w:w="6763" w:type="dxa"/>
            <w:shd w:val="clear" w:color="auto" w:fill="auto"/>
          </w:tcPr>
          <w:p w:rsidR="00C66C21" w:rsidRPr="001E27BC" w:rsidRDefault="00C66C21" w:rsidP="00863500">
            <w:pPr>
              <w:spacing w:before="20" w:after="20" w:line="252" w:lineRule="auto"/>
              <w:rPr>
                <w:rFonts w:cs="Arial"/>
                <w:sz w:val="20"/>
              </w:rPr>
            </w:pPr>
            <w:r w:rsidRPr="001E27BC">
              <w:rPr>
                <w:rFonts w:cs="Arial"/>
                <w:sz w:val="20"/>
              </w:rPr>
              <w:t>Global Climate Change Alliance</w:t>
            </w:r>
          </w:p>
          <w:p w:rsidR="002559FD" w:rsidRPr="001E27BC" w:rsidRDefault="002559FD" w:rsidP="00863500">
            <w:pPr>
              <w:spacing w:before="20" w:after="20" w:line="252" w:lineRule="auto"/>
              <w:rPr>
                <w:rFonts w:cs="Arial"/>
                <w:sz w:val="20"/>
              </w:rPr>
            </w:pPr>
            <w:r w:rsidRPr="001E27BC">
              <w:rPr>
                <w:rFonts w:cs="Arial"/>
                <w:sz w:val="20"/>
              </w:rPr>
              <w:t>General Budgetary Support System</w:t>
            </w:r>
          </w:p>
        </w:tc>
      </w:tr>
      <w:tr w:rsidR="00C66C21" w:rsidRPr="001E27BC">
        <w:tc>
          <w:tcPr>
            <w:tcW w:w="2093" w:type="dxa"/>
            <w:shd w:val="clear" w:color="auto" w:fill="auto"/>
          </w:tcPr>
          <w:p w:rsidR="008B70B5" w:rsidRPr="001E27BC" w:rsidRDefault="008B70B5" w:rsidP="00863500">
            <w:pPr>
              <w:spacing w:before="20" w:after="20" w:line="252" w:lineRule="auto"/>
              <w:rPr>
                <w:rFonts w:cs="Arial"/>
                <w:sz w:val="20"/>
              </w:rPr>
            </w:pPr>
            <w:r w:rsidRPr="001E27BC">
              <w:rPr>
                <w:rFonts w:cs="Arial"/>
                <w:sz w:val="20"/>
              </w:rPr>
              <w:t>GHG</w:t>
            </w:r>
          </w:p>
          <w:p w:rsidR="00C66C21" w:rsidRPr="001E27BC" w:rsidRDefault="00C66C21" w:rsidP="00863500">
            <w:pPr>
              <w:spacing w:before="20" w:after="20" w:line="252" w:lineRule="auto"/>
              <w:rPr>
                <w:rFonts w:cs="Arial"/>
                <w:sz w:val="20"/>
              </w:rPr>
            </w:pPr>
            <w:r w:rsidRPr="001E27BC">
              <w:rPr>
                <w:rFonts w:cs="Arial"/>
                <w:sz w:val="20"/>
              </w:rPr>
              <w:t>GSF</w:t>
            </w:r>
          </w:p>
        </w:tc>
        <w:tc>
          <w:tcPr>
            <w:tcW w:w="6763" w:type="dxa"/>
            <w:shd w:val="clear" w:color="auto" w:fill="auto"/>
          </w:tcPr>
          <w:p w:rsidR="008B70B5" w:rsidRPr="001E27BC" w:rsidRDefault="008B70B5" w:rsidP="00863500">
            <w:pPr>
              <w:spacing w:before="20" w:after="20" w:line="252" w:lineRule="auto"/>
              <w:rPr>
                <w:rFonts w:cs="Arial"/>
                <w:sz w:val="20"/>
              </w:rPr>
            </w:pPr>
            <w:r w:rsidRPr="001E27BC">
              <w:rPr>
                <w:rFonts w:cs="Arial"/>
                <w:sz w:val="20"/>
              </w:rPr>
              <w:t>Green House Gases</w:t>
            </w:r>
          </w:p>
          <w:p w:rsidR="00C66C21" w:rsidRPr="001E27BC" w:rsidRDefault="00C66C21" w:rsidP="00863500">
            <w:pPr>
              <w:spacing w:before="20" w:after="20" w:line="252" w:lineRule="auto"/>
              <w:rPr>
                <w:rFonts w:cs="Arial"/>
                <w:sz w:val="20"/>
              </w:rPr>
            </w:pPr>
            <w:r w:rsidRPr="001E27BC">
              <w:rPr>
                <w:rFonts w:cs="Arial"/>
                <w:sz w:val="20"/>
              </w:rPr>
              <w:t>GCCA Global Support Facility</w:t>
            </w:r>
          </w:p>
        </w:tc>
      </w:tr>
      <w:tr w:rsidR="00C66C21" w:rsidRPr="001E27BC">
        <w:tc>
          <w:tcPr>
            <w:tcW w:w="2093" w:type="dxa"/>
            <w:shd w:val="clear" w:color="auto" w:fill="auto"/>
          </w:tcPr>
          <w:p w:rsidR="000A34D3" w:rsidRPr="00957345" w:rsidRDefault="000A34D3" w:rsidP="00863500">
            <w:pPr>
              <w:spacing w:before="20" w:after="20" w:line="252" w:lineRule="auto"/>
              <w:rPr>
                <w:rFonts w:cs="Arial"/>
                <w:sz w:val="20"/>
                <w:lang w:val="fr-FR"/>
              </w:rPr>
            </w:pPr>
            <w:r w:rsidRPr="00957345">
              <w:rPr>
                <w:rFonts w:cs="Arial"/>
                <w:sz w:val="20"/>
                <w:lang w:val="fr-FR"/>
              </w:rPr>
              <w:t>LDC</w:t>
            </w:r>
          </w:p>
          <w:p w:rsidR="00E14FD8" w:rsidRPr="00957345" w:rsidRDefault="00E14FD8" w:rsidP="00863500">
            <w:pPr>
              <w:spacing w:before="20" w:after="20" w:line="252" w:lineRule="auto"/>
              <w:rPr>
                <w:rFonts w:cs="Arial"/>
                <w:sz w:val="20"/>
                <w:lang w:val="fr-FR"/>
              </w:rPr>
            </w:pPr>
            <w:r w:rsidRPr="00957345">
              <w:rPr>
                <w:rFonts w:cs="Arial"/>
                <w:sz w:val="20"/>
                <w:lang w:val="fr-FR"/>
              </w:rPr>
              <w:t>MDG</w:t>
            </w:r>
          </w:p>
          <w:p w:rsidR="006D60E8" w:rsidRPr="00957345" w:rsidRDefault="006D60E8" w:rsidP="00863500">
            <w:pPr>
              <w:spacing w:before="20" w:after="20" w:line="252" w:lineRule="auto"/>
              <w:rPr>
                <w:rFonts w:cs="Arial"/>
                <w:sz w:val="20"/>
                <w:lang w:val="fr-FR"/>
              </w:rPr>
            </w:pPr>
            <w:r w:rsidRPr="00957345">
              <w:rPr>
                <w:rFonts w:cs="Arial"/>
                <w:sz w:val="20"/>
                <w:lang w:val="fr-FR"/>
              </w:rPr>
              <w:t>MS</w:t>
            </w:r>
          </w:p>
          <w:p w:rsidR="006D60E8" w:rsidRPr="00957345" w:rsidRDefault="006D60E8" w:rsidP="00863500">
            <w:pPr>
              <w:spacing w:before="20" w:after="20" w:line="252" w:lineRule="auto"/>
              <w:rPr>
                <w:rFonts w:cs="Arial"/>
                <w:sz w:val="20"/>
                <w:lang w:val="fr-FR"/>
              </w:rPr>
            </w:pPr>
            <w:r w:rsidRPr="00957345">
              <w:rPr>
                <w:rFonts w:cs="Arial"/>
                <w:sz w:val="20"/>
                <w:lang w:val="fr-FR"/>
              </w:rPr>
              <w:t>NAPA</w:t>
            </w:r>
          </w:p>
          <w:p w:rsidR="0085073D" w:rsidRPr="00957345" w:rsidRDefault="0085073D" w:rsidP="00863500">
            <w:pPr>
              <w:spacing w:before="20" w:after="20" w:line="252" w:lineRule="auto"/>
              <w:rPr>
                <w:rFonts w:cs="Arial"/>
                <w:sz w:val="20"/>
                <w:lang w:val="fr-FR"/>
              </w:rPr>
            </w:pPr>
            <w:r w:rsidRPr="00957345">
              <w:rPr>
                <w:rFonts w:cs="Arial"/>
                <w:sz w:val="20"/>
                <w:lang w:val="fr-FR"/>
              </w:rPr>
              <w:t>NEX</w:t>
            </w:r>
          </w:p>
          <w:p w:rsidR="00D34643" w:rsidRPr="00957345" w:rsidRDefault="00D34643" w:rsidP="00863500">
            <w:pPr>
              <w:spacing w:before="20" w:after="20" w:line="252" w:lineRule="auto"/>
              <w:rPr>
                <w:rFonts w:cs="Arial"/>
                <w:sz w:val="20"/>
                <w:lang w:val="fr-FR"/>
              </w:rPr>
            </w:pPr>
            <w:r w:rsidRPr="00957345">
              <w:rPr>
                <w:rFonts w:cs="Arial"/>
                <w:sz w:val="20"/>
                <w:lang w:val="fr-FR"/>
              </w:rPr>
              <w:t>NSA</w:t>
            </w:r>
          </w:p>
          <w:p w:rsidR="0085073D" w:rsidRPr="00957345" w:rsidRDefault="0085073D" w:rsidP="00863500">
            <w:pPr>
              <w:spacing w:before="20" w:after="20" w:line="252" w:lineRule="auto"/>
              <w:rPr>
                <w:rFonts w:cs="Arial"/>
                <w:sz w:val="20"/>
                <w:lang w:val="fr-FR"/>
              </w:rPr>
            </w:pPr>
            <w:r w:rsidRPr="00957345">
              <w:rPr>
                <w:rFonts w:cs="Arial"/>
                <w:sz w:val="20"/>
                <w:lang w:val="fr-FR"/>
              </w:rPr>
              <w:t>PAF</w:t>
            </w:r>
          </w:p>
          <w:p w:rsidR="009D4C4F" w:rsidRPr="001E27BC" w:rsidRDefault="009D4C4F" w:rsidP="00863500">
            <w:pPr>
              <w:spacing w:before="20" w:after="20" w:line="252" w:lineRule="auto"/>
              <w:rPr>
                <w:rFonts w:cs="Arial"/>
                <w:sz w:val="20"/>
              </w:rPr>
            </w:pPr>
            <w:r w:rsidRPr="001E27BC">
              <w:rPr>
                <w:rFonts w:cs="Arial"/>
                <w:sz w:val="20"/>
              </w:rPr>
              <w:t>PSIS</w:t>
            </w:r>
          </w:p>
          <w:p w:rsidR="00C66C21" w:rsidRPr="001E27BC" w:rsidRDefault="00C66C21" w:rsidP="00863500">
            <w:pPr>
              <w:spacing w:before="20" w:after="20" w:line="252" w:lineRule="auto"/>
              <w:rPr>
                <w:rFonts w:cs="Arial"/>
                <w:sz w:val="20"/>
              </w:rPr>
            </w:pPr>
            <w:r w:rsidRPr="001E27BC">
              <w:rPr>
                <w:rFonts w:cs="Arial"/>
                <w:sz w:val="20"/>
              </w:rPr>
              <w:t>REDD</w:t>
            </w:r>
          </w:p>
        </w:tc>
        <w:tc>
          <w:tcPr>
            <w:tcW w:w="6763" w:type="dxa"/>
            <w:shd w:val="clear" w:color="auto" w:fill="auto"/>
          </w:tcPr>
          <w:p w:rsidR="000A34D3" w:rsidRPr="001E27BC" w:rsidRDefault="000A34D3" w:rsidP="00863500">
            <w:pPr>
              <w:spacing w:before="20" w:after="20" w:line="252" w:lineRule="auto"/>
              <w:rPr>
                <w:rFonts w:cs="Arial"/>
                <w:sz w:val="20"/>
              </w:rPr>
            </w:pPr>
            <w:r w:rsidRPr="001E27BC">
              <w:rPr>
                <w:rFonts w:cs="Arial"/>
                <w:sz w:val="20"/>
              </w:rPr>
              <w:t>Least Developed Country</w:t>
            </w:r>
          </w:p>
          <w:p w:rsidR="00E14FD8" w:rsidRPr="001E27BC" w:rsidRDefault="00824E57" w:rsidP="00863500">
            <w:pPr>
              <w:spacing w:before="20" w:after="20" w:line="252" w:lineRule="auto"/>
              <w:rPr>
                <w:rFonts w:cs="Arial"/>
                <w:sz w:val="20"/>
              </w:rPr>
            </w:pPr>
            <w:r w:rsidRPr="001E27BC">
              <w:rPr>
                <w:rFonts w:cs="Arial"/>
                <w:sz w:val="20"/>
              </w:rPr>
              <w:t>Millennium</w:t>
            </w:r>
            <w:r w:rsidR="00E14FD8" w:rsidRPr="001E27BC">
              <w:rPr>
                <w:rFonts w:cs="Arial"/>
                <w:sz w:val="20"/>
              </w:rPr>
              <w:t xml:space="preserve"> Development Goal</w:t>
            </w:r>
          </w:p>
          <w:p w:rsidR="006D60E8" w:rsidRPr="001E27BC" w:rsidRDefault="006D60E8" w:rsidP="00863500">
            <w:pPr>
              <w:spacing w:before="20" w:after="20" w:line="252" w:lineRule="auto"/>
              <w:rPr>
                <w:rFonts w:cs="Arial"/>
                <w:sz w:val="20"/>
              </w:rPr>
            </w:pPr>
            <w:r w:rsidRPr="001E27BC">
              <w:rPr>
                <w:rFonts w:cs="Arial"/>
                <w:sz w:val="20"/>
              </w:rPr>
              <w:t>Member State</w:t>
            </w:r>
          </w:p>
          <w:p w:rsidR="006D60E8" w:rsidRPr="001E27BC" w:rsidRDefault="006D60E8" w:rsidP="00863500">
            <w:pPr>
              <w:spacing w:before="20" w:after="20" w:line="252" w:lineRule="auto"/>
              <w:rPr>
                <w:rFonts w:cs="Arial"/>
                <w:sz w:val="20"/>
              </w:rPr>
            </w:pPr>
            <w:r w:rsidRPr="001E27BC">
              <w:rPr>
                <w:rFonts w:cs="Arial"/>
                <w:sz w:val="20"/>
              </w:rPr>
              <w:t>National Adaptation Programme of Action</w:t>
            </w:r>
          </w:p>
          <w:p w:rsidR="0085073D" w:rsidRPr="001E27BC" w:rsidRDefault="0085073D" w:rsidP="00863500">
            <w:pPr>
              <w:spacing w:before="20" w:after="20" w:line="252" w:lineRule="auto"/>
              <w:rPr>
                <w:rFonts w:cs="Arial"/>
                <w:sz w:val="20"/>
              </w:rPr>
            </w:pPr>
            <w:r w:rsidRPr="001E27BC">
              <w:rPr>
                <w:rFonts w:cs="Arial"/>
                <w:sz w:val="20"/>
              </w:rPr>
              <w:t>National Execution</w:t>
            </w:r>
          </w:p>
          <w:p w:rsidR="00D34643" w:rsidRPr="001E27BC" w:rsidRDefault="00D34643" w:rsidP="00863500">
            <w:pPr>
              <w:spacing w:before="20" w:after="20" w:line="252" w:lineRule="auto"/>
              <w:rPr>
                <w:rFonts w:cs="Arial"/>
                <w:sz w:val="20"/>
              </w:rPr>
            </w:pPr>
            <w:r w:rsidRPr="001E27BC">
              <w:rPr>
                <w:rFonts w:cs="Arial"/>
                <w:sz w:val="20"/>
              </w:rPr>
              <w:t>Non State Actor</w:t>
            </w:r>
          </w:p>
          <w:p w:rsidR="0085073D" w:rsidRPr="001E27BC" w:rsidRDefault="0085073D" w:rsidP="00863500">
            <w:pPr>
              <w:spacing w:before="20" w:after="20" w:line="252" w:lineRule="auto"/>
              <w:rPr>
                <w:rFonts w:cs="Arial"/>
                <w:sz w:val="20"/>
              </w:rPr>
            </w:pPr>
            <w:r w:rsidRPr="001E27BC">
              <w:rPr>
                <w:rFonts w:cs="Arial"/>
                <w:sz w:val="20"/>
              </w:rPr>
              <w:t>Performance Assessment Framework</w:t>
            </w:r>
          </w:p>
          <w:p w:rsidR="009D4C4F" w:rsidRPr="001E27BC" w:rsidRDefault="009D4C4F" w:rsidP="00863500">
            <w:pPr>
              <w:spacing w:before="20" w:after="20" w:line="252" w:lineRule="auto"/>
              <w:rPr>
                <w:rFonts w:cs="Arial"/>
                <w:sz w:val="20"/>
              </w:rPr>
            </w:pPr>
            <w:r w:rsidRPr="001E27BC">
              <w:rPr>
                <w:rFonts w:cs="Arial"/>
                <w:sz w:val="20"/>
              </w:rPr>
              <w:t>Pacific Small Island State</w:t>
            </w:r>
          </w:p>
          <w:p w:rsidR="00E12B5F" w:rsidRPr="001E27BC" w:rsidRDefault="00C66C21" w:rsidP="00863500">
            <w:pPr>
              <w:spacing w:before="20" w:after="20" w:line="252" w:lineRule="auto"/>
              <w:rPr>
                <w:rFonts w:cs="Arial"/>
                <w:sz w:val="20"/>
              </w:rPr>
            </w:pPr>
            <w:r w:rsidRPr="001E27BC">
              <w:rPr>
                <w:rFonts w:cs="Arial"/>
                <w:sz w:val="20"/>
              </w:rPr>
              <w:t>Reducing Emissions from Deforestation and Forest Degradation</w:t>
            </w:r>
          </w:p>
        </w:tc>
      </w:tr>
      <w:tr w:rsidR="00C66C21" w:rsidRPr="001E27BC">
        <w:trPr>
          <w:trHeight w:val="2974"/>
        </w:trPr>
        <w:tc>
          <w:tcPr>
            <w:tcW w:w="2093" w:type="dxa"/>
            <w:shd w:val="clear" w:color="auto" w:fill="auto"/>
          </w:tcPr>
          <w:p w:rsidR="00957DC7" w:rsidRPr="001E27BC" w:rsidRDefault="00896618" w:rsidP="00863500">
            <w:pPr>
              <w:spacing w:before="20" w:after="20" w:line="252" w:lineRule="auto"/>
              <w:rPr>
                <w:rFonts w:cs="Arial"/>
                <w:sz w:val="20"/>
              </w:rPr>
            </w:pPr>
            <w:r w:rsidRPr="001E27BC">
              <w:rPr>
                <w:rFonts w:cs="Arial"/>
                <w:sz w:val="20"/>
              </w:rPr>
              <w:t>ROM</w:t>
            </w:r>
          </w:p>
          <w:p w:rsidR="000A34D3" w:rsidRPr="001E27BC" w:rsidRDefault="00896618" w:rsidP="00863500">
            <w:pPr>
              <w:spacing w:before="20" w:after="20" w:line="252" w:lineRule="auto"/>
              <w:rPr>
                <w:rFonts w:cs="Arial"/>
                <w:sz w:val="20"/>
              </w:rPr>
            </w:pPr>
            <w:r w:rsidRPr="001E27BC">
              <w:rPr>
                <w:rFonts w:cs="Arial"/>
                <w:sz w:val="20"/>
              </w:rPr>
              <w:t>SIDS</w:t>
            </w:r>
          </w:p>
          <w:p w:rsidR="009D4C4F" w:rsidRPr="001E27BC" w:rsidRDefault="009D4C4F" w:rsidP="00863500">
            <w:pPr>
              <w:spacing w:before="20" w:after="20" w:line="252" w:lineRule="auto"/>
              <w:rPr>
                <w:rFonts w:cs="Arial"/>
                <w:sz w:val="20"/>
              </w:rPr>
            </w:pPr>
            <w:r w:rsidRPr="001E27BC">
              <w:rPr>
                <w:rFonts w:cs="Arial"/>
                <w:sz w:val="20"/>
              </w:rPr>
              <w:t>SPC</w:t>
            </w:r>
          </w:p>
          <w:p w:rsidR="00957DC7" w:rsidRPr="001E27BC" w:rsidRDefault="00896618" w:rsidP="00863500">
            <w:pPr>
              <w:spacing w:before="20" w:after="20" w:line="252" w:lineRule="auto"/>
              <w:rPr>
                <w:rFonts w:cs="Arial"/>
                <w:sz w:val="20"/>
              </w:rPr>
            </w:pPr>
            <w:r w:rsidRPr="001E27BC">
              <w:rPr>
                <w:rFonts w:cs="Arial"/>
                <w:sz w:val="20"/>
              </w:rPr>
              <w:t>TA</w:t>
            </w:r>
          </w:p>
          <w:p w:rsidR="00957DC7" w:rsidRPr="001E27BC" w:rsidRDefault="00896618" w:rsidP="00863500">
            <w:pPr>
              <w:spacing w:before="20" w:after="20" w:line="252" w:lineRule="auto"/>
              <w:rPr>
                <w:rFonts w:cs="Arial"/>
                <w:sz w:val="20"/>
              </w:rPr>
            </w:pPr>
            <w:r w:rsidRPr="001E27BC">
              <w:rPr>
                <w:rFonts w:cs="Arial"/>
                <w:sz w:val="20"/>
              </w:rPr>
              <w:t>ToR</w:t>
            </w:r>
          </w:p>
          <w:p w:rsidR="005D4037" w:rsidRPr="001E27BC" w:rsidRDefault="005D4037" w:rsidP="00863500">
            <w:pPr>
              <w:spacing w:before="20" w:after="20" w:line="252" w:lineRule="auto"/>
              <w:rPr>
                <w:rFonts w:cs="Arial"/>
                <w:sz w:val="20"/>
              </w:rPr>
            </w:pPr>
            <w:r w:rsidRPr="001E27BC">
              <w:rPr>
                <w:rFonts w:cs="Arial"/>
                <w:sz w:val="20"/>
              </w:rPr>
              <w:t>UNDP</w:t>
            </w:r>
          </w:p>
          <w:p w:rsidR="00C66C21" w:rsidRPr="001E27BC" w:rsidRDefault="00C66C21" w:rsidP="00863500">
            <w:pPr>
              <w:spacing w:before="20" w:after="20" w:line="252" w:lineRule="auto"/>
              <w:rPr>
                <w:rFonts w:cs="Arial"/>
                <w:sz w:val="20"/>
              </w:rPr>
            </w:pPr>
            <w:r w:rsidRPr="001E27BC">
              <w:rPr>
                <w:rFonts w:cs="Arial"/>
                <w:sz w:val="20"/>
              </w:rPr>
              <w:t>UNFCCC</w:t>
            </w:r>
          </w:p>
          <w:p w:rsidR="005D4037" w:rsidRPr="001E27BC" w:rsidRDefault="005D4037" w:rsidP="00863500">
            <w:pPr>
              <w:spacing w:before="20" w:after="20" w:line="252" w:lineRule="auto"/>
              <w:rPr>
                <w:rFonts w:cs="Arial"/>
                <w:sz w:val="20"/>
              </w:rPr>
            </w:pPr>
            <w:r w:rsidRPr="001E27BC">
              <w:rPr>
                <w:rFonts w:cs="Arial"/>
                <w:sz w:val="20"/>
              </w:rPr>
              <w:t>USAID</w:t>
            </w:r>
          </w:p>
          <w:p w:rsidR="006D60E8" w:rsidRPr="001E27BC" w:rsidRDefault="006D60E8" w:rsidP="00863500">
            <w:pPr>
              <w:spacing w:before="20" w:after="20" w:line="252" w:lineRule="auto"/>
              <w:rPr>
                <w:rFonts w:cs="Arial"/>
                <w:sz w:val="20"/>
              </w:rPr>
            </w:pPr>
            <w:r w:rsidRPr="001E27BC">
              <w:rPr>
                <w:rFonts w:cs="Arial"/>
                <w:sz w:val="20"/>
              </w:rPr>
              <w:t>WB</w:t>
            </w:r>
          </w:p>
        </w:tc>
        <w:tc>
          <w:tcPr>
            <w:tcW w:w="6763" w:type="dxa"/>
            <w:shd w:val="clear" w:color="auto" w:fill="auto"/>
          </w:tcPr>
          <w:p w:rsidR="00957DC7" w:rsidRPr="001E27BC" w:rsidRDefault="00957DC7" w:rsidP="00863500">
            <w:pPr>
              <w:spacing w:before="20" w:after="20" w:line="252" w:lineRule="auto"/>
              <w:rPr>
                <w:rFonts w:cs="Arial"/>
                <w:sz w:val="20"/>
              </w:rPr>
            </w:pPr>
            <w:r w:rsidRPr="001E27BC">
              <w:rPr>
                <w:rFonts w:cs="Arial"/>
                <w:sz w:val="20"/>
              </w:rPr>
              <w:t>Result Oriented Monitoring</w:t>
            </w:r>
          </w:p>
          <w:p w:rsidR="000A34D3" w:rsidRPr="001E27BC" w:rsidRDefault="000A34D3" w:rsidP="00863500">
            <w:pPr>
              <w:spacing w:before="20" w:after="20" w:line="252" w:lineRule="auto"/>
              <w:rPr>
                <w:rFonts w:cs="Arial"/>
                <w:sz w:val="20"/>
              </w:rPr>
            </w:pPr>
            <w:r w:rsidRPr="001E27BC">
              <w:rPr>
                <w:rFonts w:cs="Arial"/>
                <w:sz w:val="20"/>
              </w:rPr>
              <w:t>Small Island Development State</w:t>
            </w:r>
          </w:p>
          <w:p w:rsidR="009D4C4F" w:rsidRPr="001E27BC" w:rsidRDefault="009D4C4F" w:rsidP="00863500">
            <w:pPr>
              <w:spacing w:before="20" w:after="20" w:line="252" w:lineRule="auto"/>
              <w:rPr>
                <w:rFonts w:cs="Arial"/>
                <w:sz w:val="20"/>
              </w:rPr>
            </w:pPr>
            <w:r w:rsidRPr="001E27BC">
              <w:rPr>
                <w:rFonts w:cs="Arial"/>
                <w:sz w:val="20"/>
              </w:rPr>
              <w:t>Secretariat of the Pacific Community</w:t>
            </w:r>
          </w:p>
          <w:p w:rsidR="00957DC7" w:rsidRPr="001E27BC" w:rsidRDefault="00957DC7" w:rsidP="00863500">
            <w:pPr>
              <w:spacing w:before="20" w:after="20" w:line="252" w:lineRule="auto"/>
              <w:rPr>
                <w:rFonts w:cs="Arial"/>
                <w:sz w:val="20"/>
              </w:rPr>
            </w:pPr>
            <w:r w:rsidRPr="001E27BC">
              <w:rPr>
                <w:rFonts w:cs="Arial"/>
                <w:sz w:val="20"/>
              </w:rPr>
              <w:t>Technical Assistance</w:t>
            </w:r>
          </w:p>
          <w:p w:rsidR="00957DC7" w:rsidRPr="001E27BC" w:rsidRDefault="00957DC7" w:rsidP="00863500">
            <w:pPr>
              <w:spacing w:before="20" w:after="20" w:line="252" w:lineRule="auto"/>
              <w:rPr>
                <w:rFonts w:cs="Arial"/>
                <w:sz w:val="20"/>
              </w:rPr>
            </w:pPr>
            <w:r w:rsidRPr="001E27BC">
              <w:rPr>
                <w:rFonts w:cs="Arial"/>
                <w:sz w:val="20"/>
              </w:rPr>
              <w:t>Terms of Reference</w:t>
            </w:r>
          </w:p>
          <w:p w:rsidR="005D4037" w:rsidRPr="001E27BC" w:rsidRDefault="005D4037" w:rsidP="00863500">
            <w:pPr>
              <w:spacing w:before="20" w:after="20" w:line="252" w:lineRule="auto"/>
              <w:rPr>
                <w:rFonts w:cs="Arial"/>
                <w:sz w:val="20"/>
              </w:rPr>
            </w:pPr>
            <w:r w:rsidRPr="001E27BC">
              <w:rPr>
                <w:rFonts w:cs="Arial"/>
                <w:sz w:val="20"/>
              </w:rPr>
              <w:t>United Nations Development Programme</w:t>
            </w:r>
          </w:p>
          <w:p w:rsidR="00C66C21" w:rsidRPr="001E27BC" w:rsidRDefault="00C66C21" w:rsidP="00863500">
            <w:pPr>
              <w:spacing w:before="20" w:after="20" w:line="252" w:lineRule="auto"/>
              <w:rPr>
                <w:rFonts w:cs="Arial"/>
                <w:sz w:val="20"/>
              </w:rPr>
            </w:pPr>
            <w:r w:rsidRPr="001E27BC">
              <w:rPr>
                <w:rFonts w:cs="Arial"/>
                <w:sz w:val="20"/>
              </w:rPr>
              <w:t>United Nations Framework Convention on Climate Change</w:t>
            </w:r>
          </w:p>
          <w:p w:rsidR="005D4037" w:rsidRPr="001E27BC" w:rsidRDefault="005D4037" w:rsidP="00863500">
            <w:pPr>
              <w:spacing w:before="20" w:after="20" w:line="252" w:lineRule="auto"/>
              <w:rPr>
                <w:rFonts w:cs="Arial"/>
                <w:sz w:val="20"/>
              </w:rPr>
            </w:pPr>
            <w:r w:rsidRPr="001E27BC">
              <w:rPr>
                <w:rFonts w:cs="Arial"/>
                <w:sz w:val="20"/>
              </w:rPr>
              <w:t>United States Agency for International Development</w:t>
            </w:r>
          </w:p>
          <w:p w:rsidR="00D34643" w:rsidRPr="001E27BC" w:rsidRDefault="006D60E8" w:rsidP="00863500">
            <w:pPr>
              <w:spacing w:before="20" w:after="20" w:line="252" w:lineRule="auto"/>
              <w:rPr>
                <w:rFonts w:cs="Arial"/>
                <w:sz w:val="20"/>
              </w:rPr>
            </w:pPr>
            <w:r w:rsidRPr="001E27BC">
              <w:rPr>
                <w:rFonts w:cs="Arial"/>
                <w:sz w:val="20"/>
              </w:rPr>
              <w:t>World Bank</w:t>
            </w:r>
          </w:p>
        </w:tc>
      </w:tr>
    </w:tbl>
    <w:p w:rsidR="002930FB" w:rsidRPr="001E27BC" w:rsidRDefault="00BF7A62" w:rsidP="003936A6">
      <w:pPr>
        <w:pStyle w:val="Heading1"/>
      </w:pPr>
      <w:r w:rsidRPr="001E27BC" w:rsidDel="00BF7A62">
        <w:rPr>
          <w:vanish/>
          <w:highlight w:val="lightGray"/>
        </w:rPr>
        <w:t xml:space="preserve"> </w:t>
      </w:r>
      <w:r w:rsidR="00A71405" w:rsidRPr="001E27BC">
        <w:rPr>
          <w:highlight w:val="lightGray"/>
        </w:rPr>
        <w:br w:type="page"/>
      </w:r>
      <w:bookmarkStart w:id="5" w:name="_Toc284767303"/>
      <w:r w:rsidR="002930FB" w:rsidRPr="001E27BC">
        <w:t>Executive Summary</w:t>
      </w:r>
      <w:bookmarkEnd w:id="5"/>
    </w:p>
    <w:p w:rsidR="00717EB6" w:rsidRPr="0035462B" w:rsidRDefault="00717EB6" w:rsidP="00717EB6">
      <w:pPr>
        <w:autoSpaceDE w:val="0"/>
        <w:autoSpaceDN w:val="0"/>
        <w:rPr>
          <w:color w:val="1A1A18"/>
          <w:sz w:val="22"/>
        </w:rPr>
      </w:pPr>
      <w:r w:rsidRPr="0035462B">
        <w:rPr>
          <w:color w:val="1A1A18"/>
          <w:sz w:val="22"/>
        </w:rPr>
        <w:t xml:space="preserve">The Global Climate Change Alliance (GCCA) is a European Policy initiative </w:t>
      </w:r>
      <w:r>
        <w:rPr>
          <w:color w:val="1A1A18"/>
          <w:sz w:val="22"/>
        </w:rPr>
        <w:t xml:space="preserve">that was started </w:t>
      </w:r>
      <w:r w:rsidRPr="0035462B">
        <w:rPr>
          <w:color w:val="1A1A18"/>
          <w:sz w:val="22"/>
        </w:rPr>
        <w:t>in 2007 by the Communication from the European Commission to the Council and the European Parliament “</w:t>
      </w:r>
      <w:r w:rsidRPr="0035462B">
        <w:rPr>
          <w:b/>
          <w:i/>
          <w:color w:val="1A1A18"/>
          <w:sz w:val="22"/>
        </w:rPr>
        <w:t>Building a Global Climate Change Alliance between the European Union and poor developing countries most vulnerable to climate change</w:t>
      </w:r>
      <w:r w:rsidRPr="0035462B">
        <w:rPr>
          <w:color w:val="1A1A18"/>
          <w:sz w:val="22"/>
        </w:rPr>
        <w:t xml:space="preserve">”. The GCCA intervenes in the five priority areas of (1) Mainstreaming climate change into poverty reduction and development efforts; (2) Adaptation; (3) Disaster Risk Reduction (DRR); (4) Reducing Emissions from Deforestation and Forest Degradation (REDD); and (5) Enhancing participation in the global carbon market. The GCCA supports over 50 programmes to address climate change in more than 35 countries and four regions across the globe. </w:t>
      </w:r>
    </w:p>
    <w:p w:rsidR="00717EB6" w:rsidRPr="0035462B" w:rsidRDefault="00717EB6" w:rsidP="00717EB6">
      <w:pPr>
        <w:autoSpaceDE w:val="0"/>
        <w:autoSpaceDN w:val="0"/>
        <w:rPr>
          <w:color w:val="1A1A18"/>
          <w:sz w:val="22"/>
        </w:rPr>
      </w:pPr>
      <w:r w:rsidRPr="0035462B">
        <w:rPr>
          <w:color w:val="1A1A18"/>
          <w:sz w:val="22"/>
        </w:rPr>
        <w:t xml:space="preserve">This report presents findings, conclusions and recommendations of the Evaluation of the </w:t>
      </w:r>
      <w:r>
        <w:rPr>
          <w:color w:val="1A1A18"/>
          <w:sz w:val="22"/>
        </w:rPr>
        <w:t>GCCA</w:t>
      </w:r>
      <w:r w:rsidRPr="0035462B">
        <w:rPr>
          <w:color w:val="1A1A18"/>
          <w:sz w:val="22"/>
        </w:rPr>
        <w:t xml:space="preserve">, which was combined with a Mid-Term Assessment </w:t>
      </w:r>
      <w:r>
        <w:rPr>
          <w:color w:val="1A1A18"/>
          <w:sz w:val="22"/>
        </w:rPr>
        <w:t xml:space="preserve">(MTA) </w:t>
      </w:r>
      <w:r w:rsidRPr="0035462B">
        <w:rPr>
          <w:color w:val="1A1A18"/>
          <w:sz w:val="22"/>
        </w:rPr>
        <w:t xml:space="preserve">of the Intra-ACP GCCA programme, an important operational programme under the GCCA with separate funding from the Intra ACP budget. The </w:t>
      </w:r>
      <w:r w:rsidRPr="007112B0">
        <w:rPr>
          <w:color w:val="1A1A18"/>
          <w:sz w:val="22"/>
        </w:rPr>
        <w:t xml:space="preserve">evaluators assessed </w:t>
      </w:r>
      <w:r w:rsidRPr="007112B0">
        <w:rPr>
          <w:b/>
          <w:i/>
          <w:color w:val="1A1A18"/>
          <w:sz w:val="22"/>
        </w:rPr>
        <w:t>a sample of six regional, ten national GCCA programmes and two support facilities</w:t>
      </w:r>
      <w:r w:rsidRPr="007112B0">
        <w:rPr>
          <w:color w:val="1A1A18"/>
          <w:sz w:val="22"/>
        </w:rPr>
        <w:t>. The report is one of the final outputs of the GCCA Evaluation. The M</w:t>
      </w:r>
      <w:r>
        <w:rPr>
          <w:color w:val="1A1A18"/>
          <w:sz w:val="22"/>
        </w:rPr>
        <w:t xml:space="preserve">TA </w:t>
      </w:r>
      <w:r w:rsidRPr="007112B0">
        <w:rPr>
          <w:color w:val="1A1A18"/>
          <w:sz w:val="22"/>
        </w:rPr>
        <w:t>of the Intra</w:t>
      </w:r>
      <w:r>
        <w:rPr>
          <w:color w:val="1A1A18"/>
          <w:sz w:val="22"/>
        </w:rPr>
        <w:t>-ACP programme was submitted separately; however, for reference purposes, the Executive</w:t>
      </w:r>
      <w:r w:rsidRPr="0035462B">
        <w:rPr>
          <w:color w:val="1A1A18"/>
          <w:sz w:val="22"/>
        </w:rPr>
        <w:t xml:space="preserve"> </w:t>
      </w:r>
      <w:r>
        <w:rPr>
          <w:color w:val="1A1A18"/>
          <w:sz w:val="22"/>
        </w:rPr>
        <w:t>S</w:t>
      </w:r>
      <w:r w:rsidRPr="0035462B">
        <w:rPr>
          <w:color w:val="1A1A18"/>
          <w:sz w:val="22"/>
        </w:rPr>
        <w:t xml:space="preserve">ummary of the Intra-ACP GCCA </w:t>
      </w:r>
      <w:r>
        <w:rPr>
          <w:color w:val="1A1A18"/>
          <w:sz w:val="22"/>
        </w:rPr>
        <w:t>Mid-Term Assessment</w:t>
      </w:r>
      <w:r w:rsidRPr="0035462B">
        <w:rPr>
          <w:color w:val="1A1A18"/>
          <w:sz w:val="22"/>
        </w:rPr>
        <w:t xml:space="preserve"> is included </w:t>
      </w:r>
      <w:r>
        <w:rPr>
          <w:color w:val="1A1A18"/>
          <w:sz w:val="22"/>
        </w:rPr>
        <w:t xml:space="preserve">in the GCCA Report </w:t>
      </w:r>
      <w:r w:rsidRPr="0035462B">
        <w:rPr>
          <w:color w:val="1A1A18"/>
          <w:sz w:val="22"/>
        </w:rPr>
        <w:t>a</w:t>
      </w:r>
      <w:r>
        <w:rPr>
          <w:color w:val="1A1A18"/>
          <w:sz w:val="22"/>
        </w:rPr>
        <w:t>s Annex 9</w:t>
      </w:r>
      <w:r w:rsidRPr="0035462B">
        <w:rPr>
          <w:color w:val="1A1A18"/>
          <w:sz w:val="22"/>
        </w:rPr>
        <w:t>.</w:t>
      </w:r>
    </w:p>
    <w:p w:rsidR="00717EB6" w:rsidRPr="00730219" w:rsidRDefault="00717EB6" w:rsidP="00730219">
      <w:pPr>
        <w:rPr>
          <w:rStyle w:val="BodyTextChar"/>
          <w:rFonts w:eastAsia="Calibri"/>
        </w:rPr>
      </w:pPr>
      <w:r w:rsidRPr="00730219">
        <w:rPr>
          <w:rStyle w:val="BodyTextChar"/>
          <w:rFonts w:eastAsia="Calibri"/>
          <w:b/>
        </w:rPr>
        <w:t>Main findings and conclusions</w:t>
      </w:r>
    </w:p>
    <w:p w:rsidR="00717EB6" w:rsidRPr="00DA75B5" w:rsidRDefault="00717EB6" w:rsidP="00717EB6">
      <w:pPr>
        <w:autoSpaceDE w:val="0"/>
        <w:autoSpaceDN w:val="0"/>
        <w:rPr>
          <w:color w:val="1A1A18"/>
          <w:sz w:val="22"/>
        </w:rPr>
      </w:pPr>
      <w:r w:rsidRPr="0035462B">
        <w:rPr>
          <w:color w:val="1A1A18"/>
          <w:sz w:val="22"/>
        </w:rPr>
        <w:t>The GCCA focuses on providing assistance to Least Developed Countries (LDCs) and Small Island Developing States (SIDS) in undertaking climate change adaptation or mitigation actions. Overall, the GCCA was found to respond well to actual demands from beneficiary countries, both in terms of di</w:t>
      </w:r>
      <w:r w:rsidRPr="0035462B">
        <w:rPr>
          <w:color w:val="1A1A18"/>
          <w:sz w:val="22"/>
        </w:rPr>
        <w:t>a</w:t>
      </w:r>
      <w:r w:rsidRPr="0035462B">
        <w:rPr>
          <w:color w:val="1A1A18"/>
          <w:sz w:val="22"/>
        </w:rPr>
        <w:t xml:space="preserve">logue and negotiations and </w:t>
      </w:r>
      <w:r>
        <w:rPr>
          <w:color w:val="1A1A18"/>
          <w:sz w:val="22"/>
        </w:rPr>
        <w:t xml:space="preserve">in terms </w:t>
      </w:r>
      <w:r w:rsidRPr="0035462B">
        <w:rPr>
          <w:color w:val="1A1A18"/>
          <w:sz w:val="22"/>
        </w:rPr>
        <w:t xml:space="preserve">of tangible action. In most cases, </w:t>
      </w:r>
      <w:r w:rsidRPr="0035462B">
        <w:rPr>
          <w:b/>
          <w:i/>
          <w:color w:val="1A1A18"/>
          <w:sz w:val="22"/>
        </w:rPr>
        <w:t>the GCCA funds have strengt</w:t>
      </w:r>
      <w:r w:rsidRPr="0035462B">
        <w:rPr>
          <w:b/>
          <w:i/>
          <w:color w:val="1A1A18"/>
          <w:sz w:val="22"/>
        </w:rPr>
        <w:t>h</w:t>
      </w:r>
      <w:r w:rsidRPr="0035462B">
        <w:rPr>
          <w:b/>
          <w:i/>
          <w:color w:val="1A1A18"/>
          <w:sz w:val="22"/>
        </w:rPr>
        <w:t xml:space="preserve">ened actions led by EU MS </w:t>
      </w:r>
      <w:r w:rsidRPr="0035462B">
        <w:rPr>
          <w:color w:val="1A1A18"/>
          <w:sz w:val="22"/>
        </w:rPr>
        <w:t xml:space="preserve">(DFID, Danida, </w:t>
      </w:r>
      <w:r w:rsidRPr="00DA75B5">
        <w:rPr>
          <w:color w:val="1A1A18"/>
          <w:sz w:val="22"/>
        </w:rPr>
        <w:t xml:space="preserve">AFD, GIZ and others) </w:t>
      </w:r>
      <w:r w:rsidRPr="00DA75B5">
        <w:rPr>
          <w:b/>
          <w:i/>
          <w:color w:val="1A1A18"/>
          <w:sz w:val="22"/>
        </w:rPr>
        <w:t>and multilateral agencies</w:t>
      </w:r>
      <w:r w:rsidRPr="00DA75B5">
        <w:rPr>
          <w:color w:val="1A1A18"/>
          <w:sz w:val="22"/>
        </w:rPr>
        <w:t>, be</w:t>
      </w:r>
      <w:r w:rsidRPr="00DA75B5">
        <w:rPr>
          <w:color w:val="1A1A18"/>
          <w:sz w:val="22"/>
        </w:rPr>
        <w:t>n</w:t>
      </w:r>
      <w:r w:rsidRPr="00DA75B5">
        <w:rPr>
          <w:color w:val="1A1A18"/>
          <w:sz w:val="22"/>
        </w:rPr>
        <w:t>efiting from existing structures and systems, which resulted in relatively quick results. The MS have seen their climate initiatives strengthened by the funding and policy support provided through the GCCA</w:t>
      </w:r>
      <w:r>
        <w:rPr>
          <w:color w:val="1A1A18"/>
          <w:sz w:val="22"/>
        </w:rPr>
        <w:t xml:space="preserve">. Examples of this would be </w:t>
      </w:r>
      <w:r w:rsidRPr="00DA75B5">
        <w:rPr>
          <w:color w:val="1A1A18"/>
          <w:sz w:val="22"/>
        </w:rPr>
        <w:t xml:space="preserve">the DFID-supported climate resilience programme in Nepal, which promotes use of Local Adaptation Plans of Action, </w:t>
      </w:r>
      <w:r>
        <w:rPr>
          <w:color w:val="1A1A18"/>
          <w:sz w:val="22"/>
        </w:rPr>
        <w:t>and</w:t>
      </w:r>
      <w:r w:rsidRPr="00DA75B5">
        <w:rPr>
          <w:color w:val="1A1A18"/>
          <w:sz w:val="22"/>
        </w:rPr>
        <w:t xml:space="preserve"> the GIZ supported Sustainable Land Manag</w:t>
      </w:r>
      <w:r w:rsidRPr="00DA75B5">
        <w:rPr>
          <w:color w:val="1A1A18"/>
          <w:sz w:val="22"/>
        </w:rPr>
        <w:t>e</w:t>
      </w:r>
      <w:r w:rsidRPr="00DA75B5">
        <w:rPr>
          <w:color w:val="1A1A18"/>
          <w:sz w:val="22"/>
        </w:rPr>
        <w:t>ment Programme in Ethiopia, where the GCCA is pilot-testing climate change activities and contr</w:t>
      </w:r>
      <w:r w:rsidRPr="00DA75B5">
        <w:rPr>
          <w:color w:val="1A1A18"/>
          <w:sz w:val="22"/>
        </w:rPr>
        <w:t>i</w:t>
      </w:r>
      <w:r w:rsidRPr="00DA75B5">
        <w:rPr>
          <w:color w:val="1A1A18"/>
          <w:sz w:val="22"/>
        </w:rPr>
        <w:t>butes to the achievement of Ethiopia's Climate Resilient Green Economy (CRGE) strategy. Neverth</w:t>
      </w:r>
      <w:r w:rsidRPr="00DA75B5">
        <w:rPr>
          <w:color w:val="1A1A18"/>
          <w:sz w:val="22"/>
        </w:rPr>
        <w:t>e</w:t>
      </w:r>
      <w:r w:rsidRPr="00DA75B5">
        <w:rPr>
          <w:color w:val="1A1A18"/>
          <w:sz w:val="22"/>
        </w:rPr>
        <w:t>less</w:t>
      </w:r>
      <w:r>
        <w:rPr>
          <w:color w:val="1A1A18"/>
          <w:sz w:val="22"/>
        </w:rPr>
        <w:t>,</w:t>
      </w:r>
      <w:r w:rsidRPr="00DA75B5">
        <w:rPr>
          <w:color w:val="1A1A18"/>
          <w:sz w:val="22"/>
        </w:rPr>
        <w:t xml:space="preserve"> the challenge remains to increase MS buy-in into the GCCA, notably those MS with a long track record in climate and development-related programmes and, in parallel, mobilising Commission r</w:t>
      </w:r>
      <w:r w:rsidRPr="00DA75B5">
        <w:rPr>
          <w:color w:val="1A1A18"/>
          <w:sz w:val="22"/>
        </w:rPr>
        <w:t>e</w:t>
      </w:r>
      <w:r w:rsidRPr="00DA75B5">
        <w:rPr>
          <w:color w:val="1A1A18"/>
          <w:sz w:val="22"/>
        </w:rPr>
        <w:t>sources in Brussels to raise the GCCA profile with MS.</w:t>
      </w:r>
    </w:p>
    <w:p w:rsidR="00717EB6" w:rsidRPr="0035462B" w:rsidRDefault="00717EB6" w:rsidP="00717EB6">
      <w:pPr>
        <w:autoSpaceDE w:val="0"/>
        <w:autoSpaceDN w:val="0"/>
        <w:rPr>
          <w:color w:val="1A1A18"/>
          <w:sz w:val="22"/>
        </w:rPr>
      </w:pPr>
      <w:r w:rsidRPr="00DA75B5">
        <w:rPr>
          <w:color w:val="1A1A18"/>
          <w:sz w:val="22"/>
        </w:rPr>
        <w:t>Fragmentation of support for climate action has been avoided and, in a number of countries, such as Mozambique, Ethiopia or Mauritius, a basis for joint ‘European’ climate action is emerging.</w:t>
      </w:r>
      <w:r w:rsidRPr="00DA75B5">
        <w:rPr>
          <w:sz w:val="22"/>
        </w:rPr>
        <w:t xml:space="preserve"> </w:t>
      </w:r>
      <w:r w:rsidRPr="00DA75B5">
        <w:rPr>
          <w:color w:val="1A1A18"/>
          <w:sz w:val="22"/>
        </w:rPr>
        <w:t xml:space="preserve">For the Member States that have provided Fast-Track funds (such as Ireland, Estonia or Cyprus), the GCCA has provided a </w:t>
      </w:r>
      <w:r w:rsidRPr="00DA75B5">
        <w:rPr>
          <w:b/>
          <w:i/>
          <w:color w:val="1A1A18"/>
          <w:sz w:val="22"/>
        </w:rPr>
        <w:t>good opportunity to support climate</w:t>
      </w:r>
      <w:r w:rsidRPr="0035462B">
        <w:rPr>
          <w:b/>
          <w:i/>
          <w:color w:val="1A1A18"/>
          <w:sz w:val="22"/>
        </w:rPr>
        <w:t xml:space="preserve"> action with low transaction costs </w:t>
      </w:r>
      <w:r>
        <w:rPr>
          <w:color w:val="1A1A18"/>
          <w:sz w:val="22"/>
        </w:rPr>
        <w:t>in countries such as Nepal and</w:t>
      </w:r>
      <w:r w:rsidRPr="0035462B">
        <w:rPr>
          <w:color w:val="1A1A18"/>
          <w:sz w:val="22"/>
        </w:rPr>
        <w:t xml:space="preserve"> Bhutan. These examples from the first phase illustrate that a good basis exists for the GCCA (i.e. DG DEVCO) to actively dialogue with MS development partners at HQ level</w:t>
      </w:r>
      <w:r>
        <w:rPr>
          <w:color w:val="1A1A18"/>
          <w:sz w:val="22"/>
        </w:rPr>
        <w:t>,</w:t>
      </w:r>
      <w:r w:rsidRPr="0035462B">
        <w:rPr>
          <w:color w:val="1A1A18"/>
          <w:sz w:val="22"/>
        </w:rPr>
        <w:t xml:space="preserve"> and </w:t>
      </w:r>
      <w:r>
        <w:rPr>
          <w:color w:val="1A1A18"/>
          <w:sz w:val="22"/>
        </w:rPr>
        <w:t xml:space="preserve">to </w:t>
      </w:r>
      <w:r w:rsidRPr="0035462B">
        <w:rPr>
          <w:color w:val="1A1A18"/>
          <w:sz w:val="22"/>
        </w:rPr>
        <w:t xml:space="preserve">build on EU and EU MS cooperation in the field of climate change at national and regional levels. </w:t>
      </w:r>
    </w:p>
    <w:p w:rsidR="00717EB6" w:rsidRPr="0035462B" w:rsidRDefault="00717EB6" w:rsidP="00717EB6">
      <w:pPr>
        <w:autoSpaceDE w:val="0"/>
        <w:autoSpaceDN w:val="0"/>
        <w:rPr>
          <w:color w:val="1A1A18"/>
          <w:sz w:val="22"/>
        </w:rPr>
      </w:pPr>
      <w:r w:rsidRPr="0035462B">
        <w:rPr>
          <w:color w:val="1A1A18"/>
          <w:sz w:val="22"/>
          <w:lang w:val="en-US"/>
        </w:rPr>
        <w:t xml:space="preserve">The GCCA also </w:t>
      </w:r>
      <w:r w:rsidRPr="0035462B">
        <w:rPr>
          <w:color w:val="1A1A18"/>
          <w:sz w:val="22"/>
        </w:rPr>
        <w:t xml:space="preserve">responds successfully </w:t>
      </w:r>
      <w:r>
        <w:rPr>
          <w:color w:val="1A1A18"/>
          <w:sz w:val="22"/>
        </w:rPr>
        <w:t xml:space="preserve">to needs at the regional level, </w:t>
      </w:r>
      <w:r w:rsidRPr="0035462B">
        <w:rPr>
          <w:color w:val="1A1A18"/>
          <w:sz w:val="22"/>
        </w:rPr>
        <w:t xml:space="preserve">recognising that regional-level resources and capacities, such as shared meteorological services, add value to national programmes and capacities. The </w:t>
      </w:r>
      <w:r w:rsidRPr="0035462B">
        <w:rPr>
          <w:b/>
          <w:i/>
          <w:color w:val="1A1A18"/>
          <w:sz w:val="22"/>
        </w:rPr>
        <w:t>combination of global, regional and national foci</w:t>
      </w:r>
      <w:r w:rsidRPr="0035462B">
        <w:rPr>
          <w:color w:val="1A1A18"/>
          <w:sz w:val="22"/>
        </w:rPr>
        <w:t xml:space="preserve"> complementing each other differentiates the GCCA from most Member State-led climate actions and the endeavours of other donors</w:t>
      </w:r>
      <w:r>
        <w:rPr>
          <w:color w:val="1A1A18"/>
          <w:sz w:val="22"/>
        </w:rPr>
        <w:t>. It adds clear</w:t>
      </w:r>
      <w:r w:rsidRPr="0035462B">
        <w:rPr>
          <w:color w:val="1A1A18"/>
          <w:sz w:val="22"/>
        </w:rPr>
        <w:t xml:space="preserve"> value to the existing climate action landscape. Other (non LDC, non SIDS) countries are also included in GCCA communications, </w:t>
      </w:r>
      <w:r>
        <w:rPr>
          <w:color w:val="1A1A18"/>
          <w:sz w:val="22"/>
        </w:rPr>
        <w:t xml:space="preserve">making this </w:t>
      </w:r>
      <w:r w:rsidRPr="0035462B">
        <w:rPr>
          <w:color w:val="1A1A18"/>
          <w:sz w:val="22"/>
        </w:rPr>
        <w:t>a truly global initia</w:t>
      </w:r>
      <w:r>
        <w:rPr>
          <w:color w:val="1A1A18"/>
          <w:sz w:val="22"/>
        </w:rPr>
        <w:t>tive</w:t>
      </w:r>
      <w:r w:rsidRPr="0035462B">
        <w:rPr>
          <w:color w:val="1A1A18"/>
          <w:sz w:val="22"/>
        </w:rPr>
        <w:t>.</w:t>
      </w:r>
    </w:p>
    <w:p w:rsidR="00717EB6" w:rsidRPr="0035462B" w:rsidRDefault="00717EB6" w:rsidP="00717EB6">
      <w:pPr>
        <w:autoSpaceDE w:val="0"/>
        <w:autoSpaceDN w:val="0"/>
        <w:rPr>
          <w:color w:val="1A1A18"/>
          <w:sz w:val="22"/>
        </w:rPr>
      </w:pPr>
      <w:r>
        <w:rPr>
          <w:color w:val="1A1A18"/>
          <w:sz w:val="22"/>
        </w:rPr>
        <w:t>The o</w:t>
      </w:r>
      <w:r w:rsidRPr="0035462B">
        <w:rPr>
          <w:color w:val="1A1A18"/>
          <w:sz w:val="22"/>
        </w:rPr>
        <w:t>verall performance of the components and interventions evaluated has been found to be good, on all evaluation criteria</w:t>
      </w:r>
      <w:r>
        <w:rPr>
          <w:color w:val="1A1A18"/>
          <w:sz w:val="22"/>
        </w:rPr>
        <w:t xml:space="preserve"> (refer Chapter 3: O</w:t>
      </w:r>
      <w:r w:rsidRPr="0035462B">
        <w:rPr>
          <w:color w:val="1A1A18"/>
          <w:sz w:val="22"/>
        </w:rPr>
        <w:t>verall assessment). Most of the programmes are still in an initial stage - the oldest programmes having been operational for a few years only – and require su</w:t>
      </w:r>
      <w:r w:rsidRPr="0035462B">
        <w:rPr>
          <w:color w:val="1A1A18"/>
          <w:sz w:val="22"/>
        </w:rPr>
        <w:t>s</w:t>
      </w:r>
      <w:r w:rsidRPr="0035462B">
        <w:rPr>
          <w:color w:val="1A1A18"/>
          <w:sz w:val="22"/>
        </w:rPr>
        <w:t xml:space="preserve">tained support over a longer period of time. The current phase (287 MM EUR funding since 2008) has required </w:t>
      </w:r>
      <w:r w:rsidRPr="0035462B">
        <w:rPr>
          <w:b/>
          <w:i/>
          <w:color w:val="1A1A18"/>
          <w:sz w:val="22"/>
        </w:rPr>
        <w:t>considerable investments to be made in developing coalitions, partnerships and instit</w:t>
      </w:r>
      <w:r w:rsidRPr="0035462B">
        <w:rPr>
          <w:b/>
          <w:i/>
          <w:color w:val="1A1A18"/>
          <w:sz w:val="22"/>
        </w:rPr>
        <w:t>u</w:t>
      </w:r>
      <w:r w:rsidRPr="0035462B">
        <w:rPr>
          <w:b/>
          <w:i/>
          <w:color w:val="1A1A18"/>
          <w:sz w:val="22"/>
        </w:rPr>
        <w:t>tional arrangements</w:t>
      </w:r>
      <w:r w:rsidRPr="0035462B">
        <w:rPr>
          <w:color w:val="1A1A18"/>
          <w:sz w:val="22"/>
        </w:rPr>
        <w:t xml:space="preserve"> to facilitate the delivery of the individual interventions. These have started to produce promising results, which </w:t>
      </w:r>
      <w:r>
        <w:rPr>
          <w:color w:val="1A1A18"/>
          <w:sz w:val="22"/>
        </w:rPr>
        <w:t xml:space="preserve">merit further capitalisation </w:t>
      </w:r>
      <w:r w:rsidRPr="0035462B">
        <w:rPr>
          <w:color w:val="1A1A18"/>
          <w:sz w:val="22"/>
        </w:rPr>
        <w:t xml:space="preserve">during subsequent phases. </w:t>
      </w:r>
    </w:p>
    <w:p w:rsidR="00717EB6" w:rsidRPr="0035462B" w:rsidRDefault="00717EB6" w:rsidP="00717EB6">
      <w:pPr>
        <w:rPr>
          <w:sz w:val="22"/>
        </w:rPr>
      </w:pPr>
      <w:r w:rsidRPr="0035462B">
        <w:rPr>
          <w:sz w:val="22"/>
        </w:rPr>
        <w:t xml:space="preserve">Identification of the right point of entry and the best organisations to lead the interventions was often a time-consuming challenge, and defining </w:t>
      </w:r>
      <w:r w:rsidRPr="0035462B">
        <w:rPr>
          <w:b/>
          <w:i/>
          <w:sz w:val="22"/>
        </w:rPr>
        <w:t>roles and responsibilities of partners or financial proce</w:t>
      </w:r>
      <w:r w:rsidRPr="0035462B">
        <w:rPr>
          <w:b/>
          <w:i/>
          <w:sz w:val="22"/>
        </w:rPr>
        <w:t>d</w:t>
      </w:r>
      <w:r w:rsidRPr="0035462B">
        <w:rPr>
          <w:b/>
          <w:i/>
          <w:sz w:val="22"/>
        </w:rPr>
        <w:t>ures</w:t>
      </w:r>
      <w:r w:rsidRPr="0035462B">
        <w:rPr>
          <w:sz w:val="22"/>
        </w:rPr>
        <w:t xml:space="preserve"> cause</w:t>
      </w:r>
      <w:r>
        <w:rPr>
          <w:sz w:val="22"/>
        </w:rPr>
        <w:t>d</w:t>
      </w:r>
      <w:r w:rsidRPr="0035462B">
        <w:rPr>
          <w:sz w:val="22"/>
        </w:rPr>
        <w:t xml:space="preserve"> delayed start-ups. While the GCCA makes good use of country systems, in line with the Paris Declaration, </w:t>
      </w:r>
      <w:r>
        <w:rPr>
          <w:sz w:val="22"/>
        </w:rPr>
        <w:t xml:space="preserve">the </w:t>
      </w:r>
      <w:r w:rsidRPr="0035462B">
        <w:rPr>
          <w:sz w:val="22"/>
        </w:rPr>
        <w:t xml:space="preserve">use of country procurement systems, differing procedures of implementing partners such as UNDP, or changes in context, also added to the initial </w:t>
      </w:r>
      <w:r w:rsidRPr="007112B0">
        <w:rPr>
          <w:sz w:val="22"/>
        </w:rPr>
        <w:t xml:space="preserve">delays. Most programmes have only become operational on the ground </w:t>
      </w:r>
      <w:r>
        <w:rPr>
          <w:sz w:val="22"/>
        </w:rPr>
        <w:t>during the latter part of the programme</w:t>
      </w:r>
      <w:r w:rsidRPr="007112B0">
        <w:rPr>
          <w:sz w:val="22"/>
        </w:rPr>
        <w:t>. This is particularly true for the regional programmes, which usually have additional layers of agreement</w:t>
      </w:r>
      <w:r w:rsidRPr="0035462B">
        <w:rPr>
          <w:sz w:val="22"/>
        </w:rPr>
        <w:t xml:space="preserve"> and coordination</w:t>
      </w:r>
      <w:r>
        <w:rPr>
          <w:sz w:val="22"/>
        </w:rPr>
        <w:t xml:space="preserve"> to contend with</w:t>
      </w:r>
      <w:r w:rsidRPr="0035462B">
        <w:rPr>
          <w:sz w:val="22"/>
        </w:rPr>
        <w:t xml:space="preserve">. </w:t>
      </w:r>
    </w:p>
    <w:p w:rsidR="00717EB6" w:rsidRPr="0035462B" w:rsidRDefault="00717EB6" w:rsidP="00717EB6">
      <w:pPr>
        <w:rPr>
          <w:sz w:val="22"/>
        </w:rPr>
      </w:pPr>
      <w:r w:rsidRPr="0035462B">
        <w:rPr>
          <w:sz w:val="22"/>
        </w:rPr>
        <w:t xml:space="preserve">Effective programme designs have sometimes been compromised by pressure to </w:t>
      </w:r>
      <w:r>
        <w:rPr>
          <w:sz w:val="22"/>
        </w:rPr>
        <w:t xml:space="preserve">become operational too quickly. </w:t>
      </w:r>
      <w:r w:rsidRPr="0035462B">
        <w:rPr>
          <w:sz w:val="22"/>
        </w:rPr>
        <w:t>In case</w:t>
      </w:r>
      <w:r>
        <w:rPr>
          <w:sz w:val="22"/>
        </w:rPr>
        <w:t>s where</w:t>
      </w:r>
      <w:r w:rsidRPr="0035462B">
        <w:rPr>
          <w:sz w:val="22"/>
        </w:rPr>
        <w:t xml:space="preserve"> support was provided using the </w:t>
      </w:r>
      <w:r w:rsidRPr="0035462B">
        <w:rPr>
          <w:b/>
          <w:i/>
          <w:sz w:val="22"/>
        </w:rPr>
        <w:t>budget support modality</w:t>
      </w:r>
      <w:r w:rsidRPr="0035462B">
        <w:rPr>
          <w:sz w:val="22"/>
        </w:rPr>
        <w:t xml:space="preserve"> (the preferred modality for GCCA support), indicators used for disbursement were not always appropriate to mea</w:t>
      </w:r>
      <w:r w:rsidRPr="0035462B">
        <w:rPr>
          <w:sz w:val="22"/>
        </w:rPr>
        <w:t>s</w:t>
      </w:r>
      <w:r w:rsidRPr="0035462B">
        <w:rPr>
          <w:sz w:val="22"/>
        </w:rPr>
        <w:t>ure the targeted climate change adaptation or mitigation effects, since Performance Assessment Frameworks of national public policies do not always contain climate-related indicators. Greater e</w:t>
      </w:r>
      <w:r w:rsidRPr="0035462B">
        <w:rPr>
          <w:sz w:val="22"/>
        </w:rPr>
        <w:t>f</w:t>
      </w:r>
      <w:r w:rsidRPr="0035462B">
        <w:rPr>
          <w:sz w:val="22"/>
        </w:rPr>
        <w:t xml:space="preserve">fort is required, in future programming, </w:t>
      </w:r>
      <w:r w:rsidRPr="0035462B">
        <w:rPr>
          <w:b/>
          <w:i/>
          <w:sz w:val="22"/>
        </w:rPr>
        <w:t xml:space="preserve">to identify or help formulate indicators that align </w:t>
      </w:r>
      <w:r>
        <w:rPr>
          <w:b/>
          <w:i/>
          <w:sz w:val="22"/>
        </w:rPr>
        <w:t>more e</w:t>
      </w:r>
      <w:r>
        <w:rPr>
          <w:b/>
          <w:i/>
          <w:sz w:val="22"/>
        </w:rPr>
        <w:t>f</w:t>
      </w:r>
      <w:r>
        <w:rPr>
          <w:b/>
          <w:i/>
          <w:sz w:val="22"/>
        </w:rPr>
        <w:t xml:space="preserve">fectively </w:t>
      </w:r>
      <w:r w:rsidRPr="0035462B">
        <w:rPr>
          <w:b/>
          <w:i/>
          <w:sz w:val="22"/>
        </w:rPr>
        <w:t>with GCCA objectives</w:t>
      </w:r>
      <w:r w:rsidRPr="0035462B">
        <w:rPr>
          <w:sz w:val="22"/>
        </w:rPr>
        <w:t>. Adaptation of project monitoring to national performance</w:t>
      </w:r>
      <w:r>
        <w:rPr>
          <w:sz w:val="22"/>
        </w:rPr>
        <w:t xml:space="preserve"> systems was another challenge</w:t>
      </w:r>
      <w:r w:rsidRPr="0035462B">
        <w:rPr>
          <w:sz w:val="22"/>
        </w:rPr>
        <w:t xml:space="preserve">, especially in </w:t>
      </w:r>
      <w:r>
        <w:rPr>
          <w:sz w:val="22"/>
        </w:rPr>
        <w:t xml:space="preserve">circumstances </w:t>
      </w:r>
      <w:r w:rsidRPr="0035462B">
        <w:rPr>
          <w:sz w:val="22"/>
        </w:rPr>
        <w:t xml:space="preserve">of sector or general budgetary support, </w:t>
      </w:r>
      <w:r>
        <w:rPr>
          <w:sz w:val="22"/>
        </w:rPr>
        <w:t xml:space="preserve">as was the </w:t>
      </w:r>
      <w:r w:rsidRPr="0035462B">
        <w:rPr>
          <w:sz w:val="22"/>
        </w:rPr>
        <w:t xml:space="preserve">in Mozambique. </w:t>
      </w:r>
    </w:p>
    <w:p w:rsidR="00717EB6" w:rsidRPr="00DA75B5" w:rsidRDefault="00717EB6" w:rsidP="00717EB6">
      <w:pPr>
        <w:rPr>
          <w:sz w:val="22"/>
        </w:rPr>
      </w:pPr>
      <w:r w:rsidRPr="0035462B">
        <w:rPr>
          <w:sz w:val="22"/>
        </w:rPr>
        <w:t xml:space="preserve">The GCCA has made </w:t>
      </w:r>
      <w:r w:rsidRPr="0035462B">
        <w:rPr>
          <w:b/>
          <w:i/>
          <w:sz w:val="22"/>
        </w:rPr>
        <w:t>a significant contribution to dialogue on climate change</w:t>
      </w:r>
      <w:r w:rsidRPr="0035462B">
        <w:rPr>
          <w:sz w:val="22"/>
        </w:rPr>
        <w:t>, both within target countries</w:t>
      </w:r>
      <w:r>
        <w:rPr>
          <w:sz w:val="22"/>
        </w:rPr>
        <w:t>,</w:t>
      </w:r>
      <w:r w:rsidRPr="0035462B">
        <w:rPr>
          <w:sz w:val="22"/>
        </w:rPr>
        <w:t xml:space="preserve"> and at regional cooperation and global levels. In most cases, GCCA grants have supported policy debate on climate change and, in a </w:t>
      </w:r>
      <w:r>
        <w:rPr>
          <w:sz w:val="22"/>
        </w:rPr>
        <w:t>few</w:t>
      </w:r>
      <w:r w:rsidRPr="0035462B">
        <w:rPr>
          <w:sz w:val="22"/>
        </w:rPr>
        <w:t xml:space="preserve"> </w:t>
      </w:r>
      <w:proofErr w:type="gramStart"/>
      <w:r w:rsidRPr="0035462B">
        <w:rPr>
          <w:sz w:val="22"/>
        </w:rPr>
        <w:t>instances</w:t>
      </w:r>
      <w:r>
        <w:rPr>
          <w:sz w:val="22"/>
        </w:rPr>
        <w:t>,</w:t>
      </w:r>
      <w:proofErr w:type="gramEnd"/>
      <w:r w:rsidRPr="0035462B">
        <w:rPr>
          <w:sz w:val="22"/>
        </w:rPr>
        <w:t xml:space="preserve"> th</w:t>
      </w:r>
      <w:r>
        <w:rPr>
          <w:sz w:val="22"/>
        </w:rPr>
        <w:t xml:space="preserve">is had led to raising </w:t>
      </w:r>
      <w:r w:rsidRPr="0035462B">
        <w:rPr>
          <w:sz w:val="22"/>
        </w:rPr>
        <w:t xml:space="preserve">climate change </w:t>
      </w:r>
      <w:r>
        <w:rPr>
          <w:sz w:val="22"/>
        </w:rPr>
        <w:t xml:space="preserve">as a priority </w:t>
      </w:r>
      <w:r w:rsidRPr="0035462B">
        <w:rPr>
          <w:sz w:val="22"/>
        </w:rPr>
        <w:t xml:space="preserve">on the political agenda. In Jamaica, for example, GCCA contributed to the development of a Climate Change Policy Framework and Action Plan (Green Paper) and facilitated public consultations up to </w:t>
      </w:r>
      <w:r>
        <w:rPr>
          <w:sz w:val="22"/>
        </w:rPr>
        <w:t xml:space="preserve">its presentation for Cabinet approval. </w:t>
      </w:r>
      <w:r w:rsidRPr="0035462B">
        <w:rPr>
          <w:sz w:val="22"/>
        </w:rPr>
        <w:t>GCCA also facilitated exchanges regarding good practice</w:t>
      </w:r>
      <w:r>
        <w:rPr>
          <w:sz w:val="22"/>
        </w:rPr>
        <w:t>s</w:t>
      </w:r>
      <w:r w:rsidRPr="0035462B">
        <w:rPr>
          <w:sz w:val="22"/>
        </w:rPr>
        <w:t xml:space="preserve"> between countries, regions and the EU</w:t>
      </w:r>
      <w:r>
        <w:rPr>
          <w:sz w:val="22"/>
        </w:rPr>
        <w:t>,</w:t>
      </w:r>
      <w:r w:rsidRPr="0035462B">
        <w:rPr>
          <w:sz w:val="22"/>
        </w:rPr>
        <w:t xml:space="preserve"> as well as joint preparation of policy positions. Support for climate change negotiations, however, is spread over various national, regional and global actions, and there does not seem to be a clear division of responsibilities, in particular among Intra-ACP GCCA supported programme </w:t>
      </w:r>
      <w:r w:rsidRPr="00DA75B5">
        <w:rPr>
          <w:sz w:val="22"/>
        </w:rPr>
        <w:t xml:space="preserve">components (for details, refer to the Intra ACP </w:t>
      </w:r>
      <w:r>
        <w:rPr>
          <w:sz w:val="22"/>
        </w:rPr>
        <w:t>Mid-Term Assessment</w:t>
      </w:r>
      <w:r w:rsidRPr="00DA75B5">
        <w:rPr>
          <w:sz w:val="22"/>
        </w:rPr>
        <w:t xml:space="preserve">). </w:t>
      </w:r>
    </w:p>
    <w:p w:rsidR="00717EB6" w:rsidRPr="00DA75B5" w:rsidRDefault="00717EB6" w:rsidP="00717EB6">
      <w:pPr>
        <w:rPr>
          <w:sz w:val="22"/>
        </w:rPr>
      </w:pPr>
      <w:r w:rsidRPr="00DA75B5">
        <w:rPr>
          <w:sz w:val="22"/>
        </w:rPr>
        <w:t>The global services provided by the GCCA, in particular the organisation of two global policy events (one policy and one learning event) and the maintenance of a website and of a platform for exchan</w:t>
      </w:r>
      <w:r w:rsidRPr="00DA75B5">
        <w:rPr>
          <w:sz w:val="22"/>
        </w:rPr>
        <w:t>g</w:t>
      </w:r>
      <w:r w:rsidRPr="00DA75B5">
        <w:rPr>
          <w:sz w:val="22"/>
        </w:rPr>
        <w:t xml:space="preserve">ing ideas and experiences, have made </w:t>
      </w:r>
      <w:r w:rsidRPr="00DA75B5">
        <w:rPr>
          <w:b/>
          <w:i/>
          <w:sz w:val="22"/>
        </w:rPr>
        <w:t>an important contribution to learning and public awareness</w:t>
      </w:r>
      <w:r w:rsidRPr="00DA75B5">
        <w:rPr>
          <w:sz w:val="22"/>
        </w:rPr>
        <w:t xml:space="preserve"> on global climate change iss</w:t>
      </w:r>
      <w:r w:rsidR="00D82D26">
        <w:rPr>
          <w:sz w:val="22"/>
        </w:rPr>
        <w:t>ues affecting poor</w:t>
      </w:r>
      <w:r w:rsidRPr="00DA75B5">
        <w:rPr>
          <w:sz w:val="22"/>
        </w:rPr>
        <w:t xml:space="preserve"> countries and regions most vulnerable to climate change. Still, the GCCA website could provide more complete and up-to-date information on all interventions supported</w:t>
      </w:r>
      <w:r>
        <w:rPr>
          <w:sz w:val="22"/>
        </w:rPr>
        <w:t xml:space="preserve"> by the programme</w:t>
      </w:r>
      <w:r w:rsidRPr="00DA75B5">
        <w:rPr>
          <w:sz w:val="22"/>
        </w:rPr>
        <w:t>. The GCCA website is an important communication tool for the programme; and a specific recommendation on the role of the website has been made which incorporates information received after the submission of the Draft Final Report. There is a strong interest, across stakeholder groups, in the organisation of more policy events, possibly at regional level, so that more stakeholders at regional and national levels can</w:t>
      </w:r>
      <w:r w:rsidRPr="0035462B">
        <w:rPr>
          <w:sz w:val="22"/>
        </w:rPr>
        <w:t xml:space="preserve"> benefit</w:t>
      </w:r>
      <w:r>
        <w:rPr>
          <w:sz w:val="22"/>
        </w:rPr>
        <w:t>. This would also be an o</w:t>
      </w:r>
      <w:r>
        <w:rPr>
          <w:sz w:val="22"/>
        </w:rPr>
        <w:t>p</w:t>
      </w:r>
      <w:r>
        <w:rPr>
          <w:sz w:val="22"/>
        </w:rPr>
        <w:t>portunity to involve</w:t>
      </w:r>
      <w:r w:rsidRPr="0035462B">
        <w:rPr>
          <w:sz w:val="22"/>
        </w:rPr>
        <w:t xml:space="preserve"> national and regional representatives of MS countries working on C</w:t>
      </w:r>
      <w:r>
        <w:rPr>
          <w:sz w:val="22"/>
        </w:rPr>
        <w:t xml:space="preserve">limate </w:t>
      </w:r>
      <w:r w:rsidRPr="0035462B">
        <w:rPr>
          <w:sz w:val="22"/>
        </w:rPr>
        <w:t>C</w:t>
      </w:r>
      <w:r>
        <w:rPr>
          <w:sz w:val="22"/>
        </w:rPr>
        <w:t>hange</w:t>
      </w:r>
      <w:r w:rsidRPr="0035462B">
        <w:rPr>
          <w:sz w:val="22"/>
        </w:rPr>
        <w:t xml:space="preserve"> in the re</w:t>
      </w:r>
      <w:r>
        <w:rPr>
          <w:sz w:val="22"/>
        </w:rPr>
        <w:t>gion</w:t>
      </w:r>
      <w:r w:rsidRPr="0035462B">
        <w:rPr>
          <w:sz w:val="22"/>
        </w:rPr>
        <w:t>. The global support services have helped link national actions to regional and global policy processes and are generally much appreciated, but there is a need and scope for i</w:t>
      </w:r>
      <w:r w:rsidRPr="0035462B">
        <w:rPr>
          <w:sz w:val="22"/>
        </w:rPr>
        <w:t>n</w:t>
      </w:r>
      <w:r w:rsidRPr="0035462B">
        <w:rPr>
          <w:sz w:val="22"/>
        </w:rPr>
        <w:t>creased exchanges between the projects and programmes in the various countries. Better coordination of evaluation</w:t>
      </w:r>
      <w:r>
        <w:rPr>
          <w:sz w:val="22"/>
        </w:rPr>
        <w:t>,</w:t>
      </w:r>
      <w:r w:rsidRPr="0035462B">
        <w:rPr>
          <w:sz w:val="22"/>
        </w:rPr>
        <w:t xml:space="preserve"> identification and formulation missions is also desirable to </w:t>
      </w:r>
      <w:r w:rsidRPr="00DA75B5">
        <w:rPr>
          <w:sz w:val="22"/>
        </w:rPr>
        <w:t>allow for evaluation exper</w:t>
      </w:r>
      <w:r w:rsidRPr="00DA75B5">
        <w:rPr>
          <w:sz w:val="22"/>
        </w:rPr>
        <w:t>i</w:t>
      </w:r>
      <w:r w:rsidRPr="00DA75B5">
        <w:rPr>
          <w:sz w:val="22"/>
        </w:rPr>
        <w:t>ence to feed properly into the design of new programmes.</w:t>
      </w:r>
    </w:p>
    <w:p w:rsidR="00717EB6" w:rsidRPr="0035462B" w:rsidRDefault="00717EB6" w:rsidP="00717EB6">
      <w:pPr>
        <w:rPr>
          <w:sz w:val="22"/>
        </w:rPr>
      </w:pPr>
      <w:r w:rsidRPr="00DA75B5">
        <w:rPr>
          <w:sz w:val="22"/>
        </w:rPr>
        <w:t xml:space="preserve">The GCCA has proven to be </w:t>
      </w:r>
      <w:r w:rsidRPr="00DA75B5">
        <w:rPr>
          <w:b/>
          <w:i/>
          <w:sz w:val="22"/>
        </w:rPr>
        <w:t>a viable instrument for practical cooperation on climate action</w:t>
      </w:r>
      <w:r>
        <w:rPr>
          <w:sz w:val="22"/>
        </w:rPr>
        <w:t>. In most cases, in respect to</w:t>
      </w:r>
      <w:r w:rsidRPr="00DA75B5">
        <w:rPr>
          <w:sz w:val="22"/>
        </w:rPr>
        <w:t xml:space="preserve"> the programmes/countries visited, the national GCCA programmes generate, or can be expected to generate tangible benefits for the most vulnerable populations, in terms of reduced poverty and vulnerability. In Ethiopia, for example, the GCCA contribution has helped establish a unique risk insurance</w:t>
      </w:r>
      <w:r w:rsidRPr="0035462B">
        <w:rPr>
          <w:sz w:val="22"/>
        </w:rPr>
        <w:t xml:space="preserve"> facility for participating communities engaging in climate adaptation activities, which would compensate communities and individuals for any losses beyond those </w:t>
      </w:r>
      <w:r>
        <w:rPr>
          <w:sz w:val="22"/>
        </w:rPr>
        <w:t xml:space="preserve">that </w:t>
      </w:r>
      <w:r w:rsidRPr="0035462B">
        <w:rPr>
          <w:sz w:val="22"/>
        </w:rPr>
        <w:t>they would normally have incurred when using th</w:t>
      </w:r>
      <w:r>
        <w:rPr>
          <w:sz w:val="22"/>
        </w:rPr>
        <w:t>e ‘traditional’ farming system</w:t>
      </w:r>
      <w:r w:rsidRPr="0035462B">
        <w:rPr>
          <w:sz w:val="22"/>
        </w:rPr>
        <w:t>.</w:t>
      </w:r>
    </w:p>
    <w:p w:rsidR="00717EB6" w:rsidRDefault="00717EB6" w:rsidP="00717EB6">
      <w:pPr>
        <w:rPr>
          <w:sz w:val="22"/>
        </w:rPr>
      </w:pPr>
      <w:r w:rsidRPr="0035462B">
        <w:rPr>
          <w:sz w:val="22"/>
        </w:rPr>
        <w:t>Still, certain interventions clearly perform better than others, and success seems related to the pre</w:t>
      </w:r>
      <w:r w:rsidRPr="0035462B">
        <w:rPr>
          <w:sz w:val="22"/>
        </w:rPr>
        <w:t>s</w:t>
      </w:r>
      <w:r w:rsidRPr="0035462B">
        <w:rPr>
          <w:sz w:val="22"/>
        </w:rPr>
        <w:t xml:space="preserve">ence of </w:t>
      </w:r>
      <w:r w:rsidRPr="0035462B">
        <w:rPr>
          <w:b/>
          <w:i/>
          <w:sz w:val="22"/>
        </w:rPr>
        <w:t>effective linkages to final beneficiary groups</w:t>
      </w:r>
      <w:r w:rsidRPr="0035462B">
        <w:rPr>
          <w:sz w:val="22"/>
        </w:rPr>
        <w:t xml:space="preserve">. </w:t>
      </w:r>
      <w:r w:rsidRPr="00DA75B5">
        <w:rPr>
          <w:sz w:val="22"/>
        </w:rPr>
        <w:t>Non-state actors (NGOs and civil society groups) were found to play an important role in facilitating such functional linkages. Gender concerns are generally adequately incorporated into project design</w:t>
      </w:r>
      <w:r>
        <w:rPr>
          <w:sz w:val="22"/>
        </w:rPr>
        <w:t xml:space="preserve">. With </w:t>
      </w:r>
      <w:r w:rsidRPr="00DA75B5">
        <w:rPr>
          <w:sz w:val="22"/>
        </w:rPr>
        <w:t xml:space="preserve">70% of programmes </w:t>
      </w:r>
      <w:r>
        <w:rPr>
          <w:sz w:val="22"/>
        </w:rPr>
        <w:t>this was found to be the case. A</w:t>
      </w:r>
      <w:r w:rsidRPr="00DA75B5">
        <w:rPr>
          <w:sz w:val="22"/>
        </w:rPr>
        <w:t xml:space="preserve">ctual attention </w:t>
      </w:r>
      <w:r>
        <w:rPr>
          <w:sz w:val="22"/>
        </w:rPr>
        <w:t xml:space="preserve">to </w:t>
      </w:r>
      <w:r w:rsidRPr="00DA75B5">
        <w:rPr>
          <w:sz w:val="22"/>
        </w:rPr>
        <w:t>gender during implementation depends much on the concerned go</w:t>
      </w:r>
      <w:r w:rsidRPr="00DA75B5">
        <w:rPr>
          <w:sz w:val="22"/>
        </w:rPr>
        <w:t>v</w:t>
      </w:r>
      <w:r w:rsidRPr="00DA75B5">
        <w:rPr>
          <w:sz w:val="22"/>
        </w:rPr>
        <w:t xml:space="preserve">ernmental policies in this </w:t>
      </w:r>
      <w:r w:rsidRPr="002020FE">
        <w:rPr>
          <w:sz w:val="22"/>
        </w:rPr>
        <w:t>regard, and is more difficult to assess in the absence of gender disaggregated monitoring data.</w:t>
      </w:r>
      <w:r w:rsidRPr="00AE1A5F">
        <w:t xml:space="preserve"> </w:t>
      </w:r>
    </w:p>
    <w:p w:rsidR="00717EB6" w:rsidRPr="0035462B" w:rsidRDefault="00717EB6" w:rsidP="00717EB6">
      <w:pPr>
        <w:rPr>
          <w:sz w:val="22"/>
        </w:rPr>
      </w:pPr>
      <w:r w:rsidRPr="00DA75B5">
        <w:rPr>
          <w:sz w:val="22"/>
        </w:rPr>
        <w:t xml:space="preserve">While involvement of government institutions and NGOs in the programme is generally good, </w:t>
      </w:r>
      <w:r w:rsidRPr="00DA75B5">
        <w:rPr>
          <w:b/>
          <w:i/>
          <w:sz w:val="22"/>
        </w:rPr>
        <w:t>private sector involvement is still relatively weak</w:t>
      </w:r>
      <w:r w:rsidRPr="00DA75B5">
        <w:rPr>
          <w:sz w:val="22"/>
        </w:rPr>
        <w:t>. This may be attributed to limited demand from countries to work with the private sector within the context of the GCCA</w:t>
      </w:r>
      <w:r>
        <w:rPr>
          <w:sz w:val="22"/>
        </w:rPr>
        <w:t xml:space="preserve">. This seems to be </w:t>
      </w:r>
      <w:r w:rsidRPr="00DA75B5">
        <w:rPr>
          <w:sz w:val="22"/>
        </w:rPr>
        <w:t>largely due to the cu</w:t>
      </w:r>
      <w:r w:rsidRPr="00DA75B5">
        <w:rPr>
          <w:sz w:val="22"/>
        </w:rPr>
        <w:t>r</w:t>
      </w:r>
      <w:r w:rsidRPr="00DA75B5">
        <w:rPr>
          <w:sz w:val="22"/>
        </w:rPr>
        <w:t>rent conditions in the carbon markets, which do not provide strong incentives for Clean Development Mechanism (CDM) related action. None of the national programmes visited used GCCA support to strengthen participation in the CDM, though some of the regional</w:t>
      </w:r>
      <w:r w:rsidRPr="0035462B">
        <w:rPr>
          <w:sz w:val="22"/>
        </w:rPr>
        <w:t>, Intra-ACP GCCA supported pr</w:t>
      </w:r>
      <w:r w:rsidRPr="0035462B">
        <w:rPr>
          <w:sz w:val="22"/>
        </w:rPr>
        <w:t>o</w:t>
      </w:r>
      <w:r w:rsidRPr="0035462B">
        <w:rPr>
          <w:sz w:val="22"/>
        </w:rPr>
        <w:t xml:space="preserve">grammes did. More </w:t>
      </w:r>
      <w:r>
        <w:rPr>
          <w:sz w:val="22"/>
        </w:rPr>
        <w:t xml:space="preserve">focus should be put on identifying </w:t>
      </w:r>
      <w:r w:rsidRPr="0035462B">
        <w:rPr>
          <w:sz w:val="22"/>
        </w:rPr>
        <w:t>mechanisms to enhance private sector e</w:t>
      </w:r>
      <w:r w:rsidRPr="0035462B">
        <w:rPr>
          <w:sz w:val="22"/>
        </w:rPr>
        <w:t>n</w:t>
      </w:r>
      <w:r w:rsidRPr="0035462B">
        <w:rPr>
          <w:sz w:val="22"/>
        </w:rPr>
        <w:t>gagement, for example through funds that include access for private sector actors, such as Rwanda’s Fund for Environment and Climate Change (FONERWA).</w:t>
      </w:r>
    </w:p>
    <w:p w:rsidR="00717EB6" w:rsidRPr="0035462B" w:rsidRDefault="00717EB6" w:rsidP="00717EB6">
      <w:pPr>
        <w:rPr>
          <w:sz w:val="22"/>
        </w:rPr>
      </w:pPr>
      <w:r w:rsidRPr="0035462B">
        <w:rPr>
          <w:sz w:val="22"/>
        </w:rPr>
        <w:t xml:space="preserve">Impacts of the programme at field </w:t>
      </w:r>
      <w:r w:rsidRPr="00DA75B5">
        <w:rPr>
          <w:sz w:val="22"/>
        </w:rPr>
        <w:t xml:space="preserve">level are, at the time of evaluation, still initial. This is primarily due to the fact most of the interventions assessed have only recently started to become fully operational. Moreover, the programme has a strong focus on capacity building and policy development, </w:t>
      </w:r>
      <w:r w:rsidRPr="00DA75B5">
        <w:rPr>
          <w:b/>
          <w:i/>
          <w:sz w:val="22"/>
        </w:rPr>
        <w:t xml:space="preserve">results and impacts of which are expected </w:t>
      </w:r>
      <w:r>
        <w:rPr>
          <w:b/>
          <w:i/>
          <w:sz w:val="22"/>
        </w:rPr>
        <w:t xml:space="preserve">over the </w:t>
      </w:r>
      <w:r w:rsidRPr="00DA75B5">
        <w:rPr>
          <w:b/>
          <w:i/>
          <w:sz w:val="22"/>
        </w:rPr>
        <w:t xml:space="preserve">medium </w:t>
      </w:r>
      <w:r>
        <w:rPr>
          <w:b/>
          <w:i/>
          <w:sz w:val="22"/>
        </w:rPr>
        <w:t xml:space="preserve">to long </w:t>
      </w:r>
      <w:r w:rsidRPr="00DA75B5">
        <w:rPr>
          <w:b/>
          <w:i/>
          <w:sz w:val="22"/>
        </w:rPr>
        <w:t>term.</w:t>
      </w:r>
      <w:r w:rsidRPr="00DA75B5">
        <w:rPr>
          <w:sz w:val="22"/>
        </w:rPr>
        <w:t xml:space="preserve"> Generally, in cases where an intervention could bui</w:t>
      </w:r>
      <w:r>
        <w:rPr>
          <w:sz w:val="22"/>
        </w:rPr>
        <w:t>ld on solid existing structures</w:t>
      </w:r>
      <w:r w:rsidRPr="0035462B">
        <w:rPr>
          <w:sz w:val="22"/>
        </w:rPr>
        <w:t>, tangible impacts and benefits have been achieved quite quickly, in the form of adoption of improved varieties and increased crop yields</w:t>
      </w:r>
      <w:r>
        <w:rPr>
          <w:sz w:val="22"/>
        </w:rPr>
        <w:t>. Ethiopia is an example of this</w:t>
      </w:r>
      <w:r w:rsidRPr="0035462B">
        <w:rPr>
          <w:sz w:val="22"/>
        </w:rPr>
        <w:t xml:space="preserve">. Even when no such structures were in place, such as in Belize, where the Intra-ACP and the national GCCA programmes built a Climate Change office from scratch, </w:t>
      </w:r>
      <w:r>
        <w:rPr>
          <w:sz w:val="22"/>
        </w:rPr>
        <w:t>initial</w:t>
      </w:r>
      <w:r w:rsidRPr="0035462B">
        <w:rPr>
          <w:sz w:val="22"/>
        </w:rPr>
        <w:t xml:space="preserve"> impacts were already becoming visible. </w:t>
      </w:r>
    </w:p>
    <w:p w:rsidR="00717EB6" w:rsidRPr="0035462B" w:rsidRDefault="00717EB6" w:rsidP="00717EB6">
      <w:pPr>
        <w:rPr>
          <w:sz w:val="22"/>
        </w:rPr>
      </w:pPr>
      <w:r w:rsidRPr="0035462B">
        <w:rPr>
          <w:sz w:val="22"/>
        </w:rPr>
        <w:t xml:space="preserve">Though prospects for impact of the GCCA interventions are generally good, monitoring systems that would allow for assessing impacts were </w:t>
      </w:r>
      <w:r w:rsidRPr="007D5D04">
        <w:rPr>
          <w:sz w:val="22"/>
        </w:rPr>
        <w:t>in most cases still weakly developed. This is partly due to limited attention for monitoring in the initial design of the action, partly to limited technical assistance available for the development of appropriate monitoring systems, including the establishment of bas</w:t>
      </w:r>
      <w:r w:rsidRPr="007D5D04">
        <w:rPr>
          <w:sz w:val="22"/>
        </w:rPr>
        <w:t>e</w:t>
      </w:r>
      <w:r w:rsidRPr="007D5D04">
        <w:rPr>
          <w:sz w:val="22"/>
        </w:rPr>
        <w:t xml:space="preserve">line values. </w:t>
      </w:r>
      <w:r w:rsidRPr="00981536">
        <w:rPr>
          <w:b/>
          <w:i/>
          <w:sz w:val="22"/>
        </w:rPr>
        <w:t>Greater attention for development of monitoring systems is required</w:t>
      </w:r>
      <w:r w:rsidRPr="00981536">
        <w:rPr>
          <w:i/>
          <w:sz w:val="22"/>
        </w:rPr>
        <w:t>.</w:t>
      </w:r>
      <w:r w:rsidRPr="007D5D04">
        <w:rPr>
          <w:sz w:val="22"/>
        </w:rPr>
        <w:t xml:space="preserve"> In a few cases, for example Mauritius or </w:t>
      </w:r>
      <w:r w:rsidRPr="00207A04">
        <w:rPr>
          <w:sz w:val="22"/>
        </w:rPr>
        <w:t xml:space="preserve">Rwanda, </w:t>
      </w:r>
      <w:r w:rsidRPr="00D2446E">
        <w:rPr>
          <w:sz w:val="22"/>
        </w:rPr>
        <w:t>where the GCCA programme is delivered under the budget support modality, and linked up to existing programmes on Sustainable Development and Land Reform r</w:t>
      </w:r>
      <w:r w:rsidRPr="00D2446E">
        <w:rPr>
          <w:sz w:val="22"/>
        </w:rPr>
        <w:t>e</w:t>
      </w:r>
      <w:r w:rsidRPr="00D2446E">
        <w:rPr>
          <w:sz w:val="22"/>
        </w:rPr>
        <w:t xml:space="preserve">spectively, </w:t>
      </w:r>
      <w:r w:rsidRPr="006D6FAF">
        <w:rPr>
          <w:sz w:val="22"/>
        </w:rPr>
        <w:t>G</w:t>
      </w:r>
      <w:r w:rsidRPr="00207A04">
        <w:rPr>
          <w:sz w:val="22"/>
        </w:rPr>
        <w:t>CCA support</w:t>
      </w:r>
      <w:r w:rsidRPr="007D5D04">
        <w:rPr>
          <w:sz w:val="22"/>
        </w:rPr>
        <w:t xml:space="preserve"> was found to be fully relevant from a development perspective. However, its impact on climate change was found to be </w:t>
      </w:r>
      <w:r>
        <w:rPr>
          <w:sz w:val="22"/>
        </w:rPr>
        <w:t xml:space="preserve">rather </w:t>
      </w:r>
      <w:r w:rsidRPr="007D5D04">
        <w:rPr>
          <w:sz w:val="22"/>
        </w:rPr>
        <w:t>indirect, due to a limited focus of the action on explicit climate change objectives. In a follow-up phase</w:t>
      </w:r>
      <w:r w:rsidRPr="0035462B">
        <w:rPr>
          <w:sz w:val="22"/>
        </w:rPr>
        <w:t xml:space="preserve">, such focus should be increased. </w:t>
      </w:r>
    </w:p>
    <w:p w:rsidR="00717EB6" w:rsidRPr="0035462B" w:rsidRDefault="00717EB6" w:rsidP="00717EB6">
      <w:pPr>
        <w:rPr>
          <w:sz w:val="22"/>
        </w:rPr>
      </w:pPr>
      <w:r w:rsidRPr="0035462B">
        <w:rPr>
          <w:sz w:val="22"/>
        </w:rPr>
        <w:t xml:space="preserve">At country level, GCCA supported interventions are generally </w:t>
      </w:r>
      <w:r w:rsidRPr="0035462B">
        <w:rPr>
          <w:b/>
          <w:i/>
          <w:sz w:val="22"/>
        </w:rPr>
        <w:t>well harmonised with and linked to other climate change initiatives</w:t>
      </w:r>
      <w:r w:rsidRPr="003C118F">
        <w:rPr>
          <w:sz w:val="22"/>
        </w:rPr>
        <w:t>. This is especially apparent in countries that actively coordinate donor action (example Burkina Faso) or where a donor takes a strong lead in a relevant sector. Still, in several cases, limited streamlining of procedures posed serious constraints to implementation, and improved communication and harmonisation</w:t>
      </w:r>
      <w:r w:rsidRPr="0035462B">
        <w:rPr>
          <w:sz w:val="22"/>
        </w:rPr>
        <w:t xml:space="preserve"> is required. In a few countries, there is also scope for increased alignment </w:t>
      </w:r>
      <w:r w:rsidRPr="00207A04">
        <w:rPr>
          <w:sz w:val="22"/>
        </w:rPr>
        <w:t>of GCCA-supported initiatives with individual EU MS-funded climate activity. While the GCCA has fostered more of a joint European approach on climate change, and contributed to joint approaches among development partners (including USAID and SDC for example), this o</w:t>
      </w:r>
      <w:r w:rsidRPr="00207A04">
        <w:rPr>
          <w:sz w:val="22"/>
        </w:rPr>
        <w:t>b</w:t>
      </w:r>
      <w:r w:rsidRPr="00207A04">
        <w:rPr>
          <w:sz w:val="22"/>
        </w:rPr>
        <w:t xml:space="preserve">jective still requires a special effort, in particular from EU Member States many of </w:t>
      </w:r>
      <w:proofErr w:type="gramStart"/>
      <w:r w:rsidRPr="00207A04">
        <w:rPr>
          <w:sz w:val="22"/>
        </w:rPr>
        <w:t>whom</w:t>
      </w:r>
      <w:proofErr w:type="gramEnd"/>
      <w:r w:rsidRPr="00207A04">
        <w:rPr>
          <w:sz w:val="22"/>
        </w:rPr>
        <w:t xml:space="preserve"> prefer to directly finance their own climate initiatives. This is especially the case with MS with a long history of development cooperation. These MS, in the spirit of the Paris Declaration, do tend to be open to working jointly at the level of national programmes in “their” programme countries. Those MS with less “development cooperation experience” are more open to fully involve themselves under the GCCA umbrella. More focussed lobbying by GCCA/DG DEVCO directly with MS in Europe, through the various environment and climate policy directorates/ministries, using the positive exper</w:t>
      </w:r>
      <w:r w:rsidRPr="00207A04">
        <w:rPr>
          <w:sz w:val="22"/>
        </w:rPr>
        <w:t>i</w:t>
      </w:r>
      <w:r w:rsidRPr="00207A04">
        <w:rPr>
          <w:sz w:val="22"/>
        </w:rPr>
        <w:t>ences of the first phase, can contribute to broadening joint approaches with MS both</w:t>
      </w:r>
      <w:r w:rsidRPr="0035462B">
        <w:rPr>
          <w:sz w:val="22"/>
        </w:rPr>
        <w:t xml:space="preserve"> nationally and regionally. </w:t>
      </w:r>
    </w:p>
    <w:p w:rsidR="00717EB6" w:rsidRPr="00730219" w:rsidRDefault="00730219" w:rsidP="00730219">
      <w:pPr>
        <w:rPr>
          <w:rStyle w:val="BodyTextChar"/>
          <w:rFonts w:eastAsia="Calibri"/>
        </w:rPr>
      </w:pPr>
      <w:r>
        <w:rPr>
          <w:rStyle w:val="BodyTextChar"/>
          <w:rFonts w:eastAsia="Calibri"/>
          <w:b/>
        </w:rPr>
        <w:t>R</w:t>
      </w:r>
      <w:r w:rsidR="00717EB6" w:rsidRPr="00730219">
        <w:rPr>
          <w:rStyle w:val="BodyTextChar"/>
          <w:rFonts w:eastAsia="Calibri"/>
          <w:b/>
        </w:rPr>
        <w:t>ecommendations</w:t>
      </w:r>
    </w:p>
    <w:p w:rsidR="00ED22ED" w:rsidRDefault="00717EB6" w:rsidP="00717EB6">
      <w:pPr>
        <w:spacing w:after="60"/>
        <w:rPr>
          <w:sz w:val="22"/>
        </w:rPr>
      </w:pPr>
      <w:r w:rsidRPr="007303A8">
        <w:rPr>
          <w:sz w:val="22"/>
        </w:rPr>
        <w:t>Ten policy level recommendations are made based on the results of the Evaluation’s fieldwork. The recommendations are based on a sample of national and regional projects evaluated and, as such, pr</w:t>
      </w:r>
      <w:r w:rsidRPr="007303A8">
        <w:rPr>
          <w:sz w:val="22"/>
        </w:rPr>
        <w:t>o</w:t>
      </w:r>
      <w:r w:rsidRPr="007303A8">
        <w:rPr>
          <w:sz w:val="22"/>
        </w:rPr>
        <w:t xml:space="preserve">vide </w:t>
      </w:r>
      <w:r>
        <w:rPr>
          <w:sz w:val="22"/>
        </w:rPr>
        <w:t xml:space="preserve">the basis for </w:t>
      </w:r>
      <w:r w:rsidRPr="007303A8">
        <w:rPr>
          <w:sz w:val="22"/>
        </w:rPr>
        <w:t>a number of strategic recommendations</w:t>
      </w:r>
      <w:r>
        <w:rPr>
          <w:sz w:val="22"/>
        </w:rPr>
        <w:t>,</w:t>
      </w:r>
      <w:r w:rsidRPr="007303A8">
        <w:rPr>
          <w:sz w:val="22"/>
        </w:rPr>
        <w:t xml:space="preserve"> rather than specific recommendations for the projects visited. While a number of action-oriented recommendations are made for each project</w:t>
      </w:r>
      <w:r>
        <w:rPr>
          <w:sz w:val="22"/>
        </w:rPr>
        <w:t xml:space="preserve"> visited - included in the Aide</w:t>
      </w:r>
      <w:r w:rsidRPr="007303A8">
        <w:rPr>
          <w:sz w:val="22"/>
        </w:rPr>
        <w:t xml:space="preserve">-Memoire completed for each project - the policy recommendations focus on </w:t>
      </w:r>
      <w:r>
        <w:rPr>
          <w:sz w:val="22"/>
        </w:rPr>
        <w:t xml:space="preserve">the </w:t>
      </w:r>
      <w:r w:rsidRPr="007303A8">
        <w:rPr>
          <w:sz w:val="22"/>
        </w:rPr>
        <w:t xml:space="preserve">GCCA </w:t>
      </w:r>
      <w:r>
        <w:rPr>
          <w:sz w:val="22"/>
        </w:rPr>
        <w:t xml:space="preserve">at the </w:t>
      </w:r>
      <w:r w:rsidRPr="007303A8">
        <w:rPr>
          <w:sz w:val="22"/>
        </w:rPr>
        <w:t>programme level. The supporting text for each recommendation expands on the recommendation and attempts to outline</w:t>
      </w:r>
      <w:r>
        <w:rPr>
          <w:sz w:val="22"/>
        </w:rPr>
        <w:t>,</w:t>
      </w:r>
      <w:r w:rsidRPr="007303A8">
        <w:rPr>
          <w:sz w:val="22"/>
        </w:rPr>
        <w:t xml:space="preserve"> in more detail</w:t>
      </w:r>
      <w:r>
        <w:rPr>
          <w:sz w:val="22"/>
        </w:rPr>
        <w:t>,</w:t>
      </w:r>
      <w:r w:rsidRPr="007303A8">
        <w:rPr>
          <w:sz w:val="22"/>
        </w:rPr>
        <w:t xml:space="preserve"> suggestions for the way forward. Ho</w:t>
      </w:r>
      <w:r w:rsidRPr="007303A8">
        <w:rPr>
          <w:sz w:val="22"/>
        </w:rPr>
        <w:t>w</w:t>
      </w:r>
      <w:r w:rsidRPr="007303A8">
        <w:rPr>
          <w:sz w:val="22"/>
        </w:rPr>
        <w:t>ever</w:t>
      </w:r>
      <w:r>
        <w:rPr>
          <w:sz w:val="22"/>
        </w:rPr>
        <w:t>,</w:t>
      </w:r>
      <w:r w:rsidRPr="007303A8">
        <w:rPr>
          <w:sz w:val="22"/>
        </w:rPr>
        <w:t xml:space="preserve"> it remains outside the scope of the evaluation to develop a detailed work plan on how to tran</w:t>
      </w:r>
      <w:r w:rsidRPr="007303A8">
        <w:rPr>
          <w:sz w:val="22"/>
        </w:rPr>
        <w:t>s</w:t>
      </w:r>
      <w:r w:rsidRPr="007303A8">
        <w:rPr>
          <w:sz w:val="22"/>
        </w:rPr>
        <w:t>form the recommendations into actual financed interventions.</w:t>
      </w:r>
    </w:p>
    <w:p w:rsidR="00B8773C" w:rsidRPr="00B8773C" w:rsidRDefault="00B8773C" w:rsidP="00B8773C">
      <w:pPr>
        <w:spacing w:after="120"/>
        <w:rPr>
          <w:b/>
          <w:i/>
          <w:sz w:val="22"/>
          <w:u w:val="single"/>
        </w:rPr>
      </w:pPr>
      <w:r w:rsidRPr="00B8773C">
        <w:rPr>
          <w:b/>
          <w:i/>
          <w:sz w:val="22"/>
          <w:u w:val="single"/>
        </w:rPr>
        <w:t xml:space="preserve">Recommendation 1: </w:t>
      </w:r>
    </w:p>
    <w:p w:rsidR="00B8773C" w:rsidRPr="00B8773C" w:rsidRDefault="00B8773C" w:rsidP="00B8773C">
      <w:pPr>
        <w:rPr>
          <w:i/>
          <w:sz w:val="22"/>
        </w:rPr>
      </w:pPr>
      <w:r w:rsidRPr="00B8773C">
        <w:rPr>
          <w:sz w:val="22"/>
        </w:rPr>
        <w:t>Continued and increased support for GCCA climate action (GCCA+) is recommended</w:t>
      </w:r>
      <w:r w:rsidRPr="00B8773C">
        <w:rPr>
          <w:i/>
          <w:sz w:val="22"/>
        </w:rPr>
        <w:t xml:space="preserve">. </w:t>
      </w:r>
    </w:p>
    <w:p w:rsidR="00B8773C" w:rsidRPr="00B8773C" w:rsidRDefault="00B8773C" w:rsidP="00B8773C">
      <w:pPr>
        <w:rPr>
          <w:i/>
          <w:sz w:val="22"/>
        </w:rPr>
      </w:pPr>
      <w:r w:rsidRPr="00B8773C">
        <w:rPr>
          <w:i/>
          <w:sz w:val="22"/>
        </w:rPr>
        <w:t>This recommendation is based on promising results and good overall performance of GCCA interve</w:t>
      </w:r>
      <w:r w:rsidRPr="00B8773C">
        <w:rPr>
          <w:i/>
          <w:sz w:val="22"/>
        </w:rPr>
        <w:t>n</w:t>
      </w:r>
      <w:r w:rsidRPr="00B8773C">
        <w:rPr>
          <w:i/>
          <w:sz w:val="22"/>
        </w:rPr>
        <w:t>tions, the realisation that climate action needs to be seen in a long-term perspective, as well as a</w:t>
      </w:r>
      <w:r w:rsidRPr="00B8773C">
        <w:rPr>
          <w:i/>
          <w:sz w:val="22"/>
        </w:rPr>
        <w:t>c</w:t>
      </w:r>
      <w:r w:rsidRPr="00B8773C">
        <w:rPr>
          <w:i/>
          <w:sz w:val="22"/>
        </w:rPr>
        <w:t>knowledging the unique role that the EU can play in creating support for global climate change a</w:t>
      </w:r>
      <w:r w:rsidRPr="00B8773C">
        <w:rPr>
          <w:i/>
          <w:sz w:val="22"/>
        </w:rPr>
        <w:t>c</w:t>
      </w:r>
      <w:r w:rsidRPr="00B8773C">
        <w:rPr>
          <w:i/>
          <w:sz w:val="22"/>
        </w:rPr>
        <w:t>tion. Continued support will need to build on existing experience, progressively improving instit</w:t>
      </w:r>
      <w:r w:rsidRPr="00B8773C">
        <w:rPr>
          <w:i/>
          <w:sz w:val="22"/>
        </w:rPr>
        <w:t>u</w:t>
      </w:r>
      <w:r w:rsidRPr="00B8773C">
        <w:rPr>
          <w:i/>
          <w:sz w:val="22"/>
        </w:rPr>
        <w:t xml:space="preserve">tional strengths, linkages and collaborative partnerships and encouraging innovative practices. </w:t>
      </w:r>
    </w:p>
    <w:p w:rsidR="00B8773C" w:rsidRPr="00B8773C" w:rsidRDefault="00B8773C" w:rsidP="00B8773C">
      <w:pPr>
        <w:rPr>
          <w:i/>
          <w:sz w:val="22"/>
        </w:rPr>
      </w:pPr>
      <w:r w:rsidRPr="00B8773C">
        <w:rPr>
          <w:i/>
          <w:sz w:val="22"/>
        </w:rPr>
        <w:t>Continued support will also need to build on the pilot projects established during the first phase and, more importantly, the elaboration of a long-term strategy which specifies the roles of the various programme components (national and regional programmes; and support functions) and how they connect with, complement and reinforce each other.</w:t>
      </w:r>
    </w:p>
    <w:p w:rsidR="00B8773C" w:rsidRPr="00B8773C" w:rsidRDefault="00B8773C" w:rsidP="00B8773C">
      <w:pPr>
        <w:rPr>
          <w:i/>
          <w:sz w:val="22"/>
        </w:rPr>
      </w:pPr>
      <w:r w:rsidRPr="00B8773C">
        <w:rPr>
          <w:i/>
          <w:sz w:val="22"/>
        </w:rPr>
        <w:t>This applies in particular to the Intra-ACP supported regional programmes, to ensure that they a</w:t>
      </w:r>
      <w:r w:rsidRPr="00B8773C">
        <w:rPr>
          <w:i/>
          <w:sz w:val="22"/>
        </w:rPr>
        <w:t>d</w:t>
      </w:r>
      <w:r w:rsidRPr="00B8773C">
        <w:rPr>
          <w:i/>
          <w:sz w:val="22"/>
        </w:rPr>
        <w:t>dress the ACP regional climate change concerns while strengthening the global alliance between ACP countries, through shared and synergetic programming in line with article 32A of the Cotonou Agreement.</w:t>
      </w:r>
    </w:p>
    <w:p w:rsidR="00B8773C" w:rsidRPr="00B8773C" w:rsidRDefault="00B8773C" w:rsidP="00B8773C">
      <w:pPr>
        <w:keepNext/>
        <w:keepLines/>
        <w:spacing w:after="120"/>
        <w:rPr>
          <w:b/>
          <w:i/>
          <w:sz w:val="22"/>
          <w:u w:val="single"/>
        </w:rPr>
      </w:pPr>
      <w:r w:rsidRPr="00B8773C">
        <w:rPr>
          <w:b/>
          <w:i/>
          <w:sz w:val="22"/>
          <w:u w:val="single"/>
        </w:rPr>
        <w:t xml:space="preserve">Recommendation 2: </w:t>
      </w:r>
    </w:p>
    <w:p w:rsidR="00B8773C" w:rsidRPr="00B8773C" w:rsidRDefault="00B8773C" w:rsidP="00B8773C">
      <w:pPr>
        <w:keepNext/>
        <w:keepLines/>
        <w:rPr>
          <w:i/>
          <w:sz w:val="22"/>
        </w:rPr>
      </w:pPr>
      <w:r w:rsidRPr="00B8773C">
        <w:rPr>
          <w:sz w:val="22"/>
        </w:rPr>
        <w:t>It is recommended that stronger linkages between national and regional GCCA programmes be esta</w:t>
      </w:r>
      <w:r w:rsidRPr="00B8773C">
        <w:rPr>
          <w:sz w:val="22"/>
        </w:rPr>
        <w:t>b</w:t>
      </w:r>
      <w:r w:rsidRPr="00B8773C">
        <w:rPr>
          <w:sz w:val="22"/>
        </w:rPr>
        <w:t>lished</w:t>
      </w:r>
      <w:r w:rsidRPr="00B8773C">
        <w:rPr>
          <w:i/>
          <w:sz w:val="22"/>
        </w:rPr>
        <w:t xml:space="preserve">. </w:t>
      </w:r>
    </w:p>
    <w:p w:rsidR="00B8773C" w:rsidRPr="00B8773C" w:rsidRDefault="00B8773C" w:rsidP="00B8773C">
      <w:pPr>
        <w:rPr>
          <w:i/>
          <w:sz w:val="22"/>
        </w:rPr>
      </w:pPr>
      <w:r w:rsidRPr="00B8773C">
        <w:rPr>
          <w:i/>
          <w:sz w:val="22"/>
        </w:rPr>
        <w:t>The EU, as one of the few development partners that works with both Regional and National Pr</w:t>
      </w:r>
      <w:r w:rsidRPr="00B8773C">
        <w:rPr>
          <w:i/>
          <w:sz w:val="22"/>
        </w:rPr>
        <w:t>o</w:t>
      </w:r>
      <w:r w:rsidRPr="00B8773C">
        <w:rPr>
          <w:i/>
          <w:sz w:val="22"/>
        </w:rPr>
        <w:t>grammes under its various funding mechanisms, is in a position to use its unique situation to ensure coordination and complementarity both within regions and between development partners (EU MS and other partners working on climate change). The EU’s added advantage, over and above the r</w:t>
      </w:r>
      <w:r w:rsidRPr="00B8773C">
        <w:rPr>
          <w:i/>
          <w:sz w:val="22"/>
        </w:rPr>
        <w:t>e</w:t>
      </w:r>
      <w:r w:rsidRPr="00B8773C">
        <w:rPr>
          <w:i/>
          <w:sz w:val="22"/>
        </w:rPr>
        <w:t xml:space="preserve">gional programming, is its role as an actor on the global environmental stage and, hence, the unique role of being able to foster linkages between national, regional and global levels. Linkages can go both ways - </w:t>
      </w:r>
      <w:proofErr w:type="gramStart"/>
      <w:r w:rsidRPr="00B8773C">
        <w:rPr>
          <w:i/>
          <w:sz w:val="22"/>
        </w:rPr>
        <w:t>up-scaling</w:t>
      </w:r>
      <w:proofErr w:type="gramEnd"/>
      <w:r w:rsidRPr="00B8773C">
        <w:rPr>
          <w:i/>
          <w:sz w:val="22"/>
        </w:rPr>
        <w:t xml:space="preserve"> from national to regional; and replication across the region. Pilot and demo</w:t>
      </w:r>
      <w:r w:rsidRPr="00B8773C">
        <w:rPr>
          <w:i/>
          <w:sz w:val="22"/>
        </w:rPr>
        <w:t>n</w:t>
      </w:r>
      <w:r w:rsidRPr="00B8773C">
        <w:rPr>
          <w:i/>
          <w:sz w:val="22"/>
        </w:rPr>
        <w:t>stration activities supported by national GCCA programmes need monitoring for their suitability at the regional level. They should be used as sources of inspiration, actively promoted by the respective regional programmes, and, where possible, integrated into other national programmes. In this r</w:t>
      </w:r>
      <w:r w:rsidRPr="00B8773C">
        <w:rPr>
          <w:i/>
          <w:sz w:val="22"/>
        </w:rPr>
        <w:t>e</w:t>
      </w:r>
      <w:r w:rsidRPr="00B8773C">
        <w:rPr>
          <w:i/>
          <w:sz w:val="22"/>
        </w:rPr>
        <w:t>gard, the Regional Delegations would benefit by having a member of staff (preferably one already working at the Delegation on the environment and/or climate change portfolio) to formally include GCCA in their terms of reference, with the mandate to liaise both with the national programmes in “their” region as well as globally and with other EU regional climate change interventions.</w:t>
      </w:r>
    </w:p>
    <w:p w:rsidR="00B8773C" w:rsidRPr="00B8773C" w:rsidRDefault="00B8773C" w:rsidP="00B8773C">
      <w:pPr>
        <w:rPr>
          <w:i/>
          <w:sz w:val="22"/>
        </w:rPr>
      </w:pPr>
      <w:r w:rsidRPr="00B8773C">
        <w:rPr>
          <w:i/>
          <w:sz w:val="22"/>
        </w:rPr>
        <w:t>The elaboration of comprehensive regional climate change strategies - which some regional pr</w:t>
      </w:r>
      <w:r w:rsidRPr="00B8773C">
        <w:rPr>
          <w:i/>
          <w:sz w:val="22"/>
        </w:rPr>
        <w:t>o</w:t>
      </w:r>
      <w:r w:rsidRPr="00B8773C">
        <w:rPr>
          <w:i/>
          <w:sz w:val="22"/>
        </w:rPr>
        <w:t xml:space="preserve">grammes currently lack – should benefit from Intra-ACP GCCA support. For example, the CSF could make an important contribution to this end, as well as drawing support from the regional strategies of other development partners, where such strategies or programme initiatives exist. </w:t>
      </w:r>
    </w:p>
    <w:p w:rsidR="00B8773C" w:rsidRPr="00B8773C" w:rsidRDefault="00B8773C" w:rsidP="00B8773C">
      <w:pPr>
        <w:spacing w:after="120"/>
        <w:rPr>
          <w:b/>
          <w:i/>
          <w:sz w:val="22"/>
        </w:rPr>
      </w:pPr>
      <w:r w:rsidRPr="00B8773C">
        <w:rPr>
          <w:b/>
          <w:i/>
          <w:sz w:val="22"/>
          <w:u w:val="single"/>
        </w:rPr>
        <w:t>Recommendation 3</w:t>
      </w:r>
      <w:r w:rsidRPr="00B8773C">
        <w:rPr>
          <w:b/>
          <w:i/>
          <w:sz w:val="22"/>
        </w:rPr>
        <w:t xml:space="preserve">: </w:t>
      </w:r>
    </w:p>
    <w:p w:rsidR="00B8773C" w:rsidRPr="00B8773C" w:rsidRDefault="00B8773C" w:rsidP="00B8773C">
      <w:pPr>
        <w:rPr>
          <w:sz w:val="22"/>
        </w:rPr>
      </w:pPr>
      <w:r w:rsidRPr="00B8773C">
        <w:rPr>
          <w:sz w:val="22"/>
        </w:rPr>
        <w:t>It is recommended that the EU (at Commission and Delegation Level) intensify their lobbying efforts with policy makers in the MS, and with MS interventions in MS programme countries to raise awar</w:t>
      </w:r>
      <w:r w:rsidRPr="00B8773C">
        <w:rPr>
          <w:sz w:val="22"/>
        </w:rPr>
        <w:t>e</w:t>
      </w:r>
      <w:r w:rsidRPr="00B8773C">
        <w:rPr>
          <w:sz w:val="22"/>
        </w:rPr>
        <w:t>ness of the GCCA and develop joint intervention strategies focussing on climate change-related a</w:t>
      </w:r>
      <w:r w:rsidRPr="00B8773C">
        <w:rPr>
          <w:sz w:val="22"/>
        </w:rPr>
        <w:t>c</w:t>
      </w:r>
      <w:r w:rsidRPr="00B8773C">
        <w:rPr>
          <w:sz w:val="22"/>
        </w:rPr>
        <w:t>tivities.</w:t>
      </w:r>
    </w:p>
    <w:p w:rsidR="00B8773C" w:rsidRPr="00B8773C" w:rsidRDefault="00B8773C" w:rsidP="00B8773C">
      <w:pPr>
        <w:rPr>
          <w:i/>
          <w:sz w:val="22"/>
        </w:rPr>
      </w:pPr>
      <w:r w:rsidRPr="00B8773C">
        <w:rPr>
          <w:i/>
          <w:sz w:val="22"/>
        </w:rPr>
        <w:t xml:space="preserve">While </w:t>
      </w:r>
      <w:r w:rsidRPr="00B8773C">
        <w:rPr>
          <w:i/>
          <w:iCs/>
          <w:sz w:val="22"/>
        </w:rPr>
        <w:t xml:space="preserve">in some GCCA target countries a clear European response to climate change is emerging, EU services and Member States should, through the GCCA and other climate initiatives, play a more active role in </w:t>
      </w:r>
      <w:r w:rsidRPr="00B8773C">
        <w:rPr>
          <w:b/>
          <w:i/>
          <w:iCs/>
          <w:sz w:val="22"/>
        </w:rPr>
        <w:t>aligning, coordinating and harmonizing</w:t>
      </w:r>
      <w:r w:rsidRPr="00B8773C">
        <w:rPr>
          <w:i/>
          <w:iCs/>
          <w:sz w:val="22"/>
        </w:rPr>
        <w:t xml:space="preserve"> European (EU and MS) support for climate action. The objective is to limit fragmentation.</w:t>
      </w:r>
      <w:r w:rsidRPr="00B8773C">
        <w:rPr>
          <w:b/>
          <w:i/>
          <w:sz w:val="22"/>
        </w:rPr>
        <w:t xml:space="preserve"> </w:t>
      </w:r>
      <w:r w:rsidRPr="00B8773C">
        <w:rPr>
          <w:i/>
          <w:sz w:val="22"/>
        </w:rPr>
        <w:t>Such a response should not be limited to involvement only at the national level in target countries of local representations, but should incorporate a r</w:t>
      </w:r>
      <w:r w:rsidRPr="00B8773C">
        <w:rPr>
          <w:i/>
          <w:sz w:val="22"/>
        </w:rPr>
        <w:t>e</w:t>
      </w:r>
      <w:r w:rsidRPr="00B8773C">
        <w:rPr>
          <w:i/>
          <w:sz w:val="22"/>
        </w:rPr>
        <w:t>gional vision - as well as targeted follow-up from GCCA/DG DEVCO with MS development partners back in Europe</w:t>
      </w:r>
      <w:r w:rsidRPr="00B8773C">
        <w:rPr>
          <w:b/>
          <w:i/>
          <w:sz w:val="22"/>
        </w:rPr>
        <w:t>.</w:t>
      </w:r>
      <w:r w:rsidRPr="00B8773C">
        <w:rPr>
          <w:i/>
          <w:sz w:val="22"/>
        </w:rPr>
        <w:t xml:space="preserve"> Presently, levels of awareness of the GCCA among EU member states is not as well developed as it could be, pointing to the need for stronger lobbying efforts both at senior levels of the Commission with high level climate policy counterparts in the member states, as well as through the Delegations partnering in and/or jointly funding climate change interventions at national and r</w:t>
      </w:r>
      <w:r w:rsidRPr="00B8773C">
        <w:rPr>
          <w:i/>
          <w:sz w:val="22"/>
        </w:rPr>
        <w:t>e</w:t>
      </w:r>
      <w:r w:rsidRPr="00B8773C">
        <w:rPr>
          <w:i/>
          <w:sz w:val="22"/>
        </w:rPr>
        <w:t>gional level.</w:t>
      </w:r>
    </w:p>
    <w:p w:rsidR="00B8773C" w:rsidRPr="00B8773C" w:rsidRDefault="00B8773C" w:rsidP="00B8773C">
      <w:pPr>
        <w:rPr>
          <w:i/>
          <w:sz w:val="22"/>
        </w:rPr>
      </w:pPr>
      <w:r w:rsidRPr="00B8773C">
        <w:rPr>
          <w:i/>
          <w:sz w:val="22"/>
        </w:rPr>
        <w:t>There is a tendency for newer MS, with a shorter history in international development/climate and more limited funds for such activities, to more closely align themselves with flagship programmes such as the GCCA. On the other hand, MS with a long history of interventions in the develo</w:t>
      </w:r>
      <w:r w:rsidRPr="00B8773C">
        <w:rPr>
          <w:i/>
          <w:sz w:val="22"/>
        </w:rPr>
        <w:t>p</w:t>
      </w:r>
      <w:r w:rsidRPr="00B8773C">
        <w:rPr>
          <w:i/>
          <w:sz w:val="22"/>
        </w:rPr>
        <w:t>ment/environment/climate change sectors are more likely to opt for continuing to support their own initiatives, while also continuing to contribute to multilateral agencies (dealing with climate-change and environment) which they have been supporting in the past.</w:t>
      </w:r>
    </w:p>
    <w:p w:rsidR="00B8773C" w:rsidRPr="00B8773C" w:rsidRDefault="00B8773C" w:rsidP="00B8773C">
      <w:pPr>
        <w:rPr>
          <w:i/>
          <w:sz w:val="22"/>
        </w:rPr>
      </w:pPr>
      <w:r w:rsidRPr="00B8773C">
        <w:rPr>
          <w:i/>
          <w:sz w:val="22"/>
        </w:rPr>
        <w:t xml:space="preserve">In order to increase MS involvement with the GCCA, it is clear from the responses that the EU needs to raise the profile of the GCCA with MS, as </w:t>
      </w:r>
      <w:r w:rsidRPr="00B8773C">
        <w:rPr>
          <w:b/>
          <w:i/>
          <w:sz w:val="22"/>
        </w:rPr>
        <w:t>none</w:t>
      </w:r>
      <w:r w:rsidRPr="00B8773C">
        <w:rPr>
          <w:i/>
          <w:sz w:val="22"/>
        </w:rPr>
        <w:t xml:space="preserve"> of those responding to the </w:t>
      </w:r>
      <w:r w:rsidR="00A252B7">
        <w:rPr>
          <w:i/>
          <w:sz w:val="22"/>
        </w:rPr>
        <w:t>questionnaire sent t</w:t>
      </w:r>
      <w:r w:rsidR="001456C4">
        <w:rPr>
          <w:i/>
          <w:sz w:val="22"/>
        </w:rPr>
        <w:t xml:space="preserve">o MS </w:t>
      </w:r>
      <w:r w:rsidRPr="00B8773C">
        <w:rPr>
          <w:i/>
          <w:sz w:val="22"/>
        </w:rPr>
        <w:t>claim to be “</w:t>
      </w:r>
      <w:r w:rsidRPr="00B8773C">
        <w:rPr>
          <w:b/>
          <w:i/>
          <w:sz w:val="22"/>
        </w:rPr>
        <w:t>well aware</w:t>
      </w:r>
      <w:r w:rsidRPr="00B8773C">
        <w:rPr>
          <w:i/>
          <w:sz w:val="22"/>
        </w:rPr>
        <w:t>” of the GCCA. This will need to change through EU lobbying initiatives at EU-MS policy levels in Europe (such as the Climate Diplomacy Network, etc.)</w:t>
      </w:r>
      <w:proofErr w:type="gramStart"/>
      <w:r w:rsidRPr="00B8773C">
        <w:rPr>
          <w:i/>
          <w:sz w:val="22"/>
        </w:rPr>
        <w:t>;</w:t>
      </w:r>
      <w:proofErr w:type="gramEnd"/>
      <w:r w:rsidRPr="00B8773C">
        <w:rPr>
          <w:i/>
          <w:sz w:val="22"/>
        </w:rPr>
        <w:t xml:space="preserve"> as well as at the level of the national/regional Delegations in their liaison with the national/regional programmes of MS. </w:t>
      </w:r>
    </w:p>
    <w:p w:rsidR="00B8773C" w:rsidRPr="00B8773C" w:rsidRDefault="00B8773C" w:rsidP="00B8773C">
      <w:pPr>
        <w:spacing w:after="120"/>
        <w:rPr>
          <w:b/>
          <w:i/>
          <w:sz w:val="22"/>
          <w:u w:val="single"/>
        </w:rPr>
      </w:pPr>
      <w:r w:rsidRPr="00B8773C">
        <w:rPr>
          <w:b/>
          <w:i/>
          <w:sz w:val="22"/>
          <w:u w:val="single"/>
        </w:rPr>
        <w:t xml:space="preserve">Recommendation 4: </w:t>
      </w:r>
    </w:p>
    <w:p w:rsidR="00B8773C" w:rsidRPr="00B8773C" w:rsidRDefault="00B8773C" w:rsidP="00B8773C">
      <w:pPr>
        <w:widowControl w:val="0"/>
        <w:rPr>
          <w:sz w:val="22"/>
        </w:rPr>
      </w:pPr>
      <w:r w:rsidRPr="00B8773C">
        <w:rPr>
          <w:sz w:val="22"/>
        </w:rPr>
        <w:t>It is recommended that the EU (as part of the implementation of their regional and national progra</w:t>
      </w:r>
      <w:r w:rsidRPr="00B8773C">
        <w:rPr>
          <w:sz w:val="22"/>
        </w:rPr>
        <w:t>m</w:t>
      </w:r>
      <w:r w:rsidRPr="00B8773C">
        <w:rPr>
          <w:sz w:val="22"/>
        </w:rPr>
        <w:t>mes) support long-term strategic planning and institutional capacity building for climate action at national and regional level in EU beneficiary countries.</w:t>
      </w:r>
    </w:p>
    <w:p w:rsidR="00B8773C" w:rsidRPr="00B8773C" w:rsidRDefault="00B8773C" w:rsidP="00B8773C">
      <w:pPr>
        <w:rPr>
          <w:i/>
          <w:sz w:val="22"/>
        </w:rPr>
      </w:pPr>
      <w:r w:rsidRPr="00B8773C">
        <w:rPr>
          <w:i/>
          <w:sz w:val="22"/>
        </w:rPr>
        <w:t>The objective of this recommendation is to ensure stronger regional and national ownership of the climate-change agenda. This should include: support for the establishment of National Climate Change Office/Departments with sufficient authority to define and influence national strategies, and to influence the development of regional (climate-action) strategies; and, in parallel, provide support for capacity building in these institutions to ensure adequate capabilities over the long-term. Add</w:t>
      </w:r>
      <w:r w:rsidRPr="00B8773C">
        <w:rPr>
          <w:i/>
          <w:sz w:val="22"/>
        </w:rPr>
        <w:t>i</w:t>
      </w:r>
      <w:r w:rsidRPr="00B8773C">
        <w:rPr>
          <w:i/>
          <w:sz w:val="22"/>
        </w:rPr>
        <w:t>tional technical assistance support - either long-term or as a series of short-term inputs using, for example, the Framework contract mechanism - could also be considered to increase support for national capacity building; in other cases GCCA support can be provided in the form of budget su</w:t>
      </w:r>
      <w:r w:rsidRPr="00B8773C">
        <w:rPr>
          <w:i/>
          <w:sz w:val="22"/>
        </w:rPr>
        <w:t>p</w:t>
      </w:r>
      <w:r w:rsidRPr="00B8773C">
        <w:rPr>
          <w:i/>
          <w:sz w:val="22"/>
        </w:rPr>
        <w:t>port. This could include technical assistance to facilitate budget support.</w:t>
      </w:r>
    </w:p>
    <w:p w:rsidR="00B8773C" w:rsidRPr="00B8773C" w:rsidRDefault="00B8773C" w:rsidP="00B8773C">
      <w:pPr>
        <w:spacing w:after="120"/>
        <w:rPr>
          <w:b/>
          <w:i/>
          <w:sz w:val="22"/>
          <w:u w:val="single"/>
        </w:rPr>
      </w:pPr>
      <w:r w:rsidRPr="00B8773C">
        <w:rPr>
          <w:b/>
          <w:i/>
          <w:sz w:val="22"/>
          <w:u w:val="single"/>
        </w:rPr>
        <w:t xml:space="preserve">Recommendation 5:  </w:t>
      </w:r>
    </w:p>
    <w:p w:rsidR="00B8773C" w:rsidRPr="00B8773C" w:rsidRDefault="00B8773C" w:rsidP="00B8773C">
      <w:pPr>
        <w:widowControl w:val="0"/>
        <w:rPr>
          <w:sz w:val="22"/>
        </w:rPr>
      </w:pPr>
      <w:r w:rsidRPr="00B8773C">
        <w:rPr>
          <w:sz w:val="22"/>
        </w:rPr>
        <w:t>It is recommended that, when budget support for climate-change related interventions is provided, it should be tied to a clearly formulated procedure with corresponding climate related milestones mon</w:t>
      </w:r>
      <w:r w:rsidRPr="00B8773C">
        <w:rPr>
          <w:sz w:val="22"/>
        </w:rPr>
        <w:t>i</w:t>
      </w:r>
      <w:r w:rsidRPr="00B8773C">
        <w:rPr>
          <w:sz w:val="22"/>
        </w:rPr>
        <w:t xml:space="preserve">tored on a regular basis, which trigger further disbursements. </w:t>
      </w:r>
    </w:p>
    <w:p w:rsidR="00B8773C" w:rsidRPr="00B8773C" w:rsidRDefault="00B8773C" w:rsidP="00B8773C">
      <w:pPr>
        <w:widowControl w:val="0"/>
        <w:rPr>
          <w:i/>
          <w:sz w:val="22"/>
        </w:rPr>
      </w:pPr>
      <w:r w:rsidRPr="00B8773C">
        <w:rPr>
          <w:i/>
          <w:sz w:val="22"/>
        </w:rPr>
        <w:t xml:space="preserve">In cases where interventions are delivered through </w:t>
      </w:r>
      <w:r w:rsidRPr="00B8773C">
        <w:rPr>
          <w:b/>
          <w:i/>
          <w:sz w:val="22"/>
        </w:rPr>
        <w:t>budget support</w:t>
      </w:r>
      <w:r w:rsidRPr="00B8773C">
        <w:rPr>
          <w:i/>
          <w:sz w:val="22"/>
        </w:rPr>
        <w:t>, greater effort is required to ide</w:t>
      </w:r>
      <w:r w:rsidRPr="00B8773C">
        <w:rPr>
          <w:i/>
          <w:sz w:val="22"/>
        </w:rPr>
        <w:t>n</w:t>
      </w:r>
      <w:r w:rsidRPr="00B8773C">
        <w:rPr>
          <w:i/>
          <w:sz w:val="22"/>
        </w:rPr>
        <w:t>tify the most effective ways to achieve results. Key to this is the establishment of corresponding ind</w:t>
      </w:r>
      <w:r w:rsidRPr="00B8773C">
        <w:rPr>
          <w:i/>
          <w:sz w:val="22"/>
        </w:rPr>
        <w:t>i</w:t>
      </w:r>
      <w:r w:rsidRPr="00B8773C">
        <w:rPr>
          <w:i/>
          <w:sz w:val="22"/>
        </w:rPr>
        <w:t>cators, that meet both climate-related and, where directly applicable, poverty reduction objectives, in line with GCCA objectives.</w:t>
      </w:r>
      <w:r w:rsidRPr="00B8773C">
        <w:rPr>
          <w:sz w:val="22"/>
        </w:rPr>
        <w:t xml:space="preserve"> </w:t>
      </w:r>
      <w:r w:rsidRPr="00B8773C">
        <w:rPr>
          <w:i/>
          <w:sz w:val="22"/>
        </w:rPr>
        <w:t>In cases of a relatively undefined operating environment, the role of ind</w:t>
      </w:r>
      <w:r w:rsidRPr="00B8773C">
        <w:rPr>
          <w:i/>
          <w:sz w:val="22"/>
        </w:rPr>
        <w:t>i</w:t>
      </w:r>
      <w:r w:rsidRPr="00B8773C">
        <w:rPr>
          <w:i/>
          <w:sz w:val="22"/>
        </w:rPr>
        <w:t>cators related to disbursement will be even more critical. Performance indicators should be deve</w:t>
      </w:r>
      <w:r w:rsidRPr="00B8773C">
        <w:rPr>
          <w:i/>
          <w:sz w:val="22"/>
        </w:rPr>
        <w:t>l</w:t>
      </w:r>
      <w:r w:rsidRPr="00B8773C">
        <w:rPr>
          <w:i/>
          <w:sz w:val="22"/>
        </w:rPr>
        <w:t>oped for each individual action that maps out the evolution of that particular intervention. Where relevant, the experience with budget support from MS should be drawn on, as the EU is already i</w:t>
      </w:r>
      <w:r w:rsidRPr="00B8773C">
        <w:rPr>
          <w:i/>
          <w:sz w:val="22"/>
        </w:rPr>
        <w:t>n</w:t>
      </w:r>
      <w:r w:rsidRPr="00B8773C">
        <w:rPr>
          <w:i/>
          <w:sz w:val="22"/>
        </w:rPr>
        <w:t>volved, with other development partners in numerous Joint Assistance Strategies, many of which use the budget support modality. One key indicator of success will be the degree to which budgetary su</w:t>
      </w:r>
      <w:r w:rsidRPr="00B8773C">
        <w:rPr>
          <w:i/>
          <w:sz w:val="22"/>
        </w:rPr>
        <w:t>p</w:t>
      </w:r>
      <w:r w:rsidRPr="00B8773C">
        <w:rPr>
          <w:i/>
          <w:sz w:val="22"/>
        </w:rPr>
        <w:t>port contributes to long-term sustainability in the form of beneficiary countries progressively assu</w:t>
      </w:r>
      <w:r w:rsidRPr="00B8773C">
        <w:rPr>
          <w:i/>
          <w:sz w:val="22"/>
        </w:rPr>
        <w:t>m</w:t>
      </w:r>
      <w:r w:rsidRPr="00B8773C">
        <w:rPr>
          <w:i/>
          <w:sz w:val="22"/>
        </w:rPr>
        <w:t xml:space="preserve">ing financial responsibility for climate change related activity. </w:t>
      </w:r>
    </w:p>
    <w:p w:rsidR="00B8773C" w:rsidRPr="00B8773C" w:rsidRDefault="00B8773C" w:rsidP="00B8773C">
      <w:pPr>
        <w:spacing w:after="120"/>
        <w:rPr>
          <w:b/>
          <w:i/>
          <w:sz w:val="22"/>
          <w:u w:val="single"/>
        </w:rPr>
      </w:pPr>
      <w:r w:rsidRPr="00B8773C">
        <w:rPr>
          <w:b/>
          <w:i/>
          <w:sz w:val="22"/>
          <w:u w:val="single"/>
        </w:rPr>
        <w:t xml:space="preserve">Recommendation 6: </w:t>
      </w:r>
    </w:p>
    <w:p w:rsidR="00B8773C" w:rsidRPr="00B8773C" w:rsidRDefault="00B8773C" w:rsidP="00B8773C">
      <w:pPr>
        <w:rPr>
          <w:sz w:val="22"/>
        </w:rPr>
      </w:pPr>
      <w:r w:rsidRPr="00B8773C">
        <w:rPr>
          <w:sz w:val="22"/>
        </w:rPr>
        <w:t xml:space="preserve">It is recommended that the EU </w:t>
      </w:r>
      <w:proofErr w:type="gramStart"/>
      <w:r w:rsidRPr="00B8773C">
        <w:rPr>
          <w:sz w:val="22"/>
        </w:rPr>
        <w:t>uses</w:t>
      </w:r>
      <w:proofErr w:type="gramEnd"/>
      <w:r w:rsidRPr="00B8773C">
        <w:rPr>
          <w:sz w:val="22"/>
        </w:rPr>
        <w:t xml:space="preserve"> its position on the European and International scene to mobilise high level policy support for global climate change action.</w:t>
      </w:r>
    </w:p>
    <w:p w:rsidR="00B8773C" w:rsidRPr="00B8773C" w:rsidRDefault="00B8773C" w:rsidP="00B8773C">
      <w:pPr>
        <w:rPr>
          <w:i/>
          <w:sz w:val="22"/>
        </w:rPr>
      </w:pPr>
      <w:r w:rsidRPr="00B8773C">
        <w:rPr>
          <w:i/>
          <w:sz w:val="22"/>
        </w:rPr>
        <w:t xml:space="preserve">This includes improving </w:t>
      </w:r>
      <w:r w:rsidRPr="00B8773C">
        <w:rPr>
          <w:b/>
          <w:i/>
          <w:sz w:val="22"/>
        </w:rPr>
        <w:t>coordination of the support</w:t>
      </w:r>
      <w:r w:rsidRPr="00B8773C">
        <w:rPr>
          <w:i/>
          <w:sz w:val="22"/>
        </w:rPr>
        <w:t xml:space="preserve"> provided to climate change negotiations, mai</w:t>
      </w:r>
      <w:r w:rsidRPr="00B8773C">
        <w:rPr>
          <w:i/>
          <w:sz w:val="22"/>
        </w:rPr>
        <w:t>n</w:t>
      </w:r>
      <w:r w:rsidRPr="00B8773C">
        <w:rPr>
          <w:i/>
          <w:sz w:val="22"/>
        </w:rPr>
        <w:t>streaming of climate change and knowledge management between national, regional and global pr</w:t>
      </w:r>
      <w:r w:rsidRPr="00B8773C">
        <w:rPr>
          <w:i/>
          <w:sz w:val="22"/>
        </w:rPr>
        <w:t>o</w:t>
      </w:r>
      <w:r w:rsidRPr="00B8773C">
        <w:rPr>
          <w:i/>
          <w:sz w:val="22"/>
        </w:rPr>
        <w:t>grammes, and between regional programmes. Particularly the EU needs to maximise the benefits of its unique position on both the European and the International scene, and its access to policy makers at high levels, to lobby for the coordination and streamlining of support. The EU also needs to use its unique position to ensure that advances made in research are integrated</w:t>
      </w:r>
      <w:r w:rsidR="00324B5C">
        <w:rPr>
          <w:i/>
          <w:sz w:val="22"/>
        </w:rPr>
        <w:t xml:space="preserve"> both</w:t>
      </w:r>
      <w:r w:rsidRPr="00B8773C">
        <w:rPr>
          <w:i/>
          <w:sz w:val="22"/>
        </w:rPr>
        <w:t xml:space="preserve"> into programmes wor</w:t>
      </w:r>
      <w:r w:rsidRPr="00B8773C">
        <w:rPr>
          <w:i/>
          <w:sz w:val="22"/>
        </w:rPr>
        <w:t>k</w:t>
      </w:r>
      <w:r w:rsidR="00D82D26">
        <w:rPr>
          <w:i/>
          <w:sz w:val="22"/>
        </w:rPr>
        <w:t>ing with CC in “poor</w:t>
      </w:r>
      <w:r w:rsidRPr="00B8773C">
        <w:rPr>
          <w:i/>
          <w:sz w:val="22"/>
        </w:rPr>
        <w:t xml:space="preserve"> countries and regions most vulnerable to climate change”, as well as integra</w:t>
      </w:r>
      <w:r w:rsidRPr="00B8773C">
        <w:rPr>
          <w:i/>
          <w:sz w:val="22"/>
        </w:rPr>
        <w:t>t</w:t>
      </w:r>
      <w:r w:rsidRPr="00B8773C">
        <w:rPr>
          <w:i/>
          <w:sz w:val="22"/>
        </w:rPr>
        <w:t xml:space="preserve">ing research results into the climate change policy dialogue at the International and Global level. </w:t>
      </w:r>
    </w:p>
    <w:p w:rsidR="00B8773C" w:rsidRPr="00B8773C" w:rsidRDefault="00B8773C" w:rsidP="00B8773C">
      <w:pPr>
        <w:keepNext/>
        <w:keepLines/>
        <w:spacing w:after="120"/>
        <w:rPr>
          <w:b/>
          <w:i/>
          <w:sz w:val="22"/>
          <w:u w:val="single"/>
        </w:rPr>
      </w:pPr>
      <w:r w:rsidRPr="00B8773C">
        <w:rPr>
          <w:b/>
          <w:i/>
          <w:sz w:val="22"/>
          <w:u w:val="single"/>
        </w:rPr>
        <w:t xml:space="preserve">Recommendation 7: </w:t>
      </w:r>
    </w:p>
    <w:p w:rsidR="00B8773C" w:rsidRPr="00B8773C" w:rsidRDefault="00B8773C" w:rsidP="00B8773C">
      <w:pPr>
        <w:keepNext/>
        <w:keepLines/>
        <w:rPr>
          <w:sz w:val="22"/>
        </w:rPr>
      </w:pPr>
      <w:r w:rsidRPr="00B8773C">
        <w:rPr>
          <w:sz w:val="22"/>
        </w:rPr>
        <w:t>It is recommended to promote stronger involvement of non-state actors and the private sector in GCCA-supported activities.</w:t>
      </w:r>
    </w:p>
    <w:p w:rsidR="00B8773C" w:rsidRPr="00B8773C" w:rsidRDefault="00B8773C" w:rsidP="00B8773C">
      <w:pPr>
        <w:rPr>
          <w:sz w:val="22"/>
        </w:rPr>
      </w:pPr>
      <w:r w:rsidRPr="00B8773C">
        <w:rPr>
          <w:i/>
          <w:sz w:val="22"/>
        </w:rPr>
        <w:t xml:space="preserve">It is important to promote stronger </w:t>
      </w:r>
      <w:r w:rsidRPr="00B8773C">
        <w:rPr>
          <w:b/>
          <w:i/>
          <w:sz w:val="22"/>
        </w:rPr>
        <w:t>involvement of relevant non-state actors</w:t>
      </w:r>
      <w:r w:rsidRPr="00B8773C">
        <w:rPr>
          <w:i/>
          <w:sz w:val="22"/>
        </w:rPr>
        <w:t xml:space="preserve"> in GCCA-supported action (at both national and regional levels, as well as with NSA’s based in the North), in order to ensure proper engagement with, and capacity development of, the populations most vulnerable to the effects of climate change. Likewise, where possible, </w:t>
      </w:r>
      <w:r w:rsidRPr="00B8773C">
        <w:rPr>
          <w:b/>
          <w:i/>
          <w:sz w:val="22"/>
        </w:rPr>
        <w:t>engagement with the private sector</w:t>
      </w:r>
      <w:r w:rsidRPr="00B8773C">
        <w:rPr>
          <w:i/>
          <w:sz w:val="22"/>
        </w:rPr>
        <w:t xml:space="preserve"> should be strengthened, for example through increased support for national climate action funds that include private sector support. Where relevant, GCCA-supported actions should also link up with the private sector support programmes funded by MS but which, thus far, have not developed a strong climate change focus. </w:t>
      </w:r>
    </w:p>
    <w:p w:rsidR="00B8773C" w:rsidRPr="00B8773C" w:rsidRDefault="00B8773C" w:rsidP="00B8773C">
      <w:pPr>
        <w:spacing w:after="120"/>
        <w:rPr>
          <w:b/>
          <w:i/>
          <w:sz w:val="22"/>
          <w:u w:val="single"/>
        </w:rPr>
      </w:pPr>
      <w:r w:rsidRPr="00B8773C">
        <w:rPr>
          <w:b/>
          <w:i/>
          <w:sz w:val="22"/>
          <w:u w:val="single"/>
        </w:rPr>
        <w:t xml:space="preserve">Recommendation 8: </w:t>
      </w:r>
    </w:p>
    <w:p w:rsidR="00B8773C" w:rsidRPr="00B8773C" w:rsidRDefault="00B8773C" w:rsidP="00B8773C">
      <w:pPr>
        <w:rPr>
          <w:i/>
          <w:sz w:val="22"/>
        </w:rPr>
      </w:pPr>
      <w:r w:rsidRPr="00B8773C">
        <w:rPr>
          <w:sz w:val="22"/>
        </w:rPr>
        <w:t>It is recommended that the monitoring framework for the programme be strengthened</w:t>
      </w:r>
      <w:r w:rsidRPr="00B8773C">
        <w:rPr>
          <w:i/>
          <w:sz w:val="22"/>
        </w:rPr>
        <w:t xml:space="preserve">. </w:t>
      </w:r>
    </w:p>
    <w:p w:rsidR="00B8773C" w:rsidRPr="00B8773C" w:rsidRDefault="00B8773C" w:rsidP="00B8773C">
      <w:pPr>
        <w:rPr>
          <w:i/>
          <w:sz w:val="22"/>
        </w:rPr>
      </w:pPr>
      <w:r w:rsidRPr="00B8773C">
        <w:rPr>
          <w:i/>
          <w:sz w:val="22"/>
        </w:rPr>
        <w:t xml:space="preserve">It is important to enhance </w:t>
      </w:r>
      <w:r w:rsidRPr="00B8773C">
        <w:rPr>
          <w:b/>
          <w:i/>
          <w:sz w:val="22"/>
        </w:rPr>
        <w:t>monitoring of regional and national programmes</w:t>
      </w:r>
      <w:r w:rsidRPr="00B8773C">
        <w:rPr>
          <w:i/>
          <w:sz w:val="22"/>
        </w:rPr>
        <w:t>, especially for more problematic programmes. Options for strengthened monitoring include</w:t>
      </w:r>
      <w:r w:rsidR="007E2564">
        <w:rPr>
          <w:i/>
          <w:sz w:val="22"/>
        </w:rPr>
        <w:t>:</w:t>
      </w:r>
      <w:r w:rsidRPr="00B8773C">
        <w:rPr>
          <w:i/>
          <w:sz w:val="22"/>
        </w:rPr>
        <w:t xml:space="preserve"> (1) a more pronounced role of the EU Delegations</w:t>
      </w:r>
      <w:r w:rsidR="007E2564">
        <w:rPr>
          <w:i/>
          <w:sz w:val="22"/>
        </w:rPr>
        <w:t>;</w:t>
      </w:r>
      <w:r w:rsidRPr="00B8773C">
        <w:rPr>
          <w:i/>
          <w:sz w:val="22"/>
        </w:rPr>
        <w:t xml:space="preserve"> (2) increa</w:t>
      </w:r>
      <w:r w:rsidR="007E2564">
        <w:rPr>
          <w:i/>
          <w:sz w:val="22"/>
        </w:rPr>
        <w:t>sed use of GSF and CSF services;</w:t>
      </w:r>
      <w:r w:rsidRPr="00B8773C">
        <w:rPr>
          <w:i/>
          <w:sz w:val="22"/>
        </w:rPr>
        <w:t xml:space="preserve"> and (3) procurement of technical backstopping services for the development and implementation of an impact monitoring system for the GCCA programme. The latter should include the development of an overall monitoring framework for the programme with - possibly - a number of compulsory indicators for all interventions.</w:t>
      </w:r>
    </w:p>
    <w:p w:rsidR="00B8773C" w:rsidRPr="00B8773C" w:rsidRDefault="00B8773C" w:rsidP="00B8773C">
      <w:pPr>
        <w:spacing w:after="120"/>
        <w:rPr>
          <w:b/>
          <w:i/>
          <w:sz w:val="22"/>
          <w:u w:val="single"/>
        </w:rPr>
      </w:pPr>
      <w:r w:rsidRPr="00B8773C">
        <w:rPr>
          <w:b/>
          <w:i/>
          <w:sz w:val="22"/>
          <w:u w:val="single"/>
        </w:rPr>
        <w:t xml:space="preserve">Recommendation 9: </w:t>
      </w:r>
    </w:p>
    <w:p w:rsidR="00B8773C" w:rsidRPr="00B8773C" w:rsidRDefault="00B8773C" w:rsidP="00B8773C">
      <w:pPr>
        <w:rPr>
          <w:sz w:val="22"/>
        </w:rPr>
      </w:pPr>
      <w:r w:rsidRPr="00B8773C">
        <w:rPr>
          <w:sz w:val="22"/>
        </w:rPr>
        <w:t>It is recommended to intensify the facilitation of climate change learning communities and learning events (globally, regionally and nationally)</w:t>
      </w:r>
    </w:p>
    <w:p w:rsidR="00B8773C" w:rsidRPr="00B8773C" w:rsidRDefault="00B8773C" w:rsidP="00B8773C">
      <w:pPr>
        <w:rPr>
          <w:i/>
          <w:sz w:val="22"/>
        </w:rPr>
      </w:pPr>
      <w:r w:rsidRPr="00B8773C">
        <w:rPr>
          <w:i/>
          <w:sz w:val="22"/>
        </w:rPr>
        <w:t xml:space="preserve">The GCCA and its Support Facilities (GSF and CSF) should strengthen </w:t>
      </w:r>
      <w:r w:rsidRPr="00B8773C">
        <w:rPr>
          <w:b/>
          <w:i/>
          <w:sz w:val="22"/>
        </w:rPr>
        <w:t>facilitation and promotion of exchange of experience on climate action</w:t>
      </w:r>
      <w:r w:rsidRPr="00B8773C">
        <w:rPr>
          <w:i/>
          <w:sz w:val="22"/>
        </w:rPr>
        <w:t xml:space="preserve"> across the GCCA-supported and other EU-funded projects working on climate change, through the organisation of global learning events and facilitation of learning communities. It would seem appropriate to complement global level events with regional events</w:t>
      </w:r>
      <w:r w:rsidR="007E2564">
        <w:rPr>
          <w:i/>
          <w:sz w:val="22"/>
        </w:rPr>
        <w:t>, fostering the</w:t>
      </w:r>
      <w:r w:rsidRPr="00B8773C">
        <w:rPr>
          <w:i/>
          <w:sz w:val="22"/>
        </w:rPr>
        <w:t xml:space="preserve"> participation of less involved target groups, notably of non-state actors including the private sector. National and regional EU delegations are</w:t>
      </w:r>
      <w:r w:rsidR="007E2564">
        <w:rPr>
          <w:i/>
          <w:sz w:val="22"/>
        </w:rPr>
        <w:t xml:space="preserve"> seen as</w:t>
      </w:r>
      <w:r w:rsidRPr="00B8773C">
        <w:rPr>
          <w:i/>
          <w:sz w:val="22"/>
        </w:rPr>
        <w:t xml:space="preserve"> key actors, interlocutors and facilitators to achieve this.</w:t>
      </w:r>
    </w:p>
    <w:p w:rsidR="00B8773C" w:rsidRPr="00B8773C" w:rsidRDefault="00B8773C" w:rsidP="00B8773C">
      <w:pPr>
        <w:keepNext/>
        <w:keepLines/>
        <w:spacing w:after="120"/>
        <w:rPr>
          <w:b/>
          <w:i/>
          <w:sz w:val="22"/>
          <w:u w:val="single"/>
        </w:rPr>
      </w:pPr>
      <w:r w:rsidRPr="00B8773C">
        <w:rPr>
          <w:b/>
          <w:i/>
          <w:sz w:val="22"/>
          <w:u w:val="single"/>
        </w:rPr>
        <w:t xml:space="preserve">Recommendation 10: </w:t>
      </w:r>
    </w:p>
    <w:p w:rsidR="00B8773C" w:rsidRPr="00B8773C" w:rsidRDefault="00B8773C" w:rsidP="00B8773C">
      <w:pPr>
        <w:keepNext/>
        <w:keepLines/>
        <w:rPr>
          <w:sz w:val="22"/>
        </w:rPr>
      </w:pPr>
      <w:r w:rsidRPr="00B8773C">
        <w:rPr>
          <w:sz w:val="22"/>
        </w:rPr>
        <w:t xml:space="preserve">It is recommended that the GCCA website become a more pro-active and inter-active tool in the GCCA communication strategy.  </w:t>
      </w:r>
    </w:p>
    <w:p w:rsidR="00687F62" w:rsidRPr="00B8773C" w:rsidRDefault="00B8773C" w:rsidP="00093EEF">
      <w:pPr>
        <w:rPr>
          <w:i/>
          <w:sz w:val="22"/>
        </w:rPr>
      </w:pPr>
      <w:r w:rsidRPr="00B8773C">
        <w:rPr>
          <w:i/>
          <w:sz w:val="22"/>
        </w:rPr>
        <w:t xml:space="preserve">The website should be seen as a proactive tool to increase GCCA visibility. The website could be a key platform for knowledge management in respect of regional and global learning events by adding a knowledge management function that makes best use of the electronic media to also encourage and incorporate feedback on an ongoing basis. The GCCA website is supposed to provide a platform for dialogue; however much more work can be done to ensure that </w:t>
      </w:r>
      <w:proofErr w:type="gramStart"/>
      <w:r w:rsidRPr="00B8773C">
        <w:rPr>
          <w:i/>
          <w:sz w:val="22"/>
        </w:rPr>
        <w:t>feed-back</w:t>
      </w:r>
      <w:proofErr w:type="gramEnd"/>
      <w:r w:rsidRPr="00B8773C">
        <w:rPr>
          <w:i/>
          <w:sz w:val="22"/>
        </w:rPr>
        <w:t xml:space="preserve"> “from the field” is incorp</w:t>
      </w:r>
      <w:r w:rsidRPr="00B8773C">
        <w:rPr>
          <w:i/>
          <w:sz w:val="22"/>
        </w:rPr>
        <w:t>o</w:t>
      </w:r>
      <w:r w:rsidRPr="00B8773C">
        <w:rPr>
          <w:i/>
          <w:sz w:val="22"/>
        </w:rPr>
        <w:t xml:space="preserve">rated. This includes, for example, capturing the follow-up from the “GCCA+ side-event” at the December 2014 COP 20, and building on this. The GCCA website should provide more up-to-date links to relevant outputs and documentation on the interventions supported under both the national and regional programmes.  </w:t>
      </w:r>
    </w:p>
    <w:p w:rsidR="00C32E00" w:rsidRPr="001E27BC" w:rsidRDefault="00C32E00" w:rsidP="00093EEF"/>
    <w:p w:rsidR="00C32E00" w:rsidRPr="001E27BC" w:rsidRDefault="00C32E00" w:rsidP="00093EEF">
      <w:pPr>
        <w:sectPr w:rsidR="00C32E00" w:rsidRPr="001E27BC">
          <w:footerReference w:type="default" r:id="rId14"/>
          <w:pgSz w:w="11906" w:h="16838" w:code="9"/>
          <w:pgMar w:top="1276" w:right="1440" w:bottom="1080" w:left="1440" w:header="851" w:footer="851" w:gutter="0"/>
          <w:pgNumType w:fmt="lowerRoman" w:start="1"/>
          <w:docGrid w:linePitch="326"/>
        </w:sectPr>
      </w:pPr>
    </w:p>
    <w:p w:rsidR="00C74D2B" w:rsidRPr="001E27BC" w:rsidRDefault="003936A6" w:rsidP="003936A6">
      <w:pPr>
        <w:pStyle w:val="Heading1"/>
      </w:pPr>
      <w:bookmarkStart w:id="6" w:name="_Toc284767304"/>
      <w:r>
        <w:t xml:space="preserve">1. </w:t>
      </w:r>
      <w:r>
        <w:tab/>
      </w:r>
      <w:r w:rsidR="00E12449" w:rsidRPr="001E27BC">
        <w:t>Introduction</w:t>
      </w:r>
      <w:bookmarkEnd w:id="6"/>
    </w:p>
    <w:p w:rsidR="00C74D2B" w:rsidRPr="001E27BC" w:rsidRDefault="003936A6" w:rsidP="003936A6">
      <w:pPr>
        <w:pStyle w:val="Heading2"/>
      </w:pPr>
      <w:bookmarkStart w:id="7" w:name="_Toc284767305"/>
      <w:r>
        <w:t xml:space="preserve">1.1 </w:t>
      </w:r>
      <w:r>
        <w:tab/>
      </w:r>
      <w:r w:rsidR="00C74D2B" w:rsidRPr="001E27BC">
        <w:t>Context of the evaluation</w:t>
      </w:r>
      <w:bookmarkEnd w:id="7"/>
    </w:p>
    <w:p w:rsidR="003D0903" w:rsidRPr="001E27BC" w:rsidRDefault="003936A6" w:rsidP="00315F62">
      <w:pPr>
        <w:pStyle w:val="Heading3"/>
      </w:pPr>
      <w:bookmarkStart w:id="8" w:name="_Toc284767306"/>
      <w:r>
        <w:t>1.1.1</w:t>
      </w:r>
      <w:r>
        <w:tab/>
      </w:r>
      <w:r w:rsidR="003D0903" w:rsidRPr="001E27BC">
        <w:t>The evaluation assignment</w:t>
      </w:r>
      <w:bookmarkEnd w:id="8"/>
    </w:p>
    <w:p w:rsidR="003D0903" w:rsidRPr="001E27BC" w:rsidRDefault="003D0903" w:rsidP="00E2042F">
      <w:r w:rsidRPr="001E27BC">
        <w:t xml:space="preserve">This report is one of the two final outputs </w:t>
      </w:r>
      <w:r w:rsidR="00C74292" w:rsidRPr="001E27BC">
        <w:t xml:space="preserve">produced by </w:t>
      </w:r>
      <w:r w:rsidRPr="001E27BC">
        <w:t xml:space="preserve">the team responsible for </w:t>
      </w:r>
      <w:r w:rsidR="008B279F" w:rsidRPr="001E27BC">
        <w:t xml:space="preserve">the </w:t>
      </w:r>
      <w:r w:rsidRPr="001E27BC">
        <w:t xml:space="preserve">Evaluation of the Global Climate Change Alliance (GCCA) and </w:t>
      </w:r>
      <w:r w:rsidR="008B279F" w:rsidRPr="001E27BC">
        <w:t xml:space="preserve">the </w:t>
      </w:r>
      <w:r w:rsidRPr="001E27BC">
        <w:t>Mid-Term Assessment of the Intra-ACP GCCA</w:t>
      </w:r>
      <w:r w:rsidR="001F17E8" w:rsidRPr="001E27BC">
        <w:t xml:space="preserve">, This </w:t>
      </w:r>
      <w:r w:rsidRPr="001E27BC">
        <w:t xml:space="preserve">assignment </w:t>
      </w:r>
      <w:r w:rsidR="008B279F" w:rsidRPr="001E27BC">
        <w:t xml:space="preserve">was </w:t>
      </w:r>
      <w:r w:rsidRPr="001E27BC">
        <w:t>awarded under the Framework Contract Eur</w:t>
      </w:r>
      <w:r w:rsidRPr="001E27BC">
        <w:t>o</w:t>
      </w:r>
      <w:r w:rsidRPr="001E27BC">
        <w:t xml:space="preserve">peAid/127054/C/SER/Multi - Lot 6: Environment. The Terms of Reference for the assignment are attached as </w:t>
      </w:r>
      <w:r w:rsidRPr="001E27BC">
        <w:rPr>
          <w:i/>
        </w:rPr>
        <w:t>Annex 1</w:t>
      </w:r>
      <w:r w:rsidRPr="001E27BC">
        <w:t>. For reason</w:t>
      </w:r>
      <w:r w:rsidR="008B279F" w:rsidRPr="001E27BC">
        <w:t xml:space="preserve">s relating </w:t>
      </w:r>
      <w:r w:rsidR="00861868" w:rsidRPr="001E27BC">
        <w:t>to the</w:t>
      </w:r>
      <w:r w:rsidRPr="001E27BC">
        <w:t xml:space="preserve"> </w:t>
      </w:r>
      <w:r w:rsidR="007F7168" w:rsidRPr="001E27BC">
        <w:t xml:space="preserve">assumed </w:t>
      </w:r>
      <w:r w:rsidRPr="001E27BC">
        <w:t>interaction and complementarity of the two programmes, it was decided to commission one single evaluation</w:t>
      </w:r>
      <w:r w:rsidR="002E590C" w:rsidRPr="001E27BC">
        <w:t xml:space="preserve"> mandate to </w:t>
      </w:r>
      <w:r w:rsidR="00861868" w:rsidRPr="001E27BC">
        <w:t>cover both</w:t>
      </w:r>
      <w:r w:rsidRPr="001E27BC">
        <w:t xml:space="preserve"> programmes. However, as the programmes</w:t>
      </w:r>
      <w:r w:rsidR="00BF7669" w:rsidRPr="001E27BC">
        <w:t xml:space="preserve"> have different funding sources,</w:t>
      </w:r>
      <w:r w:rsidRPr="001E27BC">
        <w:t xml:space="preserve"> two separate final reports were to be produced</w:t>
      </w:r>
      <w:r w:rsidR="002E590C" w:rsidRPr="001E27BC">
        <w:t xml:space="preserve"> each covering one of the programmes. </w:t>
      </w:r>
      <w:r w:rsidR="00D66B8F" w:rsidRPr="001E27BC">
        <w:t>This report concerns the gl</w:t>
      </w:r>
      <w:r w:rsidR="00D66B8F" w:rsidRPr="001E27BC">
        <w:t>o</w:t>
      </w:r>
      <w:r w:rsidR="00D66B8F" w:rsidRPr="001E27BC">
        <w:t xml:space="preserve">bal programme. </w:t>
      </w:r>
    </w:p>
    <w:p w:rsidR="004A4EB6" w:rsidRPr="001E27BC" w:rsidRDefault="004A4EB6" w:rsidP="004A4EB6">
      <w:pPr>
        <w:autoSpaceDE w:val="0"/>
        <w:autoSpaceDN w:val="0"/>
        <w:rPr>
          <w:color w:val="1A1A18"/>
        </w:rPr>
      </w:pPr>
      <w:r w:rsidRPr="001E27BC">
        <w:rPr>
          <w:color w:val="1A1A18"/>
        </w:rPr>
        <w:t xml:space="preserve">The team was mobilised under the EURONET Consortium and comprised Mr Egger Topper (AGEG Consultants), evaluation and forestry specialist, </w:t>
      </w:r>
      <w:r w:rsidR="00BF7669" w:rsidRPr="001E27BC">
        <w:rPr>
          <w:color w:val="1A1A18"/>
        </w:rPr>
        <w:t xml:space="preserve">and </w:t>
      </w:r>
      <w:r w:rsidRPr="001E27BC">
        <w:rPr>
          <w:color w:val="1A1A18"/>
        </w:rPr>
        <w:t>Mr Dean Pallen, climate change and evaluation expert (Baastel). Mr Pallen replaced Mr Alexandre Borde, economist and climate change expert, whose participation in the evaluation was li</w:t>
      </w:r>
      <w:r w:rsidR="007C2D97" w:rsidRPr="001E27BC">
        <w:rPr>
          <w:color w:val="1A1A18"/>
        </w:rPr>
        <w:t>mited to the initial phase. Mr.</w:t>
      </w:r>
      <w:r w:rsidRPr="001E27BC">
        <w:rPr>
          <w:color w:val="1A1A18"/>
        </w:rPr>
        <w:t>Topper and Mr. Pallen were supported by the Project Director, Mr Dolf Noppen (NCG) and Per Kirk</w:t>
      </w:r>
      <w:r w:rsidRPr="001E27BC">
        <w:rPr>
          <w:color w:val="1A1A18"/>
        </w:rPr>
        <w:t>e</w:t>
      </w:r>
      <w:r w:rsidRPr="001E27BC">
        <w:rPr>
          <w:color w:val="1A1A18"/>
        </w:rPr>
        <w:t>man (NCG), evaluation management experts. Short biographies of the team members are pr</w:t>
      </w:r>
      <w:r w:rsidRPr="001E27BC">
        <w:rPr>
          <w:color w:val="1A1A18"/>
        </w:rPr>
        <w:t>o</w:t>
      </w:r>
      <w:r w:rsidRPr="001E27BC">
        <w:rPr>
          <w:color w:val="1A1A18"/>
        </w:rPr>
        <w:t xml:space="preserve">vided in </w:t>
      </w:r>
      <w:r w:rsidRPr="001E27BC">
        <w:rPr>
          <w:i/>
          <w:color w:val="1A1A18"/>
        </w:rPr>
        <w:t>Annex 2.</w:t>
      </w:r>
      <w:r w:rsidRPr="001E27BC">
        <w:rPr>
          <w:color w:val="1A1A18"/>
        </w:rPr>
        <w:t xml:space="preserve"> </w:t>
      </w:r>
    </w:p>
    <w:p w:rsidR="003D0903" w:rsidRPr="001E27BC" w:rsidRDefault="003D0903" w:rsidP="0076070B">
      <w:pPr>
        <w:autoSpaceDE w:val="0"/>
        <w:autoSpaceDN w:val="0"/>
        <w:rPr>
          <w:color w:val="1A1A18"/>
        </w:rPr>
      </w:pPr>
      <w:r w:rsidRPr="001E27BC">
        <w:rPr>
          <w:color w:val="1A1A18"/>
        </w:rPr>
        <w:t xml:space="preserve">The assignment </w:t>
      </w:r>
      <w:r w:rsidR="00E843CB" w:rsidRPr="001E27BC">
        <w:rPr>
          <w:color w:val="1A1A18"/>
        </w:rPr>
        <w:t xml:space="preserve">commenced </w:t>
      </w:r>
      <w:r w:rsidR="003251C4" w:rsidRPr="001E27BC">
        <w:rPr>
          <w:color w:val="1A1A18"/>
        </w:rPr>
        <w:t xml:space="preserve">in </w:t>
      </w:r>
      <w:r w:rsidRPr="001E27BC">
        <w:rPr>
          <w:color w:val="1A1A18"/>
        </w:rPr>
        <w:t>December 2013 with a desk phase</w:t>
      </w:r>
      <w:r w:rsidR="005B6003" w:rsidRPr="001E27BC">
        <w:rPr>
          <w:color w:val="1A1A18"/>
        </w:rPr>
        <w:t>. F</w:t>
      </w:r>
      <w:r w:rsidRPr="001E27BC">
        <w:rPr>
          <w:color w:val="1A1A18"/>
        </w:rPr>
        <w:t xml:space="preserve">ield visits were undertaken between </w:t>
      </w:r>
      <w:r w:rsidRPr="0008111A">
        <w:rPr>
          <w:color w:val="1A1A18"/>
        </w:rPr>
        <w:t>February and May 2014</w:t>
      </w:r>
      <w:r w:rsidR="005B6003" w:rsidRPr="0008111A">
        <w:rPr>
          <w:color w:val="1A1A18"/>
        </w:rPr>
        <w:t>, while t</w:t>
      </w:r>
      <w:r w:rsidRPr="0008111A">
        <w:rPr>
          <w:color w:val="1A1A18"/>
        </w:rPr>
        <w:t>he months of June and July 2014 were dedicated to sy</w:t>
      </w:r>
      <w:r w:rsidRPr="0008111A">
        <w:rPr>
          <w:color w:val="1A1A18"/>
        </w:rPr>
        <w:t>n</w:t>
      </w:r>
      <w:r w:rsidRPr="0008111A">
        <w:rPr>
          <w:color w:val="1A1A18"/>
        </w:rPr>
        <w:t>thesis</w:t>
      </w:r>
      <w:r w:rsidR="005B6003" w:rsidRPr="0008111A">
        <w:rPr>
          <w:color w:val="1A1A18"/>
        </w:rPr>
        <w:t xml:space="preserve">, </w:t>
      </w:r>
      <w:r w:rsidRPr="0008111A">
        <w:rPr>
          <w:color w:val="1A1A18"/>
        </w:rPr>
        <w:t>reporting and presentation</w:t>
      </w:r>
      <w:r w:rsidR="002E590C" w:rsidRPr="0008111A">
        <w:rPr>
          <w:color w:val="1A1A18"/>
        </w:rPr>
        <w:t xml:space="preserve">s of the initial findings. </w:t>
      </w:r>
      <w:r w:rsidRPr="0008111A">
        <w:rPr>
          <w:color w:val="1A1A18"/>
        </w:rPr>
        <w:t xml:space="preserve">The evaluators assessed a sample of </w:t>
      </w:r>
      <w:r w:rsidR="00E843CB" w:rsidRPr="0008111A">
        <w:rPr>
          <w:color w:val="1A1A18"/>
        </w:rPr>
        <w:t>six</w:t>
      </w:r>
      <w:r w:rsidRPr="0008111A">
        <w:rPr>
          <w:color w:val="1A1A18"/>
        </w:rPr>
        <w:t xml:space="preserve"> regional and </w:t>
      </w:r>
      <w:r w:rsidR="00E843CB" w:rsidRPr="0008111A">
        <w:rPr>
          <w:color w:val="1A1A18"/>
        </w:rPr>
        <w:t>ten</w:t>
      </w:r>
      <w:r w:rsidR="005B6003" w:rsidRPr="0008111A">
        <w:rPr>
          <w:color w:val="1A1A18"/>
        </w:rPr>
        <w:t xml:space="preserve"> </w:t>
      </w:r>
      <w:r w:rsidRPr="0008111A">
        <w:rPr>
          <w:color w:val="1A1A18"/>
        </w:rPr>
        <w:t>national GCCA programmes.</w:t>
      </w:r>
      <w:r w:rsidR="00BD33C7" w:rsidRPr="0008111A">
        <w:rPr>
          <w:rStyle w:val="FootnoteReference"/>
          <w:color w:val="1A1A18"/>
        </w:rPr>
        <w:footnoteReference w:id="1"/>
      </w:r>
      <w:r w:rsidRPr="0008111A">
        <w:rPr>
          <w:color w:val="1A1A18"/>
        </w:rPr>
        <w:t xml:space="preserve"> On the basis of several criteria</w:t>
      </w:r>
      <w:r w:rsidR="007C2D97" w:rsidRPr="0008111A">
        <w:rPr>
          <w:color w:val="1A1A18"/>
        </w:rPr>
        <w:t xml:space="preserve"> developed for the Desk Report</w:t>
      </w:r>
      <w:r w:rsidRPr="0008111A">
        <w:rPr>
          <w:color w:val="1A1A18"/>
        </w:rPr>
        <w:t xml:space="preserve">, the following countries were selected for </w:t>
      </w:r>
      <w:r w:rsidR="00ED3664" w:rsidRPr="0008111A">
        <w:rPr>
          <w:color w:val="1A1A18"/>
        </w:rPr>
        <w:t>three</w:t>
      </w:r>
      <w:r w:rsidR="002E590C" w:rsidRPr="0008111A">
        <w:rPr>
          <w:color w:val="1A1A18"/>
        </w:rPr>
        <w:t xml:space="preserve"> to </w:t>
      </w:r>
      <w:r w:rsidR="00ED3664" w:rsidRPr="0008111A">
        <w:rPr>
          <w:color w:val="1A1A18"/>
        </w:rPr>
        <w:t>five</w:t>
      </w:r>
      <w:r w:rsidR="002E590C" w:rsidRPr="0008111A">
        <w:rPr>
          <w:color w:val="1A1A18"/>
        </w:rPr>
        <w:t xml:space="preserve"> day</w:t>
      </w:r>
      <w:r w:rsidR="00ED3664" w:rsidRPr="0008111A">
        <w:rPr>
          <w:color w:val="1A1A18"/>
        </w:rPr>
        <w:t>s’</w:t>
      </w:r>
      <w:r w:rsidR="002E590C" w:rsidRPr="0008111A">
        <w:rPr>
          <w:color w:val="1A1A18"/>
        </w:rPr>
        <w:t xml:space="preserve"> field missions: </w:t>
      </w:r>
      <w:r w:rsidRPr="0008111A">
        <w:rPr>
          <w:color w:val="1A1A18"/>
        </w:rPr>
        <w:t xml:space="preserve">In Asia: Nepal, Bhutan; In the Pacific: Fiji; In West Africa: Burkina Faso, Niger, Benin; In the Caribbean: Belize, Jamaica; In East Africa: Ethiopia, Rwanda; in Southern Africa: Zambia, Mozambique; and in the Indian Ocean region: Mauritius. In these countries, both regional and national-level interventions supported by either programme were assessed. </w:t>
      </w:r>
      <w:r w:rsidR="003251C4" w:rsidRPr="0008111A">
        <w:rPr>
          <w:color w:val="1A1A18"/>
        </w:rPr>
        <w:t xml:space="preserve">A work calendar is provided in </w:t>
      </w:r>
      <w:r w:rsidR="003251C4" w:rsidRPr="0008111A">
        <w:rPr>
          <w:i/>
          <w:color w:val="1A1A18"/>
        </w:rPr>
        <w:t>A</w:t>
      </w:r>
      <w:r w:rsidR="003251C4" w:rsidRPr="0008111A">
        <w:rPr>
          <w:i/>
          <w:color w:val="1A1A18"/>
        </w:rPr>
        <w:t>n</w:t>
      </w:r>
      <w:r w:rsidR="003251C4" w:rsidRPr="0008111A">
        <w:rPr>
          <w:i/>
          <w:color w:val="1A1A18"/>
        </w:rPr>
        <w:t xml:space="preserve">nex </w:t>
      </w:r>
      <w:r w:rsidR="008D16B9" w:rsidRPr="0008111A">
        <w:rPr>
          <w:i/>
          <w:color w:val="1A1A18"/>
        </w:rPr>
        <w:t>7</w:t>
      </w:r>
      <w:r w:rsidR="003251C4" w:rsidRPr="0008111A">
        <w:rPr>
          <w:color w:val="1A1A18"/>
        </w:rPr>
        <w:t>.</w:t>
      </w:r>
      <w:r w:rsidR="007C2D97" w:rsidRPr="0008111A">
        <w:rPr>
          <w:color w:val="1A1A18"/>
        </w:rPr>
        <w:t xml:space="preserve"> Subsequent to the presentation of the Draft Final report to the </w:t>
      </w:r>
      <w:r w:rsidR="008C403E" w:rsidRPr="0008111A">
        <w:rPr>
          <w:color w:val="1A1A18"/>
        </w:rPr>
        <w:t xml:space="preserve">second Evaluation Reference Group meeting, on 6th of October 2014, </w:t>
      </w:r>
      <w:r w:rsidR="007C2D97" w:rsidRPr="0008111A">
        <w:rPr>
          <w:color w:val="1A1A18"/>
        </w:rPr>
        <w:t xml:space="preserve">a follow-up questionnaire survey was circulated to a sample of Member States focussing on MS awareness at headquarters level of the GCCA and MS technical and financial support to climate interventions in LDCs and SIDS. </w:t>
      </w:r>
      <w:r w:rsidR="008F2633" w:rsidRPr="0008111A">
        <w:rPr>
          <w:color w:val="1A1A18"/>
        </w:rPr>
        <w:t>The questionnaire, as well as a</w:t>
      </w:r>
      <w:r w:rsidR="007C2D97" w:rsidRPr="0008111A">
        <w:rPr>
          <w:color w:val="1A1A18"/>
        </w:rPr>
        <w:t>nalysis of these responses and the agencies contacted</w:t>
      </w:r>
      <w:r w:rsidR="0008111A">
        <w:rPr>
          <w:color w:val="1A1A18"/>
        </w:rPr>
        <w:t>,</w:t>
      </w:r>
      <w:r w:rsidR="007C2D97" w:rsidRPr="0008111A">
        <w:rPr>
          <w:color w:val="1A1A18"/>
        </w:rPr>
        <w:t xml:space="preserve"> </w:t>
      </w:r>
      <w:r w:rsidR="001C0CDC">
        <w:rPr>
          <w:color w:val="1A1A18"/>
        </w:rPr>
        <w:t xml:space="preserve">is </w:t>
      </w:r>
      <w:r w:rsidR="007C2D97" w:rsidRPr="0008111A">
        <w:rPr>
          <w:color w:val="1A1A18"/>
        </w:rPr>
        <w:t xml:space="preserve">included as Annex </w:t>
      </w:r>
      <w:r w:rsidR="002C6069" w:rsidRPr="0008111A">
        <w:rPr>
          <w:color w:val="1A1A18"/>
        </w:rPr>
        <w:t>9</w:t>
      </w:r>
      <w:r w:rsidR="007C2D97" w:rsidRPr="0008111A">
        <w:rPr>
          <w:color w:val="1A1A18"/>
        </w:rPr>
        <w:t>.</w:t>
      </w:r>
    </w:p>
    <w:p w:rsidR="00E843CB" w:rsidRPr="001E27BC" w:rsidRDefault="00BC1DD7" w:rsidP="0076070B">
      <w:pPr>
        <w:autoSpaceDE w:val="0"/>
        <w:autoSpaceDN w:val="0"/>
        <w:rPr>
          <w:color w:val="1A1A18"/>
        </w:rPr>
      </w:pPr>
      <w:r w:rsidRPr="001E27BC">
        <w:rPr>
          <w:color w:val="1A1A18"/>
        </w:rPr>
        <w:t xml:space="preserve">This report follows </w:t>
      </w:r>
      <w:r w:rsidR="002E590C" w:rsidRPr="001E27BC">
        <w:rPr>
          <w:color w:val="1A1A18"/>
        </w:rPr>
        <w:t xml:space="preserve">the </w:t>
      </w:r>
      <w:r w:rsidRPr="001E27BC">
        <w:rPr>
          <w:color w:val="1A1A18"/>
        </w:rPr>
        <w:t xml:space="preserve">desk </w:t>
      </w:r>
      <w:r w:rsidR="007C2D97" w:rsidRPr="001E27BC">
        <w:rPr>
          <w:color w:val="1A1A18"/>
        </w:rPr>
        <w:t xml:space="preserve">report that outlined </w:t>
      </w:r>
      <w:r w:rsidRPr="001E27BC">
        <w:rPr>
          <w:color w:val="1A1A18"/>
        </w:rPr>
        <w:t>the proposed approach and methodology. Esse</w:t>
      </w:r>
      <w:r w:rsidRPr="001E27BC">
        <w:rPr>
          <w:color w:val="1A1A18"/>
        </w:rPr>
        <w:t>n</w:t>
      </w:r>
      <w:r w:rsidRPr="001E27BC">
        <w:rPr>
          <w:color w:val="1A1A18"/>
        </w:rPr>
        <w:t>tially, th</w:t>
      </w:r>
      <w:r w:rsidR="007C2D97" w:rsidRPr="001E27BC">
        <w:rPr>
          <w:color w:val="1A1A18"/>
        </w:rPr>
        <w:t xml:space="preserve">e final </w:t>
      </w:r>
      <w:r w:rsidRPr="001E27BC">
        <w:rPr>
          <w:color w:val="1A1A18"/>
        </w:rPr>
        <w:t xml:space="preserve">report aims to answer </w:t>
      </w:r>
      <w:r w:rsidR="00ED3664" w:rsidRPr="001E27BC">
        <w:rPr>
          <w:color w:val="1A1A18"/>
        </w:rPr>
        <w:t>the</w:t>
      </w:r>
      <w:r w:rsidR="002E590C" w:rsidRPr="001E27BC">
        <w:rPr>
          <w:color w:val="1A1A18"/>
        </w:rPr>
        <w:t xml:space="preserve"> </w:t>
      </w:r>
      <w:r w:rsidR="00E843CB" w:rsidRPr="001E27BC">
        <w:rPr>
          <w:color w:val="1A1A18"/>
        </w:rPr>
        <w:t>ten</w:t>
      </w:r>
      <w:r w:rsidRPr="001E27BC">
        <w:rPr>
          <w:color w:val="1A1A18"/>
        </w:rPr>
        <w:t xml:space="preserve"> main evaluation questions </w:t>
      </w:r>
      <w:r w:rsidR="002E590C" w:rsidRPr="001E27BC">
        <w:rPr>
          <w:color w:val="1A1A18"/>
        </w:rPr>
        <w:t xml:space="preserve">that were </w:t>
      </w:r>
      <w:r w:rsidRPr="001E27BC">
        <w:rPr>
          <w:color w:val="1A1A18"/>
        </w:rPr>
        <w:t>formulated du</w:t>
      </w:r>
      <w:r w:rsidRPr="001E27BC">
        <w:rPr>
          <w:color w:val="1A1A18"/>
        </w:rPr>
        <w:t>r</w:t>
      </w:r>
      <w:r w:rsidRPr="001E27BC">
        <w:rPr>
          <w:color w:val="1A1A18"/>
        </w:rPr>
        <w:t xml:space="preserve">ing the Desk phase, using an evaluation matrix presented in </w:t>
      </w:r>
      <w:r w:rsidRPr="001E27BC">
        <w:rPr>
          <w:i/>
          <w:color w:val="1A1A18"/>
        </w:rPr>
        <w:t>Annex 4</w:t>
      </w:r>
      <w:r w:rsidR="008D16B9" w:rsidRPr="001E27BC">
        <w:rPr>
          <w:i/>
          <w:color w:val="1A1A18"/>
        </w:rPr>
        <w:t>A</w:t>
      </w:r>
      <w:r w:rsidR="007C2D97" w:rsidRPr="001E27BC">
        <w:rPr>
          <w:color w:val="1A1A18"/>
        </w:rPr>
        <w:t xml:space="preserve">. </w:t>
      </w:r>
      <w:r w:rsidR="003D0903" w:rsidRPr="001E27BC">
        <w:rPr>
          <w:color w:val="1A1A18"/>
        </w:rPr>
        <w:t>Th</w:t>
      </w:r>
      <w:r w:rsidRPr="001E27BC">
        <w:rPr>
          <w:color w:val="1A1A18"/>
        </w:rPr>
        <w:t>e</w:t>
      </w:r>
      <w:r w:rsidR="003D0903" w:rsidRPr="001E27BC">
        <w:rPr>
          <w:color w:val="1A1A18"/>
        </w:rPr>
        <w:t xml:space="preserve"> report provides an analysis of findings, conclusions and recommendations for the </w:t>
      </w:r>
      <w:r w:rsidRPr="001E27BC">
        <w:rPr>
          <w:color w:val="1A1A18"/>
        </w:rPr>
        <w:t>G</w:t>
      </w:r>
      <w:r w:rsidR="003D0903" w:rsidRPr="001E27BC">
        <w:rPr>
          <w:color w:val="1A1A18"/>
        </w:rPr>
        <w:t>lobal GCCA programme, focu</w:t>
      </w:r>
      <w:r w:rsidR="003D0903" w:rsidRPr="001E27BC">
        <w:rPr>
          <w:color w:val="1A1A18"/>
        </w:rPr>
        <w:t>s</w:t>
      </w:r>
      <w:r w:rsidR="003D0903" w:rsidRPr="001E27BC">
        <w:rPr>
          <w:color w:val="1A1A18"/>
        </w:rPr>
        <w:t xml:space="preserve">ing on issues at the ‘macro-level’. </w:t>
      </w:r>
      <w:r w:rsidR="00E843CB" w:rsidRPr="001E27BC">
        <w:rPr>
          <w:color w:val="1A1A18"/>
        </w:rPr>
        <w:t xml:space="preserve">It is complemented by a report on the evaluation of the Intra-ACP GCCA programme. </w:t>
      </w:r>
    </w:p>
    <w:p w:rsidR="003D0903" w:rsidRPr="001C0CDC" w:rsidRDefault="00E843CB" w:rsidP="0076070B">
      <w:pPr>
        <w:autoSpaceDE w:val="0"/>
        <w:autoSpaceDN w:val="0"/>
        <w:rPr>
          <w:color w:val="1A1A18"/>
        </w:rPr>
      </w:pPr>
      <w:r w:rsidRPr="001E27BC">
        <w:rPr>
          <w:color w:val="1A1A18"/>
        </w:rPr>
        <w:t>Th</w:t>
      </w:r>
      <w:r w:rsidR="002E590C" w:rsidRPr="001E27BC">
        <w:rPr>
          <w:color w:val="1A1A18"/>
        </w:rPr>
        <w:t>is</w:t>
      </w:r>
      <w:r w:rsidRPr="001E27BC">
        <w:rPr>
          <w:color w:val="1A1A18"/>
        </w:rPr>
        <w:t xml:space="preserve"> report i</w:t>
      </w:r>
      <w:r w:rsidR="003D0903" w:rsidRPr="001E27BC">
        <w:rPr>
          <w:color w:val="1A1A18"/>
        </w:rPr>
        <w:t xml:space="preserve">s based on </w:t>
      </w:r>
      <w:r w:rsidR="003251C4" w:rsidRPr="001E27BC">
        <w:rPr>
          <w:color w:val="1A1A18"/>
        </w:rPr>
        <w:t xml:space="preserve">the </w:t>
      </w:r>
      <w:r w:rsidR="003D0903" w:rsidRPr="001E27BC">
        <w:rPr>
          <w:color w:val="1A1A18"/>
        </w:rPr>
        <w:t xml:space="preserve">series of </w:t>
      </w:r>
      <w:r w:rsidR="003251C4" w:rsidRPr="001E27BC">
        <w:rPr>
          <w:color w:val="1A1A18"/>
        </w:rPr>
        <w:t>M</w:t>
      </w:r>
      <w:r w:rsidR="003D0903" w:rsidRPr="001E27BC">
        <w:rPr>
          <w:color w:val="1A1A18"/>
        </w:rPr>
        <w:t xml:space="preserve">ission </w:t>
      </w:r>
      <w:r w:rsidR="003251C4" w:rsidRPr="001E27BC">
        <w:rPr>
          <w:color w:val="1A1A18"/>
        </w:rPr>
        <w:t>A</w:t>
      </w:r>
      <w:r w:rsidR="003D0903" w:rsidRPr="001E27BC">
        <w:rPr>
          <w:color w:val="1A1A18"/>
        </w:rPr>
        <w:t>ide-</w:t>
      </w:r>
      <w:r w:rsidR="003251C4" w:rsidRPr="001E27BC">
        <w:rPr>
          <w:color w:val="1A1A18"/>
        </w:rPr>
        <w:t>M</w:t>
      </w:r>
      <w:r w:rsidR="003D0903" w:rsidRPr="001E27BC">
        <w:rPr>
          <w:color w:val="1A1A18"/>
        </w:rPr>
        <w:t>émoires (</w:t>
      </w:r>
      <w:r w:rsidR="00BC1DD7" w:rsidRPr="001E27BC">
        <w:rPr>
          <w:color w:val="1A1A18"/>
        </w:rPr>
        <w:t xml:space="preserve">presented </w:t>
      </w:r>
      <w:r w:rsidR="003D0903" w:rsidRPr="001E27BC">
        <w:rPr>
          <w:color w:val="1A1A18"/>
        </w:rPr>
        <w:t xml:space="preserve">in </w:t>
      </w:r>
      <w:r w:rsidR="005B6003" w:rsidRPr="001E27BC">
        <w:rPr>
          <w:i/>
          <w:color w:val="1A1A18"/>
        </w:rPr>
        <w:t>A</w:t>
      </w:r>
      <w:r w:rsidR="003D0903" w:rsidRPr="001E27BC">
        <w:rPr>
          <w:i/>
          <w:color w:val="1A1A18"/>
        </w:rPr>
        <w:t xml:space="preserve">nnex </w:t>
      </w:r>
      <w:r w:rsidR="005B6003" w:rsidRPr="001E27BC">
        <w:rPr>
          <w:i/>
          <w:color w:val="1A1A18"/>
        </w:rPr>
        <w:t>3</w:t>
      </w:r>
      <w:r w:rsidR="003D0903" w:rsidRPr="001E27BC">
        <w:rPr>
          <w:color w:val="1A1A18"/>
        </w:rPr>
        <w:t xml:space="preserve">) which </w:t>
      </w:r>
      <w:r w:rsidR="002E590C" w:rsidRPr="001E27BC">
        <w:rPr>
          <w:color w:val="1A1A18"/>
        </w:rPr>
        <w:t xml:space="preserve">are essentially short reviews of the national GCCA </w:t>
      </w:r>
      <w:r w:rsidR="002E590C" w:rsidRPr="001C0CDC">
        <w:rPr>
          <w:color w:val="1A1A18"/>
        </w:rPr>
        <w:t xml:space="preserve">Programmes </w:t>
      </w:r>
      <w:r w:rsidR="007C2D97" w:rsidRPr="001C0CDC">
        <w:rPr>
          <w:color w:val="1A1A18"/>
        </w:rPr>
        <w:t>mentioned above</w:t>
      </w:r>
      <w:r w:rsidR="008F2633" w:rsidRPr="001C0CDC">
        <w:rPr>
          <w:color w:val="1A1A18"/>
        </w:rPr>
        <w:t xml:space="preserve"> and of the CSF</w:t>
      </w:r>
      <w:r w:rsidR="007C2D97" w:rsidRPr="001C0CDC">
        <w:rPr>
          <w:color w:val="1A1A18"/>
        </w:rPr>
        <w:t xml:space="preserve">. </w:t>
      </w:r>
      <w:r w:rsidR="00375F74" w:rsidRPr="001C0CDC">
        <w:rPr>
          <w:color w:val="1A1A18"/>
        </w:rPr>
        <w:t xml:space="preserve">The findings and issues raised in the Aide-Mémoires provide the </w:t>
      </w:r>
      <w:r w:rsidR="00A06471" w:rsidRPr="001C0CDC">
        <w:rPr>
          <w:color w:val="1A1A18"/>
        </w:rPr>
        <w:t>data foundation on which anal</w:t>
      </w:r>
      <w:r w:rsidR="00A06471" w:rsidRPr="001C0CDC">
        <w:rPr>
          <w:color w:val="1A1A18"/>
        </w:rPr>
        <w:t>y</w:t>
      </w:r>
      <w:r w:rsidR="00A06471" w:rsidRPr="001C0CDC">
        <w:rPr>
          <w:color w:val="1A1A18"/>
        </w:rPr>
        <w:t xml:space="preserve">sis of the GCCA global programme is based, and from which are derived the </w:t>
      </w:r>
      <w:r w:rsidR="00375F74" w:rsidRPr="001C0CDC">
        <w:rPr>
          <w:color w:val="1A1A18"/>
        </w:rPr>
        <w:t xml:space="preserve">overall findings, conclusions, recommendations and lessons learned.  </w:t>
      </w:r>
    </w:p>
    <w:p w:rsidR="003D0903" w:rsidRPr="001E27BC" w:rsidRDefault="003D0903" w:rsidP="0076070B">
      <w:pPr>
        <w:autoSpaceDE w:val="0"/>
        <w:autoSpaceDN w:val="0"/>
        <w:rPr>
          <w:color w:val="1A1A18"/>
        </w:rPr>
      </w:pPr>
      <w:r w:rsidRPr="001C0CDC">
        <w:rPr>
          <w:color w:val="1A1A18"/>
        </w:rPr>
        <w:t xml:space="preserve">The report is </w:t>
      </w:r>
      <w:r w:rsidR="003251C4" w:rsidRPr="001C0CDC">
        <w:rPr>
          <w:color w:val="1A1A18"/>
        </w:rPr>
        <w:t xml:space="preserve">structured </w:t>
      </w:r>
      <w:r w:rsidRPr="001C0CDC">
        <w:rPr>
          <w:color w:val="1A1A18"/>
        </w:rPr>
        <w:t xml:space="preserve">as follows: </w:t>
      </w:r>
      <w:r w:rsidR="00375F74" w:rsidRPr="001C0CDC">
        <w:rPr>
          <w:color w:val="1A1A18"/>
        </w:rPr>
        <w:t xml:space="preserve">This </w:t>
      </w:r>
      <w:r w:rsidR="00A06471" w:rsidRPr="001C0CDC">
        <w:rPr>
          <w:color w:val="1A1A18"/>
        </w:rPr>
        <w:t xml:space="preserve">introductory </w:t>
      </w:r>
      <w:r w:rsidRPr="001C0CDC">
        <w:rPr>
          <w:color w:val="1A1A18"/>
        </w:rPr>
        <w:t>chapter</w:t>
      </w:r>
      <w:r w:rsidR="00375F74" w:rsidRPr="001C0CDC">
        <w:rPr>
          <w:color w:val="1A1A18"/>
        </w:rPr>
        <w:t xml:space="preserve"> provides </w:t>
      </w:r>
      <w:r w:rsidR="00E843CB" w:rsidRPr="001C0CDC">
        <w:rPr>
          <w:color w:val="1A1A18"/>
        </w:rPr>
        <w:t xml:space="preserve">background </w:t>
      </w:r>
      <w:r w:rsidR="004A4EB6" w:rsidRPr="001C0CDC">
        <w:rPr>
          <w:color w:val="1A1A18"/>
        </w:rPr>
        <w:t>information on</w:t>
      </w:r>
      <w:r w:rsidR="003251C4" w:rsidRPr="001C0CDC">
        <w:rPr>
          <w:color w:val="1A1A18"/>
        </w:rPr>
        <w:t xml:space="preserve"> the</w:t>
      </w:r>
      <w:r w:rsidRPr="001C0CDC">
        <w:rPr>
          <w:color w:val="1A1A18"/>
        </w:rPr>
        <w:t xml:space="preserve"> GCCA initiative</w:t>
      </w:r>
      <w:r w:rsidR="00E843CB" w:rsidRPr="001C0CDC">
        <w:rPr>
          <w:color w:val="1A1A18"/>
        </w:rPr>
        <w:t xml:space="preserve"> and </w:t>
      </w:r>
      <w:r w:rsidR="00CA1D22" w:rsidRPr="001C0CDC">
        <w:rPr>
          <w:color w:val="1A1A18"/>
        </w:rPr>
        <w:t>the linkage</w:t>
      </w:r>
      <w:r w:rsidR="00375F74" w:rsidRPr="001C0CDC">
        <w:rPr>
          <w:color w:val="1A1A18"/>
        </w:rPr>
        <w:t>s</w:t>
      </w:r>
      <w:r w:rsidR="00CA1D22" w:rsidRPr="001C0CDC">
        <w:rPr>
          <w:color w:val="1A1A18"/>
        </w:rPr>
        <w:t xml:space="preserve"> between </w:t>
      </w:r>
      <w:r w:rsidR="00A06471" w:rsidRPr="001C0CDC">
        <w:rPr>
          <w:color w:val="1A1A18"/>
        </w:rPr>
        <w:t xml:space="preserve">its </w:t>
      </w:r>
      <w:r w:rsidR="003251C4" w:rsidRPr="001C0CDC">
        <w:rPr>
          <w:color w:val="1A1A18"/>
        </w:rPr>
        <w:t>various components</w:t>
      </w:r>
      <w:r w:rsidR="00CA1D22" w:rsidRPr="001C0CDC">
        <w:rPr>
          <w:color w:val="1A1A18"/>
        </w:rPr>
        <w:t xml:space="preserve">. It </w:t>
      </w:r>
      <w:r w:rsidR="00A06471" w:rsidRPr="001C0CDC">
        <w:rPr>
          <w:color w:val="1A1A18"/>
        </w:rPr>
        <w:t xml:space="preserve">goes on to explain </w:t>
      </w:r>
      <w:r w:rsidRPr="001C0CDC">
        <w:rPr>
          <w:color w:val="1A1A18"/>
        </w:rPr>
        <w:t>how different instruments contribute to the operationalisation</w:t>
      </w:r>
      <w:r w:rsidRPr="001E27BC">
        <w:rPr>
          <w:color w:val="1A1A18"/>
        </w:rPr>
        <w:t xml:space="preserve"> of the initiative. </w:t>
      </w:r>
      <w:r w:rsidR="00CA1D22" w:rsidRPr="001E27BC">
        <w:rPr>
          <w:color w:val="1A1A18"/>
        </w:rPr>
        <w:t>An u</w:t>
      </w:r>
      <w:r w:rsidRPr="001E27BC">
        <w:rPr>
          <w:color w:val="1A1A18"/>
        </w:rPr>
        <w:t>nderstanding of this setup is essential for the way in which the evaluation is designed and conducted.</w:t>
      </w:r>
    </w:p>
    <w:p w:rsidR="003D0903" w:rsidRPr="001E27BC" w:rsidRDefault="003D0903" w:rsidP="0076070B">
      <w:pPr>
        <w:autoSpaceDE w:val="0"/>
        <w:autoSpaceDN w:val="0"/>
        <w:rPr>
          <w:color w:val="1A1A18"/>
        </w:rPr>
      </w:pPr>
      <w:r w:rsidRPr="001E27BC">
        <w:rPr>
          <w:color w:val="1A1A18"/>
        </w:rPr>
        <w:t xml:space="preserve">In </w:t>
      </w:r>
      <w:r w:rsidR="00BC1DD7" w:rsidRPr="001E27BC">
        <w:rPr>
          <w:color w:val="1A1A18"/>
        </w:rPr>
        <w:t xml:space="preserve">chapter </w:t>
      </w:r>
      <w:r w:rsidR="007713B7" w:rsidRPr="001E27BC">
        <w:rPr>
          <w:color w:val="1A1A18"/>
        </w:rPr>
        <w:t>1</w:t>
      </w:r>
      <w:r w:rsidR="00CA1D22" w:rsidRPr="001E27BC">
        <w:rPr>
          <w:color w:val="1A1A18"/>
        </w:rPr>
        <w:t>.2</w:t>
      </w:r>
      <w:r w:rsidRPr="001E27BC">
        <w:rPr>
          <w:color w:val="1A1A18"/>
        </w:rPr>
        <w:t xml:space="preserve">, </w:t>
      </w:r>
      <w:r w:rsidR="00BC1DD7" w:rsidRPr="001E27BC">
        <w:rPr>
          <w:color w:val="1A1A18"/>
        </w:rPr>
        <w:t>t</w:t>
      </w:r>
      <w:r w:rsidRPr="001E27BC">
        <w:rPr>
          <w:color w:val="1A1A18"/>
        </w:rPr>
        <w:t>he methodology used for data collection and analysis during the evalua</w:t>
      </w:r>
      <w:r w:rsidR="00BC1DD7" w:rsidRPr="001E27BC">
        <w:rPr>
          <w:color w:val="1A1A18"/>
        </w:rPr>
        <w:t>tion pr</w:t>
      </w:r>
      <w:r w:rsidR="00BC1DD7" w:rsidRPr="001E27BC">
        <w:rPr>
          <w:color w:val="1A1A18"/>
        </w:rPr>
        <w:t>o</w:t>
      </w:r>
      <w:r w:rsidR="00BC1DD7" w:rsidRPr="001E27BC">
        <w:rPr>
          <w:color w:val="1A1A18"/>
        </w:rPr>
        <w:t>cess</w:t>
      </w:r>
      <w:r w:rsidR="00E843CB" w:rsidRPr="001E27BC">
        <w:rPr>
          <w:color w:val="1A1A18"/>
        </w:rPr>
        <w:t xml:space="preserve"> is presented</w:t>
      </w:r>
      <w:r w:rsidRPr="001E27BC">
        <w:rPr>
          <w:color w:val="1A1A18"/>
        </w:rPr>
        <w:t>. It essentially consists of t</w:t>
      </w:r>
      <w:r w:rsidR="00CA1D22" w:rsidRPr="001E27BC">
        <w:rPr>
          <w:color w:val="1A1A18"/>
        </w:rPr>
        <w:t xml:space="preserve">hree </w:t>
      </w:r>
      <w:r w:rsidRPr="001E27BC">
        <w:rPr>
          <w:color w:val="1A1A18"/>
        </w:rPr>
        <w:t>elements</w:t>
      </w:r>
      <w:r w:rsidR="003166C4" w:rsidRPr="001E27BC">
        <w:rPr>
          <w:color w:val="1A1A18"/>
        </w:rPr>
        <w:t>:</w:t>
      </w:r>
      <w:r w:rsidRPr="001E27BC">
        <w:rPr>
          <w:color w:val="1A1A18"/>
        </w:rPr>
        <w:t xml:space="preserve"> namely (1) </w:t>
      </w:r>
      <w:r w:rsidR="00CA1D22" w:rsidRPr="001E27BC">
        <w:rPr>
          <w:color w:val="1A1A18"/>
        </w:rPr>
        <w:t>the formulation of ten e</w:t>
      </w:r>
      <w:r w:rsidR="00CA1D22" w:rsidRPr="001E27BC">
        <w:rPr>
          <w:color w:val="1A1A18"/>
        </w:rPr>
        <w:t>v</w:t>
      </w:r>
      <w:r w:rsidR="00CA1D22" w:rsidRPr="001E27BC">
        <w:rPr>
          <w:color w:val="1A1A18"/>
        </w:rPr>
        <w:t xml:space="preserve">aluation questions; (2) </w:t>
      </w:r>
      <w:r w:rsidRPr="001E27BC">
        <w:rPr>
          <w:color w:val="1A1A18"/>
        </w:rPr>
        <w:t xml:space="preserve">an evaluation matrix containing a set of evaluation questions and sub-questions covering the </w:t>
      </w:r>
      <w:r w:rsidR="003166C4" w:rsidRPr="001E27BC">
        <w:rPr>
          <w:color w:val="1A1A18"/>
        </w:rPr>
        <w:t>OECD/</w:t>
      </w:r>
      <w:r w:rsidRPr="001E27BC">
        <w:rPr>
          <w:color w:val="1A1A18"/>
        </w:rPr>
        <w:t xml:space="preserve">DAC evaluation criteria, </w:t>
      </w:r>
      <w:r w:rsidR="004A4EB6" w:rsidRPr="001E27BC">
        <w:rPr>
          <w:color w:val="1A1A18"/>
        </w:rPr>
        <w:t>guiding the data collection</w:t>
      </w:r>
      <w:r w:rsidR="003166C4" w:rsidRPr="001E27BC">
        <w:rPr>
          <w:color w:val="1A1A18"/>
        </w:rPr>
        <w:t>;</w:t>
      </w:r>
      <w:r w:rsidR="004A4EB6" w:rsidRPr="001E27BC">
        <w:rPr>
          <w:color w:val="1A1A18"/>
        </w:rPr>
        <w:t xml:space="preserve"> </w:t>
      </w:r>
      <w:r w:rsidR="00CA1D22" w:rsidRPr="001E27BC">
        <w:rPr>
          <w:color w:val="1A1A18"/>
        </w:rPr>
        <w:t>and (3</w:t>
      </w:r>
      <w:r w:rsidRPr="001E27BC">
        <w:rPr>
          <w:color w:val="1A1A18"/>
        </w:rPr>
        <w:t xml:space="preserve">) a scoring table reflecting performance of each of the projects and programmes evaluated </w:t>
      </w:r>
      <w:r w:rsidR="003166C4" w:rsidRPr="001E27BC">
        <w:rPr>
          <w:color w:val="1A1A18"/>
        </w:rPr>
        <w:t xml:space="preserve">according to </w:t>
      </w:r>
      <w:r w:rsidRPr="001E27BC">
        <w:rPr>
          <w:color w:val="1A1A18"/>
        </w:rPr>
        <w:t xml:space="preserve">the various evaluation criteria and evaluation questions. </w:t>
      </w:r>
      <w:r w:rsidR="009D26AB" w:rsidRPr="001E27BC">
        <w:rPr>
          <w:color w:val="1A1A18"/>
        </w:rPr>
        <w:t>Further d</w:t>
      </w:r>
      <w:r w:rsidR="00CA1D22" w:rsidRPr="001E27BC">
        <w:rPr>
          <w:color w:val="1A1A18"/>
        </w:rPr>
        <w:t xml:space="preserve">etails on </w:t>
      </w:r>
      <w:r w:rsidR="009D26AB" w:rsidRPr="001E27BC">
        <w:rPr>
          <w:color w:val="1A1A18"/>
        </w:rPr>
        <w:t xml:space="preserve">the </w:t>
      </w:r>
      <w:r w:rsidR="00CA1D22" w:rsidRPr="001E27BC">
        <w:rPr>
          <w:color w:val="1A1A18"/>
        </w:rPr>
        <w:t xml:space="preserve">methodology are provided in </w:t>
      </w:r>
      <w:r w:rsidR="00CA1D22" w:rsidRPr="001E27BC">
        <w:rPr>
          <w:i/>
          <w:color w:val="1A1A18"/>
        </w:rPr>
        <w:t xml:space="preserve">Annex </w:t>
      </w:r>
      <w:r w:rsidR="008D16B9" w:rsidRPr="001E27BC">
        <w:rPr>
          <w:i/>
          <w:color w:val="1A1A18"/>
        </w:rPr>
        <w:t xml:space="preserve">4. </w:t>
      </w:r>
      <w:r w:rsidR="008D16B9" w:rsidRPr="001E27BC">
        <w:rPr>
          <w:color w:val="1A1A18"/>
        </w:rPr>
        <w:t xml:space="preserve">In chapter </w:t>
      </w:r>
      <w:r w:rsidR="007713B7" w:rsidRPr="001E27BC">
        <w:rPr>
          <w:color w:val="1A1A18"/>
        </w:rPr>
        <w:t>1</w:t>
      </w:r>
      <w:r w:rsidR="008D16B9" w:rsidRPr="001E27BC">
        <w:rPr>
          <w:color w:val="1A1A18"/>
        </w:rPr>
        <w:t xml:space="preserve">.2.5, some of the </w:t>
      </w:r>
      <w:r w:rsidR="00CA1D22" w:rsidRPr="001E27BC">
        <w:rPr>
          <w:color w:val="1A1A18"/>
        </w:rPr>
        <w:t xml:space="preserve">difficulties encountered </w:t>
      </w:r>
      <w:r w:rsidR="003166C4" w:rsidRPr="001E27BC">
        <w:rPr>
          <w:color w:val="1A1A18"/>
        </w:rPr>
        <w:t xml:space="preserve">during </w:t>
      </w:r>
      <w:r w:rsidR="00CA1D22" w:rsidRPr="001E27BC">
        <w:rPr>
          <w:color w:val="1A1A18"/>
        </w:rPr>
        <w:t>implementation of the assign</w:t>
      </w:r>
      <w:r w:rsidR="008D16B9" w:rsidRPr="001E27BC">
        <w:rPr>
          <w:color w:val="1A1A18"/>
        </w:rPr>
        <w:t xml:space="preserve">ment are discussed. </w:t>
      </w:r>
    </w:p>
    <w:p w:rsidR="00CA1D22" w:rsidRPr="001E27BC" w:rsidRDefault="003166C4" w:rsidP="0076070B">
      <w:pPr>
        <w:autoSpaceDE w:val="0"/>
        <w:autoSpaceDN w:val="0"/>
        <w:rPr>
          <w:color w:val="1A1A18"/>
        </w:rPr>
      </w:pPr>
      <w:r w:rsidRPr="001E27BC">
        <w:rPr>
          <w:color w:val="1A1A18"/>
        </w:rPr>
        <w:t>In C</w:t>
      </w:r>
      <w:r w:rsidR="00CA1D22" w:rsidRPr="001E27BC">
        <w:rPr>
          <w:color w:val="1A1A18"/>
        </w:rPr>
        <w:t xml:space="preserve">hapter </w:t>
      </w:r>
      <w:r w:rsidRPr="001E27BC">
        <w:rPr>
          <w:color w:val="1A1A18"/>
        </w:rPr>
        <w:t>T</w:t>
      </w:r>
      <w:r w:rsidR="007713B7" w:rsidRPr="001E27BC">
        <w:rPr>
          <w:color w:val="1A1A18"/>
        </w:rPr>
        <w:t>wo</w:t>
      </w:r>
      <w:r w:rsidR="00E843CB" w:rsidRPr="001E27BC">
        <w:rPr>
          <w:color w:val="1A1A18"/>
        </w:rPr>
        <w:t>,</w:t>
      </w:r>
      <w:r w:rsidR="00CA1D22" w:rsidRPr="001E27BC">
        <w:rPr>
          <w:color w:val="1A1A18"/>
        </w:rPr>
        <w:t xml:space="preserve"> the main findings and answers to each of the </w:t>
      </w:r>
      <w:r w:rsidR="00E843CB" w:rsidRPr="001E27BC">
        <w:rPr>
          <w:color w:val="1A1A18"/>
        </w:rPr>
        <w:t>ten</w:t>
      </w:r>
      <w:r w:rsidR="00CA1D22" w:rsidRPr="001E27BC">
        <w:rPr>
          <w:color w:val="1A1A18"/>
        </w:rPr>
        <w:t xml:space="preserve"> Evaluation Questions</w:t>
      </w:r>
      <w:r w:rsidR="00E843CB" w:rsidRPr="001E27BC">
        <w:rPr>
          <w:color w:val="1A1A18"/>
        </w:rPr>
        <w:t xml:space="preserve"> </w:t>
      </w:r>
      <w:r w:rsidR="00D30073" w:rsidRPr="001E27BC">
        <w:rPr>
          <w:color w:val="1A1A18"/>
        </w:rPr>
        <w:t xml:space="preserve">(EQs) </w:t>
      </w:r>
      <w:r w:rsidR="00E843CB" w:rsidRPr="001E27BC">
        <w:rPr>
          <w:color w:val="1A1A18"/>
        </w:rPr>
        <w:t xml:space="preserve">are presented along </w:t>
      </w:r>
      <w:r w:rsidR="00CA1D22" w:rsidRPr="001E27BC">
        <w:rPr>
          <w:color w:val="1A1A18"/>
        </w:rPr>
        <w:t>with evidence and reasoning.</w:t>
      </w:r>
      <w:r w:rsidR="00B34C51" w:rsidRPr="001E27BC">
        <w:rPr>
          <w:color w:val="1A1A18"/>
        </w:rPr>
        <w:t xml:space="preserve"> </w:t>
      </w:r>
      <w:r w:rsidR="00CA1D22" w:rsidRPr="001E27BC">
        <w:rPr>
          <w:color w:val="1A1A18"/>
        </w:rPr>
        <w:t xml:space="preserve">Chapter </w:t>
      </w:r>
      <w:r w:rsidRPr="001E27BC">
        <w:rPr>
          <w:color w:val="1A1A18"/>
        </w:rPr>
        <w:t>T</w:t>
      </w:r>
      <w:r w:rsidR="007713B7" w:rsidRPr="001E27BC">
        <w:rPr>
          <w:color w:val="1A1A18"/>
        </w:rPr>
        <w:t>hree</w:t>
      </w:r>
      <w:r w:rsidR="00E843CB" w:rsidRPr="001E27BC">
        <w:rPr>
          <w:color w:val="1A1A18"/>
        </w:rPr>
        <w:t xml:space="preserve"> </w:t>
      </w:r>
      <w:r w:rsidR="00BC1DD7" w:rsidRPr="001E27BC">
        <w:rPr>
          <w:color w:val="1A1A18"/>
        </w:rPr>
        <w:t xml:space="preserve">then </w:t>
      </w:r>
      <w:r w:rsidR="00CA1D22" w:rsidRPr="001E27BC">
        <w:rPr>
          <w:color w:val="1A1A18"/>
        </w:rPr>
        <w:t>synthesises all answers to e</w:t>
      </w:r>
      <w:r w:rsidR="00CA1D22" w:rsidRPr="001E27BC">
        <w:rPr>
          <w:color w:val="1A1A18"/>
        </w:rPr>
        <w:t>v</w:t>
      </w:r>
      <w:r w:rsidR="00CA1D22" w:rsidRPr="001E27BC">
        <w:rPr>
          <w:color w:val="1A1A18"/>
        </w:rPr>
        <w:t>aluation questions into an overall assessment of the programme</w:t>
      </w:r>
      <w:r w:rsidR="00BC1DD7" w:rsidRPr="001E27BC">
        <w:rPr>
          <w:color w:val="1A1A18"/>
        </w:rPr>
        <w:t>. Ch</w:t>
      </w:r>
      <w:r w:rsidRPr="001E27BC">
        <w:rPr>
          <w:color w:val="1A1A18"/>
        </w:rPr>
        <w:t>apter F</w:t>
      </w:r>
      <w:r w:rsidR="007713B7" w:rsidRPr="001E27BC">
        <w:rPr>
          <w:color w:val="1A1A18"/>
        </w:rPr>
        <w:t>our</w:t>
      </w:r>
      <w:r w:rsidR="00BC1DD7" w:rsidRPr="001E27BC">
        <w:rPr>
          <w:color w:val="1A1A18"/>
        </w:rPr>
        <w:t>, finally,</w:t>
      </w:r>
      <w:r w:rsidR="00CA1D22" w:rsidRPr="001E27BC">
        <w:rPr>
          <w:color w:val="1A1A18"/>
        </w:rPr>
        <w:t xml:space="preserve"> presents </w:t>
      </w:r>
      <w:r w:rsidR="00B34C51" w:rsidRPr="001E27BC">
        <w:rPr>
          <w:color w:val="1A1A18"/>
        </w:rPr>
        <w:t>the conclusions, recommendations and lessons learned from the evaluation.</w:t>
      </w:r>
      <w:r w:rsidRPr="001E27BC">
        <w:rPr>
          <w:color w:val="1A1A18"/>
        </w:rPr>
        <w:t xml:space="preserve"> Chapter Five</w:t>
      </w:r>
      <w:r w:rsidR="007713B7" w:rsidRPr="001E27BC">
        <w:rPr>
          <w:color w:val="1A1A18"/>
        </w:rPr>
        <w:t xml:space="preserve"> pr</w:t>
      </w:r>
      <w:r w:rsidR="007713B7" w:rsidRPr="001E27BC">
        <w:rPr>
          <w:color w:val="1A1A18"/>
        </w:rPr>
        <w:t>o</w:t>
      </w:r>
      <w:r w:rsidR="007713B7" w:rsidRPr="001E27BC">
        <w:rPr>
          <w:color w:val="1A1A18"/>
        </w:rPr>
        <w:t xml:space="preserve">vides a listing of all annexes, which are submitted </w:t>
      </w:r>
      <w:r w:rsidRPr="001E27BC">
        <w:rPr>
          <w:color w:val="1A1A18"/>
        </w:rPr>
        <w:t xml:space="preserve">in full </w:t>
      </w:r>
      <w:r w:rsidR="007713B7" w:rsidRPr="001E27BC">
        <w:rPr>
          <w:color w:val="1A1A18"/>
        </w:rPr>
        <w:t>as a separate document</w:t>
      </w:r>
      <w:r w:rsidRPr="001E27BC">
        <w:rPr>
          <w:color w:val="1A1A18"/>
        </w:rPr>
        <w:t xml:space="preserve"> (Volume 2)</w:t>
      </w:r>
      <w:r w:rsidR="007713B7" w:rsidRPr="001E27BC">
        <w:rPr>
          <w:color w:val="1A1A18"/>
        </w:rPr>
        <w:t>.</w:t>
      </w:r>
    </w:p>
    <w:p w:rsidR="003D0903" w:rsidRPr="001E27BC" w:rsidRDefault="00171D5F" w:rsidP="00315F62">
      <w:pPr>
        <w:pStyle w:val="Heading3"/>
      </w:pPr>
      <w:bookmarkStart w:id="9" w:name="_Toc284767307"/>
      <w:r>
        <w:t xml:space="preserve">1.1.2 </w:t>
      </w:r>
      <w:r>
        <w:tab/>
      </w:r>
      <w:r w:rsidR="003D0903" w:rsidRPr="001E27BC">
        <w:t>The GCCA</w:t>
      </w:r>
      <w:bookmarkEnd w:id="9"/>
    </w:p>
    <w:p w:rsidR="00C74D2B" w:rsidRPr="001E27BC" w:rsidRDefault="00C74D2B" w:rsidP="0076070B">
      <w:pPr>
        <w:autoSpaceDE w:val="0"/>
        <w:autoSpaceDN w:val="0"/>
        <w:rPr>
          <w:color w:val="1A1A18"/>
        </w:rPr>
      </w:pPr>
      <w:r w:rsidRPr="001E27BC">
        <w:rPr>
          <w:color w:val="1A1A18"/>
        </w:rPr>
        <w:t>The GCCA</w:t>
      </w:r>
      <w:r w:rsidR="009D26AB" w:rsidRPr="001E27BC">
        <w:rPr>
          <w:color w:val="1A1A18"/>
        </w:rPr>
        <w:t xml:space="preserve"> </w:t>
      </w:r>
      <w:r w:rsidRPr="001E27BC">
        <w:rPr>
          <w:color w:val="1A1A18"/>
        </w:rPr>
        <w:t>is an i</w:t>
      </w:r>
      <w:r w:rsidR="00417B08" w:rsidRPr="001E27BC">
        <w:rPr>
          <w:color w:val="1A1A18"/>
        </w:rPr>
        <w:t>nitiative of the European Union</w:t>
      </w:r>
      <w:r w:rsidRPr="001E27BC">
        <w:rPr>
          <w:color w:val="1A1A18"/>
        </w:rPr>
        <w:t>, launched in 2007 through a Communication (</w:t>
      </w:r>
      <w:r w:rsidRPr="001E27BC">
        <w:rPr>
          <w:i/>
          <w:color w:val="1A1A18"/>
        </w:rPr>
        <w:t xml:space="preserve">COM (2007) 540 final) </w:t>
      </w:r>
      <w:r w:rsidRPr="001E27BC">
        <w:rPr>
          <w:color w:val="1A1A18"/>
        </w:rPr>
        <w:t xml:space="preserve">from the </w:t>
      </w:r>
      <w:r w:rsidR="00B01568" w:rsidRPr="001E27BC">
        <w:rPr>
          <w:color w:val="1A1A18"/>
        </w:rPr>
        <w:t xml:space="preserve">European Commission </w:t>
      </w:r>
      <w:r w:rsidRPr="001E27BC">
        <w:rPr>
          <w:color w:val="1A1A18"/>
        </w:rPr>
        <w:t>to the Council and the European Parli</w:t>
      </w:r>
      <w:r w:rsidRPr="001E27BC">
        <w:rPr>
          <w:color w:val="1A1A18"/>
        </w:rPr>
        <w:t>a</w:t>
      </w:r>
      <w:r w:rsidRPr="001E27BC">
        <w:rPr>
          <w:color w:val="1A1A18"/>
        </w:rPr>
        <w:t>ment</w:t>
      </w:r>
      <w:r w:rsidR="00B01568" w:rsidRPr="001E27BC">
        <w:rPr>
          <w:color w:val="1A1A18"/>
        </w:rPr>
        <w:t>,</w:t>
      </w:r>
      <w:r w:rsidRPr="001E27BC">
        <w:rPr>
          <w:color w:val="1A1A18"/>
        </w:rPr>
        <w:t xml:space="preserve"> entitled ‘</w:t>
      </w:r>
      <w:r w:rsidRPr="001E27BC">
        <w:rPr>
          <w:i/>
          <w:color w:val="1A1A18"/>
        </w:rPr>
        <w:t>Building a Global Climate Change Alliance between the European Union and poor developing countries most vulnerable to climate change’.</w:t>
      </w:r>
      <w:r w:rsidRPr="001E27BC">
        <w:rPr>
          <w:color w:val="1A1A18"/>
        </w:rPr>
        <w:t xml:space="preserve"> Implementation modalities of the Initiative have been further worked out in the Commission Staff Working Document - Impleme</w:t>
      </w:r>
      <w:r w:rsidRPr="001E27BC">
        <w:rPr>
          <w:color w:val="1A1A18"/>
        </w:rPr>
        <w:t>n</w:t>
      </w:r>
      <w:r w:rsidRPr="001E27BC">
        <w:rPr>
          <w:color w:val="1A1A18"/>
        </w:rPr>
        <w:t>tation framework of the G</w:t>
      </w:r>
      <w:r w:rsidR="00417B08" w:rsidRPr="001E27BC">
        <w:rPr>
          <w:color w:val="1A1A18"/>
        </w:rPr>
        <w:t>CCA (July</w:t>
      </w:r>
      <w:r w:rsidRPr="001E27BC">
        <w:rPr>
          <w:color w:val="1A1A18"/>
        </w:rPr>
        <w:t xml:space="preserve"> 2008).</w:t>
      </w:r>
    </w:p>
    <w:p w:rsidR="00C74D2B" w:rsidRPr="001E27BC" w:rsidRDefault="00C74D2B" w:rsidP="0076070B">
      <w:pPr>
        <w:autoSpaceDE w:val="0"/>
        <w:autoSpaceDN w:val="0"/>
        <w:rPr>
          <w:color w:val="1A1A18"/>
        </w:rPr>
      </w:pPr>
      <w:r w:rsidRPr="001E27BC">
        <w:rPr>
          <w:color w:val="1A1A18"/>
        </w:rPr>
        <w:t>The GCCA</w:t>
      </w:r>
      <w:r w:rsidR="00417B08" w:rsidRPr="001E27BC">
        <w:rPr>
          <w:color w:val="1A1A18"/>
        </w:rPr>
        <w:t xml:space="preserve"> </w:t>
      </w:r>
      <w:r w:rsidRPr="001E27BC">
        <w:rPr>
          <w:color w:val="1A1A18"/>
        </w:rPr>
        <w:t>aim</w:t>
      </w:r>
      <w:r w:rsidR="00417B08" w:rsidRPr="001E27BC">
        <w:rPr>
          <w:color w:val="1A1A18"/>
        </w:rPr>
        <w:t>s</w:t>
      </w:r>
      <w:r w:rsidRPr="001E27BC">
        <w:rPr>
          <w:color w:val="1A1A18"/>
        </w:rPr>
        <w:t xml:space="preserve"> to strengthen dialogue and cooperation on </w:t>
      </w:r>
      <w:r w:rsidR="00AC6FA9" w:rsidRPr="001E27BC">
        <w:rPr>
          <w:color w:val="1A1A18"/>
        </w:rPr>
        <w:t xml:space="preserve">the issue of </w:t>
      </w:r>
      <w:r w:rsidRPr="001E27BC">
        <w:rPr>
          <w:color w:val="1A1A18"/>
        </w:rPr>
        <w:t xml:space="preserve">climate change with </w:t>
      </w:r>
      <w:r w:rsidR="00B01568" w:rsidRPr="001E27BC">
        <w:rPr>
          <w:color w:val="1A1A18"/>
        </w:rPr>
        <w:t xml:space="preserve">those </w:t>
      </w:r>
      <w:r w:rsidRPr="001E27BC">
        <w:rPr>
          <w:color w:val="1A1A18"/>
        </w:rPr>
        <w:t>developing countries</w:t>
      </w:r>
      <w:r w:rsidRPr="001E27BC">
        <w:rPr>
          <w:color w:val="1A1A18"/>
          <w:vertAlign w:val="superscript"/>
        </w:rPr>
        <w:footnoteReference w:id="2"/>
      </w:r>
      <w:r w:rsidRPr="001E27BC">
        <w:rPr>
          <w:color w:val="1A1A18"/>
        </w:rPr>
        <w:t xml:space="preserve"> </w:t>
      </w:r>
      <w:r w:rsidR="00AC6FA9" w:rsidRPr="001E27BC">
        <w:rPr>
          <w:color w:val="1A1A18"/>
        </w:rPr>
        <w:t xml:space="preserve">that are the </w:t>
      </w:r>
      <w:r w:rsidRPr="001E27BC">
        <w:rPr>
          <w:color w:val="1A1A18"/>
        </w:rPr>
        <w:t>most vulnerable to climate change</w:t>
      </w:r>
      <w:r w:rsidR="00B01568" w:rsidRPr="001E27BC">
        <w:rPr>
          <w:color w:val="1A1A18"/>
        </w:rPr>
        <w:t>,</w:t>
      </w:r>
      <w:r w:rsidRPr="001E27BC">
        <w:rPr>
          <w:color w:val="1A1A18"/>
        </w:rPr>
        <w:t xml:space="preserve"> and to support their efforts to develop and implement adaptation and mitigation responses. The targeted countries have co</w:t>
      </w:r>
      <w:r w:rsidRPr="001E27BC">
        <w:rPr>
          <w:color w:val="1A1A18"/>
        </w:rPr>
        <w:t>n</w:t>
      </w:r>
      <w:r w:rsidRPr="001E27BC">
        <w:rPr>
          <w:color w:val="1A1A18"/>
        </w:rPr>
        <w:t xml:space="preserve">tributed the least to </w:t>
      </w:r>
      <w:r w:rsidR="006020CE" w:rsidRPr="001E27BC">
        <w:rPr>
          <w:color w:val="1A1A18"/>
        </w:rPr>
        <w:t>G</w:t>
      </w:r>
      <w:r w:rsidRPr="001E27BC">
        <w:rPr>
          <w:color w:val="1A1A18"/>
        </w:rPr>
        <w:t>reen</w:t>
      </w:r>
      <w:r w:rsidR="006020CE" w:rsidRPr="001E27BC">
        <w:rPr>
          <w:color w:val="1A1A18"/>
        </w:rPr>
        <w:t xml:space="preserve"> H</w:t>
      </w:r>
      <w:r w:rsidRPr="001E27BC">
        <w:rPr>
          <w:color w:val="1A1A18"/>
        </w:rPr>
        <w:t xml:space="preserve">ouse </w:t>
      </w:r>
      <w:r w:rsidR="006020CE" w:rsidRPr="001E27BC">
        <w:rPr>
          <w:color w:val="1A1A18"/>
        </w:rPr>
        <w:t>G</w:t>
      </w:r>
      <w:r w:rsidRPr="001E27BC">
        <w:rPr>
          <w:color w:val="1A1A18"/>
        </w:rPr>
        <w:t>as</w:t>
      </w:r>
      <w:r w:rsidR="006020CE" w:rsidRPr="001E27BC">
        <w:rPr>
          <w:color w:val="1A1A18"/>
        </w:rPr>
        <w:t xml:space="preserve"> (GHG)</w:t>
      </w:r>
      <w:r w:rsidRPr="001E27BC">
        <w:rPr>
          <w:color w:val="1A1A18"/>
        </w:rPr>
        <w:t xml:space="preserve"> emissions, but are often the most affected by cl</w:t>
      </w:r>
      <w:r w:rsidRPr="001E27BC">
        <w:rPr>
          <w:color w:val="1A1A18"/>
        </w:rPr>
        <w:t>i</w:t>
      </w:r>
      <w:r w:rsidRPr="001E27BC">
        <w:rPr>
          <w:color w:val="1A1A18"/>
        </w:rPr>
        <w:t>mate change and have limited resources to address the related challenges. The GCCA involves a wide range of partners ac</w:t>
      </w:r>
      <w:r w:rsidR="00AC6FA9" w:rsidRPr="001E27BC">
        <w:rPr>
          <w:color w:val="1A1A18"/>
        </w:rPr>
        <w:t>ross the world</w:t>
      </w:r>
      <w:r w:rsidR="00417B08" w:rsidRPr="001E27BC">
        <w:rPr>
          <w:color w:val="1A1A18"/>
        </w:rPr>
        <w:t xml:space="preserve">, and </w:t>
      </w:r>
      <w:r w:rsidRPr="001E27BC">
        <w:rPr>
          <w:color w:val="1A1A18"/>
        </w:rPr>
        <w:t xml:space="preserve">is structured along two pillars: </w:t>
      </w:r>
    </w:p>
    <w:p w:rsidR="00C74D2B" w:rsidRPr="001E27BC" w:rsidRDefault="00C74D2B" w:rsidP="00D6490E">
      <w:pPr>
        <w:pStyle w:val="ListParagraph"/>
        <w:keepNext/>
        <w:keepLines/>
        <w:numPr>
          <w:ilvl w:val="0"/>
          <w:numId w:val="21"/>
        </w:numPr>
        <w:autoSpaceDE w:val="0"/>
        <w:autoSpaceDN w:val="0"/>
        <w:rPr>
          <w:i/>
          <w:color w:val="1A1A18"/>
        </w:rPr>
      </w:pPr>
      <w:r w:rsidRPr="001E27BC">
        <w:rPr>
          <w:i/>
          <w:color w:val="1A1A18"/>
        </w:rPr>
        <w:t>Policy dialogue and exchange</w:t>
      </w:r>
    </w:p>
    <w:p w:rsidR="00C74D2B" w:rsidRPr="001E27BC" w:rsidRDefault="00C74D2B" w:rsidP="00D6490E">
      <w:pPr>
        <w:keepNext/>
        <w:keepLines/>
        <w:autoSpaceDE w:val="0"/>
        <w:autoSpaceDN w:val="0"/>
        <w:rPr>
          <w:color w:val="1A1A18"/>
        </w:rPr>
      </w:pPr>
      <w:r w:rsidRPr="001E27BC">
        <w:rPr>
          <w:color w:val="1A1A18"/>
        </w:rPr>
        <w:t xml:space="preserve">The first pillar consists of a platform for dialogue and exchange. The GCCA enables dialogue between the EU and developing countries on climate policy, in the context of complex climate change negotiations under the UN Framework Convention on Climate Change (UNFCCC). This result will be achieved by supporting </w:t>
      </w:r>
      <w:r w:rsidR="00AC6FA9" w:rsidRPr="001E27BC">
        <w:rPr>
          <w:color w:val="1A1A18"/>
        </w:rPr>
        <w:t xml:space="preserve">the </w:t>
      </w:r>
      <w:r w:rsidRPr="001E27BC">
        <w:rPr>
          <w:color w:val="1A1A18"/>
        </w:rPr>
        <w:t>exchange of experience on practical approaches to int</w:t>
      </w:r>
      <w:r w:rsidRPr="001E27BC">
        <w:rPr>
          <w:color w:val="1A1A18"/>
        </w:rPr>
        <w:t>e</w:t>
      </w:r>
      <w:r w:rsidRPr="001E27BC">
        <w:rPr>
          <w:color w:val="1A1A18"/>
        </w:rPr>
        <w:t>grate climate change into development policies and budgets. The results feed into the discussions on a post-Kyoto climate agreement, and inform the technical and financial cooperation supported by the GCCA. Dialogue takes place at global, regional and national levels.</w:t>
      </w:r>
    </w:p>
    <w:p w:rsidR="00C74D2B" w:rsidRPr="001E27BC" w:rsidRDefault="00C74D2B" w:rsidP="00AC6FA9">
      <w:pPr>
        <w:pStyle w:val="ListParagraph"/>
        <w:numPr>
          <w:ilvl w:val="0"/>
          <w:numId w:val="21"/>
        </w:numPr>
        <w:autoSpaceDE w:val="0"/>
        <w:autoSpaceDN w:val="0"/>
        <w:rPr>
          <w:i/>
          <w:color w:val="1A1A18"/>
        </w:rPr>
      </w:pPr>
      <w:r w:rsidRPr="001E27BC">
        <w:rPr>
          <w:i/>
          <w:color w:val="1A1A18"/>
        </w:rPr>
        <w:t>Technical and financial assistance and cooperation focusing on five priority areas</w:t>
      </w:r>
    </w:p>
    <w:p w:rsidR="00C74D2B" w:rsidRPr="001E27BC" w:rsidRDefault="00C74D2B" w:rsidP="0076070B">
      <w:pPr>
        <w:autoSpaceDE w:val="0"/>
        <w:autoSpaceDN w:val="0"/>
        <w:rPr>
          <w:color w:val="1A1A18"/>
        </w:rPr>
      </w:pPr>
      <w:r w:rsidRPr="001E27BC">
        <w:rPr>
          <w:color w:val="1A1A18"/>
        </w:rPr>
        <w:t xml:space="preserve">The second pillar of the GCCA </w:t>
      </w:r>
      <w:r w:rsidR="007E031B" w:rsidRPr="001E27BC">
        <w:rPr>
          <w:color w:val="1A1A18"/>
        </w:rPr>
        <w:t>concerns providing te</w:t>
      </w:r>
      <w:r w:rsidRPr="001E27BC">
        <w:rPr>
          <w:color w:val="1A1A18"/>
        </w:rPr>
        <w:t>chnical and financial support and coope</w:t>
      </w:r>
      <w:r w:rsidRPr="001E27BC">
        <w:rPr>
          <w:color w:val="1A1A18"/>
        </w:rPr>
        <w:t>r</w:t>
      </w:r>
      <w:r w:rsidRPr="001E27BC">
        <w:rPr>
          <w:color w:val="1A1A18"/>
        </w:rPr>
        <w:t xml:space="preserve">ation </w:t>
      </w:r>
      <w:r w:rsidR="007E031B" w:rsidRPr="001E27BC">
        <w:rPr>
          <w:color w:val="1A1A18"/>
        </w:rPr>
        <w:t xml:space="preserve">with </w:t>
      </w:r>
      <w:r w:rsidRPr="001E27BC">
        <w:rPr>
          <w:color w:val="1A1A18"/>
        </w:rPr>
        <w:t>the most vulnerable developing countries</w:t>
      </w:r>
      <w:r w:rsidR="007E031B" w:rsidRPr="001E27BC">
        <w:rPr>
          <w:color w:val="1A1A18"/>
        </w:rPr>
        <w:t>. T</w:t>
      </w:r>
      <w:r w:rsidRPr="001E27BC">
        <w:rPr>
          <w:color w:val="1A1A18"/>
        </w:rPr>
        <w:t xml:space="preserve">he objective </w:t>
      </w:r>
      <w:r w:rsidR="007E031B" w:rsidRPr="001E27BC">
        <w:rPr>
          <w:color w:val="1A1A18"/>
        </w:rPr>
        <w:t>is to see c</w:t>
      </w:r>
      <w:r w:rsidRPr="001E27BC">
        <w:rPr>
          <w:color w:val="1A1A18"/>
        </w:rPr>
        <w:t xml:space="preserve">limate change </w:t>
      </w:r>
      <w:r w:rsidR="007E031B" w:rsidRPr="001E27BC">
        <w:rPr>
          <w:color w:val="1A1A18"/>
        </w:rPr>
        <w:t>int</w:t>
      </w:r>
      <w:r w:rsidR="007E031B" w:rsidRPr="001E27BC">
        <w:rPr>
          <w:color w:val="1A1A18"/>
        </w:rPr>
        <w:t>e</w:t>
      </w:r>
      <w:r w:rsidR="007E031B" w:rsidRPr="001E27BC">
        <w:rPr>
          <w:color w:val="1A1A18"/>
        </w:rPr>
        <w:t xml:space="preserve">grated </w:t>
      </w:r>
      <w:r w:rsidRPr="001E27BC">
        <w:rPr>
          <w:color w:val="1A1A18"/>
        </w:rPr>
        <w:t>into the development policies and budgets</w:t>
      </w:r>
      <w:r w:rsidR="007E031B" w:rsidRPr="001E27BC">
        <w:rPr>
          <w:color w:val="1A1A18"/>
        </w:rPr>
        <w:t xml:space="preserve"> of vulnerable countries </w:t>
      </w:r>
      <w:r w:rsidRPr="001E27BC">
        <w:rPr>
          <w:color w:val="1A1A18"/>
        </w:rPr>
        <w:t>and to implement ada</w:t>
      </w:r>
      <w:r w:rsidRPr="001E27BC">
        <w:rPr>
          <w:color w:val="1A1A18"/>
        </w:rPr>
        <w:t>p</w:t>
      </w:r>
      <w:r w:rsidRPr="001E27BC">
        <w:rPr>
          <w:color w:val="1A1A18"/>
        </w:rPr>
        <w:t>tation and mitigation interventions. To find the best solutions for tackling climate change, the GCCA works with government departments and agencies, regional organisations, non-governmental organisations, academic and scientific institutions, a</w:t>
      </w:r>
      <w:r w:rsidR="004105F0" w:rsidRPr="001E27BC">
        <w:rPr>
          <w:color w:val="1A1A18"/>
        </w:rPr>
        <w:t xml:space="preserve">s well as the </w:t>
      </w:r>
      <w:r w:rsidRPr="001E27BC">
        <w:rPr>
          <w:color w:val="1A1A18"/>
        </w:rPr>
        <w:t>local represent</w:t>
      </w:r>
      <w:r w:rsidRPr="001E27BC">
        <w:rPr>
          <w:color w:val="1A1A18"/>
        </w:rPr>
        <w:t>a</w:t>
      </w:r>
      <w:r w:rsidRPr="001E27BC">
        <w:rPr>
          <w:color w:val="1A1A18"/>
        </w:rPr>
        <w:t xml:space="preserve">tions of international organisations, multilateral and bilateral development agencies by pooling resources, expertise and knowledge. The technical and financial support and cooperation in turn informs the dialogue and exchange of experience at regional and global levels between the EU and partner countries. </w:t>
      </w:r>
    </w:p>
    <w:p w:rsidR="00C74D2B" w:rsidRPr="001E27BC" w:rsidRDefault="00C74D2B" w:rsidP="0076070B">
      <w:pPr>
        <w:autoSpaceDE w:val="0"/>
        <w:autoSpaceDN w:val="0"/>
        <w:rPr>
          <w:color w:val="1A1A18"/>
        </w:rPr>
      </w:pPr>
      <w:r w:rsidRPr="001E27BC">
        <w:rPr>
          <w:color w:val="1A1A18"/>
        </w:rPr>
        <w:t>For the purpose of the GCCA initiative, five priority areas have been defined:</w:t>
      </w:r>
    </w:p>
    <w:p w:rsidR="00C74D2B" w:rsidRPr="001E27BC" w:rsidRDefault="00C74D2B" w:rsidP="0076070B">
      <w:pPr>
        <w:numPr>
          <w:ilvl w:val="0"/>
          <w:numId w:val="8"/>
        </w:numPr>
        <w:autoSpaceDE w:val="0"/>
        <w:autoSpaceDN w:val="0"/>
        <w:rPr>
          <w:b/>
          <w:color w:val="1A1A18"/>
        </w:rPr>
      </w:pPr>
      <w:r w:rsidRPr="001E27BC">
        <w:rPr>
          <w:i/>
          <w:color w:val="1A1A18"/>
        </w:rPr>
        <w:t>Mainstreaming climate change into poverty reduction and development efforts.</w:t>
      </w:r>
      <w:r w:rsidRPr="001E27BC">
        <w:rPr>
          <w:color w:val="1A1A18"/>
        </w:rPr>
        <w:t xml:space="preserve"> </w:t>
      </w:r>
      <w:r w:rsidR="004105F0" w:rsidRPr="001E27BC">
        <w:rPr>
          <w:color w:val="1A1A18"/>
        </w:rPr>
        <w:t>This</w:t>
      </w:r>
      <w:r w:rsidRPr="001E27BC">
        <w:rPr>
          <w:color w:val="1A1A18"/>
        </w:rPr>
        <w:t xml:space="preserve"> means that the GCCA supports the systematic integration of climate change conside</w:t>
      </w:r>
      <w:r w:rsidRPr="001E27BC">
        <w:rPr>
          <w:color w:val="1A1A18"/>
        </w:rPr>
        <w:t>r</w:t>
      </w:r>
      <w:r w:rsidRPr="001E27BC">
        <w:rPr>
          <w:color w:val="1A1A18"/>
        </w:rPr>
        <w:t>ations into national development planning, from policymaking and budgeting to impl</w:t>
      </w:r>
      <w:r w:rsidRPr="001E27BC">
        <w:rPr>
          <w:color w:val="1A1A18"/>
        </w:rPr>
        <w:t>e</w:t>
      </w:r>
      <w:r w:rsidRPr="001E27BC">
        <w:rPr>
          <w:color w:val="1A1A18"/>
        </w:rPr>
        <w:t>mentation and monitoring. This priority area, which focuses on institutional strengthe</w:t>
      </w:r>
      <w:r w:rsidRPr="001E27BC">
        <w:rPr>
          <w:color w:val="1A1A18"/>
        </w:rPr>
        <w:t>n</w:t>
      </w:r>
      <w:r w:rsidRPr="001E27BC">
        <w:rPr>
          <w:color w:val="1A1A18"/>
        </w:rPr>
        <w:t xml:space="preserve">ing, is often combined with another priority, in particular </w:t>
      </w:r>
      <w:r w:rsidRPr="001E27BC">
        <w:rPr>
          <w:i/>
          <w:color w:val="1A1A18"/>
        </w:rPr>
        <w:t>adaptation</w:t>
      </w:r>
      <w:r w:rsidRPr="001E27BC">
        <w:rPr>
          <w:color w:val="1A1A18"/>
        </w:rPr>
        <w:t>.</w:t>
      </w:r>
    </w:p>
    <w:p w:rsidR="00C74D2B" w:rsidRPr="001E27BC" w:rsidRDefault="00C74D2B" w:rsidP="0076070B">
      <w:pPr>
        <w:numPr>
          <w:ilvl w:val="0"/>
          <w:numId w:val="8"/>
        </w:numPr>
        <w:autoSpaceDE w:val="0"/>
        <w:autoSpaceDN w:val="0"/>
        <w:rPr>
          <w:b/>
          <w:color w:val="1A1A18"/>
        </w:rPr>
      </w:pPr>
      <w:r w:rsidRPr="001E27BC">
        <w:rPr>
          <w:color w:val="1A1A18"/>
        </w:rPr>
        <w:t xml:space="preserve">The GCCA aims to help improve knowledge about the effects of climate change and the design and implementation of appropriate </w:t>
      </w:r>
      <w:r w:rsidRPr="001E27BC">
        <w:rPr>
          <w:i/>
          <w:color w:val="1A1A18"/>
        </w:rPr>
        <w:t>adaptation</w:t>
      </w:r>
      <w:r w:rsidRPr="001E27BC">
        <w:rPr>
          <w:color w:val="1A1A18"/>
        </w:rPr>
        <w:t xml:space="preserve"> actions, in particular in the water and agriculture sectors. The objective of this priority area is to reduce the vulnerability of the population to the impacts of climate change. The GCCA builds on National Adapt</w:t>
      </w:r>
      <w:r w:rsidRPr="001E27BC">
        <w:rPr>
          <w:color w:val="1A1A18"/>
        </w:rPr>
        <w:t>a</w:t>
      </w:r>
      <w:r w:rsidRPr="001E27BC">
        <w:rPr>
          <w:color w:val="1A1A18"/>
        </w:rPr>
        <w:t>tion Programmes of Action (NAPAs) and other national plans.</w:t>
      </w:r>
    </w:p>
    <w:p w:rsidR="00C74D2B" w:rsidRPr="001E27BC" w:rsidRDefault="00C74D2B" w:rsidP="0076070B">
      <w:pPr>
        <w:numPr>
          <w:ilvl w:val="0"/>
          <w:numId w:val="8"/>
        </w:numPr>
        <w:autoSpaceDE w:val="0"/>
        <w:autoSpaceDN w:val="0"/>
        <w:rPr>
          <w:b/>
          <w:color w:val="1A1A18"/>
        </w:rPr>
      </w:pPr>
      <w:r w:rsidRPr="001E27BC">
        <w:rPr>
          <w:color w:val="1A1A18"/>
        </w:rPr>
        <w:t xml:space="preserve">The third priority area is to </w:t>
      </w:r>
      <w:r w:rsidR="00482F90" w:rsidRPr="001E27BC">
        <w:rPr>
          <w:i/>
          <w:color w:val="1A1A18"/>
        </w:rPr>
        <w:t>R</w:t>
      </w:r>
      <w:r w:rsidRPr="001E27BC">
        <w:rPr>
          <w:i/>
          <w:color w:val="1A1A18"/>
        </w:rPr>
        <w:t xml:space="preserve">educe </w:t>
      </w:r>
      <w:r w:rsidR="00601FF7" w:rsidRPr="001E27BC">
        <w:rPr>
          <w:i/>
          <w:color w:val="1A1A18"/>
        </w:rPr>
        <w:t>E</w:t>
      </w:r>
      <w:r w:rsidRPr="001E27BC">
        <w:rPr>
          <w:i/>
          <w:color w:val="1A1A18"/>
        </w:rPr>
        <w:t xml:space="preserve">missions from </w:t>
      </w:r>
      <w:r w:rsidR="00601FF7" w:rsidRPr="001E27BC">
        <w:rPr>
          <w:i/>
          <w:color w:val="1A1A18"/>
        </w:rPr>
        <w:t>D</w:t>
      </w:r>
      <w:r w:rsidRPr="001E27BC">
        <w:rPr>
          <w:i/>
          <w:color w:val="1A1A18"/>
        </w:rPr>
        <w:t xml:space="preserve">eforestation and </w:t>
      </w:r>
      <w:r w:rsidR="00601FF7" w:rsidRPr="001E27BC">
        <w:rPr>
          <w:i/>
          <w:color w:val="1A1A18"/>
        </w:rPr>
        <w:t>F</w:t>
      </w:r>
      <w:r w:rsidRPr="001E27BC">
        <w:rPr>
          <w:i/>
          <w:color w:val="1A1A18"/>
        </w:rPr>
        <w:t xml:space="preserve">orest </w:t>
      </w:r>
      <w:r w:rsidR="00601FF7" w:rsidRPr="001E27BC">
        <w:rPr>
          <w:i/>
          <w:color w:val="1A1A18"/>
        </w:rPr>
        <w:t>D</w:t>
      </w:r>
      <w:r w:rsidRPr="001E27BC">
        <w:rPr>
          <w:i/>
          <w:color w:val="1A1A18"/>
        </w:rPr>
        <w:t>egrad</w:t>
      </w:r>
      <w:r w:rsidRPr="001E27BC">
        <w:rPr>
          <w:i/>
          <w:color w:val="1A1A18"/>
        </w:rPr>
        <w:t>a</w:t>
      </w:r>
      <w:r w:rsidRPr="001E27BC">
        <w:rPr>
          <w:i/>
          <w:color w:val="1A1A18"/>
        </w:rPr>
        <w:t>tion (REDD).</w:t>
      </w:r>
      <w:r w:rsidRPr="001E27BC">
        <w:rPr>
          <w:color w:val="1A1A18"/>
        </w:rPr>
        <w:t xml:space="preserve"> In LDCs, 60% of the emissions originate from land use change, primarily deforestation. The GCCA supports solutions to reduce carbon dioxide (CO</w:t>
      </w:r>
      <w:r w:rsidRPr="001E27BC">
        <w:rPr>
          <w:color w:val="1A1A18"/>
          <w:vertAlign w:val="subscript"/>
        </w:rPr>
        <w:t>2</w:t>
      </w:r>
      <w:r w:rsidRPr="001E27BC">
        <w:rPr>
          <w:color w:val="1A1A18"/>
        </w:rPr>
        <w:t xml:space="preserve">) emissions from deforestation and </w:t>
      </w:r>
      <w:r w:rsidR="00C1331D" w:rsidRPr="001E27BC">
        <w:rPr>
          <w:color w:val="1A1A18"/>
        </w:rPr>
        <w:t xml:space="preserve">to </w:t>
      </w:r>
      <w:r w:rsidRPr="001E27BC">
        <w:rPr>
          <w:color w:val="1A1A18"/>
        </w:rPr>
        <w:t xml:space="preserve">create incentives for forest protection, while preserving </w:t>
      </w:r>
      <w:r w:rsidR="00C1331D" w:rsidRPr="001E27BC">
        <w:rPr>
          <w:color w:val="1A1A18"/>
        </w:rPr>
        <w:t xml:space="preserve">those </w:t>
      </w:r>
      <w:r w:rsidRPr="001E27BC">
        <w:rPr>
          <w:color w:val="1A1A18"/>
        </w:rPr>
        <w:t xml:space="preserve">livelihoods and ecosystems </w:t>
      </w:r>
      <w:r w:rsidR="00C1331D" w:rsidRPr="001E27BC">
        <w:rPr>
          <w:color w:val="1A1A18"/>
        </w:rPr>
        <w:t xml:space="preserve">that </w:t>
      </w:r>
      <w:r w:rsidRPr="001E27BC">
        <w:rPr>
          <w:color w:val="1A1A18"/>
        </w:rPr>
        <w:t>depend</w:t>
      </w:r>
      <w:r w:rsidR="00C1331D" w:rsidRPr="001E27BC">
        <w:rPr>
          <w:color w:val="1A1A18"/>
        </w:rPr>
        <w:t xml:space="preserve"> </w:t>
      </w:r>
      <w:r w:rsidRPr="001E27BC">
        <w:rPr>
          <w:color w:val="1A1A18"/>
        </w:rPr>
        <w:t>on forests.</w:t>
      </w:r>
    </w:p>
    <w:p w:rsidR="00C74D2B" w:rsidRPr="001E27BC" w:rsidRDefault="00C74D2B" w:rsidP="0076070B">
      <w:pPr>
        <w:numPr>
          <w:ilvl w:val="0"/>
          <w:numId w:val="8"/>
        </w:numPr>
        <w:autoSpaceDE w:val="0"/>
        <w:autoSpaceDN w:val="0"/>
        <w:rPr>
          <w:b/>
          <w:color w:val="1A1A18"/>
        </w:rPr>
      </w:pPr>
      <w:r w:rsidRPr="001E27BC">
        <w:rPr>
          <w:color w:val="1A1A18"/>
        </w:rPr>
        <w:t xml:space="preserve">Another priority area </w:t>
      </w:r>
      <w:r w:rsidR="00C1331D" w:rsidRPr="001E27BC">
        <w:rPr>
          <w:color w:val="1A1A18"/>
        </w:rPr>
        <w:t xml:space="preserve">aimed </w:t>
      </w:r>
      <w:r w:rsidRPr="001E27BC">
        <w:rPr>
          <w:color w:val="1A1A18"/>
        </w:rPr>
        <w:t xml:space="preserve">at reducing </w:t>
      </w:r>
      <w:r w:rsidR="0018713A" w:rsidRPr="001E27BC">
        <w:rPr>
          <w:color w:val="1A1A18"/>
        </w:rPr>
        <w:t>GHG</w:t>
      </w:r>
      <w:r w:rsidR="001C0CDC">
        <w:rPr>
          <w:color w:val="1A1A18"/>
        </w:rPr>
        <w:t xml:space="preserve"> emissions</w:t>
      </w:r>
      <w:r w:rsidRPr="001E27BC">
        <w:rPr>
          <w:color w:val="1A1A18"/>
        </w:rPr>
        <w:t xml:space="preserve"> is </w:t>
      </w:r>
      <w:r w:rsidRPr="001E27BC">
        <w:rPr>
          <w:i/>
          <w:color w:val="1A1A18"/>
        </w:rPr>
        <w:t>enhancing participation in the global carbon market.</w:t>
      </w:r>
      <w:r w:rsidRPr="001E27BC">
        <w:rPr>
          <w:color w:val="1A1A18"/>
        </w:rPr>
        <w:t xml:space="preserve"> The GCCA aims to promote a more equitable geographic distrib</w:t>
      </w:r>
      <w:r w:rsidRPr="001E27BC">
        <w:rPr>
          <w:color w:val="1A1A18"/>
        </w:rPr>
        <w:t>u</w:t>
      </w:r>
      <w:r w:rsidRPr="001E27BC">
        <w:rPr>
          <w:color w:val="1A1A18"/>
        </w:rPr>
        <w:t>tion of financing opportunities linked to the Clean Development Mechanism (CDM) by building the capacities of partner countries to access this source of funding, particularly in the field of energy.</w:t>
      </w:r>
    </w:p>
    <w:p w:rsidR="00C74D2B" w:rsidRPr="001E27BC" w:rsidRDefault="00C74D2B" w:rsidP="0076070B">
      <w:pPr>
        <w:numPr>
          <w:ilvl w:val="0"/>
          <w:numId w:val="8"/>
        </w:numPr>
        <w:autoSpaceDE w:val="0"/>
        <w:autoSpaceDN w:val="0"/>
        <w:rPr>
          <w:b/>
          <w:color w:val="1A1A18"/>
        </w:rPr>
      </w:pPr>
      <w:r w:rsidRPr="001E27BC">
        <w:rPr>
          <w:i/>
          <w:color w:val="1A1A18"/>
        </w:rPr>
        <w:t xml:space="preserve">Disaster </w:t>
      </w:r>
      <w:r w:rsidR="00565B3A" w:rsidRPr="001E27BC">
        <w:rPr>
          <w:i/>
          <w:color w:val="1A1A18"/>
        </w:rPr>
        <w:t>R</w:t>
      </w:r>
      <w:r w:rsidRPr="001E27BC">
        <w:rPr>
          <w:i/>
          <w:color w:val="1A1A18"/>
        </w:rPr>
        <w:t xml:space="preserve">isk </w:t>
      </w:r>
      <w:r w:rsidR="00565B3A" w:rsidRPr="001E27BC">
        <w:rPr>
          <w:i/>
          <w:color w:val="1A1A18"/>
        </w:rPr>
        <w:t>R</w:t>
      </w:r>
      <w:r w:rsidRPr="001E27BC">
        <w:rPr>
          <w:i/>
          <w:color w:val="1A1A18"/>
        </w:rPr>
        <w:t>eduction (DRR)</w:t>
      </w:r>
      <w:r w:rsidRPr="001E27BC">
        <w:rPr>
          <w:color w:val="1A1A18"/>
        </w:rPr>
        <w:t xml:space="preserve"> is also among the five GCCA</w:t>
      </w:r>
      <w:r w:rsidR="00C1331D" w:rsidRPr="001E27BC">
        <w:rPr>
          <w:color w:val="1A1A18"/>
        </w:rPr>
        <w:t xml:space="preserve"> priority areas</w:t>
      </w:r>
      <w:r w:rsidRPr="001E27BC">
        <w:rPr>
          <w:color w:val="1A1A18"/>
        </w:rPr>
        <w:t>. It seeks to help developing countries to prepare for climate-related natural disasters, reduce their risks and limit their impacts.</w:t>
      </w:r>
    </w:p>
    <w:p w:rsidR="00517F12" w:rsidRPr="001E27BC" w:rsidRDefault="00517F12" w:rsidP="0076070B">
      <w:pPr>
        <w:autoSpaceDE w:val="0"/>
        <w:autoSpaceDN w:val="0"/>
        <w:rPr>
          <w:color w:val="1A1A18"/>
        </w:rPr>
      </w:pPr>
      <w:r w:rsidRPr="001E27BC">
        <w:rPr>
          <w:color w:val="1A1A18"/>
        </w:rPr>
        <w:t xml:space="preserve">In practice, an additional third pillar has been identified, which concerns the extensive </w:t>
      </w:r>
      <w:r w:rsidRPr="001E27BC">
        <w:rPr>
          <w:i/>
          <w:color w:val="1A1A18"/>
        </w:rPr>
        <w:t>knowledge management and communication</w:t>
      </w:r>
      <w:r w:rsidRPr="001E27BC">
        <w:rPr>
          <w:color w:val="1A1A18"/>
        </w:rPr>
        <w:t xml:space="preserve"> activities, which constitute a joint effort by the various entities concerned with management of the two programmes (DEVCO C2, DEVCO E3, </w:t>
      </w:r>
      <w:r w:rsidR="00C1331D" w:rsidRPr="001E27BC">
        <w:rPr>
          <w:color w:val="1A1A18"/>
        </w:rPr>
        <w:t xml:space="preserve">and the </w:t>
      </w:r>
      <w:r w:rsidRPr="001E27BC">
        <w:rPr>
          <w:color w:val="1A1A18"/>
        </w:rPr>
        <w:t xml:space="preserve">ACP Secretariat). The GCCA organisational structure is </w:t>
      </w:r>
      <w:r w:rsidR="003D0903" w:rsidRPr="001E27BC">
        <w:rPr>
          <w:color w:val="1A1A18"/>
        </w:rPr>
        <w:t xml:space="preserve">graphically </w:t>
      </w:r>
      <w:r w:rsidR="00E21E86" w:rsidRPr="001E27BC">
        <w:rPr>
          <w:color w:val="1A1A18"/>
        </w:rPr>
        <w:t xml:space="preserve">depicted in </w:t>
      </w:r>
      <w:r w:rsidR="00E21E86" w:rsidRPr="001E27BC">
        <w:rPr>
          <w:i/>
          <w:color w:val="1A1A18"/>
        </w:rPr>
        <w:t xml:space="preserve">Annex </w:t>
      </w:r>
      <w:r w:rsidR="008D16B9" w:rsidRPr="001E27BC">
        <w:rPr>
          <w:i/>
          <w:color w:val="1A1A18"/>
        </w:rPr>
        <w:t>5</w:t>
      </w:r>
      <w:r w:rsidR="00E21E86" w:rsidRPr="001E27BC">
        <w:rPr>
          <w:i/>
          <w:color w:val="1A1A18"/>
        </w:rPr>
        <w:t>.</w:t>
      </w:r>
      <w:r w:rsidR="00E21E86" w:rsidRPr="001E27BC">
        <w:rPr>
          <w:color w:val="1A1A18"/>
        </w:rPr>
        <w:t xml:space="preserve"> </w:t>
      </w:r>
    </w:p>
    <w:p w:rsidR="00C74D2B" w:rsidRPr="001E27BC" w:rsidRDefault="00C74D2B" w:rsidP="00ED3331">
      <w:pPr>
        <w:autoSpaceDE w:val="0"/>
        <w:autoSpaceDN w:val="0"/>
        <w:spacing w:after="120"/>
        <w:rPr>
          <w:i/>
          <w:color w:val="1A1A18"/>
        </w:rPr>
      </w:pPr>
      <w:r w:rsidRPr="001E27BC">
        <w:rPr>
          <w:i/>
          <w:color w:val="1A1A18"/>
        </w:rPr>
        <w:t>Financial commitments</w:t>
      </w:r>
    </w:p>
    <w:p w:rsidR="004A4EB6" w:rsidRPr="001C0CDC" w:rsidRDefault="004A4EB6" w:rsidP="0076070B">
      <w:pPr>
        <w:autoSpaceDE w:val="0"/>
        <w:autoSpaceDN w:val="0"/>
        <w:rPr>
          <w:color w:val="1A1A18"/>
        </w:rPr>
      </w:pPr>
      <w:r w:rsidRPr="001E27BC">
        <w:rPr>
          <w:color w:val="1A1A18"/>
        </w:rPr>
        <w:t>Financial commitments to the GCCA amount to around 287 million EUR from the European Union (EU) budget, the 10th European Development Fund (EDF) and contributions from diffe</w:t>
      </w:r>
      <w:r w:rsidRPr="001E27BC">
        <w:rPr>
          <w:color w:val="1A1A18"/>
        </w:rPr>
        <w:t>r</w:t>
      </w:r>
      <w:r w:rsidRPr="001E27BC">
        <w:rPr>
          <w:color w:val="1A1A18"/>
        </w:rPr>
        <w:t>ent Member States (MS)</w:t>
      </w:r>
      <w:r w:rsidR="00BB7A7B" w:rsidRPr="001E27BC">
        <w:rPr>
          <w:color w:val="1A1A18"/>
          <w:vertAlign w:val="superscript"/>
        </w:rPr>
        <w:footnoteReference w:id="3"/>
      </w:r>
      <w:r w:rsidR="00BB7A7B" w:rsidRPr="001E27BC">
        <w:rPr>
          <w:color w:val="1A1A18"/>
        </w:rPr>
        <w:t>.</w:t>
      </w:r>
      <w:r w:rsidRPr="001E27BC">
        <w:rPr>
          <w:color w:val="1A1A18"/>
        </w:rPr>
        <w:t xml:space="preserve"> This includes 108 </w:t>
      </w:r>
      <w:r w:rsidRPr="001C0CDC">
        <w:rPr>
          <w:color w:val="1A1A18"/>
        </w:rPr>
        <w:t>million EUR of fast-start-finance</w:t>
      </w:r>
      <w:r w:rsidR="00C1331D" w:rsidRPr="001C0CDC">
        <w:rPr>
          <w:color w:val="1A1A18"/>
        </w:rPr>
        <w:t>, respectively</w:t>
      </w:r>
      <w:r w:rsidRPr="001C0CDC">
        <w:rPr>
          <w:color w:val="1A1A18"/>
        </w:rPr>
        <w:t xml:space="preserve"> from the Development Cooperation Instrument (around 75 million EUR) and </w:t>
      </w:r>
      <w:r w:rsidR="00C1331D" w:rsidRPr="001C0CDC">
        <w:rPr>
          <w:color w:val="1A1A18"/>
        </w:rPr>
        <w:t>from</w:t>
      </w:r>
      <w:r w:rsidRPr="001C0CDC">
        <w:rPr>
          <w:color w:val="1A1A18"/>
        </w:rPr>
        <w:t xml:space="preserve"> Member States (around </w:t>
      </w:r>
      <w:r w:rsidR="00C1331D" w:rsidRPr="001C0CDC">
        <w:rPr>
          <w:color w:val="1A1A18"/>
        </w:rPr>
        <w:t xml:space="preserve">33 million EUR). Amounts which were pledged at the United Nations </w:t>
      </w:r>
      <w:r w:rsidRPr="001C0CDC">
        <w:rPr>
          <w:color w:val="1A1A18"/>
        </w:rPr>
        <w:t>Framework Co</w:t>
      </w:r>
      <w:r w:rsidRPr="001C0CDC">
        <w:rPr>
          <w:color w:val="1A1A18"/>
        </w:rPr>
        <w:t>n</w:t>
      </w:r>
      <w:r w:rsidRPr="001C0CDC">
        <w:rPr>
          <w:color w:val="1A1A18"/>
        </w:rPr>
        <w:t>vention on Climate Change (UNFCCC) 15th Conference of the Parties (COP) in Copenhagen in 2009</w:t>
      </w:r>
      <w:r w:rsidR="00C1331D" w:rsidRPr="001C0CDC">
        <w:rPr>
          <w:color w:val="1A1A18"/>
        </w:rPr>
        <w:t>,</w:t>
      </w:r>
      <w:r w:rsidRPr="001C0CDC">
        <w:rPr>
          <w:color w:val="1A1A18"/>
        </w:rPr>
        <w:t xml:space="preserve"> to support immediate action on climate change in developing countries.</w:t>
      </w:r>
    </w:p>
    <w:p w:rsidR="00C74D2B" w:rsidRPr="001E27BC" w:rsidRDefault="00C74D2B" w:rsidP="0076070B">
      <w:pPr>
        <w:autoSpaceDE w:val="0"/>
        <w:autoSpaceDN w:val="0"/>
        <w:rPr>
          <w:color w:val="1A1A18"/>
        </w:rPr>
      </w:pPr>
      <w:r w:rsidRPr="001C0CDC">
        <w:rPr>
          <w:color w:val="1A1A18"/>
        </w:rPr>
        <w:t>The GCCA is supporting programmes to address climate change in more than 35 countries and four regions across the globe. Almost 200 million EUR have been committed to national pr</w:t>
      </w:r>
      <w:r w:rsidRPr="001C0CDC">
        <w:rPr>
          <w:color w:val="1A1A18"/>
        </w:rPr>
        <w:t>o</w:t>
      </w:r>
      <w:r w:rsidRPr="001C0CDC">
        <w:rPr>
          <w:color w:val="1A1A18"/>
        </w:rPr>
        <w:t>grammes, and the GCCA support</w:t>
      </w:r>
      <w:r w:rsidR="00C1331D" w:rsidRPr="001C0CDC">
        <w:rPr>
          <w:color w:val="1A1A18"/>
        </w:rPr>
        <w:t>s</w:t>
      </w:r>
      <w:r w:rsidRPr="001C0CDC">
        <w:rPr>
          <w:color w:val="1A1A18"/>
        </w:rPr>
        <w:t xml:space="preserve"> the mainstreaming of climate change into national develo</w:t>
      </w:r>
      <w:r w:rsidRPr="001C0CDC">
        <w:rPr>
          <w:color w:val="1A1A18"/>
        </w:rPr>
        <w:t>p</w:t>
      </w:r>
      <w:r w:rsidRPr="001C0CDC">
        <w:rPr>
          <w:color w:val="1A1A18"/>
        </w:rPr>
        <w:t xml:space="preserve">ment planning in a majority of these </w:t>
      </w:r>
      <w:r w:rsidR="00C1331D" w:rsidRPr="001C0CDC">
        <w:rPr>
          <w:color w:val="1A1A18"/>
        </w:rPr>
        <w:t xml:space="preserve">35 </w:t>
      </w:r>
      <w:r w:rsidRPr="001C0CDC">
        <w:rPr>
          <w:color w:val="1A1A18"/>
        </w:rPr>
        <w:t>countries.</w:t>
      </w:r>
      <w:r w:rsidRPr="001E27BC">
        <w:rPr>
          <w:color w:val="1A1A18"/>
        </w:rPr>
        <w:t xml:space="preserve"> Support is being provided to adaptation pr</w:t>
      </w:r>
      <w:r w:rsidRPr="001E27BC">
        <w:rPr>
          <w:color w:val="1A1A18"/>
        </w:rPr>
        <w:t>o</w:t>
      </w:r>
      <w:r w:rsidRPr="001E27BC">
        <w:rPr>
          <w:color w:val="1A1A18"/>
        </w:rPr>
        <w:t>grammes in climate-sensitive sectors such as</w:t>
      </w:r>
      <w:r w:rsidR="00C1331D" w:rsidRPr="001E27BC">
        <w:rPr>
          <w:color w:val="1A1A18"/>
        </w:rPr>
        <w:t>: agriculture;</w:t>
      </w:r>
      <w:r w:rsidRPr="001E27BC">
        <w:rPr>
          <w:color w:val="1A1A18"/>
        </w:rPr>
        <w:t xml:space="preserve"> coastal zone management</w:t>
      </w:r>
      <w:r w:rsidR="00C1331D" w:rsidRPr="001E27BC">
        <w:rPr>
          <w:color w:val="1A1A18"/>
        </w:rPr>
        <w:t>;</w:t>
      </w:r>
      <w:r w:rsidRPr="001E27BC">
        <w:rPr>
          <w:color w:val="1A1A18"/>
        </w:rPr>
        <w:t xml:space="preserve"> as well as land and water management. The GCCA is also active in the fields of forest management, disaster risk reduction, and clean energy. </w:t>
      </w:r>
    </w:p>
    <w:p w:rsidR="006D57F6" w:rsidRPr="001E27BC" w:rsidRDefault="006D57F6" w:rsidP="006D57F6">
      <w:pPr>
        <w:autoSpaceDE w:val="0"/>
        <w:autoSpaceDN w:val="0"/>
        <w:rPr>
          <w:color w:val="1A1A18"/>
        </w:rPr>
      </w:pPr>
      <w:r w:rsidRPr="001E27BC">
        <w:rPr>
          <w:color w:val="1A1A18"/>
        </w:rPr>
        <w:t xml:space="preserve">In addition to country level programming, the GCCA is active at </w:t>
      </w:r>
      <w:r w:rsidR="00C1331D" w:rsidRPr="001E27BC">
        <w:rPr>
          <w:color w:val="1A1A18"/>
        </w:rPr>
        <w:t xml:space="preserve">the </w:t>
      </w:r>
      <w:r w:rsidRPr="001E27BC">
        <w:rPr>
          <w:color w:val="1A1A18"/>
        </w:rPr>
        <w:t xml:space="preserve">regional level, supporting programmes that tackle climate change issues that cut across </w:t>
      </w:r>
      <w:r w:rsidR="00C1331D" w:rsidRPr="001E27BC">
        <w:rPr>
          <w:color w:val="1A1A18"/>
        </w:rPr>
        <w:t xml:space="preserve">international </w:t>
      </w:r>
      <w:r w:rsidRPr="001E27BC">
        <w:rPr>
          <w:color w:val="1A1A18"/>
        </w:rPr>
        <w:t>bord</w:t>
      </w:r>
      <w:r w:rsidR="00C1331D" w:rsidRPr="001E27BC">
        <w:rPr>
          <w:color w:val="1A1A18"/>
        </w:rPr>
        <w:t>ers</w:t>
      </w:r>
      <w:r w:rsidRPr="001E27BC">
        <w:rPr>
          <w:color w:val="1A1A18"/>
        </w:rPr>
        <w:t>. This means pooling resources, strengthening capacities, sharing knowledge and working in partnership with th</w:t>
      </w:r>
      <w:r w:rsidR="00C1331D" w:rsidRPr="001E27BC">
        <w:rPr>
          <w:color w:val="1A1A18"/>
        </w:rPr>
        <w:t>os</w:t>
      </w:r>
      <w:r w:rsidRPr="001E27BC">
        <w:rPr>
          <w:color w:val="1A1A18"/>
        </w:rPr>
        <w:t>e regional organisations already in pla</w:t>
      </w:r>
      <w:r w:rsidR="00C1331D" w:rsidRPr="001E27BC">
        <w:rPr>
          <w:color w:val="1A1A18"/>
        </w:rPr>
        <w:t>ce to build on existing activities</w:t>
      </w:r>
      <w:r w:rsidRPr="001E27BC">
        <w:rPr>
          <w:color w:val="1A1A18"/>
        </w:rPr>
        <w:t xml:space="preserve"> and past successes. As of </w:t>
      </w:r>
      <w:r w:rsidR="00AF437F" w:rsidRPr="001E27BC">
        <w:rPr>
          <w:color w:val="1A1A18"/>
        </w:rPr>
        <w:t>October 201</w:t>
      </w:r>
      <w:r w:rsidR="00C1331D" w:rsidRPr="001E27BC">
        <w:rPr>
          <w:color w:val="1A1A18"/>
        </w:rPr>
        <w:t>4</w:t>
      </w:r>
      <w:r w:rsidRPr="001E27BC">
        <w:rPr>
          <w:color w:val="1A1A18"/>
        </w:rPr>
        <w:t xml:space="preserve">, </w:t>
      </w:r>
      <w:r w:rsidR="00AF437F" w:rsidRPr="001E27BC">
        <w:rPr>
          <w:color w:val="1A1A18"/>
        </w:rPr>
        <w:t xml:space="preserve">58.9 </w:t>
      </w:r>
      <w:r w:rsidRPr="001E27BC">
        <w:rPr>
          <w:color w:val="1A1A18"/>
        </w:rPr>
        <w:t>million EUR ha</w:t>
      </w:r>
      <w:r w:rsidR="00C1331D" w:rsidRPr="001E27BC">
        <w:rPr>
          <w:color w:val="1A1A18"/>
        </w:rPr>
        <w:t>ve</w:t>
      </w:r>
      <w:r w:rsidRPr="001E27BC">
        <w:rPr>
          <w:color w:val="1A1A18"/>
        </w:rPr>
        <w:t xml:space="preserve"> been committed to regional programmes</w:t>
      </w:r>
      <w:r w:rsidRPr="001E27BC">
        <w:rPr>
          <w:color w:val="1A1A18"/>
          <w:vertAlign w:val="superscript"/>
        </w:rPr>
        <w:footnoteReference w:id="4"/>
      </w:r>
      <w:r w:rsidRPr="001E27BC">
        <w:rPr>
          <w:color w:val="1A1A18"/>
        </w:rPr>
        <w:t>, including a 37.5 million EUR contribution from the European Development Fund (EDF)-funded Intra-ACP (African, Caribbean and Pacific group of states) budget. The latter funding has resulted in a tec</w:t>
      </w:r>
      <w:r w:rsidRPr="001E27BC">
        <w:rPr>
          <w:color w:val="1A1A18"/>
        </w:rPr>
        <w:t>h</w:t>
      </w:r>
      <w:r w:rsidRPr="001E27BC">
        <w:rPr>
          <w:color w:val="1A1A18"/>
        </w:rPr>
        <w:t>nical and financial sup</w:t>
      </w:r>
      <w:r w:rsidR="00C1331D" w:rsidRPr="001E27BC">
        <w:rPr>
          <w:color w:val="1A1A18"/>
        </w:rPr>
        <w:t xml:space="preserve">port </w:t>
      </w:r>
      <w:r w:rsidR="00C1331D" w:rsidRPr="001C0CDC">
        <w:rPr>
          <w:color w:val="1A1A18"/>
        </w:rPr>
        <w:t xml:space="preserve">programme </w:t>
      </w:r>
      <w:r w:rsidR="00D814D0" w:rsidRPr="001C0CDC">
        <w:rPr>
          <w:color w:val="1A1A18"/>
        </w:rPr>
        <w:t>know</w:t>
      </w:r>
      <w:r w:rsidR="008F2633" w:rsidRPr="001C0CDC">
        <w:rPr>
          <w:color w:val="1A1A18"/>
        </w:rPr>
        <w:t>n</w:t>
      </w:r>
      <w:r w:rsidR="00D814D0" w:rsidRPr="001C0CDC">
        <w:rPr>
          <w:color w:val="1A1A18"/>
        </w:rPr>
        <w:t xml:space="preserve"> as </w:t>
      </w:r>
      <w:r w:rsidR="00C1331D" w:rsidRPr="001C0CDC">
        <w:rPr>
          <w:color w:val="1A1A18"/>
        </w:rPr>
        <w:t>the Intra-</w:t>
      </w:r>
      <w:r w:rsidRPr="001C0CDC">
        <w:rPr>
          <w:color w:val="1A1A18"/>
        </w:rPr>
        <w:t xml:space="preserve">ACP </w:t>
      </w:r>
      <w:r w:rsidR="00D814D0" w:rsidRPr="001C0CDC">
        <w:rPr>
          <w:color w:val="1A1A18"/>
        </w:rPr>
        <w:t xml:space="preserve">GCCA </w:t>
      </w:r>
      <w:r w:rsidRPr="001C0CDC">
        <w:rPr>
          <w:color w:val="1A1A18"/>
        </w:rPr>
        <w:t>programme, comprising five regional componen</w:t>
      </w:r>
      <w:r w:rsidR="00AF437F" w:rsidRPr="001C0CDC">
        <w:rPr>
          <w:color w:val="1A1A18"/>
        </w:rPr>
        <w:t>ts</w:t>
      </w:r>
      <w:r w:rsidR="00AF437F" w:rsidRPr="001E27BC">
        <w:rPr>
          <w:color w:val="1A1A18"/>
        </w:rPr>
        <w:t xml:space="preserve"> and Technical Assistance</w:t>
      </w:r>
      <w:r w:rsidRPr="001E27BC">
        <w:rPr>
          <w:color w:val="1A1A18"/>
        </w:rPr>
        <w:t>.</w:t>
      </w:r>
    </w:p>
    <w:p w:rsidR="00C74D2B" w:rsidRPr="001E27BC" w:rsidRDefault="00C74D2B" w:rsidP="00ED3331">
      <w:pPr>
        <w:autoSpaceDE w:val="0"/>
        <w:autoSpaceDN w:val="0"/>
        <w:spacing w:after="120"/>
        <w:rPr>
          <w:i/>
          <w:color w:val="1A1A18"/>
        </w:rPr>
      </w:pPr>
      <w:r w:rsidRPr="001E27BC">
        <w:rPr>
          <w:i/>
          <w:color w:val="1A1A18"/>
        </w:rPr>
        <w:t xml:space="preserve">Coordination and implementation </w:t>
      </w:r>
    </w:p>
    <w:p w:rsidR="00BB7A7B" w:rsidRPr="001E27BC" w:rsidRDefault="00BB7A7B" w:rsidP="00BB7A7B">
      <w:pPr>
        <w:autoSpaceDE w:val="0"/>
        <w:autoSpaceDN w:val="0"/>
        <w:rPr>
          <w:color w:val="1A1A18"/>
        </w:rPr>
      </w:pPr>
      <w:r w:rsidRPr="001E27BC">
        <w:rPr>
          <w:color w:val="1A1A18"/>
        </w:rPr>
        <w:t>The GCCA initiative is coordinated by the European Commission (EC), in particular by the D</w:t>
      </w:r>
      <w:r w:rsidRPr="001E27BC">
        <w:rPr>
          <w:color w:val="1A1A18"/>
        </w:rPr>
        <w:t>i</w:t>
      </w:r>
      <w:r w:rsidRPr="001E27BC">
        <w:rPr>
          <w:color w:val="1A1A18"/>
        </w:rPr>
        <w:t>rectorate General for Development and Cooperation (DG DEVCO)’s C2 Unit (Climate change, environment, natural resources). Overall technical and financial support is led by this same Unit, while the ACP-Secretariat (acting as the Contracting Authority) and DEVCO E3 (Regional pr</w:t>
      </w:r>
      <w:r w:rsidRPr="001E27BC">
        <w:rPr>
          <w:color w:val="1A1A18"/>
        </w:rPr>
        <w:t>o</w:t>
      </w:r>
      <w:r w:rsidRPr="001E27BC">
        <w:rPr>
          <w:color w:val="1A1A18"/>
        </w:rPr>
        <w:t>grammes sub-Saharan Africa and ACP-wide Unit) are responsible for management of the 37.5 million EUR allocation of Intra-ACP budget to the initiative, commonly known as the Intra-ACP GCCA programme. A Global Support Facility (GSF) and a Climate Support Facility (CSF) pr</w:t>
      </w:r>
      <w:r w:rsidRPr="001E27BC">
        <w:rPr>
          <w:color w:val="1A1A18"/>
        </w:rPr>
        <w:t>o</w:t>
      </w:r>
      <w:r w:rsidRPr="001E27BC">
        <w:rPr>
          <w:color w:val="1A1A18"/>
        </w:rPr>
        <w:t>vide technical assistance to the global and regional programmes.</w:t>
      </w:r>
    </w:p>
    <w:p w:rsidR="00BB7A7B" w:rsidRPr="001E27BC" w:rsidRDefault="00C74D2B" w:rsidP="0076070B">
      <w:pPr>
        <w:autoSpaceDE w:val="0"/>
        <w:autoSpaceDN w:val="0"/>
        <w:rPr>
          <w:color w:val="1A1A18"/>
        </w:rPr>
      </w:pPr>
      <w:r w:rsidRPr="001E27BC">
        <w:rPr>
          <w:color w:val="1A1A18"/>
        </w:rPr>
        <w:t xml:space="preserve">The combination of financial instruments contributing to the same </w:t>
      </w:r>
      <w:r w:rsidR="00066D50" w:rsidRPr="001E27BC">
        <w:rPr>
          <w:color w:val="1A1A18"/>
        </w:rPr>
        <w:t>g</w:t>
      </w:r>
      <w:r w:rsidRPr="001E27BC">
        <w:rPr>
          <w:color w:val="1A1A18"/>
        </w:rPr>
        <w:t xml:space="preserve">lobal </w:t>
      </w:r>
      <w:r w:rsidR="00066D50" w:rsidRPr="001E27BC">
        <w:rPr>
          <w:color w:val="1A1A18"/>
        </w:rPr>
        <w:t>i</w:t>
      </w:r>
      <w:r w:rsidRPr="001E27BC">
        <w:rPr>
          <w:color w:val="1A1A18"/>
        </w:rPr>
        <w:t>nitiative requires car</w:t>
      </w:r>
      <w:r w:rsidRPr="001E27BC">
        <w:rPr>
          <w:color w:val="1A1A18"/>
        </w:rPr>
        <w:t>e</w:t>
      </w:r>
      <w:r w:rsidRPr="001E27BC">
        <w:rPr>
          <w:color w:val="1A1A18"/>
        </w:rPr>
        <w:t xml:space="preserve">ful tailoring of institutional arrangements, structuring of the technical support services and of the national, regional and multi-country programmes in a coherent manner. The graph in </w:t>
      </w:r>
      <w:r w:rsidRPr="001E27BC">
        <w:rPr>
          <w:i/>
          <w:color w:val="1A1A18"/>
        </w:rPr>
        <w:t>Annex</w:t>
      </w:r>
      <w:r w:rsidR="001F5119" w:rsidRPr="001E27BC">
        <w:rPr>
          <w:i/>
          <w:color w:val="1A1A18"/>
        </w:rPr>
        <w:t xml:space="preserve"> 5</w:t>
      </w:r>
      <w:r w:rsidRPr="001E27BC">
        <w:rPr>
          <w:color w:val="1A1A18"/>
        </w:rPr>
        <w:t xml:space="preserve"> presents the overall GCCA organisational structure.</w:t>
      </w:r>
      <w:r w:rsidR="00ED3331" w:rsidRPr="001E27BC">
        <w:rPr>
          <w:color w:val="1A1A18"/>
        </w:rPr>
        <w:t xml:space="preserve"> </w:t>
      </w:r>
    </w:p>
    <w:p w:rsidR="00C74D2B" w:rsidRPr="001E27BC" w:rsidRDefault="00C74D2B" w:rsidP="0076070B">
      <w:pPr>
        <w:autoSpaceDE w:val="0"/>
        <w:autoSpaceDN w:val="0"/>
        <w:rPr>
          <w:color w:val="1A1A18"/>
        </w:rPr>
      </w:pPr>
      <w:r w:rsidRPr="001E27BC">
        <w:rPr>
          <w:color w:val="1A1A18"/>
        </w:rPr>
        <w:t xml:space="preserve">Given the organisational structure of the GCCA described above, it was decided to undertake one </w:t>
      </w:r>
      <w:r w:rsidR="00BB7A7B" w:rsidRPr="001E27BC">
        <w:rPr>
          <w:color w:val="1A1A18"/>
        </w:rPr>
        <w:t>combined</w:t>
      </w:r>
      <w:r w:rsidRPr="001E27BC">
        <w:rPr>
          <w:color w:val="1A1A18"/>
        </w:rPr>
        <w:t xml:space="preserve"> evaluation for the initiative, including the various funding </w:t>
      </w:r>
      <w:r w:rsidR="00BB7A7B" w:rsidRPr="001E27BC">
        <w:rPr>
          <w:color w:val="1A1A18"/>
        </w:rPr>
        <w:t>sources</w:t>
      </w:r>
      <w:r w:rsidRPr="001E27BC">
        <w:rPr>
          <w:color w:val="1A1A18"/>
        </w:rPr>
        <w:t xml:space="preserve">. </w:t>
      </w:r>
    </w:p>
    <w:p w:rsidR="00960E37" w:rsidRPr="001E27BC" w:rsidRDefault="00B31FFE" w:rsidP="003936A6">
      <w:pPr>
        <w:pStyle w:val="Heading2"/>
      </w:pPr>
      <w:bookmarkStart w:id="10" w:name="_Toc284767308"/>
      <w:r>
        <w:t>1.2</w:t>
      </w:r>
      <w:r>
        <w:tab/>
      </w:r>
      <w:r w:rsidR="00E12449" w:rsidRPr="001E27BC">
        <w:t>Methodology</w:t>
      </w:r>
      <w:bookmarkEnd w:id="10"/>
    </w:p>
    <w:p w:rsidR="001B649B" w:rsidRPr="001E27BC" w:rsidRDefault="00B31FFE" w:rsidP="00315F62">
      <w:pPr>
        <w:pStyle w:val="Heading3"/>
      </w:pPr>
      <w:bookmarkStart w:id="11" w:name="_Toc284767309"/>
      <w:r>
        <w:t>1.2.1</w:t>
      </w:r>
      <w:r>
        <w:tab/>
      </w:r>
      <w:r w:rsidR="001B649B" w:rsidRPr="001E27BC">
        <w:t>Evaluation questions</w:t>
      </w:r>
      <w:bookmarkEnd w:id="11"/>
    </w:p>
    <w:p w:rsidR="00EC5001" w:rsidRPr="001E27BC" w:rsidRDefault="00501605" w:rsidP="0076070B">
      <w:r w:rsidRPr="001C0CDC">
        <w:t xml:space="preserve">As </w:t>
      </w:r>
      <w:r w:rsidR="009F3542" w:rsidRPr="001C0CDC">
        <w:t>reflected</w:t>
      </w:r>
      <w:r w:rsidRPr="001C0CDC">
        <w:t xml:space="preserve"> in the </w:t>
      </w:r>
      <w:r w:rsidR="001B649B" w:rsidRPr="001C0CDC">
        <w:t xml:space="preserve">Desk Report’s section on </w:t>
      </w:r>
      <w:r w:rsidRPr="001C0CDC">
        <w:t>methodology</w:t>
      </w:r>
      <w:r w:rsidR="001B649B" w:rsidRPr="001C0CDC">
        <w:t xml:space="preserve"> and approach to the assignment</w:t>
      </w:r>
      <w:r w:rsidRPr="001C0CDC">
        <w:t>, t</w:t>
      </w:r>
      <w:r w:rsidR="00EC5001" w:rsidRPr="001C0CDC">
        <w:t>he</w:t>
      </w:r>
      <w:r w:rsidR="00EC5001" w:rsidRPr="001E27BC">
        <w:t xml:space="preserve"> Evaluation Framework is built around </w:t>
      </w:r>
      <w:r w:rsidR="009518A4" w:rsidRPr="001E27BC">
        <w:t>ten</w:t>
      </w:r>
      <w:r w:rsidR="00E9098A" w:rsidRPr="001E27BC">
        <w:t xml:space="preserve"> </w:t>
      </w:r>
      <w:r w:rsidR="00EC5001" w:rsidRPr="001E27BC">
        <w:t>evaluation ques</w:t>
      </w:r>
      <w:r w:rsidR="0086659B" w:rsidRPr="001E27BC">
        <w:t>tions (EQs)</w:t>
      </w:r>
      <w:r w:rsidR="009D26AB" w:rsidRPr="001E27BC">
        <w:t xml:space="preserve"> to provide struct</w:t>
      </w:r>
      <w:r w:rsidR="0022593E" w:rsidRPr="001E27BC">
        <w:t xml:space="preserve">ure to the evaluation process. </w:t>
      </w:r>
      <w:r w:rsidR="00EC5001" w:rsidRPr="001E27BC">
        <w:t xml:space="preserve">The EQs </w:t>
      </w:r>
      <w:r w:rsidRPr="001E27BC">
        <w:t xml:space="preserve">are </w:t>
      </w:r>
      <w:r w:rsidR="0086659B" w:rsidRPr="001E27BC">
        <w:t xml:space="preserve">primarily </w:t>
      </w:r>
      <w:r w:rsidR="00EC5001" w:rsidRPr="001E27BC">
        <w:t xml:space="preserve">based on the </w:t>
      </w:r>
      <w:r w:rsidRPr="001E27BC">
        <w:t>e</w:t>
      </w:r>
      <w:r w:rsidR="00EC5001" w:rsidRPr="001E27BC">
        <w:t>valuation questions</w:t>
      </w:r>
      <w:r w:rsidRPr="001E27BC">
        <w:t xml:space="preserve">, </w:t>
      </w:r>
      <w:r w:rsidR="00EC5001" w:rsidRPr="001E27BC">
        <w:t>sub-questions</w:t>
      </w:r>
      <w:r w:rsidRPr="001E27BC">
        <w:t xml:space="preserve"> and </w:t>
      </w:r>
      <w:r w:rsidR="0086659B" w:rsidRPr="001E27BC">
        <w:t>‘issues’</w:t>
      </w:r>
      <w:r w:rsidR="00EC5001" w:rsidRPr="001E27BC">
        <w:t xml:space="preserve"> contained in the T</w:t>
      </w:r>
      <w:r w:rsidR="00BC1DD7" w:rsidRPr="001E27BC">
        <w:t>oR</w:t>
      </w:r>
      <w:r w:rsidR="00D30073" w:rsidRPr="001E27BC">
        <w:t xml:space="preserve"> (Terms of Reference)</w:t>
      </w:r>
      <w:r w:rsidR="0086659B" w:rsidRPr="001E27BC">
        <w:t>, complemented by questions emerging from a first review of documentation</w:t>
      </w:r>
      <w:r w:rsidR="00EC5001" w:rsidRPr="001E27BC">
        <w:t xml:space="preserve">. They </w:t>
      </w:r>
      <w:r w:rsidR="0086659B" w:rsidRPr="001E27BC">
        <w:t xml:space="preserve">have been grouped according to the five </w:t>
      </w:r>
      <w:r w:rsidR="009F3542" w:rsidRPr="001E27BC">
        <w:t>OECD/</w:t>
      </w:r>
      <w:r w:rsidR="0086659B" w:rsidRPr="001E27BC">
        <w:t>DAC eval</w:t>
      </w:r>
      <w:r w:rsidR="0086659B" w:rsidRPr="001E27BC">
        <w:t>u</w:t>
      </w:r>
      <w:r w:rsidR="0086659B" w:rsidRPr="001E27BC">
        <w:t>ation criteria (</w:t>
      </w:r>
      <w:r w:rsidR="00020142" w:rsidRPr="001E27BC">
        <w:t>al</w:t>
      </w:r>
      <w:r w:rsidR="0086659B" w:rsidRPr="001E27BC">
        <w:t xml:space="preserve">though relevance and design have been separated) and </w:t>
      </w:r>
      <w:r w:rsidR="00AD1A7F" w:rsidRPr="001E27BC">
        <w:t xml:space="preserve">re-formulated as follows: </w:t>
      </w:r>
    </w:p>
    <w:p w:rsidR="00AD1A7F" w:rsidRPr="001E27BC" w:rsidRDefault="00AD1A7F" w:rsidP="00FD502D">
      <w:r w:rsidRPr="001E27BC">
        <w:t xml:space="preserve">On </w:t>
      </w:r>
      <w:r w:rsidRPr="001E27BC">
        <w:rPr>
          <w:b/>
        </w:rPr>
        <w:t>relevance</w:t>
      </w:r>
      <w:r w:rsidRPr="001E27BC">
        <w:t>:</w:t>
      </w:r>
    </w:p>
    <w:p w:rsidR="00D930EF" w:rsidRPr="001E27BC" w:rsidRDefault="00E74A9F" w:rsidP="00FD502D">
      <w:pPr>
        <w:pStyle w:val="ListParagraph"/>
        <w:numPr>
          <w:ilvl w:val="0"/>
          <w:numId w:val="7"/>
        </w:numPr>
      </w:pPr>
      <w:r w:rsidRPr="001E27BC">
        <w:t>To what extent are the climate change interventions aligned with the needs of beneficiaries</w:t>
      </w:r>
      <w:r w:rsidR="007833F0" w:rsidRPr="001E27BC">
        <w:t xml:space="preserve"> (final beneficiaries, </w:t>
      </w:r>
      <w:r w:rsidRPr="001E27BC">
        <w:t>partner country governments</w:t>
      </w:r>
      <w:r w:rsidR="007833F0" w:rsidRPr="001E27BC">
        <w:t xml:space="preserve"> and </w:t>
      </w:r>
      <w:r w:rsidRPr="001E27BC">
        <w:t>regional organisations</w:t>
      </w:r>
      <w:r w:rsidR="007833F0" w:rsidRPr="001E27BC">
        <w:t>)</w:t>
      </w:r>
      <w:r w:rsidRPr="001E27BC">
        <w:t xml:space="preserve"> and with the stated policies, needs and priorities of the </w:t>
      </w:r>
      <w:r w:rsidR="007833F0" w:rsidRPr="001E27BC">
        <w:t xml:space="preserve">GCCA, </w:t>
      </w:r>
      <w:r w:rsidR="00510318" w:rsidRPr="001E27BC">
        <w:t xml:space="preserve">EU and </w:t>
      </w:r>
      <w:r w:rsidRPr="001E27BC">
        <w:t>EU Member States?</w:t>
      </w:r>
      <w:r w:rsidR="00510318" w:rsidRPr="001E27BC">
        <w:t xml:space="preserve"> </w:t>
      </w:r>
    </w:p>
    <w:p w:rsidR="00AD1A7F" w:rsidRPr="001E27BC" w:rsidRDefault="00AD1A7F" w:rsidP="00FD502D">
      <w:r w:rsidRPr="001E27BC">
        <w:t xml:space="preserve">On </w:t>
      </w:r>
      <w:r w:rsidRPr="001E27BC">
        <w:rPr>
          <w:b/>
        </w:rPr>
        <w:t>design</w:t>
      </w:r>
      <w:r w:rsidRPr="001E27BC">
        <w:t>:</w:t>
      </w:r>
    </w:p>
    <w:p w:rsidR="00AD1A7F" w:rsidRPr="001E27BC" w:rsidRDefault="00AD1A7F" w:rsidP="00FD502D">
      <w:pPr>
        <w:pStyle w:val="ListParagraph"/>
        <w:numPr>
          <w:ilvl w:val="0"/>
          <w:numId w:val="7"/>
        </w:numPr>
      </w:pPr>
      <w:r w:rsidRPr="001E27BC">
        <w:t xml:space="preserve">To what extent is the intervention logic internally consistent and valid, </w:t>
      </w:r>
      <w:r w:rsidR="00D0195A" w:rsidRPr="001E27BC">
        <w:t>coherent across diffe</w:t>
      </w:r>
      <w:r w:rsidR="00D0195A" w:rsidRPr="001E27BC">
        <w:t>r</w:t>
      </w:r>
      <w:r w:rsidR="00D0195A" w:rsidRPr="001E27BC">
        <w:t xml:space="preserve">ent intervention levels, </w:t>
      </w:r>
      <w:r w:rsidRPr="001E27BC">
        <w:t>is it formalised in a logframe or other format</w:t>
      </w:r>
      <w:r w:rsidR="00D0195A" w:rsidRPr="001E27BC">
        <w:t xml:space="preserve">, </w:t>
      </w:r>
      <w:r w:rsidRPr="001E27BC">
        <w:t>and is it actively used?</w:t>
      </w:r>
    </w:p>
    <w:p w:rsidR="00AD1A7F" w:rsidRPr="001E27BC" w:rsidRDefault="00AD1A7F" w:rsidP="00FD502D">
      <w:pPr>
        <w:keepNext/>
        <w:keepLines/>
      </w:pPr>
      <w:r w:rsidRPr="001E27BC">
        <w:t xml:space="preserve">On </w:t>
      </w:r>
      <w:r w:rsidRPr="001E27BC">
        <w:rPr>
          <w:b/>
        </w:rPr>
        <w:t>effectiveness</w:t>
      </w:r>
      <w:r w:rsidRPr="001E27BC">
        <w:t>:</w:t>
      </w:r>
    </w:p>
    <w:p w:rsidR="008B4A5F" w:rsidRPr="001E27BC" w:rsidRDefault="008B4A5F" w:rsidP="00FD502D">
      <w:pPr>
        <w:pStyle w:val="ListParagraph"/>
        <w:keepNext/>
        <w:keepLines/>
        <w:numPr>
          <w:ilvl w:val="0"/>
          <w:numId w:val="7"/>
        </w:numPr>
      </w:pPr>
      <w:r w:rsidRPr="001E27BC">
        <w:t>To what extent does the GCCA function as a platform for (political) dialogue and exchange between the EU and poor developing countries most vulnerable to climate change</w:t>
      </w:r>
      <w:r w:rsidRPr="001E27BC">
        <w:rPr>
          <w:rStyle w:val="FootnoteReference"/>
        </w:rPr>
        <w:footnoteReference w:id="5"/>
      </w:r>
      <w:r w:rsidRPr="001E27BC">
        <w:t>?  (= pillar 1 in the GCCA’s objective)?</w:t>
      </w:r>
    </w:p>
    <w:p w:rsidR="008B4A5F" w:rsidRPr="001E27BC" w:rsidRDefault="008B4A5F" w:rsidP="00FD502D">
      <w:pPr>
        <w:pStyle w:val="ListParagraph"/>
      </w:pPr>
    </w:p>
    <w:p w:rsidR="008B4A5F" w:rsidRPr="001E27BC" w:rsidRDefault="008B4A5F" w:rsidP="00FD502D">
      <w:pPr>
        <w:pStyle w:val="ListParagraph"/>
        <w:numPr>
          <w:ilvl w:val="0"/>
          <w:numId w:val="7"/>
        </w:numPr>
      </w:pPr>
      <w:r w:rsidRPr="001E27BC">
        <w:t xml:space="preserve">To what extent does the GCCA constitute a viable instrument for practical cooperation to tackle the combined challenge of the fight against poverty and climate change?  (= </w:t>
      </w:r>
      <w:r w:rsidR="00C20D87" w:rsidRPr="001E27BC">
        <w:t xml:space="preserve">pillar </w:t>
      </w:r>
      <w:r w:rsidRPr="001E27BC">
        <w:t>2 in the GCCA’s objective)?</w:t>
      </w:r>
    </w:p>
    <w:p w:rsidR="008B4A5F" w:rsidRPr="001E27BC" w:rsidRDefault="008B4A5F" w:rsidP="00FD502D">
      <w:pPr>
        <w:pStyle w:val="ListParagraph"/>
      </w:pPr>
    </w:p>
    <w:p w:rsidR="00AD1A7F" w:rsidRPr="001E27BC" w:rsidRDefault="00AD1A7F" w:rsidP="00FD502D">
      <w:pPr>
        <w:pStyle w:val="ListParagraph"/>
        <w:numPr>
          <w:ilvl w:val="0"/>
          <w:numId w:val="7"/>
        </w:numPr>
      </w:pPr>
      <w:r w:rsidRPr="001E27BC">
        <w:t>To what extent has the programme contributed to effective capacity building (</w:t>
      </w:r>
      <w:r w:rsidR="00C20D87" w:rsidRPr="001E27BC">
        <w:t xml:space="preserve">= </w:t>
      </w:r>
      <w:r w:rsidRPr="001E27BC">
        <w:t>an intermed</w:t>
      </w:r>
      <w:r w:rsidRPr="001E27BC">
        <w:t>i</w:t>
      </w:r>
      <w:r w:rsidRPr="001E27BC">
        <w:t>ate result contributin</w:t>
      </w:r>
      <w:r w:rsidR="006A0272" w:rsidRPr="001E27BC">
        <w:t>g to achievement of objectives)?</w:t>
      </w:r>
    </w:p>
    <w:p w:rsidR="00AD1A7F" w:rsidRPr="001E27BC" w:rsidRDefault="00AD1A7F" w:rsidP="00315F62">
      <w:pPr>
        <w:keepNext/>
        <w:keepLines/>
      </w:pPr>
      <w:r w:rsidRPr="001E27BC">
        <w:t xml:space="preserve">On </w:t>
      </w:r>
      <w:r w:rsidRPr="001E27BC">
        <w:rPr>
          <w:b/>
        </w:rPr>
        <w:t>efficiency</w:t>
      </w:r>
      <w:r w:rsidRPr="001E27BC">
        <w:t>:</w:t>
      </w:r>
    </w:p>
    <w:p w:rsidR="00AD1A7F" w:rsidRPr="001E27BC" w:rsidRDefault="00AD1A7F" w:rsidP="00315F62">
      <w:pPr>
        <w:keepNext/>
        <w:keepLines/>
        <w:ind w:left="425" w:hanging="425"/>
      </w:pPr>
      <w:r w:rsidRPr="001E27BC">
        <w:t>6.</w:t>
      </w:r>
      <w:r w:rsidRPr="001E27BC">
        <w:tab/>
        <w:t>To what extent are institutional arrangements and implementation modalities for manag</w:t>
      </w:r>
      <w:r w:rsidRPr="001E27BC">
        <w:t>e</w:t>
      </w:r>
      <w:r w:rsidRPr="001E27BC">
        <w:t>ment of the interventions appropriate (i.e. based on realistic assessments of contexts and driven by principles of aid effectiveness) and functional?</w:t>
      </w:r>
    </w:p>
    <w:p w:rsidR="00AD1A7F" w:rsidRPr="001E27BC" w:rsidRDefault="00AD1A7F" w:rsidP="00FD502D">
      <w:pPr>
        <w:ind w:left="425" w:hanging="425"/>
      </w:pPr>
      <w:r w:rsidRPr="001E27BC">
        <w:t>7.</w:t>
      </w:r>
      <w:r w:rsidRPr="001E27BC">
        <w:tab/>
        <w:t xml:space="preserve">To which extent has the programme established linkages and created synergies </w:t>
      </w:r>
      <w:r w:rsidR="0025537D" w:rsidRPr="001E27BC">
        <w:t xml:space="preserve">(at national, regional and </w:t>
      </w:r>
      <w:r w:rsidR="00E3353C" w:rsidRPr="001E27BC">
        <w:t>ACP/</w:t>
      </w:r>
      <w:r w:rsidR="0025537D" w:rsidRPr="001E27BC">
        <w:t xml:space="preserve">global levels) </w:t>
      </w:r>
      <w:r w:rsidRPr="001E27BC">
        <w:t>with other, related actions, including EU instruments and actions</w:t>
      </w:r>
      <w:r w:rsidR="008B4A5F" w:rsidRPr="001E27BC">
        <w:t xml:space="preserve">, </w:t>
      </w:r>
      <w:r w:rsidRPr="001E27BC">
        <w:t xml:space="preserve">in line with the </w:t>
      </w:r>
      <w:r w:rsidR="008B4A5F" w:rsidRPr="001E27BC">
        <w:t>harmonisation principle</w:t>
      </w:r>
      <w:r w:rsidRPr="001E27BC">
        <w:t>?</w:t>
      </w:r>
    </w:p>
    <w:p w:rsidR="00AD1A7F" w:rsidRPr="001E27BC" w:rsidRDefault="00AD1A7F" w:rsidP="00FD502D">
      <w:r w:rsidRPr="001E27BC">
        <w:t xml:space="preserve">On </w:t>
      </w:r>
      <w:r w:rsidRPr="001E27BC">
        <w:rPr>
          <w:b/>
        </w:rPr>
        <w:t>impact</w:t>
      </w:r>
      <w:r w:rsidRPr="001E27BC">
        <w:t>:</w:t>
      </w:r>
    </w:p>
    <w:p w:rsidR="008B4A5F" w:rsidRPr="001E27BC" w:rsidRDefault="00AD1A7F" w:rsidP="00FD502D">
      <w:pPr>
        <w:ind w:left="425" w:hanging="425"/>
      </w:pPr>
      <w:r w:rsidRPr="001E27BC">
        <w:t>8.</w:t>
      </w:r>
      <w:r w:rsidRPr="001E27BC">
        <w:tab/>
      </w:r>
      <w:r w:rsidR="008B4A5F" w:rsidRPr="001E27BC">
        <w:t xml:space="preserve">To what extent has the programme contributed to achievement of </w:t>
      </w:r>
      <w:r w:rsidR="006C2691" w:rsidRPr="001E27BC">
        <w:t xml:space="preserve">the </w:t>
      </w:r>
      <w:r w:rsidR="008B4A5F" w:rsidRPr="001E27BC">
        <w:t>overall objective</w:t>
      </w:r>
      <w:r w:rsidR="006C2691" w:rsidRPr="001E27BC">
        <w:t xml:space="preserve">, </w:t>
      </w:r>
      <w:r w:rsidR="008B4A5F" w:rsidRPr="001E27BC">
        <w:t xml:space="preserve">to help poor developing countries most vulnerable to climate change, in particular LDCs and SIDS, to increase their capabilities to cope with the effects of climate change, in support of the achievement of the </w:t>
      </w:r>
      <w:r w:rsidR="004221CD" w:rsidRPr="001E27BC">
        <w:t>Millennium Development Goals (</w:t>
      </w:r>
      <w:r w:rsidR="008B4A5F" w:rsidRPr="001E27BC">
        <w:t>MDGs</w:t>
      </w:r>
      <w:r w:rsidR="004221CD" w:rsidRPr="001E27BC">
        <w:t>)</w:t>
      </w:r>
      <w:r w:rsidR="008B4A5F" w:rsidRPr="001E27BC">
        <w:t xml:space="preserve">; </w:t>
      </w:r>
      <w:r w:rsidR="00733561" w:rsidRPr="001E27BC">
        <w:t>and where</w:t>
      </w:r>
      <w:r w:rsidR="008B4A5F" w:rsidRPr="001E27BC">
        <w:t xml:space="preserve"> it benefits their poverty reduction objectives, the </w:t>
      </w:r>
      <w:r w:rsidR="00254DC6" w:rsidRPr="001E27BC">
        <w:t>a</w:t>
      </w:r>
      <w:r w:rsidR="008B4A5F" w:rsidRPr="001E27BC">
        <w:t>lliance will also help such countries to participate in the global climate change mitigation effort, even if, as in the case of LDCs, they will not be r</w:t>
      </w:r>
      <w:r w:rsidR="008B4A5F" w:rsidRPr="001E27BC">
        <w:t>e</w:t>
      </w:r>
      <w:r w:rsidR="008B4A5F" w:rsidRPr="001E27BC">
        <w:t>quired to make emission reduction commitments under a post-2012 agreement.</w:t>
      </w:r>
    </w:p>
    <w:p w:rsidR="00AD1A7F" w:rsidRPr="001E27BC" w:rsidRDefault="00AD1A7F" w:rsidP="00FD502D">
      <w:pPr>
        <w:ind w:left="425" w:hanging="425"/>
      </w:pPr>
      <w:r w:rsidRPr="001E27BC">
        <w:t>9.</w:t>
      </w:r>
      <w:r w:rsidRPr="001E27BC">
        <w:tab/>
        <w:t xml:space="preserve">To which extent does the programme contribute to visibility and a good reputation of the EU’s </w:t>
      </w:r>
      <w:r w:rsidR="00E3353C" w:rsidRPr="001E27BC">
        <w:t xml:space="preserve">and ACP’s </w:t>
      </w:r>
      <w:r w:rsidRPr="001E27BC">
        <w:t>actions in the field of climate change?</w:t>
      </w:r>
    </w:p>
    <w:p w:rsidR="00AD1A7F" w:rsidRPr="001E27BC" w:rsidRDefault="00AD1A7F" w:rsidP="00FD502D">
      <w:r w:rsidRPr="001E27BC">
        <w:t xml:space="preserve">On </w:t>
      </w:r>
      <w:r w:rsidRPr="001E27BC">
        <w:rPr>
          <w:b/>
        </w:rPr>
        <w:t>sustainability</w:t>
      </w:r>
      <w:r w:rsidRPr="001E27BC">
        <w:t>:</w:t>
      </w:r>
    </w:p>
    <w:p w:rsidR="00AD1A7F" w:rsidRPr="001E27BC" w:rsidRDefault="00AD1A7F" w:rsidP="00FD502D">
      <w:pPr>
        <w:ind w:left="425" w:hanging="425"/>
      </w:pPr>
      <w:r w:rsidRPr="001E27BC">
        <w:t>10.</w:t>
      </w:r>
      <w:r w:rsidRPr="001E27BC">
        <w:tab/>
        <w:t>To what extent are the conditions met and mechanisms in place to sustain programme results and ensure a continued flow of benefits to beneficiaries?</w:t>
      </w:r>
    </w:p>
    <w:p w:rsidR="001B649B" w:rsidRPr="001E27BC" w:rsidRDefault="00315F62" w:rsidP="00315F62">
      <w:pPr>
        <w:pStyle w:val="Heading3"/>
      </w:pPr>
      <w:bookmarkStart w:id="12" w:name="_Toc284767310"/>
      <w:r>
        <w:t>1.2.2</w:t>
      </w:r>
      <w:r>
        <w:tab/>
      </w:r>
      <w:r w:rsidR="001B649B" w:rsidRPr="001E27BC">
        <w:t>Evaluation Matrix</w:t>
      </w:r>
      <w:bookmarkEnd w:id="12"/>
    </w:p>
    <w:p w:rsidR="006A0272" w:rsidRPr="001E27BC" w:rsidRDefault="00EC5001" w:rsidP="0076070B">
      <w:pPr>
        <w:rPr>
          <w:rFonts w:cs="Tahoma"/>
          <w:szCs w:val="26"/>
        </w:rPr>
      </w:pPr>
      <w:r w:rsidRPr="001E27BC">
        <w:rPr>
          <w:rFonts w:cs="Tahoma"/>
          <w:szCs w:val="26"/>
        </w:rPr>
        <w:t xml:space="preserve">The </w:t>
      </w:r>
      <w:r w:rsidR="001B649B" w:rsidRPr="001E27BC">
        <w:rPr>
          <w:rFonts w:cs="Tahoma"/>
          <w:szCs w:val="26"/>
        </w:rPr>
        <w:t xml:space="preserve">ten </w:t>
      </w:r>
      <w:r w:rsidR="00013282" w:rsidRPr="001E27BC">
        <w:rPr>
          <w:rFonts w:cs="Tahoma"/>
          <w:szCs w:val="26"/>
        </w:rPr>
        <w:t>Evaluation Questions</w:t>
      </w:r>
      <w:r w:rsidR="001B649B" w:rsidRPr="001E27BC">
        <w:rPr>
          <w:rFonts w:cs="Tahoma"/>
          <w:szCs w:val="26"/>
        </w:rPr>
        <w:t xml:space="preserve"> were further broken down into sub-questions, as reflected in the evaluation matrix presented in </w:t>
      </w:r>
      <w:r w:rsidR="001B649B" w:rsidRPr="001E27BC">
        <w:rPr>
          <w:rFonts w:cs="Tahoma"/>
          <w:i/>
          <w:szCs w:val="26"/>
        </w:rPr>
        <w:t xml:space="preserve">Annex </w:t>
      </w:r>
      <w:r w:rsidR="00A926DF" w:rsidRPr="001E27BC">
        <w:rPr>
          <w:rFonts w:cs="Tahoma"/>
          <w:i/>
          <w:szCs w:val="26"/>
        </w:rPr>
        <w:t>4</w:t>
      </w:r>
      <w:r w:rsidR="008A5A8F" w:rsidRPr="001E27BC">
        <w:rPr>
          <w:rFonts w:cs="Tahoma"/>
          <w:i/>
          <w:szCs w:val="26"/>
        </w:rPr>
        <w:t>A</w:t>
      </w:r>
      <w:r w:rsidR="00013282" w:rsidRPr="001E27BC">
        <w:rPr>
          <w:rFonts w:cs="Tahoma"/>
          <w:szCs w:val="26"/>
        </w:rPr>
        <w:t xml:space="preserve">. </w:t>
      </w:r>
      <w:r w:rsidR="000D3645" w:rsidRPr="001E27BC">
        <w:rPr>
          <w:rFonts w:cs="Tahoma"/>
          <w:szCs w:val="26"/>
        </w:rPr>
        <w:t>For each of the</w:t>
      </w:r>
      <w:r w:rsidR="001B649B" w:rsidRPr="001E27BC">
        <w:rPr>
          <w:rFonts w:cs="Tahoma"/>
          <w:szCs w:val="26"/>
        </w:rPr>
        <w:t xml:space="preserve"> EQs</w:t>
      </w:r>
      <w:r w:rsidR="000D3645" w:rsidRPr="001E27BC">
        <w:rPr>
          <w:rFonts w:cs="Tahoma"/>
          <w:szCs w:val="26"/>
        </w:rPr>
        <w:t xml:space="preserve">, two to five judgement criteria </w:t>
      </w:r>
      <w:r w:rsidR="001B649B" w:rsidRPr="001E27BC">
        <w:rPr>
          <w:rFonts w:cs="Tahoma"/>
          <w:szCs w:val="26"/>
        </w:rPr>
        <w:t xml:space="preserve">were </w:t>
      </w:r>
      <w:r w:rsidR="000D3645" w:rsidRPr="001E27BC">
        <w:rPr>
          <w:rFonts w:cs="Tahoma"/>
          <w:szCs w:val="26"/>
        </w:rPr>
        <w:t xml:space="preserve">formulated (column </w:t>
      </w:r>
      <w:r w:rsidR="00856D63" w:rsidRPr="001E27BC">
        <w:rPr>
          <w:rFonts w:cs="Tahoma"/>
          <w:szCs w:val="26"/>
        </w:rPr>
        <w:t>5</w:t>
      </w:r>
      <w:r w:rsidR="000D3645" w:rsidRPr="001E27BC">
        <w:rPr>
          <w:rFonts w:cs="Tahoma"/>
          <w:szCs w:val="26"/>
        </w:rPr>
        <w:t xml:space="preserve">), with corresponding indicators (column </w:t>
      </w:r>
      <w:r w:rsidR="00856D63" w:rsidRPr="001E27BC">
        <w:rPr>
          <w:rFonts w:cs="Tahoma"/>
          <w:szCs w:val="26"/>
        </w:rPr>
        <w:t>6</w:t>
      </w:r>
      <w:r w:rsidR="000D3645" w:rsidRPr="001E27BC">
        <w:rPr>
          <w:rFonts w:cs="Tahoma"/>
          <w:szCs w:val="26"/>
        </w:rPr>
        <w:t xml:space="preserve">). Column </w:t>
      </w:r>
      <w:r w:rsidR="00856D63" w:rsidRPr="001E27BC">
        <w:rPr>
          <w:rFonts w:cs="Tahoma"/>
          <w:szCs w:val="26"/>
        </w:rPr>
        <w:t>7</w:t>
      </w:r>
      <w:r w:rsidR="000D3645" w:rsidRPr="001E27BC">
        <w:rPr>
          <w:rFonts w:cs="Tahoma"/>
          <w:szCs w:val="26"/>
        </w:rPr>
        <w:t xml:space="preserve"> mentions the data and research actions required to answer the questions. </w:t>
      </w:r>
      <w:r w:rsidR="001B649B" w:rsidRPr="001E27BC">
        <w:rPr>
          <w:rFonts w:cs="Tahoma"/>
          <w:szCs w:val="26"/>
        </w:rPr>
        <w:t>C</w:t>
      </w:r>
      <w:r w:rsidR="000D3645" w:rsidRPr="001E27BC">
        <w:rPr>
          <w:rFonts w:cs="Tahoma"/>
          <w:szCs w:val="26"/>
        </w:rPr>
        <w:t xml:space="preserve">olumn </w:t>
      </w:r>
      <w:r w:rsidR="00856D63" w:rsidRPr="001E27BC">
        <w:rPr>
          <w:rFonts w:cs="Tahoma"/>
          <w:szCs w:val="26"/>
        </w:rPr>
        <w:t>8</w:t>
      </w:r>
      <w:r w:rsidR="001B649B" w:rsidRPr="001E27BC">
        <w:rPr>
          <w:rFonts w:cs="Tahoma"/>
          <w:szCs w:val="26"/>
        </w:rPr>
        <w:t xml:space="preserve"> </w:t>
      </w:r>
      <w:r w:rsidR="000D3645" w:rsidRPr="001E27BC">
        <w:rPr>
          <w:rFonts w:cs="Tahoma"/>
          <w:szCs w:val="26"/>
        </w:rPr>
        <w:t>reflect</w:t>
      </w:r>
      <w:r w:rsidR="001B649B" w:rsidRPr="001E27BC">
        <w:rPr>
          <w:rFonts w:cs="Tahoma"/>
          <w:szCs w:val="26"/>
        </w:rPr>
        <w:t>s</w:t>
      </w:r>
      <w:r w:rsidR="000D3645" w:rsidRPr="001E27BC">
        <w:rPr>
          <w:rFonts w:cs="Tahoma"/>
          <w:szCs w:val="26"/>
        </w:rPr>
        <w:t xml:space="preserve"> the elements from the ToR that have been incorporated; </w:t>
      </w:r>
      <w:r w:rsidR="00856D63" w:rsidRPr="001E27BC">
        <w:rPr>
          <w:rFonts w:cs="Tahoma"/>
          <w:szCs w:val="26"/>
        </w:rPr>
        <w:t>It is also indicated when the evaluation team has added cr</w:t>
      </w:r>
      <w:r w:rsidR="00856D63" w:rsidRPr="001E27BC">
        <w:rPr>
          <w:rFonts w:cs="Tahoma"/>
          <w:szCs w:val="26"/>
        </w:rPr>
        <w:t>i</w:t>
      </w:r>
      <w:r w:rsidR="00856D63" w:rsidRPr="001E27BC">
        <w:rPr>
          <w:rFonts w:cs="Tahoma"/>
          <w:szCs w:val="26"/>
        </w:rPr>
        <w:t>teria that were not explicitly mentioned in the ToR.</w:t>
      </w:r>
      <w:r w:rsidR="00C47538" w:rsidRPr="001E27BC">
        <w:t xml:space="preserve"> </w:t>
      </w:r>
    </w:p>
    <w:p w:rsidR="006A0272" w:rsidRPr="001E27BC" w:rsidRDefault="006A0272" w:rsidP="0076070B">
      <w:r w:rsidRPr="001E27BC">
        <w:t xml:space="preserve">The questions and sub-questions contained in the ToR were found to be of different orders; some were major evaluation questions and have been maintained as such; others have been converted into judgement criteria under the relevant EQ. In this way, all questions </w:t>
      </w:r>
      <w:r w:rsidR="001B649B" w:rsidRPr="001E27BC">
        <w:t xml:space="preserve">were </w:t>
      </w:r>
      <w:r w:rsidRPr="001E27BC">
        <w:t xml:space="preserve">classified and found their place in the evaluation matrix. Cross-cutting issues such as gender, and ‘horizontal issues’ such as technical cooperation and capacity development </w:t>
      </w:r>
      <w:r w:rsidR="001B649B" w:rsidRPr="001E27BC">
        <w:t>were al</w:t>
      </w:r>
      <w:r w:rsidRPr="001E27BC">
        <w:t>so integrated into the EQs</w:t>
      </w:r>
      <w:r w:rsidR="00733561" w:rsidRPr="001E27BC">
        <w:t>,</w:t>
      </w:r>
      <w:r w:rsidRPr="001E27BC">
        <w:t xml:space="preserve"> in the form of judgement criteria.  </w:t>
      </w:r>
    </w:p>
    <w:p w:rsidR="001B649B" w:rsidRPr="001E27BC" w:rsidRDefault="006A0272" w:rsidP="0076070B">
      <w:pPr>
        <w:rPr>
          <w:rFonts w:cs="Tahoma"/>
          <w:szCs w:val="26"/>
        </w:rPr>
      </w:pPr>
      <w:r w:rsidRPr="001E27BC">
        <w:rPr>
          <w:rFonts w:cs="Tahoma"/>
          <w:szCs w:val="26"/>
        </w:rPr>
        <w:t>T</w:t>
      </w:r>
      <w:r w:rsidR="00856D63" w:rsidRPr="001E27BC">
        <w:rPr>
          <w:rFonts w:cs="Tahoma"/>
          <w:szCs w:val="26"/>
        </w:rPr>
        <w:t>he first two columns indicate whether the questions and criteria apply to the GCCA</w:t>
      </w:r>
      <w:r w:rsidR="00B53537" w:rsidRPr="001E27BC">
        <w:rPr>
          <w:rFonts w:cs="Tahoma"/>
          <w:szCs w:val="26"/>
        </w:rPr>
        <w:t xml:space="preserve"> initiative</w:t>
      </w:r>
      <w:r w:rsidR="00856D63" w:rsidRPr="001E27BC">
        <w:rPr>
          <w:rFonts w:cs="Tahoma"/>
          <w:szCs w:val="26"/>
        </w:rPr>
        <w:t xml:space="preserve">, to the Intra ACP GCCA </w:t>
      </w:r>
      <w:r w:rsidR="00B53537" w:rsidRPr="001E27BC">
        <w:rPr>
          <w:rFonts w:cs="Tahoma"/>
          <w:szCs w:val="26"/>
        </w:rPr>
        <w:t>programme or to both</w:t>
      </w:r>
      <w:r w:rsidR="00856D63" w:rsidRPr="001E27BC">
        <w:rPr>
          <w:rFonts w:cs="Tahoma"/>
          <w:szCs w:val="26"/>
        </w:rPr>
        <w:t xml:space="preserve">. </w:t>
      </w:r>
      <w:r w:rsidR="00C47538" w:rsidRPr="001E27BC">
        <w:rPr>
          <w:rFonts w:cs="Tahoma"/>
          <w:szCs w:val="26"/>
        </w:rPr>
        <w:t>Where appropriate, separate questions and judg</w:t>
      </w:r>
      <w:r w:rsidR="00C47538" w:rsidRPr="001E27BC">
        <w:rPr>
          <w:rFonts w:cs="Tahoma"/>
          <w:szCs w:val="26"/>
        </w:rPr>
        <w:t>e</w:t>
      </w:r>
      <w:r w:rsidR="00C47538" w:rsidRPr="001E27BC">
        <w:rPr>
          <w:rFonts w:cs="Tahoma"/>
          <w:szCs w:val="26"/>
        </w:rPr>
        <w:t xml:space="preserve">ment criteria </w:t>
      </w:r>
      <w:r w:rsidR="001B649B" w:rsidRPr="001E27BC">
        <w:rPr>
          <w:rFonts w:cs="Tahoma"/>
          <w:szCs w:val="26"/>
        </w:rPr>
        <w:t xml:space="preserve">were </w:t>
      </w:r>
      <w:r w:rsidR="00C47538" w:rsidRPr="001E27BC">
        <w:rPr>
          <w:rFonts w:cs="Tahoma"/>
          <w:szCs w:val="26"/>
        </w:rPr>
        <w:t xml:space="preserve">formulated for the </w:t>
      </w:r>
      <w:r w:rsidR="00BB7A7B" w:rsidRPr="001E27BC">
        <w:rPr>
          <w:rFonts w:cs="Tahoma"/>
          <w:szCs w:val="26"/>
        </w:rPr>
        <w:t xml:space="preserve">global </w:t>
      </w:r>
      <w:r w:rsidR="00B53537" w:rsidRPr="001E27BC">
        <w:rPr>
          <w:rFonts w:cs="Tahoma"/>
          <w:szCs w:val="26"/>
        </w:rPr>
        <w:t xml:space="preserve">and the Intra-ACP </w:t>
      </w:r>
      <w:r w:rsidR="00BB7A7B" w:rsidRPr="001E27BC">
        <w:rPr>
          <w:rFonts w:cs="Tahoma"/>
          <w:szCs w:val="26"/>
        </w:rPr>
        <w:t xml:space="preserve">GCCA </w:t>
      </w:r>
      <w:r w:rsidR="00B53537" w:rsidRPr="001E27BC">
        <w:rPr>
          <w:rFonts w:cs="Tahoma"/>
          <w:szCs w:val="26"/>
        </w:rPr>
        <w:t>programme</w:t>
      </w:r>
      <w:r w:rsidR="00C47538" w:rsidRPr="001E27BC">
        <w:rPr>
          <w:rFonts w:cs="Tahoma"/>
          <w:szCs w:val="26"/>
        </w:rPr>
        <w:t>, in order to respond to the</w:t>
      </w:r>
      <w:r w:rsidR="00B53537" w:rsidRPr="001E27BC">
        <w:rPr>
          <w:rFonts w:cs="Tahoma"/>
          <w:szCs w:val="26"/>
        </w:rPr>
        <w:t>ir</w:t>
      </w:r>
      <w:r w:rsidR="00AA0F0A" w:rsidRPr="001E27BC">
        <w:rPr>
          <w:rFonts w:cs="Tahoma"/>
          <w:szCs w:val="26"/>
        </w:rPr>
        <w:t xml:space="preserve"> </w:t>
      </w:r>
      <w:r w:rsidR="00C47538" w:rsidRPr="001E27BC">
        <w:rPr>
          <w:rFonts w:cs="Tahoma"/>
          <w:szCs w:val="26"/>
        </w:rPr>
        <w:t>specific evaluation needs. Furthermore, the questions were tailored to the gl</w:t>
      </w:r>
      <w:r w:rsidR="00C47538" w:rsidRPr="001E27BC">
        <w:rPr>
          <w:rFonts w:cs="Tahoma"/>
          <w:szCs w:val="26"/>
        </w:rPr>
        <w:t>o</w:t>
      </w:r>
      <w:r w:rsidR="00C47538" w:rsidRPr="001E27BC">
        <w:rPr>
          <w:rFonts w:cs="Tahoma"/>
          <w:szCs w:val="26"/>
        </w:rPr>
        <w:t xml:space="preserve">bal/macro level and to the level of individual </w:t>
      </w:r>
      <w:r w:rsidR="00BB7A7B" w:rsidRPr="001E27BC">
        <w:rPr>
          <w:rFonts w:cs="Tahoma"/>
          <w:szCs w:val="26"/>
        </w:rPr>
        <w:t>programmes</w:t>
      </w:r>
      <w:r w:rsidR="00C47538" w:rsidRPr="001E27BC">
        <w:rPr>
          <w:rFonts w:cs="Tahoma"/>
          <w:szCs w:val="26"/>
        </w:rPr>
        <w:t xml:space="preserve"> (the ‘micro-level’), as appropriate. </w:t>
      </w:r>
    </w:p>
    <w:p w:rsidR="00A41356" w:rsidRPr="001E27BC" w:rsidRDefault="00940ADF" w:rsidP="0076070B">
      <w:r w:rsidRPr="001E27BC">
        <w:t>Since no logical framework</w:t>
      </w:r>
      <w:r w:rsidR="003918A1" w:rsidRPr="001E27BC">
        <w:t xml:space="preserve"> exists for the </w:t>
      </w:r>
      <w:r w:rsidR="00B61663" w:rsidRPr="001E27BC">
        <w:t xml:space="preserve">overall </w:t>
      </w:r>
      <w:r w:rsidR="003918A1" w:rsidRPr="001E27BC">
        <w:t>GCCA initiative</w:t>
      </w:r>
      <w:r w:rsidRPr="001E27BC">
        <w:t xml:space="preserve"> to </w:t>
      </w:r>
      <w:r w:rsidR="003918A1" w:rsidRPr="001E27BC">
        <w:t>which the evaluation c</w:t>
      </w:r>
      <w:r w:rsidR="00B61663" w:rsidRPr="001E27BC">
        <w:t>ould</w:t>
      </w:r>
      <w:r w:rsidR="003918A1" w:rsidRPr="001E27BC">
        <w:t xml:space="preserve"> </w:t>
      </w:r>
      <w:r w:rsidRPr="001E27BC">
        <w:t>refe</w:t>
      </w:r>
      <w:r w:rsidR="003918A1" w:rsidRPr="001E27BC">
        <w:t>r</w:t>
      </w:r>
      <w:r w:rsidRPr="001E27BC">
        <w:t>, the evaluation team reconstruct</w:t>
      </w:r>
      <w:r w:rsidR="00D44E0B" w:rsidRPr="001E27BC">
        <w:t>ed</w:t>
      </w:r>
      <w:r w:rsidRPr="001E27BC">
        <w:t xml:space="preserve"> a results chain</w:t>
      </w:r>
      <w:r w:rsidR="00D44E0B" w:rsidRPr="001E27BC">
        <w:t xml:space="preserve">, </w:t>
      </w:r>
      <w:r w:rsidRPr="001E27BC">
        <w:t xml:space="preserve">presented in </w:t>
      </w:r>
      <w:r w:rsidRPr="001E27BC">
        <w:rPr>
          <w:i/>
        </w:rPr>
        <w:t xml:space="preserve">Annex </w:t>
      </w:r>
      <w:r w:rsidR="008A5A8F" w:rsidRPr="001E27BC">
        <w:rPr>
          <w:i/>
        </w:rPr>
        <w:t>6</w:t>
      </w:r>
      <w:r w:rsidR="00B61663" w:rsidRPr="001E27BC">
        <w:rPr>
          <w:i/>
        </w:rPr>
        <w:t xml:space="preserve">, </w:t>
      </w:r>
      <w:r w:rsidR="00D44E0B" w:rsidRPr="001E27BC">
        <w:t xml:space="preserve">which </w:t>
      </w:r>
      <w:r w:rsidR="00733561" w:rsidRPr="001E27BC">
        <w:t xml:space="preserve">supported </w:t>
      </w:r>
      <w:r w:rsidR="00B61663" w:rsidRPr="001E27BC">
        <w:t xml:space="preserve">further elaboration of </w:t>
      </w:r>
      <w:r w:rsidRPr="001E27BC">
        <w:t>the evaluation matrix</w:t>
      </w:r>
      <w:r w:rsidR="00B61663" w:rsidRPr="001E27BC">
        <w:t xml:space="preserve">. </w:t>
      </w:r>
    </w:p>
    <w:p w:rsidR="001B649B" w:rsidRPr="001E27BC" w:rsidRDefault="00315F62" w:rsidP="00315F62">
      <w:pPr>
        <w:pStyle w:val="Heading3"/>
      </w:pPr>
      <w:bookmarkStart w:id="13" w:name="_Toc284767311"/>
      <w:r>
        <w:t>1.2.3</w:t>
      </w:r>
      <w:r>
        <w:tab/>
      </w:r>
      <w:r w:rsidR="001B649B" w:rsidRPr="001E27BC">
        <w:t>Scoring table</w:t>
      </w:r>
      <w:bookmarkEnd w:id="13"/>
    </w:p>
    <w:p w:rsidR="001B649B" w:rsidRPr="001E27BC" w:rsidRDefault="00B62D31" w:rsidP="00ED3664">
      <w:r w:rsidRPr="001E27BC">
        <w:t xml:space="preserve">A </w:t>
      </w:r>
      <w:r w:rsidR="00A926DF" w:rsidRPr="001E27BC">
        <w:t xml:space="preserve">third </w:t>
      </w:r>
      <w:r w:rsidRPr="001E27BC">
        <w:t xml:space="preserve">tool </w:t>
      </w:r>
      <w:r w:rsidR="001B649B" w:rsidRPr="001E27BC">
        <w:t xml:space="preserve">used </w:t>
      </w:r>
      <w:r w:rsidRPr="001E27BC">
        <w:t xml:space="preserve">for processing the large amount of data </w:t>
      </w:r>
      <w:r w:rsidR="00E34B43" w:rsidRPr="001E27BC">
        <w:t xml:space="preserve">collected </w:t>
      </w:r>
      <w:r w:rsidR="00F950A6" w:rsidRPr="001E27BC">
        <w:t xml:space="preserve">during </w:t>
      </w:r>
      <w:r w:rsidR="00E34B43" w:rsidRPr="001E27BC">
        <w:t>the field phase</w:t>
      </w:r>
      <w:r w:rsidR="001B649B" w:rsidRPr="001E27BC">
        <w:t xml:space="preserve"> is a scoring </w:t>
      </w:r>
      <w:r w:rsidR="001F5B08" w:rsidRPr="001E27BC">
        <w:t xml:space="preserve">table, </w:t>
      </w:r>
      <w:r w:rsidR="001B649B" w:rsidRPr="001E27BC">
        <w:t>in which the various components and interventions evaluated across the 13 cou</w:t>
      </w:r>
      <w:r w:rsidR="001F5B08" w:rsidRPr="001E27BC">
        <w:t>n</w:t>
      </w:r>
      <w:r w:rsidR="001F5B08" w:rsidRPr="001E27BC">
        <w:t>t</w:t>
      </w:r>
      <w:r w:rsidR="001F5B08" w:rsidRPr="001E27BC">
        <w:t xml:space="preserve">ries visited are </w:t>
      </w:r>
      <w:r w:rsidR="001B649B" w:rsidRPr="001E27BC">
        <w:t xml:space="preserve">reported, grouped by funding source, programme, region and/or component. </w:t>
      </w:r>
      <w:r w:rsidR="001F5B08" w:rsidRPr="001E27BC">
        <w:t xml:space="preserve">The scoring table is presented in Annex </w:t>
      </w:r>
      <w:r w:rsidR="00ED3664" w:rsidRPr="001E27BC">
        <w:t>4B</w:t>
      </w:r>
      <w:r w:rsidR="001F5B08" w:rsidRPr="001E27BC">
        <w:t xml:space="preserve">. </w:t>
      </w:r>
      <w:r w:rsidR="001B649B" w:rsidRPr="001E27BC">
        <w:t xml:space="preserve">For each of the EQs, a score </w:t>
      </w:r>
      <w:r w:rsidR="001F5B08" w:rsidRPr="001E27BC">
        <w:t xml:space="preserve">was </w:t>
      </w:r>
      <w:r w:rsidR="001B649B" w:rsidRPr="001E27BC">
        <w:t xml:space="preserve">attributed, </w:t>
      </w:r>
      <w:r w:rsidR="00733561" w:rsidRPr="001E27BC">
        <w:t xml:space="preserve">analogous </w:t>
      </w:r>
      <w:r w:rsidR="001B649B" w:rsidRPr="001E27BC">
        <w:t>to the scoring system in the</w:t>
      </w:r>
      <w:r w:rsidR="004201A1" w:rsidRPr="001E27BC">
        <w:t xml:space="preserve"> Result Oriented </w:t>
      </w:r>
      <w:r w:rsidR="00ED3664" w:rsidRPr="001E27BC">
        <w:t>Monitoring (</w:t>
      </w:r>
      <w:r w:rsidR="001B649B" w:rsidRPr="001E27BC">
        <w:t>ROM</w:t>
      </w:r>
      <w:r w:rsidR="004201A1" w:rsidRPr="001E27BC">
        <w:t>)</w:t>
      </w:r>
      <w:r w:rsidR="001B649B" w:rsidRPr="001E27BC">
        <w:t xml:space="preserve"> methodology (a score ranging from </w:t>
      </w:r>
      <w:r w:rsidR="00A21CEB" w:rsidRPr="001E27BC">
        <w:t>‘A</w:t>
      </w:r>
      <w:r w:rsidR="001B649B" w:rsidRPr="001E27BC">
        <w:t xml:space="preserve">’ (very good) to </w:t>
      </w:r>
      <w:r w:rsidR="00A21CEB" w:rsidRPr="001E27BC">
        <w:t>‘D</w:t>
      </w:r>
      <w:r w:rsidR="001B649B" w:rsidRPr="001E27BC">
        <w:t>’ (serious deficiencies). Th</w:t>
      </w:r>
      <w:r w:rsidR="001F5B08" w:rsidRPr="001E27BC">
        <w:t>e resulting table</w:t>
      </w:r>
      <w:r w:rsidR="00A21CEB" w:rsidRPr="001E27BC">
        <w:t>s</w:t>
      </w:r>
      <w:r w:rsidR="001F5B08" w:rsidRPr="001E27BC">
        <w:t xml:space="preserve"> a</w:t>
      </w:r>
      <w:r w:rsidR="001B649B" w:rsidRPr="001E27BC">
        <w:t>llow</w:t>
      </w:r>
      <w:r w:rsidR="00A21CEB" w:rsidRPr="001E27BC">
        <w:t>, on the one hand,</w:t>
      </w:r>
      <w:r w:rsidR="001B649B" w:rsidRPr="001E27BC">
        <w:t xml:space="preserve"> for a </w:t>
      </w:r>
      <w:r w:rsidR="00ED3664" w:rsidRPr="001E27BC">
        <w:t>synthesised overview</w:t>
      </w:r>
      <w:r w:rsidR="001B649B" w:rsidRPr="001E27BC">
        <w:t xml:space="preserve"> of </w:t>
      </w:r>
      <w:r w:rsidR="004201A1" w:rsidRPr="001E27BC">
        <w:t xml:space="preserve">the </w:t>
      </w:r>
      <w:r w:rsidR="001B649B" w:rsidRPr="001E27BC">
        <w:t>performance of the various interventions in the different re</w:t>
      </w:r>
      <w:r w:rsidR="00A21CEB" w:rsidRPr="001E27BC">
        <w:t>gions, an</w:t>
      </w:r>
      <w:r w:rsidR="001B649B" w:rsidRPr="001E27BC">
        <w:t xml:space="preserve">d of evaluation questions and criteria </w:t>
      </w:r>
      <w:r w:rsidR="001F5B08" w:rsidRPr="001E27BC">
        <w:t xml:space="preserve">for </w:t>
      </w:r>
      <w:r w:rsidR="001B649B" w:rsidRPr="001E27BC">
        <w:t>the Intra- ACP GCCA programme</w:t>
      </w:r>
      <w:r w:rsidR="001F5B08" w:rsidRPr="001E27BC">
        <w:t xml:space="preserve"> and </w:t>
      </w:r>
      <w:r w:rsidR="001B649B" w:rsidRPr="001E27BC">
        <w:t xml:space="preserve">the </w:t>
      </w:r>
      <w:r w:rsidR="001F5B08" w:rsidRPr="001E27BC">
        <w:t xml:space="preserve">global </w:t>
      </w:r>
      <w:r w:rsidR="001B649B" w:rsidRPr="001E27BC">
        <w:t>GCCA and their various components</w:t>
      </w:r>
      <w:r w:rsidR="00BB7A7B" w:rsidRPr="001E27BC">
        <w:t xml:space="preserve">, </w:t>
      </w:r>
      <w:r w:rsidR="00A21CEB" w:rsidRPr="001E27BC">
        <w:t>on the other. These are</w:t>
      </w:r>
      <w:r w:rsidR="00BB7A7B" w:rsidRPr="001E27BC">
        <w:t xml:space="preserve"> presented in </w:t>
      </w:r>
      <w:r w:rsidR="00676892">
        <w:t>Tables 1</w:t>
      </w:r>
      <w:r w:rsidR="00BB7A7B" w:rsidRPr="001E27BC">
        <w:t xml:space="preserve"> and 2 </w:t>
      </w:r>
      <w:r w:rsidR="00676892">
        <w:t xml:space="preserve">in </w:t>
      </w:r>
      <w:r w:rsidR="008A235F">
        <w:t xml:space="preserve">Chapter 3. </w:t>
      </w:r>
      <w:r w:rsidR="008B704A" w:rsidRPr="001E27BC">
        <w:t>Ratings are not to be considered ‘absolute’; they are</w:t>
      </w:r>
      <w:r w:rsidR="00261843" w:rsidRPr="001E27BC">
        <w:t xml:space="preserve"> meant to provide a broad sense of achiev</w:t>
      </w:r>
      <w:r w:rsidR="00261843" w:rsidRPr="001E27BC">
        <w:t>e</w:t>
      </w:r>
      <w:r w:rsidR="00261843" w:rsidRPr="001E27BC">
        <w:t>ment</w:t>
      </w:r>
      <w:r w:rsidR="00A21CEB" w:rsidRPr="001E27BC">
        <w:t>. T</w:t>
      </w:r>
      <w:r w:rsidR="00261843" w:rsidRPr="001E27BC">
        <w:t xml:space="preserve">heir main </w:t>
      </w:r>
      <w:r w:rsidR="00261843" w:rsidRPr="001C0CDC">
        <w:t xml:space="preserve">purpose is </w:t>
      </w:r>
      <w:r w:rsidR="00A21CEB" w:rsidRPr="001C0CDC">
        <w:t xml:space="preserve">to draw conclusions </w:t>
      </w:r>
      <w:r w:rsidR="00261843" w:rsidRPr="001C0CDC">
        <w:t xml:space="preserve">at the </w:t>
      </w:r>
      <w:r w:rsidR="00BB7A7B" w:rsidRPr="001C0CDC">
        <w:t>level of the overall GCCA initiative.</w:t>
      </w:r>
    </w:p>
    <w:p w:rsidR="008C7309" w:rsidRPr="001E27BC" w:rsidRDefault="00315F62" w:rsidP="00315F62">
      <w:pPr>
        <w:pStyle w:val="Heading3"/>
      </w:pPr>
      <w:bookmarkStart w:id="14" w:name="_Toc284767312"/>
      <w:r>
        <w:t>1.2.4</w:t>
      </w:r>
      <w:r>
        <w:tab/>
      </w:r>
      <w:r w:rsidR="008C7309" w:rsidRPr="001E27BC">
        <w:t>Synthesis</w:t>
      </w:r>
      <w:bookmarkEnd w:id="14"/>
    </w:p>
    <w:p w:rsidR="008C7309" w:rsidRPr="001E27BC" w:rsidRDefault="008C7309" w:rsidP="0076070B">
      <w:r w:rsidRPr="001E27BC">
        <w:t xml:space="preserve">Following the field phase, the evaluation team had an opportunity to attend the second (annual) regional technical meeting of the GCCA Intra ACP Programme, organised in Brussels from 5-7 May 2014. This provided an excellent opportunity to fill a number of information gaps, to meet with more beneficiaries and </w:t>
      </w:r>
      <w:r w:rsidR="0073263E" w:rsidRPr="001E27BC">
        <w:t>stakeholders</w:t>
      </w:r>
      <w:r w:rsidRPr="001E27BC">
        <w:t xml:space="preserve"> an</w:t>
      </w:r>
      <w:r w:rsidR="00291F25" w:rsidRPr="001E27BC">
        <w:t>d to exchange</w:t>
      </w:r>
      <w:r w:rsidRPr="001E27BC">
        <w:t xml:space="preserve"> initial findings with the evaluation managers. </w:t>
      </w:r>
    </w:p>
    <w:p w:rsidR="008C7309" w:rsidRPr="001E27BC" w:rsidRDefault="008C7309" w:rsidP="0076070B">
      <w:r w:rsidRPr="001E27BC">
        <w:t>Furthermore, a synthesis meeting was organised in Montreal (10-11 June, 2014), in order to summarize main issues (</w:t>
      </w:r>
      <w:r w:rsidR="000429D2" w:rsidRPr="001E27BC">
        <w:t>two to four</w:t>
      </w:r>
      <w:r w:rsidRPr="001E27BC">
        <w:t>) from each of the country and regional project and pr</w:t>
      </w:r>
      <w:r w:rsidRPr="001E27BC">
        <w:t>o</w:t>
      </w:r>
      <w:r w:rsidRPr="001E27BC">
        <w:t xml:space="preserve">gramme missions, to </w:t>
      </w:r>
      <w:r w:rsidR="00291F25" w:rsidRPr="001E27BC">
        <w:t xml:space="preserve">draft </w:t>
      </w:r>
      <w:r w:rsidRPr="001E27BC">
        <w:t>answer</w:t>
      </w:r>
      <w:r w:rsidR="00291F25" w:rsidRPr="001E27BC">
        <w:t>s</w:t>
      </w:r>
      <w:r w:rsidRPr="001E27BC">
        <w:t xml:space="preserve"> each of the evaluation questions</w:t>
      </w:r>
      <w:r w:rsidR="0073263E" w:rsidRPr="001E27BC">
        <w:t xml:space="preserve">, </w:t>
      </w:r>
      <w:r w:rsidR="00291F25" w:rsidRPr="001E27BC">
        <w:t xml:space="preserve">to </w:t>
      </w:r>
      <w:r w:rsidR="0073263E" w:rsidRPr="001E27BC">
        <w:t>distil preliminary concl</w:t>
      </w:r>
      <w:r w:rsidR="0073263E" w:rsidRPr="001E27BC">
        <w:t>u</w:t>
      </w:r>
      <w:r w:rsidR="0073263E" w:rsidRPr="001E27BC">
        <w:t>sions and recommendations and</w:t>
      </w:r>
      <w:r w:rsidRPr="001E27BC">
        <w:t xml:space="preserve"> </w:t>
      </w:r>
      <w:r w:rsidR="00291F25" w:rsidRPr="001E27BC">
        <w:t xml:space="preserve">to </w:t>
      </w:r>
      <w:r w:rsidRPr="001E27BC">
        <w:t xml:space="preserve">verify </w:t>
      </w:r>
      <w:r w:rsidR="0073263E" w:rsidRPr="001E27BC">
        <w:t xml:space="preserve">remaining information gaps. This laid the basis for </w:t>
      </w:r>
      <w:r w:rsidR="00291F25" w:rsidRPr="001E27BC">
        <w:t xml:space="preserve">the </w:t>
      </w:r>
      <w:r w:rsidR="0073263E" w:rsidRPr="001E27BC">
        <w:t xml:space="preserve">subsequent drafting of the two final reports. </w:t>
      </w:r>
    </w:p>
    <w:p w:rsidR="001F5119" w:rsidRPr="001E27BC" w:rsidRDefault="00315F62" w:rsidP="00315F62">
      <w:pPr>
        <w:pStyle w:val="Heading3"/>
      </w:pPr>
      <w:bookmarkStart w:id="15" w:name="_Toc392064213"/>
      <w:bookmarkStart w:id="16" w:name="_Toc392064257"/>
      <w:bookmarkStart w:id="17" w:name="_Toc284767313"/>
      <w:r>
        <w:t>1.2.5</w:t>
      </w:r>
      <w:r>
        <w:tab/>
      </w:r>
      <w:r w:rsidR="001F5119" w:rsidRPr="001E27BC">
        <w:t>Reflections on the methodology</w:t>
      </w:r>
      <w:bookmarkEnd w:id="15"/>
      <w:bookmarkEnd w:id="16"/>
      <w:bookmarkEnd w:id="17"/>
      <w:r w:rsidR="001F5119" w:rsidRPr="001E27BC">
        <w:t xml:space="preserve"> </w:t>
      </w:r>
    </w:p>
    <w:p w:rsidR="00865356" w:rsidRPr="001E27BC" w:rsidRDefault="001F5119" w:rsidP="001F5119">
      <w:r w:rsidRPr="001E27BC">
        <w:t>During the evaluation and the field missions, the evaluation team encountered a number of diff</w:t>
      </w:r>
      <w:r w:rsidRPr="001E27BC">
        <w:t>i</w:t>
      </w:r>
      <w:r w:rsidRPr="001E27BC">
        <w:t xml:space="preserve">culties and challenges, and </w:t>
      </w:r>
      <w:r w:rsidRPr="001C0CDC">
        <w:t xml:space="preserve">several lessons were learned. </w:t>
      </w:r>
      <w:r w:rsidR="00FD502D" w:rsidRPr="001C0CDC">
        <w:t>The main one</w:t>
      </w:r>
      <w:r w:rsidR="00291F25" w:rsidRPr="001C0CDC">
        <w:t>s revolv</w:t>
      </w:r>
      <w:r w:rsidR="001C0CDC">
        <w:t xml:space="preserve">e </w:t>
      </w:r>
      <w:r w:rsidRPr="001C0CDC">
        <w:t xml:space="preserve">around </w:t>
      </w:r>
      <w:r w:rsidR="00291F25" w:rsidRPr="001C0CDC">
        <w:t>the diff</w:t>
      </w:r>
      <w:r w:rsidR="00291F25" w:rsidRPr="001C0CDC">
        <w:t>i</w:t>
      </w:r>
      <w:r w:rsidR="00291F25" w:rsidRPr="001C0CDC">
        <w:t xml:space="preserve">culties and challenges of attempting </w:t>
      </w:r>
      <w:r w:rsidRPr="001C0CDC">
        <w:t xml:space="preserve">to </w:t>
      </w:r>
      <w:r w:rsidR="00291F25" w:rsidRPr="001C0CDC">
        <w:t>draw</w:t>
      </w:r>
      <w:r w:rsidRPr="001C0CDC">
        <w:t xml:space="preserve"> important </w:t>
      </w:r>
      <w:r w:rsidR="00865356" w:rsidRPr="001C0CDC">
        <w:t xml:space="preserve">conclusions and recommendations </w:t>
      </w:r>
      <w:r w:rsidRPr="001C0CDC">
        <w:t xml:space="preserve">on </w:t>
      </w:r>
      <w:r w:rsidR="00865356" w:rsidRPr="001C0CDC">
        <w:t xml:space="preserve">interventions </w:t>
      </w:r>
      <w:r w:rsidRPr="001C0CDC">
        <w:t xml:space="preserve">within </w:t>
      </w:r>
      <w:r w:rsidR="00291F25" w:rsidRPr="001C0CDC">
        <w:t>the v</w:t>
      </w:r>
      <w:r w:rsidRPr="001C0CDC">
        <w:t>ery short amount of field time</w:t>
      </w:r>
      <w:r w:rsidR="00291F25" w:rsidRPr="001C0CDC">
        <w:t xml:space="preserve"> available per intervention</w:t>
      </w:r>
      <w:r w:rsidRPr="001C0CDC">
        <w:t xml:space="preserve">. Typically, </w:t>
      </w:r>
      <w:r w:rsidR="00291F25" w:rsidRPr="001C0CDC">
        <w:t xml:space="preserve">the evaluators </w:t>
      </w:r>
      <w:r w:rsidRPr="001C0CDC">
        <w:t>would spend</w:t>
      </w:r>
      <w:r w:rsidRPr="001E27BC">
        <w:t xml:space="preserve"> two to </w:t>
      </w:r>
      <w:r w:rsidR="00865356" w:rsidRPr="001E27BC">
        <w:t xml:space="preserve">four </w:t>
      </w:r>
      <w:r w:rsidRPr="001E27BC">
        <w:t xml:space="preserve">days in the field for the </w:t>
      </w:r>
      <w:r w:rsidR="00865356" w:rsidRPr="001E27BC">
        <w:t xml:space="preserve">country </w:t>
      </w:r>
      <w:r w:rsidRPr="001E27BC">
        <w:t>programme evaluations</w:t>
      </w:r>
      <w:r w:rsidR="00865356" w:rsidRPr="001E27BC">
        <w:t xml:space="preserve">, sometimes combining </w:t>
      </w:r>
      <w:r w:rsidR="004201A1" w:rsidRPr="001E27BC">
        <w:t xml:space="preserve">the </w:t>
      </w:r>
      <w:r w:rsidR="00FD502D" w:rsidRPr="001E27BC">
        <w:t>evaluation</w:t>
      </w:r>
      <w:r w:rsidR="004201A1" w:rsidRPr="001E27BC">
        <w:t>s</w:t>
      </w:r>
      <w:r w:rsidR="00FD502D" w:rsidRPr="001E27BC">
        <w:t xml:space="preserve"> of </w:t>
      </w:r>
      <w:r w:rsidR="00865356" w:rsidRPr="001E27BC">
        <w:t xml:space="preserve">country-level projects with </w:t>
      </w:r>
      <w:r w:rsidR="00FD502D" w:rsidRPr="001E27BC">
        <w:t xml:space="preserve">that </w:t>
      </w:r>
      <w:r w:rsidR="00865356" w:rsidRPr="001E27BC">
        <w:t>of regional programme components</w:t>
      </w:r>
      <w:r w:rsidRPr="001E27BC">
        <w:t xml:space="preserve">. </w:t>
      </w:r>
      <w:r w:rsidR="004201A1" w:rsidRPr="001E27BC">
        <w:t>W</w:t>
      </w:r>
      <w:r w:rsidR="00865356" w:rsidRPr="001E27BC">
        <w:t xml:space="preserve">hile for some of the ‘simpler’ projects a four days’ visit </w:t>
      </w:r>
      <w:r w:rsidR="00FD502D" w:rsidRPr="001E27BC">
        <w:t xml:space="preserve">did </w:t>
      </w:r>
      <w:r w:rsidR="00865356" w:rsidRPr="001E27BC">
        <w:t>suf</w:t>
      </w:r>
      <w:r w:rsidR="00FD502D" w:rsidRPr="001E27BC">
        <w:t>fice (Rwanda, Benin</w:t>
      </w:r>
      <w:r w:rsidR="00865356" w:rsidRPr="001E27BC">
        <w:t xml:space="preserve">, </w:t>
      </w:r>
      <w:r w:rsidR="00FD502D" w:rsidRPr="001E27BC">
        <w:t xml:space="preserve">Jamaica) </w:t>
      </w:r>
      <w:r w:rsidR="00865356" w:rsidRPr="001E27BC">
        <w:t xml:space="preserve">for some of the more complex programmes (Nepal, </w:t>
      </w:r>
      <w:r w:rsidR="003F045D" w:rsidRPr="001E27BC">
        <w:t>for example</w:t>
      </w:r>
      <w:r w:rsidR="00865356" w:rsidRPr="001E27BC">
        <w:t xml:space="preserve">) </w:t>
      </w:r>
      <w:r w:rsidRPr="001E27BC">
        <w:t>programme</w:t>
      </w:r>
      <w:r w:rsidR="00865356" w:rsidRPr="001E27BC">
        <w:t xml:space="preserve">s it was </w:t>
      </w:r>
      <w:r w:rsidR="00FD502D" w:rsidRPr="001E27BC">
        <w:t xml:space="preserve">found to be </w:t>
      </w:r>
      <w:r w:rsidR="00865356" w:rsidRPr="001E27BC">
        <w:t xml:space="preserve">insufficient. Consequently, in several cases (Ethiopia, Burkina Faso, Bhutan), the team had to </w:t>
      </w:r>
      <w:r w:rsidR="00FA42F0" w:rsidRPr="001E27BC">
        <w:t xml:space="preserve">forsake </w:t>
      </w:r>
      <w:r w:rsidR="00865356" w:rsidRPr="001E27BC">
        <w:t xml:space="preserve">actual field visits in order to </w:t>
      </w:r>
      <w:r w:rsidR="00FA42F0" w:rsidRPr="001E27BC">
        <w:t xml:space="preserve">be </w:t>
      </w:r>
      <w:r w:rsidR="00865356" w:rsidRPr="001E27BC">
        <w:t xml:space="preserve">able to meet with stakeholder groups in the capital. </w:t>
      </w:r>
    </w:p>
    <w:p w:rsidR="00865356" w:rsidRPr="001E27BC" w:rsidRDefault="00865356" w:rsidP="001F5119">
      <w:r w:rsidRPr="001E27BC">
        <w:t>Th</w:t>
      </w:r>
      <w:r w:rsidR="003F045D" w:rsidRPr="001E27BC">
        <w:t>e time</w:t>
      </w:r>
      <w:r w:rsidRPr="001E27BC">
        <w:t xml:space="preserve"> constraint is also due to the </w:t>
      </w:r>
      <w:r w:rsidR="003F045D" w:rsidRPr="001C0CDC">
        <w:t xml:space="preserve">request </w:t>
      </w:r>
      <w:r w:rsidRPr="001C0CDC">
        <w:t xml:space="preserve">that the evaluation </w:t>
      </w:r>
      <w:r w:rsidR="003F045D" w:rsidRPr="001C0CDC">
        <w:t>c</w:t>
      </w:r>
      <w:r w:rsidRPr="001C0CDC">
        <w:t xml:space="preserve">over both macro- and micro-level aspects of the interventions. It is indeed </w:t>
      </w:r>
      <w:r w:rsidR="009D1E48" w:rsidRPr="001C0CDC">
        <w:t xml:space="preserve">difficult </w:t>
      </w:r>
      <w:r w:rsidRPr="001C0CDC">
        <w:t xml:space="preserve">to arrive at macro-level conclusions on each of the evaluation questions without proper understanding of the micro-level issues at hand. </w:t>
      </w:r>
      <w:r w:rsidR="00FD502D" w:rsidRPr="001C0CDC">
        <w:t xml:space="preserve">This implies that, in reality, the evaluators </w:t>
      </w:r>
      <w:r w:rsidR="009D1E48" w:rsidRPr="001C0CDC">
        <w:t xml:space="preserve">also </w:t>
      </w:r>
      <w:r w:rsidR="00FD502D" w:rsidRPr="001C0CDC">
        <w:t xml:space="preserve">undertook </w:t>
      </w:r>
      <w:r w:rsidR="003F045D" w:rsidRPr="001C0CDC">
        <w:t>t</w:t>
      </w:r>
      <w:r w:rsidR="00FA42F0" w:rsidRPr="001C0CDC">
        <w:t xml:space="preserve">en </w:t>
      </w:r>
      <w:r w:rsidR="000F1E6C" w:rsidRPr="001C0CDC">
        <w:t>near</w:t>
      </w:r>
      <w:r w:rsidR="003F045D" w:rsidRPr="001C0CDC">
        <w:t>-</w:t>
      </w:r>
      <w:r w:rsidR="00FA42F0" w:rsidRPr="001C0CDC">
        <w:t xml:space="preserve">comprehensive </w:t>
      </w:r>
      <w:r w:rsidR="00FD502D" w:rsidRPr="001C0CDC">
        <w:t>evaluations</w:t>
      </w:r>
      <w:r w:rsidR="009D1E48" w:rsidRPr="001C0CDC">
        <w:t xml:space="preserve"> of ongoing GCCA interventions</w:t>
      </w:r>
      <w:r w:rsidR="00FD502D" w:rsidRPr="001C0CDC">
        <w:t>. Many of the conclusions and recommendations actually apply to the micro-level and were found to be of great interest to the concerned EU Delegations and pr</w:t>
      </w:r>
      <w:r w:rsidR="00FD502D" w:rsidRPr="001C0CDC">
        <w:t>o</w:t>
      </w:r>
      <w:r w:rsidR="00FD502D" w:rsidRPr="001C0CDC">
        <w:t xml:space="preserve">ject implementers, but were </w:t>
      </w:r>
      <w:r w:rsidR="004C1E21" w:rsidRPr="001C0CDC">
        <w:t xml:space="preserve">not necessarily </w:t>
      </w:r>
      <w:r w:rsidR="009D1E48" w:rsidRPr="001C0CDC">
        <w:t xml:space="preserve">directly </w:t>
      </w:r>
      <w:r w:rsidR="00FD502D" w:rsidRPr="001C0CDC">
        <w:t>relevant to the overall G</w:t>
      </w:r>
      <w:r w:rsidR="00FD502D" w:rsidRPr="001E27BC">
        <w:t xml:space="preserve">CCA evaluation. In future, </w:t>
      </w:r>
      <w:r w:rsidR="000F1E6C" w:rsidRPr="001E27BC">
        <w:t xml:space="preserve">for an </w:t>
      </w:r>
      <w:r w:rsidR="00FD502D" w:rsidRPr="001C0CDC">
        <w:t xml:space="preserve">evaluation </w:t>
      </w:r>
      <w:r w:rsidR="000F1E6C" w:rsidRPr="001C0CDC">
        <w:t>involving the two levels,</w:t>
      </w:r>
      <w:r w:rsidR="00BB7A7B" w:rsidRPr="001C0CDC">
        <w:t xml:space="preserve"> sufficient time </w:t>
      </w:r>
      <w:r w:rsidR="000F1E6C" w:rsidRPr="001C0CDC">
        <w:t xml:space="preserve">should </w:t>
      </w:r>
      <w:r w:rsidR="00BB7A7B" w:rsidRPr="001C0CDC">
        <w:t>be allocated</w:t>
      </w:r>
      <w:r w:rsidR="009D1E48" w:rsidRPr="001C0CDC">
        <w:t xml:space="preserve"> if both o</w:t>
      </w:r>
      <w:r w:rsidR="009D1E48" w:rsidRPr="001C0CDC">
        <w:t>b</w:t>
      </w:r>
      <w:r w:rsidR="009D1E48" w:rsidRPr="001C0CDC">
        <w:t>jectives are to be satisfied</w:t>
      </w:r>
      <w:r w:rsidR="00BB7A7B" w:rsidRPr="001C0CDC">
        <w:t xml:space="preserve">. </w:t>
      </w:r>
      <w:r w:rsidR="00A46860" w:rsidRPr="001C0CDC">
        <w:t xml:space="preserve">As it was, national and regional interventions demanded and received a </w:t>
      </w:r>
      <w:r w:rsidR="00BE4F69" w:rsidRPr="001C0CDC">
        <w:t xml:space="preserve">post-visit </w:t>
      </w:r>
      <w:r w:rsidR="00A46860" w:rsidRPr="001C0CDC">
        <w:t>d</w:t>
      </w:r>
      <w:r w:rsidR="000116B0" w:rsidRPr="001C0CDC">
        <w:t xml:space="preserve">raft </w:t>
      </w:r>
      <w:r w:rsidR="00A46860" w:rsidRPr="001C0CDC">
        <w:t xml:space="preserve">Aide-Memoire with, where relevant, recommendations at the intervention level. </w:t>
      </w:r>
      <w:r w:rsidR="000116B0" w:rsidRPr="001C0CDC">
        <w:t xml:space="preserve">These drafts formed the basis of discussion and re-drafting following the active involvement of stakeholders. </w:t>
      </w:r>
      <w:r w:rsidR="00A46860" w:rsidRPr="001C0CDC">
        <w:t xml:space="preserve">While this was not the intention initially - as project visits were seen as inputs into the overall programme evaluation </w:t>
      </w:r>
      <w:r w:rsidR="000116B0" w:rsidRPr="001C0CDC">
        <w:t xml:space="preserve">rather than stand-alone outputs </w:t>
      </w:r>
      <w:r w:rsidR="00A46860" w:rsidRPr="001C0CDC">
        <w:t>- additional days ended up b</w:t>
      </w:r>
      <w:r w:rsidR="00A46860" w:rsidRPr="001C0CDC">
        <w:t>e</w:t>
      </w:r>
      <w:r w:rsidR="00A46860" w:rsidRPr="001C0CDC">
        <w:t xml:space="preserve">ing allocated to also elaborate on the Aide-Memoires so that they could also serve as </w:t>
      </w:r>
      <w:r w:rsidR="00BE4F69" w:rsidRPr="001C0CDC">
        <w:t>inputs su</w:t>
      </w:r>
      <w:r w:rsidR="00BE4F69" w:rsidRPr="001C0CDC">
        <w:t>p</w:t>
      </w:r>
      <w:r w:rsidR="00BE4F69" w:rsidRPr="001C0CDC">
        <w:t>porting the interventions visited</w:t>
      </w:r>
      <w:r w:rsidR="000116B0" w:rsidRPr="001C0CDC">
        <w:t>,</w:t>
      </w:r>
      <w:r w:rsidR="00BE4F69" w:rsidRPr="001C0CDC">
        <w:t xml:space="preserve"> with recommendations made also at the intervention level.</w:t>
      </w:r>
      <w:r w:rsidR="00BE4F69" w:rsidRPr="001E27BC">
        <w:t xml:space="preserve"> </w:t>
      </w:r>
    </w:p>
    <w:p w:rsidR="00BE4F69" w:rsidRPr="001E27BC" w:rsidRDefault="00BE4F69" w:rsidP="00BE4F69">
      <w:r w:rsidRPr="001E27BC">
        <w:t>F</w:t>
      </w:r>
      <w:r w:rsidR="001F5119" w:rsidRPr="001E27BC">
        <w:t>or evaluators, there is a professional obligation to ensure that standard evaluation procedures are followed such as the triangulation of information. In th</w:t>
      </w:r>
      <w:r w:rsidR="00F14F7C" w:rsidRPr="001E27BC">
        <w:t xml:space="preserve">is </w:t>
      </w:r>
      <w:r w:rsidR="001F5119" w:rsidRPr="001E27BC">
        <w:t>evaluation</w:t>
      </w:r>
      <w:r w:rsidR="00F14F7C" w:rsidRPr="001E27BC">
        <w:t>, due to the aforementioned time constraints,</w:t>
      </w:r>
      <w:r w:rsidR="001F5119" w:rsidRPr="001E27BC">
        <w:t xml:space="preserve"> this was not </w:t>
      </w:r>
      <w:r w:rsidR="00FD502D" w:rsidRPr="001C0CDC">
        <w:t xml:space="preserve">sufficiently </w:t>
      </w:r>
      <w:r w:rsidR="00F14F7C" w:rsidRPr="001C0CDC">
        <w:t>possible. This is why</w:t>
      </w:r>
      <w:r w:rsidR="001F5119" w:rsidRPr="001C0CDC">
        <w:t xml:space="preserve"> recommendations were made</w:t>
      </w:r>
      <w:r w:rsidR="00F14F7C" w:rsidRPr="001C0CDC">
        <w:t>,</w:t>
      </w:r>
      <w:r w:rsidR="001F5119" w:rsidRPr="001C0CDC">
        <w:t xml:space="preserve"> to undertake </w:t>
      </w:r>
      <w:r w:rsidR="00FD502D" w:rsidRPr="001C0CDC">
        <w:t xml:space="preserve">more </w:t>
      </w:r>
      <w:r w:rsidR="001F5119" w:rsidRPr="001C0CDC">
        <w:t>comprehensive evaluations</w:t>
      </w:r>
      <w:r w:rsidR="009D1E48" w:rsidRPr="001C0CDC">
        <w:t xml:space="preserve"> for a number of the interventions studied</w:t>
      </w:r>
      <w:r w:rsidR="001F5119" w:rsidRPr="001C0CDC">
        <w:t xml:space="preserve">, </w:t>
      </w:r>
      <w:r w:rsidR="000116B0" w:rsidRPr="001C0CDC">
        <w:t xml:space="preserve">for example </w:t>
      </w:r>
      <w:r w:rsidR="00F14F7C" w:rsidRPr="001C0CDC">
        <w:t>in the respective aide-memoires</w:t>
      </w:r>
      <w:r w:rsidR="00F14F7C" w:rsidRPr="001E27BC">
        <w:t xml:space="preserve"> for the Nepal and the Benin programmes, </w:t>
      </w:r>
      <w:r w:rsidR="001F5119" w:rsidRPr="001E27BC">
        <w:t xml:space="preserve">as this was deemed the only way to properly understand what is taking place within these </w:t>
      </w:r>
      <w:r w:rsidR="001F5119" w:rsidRPr="001C0CDC">
        <w:t>programmes</w:t>
      </w:r>
      <w:r w:rsidR="000116B0" w:rsidRPr="001C0CDC">
        <w:t xml:space="preserve">. </w:t>
      </w:r>
      <w:r w:rsidRPr="001C0CDC">
        <w:t>Nonetheless, while more information could have been gathered at intervention level to enrich individual Aide-Memoires, more than enough information was gathered during the field visits to provide inputs at the overall global programme level - which was always the objective of the field visits. The re</w:t>
      </w:r>
      <w:r w:rsidRPr="001C0CDC">
        <w:t>c</w:t>
      </w:r>
      <w:r w:rsidRPr="001C0CDC">
        <w:t>omme</w:t>
      </w:r>
      <w:r w:rsidR="000116B0" w:rsidRPr="001C0CDC">
        <w:t>ndations included in each Aide-M</w:t>
      </w:r>
      <w:r w:rsidRPr="001C0CDC">
        <w:t>emoire, focussing on the actual intervention case studies, should be seen as an additional and somewhat unforeseen outcome. All the Aide-Memoires with their intervention level recommendations are included as Annex 3.</w:t>
      </w:r>
    </w:p>
    <w:p w:rsidR="00D036B2" w:rsidRPr="001E27BC" w:rsidRDefault="00315F62" w:rsidP="003936A6">
      <w:pPr>
        <w:pStyle w:val="Heading1"/>
      </w:pPr>
      <w:bookmarkStart w:id="18" w:name="_Toc284767314"/>
      <w:r>
        <w:t>2</w:t>
      </w:r>
      <w:r>
        <w:tab/>
      </w:r>
      <w:r w:rsidR="00A926DF" w:rsidRPr="001E27BC">
        <w:t xml:space="preserve">Main </w:t>
      </w:r>
      <w:r w:rsidR="00D30281" w:rsidRPr="001E27BC">
        <w:t>findings</w:t>
      </w:r>
      <w:bookmarkEnd w:id="18"/>
    </w:p>
    <w:p w:rsidR="006C6102" w:rsidRPr="001E27BC" w:rsidRDefault="006C6102" w:rsidP="0076070B">
      <w:r w:rsidRPr="001E27BC">
        <w:t xml:space="preserve">In this chapter, </w:t>
      </w:r>
      <w:r w:rsidR="00FA1CBE" w:rsidRPr="001E27BC">
        <w:t xml:space="preserve">the main findings and observations </w:t>
      </w:r>
      <w:r w:rsidRPr="001E27BC">
        <w:t>th</w:t>
      </w:r>
      <w:r w:rsidR="00FA1CBE" w:rsidRPr="001E27BC">
        <w:t xml:space="preserve">at together constitute </w:t>
      </w:r>
      <w:r w:rsidRPr="001E27BC">
        <w:t xml:space="preserve">answers to each of the </w:t>
      </w:r>
      <w:r w:rsidR="0006148E" w:rsidRPr="001E27BC">
        <w:t>ten</w:t>
      </w:r>
      <w:r w:rsidRPr="001E27BC">
        <w:t xml:space="preserve"> Evaluation Questions, </w:t>
      </w:r>
      <w:r w:rsidR="00352B00" w:rsidRPr="001E27BC">
        <w:t xml:space="preserve">are presented, </w:t>
      </w:r>
      <w:r w:rsidRPr="001E27BC">
        <w:t>together with evidence and reasoning.</w:t>
      </w:r>
      <w:r w:rsidR="00FA1CBE" w:rsidRPr="001E27BC">
        <w:t xml:space="preserve"> Most of the fin</w:t>
      </w:r>
      <w:r w:rsidR="00FA1CBE" w:rsidRPr="001E27BC">
        <w:t>d</w:t>
      </w:r>
      <w:r w:rsidR="00FA1CBE" w:rsidRPr="001E27BC">
        <w:t xml:space="preserve">ings refer to the judgement criteria and/or indicators that compose the evaluation matrix in </w:t>
      </w:r>
      <w:r w:rsidR="00FA1CBE" w:rsidRPr="001E27BC">
        <w:rPr>
          <w:i/>
        </w:rPr>
        <w:t>Annex 4.A</w:t>
      </w:r>
      <w:r w:rsidR="00FA1CBE" w:rsidRPr="001E27BC">
        <w:t xml:space="preserve">. </w:t>
      </w:r>
    </w:p>
    <w:p w:rsidR="001C0CDC" w:rsidRPr="001E27BC" w:rsidRDefault="00315F62" w:rsidP="003936A6">
      <w:pPr>
        <w:pStyle w:val="Heading2"/>
      </w:pPr>
      <w:bookmarkStart w:id="19" w:name="_Toc284767315"/>
      <w:r>
        <w:t>2.1</w:t>
      </w:r>
      <w:r>
        <w:tab/>
      </w:r>
      <w:r w:rsidR="001C0CDC" w:rsidRPr="001E27BC">
        <w:t>On relevance (problems and needs):</w:t>
      </w:r>
      <w:bookmarkEnd w:id="19"/>
    </w:p>
    <w:p w:rsidR="00D036B2" w:rsidRPr="001E27BC" w:rsidRDefault="006C6102" w:rsidP="0076070B">
      <w:pPr>
        <w:ind w:left="709" w:hanging="709"/>
        <w:rPr>
          <w:b/>
          <w:i/>
        </w:rPr>
      </w:pPr>
      <w:r w:rsidRPr="001E27BC">
        <w:rPr>
          <w:b/>
          <w:i/>
        </w:rPr>
        <w:t>EQ</w:t>
      </w:r>
      <w:r w:rsidR="00D036B2" w:rsidRPr="001E27BC">
        <w:rPr>
          <w:b/>
          <w:i/>
        </w:rPr>
        <w:t>1.</w:t>
      </w:r>
      <w:r w:rsidR="00D036B2" w:rsidRPr="001E27BC">
        <w:rPr>
          <w:b/>
          <w:i/>
        </w:rPr>
        <w:tab/>
        <w:t>To what extent are the climate change interventions aligned with the needs of benef</w:t>
      </w:r>
      <w:r w:rsidR="00D036B2" w:rsidRPr="001E27BC">
        <w:rPr>
          <w:b/>
          <w:i/>
        </w:rPr>
        <w:t>i</w:t>
      </w:r>
      <w:r w:rsidR="00D036B2" w:rsidRPr="001E27BC">
        <w:rPr>
          <w:b/>
          <w:i/>
        </w:rPr>
        <w:t xml:space="preserve">ciaries (final beneficiaries, partner country governments and regional organisations) and with the stated policies, needs and priorities of the GCCA, EU and EU Member States? </w:t>
      </w:r>
    </w:p>
    <w:p w:rsidR="00603FC7" w:rsidRPr="001E27BC" w:rsidRDefault="00603FC7" w:rsidP="00E83FE3">
      <w:pPr>
        <w:numPr>
          <w:ilvl w:val="0"/>
          <w:numId w:val="11"/>
        </w:numPr>
      </w:pPr>
      <w:r w:rsidRPr="001E27BC">
        <w:t>The GCCA-supported projects and programmes were by and large found to be relevant</w:t>
      </w:r>
      <w:r w:rsidR="00B74219" w:rsidRPr="001E27BC">
        <w:t xml:space="preserve"> (50%) to highly relevant (40%) in relation to country and donor policies and/or needs of target groups. </w:t>
      </w:r>
      <w:r w:rsidR="00E83FE3" w:rsidRPr="001E27BC">
        <w:t>Only o</w:t>
      </w:r>
      <w:r w:rsidR="00B74219" w:rsidRPr="001E27BC">
        <w:t xml:space="preserve">ne </w:t>
      </w:r>
      <w:r w:rsidR="00E83FE3" w:rsidRPr="001E27BC">
        <w:t>out of the ten national programmes sampled</w:t>
      </w:r>
      <w:r w:rsidR="00B74219" w:rsidRPr="001E27BC">
        <w:t xml:space="preserve"> was found to be less relevant </w:t>
      </w:r>
      <w:r w:rsidR="00835781" w:rsidRPr="001E27BC">
        <w:t xml:space="preserve">– from the perspective of </w:t>
      </w:r>
      <w:r w:rsidR="00FA42F0" w:rsidRPr="001E27BC">
        <w:t xml:space="preserve">meeting </w:t>
      </w:r>
      <w:r w:rsidR="00835781" w:rsidRPr="001E27BC">
        <w:t xml:space="preserve">GCCA objectives - </w:t>
      </w:r>
      <w:r w:rsidR="007C1C5C" w:rsidRPr="001E27BC">
        <w:t xml:space="preserve">and this </w:t>
      </w:r>
      <w:r w:rsidR="00E83FE3" w:rsidRPr="001E27BC">
        <w:t>seems to be r</w:t>
      </w:r>
      <w:r w:rsidR="00E83FE3" w:rsidRPr="001E27BC">
        <w:t>e</w:t>
      </w:r>
      <w:r w:rsidR="00E83FE3" w:rsidRPr="001E27BC">
        <w:t xml:space="preserve">lated </w:t>
      </w:r>
      <w:r w:rsidR="007C1C5C" w:rsidRPr="001E27BC">
        <w:t xml:space="preserve">to the implementation modality </w:t>
      </w:r>
      <w:r w:rsidR="00E83FE3" w:rsidRPr="001E27BC">
        <w:t xml:space="preserve">of </w:t>
      </w:r>
      <w:r w:rsidR="007C1C5C" w:rsidRPr="001E27BC">
        <w:t>general budget sup</w:t>
      </w:r>
      <w:r w:rsidR="00E83FE3" w:rsidRPr="001E27BC">
        <w:t xml:space="preserve">port. While budget support is a good tool for alignment with country systems, reduced transaction costs and </w:t>
      </w:r>
      <w:r w:rsidR="00856DC9" w:rsidRPr="001E27BC">
        <w:t xml:space="preserve">increased </w:t>
      </w:r>
      <w:r w:rsidR="00E83FE3" w:rsidRPr="001E27BC">
        <w:t>ownership</w:t>
      </w:r>
      <w:r w:rsidR="00856DC9" w:rsidRPr="001E27BC">
        <w:t>, g</w:t>
      </w:r>
      <w:r w:rsidR="00E83FE3" w:rsidRPr="001E27BC">
        <w:t xml:space="preserve">ood indicators are </w:t>
      </w:r>
      <w:r w:rsidR="00856DC9" w:rsidRPr="001E27BC">
        <w:t xml:space="preserve">required </w:t>
      </w:r>
      <w:r w:rsidR="00E83FE3" w:rsidRPr="001E27BC">
        <w:t>to ensure the achievement of planned results and coherence with other policies/strategies.</w:t>
      </w:r>
      <w:r w:rsidR="00856DC9" w:rsidRPr="001E27BC">
        <w:t xml:space="preserve"> In some of the countries visited that use budget support (Rwanda, Mauritius) it was found that the GCCA-supported climate action was not too </w:t>
      </w:r>
      <w:r w:rsidR="007C1C5C" w:rsidRPr="001E27BC">
        <w:t>well-targeted</w:t>
      </w:r>
      <w:r w:rsidR="00856DC9" w:rsidRPr="001E27BC">
        <w:t>. In some cases</w:t>
      </w:r>
      <w:r w:rsidR="007C1C5C" w:rsidRPr="001E27BC">
        <w:t xml:space="preserve">, clear climate change strategies and action plans – </w:t>
      </w:r>
      <w:r w:rsidR="00856DC9" w:rsidRPr="001E27BC">
        <w:t xml:space="preserve">from which </w:t>
      </w:r>
      <w:r w:rsidR="00090A59" w:rsidRPr="001E27BC">
        <w:t xml:space="preserve">appropriate </w:t>
      </w:r>
      <w:r w:rsidR="007C1C5C" w:rsidRPr="001E27BC">
        <w:t xml:space="preserve">indicators </w:t>
      </w:r>
      <w:r w:rsidR="00856DC9" w:rsidRPr="001E27BC">
        <w:t xml:space="preserve">could be derived </w:t>
      </w:r>
      <w:r w:rsidR="007C1C5C" w:rsidRPr="001E27BC">
        <w:t xml:space="preserve">– are </w:t>
      </w:r>
      <w:r w:rsidR="00856DC9" w:rsidRPr="001E27BC">
        <w:t xml:space="preserve">not </w:t>
      </w:r>
      <w:r w:rsidR="007C1C5C" w:rsidRPr="001E27BC">
        <w:t xml:space="preserve">in place. </w:t>
      </w:r>
      <w:r w:rsidR="0058468C" w:rsidRPr="001E27BC">
        <w:t xml:space="preserve">A good solution was adopted in Bhutan, where indicators for transfer of second or third tranche payments are defined in the course of the intervention. </w:t>
      </w:r>
      <w:r w:rsidR="00FA1CBE" w:rsidRPr="001E27BC">
        <w:t xml:space="preserve">This is further discussed under EQ6 dealing with the question of implementation modalities. </w:t>
      </w:r>
    </w:p>
    <w:p w:rsidR="00CB76F3" w:rsidRPr="001E27BC" w:rsidRDefault="00FA1CBE" w:rsidP="00FA1CBE">
      <w:pPr>
        <w:numPr>
          <w:ilvl w:val="0"/>
          <w:numId w:val="11"/>
        </w:numPr>
      </w:pPr>
      <w:r w:rsidRPr="001E27BC">
        <w:t xml:space="preserve">Where the interventions evaluated </w:t>
      </w:r>
      <w:r w:rsidR="00352B00" w:rsidRPr="001E27BC">
        <w:t xml:space="preserve">were </w:t>
      </w:r>
      <w:r w:rsidRPr="001E27BC">
        <w:t xml:space="preserve">considered to be highly relevant (Mozambique, Jamaica, Nepal, Bhutan) this was generally due to a good articulation of the intervention </w:t>
      </w:r>
      <w:r w:rsidR="0054179D" w:rsidRPr="001E27BC">
        <w:t xml:space="preserve">in terms of </w:t>
      </w:r>
      <w:r w:rsidR="0022593E" w:rsidRPr="001E27BC">
        <w:t xml:space="preserve">the </w:t>
      </w:r>
      <w:r w:rsidRPr="001E27BC">
        <w:t xml:space="preserve">needs both </w:t>
      </w:r>
      <w:r w:rsidR="00352B00" w:rsidRPr="001E27BC">
        <w:t xml:space="preserve">of the </w:t>
      </w:r>
      <w:r w:rsidR="00835781" w:rsidRPr="001E27BC">
        <w:t>populations most vulnerable to climate change</w:t>
      </w:r>
      <w:r w:rsidR="00A30FA4" w:rsidRPr="001E27BC">
        <w:t>,</w:t>
      </w:r>
      <w:r w:rsidR="00835781" w:rsidRPr="001E27BC">
        <w:t xml:space="preserve"> a</w:t>
      </w:r>
      <w:r w:rsidR="00352B00" w:rsidRPr="001E27BC">
        <w:t>s well as to</w:t>
      </w:r>
      <w:r w:rsidR="00835781" w:rsidRPr="001E27BC">
        <w:t xml:space="preserve"> national </w:t>
      </w:r>
      <w:r w:rsidR="00835781" w:rsidRPr="00AE1A5F">
        <w:t>policies, strategies and priorities. The interventions would link to co</w:t>
      </w:r>
      <w:r w:rsidR="00835781" w:rsidRPr="00AE1A5F">
        <w:t>m</w:t>
      </w:r>
      <w:r w:rsidR="00835781" w:rsidRPr="00AE1A5F">
        <w:t>munity adaptation plans and income generating activities, for example. In most other countries</w:t>
      </w:r>
      <w:r w:rsidR="00A30FA4" w:rsidRPr="00AE1A5F">
        <w:t xml:space="preserve"> visited</w:t>
      </w:r>
      <w:r w:rsidR="008B314C" w:rsidRPr="00AE1A5F">
        <w:t xml:space="preserve"> as part of the evaluation</w:t>
      </w:r>
      <w:r w:rsidR="00835781" w:rsidRPr="00AE1A5F">
        <w:t>, while the linkage to national policies and stra</w:t>
      </w:r>
      <w:r w:rsidR="00835781" w:rsidRPr="00AE1A5F">
        <w:t>t</w:t>
      </w:r>
      <w:r w:rsidR="00835781" w:rsidRPr="00AE1A5F">
        <w:t>egies was generally</w:t>
      </w:r>
      <w:r w:rsidR="00835781" w:rsidRPr="001E27BC">
        <w:t xml:space="preserve"> clear, the actions would </w:t>
      </w:r>
      <w:r w:rsidR="004F1F98" w:rsidRPr="001E27BC">
        <w:t xml:space="preserve">not always </w:t>
      </w:r>
      <w:r w:rsidR="00835781" w:rsidRPr="001E27BC">
        <w:t>have clear benefits for final ben</w:t>
      </w:r>
      <w:r w:rsidR="00835781" w:rsidRPr="001E27BC">
        <w:t>e</w:t>
      </w:r>
      <w:r w:rsidR="00835781" w:rsidRPr="001E27BC">
        <w:t>ficiaries.</w:t>
      </w:r>
      <w:r w:rsidR="004F1F98" w:rsidRPr="001E27BC">
        <w:t xml:space="preserve"> In other words, while from a climate change policy point of view the progra</w:t>
      </w:r>
      <w:r w:rsidR="004F1F98" w:rsidRPr="001E27BC">
        <w:t>m</w:t>
      </w:r>
      <w:r w:rsidR="004F1F98" w:rsidRPr="001E27BC">
        <w:t xml:space="preserve">mes are generally relevant, not all generate </w:t>
      </w:r>
      <w:r w:rsidR="00CB76F3" w:rsidRPr="001E27BC">
        <w:t xml:space="preserve">direct </w:t>
      </w:r>
      <w:r w:rsidR="004F1F98" w:rsidRPr="001E27BC">
        <w:t>tangible benefits for most vulnerable populations.</w:t>
      </w:r>
      <w:r w:rsidR="00E93791" w:rsidRPr="001E27BC">
        <w:t xml:space="preserve"> </w:t>
      </w:r>
    </w:p>
    <w:p w:rsidR="00FA1CBE" w:rsidRPr="001E27BC" w:rsidRDefault="00E93791" w:rsidP="00CB76F3">
      <w:pPr>
        <w:numPr>
          <w:ilvl w:val="0"/>
          <w:numId w:val="11"/>
        </w:numPr>
      </w:pPr>
      <w:r w:rsidRPr="001E27BC">
        <w:t>Examples are the REDD programme in Burkina Faso</w:t>
      </w:r>
      <w:r w:rsidR="006B771E" w:rsidRPr="001E27BC">
        <w:t xml:space="preserve"> or</w:t>
      </w:r>
      <w:r w:rsidRPr="001E27BC">
        <w:t xml:space="preserve"> </w:t>
      </w:r>
      <w:r w:rsidR="00CB76F3" w:rsidRPr="001E27BC">
        <w:t xml:space="preserve">the </w:t>
      </w:r>
      <w:r w:rsidR="006B771E" w:rsidRPr="001E27BC">
        <w:t>energy efficiency and su</w:t>
      </w:r>
      <w:r w:rsidR="006B771E" w:rsidRPr="001E27BC">
        <w:t>s</w:t>
      </w:r>
      <w:r w:rsidR="006B771E" w:rsidRPr="001E27BC">
        <w:t>tainable building programme in Mauritius.</w:t>
      </w:r>
      <w:r w:rsidR="00CB76F3" w:rsidRPr="001E27BC">
        <w:t xml:space="preserve"> Both these programmes aim to improve legi</w:t>
      </w:r>
      <w:r w:rsidR="00CB76F3" w:rsidRPr="001E27BC">
        <w:t>s</w:t>
      </w:r>
      <w:r w:rsidR="00CB76F3" w:rsidRPr="001E27BC">
        <w:t xml:space="preserve">lation and/or the institutional framework that are supposed to generate </w:t>
      </w:r>
      <w:r w:rsidR="0016470D" w:rsidRPr="001E27BC">
        <w:t>positive impacts</w:t>
      </w:r>
      <w:r w:rsidR="00CB76F3" w:rsidRPr="001E27BC">
        <w:t xml:space="preserve"> on vulnerable people on a longer term. In the case of Burkina Faso, the forestry sector su</w:t>
      </w:r>
      <w:r w:rsidR="00CB76F3" w:rsidRPr="001E27BC">
        <w:t>p</w:t>
      </w:r>
      <w:r w:rsidR="00CB76F3" w:rsidRPr="001E27BC">
        <w:t>ported by the GCCA is highly relevant for actions on CC and important for rural livel</w:t>
      </w:r>
      <w:r w:rsidR="00CB76F3" w:rsidRPr="001E27BC">
        <w:t>i</w:t>
      </w:r>
      <w:r w:rsidR="00CB76F3" w:rsidRPr="001E27BC">
        <w:t>hoods, but forest governance is weak. The GCCA support aims to strengthen governance in this sector, but as the programme deals with institutional processes, benefits for vu</w:t>
      </w:r>
      <w:r w:rsidR="00CB76F3" w:rsidRPr="001E27BC">
        <w:t>l</w:t>
      </w:r>
      <w:r w:rsidR="00CB76F3" w:rsidRPr="001E27BC">
        <w:t>nerable people are expected on a medium-long term. In the case of Mauritius, GCCA support for moving towards energy efficiency will contribute to help vulnerable hous</w:t>
      </w:r>
      <w:r w:rsidR="00CB76F3" w:rsidRPr="001E27BC">
        <w:t>e</w:t>
      </w:r>
      <w:r w:rsidR="00CB76F3" w:rsidRPr="001E27BC">
        <w:t>holds reduce their spending on energy utilities (as energy costs constitute a high expend</w:t>
      </w:r>
      <w:r w:rsidR="00CB76F3" w:rsidRPr="001E27BC">
        <w:t>i</w:t>
      </w:r>
      <w:r w:rsidR="00CB76F3" w:rsidRPr="001E27BC">
        <w:t>ture for households including vulnerable households) and help reduce GHG.</w:t>
      </w:r>
      <w:r w:rsidR="0016470D" w:rsidRPr="001E27BC">
        <w:t xml:space="preserve"> However, in the evaluator’s view, other actions addressing more specifically climate change-related threats to vulnerable households would have more direct and clearer benefits for the same households.</w:t>
      </w:r>
    </w:p>
    <w:p w:rsidR="00F64C8A" w:rsidRPr="001E27BC" w:rsidRDefault="00835781" w:rsidP="00F64C8A">
      <w:pPr>
        <w:numPr>
          <w:ilvl w:val="0"/>
          <w:numId w:val="11"/>
        </w:numPr>
      </w:pPr>
      <w:r w:rsidRPr="001E27BC">
        <w:t>All countries supported meet the general selection criteria, as specified in the GCCA i</w:t>
      </w:r>
      <w:r w:rsidRPr="001E27BC">
        <w:t>m</w:t>
      </w:r>
      <w:r w:rsidRPr="001E27BC">
        <w:t xml:space="preserve">plementation framework (the staff working document, 2007); they are LDCs and/or SIDS and show an interest in policy dialogue and cooperation on </w:t>
      </w:r>
      <w:r w:rsidR="00CA03CF" w:rsidRPr="001E27BC">
        <w:t>climate change</w:t>
      </w:r>
      <w:r w:rsidRPr="001E27BC">
        <w:t xml:space="preserve"> with the EU. </w:t>
      </w:r>
      <w:r w:rsidR="00F64C8A" w:rsidRPr="001E27BC">
        <w:t xml:space="preserve">The degree to which national or sectorial policies on </w:t>
      </w:r>
      <w:r w:rsidR="00CA03CF" w:rsidRPr="001E27BC">
        <w:t>climate change</w:t>
      </w:r>
      <w:r w:rsidR="00F64C8A" w:rsidRPr="001E27BC">
        <w:t xml:space="preserve"> are in place obv</w:t>
      </w:r>
      <w:r w:rsidR="00F64C8A" w:rsidRPr="001E27BC">
        <w:t>i</w:t>
      </w:r>
      <w:r w:rsidR="00F64C8A" w:rsidRPr="001E27BC">
        <w:t>ously var</w:t>
      </w:r>
      <w:r w:rsidR="00EC3856" w:rsidRPr="001E27BC">
        <w:t xml:space="preserve">ies, as </w:t>
      </w:r>
      <w:r w:rsidR="00A30FA4" w:rsidRPr="001E27BC">
        <w:t xml:space="preserve">does </w:t>
      </w:r>
      <w:r w:rsidR="00EC3856" w:rsidRPr="001E27BC">
        <w:t xml:space="preserve">the political support for climate action. </w:t>
      </w:r>
      <w:r w:rsidR="00F64C8A" w:rsidRPr="001E27BC">
        <w:t>The capacities of EU Deleg</w:t>
      </w:r>
      <w:r w:rsidR="00F64C8A" w:rsidRPr="001E27BC">
        <w:t>a</w:t>
      </w:r>
      <w:r w:rsidR="00F64C8A" w:rsidRPr="001E27BC">
        <w:t xml:space="preserve">tions for follow-up of the actions were generally adequate, but this was found to be much more of a constraint with regard to the regional programmes (as pointed out in the report on the Intra ACP GCCA) managed from a national EU Delegation.  </w:t>
      </w:r>
    </w:p>
    <w:p w:rsidR="00CC32F3" w:rsidRPr="00AE1A5F" w:rsidRDefault="00EC3856" w:rsidP="00EE7D34">
      <w:pPr>
        <w:numPr>
          <w:ilvl w:val="0"/>
          <w:numId w:val="13"/>
        </w:numPr>
      </w:pPr>
      <w:r w:rsidRPr="001E27BC">
        <w:t xml:space="preserve">All interventions </w:t>
      </w:r>
      <w:r w:rsidR="00F64C8A" w:rsidRPr="001E27BC">
        <w:t>are</w:t>
      </w:r>
      <w:r w:rsidR="00090A59" w:rsidRPr="001E27BC">
        <w:t xml:space="preserve"> built on existing actions, </w:t>
      </w:r>
      <w:r w:rsidR="007D4A14" w:rsidRPr="001E27BC">
        <w:t xml:space="preserve">either by increasing funding for an existing climate action or by </w:t>
      </w:r>
      <w:r w:rsidR="00090A59" w:rsidRPr="001E27BC">
        <w:t xml:space="preserve">adding in a </w:t>
      </w:r>
      <w:r w:rsidR="008756D5" w:rsidRPr="001E27BC">
        <w:t>climate change</w:t>
      </w:r>
      <w:r w:rsidR="00090A59" w:rsidRPr="001E27BC">
        <w:t xml:space="preserve"> component</w:t>
      </w:r>
      <w:r w:rsidR="007D4A14" w:rsidRPr="001E27BC">
        <w:t xml:space="preserve"> in another programme</w:t>
      </w:r>
      <w:r w:rsidR="00090A59" w:rsidRPr="001E27BC">
        <w:t xml:space="preserve">. </w:t>
      </w:r>
      <w:r w:rsidR="007D4A14" w:rsidRPr="001E27BC">
        <w:t xml:space="preserve">In terms of aid effectiveness, GCCA’s role in enhancing funding for climate action of other agencies and building on existing initiatives </w:t>
      </w:r>
      <w:r w:rsidR="00EE7D34" w:rsidRPr="001E27BC">
        <w:t xml:space="preserve">clearly </w:t>
      </w:r>
      <w:r w:rsidR="007D4A14" w:rsidRPr="001E27BC">
        <w:t>helps reduce transaction costs for the countries and reduce</w:t>
      </w:r>
      <w:r w:rsidR="00A30FA4" w:rsidRPr="001E27BC">
        <w:t>s</w:t>
      </w:r>
      <w:r w:rsidR="007D4A14" w:rsidRPr="001E27BC">
        <w:t xml:space="preserve"> fragmentation of donor </w:t>
      </w:r>
      <w:r w:rsidR="00A30FA4" w:rsidRPr="001E27BC">
        <w:t>interventions</w:t>
      </w:r>
      <w:r w:rsidR="007D4A14" w:rsidRPr="001E27BC">
        <w:t xml:space="preserve">. </w:t>
      </w:r>
      <w:r w:rsidR="0028008A" w:rsidRPr="001E27BC">
        <w:t xml:space="preserve">In a number of cases, there is </w:t>
      </w:r>
      <w:r w:rsidR="007D4A14" w:rsidRPr="001E27BC">
        <w:t xml:space="preserve">specific </w:t>
      </w:r>
      <w:r w:rsidR="0028008A" w:rsidRPr="001E27BC">
        <w:t>added value of the GCCA</w:t>
      </w:r>
      <w:r w:rsidR="007D4A14" w:rsidRPr="001E27BC">
        <w:t>-</w:t>
      </w:r>
      <w:r w:rsidR="0028008A" w:rsidRPr="001E27BC">
        <w:t>funding to an ongoing MS or multilateral organisation (</w:t>
      </w:r>
      <w:r w:rsidRPr="001E27BC">
        <w:t xml:space="preserve">DFID, DANIDA, </w:t>
      </w:r>
      <w:r w:rsidR="0028008A" w:rsidRPr="001E27BC">
        <w:t xml:space="preserve">UNDP or WB) as the GCCA funds add climate change objectives to an ongoing action or budget support (case Ethiopia, Bhutan) or allow </w:t>
      </w:r>
      <w:r w:rsidR="007D4A14" w:rsidRPr="001E27BC">
        <w:t xml:space="preserve">for </w:t>
      </w:r>
      <w:r w:rsidR="0028008A" w:rsidRPr="001E27BC">
        <w:t xml:space="preserve">undertaking pilot projects on </w:t>
      </w:r>
      <w:r w:rsidR="008756D5" w:rsidRPr="001E27BC">
        <w:t>climate change</w:t>
      </w:r>
      <w:r w:rsidR="0028008A" w:rsidRPr="001E27BC">
        <w:t xml:space="preserve"> (case Mozambique). </w:t>
      </w:r>
      <w:r w:rsidR="00EE7D34" w:rsidRPr="001E27BC">
        <w:t xml:space="preserve">The Ethiopian project, for example, clearly benefited from the structures (Sustainable Land Management programme) the GCCA action was grafted onto. </w:t>
      </w:r>
      <w:r w:rsidR="00527F26" w:rsidRPr="001E27BC">
        <w:t xml:space="preserve"> </w:t>
      </w:r>
      <w:r w:rsidR="0028008A" w:rsidRPr="001E27BC">
        <w:t xml:space="preserve">In </w:t>
      </w:r>
      <w:r w:rsidR="007D4A14" w:rsidRPr="001E27BC">
        <w:t xml:space="preserve">other </w:t>
      </w:r>
      <w:r w:rsidR="0028008A" w:rsidRPr="001E27BC">
        <w:t>cases, the GCCA funds essentially reinforce climate action interventions lead by other donors (MS and others)</w:t>
      </w:r>
      <w:r w:rsidR="00EE7D34" w:rsidRPr="001E27BC">
        <w:t xml:space="preserve">, </w:t>
      </w:r>
      <w:r w:rsidR="0028008A" w:rsidRPr="001E27BC">
        <w:t>increasing the fina</w:t>
      </w:r>
      <w:r w:rsidR="0028008A" w:rsidRPr="001E27BC">
        <w:t>n</w:t>
      </w:r>
      <w:r w:rsidR="0028008A" w:rsidRPr="001E27BC">
        <w:t xml:space="preserve">cial means (case Nepal, Burkina Faso, Mauritius). </w:t>
      </w:r>
      <w:r w:rsidR="00527F26" w:rsidRPr="001E27BC">
        <w:t>In all cases, i</w:t>
      </w:r>
      <w:r w:rsidR="00090A59" w:rsidRPr="001E27BC">
        <w:t xml:space="preserve">t was </w:t>
      </w:r>
      <w:r w:rsidR="00090A59" w:rsidRPr="00AE1A5F">
        <w:t xml:space="preserve">found that </w:t>
      </w:r>
      <w:r w:rsidR="00B74219" w:rsidRPr="00AE1A5F">
        <w:t>GCCA pro</w:t>
      </w:r>
      <w:r w:rsidR="00EE7D34" w:rsidRPr="00AE1A5F">
        <w:t>grammes, since they</w:t>
      </w:r>
      <w:r w:rsidR="00090A59" w:rsidRPr="00AE1A5F">
        <w:t xml:space="preserve"> </w:t>
      </w:r>
      <w:r w:rsidR="00B74219" w:rsidRPr="00AE1A5F">
        <w:t xml:space="preserve">build on existing programmes – </w:t>
      </w:r>
      <w:r w:rsidR="00EE7D34" w:rsidRPr="00AE1A5F">
        <w:t>even in case</w:t>
      </w:r>
      <w:r w:rsidR="00622894" w:rsidRPr="00AE1A5F">
        <w:t>s where</w:t>
      </w:r>
      <w:r w:rsidR="00EE7D34" w:rsidRPr="00AE1A5F">
        <w:t xml:space="preserve"> they </w:t>
      </w:r>
      <w:r w:rsidR="00B74219" w:rsidRPr="00AE1A5F">
        <w:t xml:space="preserve">bring in a </w:t>
      </w:r>
      <w:r w:rsidR="00090A59" w:rsidRPr="00AE1A5F">
        <w:t xml:space="preserve">specific </w:t>
      </w:r>
      <w:r w:rsidR="00B74219" w:rsidRPr="00AE1A5F">
        <w:t xml:space="preserve">climate focus - tend to produce </w:t>
      </w:r>
      <w:r w:rsidR="00EE7D34" w:rsidRPr="00AE1A5F">
        <w:t xml:space="preserve">relatively </w:t>
      </w:r>
      <w:r w:rsidR="00B74219" w:rsidRPr="00AE1A5F">
        <w:t>quick and convincing</w:t>
      </w:r>
      <w:r w:rsidR="00B74219" w:rsidRPr="001E27BC">
        <w:t xml:space="preserve"> re</w:t>
      </w:r>
      <w:r w:rsidR="00EE7D34" w:rsidRPr="001E27BC">
        <w:t>sults</w:t>
      </w:r>
      <w:r w:rsidR="00090A59" w:rsidRPr="001E27BC">
        <w:t xml:space="preserve">. This has resulted in the </w:t>
      </w:r>
      <w:r w:rsidR="00527F26" w:rsidRPr="001E27BC">
        <w:t xml:space="preserve">national </w:t>
      </w:r>
      <w:r w:rsidR="00090A59" w:rsidRPr="001E27BC">
        <w:t>GCCA programme</w:t>
      </w:r>
      <w:r w:rsidR="00527F26" w:rsidRPr="001E27BC">
        <w:t>s</w:t>
      </w:r>
      <w:r w:rsidR="00090A59" w:rsidRPr="001E27BC">
        <w:t xml:space="preserve"> producing results in a </w:t>
      </w:r>
      <w:r w:rsidR="00AE1A5F" w:rsidRPr="00AE1A5F">
        <w:t>fairly</w:t>
      </w:r>
      <w:r w:rsidR="0028008A" w:rsidRPr="001E27BC">
        <w:t xml:space="preserve"> short pe</w:t>
      </w:r>
      <w:r w:rsidR="00527F26" w:rsidRPr="001E27BC">
        <w:t>riod of time, generally speaking</w:t>
      </w:r>
      <w:r w:rsidR="008756D5" w:rsidRPr="001E27BC">
        <w:t xml:space="preserve">. </w:t>
      </w:r>
      <w:r w:rsidR="00622894" w:rsidRPr="00AE1A5F">
        <w:t>The GCCA programmes are building on successful networks, working relationships, and previous capacity building. This does not mean they are si</w:t>
      </w:r>
      <w:r w:rsidR="00622894" w:rsidRPr="00AE1A5F">
        <w:t>m</w:t>
      </w:r>
      <w:r w:rsidR="00622894" w:rsidRPr="00AE1A5F">
        <w:t>ply extending previous project activity. For example in Belize, the UNDP had worked hard to establish relationships with the Government of Belize. This enables GCCA Belize to, in turn, play a critical role in creating a national climate change office in that country.</w:t>
      </w:r>
    </w:p>
    <w:p w:rsidR="00B74219" w:rsidRPr="001E27BC" w:rsidRDefault="000378CA" w:rsidP="00135A75">
      <w:pPr>
        <w:ind w:left="360"/>
        <w:rPr>
          <w:b/>
        </w:rPr>
      </w:pPr>
      <w:r w:rsidRPr="001E27BC">
        <w:rPr>
          <w:b/>
        </w:rPr>
        <w:t xml:space="preserve">Lesson learned 1: Grafting </w:t>
      </w:r>
      <w:r w:rsidR="00527F26" w:rsidRPr="001E27BC">
        <w:rPr>
          <w:b/>
        </w:rPr>
        <w:t xml:space="preserve">national-level </w:t>
      </w:r>
      <w:r w:rsidRPr="001E27BC">
        <w:rPr>
          <w:b/>
        </w:rPr>
        <w:t>GCCA-</w:t>
      </w:r>
      <w:r w:rsidR="00B74219" w:rsidRPr="001E27BC">
        <w:rPr>
          <w:b/>
        </w:rPr>
        <w:t>support onto existing projects and programmes (in agriculture, water management or other sectors) rather than identif</w:t>
      </w:r>
      <w:r w:rsidR="00B74219" w:rsidRPr="001E27BC">
        <w:rPr>
          <w:b/>
        </w:rPr>
        <w:t>y</w:t>
      </w:r>
      <w:r w:rsidR="00B74219" w:rsidRPr="001E27BC">
        <w:rPr>
          <w:b/>
        </w:rPr>
        <w:t>ing new pro</w:t>
      </w:r>
      <w:r w:rsidRPr="001E27BC">
        <w:rPr>
          <w:b/>
        </w:rPr>
        <w:t xml:space="preserve">jects is found to be an effective strategy for </w:t>
      </w:r>
      <w:r w:rsidR="00C00931" w:rsidRPr="001E27BC">
        <w:rPr>
          <w:b/>
        </w:rPr>
        <w:t xml:space="preserve">quick and </w:t>
      </w:r>
      <w:r w:rsidRPr="001E27BC">
        <w:rPr>
          <w:b/>
        </w:rPr>
        <w:t xml:space="preserve">good results. </w:t>
      </w:r>
    </w:p>
    <w:p w:rsidR="00EE36F3" w:rsidRPr="001E27BC" w:rsidRDefault="000378CA" w:rsidP="00E3777B">
      <w:pPr>
        <w:numPr>
          <w:ilvl w:val="0"/>
          <w:numId w:val="11"/>
        </w:numPr>
      </w:pPr>
      <w:r w:rsidRPr="001E27BC">
        <w:t xml:space="preserve">In general, it was found that a key success factor is </w:t>
      </w:r>
      <w:r w:rsidR="00C33F65" w:rsidRPr="001E27BC">
        <w:t xml:space="preserve">the </w:t>
      </w:r>
      <w:r w:rsidRPr="001E27BC">
        <w:t>identif</w:t>
      </w:r>
      <w:r w:rsidR="006501E5" w:rsidRPr="001E27BC">
        <w:t xml:space="preserve">ication of </w:t>
      </w:r>
      <w:r w:rsidRPr="001E27BC">
        <w:t>the right organis</w:t>
      </w:r>
      <w:r w:rsidRPr="001E27BC">
        <w:t>a</w:t>
      </w:r>
      <w:r w:rsidRPr="001E27BC">
        <w:t xml:space="preserve">tion to </w:t>
      </w:r>
      <w:r w:rsidR="00E3777B" w:rsidRPr="001E27BC">
        <w:t xml:space="preserve">lead or </w:t>
      </w:r>
      <w:r w:rsidRPr="001E27BC">
        <w:t xml:space="preserve">undertake the </w:t>
      </w:r>
      <w:r w:rsidR="00EC440E" w:rsidRPr="001E27BC">
        <w:t>GCCA intervention</w:t>
      </w:r>
      <w:r w:rsidRPr="001E27BC">
        <w:t xml:space="preserve">, and then supporting it so </w:t>
      </w:r>
      <w:r w:rsidR="00C33F65" w:rsidRPr="001E27BC">
        <w:t xml:space="preserve">that </w:t>
      </w:r>
      <w:r w:rsidRPr="001E27BC">
        <w:t>it is cap</w:t>
      </w:r>
      <w:r w:rsidRPr="001E27BC">
        <w:t>a</w:t>
      </w:r>
      <w:r w:rsidRPr="001E27BC">
        <w:t xml:space="preserve">ble </w:t>
      </w:r>
      <w:r w:rsidR="008A5CBE" w:rsidRPr="001E27BC">
        <w:t xml:space="preserve">of </w:t>
      </w:r>
      <w:r w:rsidRPr="001E27BC">
        <w:t>achieve the expected results</w:t>
      </w:r>
      <w:r w:rsidR="006501E5" w:rsidRPr="001E27BC">
        <w:t xml:space="preserve">. However, in </w:t>
      </w:r>
      <w:r w:rsidR="00E3777B" w:rsidRPr="001E27BC">
        <w:t>many</w:t>
      </w:r>
      <w:r w:rsidR="006501E5" w:rsidRPr="001E27BC">
        <w:t xml:space="preserve"> cases, responsibilities for climate action would not </w:t>
      </w:r>
      <w:r w:rsidR="00E3777B" w:rsidRPr="001E27BC">
        <w:t xml:space="preserve">yet </w:t>
      </w:r>
      <w:r w:rsidR="006501E5" w:rsidRPr="001E27BC">
        <w:t xml:space="preserve">have </w:t>
      </w:r>
      <w:r w:rsidR="006501E5" w:rsidRPr="00AE1A5F">
        <w:t xml:space="preserve">been </w:t>
      </w:r>
      <w:r w:rsidR="00E3777B" w:rsidRPr="00AE1A5F">
        <w:t xml:space="preserve">so </w:t>
      </w:r>
      <w:r w:rsidR="006501E5" w:rsidRPr="00AE1A5F">
        <w:t xml:space="preserve">clearly defined at the time of GCCA funds coming in. </w:t>
      </w:r>
      <w:r w:rsidR="00E3777B" w:rsidRPr="00AE1A5F">
        <w:t>Moreover, the political situation and priorities in</w:t>
      </w:r>
      <w:r w:rsidR="00D82D26">
        <w:t xml:space="preserve"> “poor </w:t>
      </w:r>
      <w:r w:rsidR="00CE4627" w:rsidRPr="00AE1A5F">
        <w:t>countries and regions most vu</w:t>
      </w:r>
      <w:r w:rsidR="00CE4627" w:rsidRPr="00AE1A5F">
        <w:t>l</w:t>
      </w:r>
      <w:r w:rsidR="00CE4627" w:rsidRPr="00AE1A5F">
        <w:t>nerable to climate change”</w:t>
      </w:r>
      <w:r w:rsidR="00E3777B" w:rsidRPr="00AE1A5F">
        <w:t xml:space="preserve"> tend</w:t>
      </w:r>
      <w:r w:rsidR="00CE4627" w:rsidRPr="00AE1A5F">
        <w:t>s</w:t>
      </w:r>
      <w:r w:rsidR="00E3777B" w:rsidRPr="00AE1A5F">
        <w:t xml:space="preserve"> to evolve fast. In most cases, important organisational issues needed to be addressed before meaningful climate action plans could be made and implemented. </w:t>
      </w:r>
      <w:r w:rsidR="006501E5" w:rsidRPr="00AE1A5F">
        <w:t xml:space="preserve">This resulted in considerable time being consumed before </w:t>
      </w:r>
      <w:r w:rsidR="00E3777B" w:rsidRPr="00AE1A5F">
        <w:t xml:space="preserve">some </w:t>
      </w:r>
      <w:r w:rsidR="006501E5" w:rsidRPr="00AE1A5F">
        <w:t>national programmes be</w:t>
      </w:r>
      <w:r w:rsidR="006B1A18" w:rsidRPr="00AE1A5F">
        <w:t>ca</w:t>
      </w:r>
      <w:r w:rsidR="006501E5" w:rsidRPr="00AE1A5F">
        <w:t>me operational ‘on the ground’. I</w:t>
      </w:r>
      <w:r w:rsidR="00EC3856" w:rsidRPr="00AE1A5F">
        <w:t>dentification of the right entry point for EU</w:t>
      </w:r>
      <w:r w:rsidR="006501E5" w:rsidRPr="00AE1A5F">
        <w:t>-</w:t>
      </w:r>
      <w:r w:rsidR="00EC3856" w:rsidRPr="00AE1A5F">
        <w:t xml:space="preserve">supported climate action was </w:t>
      </w:r>
      <w:r w:rsidR="006501E5" w:rsidRPr="00AE1A5F">
        <w:t xml:space="preserve">most </w:t>
      </w:r>
      <w:r w:rsidR="00EC3856" w:rsidRPr="00AE1A5F">
        <w:t>challeng</w:t>
      </w:r>
      <w:r w:rsidR="006501E5" w:rsidRPr="00AE1A5F">
        <w:t>ing</w:t>
      </w:r>
      <w:r w:rsidR="00EC3856" w:rsidRPr="00AE1A5F">
        <w:t xml:space="preserve"> in Mauritius and Rwanda, and to some extent in Mozambique</w:t>
      </w:r>
      <w:r w:rsidR="006B1A18" w:rsidRPr="00AE1A5F">
        <w:t>: all</w:t>
      </w:r>
      <w:r w:rsidR="006501E5" w:rsidRPr="00AE1A5F">
        <w:t xml:space="preserve"> countries where the budget support modality was a</w:t>
      </w:r>
      <w:r w:rsidR="006501E5" w:rsidRPr="00AE1A5F">
        <w:t>p</w:t>
      </w:r>
      <w:r w:rsidR="006501E5" w:rsidRPr="00AE1A5F">
        <w:t>plied</w:t>
      </w:r>
      <w:r w:rsidR="00EC3856" w:rsidRPr="00AE1A5F">
        <w:t>.</w:t>
      </w:r>
      <w:r w:rsidR="00EC3856" w:rsidRPr="001E27BC">
        <w:t xml:space="preserve"> </w:t>
      </w:r>
    </w:p>
    <w:p w:rsidR="00702BFF" w:rsidRPr="00AE1A5F" w:rsidRDefault="000378CA" w:rsidP="00EC440E">
      <w:pPr>
        <w:numPr>
          <w:ilvl w:val="0"/>
          <w:numId w:val="11"/>
        </w:numPr>
      </w:pPr>
      <w:r w:rsidRPr="001E27BC">
        <w:t xml:space="preserve">The examples of Belize and Jamaica show that </w:t>
      </w:r>
      <w:r w:rsidR="00CA03CF" w:rsidRPr="001E27BC">
        <w:t xml:space="preserve">having </w:t>
      </w:r>
      <w:r w:rsidRPr="001E27BC">
        <w:t xml:space="preserve">a ‘champion’ is </w:t>
      </w:r>
      <w:r w:rsidR="00CA03CF" w:rsidRPr="001E27BC">
        <w:t>highly instrume</w:t>
      </w:r>
      <w:r w:rsidR="00CA03CF" w:rsidRPr="001E27BC">
        <w:t>n</w:t>
      </w:r>
      <w:r w:rsidR="00CA03CF" w:rsidRPr="001E27BC">
        <w:t>tal</w:t>
      </w:r>
      <w:r w:rsidRPr="001E27BC">
        <w:t xml:space="preserve">; </w:t>
      </w:r>
      <w:r w:rsidR="00EC440E" w:rsidRPr="001E27BC">
        <w:t xml:space="preserve">through different GCCA means, the CCCCC and UNDP helped create the </w:t>
      </w:r>
      <w:r w:rsidR="00CA03CF" w:rsidRPr="001E27BC">
        <w:t xml:space="preserve">Climate Change </w:t>
      </w:r>
      <w:r w:rsidR="00EC440E" w:rsidRPr="001E27BC">
        <w:t xml:space="preserve">Office in Belize. The </w:t>
      </w:r>
      <w:r w:rsidR="00CA03CF" w:rsidRPr="001E27BC">
        <w:t>Climate Change</w:t>
      </w:r>
      <w:r w:rsidR="00EC440E" w:rsidRPr="001E27BC">
        <w:t xml:space="preserve"> Division in Jamaica came into existence after the GCCA programme had started</w:t>
      </w:r>
      <w:r w:rsidR="006B1A18" w:rsidRPr="001E27BC">
        <w:t>,</w:t>
      </w:r>
      <w:r w:rsidR="00EC440E" w:rsidRPr="001E27BC">
        <w:t xml:space="preserve"> and some of the programme’s activities were then adopted by the </w:t>
      </w:r>
      <w:r w:rsidR="00CA03CF" w:rsidRPr="001E27BC">
        <w:t>Climate Change</w:t>
      </w:r>
      <w:r w:rsidR="00EC440E" w:rsidRPr="001E27BC">
        <w:t xml:space="preserve"> Division. O</w:t>
      </w:r>
      <w:r w:rsidRPr="001E27BC">
        <w:t xml:space="preserve">nce a </w:t>
      </w:r>
      <w:r w:rsidR="00CA03CF" w:rsidRPr="001E27BC">
        <w:t>climate change</w:t>
      </w:r>
      <w:r w:rsidRPr="001E27BC">
        <w:t xml:space="preserve"> office is esta</w:t>
      </w:r>
      <w:r w:rsidRPr="001E27BC">
        <w:t>b</w:t>
      </w:r>
      <w:r w:rsidRPr="001E27BC">
        <w:t xml:space="preserve">lished, </w:t>
      </w:r>
      <w:r w:rsidR="00CA03CF" w:rsidRPr="001E27BC">
        <w:t>climate change</w:t>
      </w:r>
      <w:r w:rsidRPr="001E27BC">
        <w:t xml:space="preserve"> action can </w:t>
      </w:r>
      <w:r w:rsidR="00EC440E" w:rsidRPr="001E27BC">
        <w:t xml:space="preserve">then </w:t>
      </w:r>
      <w:r w:rsidRPr="001E27BC">
        <w:t xml:space="preserve">be properly coordinated </w:t>
      </w:r>
      <w:r w:rsidR="008F634D" w:rsidRPr="001E27BC">
        <w:t>and resources mobilised. This, in</w:t>
      </w:r>
      <w:r w:rsidRPr="001E27BC">
        <w:t xml:space="preserve"> turn</w:t>
      </w:r>
      <w:r w:rsidR="008F634D" w:rsidRPr="001E27BC">
        <w:t>,</w:t>
      </w:r>
      <w:r w:rsidRPr="001E27BC">
        <w:t xml:space="preserve"> points </w:t>
      </w:r>
      <w:r w:rsidR="006B1A18" w:rsidRPr="001E27BC">
        <w:t xml:space="preserve">to </w:t>
      </w:r>
      <w:r w:rsidRPr="001E27BC">
        <w:t xml:space="preserve">the general need for </w:t>
      </w:r>
      <w:r w:rsidR="00CA03CF" w:rsidRPr="001E27BC">
        <w:t>climate change</w:t>
      </w:r>
      <w:r w:rsidR="00E2401B" w:rsidRPr="001E27BC">
        <w:t xml:space="preserve"> to</w:t>
      </w:r>
      <w:r w:rsidRPr="001E27BC">
        <w:t xml:space="preserve"> be sufficiently high on the </w:t>
      </w:r>
      <w:r w:rsidR="00CA03CF" w:rsidRPr="001E27BC">
        <w:t xml:space="preserve">political </w:t>
      </w:r>
      <w:r w:rsidRPr="00AE1A5F">
        <w:t xml:space="preserve">agenda, which is </w:t>
      </w:r>
      <w:r w:rsidR="00EC3856" w:rsidRPr="00AE1A5F">
        <w:t xml:space="preserve">still </w:t>
      </w:r>
      <w:r w:rsidRPr="00AE1A5F">
        <w:t xml:space="preserve">not the case in </w:t>
      </w:r>
      <w:r w:rsidR="00EC3856" w:rsidRPr="00AE1A5F">
        <w:t xml:space="preserve">some </w:t>
      </w:r>
      <w:r w:rsidRPr="00AE1A5F">
        <w:t xml:space="preserve">of the target countries; </w:t>
      </w:r>
      <w:r w:rsidR="00702BFF" w:rsidRPr="00AE1A5F">
        <w:t xml:space="preserve">high level </w:t>
      </w:r>
      <w:r w:rsidR="006B1A18" w:rsidRPr="00AE1A5F">
        <w:t>p</w:t>
      </w:r>
      <w:r w:rsidR="006B1A18" w:rsidRPr="00AE1A5F">
        <w:t>o</w:t>
      </w:r>
      <w:r w:rsidR="006B1A18" w:rsidRPr="00AE1A5F">
        <w:t xml:space="preserve">litical </w:t>
      </w:r>
      <w:r w:rsidR="00702BFF" w:rsidRPr="00AE1A5F">
        <w:t xml:space="preserve">support for </w:t>
      </w:r>
      <w:r w:rsidR="00CA03CF" w:rsidRPr="00AE1A5F">
        <w:t>climate change</w:t>
      </w:r>
      <w:r w:rsidR="00702BFF" w:rsidRPr="00AE1A5F">
        <w:t xml:space="preserve"> action </w:t>
      </w:r>
      <w:r w:rsidR="007D232D" w:rsidRPr="00AE1A5F">
        <w:t>was found to be</w:t>
      </w:r>
      <w:r w:rsidR="00702BFF" w:rsidRPr="00AE1A5F">
        <w:t xml:space="preserve"> </w:t>
      </w:r>
      <w:r w:rsidR="00CA03CF" w:rsidRPr="00AE1A5F">
        <w:t xml:space="preserve">one of the </w:t>
      </w:r>
      <w:r w:rsidR="00702BFF" w:rsidRPr="00AE1A5F">
        <w:t>key success factor</w:t>
      </w:r>
      <w:r w:rsidR="00CA03CF" w:rsidRPr="00AE1A5F">
        <w:t>s</w:t>
      </w:r>
      <w:r w:rsidR="00702BFF" w:rsidRPr="00AE1A5F">
        <w:t xml:space="preserve"> for the </w:t>
      </w:r>
      <w:r w:rsidR="00CA03CF" w:rsidRPr="00AE1A5F">
        <w:t xml:space="preserve">national </w:t>
      </w:r>
      <w:r w:rsidR="00702BFF" w:rsidRPr="00AE1A5F">
        <w:t xml:space="preserve">GCCA </w:t>
      </w:r>
      <w:r w:rsidR="007D232D" w:rsidRPr="00AE1A5F">
        <w:t>programmes</w:t>
      </w:r>
      <w:r w:rsidR="00702BFF" w:rsidRPr="00AE1A5F">
        <w:t xml:space="preserve">. </w:t>
      </w:r>
    </w:p>
    <w:p w:rsidR="006158FE" w:rsidRDefault="000378CA" w:rsidP="00CA03CF">
      <w:pPr>
        <w:numPr>
          <w:ilvl w:val="0"/>
          <w:numId w:val="11"/>
        </w:numPr>
      </w:pPr>
      <w:r w:rsidRPr="00AE1A5F">
        <w:t>Also, GCCA supported action was found to be most effective in those countries where a long-term Strategy or Plan for Climate Change is in place</w:t>
      </w:r>
      <w:r w:rsidR="00CA03CF" w:rsidRPr="00AE1A5F">
        <w:t>,</w:t>
      </w:r>
      <w:r w:rsidRPr="00AE1A5F">
        <w:t xml:space="preserve"> </w:t>
      </w:r>
      <w:r w:rsidR="001040F9" w:rsidRPr="00AE1A5F">
        <w:t xml:space="preserve">to </w:t>
      </w:r>
      <w:r w:rsidRPr="00AE1A5F">
        <w:t xml:space="preserve">which GCCA support can be linked. </w:t>
      </w:r>
      <w:r w:rsidR="00CA03CF" w:rsidRPr="00AE1A5F">
        <w:t>However, not all target countries have such climate change plans or strategies in place</w:t>
      </w:r>
      <w:r w:rsidR="006E191E" w:rsidRPr="00AE1A5F">
        <w:t>. Where</w:t>
      </w:r>
      <w:r w:rsidR="00CA03CF" w:rsidRPr="00AE1A5F">
        <w:t xml:space="preserve"> they do not exist or are not operational, the GCCA has tried to present i</w:t>
      </w:r>
      <w:r w:rsidR="00CA03CF" w:rsidRPr="00AE1A5F">
        <w:t>t</w:t>
      </w:r>
      <w:r w:rsidR="00CA03CF" w:rsidRPr="00AE1A5F">
        <w:t xml:space="preserve">self as an opportunity to support the development of an institutional framework and local capacities. </w:t>
      </w:r>
      <w:r w:rsidRPr="00AE1A5F">
        <w:t xml:space="preserve">In some countries, </w:t>
      </w:r>
      <w:r w:rsidR="006E191E" w:rsidRPr="00AE1A5F">
        <w:t xml:space="preserve">stakeholders </w:t>
      </w:r>
      <w:r w:rsidRPr="00AE1A5F">
        <w:t>referred</w:t>
      </w:r>
      <w:r w:rsidRPr="001E27BC">
        <w:t xml:space="preserve"> to a need for a ‘change in culture’, the development of a long-term vision and the creation of proper structures for undertaking climate action</w:t>
      </w:r>
      <w:r w:rsidR="008F634D" w:rsidRPr="001E27BC">
        <w:t xml:space="preserve"> as basic conditions for successful action</w:t>
      </w:r>
      <w:r w:rsidRPr="001E27BC">
        <w:t>.</w:t>
      </w:r>
    </w:p>
    <w:p w:rsidR="000378CA" w:rsidRPr="00135A75" w:rsidRDefault="006158FE" w:rsidP="006158FE">
      <w:pPr>
        <w:numPr>
          <w:ilvl w:val="0"/>
          <w:numId w:val="11"/>
        </w:numPr>
      </w:pPr>
      <w:r w:rsidRPr="00135A75">
        <w:t xml:space="preserve">Joint programming with </w:t>
      </w:r>
      <w:r w:rsidR="00252208" w:rsidRPr="00135A75">
        <w:t>M</w:t>
      </w:r>
      <w:r w:rsidRPr="00135A75">
        <w:t>ember States is also acknowledged by the MS as being a pos</w:t>
      </w:r>
      <w:r w:rsidRPr="00135A75">
        <w:t>i</w:t>
      </w:r>
      <w:r w:rsidRPr="00135A75">
        <w:t xml:space="preserve">tive result at </w:t>
      </w:r>
      <w:r w:rsidR="00C04EB5" w:rsidRPr="00135A75">
        <w:t xml:space="preserve">national and regional levels, with considerable value added. In addition, the point made by </w:t>
      </w:r>
      <w:r w:rsidR="00272E52" w:rsidRPr="00135A75">
        <w:t xml:space="preserve">a number of </w:t>
      </w:r>
      <w:r w:rsidR="00C04EB5" w:rsidRPr="00135A75">
        <w:t>MS, namely that channelling funds through the GCCA e</w:t>
      </w:r>
      <w:r w:rsidR="00C04EB5" w:rsidRPr="00135A75">
        <w:t>n</w:t>
      </w:r>
      <w:r w:rsidR="00C04EB5" w:rsidRPr="00135A75">
        <w:t>ables MS - even those with their own bilateral/regional programmes - to also contribute to interventions in those countries very vulnerable to climate change where the MS does not have bilateral interventions.</w:t>
      </w:r>
    </w:p>
    <w:p w:rsidR="006E191E" w:rsidRPr="00135A75" w:rsidRDefault="000378CA" w:rsidP="00135A75">
      <w:pPr>
        <w:widowControl w:val="0"/>
        <w:ind w:left="360"/>
        <w:rPr>
          <w:b/>
        </w:rPr>
      </w:pPr>
      <w:r w:rsidRPr="00135A75">
        <w:rPr>
          <w:b/>
        </w:rPr>
        <w:t xml:space="preserve">REC: </w:t>
      </w:r>
      <w:r w:rsidR="006E191E" w:rsidRPr="00135A75">
        <w:rPr>
          <w:b/>
        </w:rPr>
        <w:t>It is recommended that the EU (as part of the implementation of their regional and national programmes) support long-term strategic planning and institutional c</w:t>
      </w:r>
      <w:r w:rsidR="006E191E" w:rsidRPr="00135A75">
        <w:rPr>
          <w:b/>
        </w:rPr>
        <w:t>a</w:t>
      </w:r>
      <w:r w:rsidR="006E191E" w:rsidRPr="00135A75">
        <w:rPr>
          <w:b/>
        </w:rPr>
        <w:t>pacity building for climate action at national and regional level in EU beneficiary coun</w:t>
      </w:r>
      <w:r w:rsidR="006E191E" w:rsidRPr="00135A75">
        <w:rPr>
          <w:b/>
        </w:rPr>
        <w:t>t</w:t>
      </w:r>
      <w:r w:rsidR="006E191E" w:rsidRPr="00135A75">
        <w:rPr>
          <w:b/>
        </w:rPr>
        <w:t>ries.</w:t>
      </w:r>
    </w:p>
    <w:p w:rsidR="006535BF" w:rsidRPr="00AE1A5F" w:rsidRDefault="006E191E" w:rsidP="00CC32F3">
      <w:pPr>
        <w:pStyle w:val="ListParagraph"/>
        <w:widowControl w:val="0"/>
        <w:numPr>
          <w:ilvl w:val="0"/>
          <w:numId w:val="17"/>
        </w:numPr>
        <w:rPr>
          <w:i/>
        </w:rPr>
      </w:pPr>
      <w:r w:rsidRPr="00AE1A5F">
        <w:rPr>
          <w:i/>
        </w:rPr>
        <w:t>The objective of this recommendation is to ensure stronger regional and national owne</w:t>
      </w:r>
      <w:r w:rsidRPr="00AE1A5F">
        <w:rPr>
          <w:i/>
        </w:rPr>
        <w:t>r</w:t>
      </w:r>
      <w:r w:rsidRPr="00AE1A5F">
        <w:rPr>
          <w:i/>
        </w:rPr>
        <w:t>ship of the climate-change agenda. This should include: support for the establishment of National Climate Change Office/Departments with sufficient authority to define and i</w:t>
      </w:r>
      <w:r w:rsidRPr="00AE1A5F">
        <w:rPr>
          <w:i/>
        </w:rPr>
        <w:t>n</w:t>
      </w:r>
      <w:r w:rsidRPr="00AE1A5F">
        <w:rPr>
          <w:i/>
        </w:rPr>
        <w:t>fluence national strategies and to influence the development of regional (climate-action) strategies; and, in parallel, provide support for capacity building in these institutions to ensure adequate capabilities over the long-term. Additional technical assistance support - either long-term or as a series of short-term inputs using, for example, the Framework contract mechanism - could also be considered to increase support for national capacity building; also in some cases GCCA support can be provided in the form of budgetary support. This could include technical assistance to facilitate budget support.</w:t>
      </w:r>
    </w:p>
    <w:p w:rsidR="00D036B2" w:rsidRPr="001E27BC" w:rsidRDefault="00315F62" w:rsidP="003936A6">
      <w:pPr>
        <w:pStyle w:val="Heading2"/>
      </w:pPr>
      <w:bookmarkStart w:id="20" w:name="_Toc284767316"/>
      <w:r>
        <w:t>2.2</w:t>
      </w:r>
      <w:r>
        <w:tab/>
      </w:r>
      <w:r w:rsidR="00D036B2" w:rsidRPr="001E27BC">
        <w:t>On design:</w:t>
      </w:r>
      <w:bookmarkEnd w:id="20"/>
    </w:p>
    <w:p w:rsidR="00D036B2" w:rsidRPr="001E27BC" w:rsidRDefault="006C6102" w:rsidP="0076070B">
      <w:pPr>
        <w:ind w:left="709" w:hanging="709"/>
        <w:rPr>
          <w:b/>
          <w:i/>
        </w:rPr>
      </w:pPr>
      <w:r w:rsidRPr="001E27BC">
        <w:rPr>
          <w:b/>
          <w:i/>
        </w:rPr>
        <w:t>EQ</w:t>
      </w:r>
      <w:r w:rsidR="00D036B2" w:rsidRPr="001E27BC">
        <w:rPr>
          <w:b/>
          <w:i/>
        </w:rPr>
        <w:t>2.</w:t>
      </w:r>
      <w:r w:rsidR="00D036B2" w:rsidRPr="001E27BC">
        <w:rPr>
          <w:b/>
          <w:i/>
        </w:rPr>
        <w:tab/>
        <w:t>To what extent is the intervention logic internally consistent and valid, coherent across different intervention levels, is it formalised in a logframe or other format, and is it a</w:t>
      </w:r>
      <w:r w:rsidR="00D036B2" w:rsidRPr="001E27BC">
        <w:rPr>
          <w:b/>
          <w:i/>
        </w:rPr>
        <w:t>c</w:t>
      </w:r>
      <w:r w:rsidR="00D036B2" w:rsidRPr="001E27BC">
        <w:rPr>
          <w:b/>
          <w:i/>
        </w:rPr>
        <w:t>tively used?</w:t>
      </w:r>
    </w:p>
    <w:p w:rsidR="00797C50" w:rsidRPr="001E27BC" w:rsidRDefault="002E0BB6" w:rsidP="00797C50">
      <w:pPr>
        <w:numPr>
          <w:ilvl w:val="0"/>
          <w:numId w:val="11"/>
        </w:numPr>
      </w:pPr>
      <w:r w:rsidRPr="001E27BC">
        <w:t>Logframes exist for each of the</w:t>
      </w:r>
      <w:r w:rsidR="0043442D" w:rsidRPr="001E27BC">
        <w:t xml:space="preserve"> Programmes</w:t>
      </w:r>
      <w:r w:rsidR="00CF2ECA" w:rsidRPr="001E27BC">
        <w:t>.</w:t>
      </w:r>
      <w:r w:rsidRPr="001E27BC">
        <w:t xml:space="preserve"> </w:t>
      </w:r>
      <w:r w:rsidR="00934BC0" w:rsidRPr="001E27BC">
        <w:t>In</w:t>
      </w:r>
      <w:r w:rsidR="00CF2ECA" w:rsidRPr="001E27BC">
        <w:t xml:space="preserve"> </w:t>
      </w:r>
      <w:r w:rsidR="00934BC0" w:rsidRPr="001E27BC">
        <w:t xml:space="preserve">30% of the </w:t>
      </w:r>
      <w:r w:rsidR="00EB2A37" w:rsidRPr="001E27BC">
        <w:t xml:space="preserve">national </w:t>
      </w:r>
      <w:r w:rsidR="00934BC0" w:rsidRPr="001E27BC">
        <w:t xml:space="preserve">GCCA </w:t>
      </w:r>
      <w:r w:rsidR="0043442D" w:rsidRPr="001E27BC">
        <w:t>Programme</w:t>
      </w:r>
      <w:r w:rsidR="00CF2ECA" w:rsidRPr="001E27BC">
        <w:t>s,</w:t>
      </w:r>
      <w:r w:rsidR="00934BC0" w:rsidRPr="001E27BC">
        <w:t xml:space="preserve"> there are issues with the consistency</w:t>
      </w:r>
      <w:r w:rsidRPr="001E27BC">
        <w:t xml:space="preserve"> or </w:t>
      </w:r>
      <w:r w:rsidR="00934BC0" w:rsidRPr="001E27BC">
        <w:t>completeness of the logical framework or</w:t>
      </w:r>
      <w:r w:rsidR="0043442D" w:rsidRPr="001E27BC">
        <w:t xml:space="preserve"> specific</w:t>
      </w:r>
      <w:r w:rsidR="00934BC0" w:rsidRPr="001E27BC">
        <w:t xml:space="preserve"> intervention logics. But in general</w:t>
      </w:r>
      <w:r w:rsidR="0043442D" w:rsidRPr="001E27BC">
        <w:t>,</w:t>
      </w:r>
      <w:r w:rsidR="00934BC0" w:rsidRPr="001E27BC">
        <w:t xml:space="preserve"> the design of the </w:t>
      </w:r>
      <w:r w:rsidR="00CF2ECA" w:rsidRPr="001E27BC">
        <w:t xml:space="preserve">programmes </w:t>
      </w:r>
      <w:r w:rsidR="00934BC0" w:rsidRPr="001E27BC">
        <w:t xml:space="preserve">is appropriate, </w:t>
      </w:r>
      <w:r w:rsidR="008F634D" w:rsidRPr="001E27BC">
        <w:t xml:space="preserve">and </w:t>
      </w:r>
      <w:r w:rsidR="00934BC0" w:rsidRPr="001E27BC">
        <w:t xml:space="preserve">well in line with global GCCA objectives and expected results. </w:t>
      </w:r>
      <w:r w:rsidR="00797C50" w:rsidRPr="001E27BC">
        <w:t>The evaluat</w:t>
      </w:r>
      <w:r w:rsidRPr="001E27BC">
        <w:t xml:space="preserve">ion team </w:t>
      </w:r>
      <w:r w:rsidR="00797C50" w:rsidRPr="001E27BC">
        <w:t xml:space="preserve">notes that ROM missions have </w:t>
      </w:r>
      <w:r w:rsidRPr="001E27BC">
        <w:t xml:space="preserve">sometimes focused strongly on inadequate logical frameworks and implementation delays, without proper </w:t>
      </w:r>
      <w:r w:rsidR="00797C50" w:rsidRPr="001E27BC">
        <w:t>acknowledge</w:t>
      </w:r>
      <w:r w:rsidRPr="001E27BC">
        <w:t xml:space="preserve">ment of </w:t>
      </w:r>
      <w:r w:rsidR="00797C50" w:rsidRPr="001E27BC">
        <w:t>the initial investments r</w:t>
      </w:r>
      <w:r w:rsidR="00797C50" w:rsidRPr="001E27BC">
        <w:t>e</w:t>
      </w:r>
      <w:r w:rsidR="00797C50" w:rsidRPr="001E27BC">
        <w:t>quired for starting up mean</w:t>
      </w:r>
      <w:r w:rsidRPr="001E27BC">
        <w:t xml:space="preserve">ingful climate </w:t>
      </w:r>
      <w:r w:rsidR="00CF2ECA" w:rsidRPr="001E27BC">
        <w:t>activities</w:t>
      </w:r>
      <w:r w:rsidRPr="001E27BC">
        <w:t xml:space="preserve">. </w:t>
      </w:r>
    </w:p>
    <w:p w:rsidR="00797C50" w:rsidRPr="001E27BC" w:rsidRDefault="0043442D" w:rsidP="00797C50">
      <w:pPr>
        <w:numPr>
          <w:ilvl w:val="0"/>
          <w:numId w:val="11"/>
        </w:numPr>
      </w:pPr>
      <w:r w:rsidRPr="001E27BC">
        <w:t>The effective u</w:t>
      </w:r>
      <w:r w:rsidR="002E0BB6" w:rsidRPr="001E27BC">
        <w:t>se of logical frameworks as a basis for result-oriented management and r</w:t>
      </w:r>
      <w:r w:rsidR="002E0BB6" w:rsidRPr="001E27BC">
        <w:t>e</w:t>
      </w:r>
      <w:r w:rsidR="002E0BB6" w:rsidRPr="001E27BC">
        <w:t xml:space="preserve">porting </w:t>
      </w:r>
      <w:r w:rsidR="00A031CE" w:rsidRPr="001E27BC">
        <w:t>also varies</w:t>
      </w:r>
      <w:r w:rsidR="002E0BB6" w:rsidRPr="001E27BC">
        <w:t xml:space="preserve">. </w:t>
      </w:r>
      <w:r w:rsidR="00833796" w:rsidRPr="001E27BC">
        <w:t xml:space="preserve">In the case of Benin, the logical framework </w:t>
      </w:r>
      <w:r w:rsidR="002F501A" w:rsidRPr="001E27BC">
        <w:t xml:space="preserve">was found to </w:t>
      </w:r>
      <w:r w:rsidR="00833796" w:rsidRPr="001E27BC">
        <w:t>require a major revision and update</w:t>
      </w:r>
      <w:r w:rsidRPr="001E27BC">
        <w:t xml:space="preserve"> for it</w:t>
      </w:r>
      <w:r w:rsidR="00833796" w:rsidRPr="001E27BC">
        <w:t xml:space="preserve"> to </w:t>
      </w:r>
      <w:r w:rsidR="002F501A" w:rsidRPr="001E27BC">
        <w:t>serve as</w:t>
      </w:r>
      <w:r w:rsidR="00833796" w:rsidRPr="001E27BC">
        <w:t xml:space="preserve"> an instrument for planning and monitoring. </w:t>
      </w:r>
      <w:r w:rsidR="00797C50" w:rsidRPr="001E27BC">
        <w:t xml:space="preserve">In the case of Mozambique, linkage of </w:t>
      </w:r>
      <w:r w:rsidR="00EB2A37" w:rsidRPr="001E27BC">
        <w:t>the</w:t>
      </w:r>
      <w:r w:rsidR="00797C50" w:rsidRPr="001E27BC">
        <w:t xml:space="preserve"> logical framework for the GCCA action – </w:t>
      </w:r>
      <w:r w:rsidR="00EB2A37" w:rsidRPr="001E27BC">
        <w:t xml:space="preserve">which has </w:t>
      </w:r>
      <w:r w:rsidR="00797C50" w:rsidRPr="001E27BC">
        <w:t xml:space="preserve">indicators </w:t>
      </w:r>
      <w:r w:rsidR="00EB2A37" w:rsidRPr="001E27BC">
        <w:t xml:space="preserve">for the </w:t>
      </w:r>
      <w:r w:rsidR="00A031CE" w:rsidRPr="001E27BC">
        <w:t>outcome/</w:t>
      </w:r>
      <w:r w:rsidR="00EB2A37" w:rsidRPr="001E27BC">
        <w:t xml:space="preserve">impact </w:t>
      </w:r>
      <w:r w:rsidR="00797C50" w:rsidRPr="001E27BC">
        <w:t xml:space="preserve">level - to a national reporting </w:t>
      </w:r>
      <w:r w:rsidR="00A031CE" w:rsidRPr="001E27BC">
        <w:t>system that focuses more on inputs and outputs</w:t>
      </w:r>
      <w:r w:rsidR="00EB2A37" w:rsidRPr="001E27BC">
        <w:t xml:space="preserve"> only</w:t>
      </w:r>
      <w:r w:rsidR="00797C50" w:rsidRPr="001E27BC">
        <w:t>, was found to be a</w:t>
      </w:r>
      <w:r w:rsidR="007664BB" w:rsidRPr="001E27BC">
        <w:t>nother</w:t>
      </w:r>
      <w:r w:rsidR="00797C50" w:rsidRPr="001E27BC">
        <w:t xml:space="preserve"> challenge. Reconciliation </w:t>
      </w:r>
      <w:r w:rsidR="00EB2A37" w:rsidRPr="001E27BC">
        <w:t>and integration of</w:t>
      </w:r>
      <w:r w:rsidR="00797C50" w:rsidRPr="001E27BC">
        <w:t xml:space="preserve"> the two monitoring approaches</w:t>
      </w:r>
      <w:r w:rsidR="00EB2A37" w:rsidRPr="001E27BC">
        <w:t>, however,</w:t>
      </w:r>
      <w:r w:rsidR="00797C50" w:rsidRPr="001E27BC">
        <w:t xml:space="preserve"> is ongoing. </w:t>
      </w:r>
    </w:p>
    <w:p w:rsidR="00934BC0" w:rsidRPr="001E27BC" w:rsidRDefault="00934BC0" w:rsidP="0076070B">
      <w:pPr>
        <w:numPr>
          <w:ilvl w:val="0"/>
          <w:numId w:val="11"/>
        </w:numPr>
      </w:pPr>
      <w:r w:rsidRPr="001E27BC">
        <w:t>The main design issue</w:t>
      </w:r>
      <w:r w:rsidR="00797C50" w:rsidRPr="001E27BC">
        <w:t>, however,</w:t>
      </w:r>
      <w:r w:rsidRPr="001E27BC">
        <w:t xml:space="preserve"> relates to </w:t>
      </w:r>
      <w:r w:rsidR="00603FC7" w:rsidRPr="001E27BC">
        <w:t xml:space="preserve">use of the budget support modality, </w:t>
      </w:r>
      <w:r w:rsidRPr="001E27BC">
        <w:t xml:space="preserve">in which case </w:t>
      </w:r>
      <w:r w:rsidR="00603FC7" w:rsidRPr="001E27BC">
        <w:t>indicators used are not always fully relevant to measure effects of climate action</w:t>
      </w:r>
      <w:r w:rsidRPr="001E27BC">
        <w:t xml:space="preserve"> (case Rwanda</w:t>
      </w:r>
      <w:r w:rsidR="00C623C0" w:rsidRPr="001E27BC">
        <w:t>, Mauritius</w:t>
      </w:r>
      <w:r w:rsidR="00065565" w:rsidRPr="001E27BC">
        <w:t>, Mozambique</w:t>
      </w:r>
      <w:r w:rsidRPr="001E27BC">
        <w:t>)</w:t>
      </w:r>
      <w:r w:rsidR="00603FC7" w:rsidRPr="001E27BC">
        <w:t>.</w:t>
      </w:r>
      <w:r w:rsidRPr="001E27BC">
        <w:t xml:space="preserve"> </w:t>
      </w:r>
      <w:r w:rsidR="00C623C0" w:rsidRPr="001E27BC">
        <w:t xml:space="preserve">While budget support </w:t>
      </w:r>
      <w:r w:rsidR="00833796" w:rsidRPr="001E27BC">
        <w:t xml:space="preserve">is centred </w:t>
      </w:r>
      <w:r w:rsidR="002F501A" w:rsidRPr="001E27BC">
        <w:t>on</w:t>
      </w:r>
      <w:r w:rsidR="00833796" w:rsidRPr="001E27BC">
        <w:t xml:space="preserve"> the esta</w:t>
      </w:r>
      <w:r w:rsidR="00833796" w:rsidRPr="001E27BC">
        <w:t>b</w:t>
      </w:r>
      <w:r w:rsidR="00833796" w:rsidRPr="001E27BC">
        <w:t xml:space="preserve">lishment of a performance monitoring system, the related disbursement criteria are not necessarily appropriate to </w:t>
      </w:r>
      <w:r w:rsidR="00E551A2" w:rsidRPr="001E27BC">
        <w:t xml:space="preserve">facilitate </w:t>
      </w:r>
      <w:r w:rsidR="00833796" w:rsidRPr="001E27BC">
        <w:t xml:space="preserve">tangible results or policy dialogue on climate change. </w:t>
      </w:r>
      <w:r w:rsidR="00E551A2" w:rsidRPr="001E27BC">
        <w:t>According to the EC, t</w:t>
      </w:r>
      <w:r w:rsidR="00833796" w:rsidRPr="001E27BC">
        <w:t xml:space="preserve">he variable tranche indicators </w:t>
      </w:r>
      <w:r w:rsidR="00676940" w:rsidRPr="001E27BC">
        <w:t>are supposed</w:t>
      </w:r>
      <w:r w:rsidR="00A031CE" w:rsidRPr="001E27BC">
        <w:t xml:space="preserve"> to be selected</w:t>
      </w:r>
      <w:r w:rsidR="00833796" w:rsidRPr="001E27BC">
        <w:t xml:space="preserve"> in agreement with the authorities</w:t>
      </w:r>
      <w:r w:rsidR="00A031CE" w:rsidRPr="001E27BC">
        <w:t>,</w:t>
      </w:r>
      <w:r w:rsidR="00833796" w:rsidRPr="001E27BC">
        <w:t xml:space="preserve"> and in co-ordination with other budget support develo</w:t>
      </w:r>
      <w:r w:rsidR="00833796" w:rsidRPr="001E27BC">
        <w:t>p</w:t>
      </w:r>
      <w:r w:rsidR="00833796" w:rsidRPr="001E27BC">
        <w:t xml:space="preserve">ment partners, </w:t>
      </w:r>
      <w:r w:rsidR="00A031CE" w:rsidRPr="001E27BC">
        <w:t xml:space="preserve">using </w:t>
      </w:r>
      <w:r w:rsidR="00833796" w:rsidRPr="001E27BC">
        <w:t xml:space="preserve">the indicators from </w:t>
      </w:r>
      <w:r w:rsidR="002E0BB6" w:rsidRPr="001E27BC">
        <w:t xml:space="preserve">a </w:t>
      </w:r>
      <w:r w:rsidR="00833796" w:rsidRPr="001E27BC">
        <w:t>Performance Assessment Framework (PAF) of the public policy</w:t>
      </w:r>
      <w:r w:rsidR="00833796" w:rsidRPr="001E27BC">
        <w:rPr>
          <w:rStyle w:val="FootnoteReference"/>
        </w:rPr>
        <w:footnoteReference w:id="6"/>
      </w:r>
      <w:r w:rsidR="00833796" w:rsidRPr="001E27BC">
        <w:t>. However, PAF</w:t>
      </w:r>
      <w:r w:rsidR="008F634D" w:rsidRPr="001E27BC">
        <w:t>s</w:t>
      </w:r>
      <w:r w:rsidR="00833796" w:rsidRPr="001E27BC">
        <w:t xml:space="preserve"> do not necessarily contain </w:t>
      </w:r>
      <w:r w:rsidR="002F501A" w:rsidRPr="001E27BC">
        <w:t xml:space="preserve">useful </w:t>
      </w:r>
      <w:r w:rsidR="00833796" w:rsidRPr="001E27BC">
        <w:t xml:space="preserve">indicators related to </w:t>
      </w:r>
      <w:r w:rsidR="00CA03CF" w:rsidRPr="001E27BC">
        <w:t>climate change</w:t>
      </w:r>
      <w:r w:rsidR="00833796" w:rsidRPr="001E27BC">
        <w:t xml:space="preserve"> action or appropriate to measuring progress in this field. I</w:t>
      </w:r>
      <w:r w:rsidR="008F634D" w:rsidRPr="001E27BC">
        <w:t>n such cases, i</w:t>
      </w:r>
      <w:r w:rsidR="00833796" w:rsidRPr="001E27BC">
        <w:t>t</w:t>
      </w:r>
      <w:r w:rsidR="002F501A" w:rsidRPr="001E27BC">
        <w:t xml:space="preserve"> should </w:t>
      </w:r>
      <w:r w:rsidR="00833796" w:rsidRPr="001E27BC">
        <w:t>be considered to formulate relevant indicators</w:t>
      </w:r>
      <w:r w:rsidR="00676940" w:rsidRPr="001E27BC">
        <w:t>,</w:t>
      </w:r>
      <w:r w:rsidR="00833796" w:rsidRPr="001E27BC">
        <w:t xml:space="preserve"> even if they are not yet part of the formal PAF</w:t>
      </w:r>
      <w:r w:rsidR="00676940" w:rsidRPr="001E27BC">
        <w:t xml:space="preserve">, </w:t>
      </w:r>
      <w:r w:rsidR="007034A5" w:rsidRPr="001E27BC">
        <w:t xml:space="preserve">which </w:t>
      </w:r>
      <w:r w:rsidR="00676940" w:rsidRPr="001E27BC">
        <w:t>could eventually be incorporated in the public policy PAF.</w:t>
      </w:r>
      <w:r w:rsidR="00833796" w:rsidRPr="001E27BC">
        <w:t xml:space="preserve"> </w:t>
      </w:r>
    </w:p>
    <w:p w:rsidR="00A031CE" w:rsidRPr="00135A75" w:rsidRDefault="00A031CE" w:rsidP="00135A75">
      <w:pPr>
        <w:widowControl w:val="0"/>
        <w:ind w:left="360"/>
        <w:rPr>
          <w:b/>
        </w:rPr>
      </w:pPr>
      <w:r w:rsidRPr="00135A75">
        <w:rPr>
          <w:b/>
        </w:rPr>
        <w:t>REC: It is recommended that, when budget support for climate-change related inte</w:t>
      </w:r>
      <w:r w:rsidRPr="00135A75">
        <w:rPr>
          <w:b/>
        </w:rPr>
        <w:t>r</w:t>
      </w:r>
      <w:r w:rsidRPr="00135A75">
        <w:rPr>
          <w:b/>
        </w:rPr>
        <w:t>ventions is provided, it should be tied to a clearly formulated procedure with corre</w:t>
      </w:r>
      <w:r w:rsidRPr="00135A75">
        <w:rPr>
          <w:b/>
        </w:rPr>
        <w:t>s</w:t>
      </w:r>
      <w:r w:rsidRPr="00135A75">
        <w:rPr>
          <w:b/>
        </w:rPr>
        <w:t xml:space="preserve">ponding climate related milestones monitored on a regular basis, which trigger further disbursements. </w:t>
      </w:r>
    </w:p>
    <w:p w:rsidR="00676940" w:rsidRPr="001E27BC" w:rsidRDefault="00676940" w:rsidP="0076070B">
      <w:pPr>
        <w:numPr>
          <w:ilvl w:val="0"/>
          <w:numId w:val="11"/>
        </w:numPr>
      </w:pPr>
      <w:r w:rsidRPr="001E27BC">
        <w:t>In this regard, the mission found the phased approach to identification of performance i</w:t>
      </w:r>
      <w:r w:rsidRPr="001E27BC">
        <w:t>n</w:t>
      </w:r>
      <w:r w:rsidRPr="001E27BC">
        <w:t>dicators, as applied in Bhutan, useful</w:t>
      </w:r>
      <w:r w:rsidR="007034A5" w:rsidRPr="001E27BC">
        <w:t>; only indicators for release of a first variable tranche were established at the start of the intervention, with indicators for subsequent disburs</w:t>
      </w:r>
      <w:r w:rsidR="007034A5" w:rsidRPr="001E27BC">
        <w:t>e</w:t>
      </w:r>
      <w:r w:rsidR="007034A5" w:rsidRPr="001E27BC">
        <w:t>ments left to be established in the course of the action</w:t>
      </w:r>
      <w:r w:rsidRPr="001E27BC">
        <w:t xml:space="preserve">. </w:t>
      </w:r>
      <w:r w:rsidR="00065565" w:rsidRPr="001E27BC">
        <w:t xml:space="preserve">As institutions responsible for </w:t>
      </w:r>
      <w:r w:rsidR="00CA03CF" w:rsidRPr="001E27BC">
        <w:t>cl</w:t>
      </w:r>
      <w:r w:rsidR="00CA03CF" w:rsidRPr="001E27BC">
        <w:t>i</w:t>
      </w:r>
      <w:r w:rsidR="00CA03CF" w:rsidRPr="001E27BC">
        <w:t>mate change</w:t>
      </w:r>
      <w:r w:rsidR="00065565" w:rsidRPr="001E27BC">
        <w:t xml:space="preserve"> action are often not fully geared to work on </w:t>
      </w:r>
      <w:r w:rsidR="00CA03CF" w:rsidRPr="001E27BC">
        <w:t>climate change</w:t>
      </w:r>
      <w:r w:rsidR="00065565" w:rsidRPr="001E27BC">
        <w:t xml:space="preserve">, and capacities </w:t>
      </w:r>
      <w:r w:rsidR="00E542D0" w:rsidRPr="001E27BC">
        <w:t xml:space="preserve">are </w:t>
      </w:r>
      <w:r w:rsidR="00065565" w:rsidRPr="001E27BC">
        <w:t xml:space="preserve">not </w:t>
      </w:r>
      <w:r w:rsidR="00E542D0" w:rsidRPr="001E27BC">
        <w:t xml:space="preserve">always </w:t>
      </w:r>
      <w:r w:rsidR="00065565" w:rsidRPr="001E27BC">
        <w:t>in place, it was found to be useful to make identification of appropriate i</w:t>
      </w:r>
      <w:r w:rsidR="00065565" w:rsidRPr="001E27BC">
        <w:t>n</w:t>
      </w:r>
      <w:r w:rsidR="00065565" w:rsidRPr="001E27BC">
        <w:t>dicators part of a joint review mission</w:t>
      </w:r>
      <w:r w:rsidR="007034A5" w:rsidRPr="001E27BC">
        <w:t>, one or two years after start of the action.</w:t>
      </w:r>
    </w:p>
    <w:p w:rsidR="009D0058" w:rsidRPr="00135A75" w:rsidRDefault="00676940" w:rsidP="00135A75">
      <w:pPr>
        <w:ind w:left="360"/>
        <w:rPr>
          <w:b/>
        </w:rPr>
      </w:pPr>
      <w:r w:rsidRPr="00135A75">
        <w:rPr>
          <w:b/>
        </w:rPr>
        <w:t>Lesson learned</w:t>
      </w:r>
      <w:r w:rsidR="002F501A" w:rsidRPr="00135A75">
        <w:rPr>
          <w:b/>
        </w:rPr>
        <w:t xml:space="preserve"> 2</w:t>
      </w:r>
      <w:r w:rsidRPr="00135A75">
        <w:rPr>
          <w:b/>
        </w:rPr>
        <w:t xml:space="preserve">: </w:t>
      </w:r>
      <w:r w:rsidR="005D1E70" w:rsidRPr="00135A75">
        <w:rPr>
          <w:b/>
        </w:rPr>
        <w:t>I</w:t>
      </w:r>
      <w:r w:rsidRPr="00135A75">
        <w:rPr>
          <w:b/>
        </w:rPr>
        <w:t xml:space="preserve">n the context of budget support, given that </w:t>
      </w:r>
      <w:r w:rsidR="00CF2ECA" w:rsidRPr="00135A75">
        <w:rPr>
          <w:b/>
        </w:rPr>
        <w:t>it is often not well unde</w:t>
      </w:r>
      <w:r w:rsidR="00CF2ECA" w:rsidRPr="00135A75">
        <w:rPr>
          <w:b/>
        </w:rPr>
        <w:t>r</w:t>
      </w:r>
      <w:r w:rsidR="00CF2ECA" w:rsidRPr="00135A75">
        <w:rPr>
          <w:b/>
        </w:rPr>
        <w:t xml:space="preserve">stood how an activity results in improved circumstances relative to </w:t>
      </w:r>
      <w:r w:rsidR="00CA03CF" w:rsidRPr="00135A75">
        <w:rPr>
          <w:b/>
        </w:rPr>
        <w:t>climate change</w:t>
      </w:r>
      <w:r w:rsidRPr="00135A75">
        <w:rPr>
          <w:b/>
        </w:rPr>
        <w:t xml:space="preserve">, realistic indicators for achievement of relevant results and disbursement may </w:t>
      </w:r>
      <w:r w:rsidR="007034A5" w:rsidRPr="00135A75">
        <w:rPr>
          <w:b/>
        </w:rPr>
        <w:t xml:space="preserve">best </w:t>
      </w:r>
      <w:r w:rsidRPr="00135A75">
        <w:rPr>
          <w:b/>
        </w:rPr>
        <w:t xml:space="preserve">be identified in the course of the action, as structures and systems materialise and </w:t>
      </w:r>
      <w:r w:rsidR="007034A5" w:rsidRPr="00135A75">
        <w:rPr>
          <w:b/>
        </w:rPr>
        <w:t>the a</w:t>
      </w:r>
      <w:r w:rsidR="007034A5" w:rsidRPr="00135A75">
        <w:rPr>
          <w:b/>
        </w:rPr>
        <w:t>c</w:t>
      </w:r>
      <w:r w:rsidR="007034A5" w:rsidRPr="00135A75">
        <w:rPr>
          <w:b/>
        </w:rPr>
        <w:t xml:space="preserve">tion </w:t>
      </w:r>
      <w:r w:rsidRPr="00135A75">
        <w:rPr>
          <w:b/>
        </w:rPr>
        <w:t>evolve</w:t>
      </w:r>
      <w:r w:rsidR="007034A5" w:rsidRPr="00135A75">
        <w:rPr>
          <w:b/>
        </w:rPr>
        <w:t>s</w:t>
      </w:r>
      <w:r w:rsidRPr="00135A75">
        <w:rPr>
          <w:b/>
        </w:rPr>
        <w:t xml:space="preserve">.  </w:t>
      </w:r>
    </w:p>
    <w:p w:rsidR="00676940" w:rsidRPr="00AE1A5F" w:rsidRDefault="009D0058" w:rsidP="009D0058">
      <w:pPr>
        <w:numPr>
          <w:ilvl w:val="0"/>
          <w:numId w:val="11"/>
        </w:numPr>
      </w:pPr>
      <w:r w:rsidRPr="00AE1A5F">
        <w:t>Gender concerns are generally adequately incorporated into the project design. The pr</w:t>
      </w:r>
      <w:r w:rsidRPr="00AE1A5F">
        <w:t>o</w:t>
      </w:r>
      <w:r w:rsidRPr="00AE1A5F">
        <w:t>grammes in Ethiopia, Rwanda, Mozambique, Belize, Jamaica, Nepal and Bhutan (70% of the programmes evaluated) were found to be sufficiently gender-specific in their design. This statement does not refer to actual implementation where it was more difficult to a</w:t>
      </w:r>
      <w:r w:rsidRPr="00AE1A5F">
        <w:t>s</w:t>
      </w:r>
      <w:r w:rsidRPr="00AE1A5F">
        <w:t>sess in the absence of gender disaggregated monitoring data. Positive examples which can be mentioned are, for example, the experience from Jamaica. There was strong female participation in the Jamaica GCCA with women playing critical roles throughout its i</w:t>
      </w:r>
      <w:r w:rsidRPr="00AE1A5F">
        <w:t>m</w:t>
      </w:r>
      <w:r w:rsidRPr="00AE1A5F">
        <w:t>plementation. Moreover, most key posts with government partners were occupied by women.</w:t>
      </w:r>
    </w:p>
    <w:p w:rsidR="00D036B2" w:rsidRPr="001E27BC" w:rsidRDefault="00315F62" w:rsidP="003936A6">
      <w:pPr>
        <w:pStyle w:val="Heading2"/>
      </w:pPr>
      <w:bookmarkStart w:id="21" w:name="_Toc284767317"/>
      <w:r>
        <w:t>2.3</w:t>
      </w:r>
      <w:r>
        <w:tab/>
      </w:r>
      <w:r w:rsidR="00D036B2" w:rsidRPr="001E27BC">
        <w:t>On effectiveness</w:t>
      </w:r>
      <w:r w:rsidR="006C6102" w:rsidRPr="001E27BC">
        <w:t xml:space="preserve"> (achievement of purpose)</w:t>
      </w:r>
      <w:r w:rsidR="00D036B2" w:rsidRPr="001E27BC">
        <w:t>:</w:t>
      </w:r>
      <w:bookmarkEnd w:id="21"/>
    </w:p>
    <w:p w:rsidR="00D036B2" w:rsidRPr="001E27BC" w:rsidRDefault="006C6102" w:rsidP="0076070B">
      <w:pPr>
        <w:ind w:left="709" w:hanging="709"/>
        <w:rPr>
          <w:b/>
          <w:i/>
        </w:rPr>
      </w:pPr>
      <w:r w:rsidRPr="001E27BC">
        <w:rPr>
          <w:b/>
          <w:i/>
        </w:rPr>
        <w:t>EQ</w:t>
      </w:r>
      <w:r w:rsidR="00D036B2" w:rsidRPr="001E27BC">
        <w:rPr>
          <w:b/>
          <w:i/>
        </w:rPr>
        <w:t>3.</w:t>
      </w:r>
      <w:r w:rsidR="00D036B2" w:rsidRPr="001E27BC">
        <w:rPr>
          <w:b/>
          <w:i/>
        </w:rPr>
        <w:tab/>
        <w:t>To what extent does the GCCA function as a platform for (political) dialogue and e</w:t>
      </w:r>
      <w:r w:rsidR="00D036B2" w:rsidRPr="001E27BC">
        <w:rPr>
          <w:b/>
          <w:i/>
        </w:rPr>
        <w:t>x</w:t>
      </w:r>
      <w:r w:rsidR="00D036B2" w:rsidRPr="001E27BC">
        <w:rPr>
          <w:b/>
          <w:i/>
        </w:rPr>
        <w:t>change between the EU and poor developing countries most vulnerable to climate change?  (= pillar 1 in the GCCA’s objective)?</w:t>
      </w:r>
    </w:p>
    <w:p w:rsidR="0068050E" w:rsidRPr="001E27BC" w:rsidRDefault="00916A76" w:rsidP="0076070B">
      <w:pPr>
        <w:numPr>
          <w:ilvl w:val="0"/>
          <w:numId w:val="11"/>
        </w:numPr>
      </w:pPr>
      <w:r w:rsidRPr="001E27BC">
        <w:t xml:space="preserve">All </w:t>
      </w:r>
      <w:r w:rsidR="00D70A2B" w:rsidRPr="001E27BC">
        <w:t xml:space="preserve">national </w:t>
      </w:r>
      <w:r w:rsidRPr="001E27BC">
        <w:t xml:space="preserve">programmes evaluated have </w:t>
      </w:r>
      <w:r w:rsidR="00EB3ECC" w:rsidRPr="001E27BC">
        <w:t xml:space="preserve">made a </w:t>
      </w:r>
      <w:r w:rsidRPr="001E27BC">
        <w:t xml:space="preserve">satisfactory to </w:t>
      </w:r>
      <w:r w:rsidR="00EB3ECC" w:rsidRPr="001E27BC">
        <w:t xml:space="preserve">significant contribution to </w:t>
      </w:r>
      <w:r w:rsidR="00B46295" w:rsidRPr="001E27BC">
        <w:t>d</w:t>
      </w:r>
      <w:r w:rsidR="00EB3ECC" w:rsidRPr="001E27BC">
        <w:t xml:space="preserve">ialogue on </w:t>
      </w:r>
      <w:r w:rsidR="00CA03CF" w:rsidRPr="001E27BC">
        <w:t>climate change</w:t>
      </w:r>
      <w:r w:rsidR="00EB3ECC" w:rsidRPr="001E27BC">
        <w:t xml:space="preserve"> and </w:t>
      </w:r>
      <w:r w:rsidR="00976F2D" w:rsidRPr="001E27BC">
        <w:t xml:space="preserve">to </w:t>
      </w:r>
      <w:r w:rsidR="00EB3ECC" w:rsidRPr="001E27BC">
        <w:t>exchange</w:t>
      </w:r>
      <w:r w:rsidR="00976F2D" w:rsidRPr="001E27BC">
        <w:t>s</w:t>
      </w:r>
      <w:r w:rsidR="00EB3ECC" w:rsidRPr="001E27BC">
        <w:t xml:space="preserve"> of experience within and between countries, and between c</w:t>
      </w:r>
      <w:r w:rsidR="00A61314" w:rsidRPr="001E27BC">
        <w:t>o</w:t>
      </w:r>
      <w:r w:rsidR="00976F2D" w:rsidRPr="001E27BC">
        <w:t>untries and the European Union.</w:t>
      </w:r>
      <w:r w:rsidR="009D699A" w:rsidRPr="001E27BC">
        <w:t xml:space="preserve"> </w:t>
      </w:r>
      <w:r w:rsidR="00976F2D" w:rsidRPr="001E27BC">
        <w:t>Overall</w:t>
      </w:r>
      <w:r w:rsidR="009D699A" w:rsidRPr="001E27BC">
        <w:t xml:space="preserve"> performance on this evaluation question </w:t>
      </w:r>
      <w:r w:rsidR="00976F2D" w:rsidRPr="001E27BC">
        <w:t xml:space="preserve">criterion </w:t>
      </w:r>
      <w:r w:rsidR="009D699A" w:rsidRPr="001E27BC">
        <w:t xml:space="preserve">is good. </w:t>
      </w:r>
      <w:r w:rsidR="0068050E" w:rsidRPr="001E27BC">
        <w:t>All</w:t>
      </w:r>
      <w:r w:rsidR="00D70A2B" w:rsidRPr="001E27BC">
        <w:t xml:space="preserve"> </w:t>
      </w:r>
      <w:r w:rsidR="00976F2D" w:rsidRPr="001E27BC">
        <w:t xml:space="preserve">programmes </w:t>
      </w:r>
      <w:r w:rsidR="0068050E" w:rsidRPr="001E27BC">
        <w:t>have served as an opportunity for discussion, between the EU Dele</w:t>
      </w:r>
      <w:r w:rsidR="00976F2D" w:rsidRPr="001E27BC">
        <w:t>gations and concerned countries</w:t>
      </w:r>
      <w:r w:rsidR="0068050E" w:rsidRPr="001E27BC">
        <w:t xml:space="preserve"> and</w:t>
      </w:r>
      <w:r w:rsidR="00976F2D" w:rsidRPr="001E27BC">
        <w:t xml:space="preserve"> have led to</w:t>
      </w:r>
      <w:r w:rsidR="0068050E" w:rsidRPr="001E27BC">
        <w:t xml:space="preserve"> </w:t>
      </w:r>
      <w:r w:rsidR="005434E7" w:rsidRPr="001E27BC">
        <w:t>identification of a</w:t>
      </w:r>
      <w:r w:rsidR="005434E7" w:rsidRPr="001E27BC">
        <w:t>p</w:t>
      </w:r>
      <w:r w:rsidR="005434E7" w:rsidRPr="001E27BC">
        <w:t xml:space="preserve">propriate actions. While in most cases, climate change was already well on the agenda (Ethiopia, Mozambique) with actions ongoing, in a number of cases (Jamaica, Belize, Bhutan, Burkina Faso) the GCCA has clearly contributed to raising the priority of </w:t>
      </w:r>
      <w:r w:rsidR="00CA03CF" w:rsidRPr="001E27BC">
        <w:t>climate change</w:t>
      </w:r>
      <w:r w:rsidR="005434E7" w:rsidRPr="001E27BC">
        <w:t xml:space="preserve"> – or related action</w:t>
      </w:r>
      <w:r w:rsidR="009D699A" w:rsidRPr="001E27BC">
        <w:t>,</w:t>
      </w:r>
      <w:r w:rsidR="005434E7" w:rsidRPr="001E27BC">
        <w:t xml:space="preserve"> such as REDD – as an issue on the political agenda. </w:t>
      </w:r>
    </w:p>
    <w:p w:rsidR="00396A29" w:rsidRPr="001E27BC" w:rsidRDefault="00A61314" w:rsidP="0076070B">
      <w:pPr>
        <w:numPr>
          <w:ilvl w:val="0"/>
          <w:numId w:val="11"/>
        </w:numPr>
      </w:pPr>
      <w:r w:rsidRPr="001E27BC">
        <w:t xml:space="preserve">In </w:t>
      </w:r>
      <w:r w:rsidR="00E551A2" w:rsidRPr="001E27BC">
        <w:t>Belize</w:t>
      </w:r>
      <w:r w:rsidR="00042FAA" w:rsidRPr="001E27BC">
        <w:t>,</w:t>
      </w:r>
      <w:r w:rsidR="00E551A2" w:rsidRPr="001E27BC">
        <w:t xml:space="preserve"> </w:t>
      </w:r>
      <w:r w:rsidRPr="001E27BC">
        <w:t xml:space="preserve">this </w:t>
      </w:r>
      <w:r w:rsidR="005434E7" w:rsidRPr="001E27BC">
        <w:t xml:space="preserve">contribution </w:t>
      </w:r>
      <w:r w:rsidRPr="001E27BC">
        <w:t xml:space="preserve">was found to be most explicit, which is </w:t>
      </w:r>
      <w:r w:rsidR="009772FB" w:rsidRPr="001E27BC">
        <w:t>in all probability</w:t>
      </w:r>
      <w:r w:rsidRPr="001E27BC">
        <w:t xml:space="preserve"> linked to the </w:t>
      </w:r>
      <w:r w:rsidR="00916A76" w:rsidRPr="001E27BC">
        <w:t>existence of Climate Change offices benefit</w:t>
      </w:r>
      <w:r w:rsidR="005434E7" w:rsidRPr="001E27BC">
        <w:t>ing directly</w:t>
      </w:r>
      <w:r w:rsidR="00916A76" w:rsidRPr="001E27BC">
        <w:t xml:space="preserve"> from GCCA support.</w:t>
      </w:r>
      <w:r w:rsidR="00396A29" w:rsidRPr="001E27BC">
        <w:t xml:space="preserve"> Obviously, in most national programmes, </w:t>
      </w:r>
      <w:r w:rsidR="00614AE6" w:rsidRPr="001E27BC">
        <w:t xml:space="preserve">the </w:t>
      </w:r>
      <w:r w:rsidR="00547210" w:rsidRPr="001E27BC">
        <w:t>focus is</w:t>
      </w:r>
      <w:r w:rsidR="00396A29" w:rsidRPr="001E27BC">
        <w:t xml:space="preserve"> on national-level awareness, pr</w:t>
      </w:r>
      <w:r w:rsidR="00396A29" w:rsidRPr="001E27BC">
        <w:t>o</w:t>
      </w:r>
      <w:r w:rsidR="00396A29" w:rsidRPr="001E27BC">
        <w:t>cesses for dialogue and strategy processes. In several cases (Nepal, Mozambique, Maur</w:t>
      </w:r>
      <w:r w:rsidR="00396A29" w:rsidRPr="001E27BC">
        <w:t>i</w:t>
      </w:r>
      <w:r w:rsidR="00396A29" w:rsidRPr="001E27BC">
        <w:t>tius)</w:t>
      </w:r>
      <w:r w:rsidR="005434E7" w:rsidRPr="001E27BC">
        <w:t>,</w:t>
      </w:r>
      <w:r w:rsidR="00396A29" w:rsidRPr="001E27BC">
        <w:t xml:space="preserve"> such dialogue is led by one of the EU Members States, </w:t>
      </w:r>
      <w:r w:rsidR="005434E7" w:rsidRPr="001E27BC">
        <w:t>on behalf of the Develo</w:t>
      </w:r>
      <w:r w:rsidR="005434E7" w:rsidRPr="001E27BC">
        <w:t>p</w:t>
      </w:r>
      <w:r w:rsidR="005434E7" w:rsidRPr="001E27BC">
        <w:t xml:space="preserve">ment Partners, </w:t>
      </w:r>
      <w:r w:rsidR="00396A29" w:rsidRPr="001E27BC">
        <w:t xml:space="preserve">with the EU Delegation in a secondary or </w:t>
      </w:r>
      <w:r w:rsidR="00702BFF" w:rsidRPr="001E27BC">
        <w:t>‘silent’</w:t>
      </w:r>
      <w:r w:rsidR="00396A29" w:rsidRPr="001E27BC">
        <w:t xml:space="preserve"> role. </w:t>
      </w:r>
      <w:r w:rsidR="005434E7" w:rsidRPr="001E27BC">
        <w:t>Even then, it has a</w:t>
      </w:r>
      <w:r w:rsidR="005434E7" w:rsidRPr="001E27BC">
        <w:t>l</w:t>
      </w:r>
      <w:r w:rsidR="005434E7" w:rsidRPr="001E27BC">
        <w:t xml:space="preserve">lowed the concerned EU Delegation to take part in the </w:t>
      </w:r>
      <w:r w:rsidR="00CA03CF" w:rsidRPr="001E27BC">
        <w:t>climate change</w:t>
      </w:r>
      <w:r w:rsidR="005434E7" w:rsidRPr="001E27BC">
        <w:t xml:space="preserve"> dialogue and d</w:t>
      </w:r>
      <w:r w:rsidR="005434E7" w:rsidRPr="001E27BC">
        <w:t>e</w:t>
      </w:r>
      <w:r w:rsidR="005434E7" w:rsidRPr="001E27BC">
        <w:t>bate</w:t>
      </w:r>
      <w:r w:rsidR="009772FB" w:rsidRPr="001E27BC">
        <w:t>,</w:t>
      </w:r>
      <w:r w:rsidR="005434E7" w:rsidRPr="001E27BC">
        <w:t xml:space="preserve"> and </w:t>
      </w:r>
      <w:r w:rsidR="00A935D1" w:rsidRPr="001E27BC">
        <w:t>bring its specific concerns to the fore (</w:t>
      </w:r>
      <w:r w:rsidR="009772FB" w:rsidRPr="001E27BC">
        <w:t xml:space="preserve">as was the </w:t>
      </w:r>
      <w:r w:rsidR="00A935D1" w:rsidRPr="001E27BC">
        <w:t xml:space="preserve">case </w:t>
      </w:r>
      <w:r w:rsidR="009772FB" w:rsidRPr="001E27BC">
        <w:t>of Rwanda and</w:t>
      </w:r>
      <w:r w:rsidR="00A935D1" w:rsidRPr="001E27BC">
        <w:t xml:space="preserve"> Mauritius</w:t>
      </w:r>
      <w:r w:rsidR="009772FB" w:rsidRPr="001E27BC">
        <w:t>, for example</w:t>
      </w:r>
      <w:r w:rsidR="00A935D1" w:rsidRPr="001E27BC">
        <w:t xml:space="preserve">). </w:t>
      </w:r>
    </w:p>
    <w:p w:rsidR="00916A76" w:rsidRPr="00AE1A5F" w:rsidRDefault="00916A76" w:rsidP="0076070B">
      <w:pPr>
        <w:numPr>
          <w:ilvl w:val="0"/>
          <w:numId w:val="11"/>
        </w:numPr>
      </w:pPr>
      <w:r w:rsidRPr="001E27BC">
        <w:t xml:space="preserve">An </w:t>
      </w:r>
      <w:r w:rsidR="009772FB" w:rsidRPr="001E27BC">
        <w:t xml:space="preserve">issue that emerged relates to </w:t>
      </w:r>
      <w:r w:rsidRPr="001E27BC">
        <w:t xml:space="preserve">the coordination of GCCA support for </w:t>
      </w:r>
      <w:r w:rsidR="002D5FC7" w:rsidRPr="001E27BC">
        <w:t>c</w:t>
      </w:r>
      <w:r w:rsidRPr="001E27BC">
        <w:t xml:space="preserve">limate </w:t>
      </w:r>
      <w:r w:rsidR="002D5FC7" w:rsidRPr="001E27BC">
        <w:t>c</w:t>
      </w:r>
      <w:r w:rsidRPr="001E27BC">
        <w:t xml:space="preserve">hange </w:t>
      </w:r>
      <w:r w:rsidR="002D5FC7" w:rsidRPr="001E27BC">
        <w:t>n</w:t>
      </w:r>
      <w:r w:rsidRPr="001E27BC">
        <w:t>egotiation actions, between the various national and regional actors</w:t>
      </w:r>
      <w:r w:rsidR="00614AE6" w:rsidRPr="001E27BC">
        <w:t xml:space="preserve">. There appears to be </w:t>
      </w:r>
      <w:r w:rsidR="00A935D1" w:rsidRPr="001E27BC">
        <w:t xml:space="preserve">limited </w:t>
      </w:r>
      <w:r w:rsidR="00396A29" w:rsidRPr="001E27BC">
        <w:t xml:space="preserve">coordination of </w:t>
      </w:r>
      <w:r w:rsidR="00396A29" w:rsidRPr="00AE1A5F">
        <w:t xml:space="preserve">actions concerning </w:t>
      </w:r>
      <w:r w:rsidR="009772FB" w:rsidRPr="00AE1A5F">
        <w:t xml:space="preserve">(climate-related) </w:t>
      </w:r>
      <w:r w:rsidR="00396A29" w:rsidRPr="00AE1A5F">
        <w:t>political dialogue and neg</w:t>
      </w:r>
      <w:r w:rsidR="00396A29" w:rsidRPr="00AE1A5F">
        <w:t>o</w:t>
      </w:r>
      <w:r w:rsidR="00396A29" w:rsidRPr="00AE1A5F">
        <w:t>tiations</w:t>
      </w:r>
      <w:r w:rsidR="00614AE6" w:rsidRPr="00AE1A5F">
        <w:t>. This</w:t>
      </w:r>
      <w:r w:rsidR="00396A29" w:rsidRPr="00AE1A5F">
        <w:t xml:space="preserve"> was </w:t>
      </w:r>
      <w:r w:rsidR="00614AE6" w:rsidRPr="00AE1A5F">
        <w:t xml:space="preserve">very </w:t>
      </w:r>
      <w:r w:rsidR="00396A29" w:rsidRPr="00AE1A5F">
        <w:t xml:space="preserve">prominent in the review of the Intra-ACP programme, and </w:t>
      </w:r>
      <w:r w:rsidR="00547210" w:rsidRPr="00AE1A5F">
        <w:t xml:space="preserve">this </w:t>
      </w:r>
      <w:r w:rsidR="00396A29" w:rsidRPr="00AE1A5F">
        <w:t xml:space="preserve">is discussed in more detail in the report on </w:t>
      </w:r>
      <w:r w:rsidR="009772FB" w:rsidRPr="00AE1A5F">
        <w:t>the Mid-Term E</w:t>
      </w:r>
      <w:r w:rsidR="00396A29" w:rsidRPr="00AE1A5F">
        <w:t>valuation of the GCCA Intra-ACP programme.</w:t>
      </w:r>
      <w:r w:rsidR="00614AE6" w:rsidRPr="00AE1A5F">
        <w:t xml:space="preserve"> </w:t>
      </w:r>
    </w:p>
    <w:p w:rsidR="009772FB" w:rsidRPr="00135A75" w:rsidRDefault="009772FB" w:rsidP="00135A75">
      <w:pPr>
        <w:ind w:left="360"/>
        <w:rPr>
          <w:b/>
        </w:rPr>
      </w:pPr>
      <w:r w:rsidRPr="00135A75">
        <w:rPr>
          <w:b/>
        </w:rPr>
        <w:t>REC: It is recommended that the EU uses its position on the European and Intern</w:t>
      </w:r>
      <w:r w:rsidRPr="00135A75">
        <w:rPr>
          <w:b/>
        </w:rPr>
        <w:t>a</w:t>
      </w:r>
      <w:r w:rsidRPr="00135A75">
        <w:rPr>
          <w:b/>
        </w:rPr>
        <w:t>tional scene to mobilise high level policy support for global climate change action.</w:t>
      </w:r>
    </w:p>
    <w:p w:rsidR="00D036B2" w:rsidRPr="00AE1A5F" w:rsidRDefault="009772FB" w:rsidP="009772FB">
      <w:pPr>
        <w:pStyle w:val="ListParagraph"/>
        <w:numPr>
          <w:ilvl w:val="0"/>
          <w:numId w:val="18"/>
        </w:numPr>
        <w:rPr>
          <w:i/>
        </w:rPr>
      </w:pPr>
      <w:r w:rsidRPr="00AE1A5F">
        <w:rPr>
          <w:i/>
        </w:rPr>
        <w:t xml:space="preserve">This includes improving </w:t>
      </w:r>
      <w:r w:rsidRPr="00AE1A5F">
        <w:rPr>
          <w:b/>
          <w:i/>
        </w:rPr>
        <w:t>coordination of the support</w:t>
      </w:r>
      <w:r w:rsidRPr="00AE1A5F">
        <w:rPr>
          <w:i/>
        </w:rPr>
        <w:t xml:space="preserve"> provided to climate change negoti</w:t>
      </w:r>
      <w:r w:rsidRPr="00AE1A5F">
        <w:rPr>
          <w:i/>
        </w:rPr>
        <w:t>a</w:t>
      </w:r>
      <w:r w:rsidRPr="00AE1A5F">
        <w:rPr>
          <w:i/>
        </w:rPr>
        <w:t>tions, mainstreaming of climate change and knowledge management between national, regional and global programmes, and between regional programmes. Particularly the EU needs to maximise the benefits of its unique position on both the European and the International scene, and its access to policy makers at high levels, to lobby for the c</w:t>
      </w:r>
      <w:r w:rsidRPr="00AE1A5F">
        <w:rPr>
          <w:i/>
        </w:rPr>
        <w:t>o</w:t>
      </w:r>
      <w:r w:rsidRPr="00AE1A5F">
        <w:rPr>
          <w:i/>
        </w:rPr>
        <w:t>ordination and streamlining of support.</w:t>
      </w:r>
    </w:p>
    <w:p w:rsidR="00A47AA4" w:rsidRPr="00AE1A5F" w:rsidRDefault="00132BB6" w:rsidP="00852375">
      <w:pPr>
        <w:numPr>
          <w:ilvl w:val="0"/>
          <w:numId w:val="11"/>
        </w:numPr>
      </w:pPr>
      <w:r w:rsidRPr="00AE1A5F">
        <w:t xml:space="preserve">The GCCA </w:t>
      </w:r>
      <w:r w:rsidR="00DA2347" w:rsidRPr="00AE1A5F">
        <w:t xml:space="preserve">learning </w:t>
      </w:r>
      <w:r w:rsidRPr="00AE1A5F">
        <w:t>events, in particular the t</w:t>
      </w:r>
      <w:r w:rsidR="009772FB" w:rsidRPr="00AE1A5F">
        <w:t>wo</w:t>
      </w:r>
      <w:r w:rsidRPr="00AE1A5F">
        <w:t xml:space="preserve"> </w:t>
      </w:r>
      <w:r w:rsidR="002D5FC7" w:rsidRPr="00AE1A5F">
        <w:t>g</w:t>
      </w:r>
      <w:r w:rsidRPr="00AE1A5F">
        <w:t xml:space="preserve">lobal </w:t>
      </w:r>
      <w:r w:rsidR="009772FB" w:rsidRPr="00AE1A5F">
        <w:t xml:space="preserve">learning </w:t>
      </w:r>
      <w:r w:rsidRPr="00AE1A5F">
        <w:t>events held</w:t>
      </w:r>
      <w:r w:rsidRPr="001E27BC">
        <w:t xml:space="preserve"> in </w:t>
      </w:r>
      <w:r w:rsidR="00DA2347" w:rsidRPr="00DA2347">
        <w:t>September 2012</w:t>
      </w:r>
      <w:r w:rsidR="00DA2347">
        <w:t xml:space="preserve"> and</w:t>
      </w:r>
      <w:r w:rsidRPr="001E27BC">
        <w:t xml:space="preserve"> </w:t>
      </w:r>
      <w:r w:rsidR="00DA2347">
        <w:t xml:space="preserve">September </w:t>
      </w:r>
      <w:r w:rsidRPr="001E27BC">
        <w:t>2013, have played a very important role in linking the national e</w:t>
      </w:r>
      <w:r w:rsidRPr="001E27BC">
        <w:t>x</w:t>
      </w:r>
      <w:r w:rsidRPr="001E27BC">
        <w:t xml:space="preserve">periences to regional and global policy processes. </w:t>
      </w:r>
      <w:r w:rsidR="007C338A" w:rsidRPr="001E27BC">
        <w:t xml:space="preserve">The people met in the countries, who had participated in one of these events, </w:t>
      </w:r>
      <w:r w:rsidRPr="001E27BC">
        <w:t xml:space="preserve">reported enthusiastically about the benefits from their participation in terms of networking, motivation and inspiration. </w:t>
      </w:r>
      <w:r w:rsidR="00B00ADD">
        <w:t>Likewise, or</w:t>
      </w:r>
      <w:r w:rsidR="00B00ADD" w:rsidRPr="00B00ADD">
        <w:t>gani</w:t>
      </w:r>
      <w:r w:rsidR="00B00ADD">
        <w:t>s</w:t>
      </w:r>
      <w:r w:rsidR="00B00ADD">
        <w:t>a</w:t>
      </w:r>
      <w:r w:rsidR="00B00ADD">
        <w:t xml:space="preserve">tion of </w:t>
      </w:r>
      <w:r w:rsidR="00852375">
        <w:t>four</w:t>
      </w:r>
      <w:r w:rsidR="00B00ADD" w:rsidRPr="00B00ADD">
        <w:t xml:space="preserve"> regional dialogue events on climate change between the European Union and</w:t>
      </w:r>
      <w:r w:rsidR="00852375">
        <w:t xml:space="preserve"> target </w:t>
      </w:r>
      <w:r w:rsidR="00852375" w:rsidRPr="00AE1A5F">
        <w:t xml:space="preserve">countries has </w:t>
      </w:r>
      <w:r w:rsidR="00A26494" w:rsidRPr="00AE1A5F">
        <w:t>clearly generate</w:t>
      </w:r>
      <w:r w:rsidR="00852375" w:rsidRPr="00AE1A5F">
        <w:t>d</w:t>
      </w:r>
      <w:r w:rsidR="00A26494" w:rsidRPr="00AE1A5F">
        <w:t xml:space="preserve"> knowledge and allow</w:t>
      </w:r>
      <w:r w:rsidR="00852375" w:rsidRPr="00AE1A5F">
        <w:t>ed</w:t>
      </w:r>
      <w:r w:rsidR="00A26494" w:rsidRPr="00AE1A5F">
        <w:t xml:space="preserve"> for the development of networks between national and regional actors</w:t>
      </w:r>
      <w:r w:rsidR="00852375" w:rsidRPr="00AE1A5F">
        <w:t xml:space="preserve">, </w:t>
      </w:r>
      <w:r w:rsidR="009772FB" w:rsidRPr="00AE1A5F">
        <w:t>encourag</w:t>
      </w:r>
      <w:r w:rsidR="00852375" w:rsidRPr="00AE1A5F">
        <w:t>ing</w:t>
      </w:r>
      <w:r w:rsidR="009772FB" w:rsidRPr="00AE1A5F">
        <w:t xml:space="preserve"> </w:t>
      </w:r>
      <w:r w:rsidR="00A26494" w:rsidRPr="00AE1A5F">
        <w:t xml:space="preserve">linkages with EU structures. </w:t>
      </w:r>
    </w:p>
    <w:p w:rsidR="00132BB6" w:rsidRPr="001E27BC" w:rsidRDefault="00132BB6" w:rsidP="00A47AA4">
      <w:pPr>
        <w:numPr>
          <w:ilvl w:val="0"/>
          <w:numId w:val="11"/>
        </w:numPr>
      </w:pPr>
      <w:r w:rsidRPr="00AE1A5F">
        <w:t>The networks established through these events are solidifying further thanks to the fun</w:t>
      </w:r>
      <w:r w:rsidRPr="00AE1A5F">
        <w:t>c</w:t>
      </w:r>
      <w:r w:rsidRPr="00AE1A5F">
        <w:t xml:space="preserve">tioning of the </w:t>
      </w:r>
      <w:r w:rsidR="00A47AA4" w:rsidRPr="00AE1A5F">
        <w:t xml:space="preserve">Capacity </w:t>
      </w:r>
      <w:r w:rsidR="00025C95" w:rsidRPr="00AE1A5F">
        <w:t>4</w:t>
      </w:r>
      <w:r w:rsidR="00A47AA4" w:rsidRPr="00AE1A5F">
        <w:t xml:space="preserve"> Development public group on </w:t>
      </w:r>
      <w:r w:rsidR="009772FB" w:rsidRPr="00AE1A5F">
        <w:t xml:space="preserve">the </w:t>
      </w:r>
      <w:r w:rsidR="00547210" w:rsidRPr="00AE1A5F">
        <w:t>GCCA Community Forum and the private GCCA Community</w:t>
      </w:r>
      <w:r w:rsidR="009772FB" w:rsidRPr="00AE1A5F">
        <w:t xml:space="preserve"> group</w:t>
      </w:r>
      <w:r w:rsidR="00A47AA4" w:rsidRPr="00AE1A5F">
        <w:rPr>
          <w:rStyle w:val="FootnoteReference"/>
        </w:rPr>
        <w:footnoteReference w:id="7"/>
      </w:r>
      <w:r w:rsidR="00A47AA4" w:rsidRPr="00AE1A5F">
        <w:t xml:space="preserve">. This group is an initiative of the Directorate General for Development and Cooperation – EuropeAid Unit </w:t>
      </w:r>
      <w:r w:rsidR="00482F90" w:rsidRPr="00AE1A5F">
        <w:t>C2 -</w:t>
      </w:r>
      <w:r w:rsidR="00A47AA4" w:rsidRPr="00AE1A5F">
        <w:t xml:space="preserve"> Climate change, env</w:t>
      </w:r>
      <w:r w:rsidR="00A47AA4" w:rsidRPr="00AE1A5F">
        <w:t>i</w:t>
      </w:r>
      <w:r w:rsidR="00A47AA4" w:rsidRPr="00AE1A5F">
        <w:t>ronment and natural resources,</w:t>
      </w:r>
      <w:r w:rsidR="00482F90" w:rsidRPr="00AE1A5F">
        <w:t xml:space="preserve"> </w:t>
      </w:r>
      <w:r w:rsidR="00A47AA4" w:rsidRPr="00AE1A5F">
        <w:t>with the objective to share information about env</w:t>
      </w:r>
      <w:r w:rsidR="00A47AA4" w:rsidRPr="00AE1A5F">
        <w:t>i</w:t>
      </w:r>
      <w:r w:rsidR="00A47AA4" w:rsidRPr="00AE1A5F">
        <w:t xml:space="preserve">ronment, climate change, green economy and </w:t>
      </w:r>
      <w:r w:rsidR="005804D8" w:rsidRPr="00AE1A5F">
        <w:t xml:space="preserve">to </w:t>
      </w:r>
      <w:r w:rsidR="00A47AA4" w:rsidRPr="00AE1A5F">
        <w:t xml:space="preserve">exchange experiences and good practice. The </w:t>
      </w:r>
      <w:r w:rsidR="002D5FC7" w:rsidRPr="00AE1A5F">
        <w:t>g</w:t>
      </w:r>
      <w:r w:rsidR="00A47AA4" w:rsidRPr="00AE1A5F">
        <w:t>roup has 245 members from across the globe,</w:t>
      </w:r>
      <w:r w:rsidR="005804D8" w:rsidRPr="00AE1A5F">
        <w:t xml:space="preserve"> with</w:t>
      </w:r>
      <w:r w:rsidR="00A47AA4" w:rsidRPr="00AE1A5F">
        <w:t xml:space="preserve"> extensive blog posts and serves as a platform for exchange of tools and methods, training materials as well as </w:t>
      </w:r>
      <w:r w:rsidR="005804D8" w:rsidRPr="00AE1A5F">
        <w:t xml:space="preserve">facilitating </w:t>
      </w:r>
      <w:r w:rsidR="00A47AA4" w:rsidRPr="00AE1A5F">
        <w:t>useful links among</w:t>
      </w:r>
      <w:r w:rsidR="00A47AA4" w:rsidRPr="001E27BC">
        <w:t xml:space="preserve"> its members. </w:t>
      </w:r>
    </w:p>
    <w:p w:rsidR="0064719C" w:rsidRPr="00AE1A5F" w:rsidRDefault="00E9425B" w:rsidP="0064719C">
      <w:pPr>
        <w:numPr>
          <w:ilvl w:val="0"/>
          <w:numId w:val="11"/>
        </w:numPr>
      </w:pPr>
      <w:r w:rsidRPr="001E27BC">
        <w:t xml:space="preserve">Nonetheless, there is clearly scope for more exchange between the programmes in the various countries. </w:t>
      </w:r>
      <w:r w:rsidR="00A26494" w:rsidRPr="001E27BC">
        <w:t>Lessons learnt in one country do not</w:t>
      </w:r>
      <w:r w:rsidR="00547210" w:rsidRPr="001E27BC">
        <w:t xml:space="preserve"> always </w:t>
      </w:r>
      <w:r w:rsidR="00A26494" w:rsidRPr="001E27BC">
        <w:t>feed into the development of action in other countries</w:t>
      </w:r>
      <w:r w:rsidR="00D01596" w:rsidRPr="001E27BC">
        <w:rPr>
          <w:rStyle w:val="FootnoteReference"/>
        </w:rPr>
        <w:footnoteReference w:id="8"/>
      </w:r>
      <w:r w:rsidR="00A26494" w:rsidRPr="001E27BC">
        <w:t xml:space="preserve">. </w:t>
      </w:r>
      <w:r w:rsidRPr="001E27BC">
        <w:t xml:space="preserve">There have been </w:t>
      </w:r>
      <w:r w:rsidR="00A26494" w:rsidRPr="001E27BC">
        <w:t xml:space="preserve">some </w:t>
      </w:r>
      <w:r w:rsidRPr="001E27BC">
        <w:t>contacts between countries for an e</w:t>
      </w:r>
      <w:r w:rsidRPr="001E27BC">
        <w:t>x</w:t>
      </w:r>
      <w:r w:rsidRPr="001E27BC">
        <w:t>change of approaches, but in some cases projects could benefit more from existing e</w:t>
      </w:r>
      <w:r w:rsidRPr="001E27BC">
        <w:t>x</w:t>
      </w:r>
      <w:r w:rsidRPr="001E27BC">
        <w:t>perience, or put their experience to the benefit of others. In the case of mangrove plant</w:t>
      </w:r>
      <w:r w:rsidRPr="001E27BC">
        <w:t>a</w:t>
      </w:r>
      <w:r w:rsidRPr="001E27BC">
        <w:t xml:space="preserve">tion and management, as a practice for coastal protection and climate adaptation, </w:t>
      </w:r>
      <w:r w:rsidR="00A26494" w:rsidRPr="001E27BC">
        <w:t>for e</w:t>
      </w:r>
      <w:r w:rsidR="00A26494" w:rsidRPr="001E27BC">
        <w:t>x</w:t>
      </w:r>
      <w:r w:rsidR="00A26494" w:rsidRPr="001E27BC">
        <w:t xml:space="preserve">ample, </w:t>
      </w:r>
      <w:r w:rsidRPr="001E27BC">
        <w:t xml:space="preserve">exchanges between </w:t>
      </w:r>
      <w:r w:rsidR="0064719C" w:rsidRPr="001E27BC">
        <w:t xml:space="preserve">the GCCA-supported programmes in </w:t>
      </w:r>
      <w:r w:rsidRPr="001E27BC">
        <w:t xml:space="preserve">Jamaica and Guyana </w:t>
      </w:r>
      <w:r w:rsidR="0064719C" w:rsidRPr="001E27BC">
        <w:t xml:space="preserve">would seem highly beneficial to both. In </w:t>
      </w:r>
      <w:r w:rsidR="00A26494" w:rsidRPr="001E27BC">
        <w:t xml:space="preserve">other </w:t>
      </w:r>
      <w:r w:rsidR="0064719C" w:rsidRPr="001E27BC">
        <w:t>countries (Bhutan, Nepal)</w:t>
      </w:r>
      <w:r w:rsidR="00A26494" w:rsidRPr="001E27BC">
        <w:t>,</w:t>
      </w:r>
      <w:r w:rsidR="0064719C" w:rsidRPr="001E27BC">
        <w:t xml:space="preserve"> an interest in increased opportunities for exchange of experience was </w:t>
      </w:r>
      <w:r w:rsidR="00A26494" w:rsidRPr="001E27BC">
        <w:t xml:space="preserve">clearly </w:t>
      </w:r>
      <w:r w:rsidR="0064719C" w:rsidRPr="001E27BC">
        <w:t xml:space="preserve">expressed. Such exchange requires </w:t>
      </w:r>
      <w:r w:rsidR="005804D8" w:rsidRPr="001E27BC">
        <w:t xml:space="preserve">that </w:t>
      </w:r>
      <w:r w:rsidR="0064719C" w:rsidRPr="001E27BC">
        <w:t xml:space="preserve">the global or regional learning events to </w:t>
      </w:r>
      <w:r w:rsidR="00D01596" w:rsidRPr="001E27BC">
        <w:t>be accessible to interested stak</w:t>
      </w:r>
      <w:r w:rsidR="00D01596" w:rsidRPr="001E27BC">
        <w:t>e</w:t>
      </w:r>
      <w:r w:rsidR="00D01596" w:rsidRPr="001E27BC">
        <w:t>holders</w:t>
      </w:r>
      <w:r w:rsidR="0064719C" w:rsidRPr="001E27BC">
        <w:t xml:space="preserve">, and a </w:t>
      </w:r>
      <w:r w:rsidR="00547210" w:rsidRPr="001E27BC">
        <w:t xml:space="preserve">strengthening </w:t>
      </w:r>
      <w:r w:rsidR="0064719C" w:rsidRPr="001E27BC">
        <w:t xml:space="preserve">of </w:t>
      </w:r>
      <w:r w:rsidR="00547210" w:rsidRPr="001E27BC">
        <w:t xml:space="preserve">such </w:t>
      </w:r>
      <w:r w:rsidR="0064719C" w:rsidRPr="001E27BC">
        <w:t xml:space="preserve">events is therefore recommended. </w:t>
      </w:r>
      <w:r w:rsidR="00A26494" w:rsidRPr="001E27BC">
        <w:t>In view of a fo</w:t>
      </w:r>
      <w:r w:rsidR="00A26494" w:rsidRPr="001E27BC">
        <w:t>l</w:t>
      </w:r>
      <w:r w:rsidR="00A26494" w:rsidRPr="001E27BC">
        <w:t>low-up phase</w:t>
      </w:r>
      <w:r w:rsidR="00547210" w:rsidRPr="001E27BC">
        <w:t xml:space="preserve"> (GCCA+)</w:t>
      </w:r>
      <w:r w:rsidR="00A26494" w:rsidRPr="001E27BC">
        <w:t xml:space="preserve">, </w:t>
      </w:r>
      <w:r w:rsidR="00D01596" w:rsidRPr="001E27BC">
        <w:t xml:space="preserve">increased </w:t>
      </w:r>
      <w:r w:rsidR="00A26494" w:rsidRPr="001E27BC">
        <w:t xml:space="preserve">use of </w:t>
      </w:r>
      <w:r w:rsidR="009D699A" w:rsidRPr="001E27BC">
        <w:t xml:space="preserve">existing experience to feed into identification </w:t>
      </w:r>
      <w:r w:rsidR="009D699A" w:rsidRPr="00AE1A5F">
        <w:t xml:space="preserve">of new interventions is </w:t>
      </w:r>
      <w:r w:rsidR="00D01596" w:rsidRPr="00AE1A5F">
        <w:t xml:space="preserve">considered </w:t>
      </w:r>
      <w:r w:rsidR="009D699A" w:rsidRPr="00AE1A5F">
        <w:t xml:space="preserve">essential. </w:t>
      </w:r>
    </w:p>
    <w:p w:rsidR="005804D8" w:rsidRPr="00AE1A5F" w:rsidRDefault="005804D8" w:rsidP="00135A75">
      <w:pPr>
        <w:ind w:left="360"/>
        <w:rPr>
          <w:b/>
        </w:rPr>
      </w:pPr>
      <w:r w:rsidRPr="00AE1A5F">
        <w:rPr>
          <w:b/>
        </w:rPr>
        <w:t>REC: It is recommended to intensify the facilitation of climate change learning comm</w:t>
      </w:r>
      <w:r w:rsidRPr="00AE1A5F">
        <w:rPr>
          <w:b/>
        </w:rPr>
        <w:t>u</w:t>
      </w:r>
      <w:r w:rsidRPr="00AE1A5F">
        <w:rPr>
          <w:b/>
        </w:rPr>
        <w:t>nities and learning events (globally, regionally and nationally)</w:t>
      </w:r>
    </w:p>
    <w:p w:rsidR="0022593E" w:rsidRPr="00AE1A5F" w:rsidRDefault="005804D8" w:rsidP="005804D8">
      <w:pPr>
        <w:numPr>
          <w:ilvl w:val="0"/>
          <w:numId w:val="22"/>
        </w:numPr>
        <w:rPr>
          <w:b/>
        </w:rPr>
      </w:pPr>
      <w:r w:rsidRPr="00AE1A5F">
        <w:rPr>
          <w:i/>
        </w:rPr>
        <w:t xml:space="preserve">The GCCA and its Support Facilities (GSF and CSF) should strengthen </w:t>
      </w:r>
      <w:r w:rsidRPr="00AE1A5F">
        <w:rPr>
          <w:b/>
          <w:i/>
        </w:rPr>
        <w:t>facilitation and promotion of exchange of experience on climate action</w:t>
      </w:r>
      <w:r w:rsidRPr="00AE1A5F">
        <w:rPr>
          <w:i/>
        </w:rPr>
        <w:t xml:space="preserve"> across the GCCA-supported and other EU-funded projects working on climate change, through the organisation of global learning events and facilitation of learning communities. It would seem appropriate to complement global level events with regional events and foster participation of less i</w:t>
      </w:r>
      <w:r w:rsidRPr="00AE1A5F">
        <w:rPr>
          <w:i/>
        </w:rPr>
        <w:t>n</w:t>
      </w:r>
      <w:r w:rsidRPr="00AE1A5F">
        <w:rPr>
          <w:i/>
        </w:rPr>
        <w:t>volved target groups, notably of non-state actors including the private sector. National and regional EU delegations are key actors, interlocutors and facilitators to achieve this.</w:t>
      </w:r>
    </w:p>
    <w:p w:rsidR="00D036B2" w:rsidRPr="001E27BC" w:rsidRDefault="006C6102" w:rsidP="00AE1A5F">
      <w:pPr>
        <w:keepNext/>
        <w:keepLines/>
        <w:spacing w:after="0" w:line="240" w:lineRule="auto"/>
        <w:jc w:val="left"/>
        <w:rPr>
          <w:b/>
          <w:i/>
        </w:rPr>
      </w:pPr>
      <w:r w:rsidRPr="001E27BC">
        <w:rPr>
          <w:b/>
          <w:i/>
        </w:rPr>
        <w:t>EQ</w:t>
      </w:r>
      <w:r w:rsidR="00D036B2" w:rsidRPr="001E27BC">
        <w:rPr>
          <w:b/>
          <w:i/>
        </w:rPr>
        <w:t>4.</w:t>
      </w:r>
      <w:r w:rsidR="00D036B2" w:rsidRPr="001E27BC">
        <w:rPr>
          <w:b/>
          <w:i/>
        </w:rPr>
        <w:tab/>
        <w:t xml:space="preserve">To what extent does the GCCA constitute a viable instrument for practical </w:t>
      </w:r>
      <w:r w:rsidRPr="001E27BC">
        <w:rPr>
          <w:b/>
          <w:i/>
        </w:rPr>
        <w:t>cooperation</w:t>
      </w:r>
      <w:r w:rsidR="00D036B2" w:rsidRPr="001E27BC">
        <w:rPr>
          <w:b/>
          <w:i/>
        </w:rPr>
        <w:t xml:space="preserve"> to tackle the combined challenge of the fight against poverty and climate change?  (= pillar 2 in the GCCA’s objective)?</w:t>
      </w:r>
    </w:p>
    <w:p w:rsidR="00425967" w:rsidRPr="001E27BC" w:rsidRDefault="00425967" w:rsidP="00BF47D8">
      <w:pPr>
        <w:widowControl w:val="0"/>
        <w:spacing w:after="0" w:line="240" w:lineRule="auto"/>
        <w:jc w:val="left"/>
        <w:rPr>
          <w:b/>
          <w:i/>
        </w:rPr>
      </w:pPr>
    </w:p>
    <w:p w:rsidR="003738E0" w:rsidRPr="00AE1A5F" w:rsidRDefault="00BC6704" w:rsidP="00BF47D8">
      <w:pPr>
        <w:widowControl w:val="0"/>
        <w:numPr>
          <w:ilvl w:val="0"/>
          <w:numId w:val="11"/>
        </w:numPr>
      </w:pPr>
      <w:r w:rsidRPr="00AE1A5F">
        <w:t>It is important to note, as an overall comment, that the conclusions addressing the extent to which GCCA tangible benefits have been achieved needs to be placed within the co</w:t>
      </w:r>
      <w:r w:rsidRPr="00AE1A5F">
        <w:t>n</w:t>
      </w:r>
      <w:r w:rsidRPr="00AE1A5F">
        <w:t>text of how the choice of field visits was arrived at. While c</w:t>
      </w:r>
      <w:r w:rsidR="00BF47D8" w:rsidRPr="00AE1A5F">
        <w:t xml:space="preserve">onclusions are based on a </w:t>
      </w:r>
      <w:r w:rsidR="003738E0" w:rsidRPr="00AE1A5F">
        <w:t>sample of countries visited during the fieldwork</w:t>
      </w:r>
      <w:r w:rsidRPr="00AE1A5F">
        <w:t>; and w</w:t>
      </w:r>
      <w:r w:rsidR="003738E0" w:rsidRPr="00AE1A5F">
        <w:t>hile the sample was as represent</w:t>
      </w:r>
      <w:r w:rsidR="003738E0" w:rsidRPr="00AE1A5F">
        <w:t>a</w:t>
      </w:r>
      <w:r w:rsidR="003738E0" w:rsidRPr="00AE1A5F">
        <w:t xml:space="preserve">tive as possible, it cannot be characterised as </w:t>
      </w:r>
      <w:r w:rsidRPr="00AE1A5F">
        <w:t xml:space="preserve">being </w:t>
      </w:r>
      <w:r w:rsidR="003738E0" w:rsidRPr="00AE1A5F">
        <w:t xml:space="preserve">truly “random” in the statistical sense of the word, as - on the advice of DEVCO and of the Delegations - a number of initially selected projects/countries had to be changed for various reasons. Nevertheless, </w:t>
      </w:r>
      <w:r w:rsidR="00BF47D8" w:rsidRPr="00AE1A5F">
        <w:t>the e</w:t>
      </w:r>
      <w:r w:rsidR="00BF47D8" w:rsidRPr="00AE1A5F">
        <w:t>v</w:t>
      </w:r>
      <w:r w:rsidR="00BF47D8" w:rsidRPr="00AE1A5F">
        <w:t xml:space="preserve">aluators are able to refer to </w:t>
      </w:r>
      <w:r w:rsidR="002E69F7" w:rsidRPr="00AE1A5F">
        <w:t>cases that</w:t>
      </w:r>
      <w:r w:rsidR="00BF47D8" w:rsidRPr="00AE1A5F">
        <w:t xml:space="preserve"> showed </w:t>
      </w:r>
      <w:r w:rsidR="003738E0" w:rsidRPr="00AE1A5F">
        <w:t xml:space="preserve">‘satisfactory or good performance scoring’ where the tangible benefits for </w:t>
      </w:r>
      <w:r w:rsidR="002E69F7" w:rsidRPr="00AE1A5F">
        <w:t xml:space="preserve">the </w:t>
      </w:r>
      <w:r w:rsidR="003738E0" w:rsidRPr="00AE1A5F">
        <w:t xml:space="preserve">most vulnerable groups criterion was most directly measured. Six out of ten (60%) of national programmes performed well, four (40%) less well. Three out of five (60%) regional programmes performed well, two (40%) less well. Hence, in most cases </w:t>
      </w:r>
      <w:r w:rsidR="00BF47D8" w:rsidRPr="00AE1A5F">
        <w:t xml:space="preserve">- even taking into account that the sample </w:t>
      </w:r>
      <w:r w:rsidR="00BF47D8" w:rsidRPr="00AE1A5F">
        <w:rPr>
          <w:i/>
        </w:rPr>
        <w:t>senso</w:t>
      </w:r>
      <w:r w:rsidR="00831E98" w:rsidRPr="00AE1A5F">
        <w:rPr>
          <w:i/>
        </w:rPr>
        <w:t xml:space="preserve"> stricto</w:t>
      </w:r>
      <w:r w:rsidR="00831E98" w:rsidRPr="00AE1A5F">
        <w:t xml:space="preserve"> </w:t>
      </w:r>
      <w:r w:rsidR="00BF47D8" w:rsidRPr="00AE1A5F">
        <w:t>was not sc</w:t>
      </w:r>
      <w:r w:rsidR="00BF47D8" w:rsidRPr="00AE1A5F">
        <w:t>i</w:t>
      </w:r>
      <w:r w:rsidR="00BF47D8" w:rsidRPr="00AE1A5F">
        <w:t>entifically “random”</w:t>
      </w:r>
      <w:r w:rsidR="002E69F7" w:rsidRPr="00AE1A5F">
        <w:t xml:space="preserve"> -</w:t>
      </w:r>
      <w:r w:rsidR="00BF47D8" w:rsidRPr="00AE1A5F">
        <w:t xml:space="preserve"> </w:t>
      </w:r>
      <w:r w:rsidR="003738E0" w:rsidRPr="00AE1A5F">
        <w:t xml:space="preserve">the overall GCCA programme </w:t>
      </w:r>
      <w:r w:rsidR="00BF47D8" w:rsidRPr="00AE1A5F">
        <w:t>was seen as providing</w:t>
      </w:r>
      <w:r w:rsidR="003738E0" w:rsidRPr="00AE1A5F">
        <w:t xml:space="preserve"> tangible be</w:t>
      </w:r>
      <w:r w:rsidR="003738E0" w:rsidRPr="00AE1A5F">
        <w:t>n</w:t>
      </w:r>
      <w:r w:rsidR="003738E0" w:rsidRPr="00AE1A5F">
        <w:t xml:space="preserve">efits for </w:t>
      </w:r>
      <w:r w:rsidR="002E69F7" w:rsidRPr="00AE1A5F">
        <w:t xml:space="preserve">the </w:t>
      </w:r>
      <w:r w:rsidR="003738E0" w:rsidRPr="00AE1A5F">
        <w:t>most vulnerable populations.</w:t>
      </w:r>
      <w:r w:rsidR="00BF47D8" w:rsidRPr="00AE1A5F">
        <w:t xml:space="preserve"> (See also Tables 1 and 2 in </w:t>
      </w:r>
      <w:r w:rsidRPr="00AE1A5F">
        <w:t xml:space="preserve">Chapter </w:t>
      </w:r>
      <w:r w:rsidR="002E69F7" w:rsidRPr="00AE1A5F">
        <w:t>3</w:t>
      </w:r>
      <w:r w:rsidR="00BF47D8" w:rsidRPr="00AE1A5F">
        <w:t>)</w:t>
      </w:r>
    </w:p>
    <w:p w:rsidR="007A0456" w:rsidRPr="001E27BC" w:rsidRDefault="009D699A" w:rsidP="00BF47D8">
      <w:pPr>
        <w:widowControl w:val="0"/>
        <w:numPr>
          <w:ilvl w:val="0"/>
          <w:numId w:val="11"/>
        </w:numPr>
      </w:pPr>
      <w:r w:rsidRPr="001E27BC">
        <w:t>While the programme performed well in terms of contributing to dialogue and exchange on climate change (re</w:t>
      </w:r>
      <w:r w:rsidR="004C55D8" w:rsidRPr="001E27BC">
        <w:t xml:space="preserve">f: </w:t>
      </w:r>
      <w:r w:rsidRPr="001E27BC">
        <w:t>EQ3), its overall effectiveness as an instrument for practical c</w:t>
      </w:r>
      <w:r w:rsidRPr="001E27BC">
        <w:t>o</w:t>
      </w:r>
      <w:r w:rsidRPr="001E27BC">
        <w:t xml:space="preserve">operation to tackle both climate change and poverty alleviation </w:t>
      </w:r>
      <w:r w:rsidR="006243A5" w:rsidRPr="001E27BC">
        <w:t>simulta</w:t>
      </w:r>
      <w:r w:rsidR="004C55D8" w:rsidRPr="001E27BC">
        <w:t xml:space="preserve">neously </w:t>
      </w:r>
      <w:r w:rsidRPr="001E27BC">
        <w:t xml:space="preserve">is less evident. </w:t>
      </w:r>
      <w:r w:rsidR="007A0456" w:rsidRPr="001E27BC">
        <w:t xml:space="preserve">Most national-level GCCA-supported actions projects are still in an initial stage and longer-term benefits in terms of reduced poverty </w:t>
      </w:r>
      <w:r w:rsidR="006243A5" w:rsidRPr="001E27BC">
        <w:t>have</w:t>
      </w:r>
      <w:r w:rsidR="007A0456" w:rsidRPr="001E27BC">
        <w:t xml:space="preserve"> yet to materialise. Nonetheless most, but not all</w:t>
      </w:r>
      <w:r w:rsidR="004C55D8" w:rsidRPr="001E27BC">
        <w:t>,</w:t>
      </w:r>
      <w:r w:rsidR="007A0456" w:rsidRPr="001E27BC">
        <w:t xml:space="preserve"> project</w:t>
      </w:r>
      <w:r w:rsidR="006243A5" w:rsidRPr="001E27BC">
        <w:t xml:space="preserve"> activities </w:t>
      </w:r>
      <w:r w:rsidR="007A0456" w:rsidRPr="001E27BC">
        <w:t>make, or are expected to make</w:t>
      </w:r>
      <w:r w:rsidR="004C55D8" w:rsidRPr="001E27BC">
        <w:t>,</w:t>
      </w:r>
      <w:r w:rsidR="007A0456" w:rsidRPr="001E27BC">
        <w:t xml:space="preserve"> a contribution to po</w:t>
      </w:r>
      <w:r w:rsidR="007A0456" w:rsidRPr="001E27BC">
        <w:t>v</w:t>
      </w:r>
      <w:r w:rsidR="007A0456" w:rsidRPr="001E27BC">
        <w:t xml:space="preserve">erty alleviation. </w:t>
      </w:r>
    </w:p>
    <w:p w:rsidR="007A0456" w:rsidRPr="001E27BC" w:rsidRDefault="007A0456" w:rsidP="007A0456">
      <w:pPr>
        <w:numPr>
          <w:ilvl w:val="0"/>
          <w:numId w:val="11"/>
        </w:numPr>
      </w:pPr>
      <w:r w:rsidRPr="001E27BC">
        <w:t>Several projects contribute very clearly to poverty alleviation (Ethiopia, Jamaica, Bh</w:t>
      </w:r>
      <w:r w:rsidRPr="001E27BC">
        <w:t>u</w:t>
      </w:r>
      <w:r w:rsidRPr="001E27BC">
        <w:t>tan), as they are directly linked to structures representing groups affected by climate change, focus on adaptation or disaster risk reduction and/or include income generating activities. Other pro</w:t>
      </w:r>
      <w:r w:rsidR="003A593A" w:rsidRPr="001E27BC">
        <w:t xml:space="preserve">grammes </w:t>
      </w:r>
      <w:r w:rsidRPr="001E27BC">
        <w:t xml:space="preserve">have less direct </w:t>
      </w:r>
      <w:r w:rsidR="003A593A" w:rsidRPr="001E27BC">
        <w:t xml:space="preserve">or less automatic </w:t>
      </w:r>
      <w:r w:rsidRPr="001E27BC">
        <w:t>link</w:t>
      </w:r>
      <w:r w:rsidR="003A593A" w:rsidRPr="001E27BC">
        <w:t xml:space="preserve">ages to </w:t>
      </w:r>
      <w:r w:rsidRPr="001E27BC">
        <w:t>poverty a</w:t>
      </w:r>
      <w:r w:rsidR="003A593A" w:rsidRPr="001E27BC">
        <w:t>llev</w:t>
      </w:r>
      <w:r w:rsidR="003A593A" w:rsidRPr="001E27BC">
        <w:t>i</w:t>
      </w:r>
      <w:r w:rsidR="003A593A" w:rsidRPr="001E27BC">
        <w:t xml:space="preserve">ation, especially when </w:t>
      </w:r>
      <w:r w:rsidRPr="001E27BC">
        <w:t xml:space="preserve">they focus on mainstreaming of </w:t>
      </w:r>
      <w:r w:rsidR="00CA03CF" w:rsidRPr="001E27BC">
        <w:t>climate change</w:t>
      </w:r>
      <w:r w:rsidRPr="001E27BC">
        <w:t xml:space="preserve"> into policies, on promoting </w:t>
      </w:r>
      <w:r w:rsidR="005F6E37" w:rsidRPr="001E27BC">
        <w:t xml:space="preserve">climate mitigation action (example Mauritius), </w:t>
      </w:r>
      <w:r w:rsidRPr="001E27BC">
        <w:t>CDM or REDD</w:t>
      </w:r>
      <w:r w:rsidR="005F6E37" w:rsidRPr="001E27BC">
        <w:t xml:space="preserve"> (example Burkina Faso)</w:t>
      </w:r>
      <w:r w:rsidRPr="001E27BC">
        <w:t xml:space="preserve">. </w:t>
      </w:r>
      <w:r w:rsidR="003A593A" w:rsidRPr="001E27BC">
        <w:t>Nonetheless, in all GCCA priorit</w:t>
      </w:r>
      <w:r w:rsidR="005F6E37" w:rsidRPr="001E27BC">
        <w:t xml:space="preserve">y areas of action, there is sufficient </w:t>
      </w:r>
      <w:r w:rsidR="003A593A" w:rsidRPr="001E27BC">
        <w:t xml:space="preserve">scope </w:t>
      </w:r>
      <w:r w:rsidR="005F6E37" w:rsidRPr="001E27BC">
        <w:t xml:space="preserve">for poverty alleviation provided </w:t>
      </w:r>
      <w:r w:rsidR="004C55D8" w:rsidRPr="001E27BC">
        <w:t xml:space="preserve">that </w:t>
      </w:r>
      <w:r w:rsidR="005F6E37" w:rsidRPr="001E27BC">
        <w:t>linkages to vulnerable groups are properly esta</w:t>
      </w:r>
      <w:r w:rsidR="005F6E37" w:rsidRPr="001E27BC">
        <w:t>b</w:t>
      </w:r>
      <w:r w:rsidR="005F6E37" w:rsidRPr="001E27BC">
        <w:t xml:space="preserve">lished. </w:t>
      </w:r>
    </w:p>
    <w:p w:rsidR="00F1080D" w:rsidRPr="001E27BC" w:rsidRDefault="009D699A" w:rsidP="00F1080D">
      <w:pPr>
        <w:numPr>
          <w:ilvl w:val="0"/>
          <w:numId w:val="11"/>
        </w:numPr>
      </w:pPr>
      <w:r w:rsidRPr="001E27BC">
        <w:t xml:space="preserve">Four out of </w:t>
      </w:r>
      <w:r w:rsidRPr="00AE1A5F">
        <w:t>ten actions perform below the mark</w:t>
      </w:r>
      <w:r w:rsidR="00F221D9" w:rsidRPr="00AE1A5F">
        <w:t>,</w:t>
      </w:r>
      <w:r w:rsidRPr="00AE1A5F">
        <w:t xml:space="preserve"> on this criterion</w:t>
      </w:r>
      <w:r w:rsidR="00F221D9" w:rsidRPr="00AE1A5F">
        <w:t xml:space="preserve">. </w:t>
      </w:r>
      <w:r w:rsidRPr="00AE1A5F">
        <w:t xml:space="preserve">Lower effectiveness is not </w:t>
      </w:r>
      <w:r w:rsidR="004C55D8" w:rsidRPr="00AE1A5F">
        <w:t xml:space="preserve">necessarily </w:t>
      </w:r>
      <w:r w:rsidR="007A0456" w:rsidRPr="00AE1A5F">
        <w:t>linked to the area of action – though REDD appears to contribute less o</w:t>
      </w:r>
      <w:r w:rsidR="007A0456" w:rsidRPr="00AE1A5F">
        <w:t>b</w:t>
      </w:r>
      <w:r w:rsidR="007A0456" w:rsidRPr="00AE1A5F">
        <w:t>viously to poverty alleviation – nor is it linked to a specific implementation modality (budget support versus project approach or sector programme</w:t>
      </w:r>
      <w:r w:rsidR="004C55D8" w:rsidRPr="00AE1A5F">
        <w:t xml:space="preserve"> modality</w:t>
      </w:r>
      <w:r w:rsidR="007A0456" w:rsidRPr="00AE1A5F">
        <w:t>) or management mode (centralised versus joint management). It is primarily explained by a failure to e</w:t>
      </w:r>
      <w:r w:rsidR="007A0456" w:rsidRPr="00AE1A5F">
        <w:t>s</w:t>
      </w:r>
      <w:r w:rsidR="007A0456" w:rsidRPr="00AE1A5F">
        <w:t xml:space="preserve">tablish effective linkages to </w:t>
      </w:r>
      <w:r w:rsidR="004C55D8" w:rsidRPr="00AE1A5F">
        <w:t xml:space="preserve">the </w:t>
      </w:r>
      <w:r w:rsidR="007A0456" w:rsidRPr="00AE1A5F">
        <w:t>fi</w:t>
      </w:r>
      <w:r w:rsidR="004C55D8" w:rsidRPr="00AE1A5F">
        <w:t>nal beneficiaries of the action. This can be due to a var</w:t>
      </w:r>
      <w:r w:rsidR="004C55D8" w:rsidRPr="00AE1A5F">
        <w:t>i</w:t>
      </w:r>
      <w:r w:rsidR="004C55D8" w:rsidRPr="00AE1A5F">
        <w:t xml:space="preserve">ety of reasons. </w:t>
      </w:r>
      <w:r w:rsidR="00F1080D" w:rsidRPr="00AE1A5F">
        <w:t>In Benin, for example, the expertis</w:t>
      </w:r>
      <w:r w:rsidR="004C55D8" w:rsidRPr="00AE1A5F">
        <w:t>e required for proper community</w:t>
      </w:r>
      <w:r w:rsidR="006243A5" w:rsidRPr="00AE1A5F">
        <w:t xml:space="preserve"> </w:t>
      </w:r>
      <w:r w:rsidR="00F1080D" w:rsidRPr="00AE1A5F">
        <w:t>i</w:t>
      </w:r>
      <w:r w:rsidR="00F1080D" w:rsidRPr="00AE1A5F">
        <w:t>n</w:t>
      </w:r>
      <w:r w:rsidR="00F1080D" w:rsidRPr="00AE1A5F">
        <w:t xml:space="preserve">volvement had not been fully mobilised while actions were </w:t>
      </w:r>
      <w:r w:rsidR="004C55D8" w:rsidRPr="00AE1A5F">
        <w:t xml:space="preserve">already </w:t>
      </w:r>
      <w:r w:rsidR="00F1080D" w:rsidRPr="00AE1A5F">
        <w:t xml:space="preserve">being conducted on the ground; such </w:t>
      </w:r>
      <w:r w:rsidR="006243A5" w:rsidRPr="00AE1A5F">
        <w:t xml:space="preserve">an </w:t>
      </w:r>
      <w:r w:rsidR="00F1080D" w:rsidRPr="00AE1A5F">
        <w:t>approach</w:t>
      </w:r>
      <w:r w:rsidR="00AA2187" w:rsidRPr="00AE1A5F">
        <w:t>, where activities are implemented</w:t>
      </w:r>
      <w:r w:rsidR="00AA2187" w:rsidRPr="001E27BC">
        <w:t xml:space="preserve"> without community su</w:t>
      </w:r>
      <w:r w:rsidR="00AA2187" w:rsidRPr="001E27BC">
        <w:t>p</w:t>
      </w:r>
      <w:r w:rsidR="00AA2187" w:rsidRPr="001E27BC">
        <w:t>port</w:t>
      </w:r>
      <w:r w:rsidR="00F1080D" w:rsidRPr="001E27BC">
        <w:t xml:space="preserve"> is considered to be full of risks</w:t>
      </w:r>
      <w:r w:rsidR="006243A5" w:rsidRPr="001E27BC">
        <w:t xml:space="preserve">. </w:t>
      </w:r>
      <w:r w:rsidR="00F1080D" w:rsidRPr="001E27BC">
        <w:t xml:space="preserve">In Mauritius, the focus </w:t>
      </w:r>
      <w:r w:rsidR="00381522" w:rsidRPr="001E27BC">
        <w:t xml:space="preserve">was on </w:t>
      </w:r>
      <w:r w:rsidR="00F1080D" w:rsidRPr="001E27BC">
        <w:t xml:space="preserve">energy efficiency and sustainable </w:t>
      </w:r>
      <w:r w:rsidR="00F1080D" w:rsidRPr="00AE1A5F">
        <w:t>building</w:t>
      </w:r>
      <w:r w:rsidR="0011487D" w:rsidRPr="00AE1A5F">
        <w:t xml:space="preserve"> construction and design</w:t>
      </w:r>
      <w:r w:rsidR="00F1080D" w:rsidRPr="00AE1A5F">
        <w:t xml:space="preserve">, themes with a </w:t>
      </w:r>
      <w:r w:rsidR="005F6E37" w:rsidRPr="00AE1A5F">
        <w:t xml:space="preserve">rather </w:t>
      </w:r>
      <w:r w:rsidR="00F1080D" w:rsidRPr="00AE1A5F">
        <w:t xml:space="preserve">remote connection to poverty </w:t>
      </w:r>
      <w:r w:rsidR="0011487D" w:rsidRPr="00AE1A5F">
        <w:t>reduction</w:t>
      </w:r>
      <w:r w:rsidR="00381522" w:rsidRPr="00AE1A5F">
        <w:t>, in general,</w:t>
      </w:r>
      <w:r w:rsidR="0011487D" w:rsidRPr="00AE1A5F">
        <w:t xml:space="preserve"> and</w:t>
      </w:r>
      <w:r w:rsidR="00F1080D" w:rsidRPr="00AE1A5F">
        <w:t xml:space="preserve"> vulnerable populations</w:t>
      </w:r>
      <w:r w:rsidR="00381522" w:rsidRPr="00AE1A5F">
        <w:t>,</w:t>
      </w:r>
      <w:r w:rsidR="0011487D" w:rsidRPr="00AE1A5F">
        <w:t xml:space="preserve"> in </w:t>
      </w:r>
      <w:r w:rsidR="00381522" w:rsidRPr="00AE1A5F">
        <w:t>particular</w:t>
      </w:r>
      <w:r w:rsidR="00F1080D" w:rsidRPr="00AE1A5F">
        <w:t xml:space="preserve">. In Nepal, the </w:t>
      </w:r>
      <w:r w:rsidR="00D34643" w:rsidRPr="00AE1A5F">
        <w:t>pr</w:t>
      </w:r>
      <w:r w:rsidR="00D34643" w:rsidRPr="00AE1A5F">
        <w:t>o</w:t>
      </w:r>
      <w:r w:rsidR="00D34643" w:rsidRPr="00AE1A5F">
        <w:t xml:space="preserve">gramme </w:t>
      </w:r>
      <w:r w:rsidR="00F1080D" w:rsidRPr="00AE1A5F">
        <w:t>has a great potential to alleviate poverty, as it is very well rooted in local go</w:t>
      </w:r>
      <w:r w:rsidR="00F1080D" w:rsidRPr="00AE1A5F">
        <w:t>v</w:t>
      </w:r>
      <w:r w:rsidR="00F1080D" w:rsidRPr="00AE1A5F">
        <w:t>ernment and community structures, with strong support from local NGO’s, but instit</w:t>
      </w:r>
      <w:r w:rsidR="00F1080D" w:rsidRPr="00AE1A5F">
        <w:t>u</w:t>
      </w:r>
      <w:r w:rsidR="00F1080D" w:rsidRPr="00AE1A5F">
        <w:t>tional implementation arrangements have so far prevented effective action on the ground. In Burkina</w:t>
      </w:r>
      <w:r w:rsidR="00F1080D" w:rsidRPr="001E27BC">
        <w:t xml:space="preserve"> Faso, the REDD action has a potential to benefit poor groups affected by </w:t>
      </w:r>
      <w:r w:rsidR="00CA03CF" w:rsidRPr="001E27BC">
        <w:t>cl</w:t>
      </w:r>
      <w:r w:rsidR="00CA03CF" w:rsidRPr="001E27BC">
        <w:t>i</w:t>
      </w:r>
      <w:r w:rsidR="00CA03CF" w:rsidRPr="001E27BC">
        <w:t>mate change</w:t>
      </w:r>
      <w:r w:rsidR="00F1080D" w:rsidRPr="001E27BC">
        <w:t xml:space="preserve"> as well, but </w:t>
      </w:r>
      <w:r w:rsidR="005F6E37" w:rsidRPr="001E27BC">
        <w:t>the programme</w:t>
      </w:r>
      <w:r w:rsidR="00F1080D" w:rsidRPr="001E27BC">
        <w:t xml:space="preserve"> has only just started.</w:t>
      </w:r>
    </w:p>
    <w:p w:rsidR="00F221D9" w:rsidRPr="001E27BC" w:rsidRDefault="00F221D9" w:rsidP="00F221D9">
      <w:pPr>
        <w:numPr>
          <w:ilvl w:val="0"/>
          <w:numId w:val="11"/>
        </w:numPr>
      </w:pPr>
      <w:r w:rsidRPr="001E27BC">
        <w:t xml:space="preserve">In cases where the actions do not make a clear contribution to poverty alleviation, this is often due to limited or non-involvement of relevant non-state actors, be it community-based organisations or other civil society actors. In most cases, effective involvement of poor groups affected by </w:t>
      </w:r>
      <w:r w:rsidR="00CA03CF" w:rsidRPr="00AE1A5F">
        <w:t>climate change</w:t>
      </w:r>
      <w:r w:rsidRPr="00AE1A5F">
        <w:t xml:space="preserve"> requires the involvement of an intermediary o</w:t>
      </w:r>
      <w:r w:rsidRPr="00AE1A5F">
        <w:t>r</w:t>
      </w:r>
      <w:r w:rsidRPr="00AE1A5F">
        <w:t xml:space="preserve">ganisation that can help organise communities or vulnerable groups. </w:t>
      </w:r>
      <w:r w:rsidR="002A5EF6" w:rsidRPr="00AE1A5F">
        <w:t>Therefore, t</w:t>
      </w:r>
      <w:r w:rsidRPr="00AE1A5F">
        <w:t>he</w:t>
      </w:r>
      <w:r w:rsidR="002A5EF6" w:rsidRPr="00AE1A5F">
        <w:t xml:space="preserve"> eval</w:t>
      </w:r>
      <w:r w:rsidR="002A5EF6" w:rsidRPr="00AE1A5F">
        <w:t>u</w:t>
      </w:r>
      <w:r w:rsidR="002A5EF6" w:rsidRPr="00AE1A5F">
        <w:t xml:space="preserve">ation team </w:t>
      </w:r>
      <w:r w:rsidR="00381522" w:rsidRPr="00AE1A5F">
        <w:t xml:space="preserve">concludes </w:t>
      </w:r>
      <w:r w:rsidR="002A5EF6" w:rsidRPr="00AE1A5F">
        <w:t>that the</w:t>
      </w:r>
      <w:r w:rsidR="00381522" w:rsidRPr="00AE1A5F">
        <w:t xml:space="preserve"> capacity-</w:t>
      </w:r>
      <w:r w:rsidRPr="00AE1A5F">
        <w:t>building objective of the GCCA programme needs to be followed through</w:t>
      </w:r>
      <w:r w:rsidRPr="001E27BC">
        <w:t xml:space="preserve"> </w:t>
      </w:r>
      <w:r w:rsidR="0011487D" w:rsidRPr="001E27BC">
        <w:t xml:space="preserve">with </w:t>
      </w:r>
      <w:r w:rsidRPr="001E27BC">
        <w:t xml:space="preserve">a long-term perspective starting with </w:t>
      </w:r>
      <w:r w:rsidR="005F6E37" w:rsidRPr="001E27BC">
        <w:t>a next</w:t>
      </w:r>
      <w:r w:rsidRPr="001E27BC">
        <w:t xml:space="preserve"> phase of </w:t>
      </w:r>
      <w:r w:rsidR="0011487D" w:rsidRPr="001E27BC">
        <w:t xml:space="preserve">the </w:t>
      </w:r>
      <w:r w:rsidRPr="001E27BC">
        <w:t xml:space="preserve">GCCA, and </w:t>
      </w:r>
      <w:r w:rsidR="00381522" w:rsidRPr="001E27BC">
        <w:t xml:space="preserve">needs to </w:t>
      </w:r>
      <w:r w:rsidRPr="001E27BC">
        <w:t>involve relev</w:t>
      </w:r>
      <w:r w:rsidR="00381522" w:rsidRPr="001E27BC">
        <w:t>ant NSAs in order to bear fruit</w:t>
      </w:r>
      <w:r w:rsidRPr="001E27BC">
        <w:t>.</w:t>
      </w:r>
    </w:p>
    <w:p w:rsidR="002A5EF6" w:rsidRPr="001E27BC" w:rsidRDefault="002A5EF6" w:rsidP="0004379F">
      <w:pPr>
        <w:numPr>
          <w:ilvl w:val="0"/>
          <w:numId w:val="11"/>
        </w:numPr>
      </w:pPr>
      <w:r w:rsidRPr="001E27BC">
        <w:t>Limited effectiveness</w:t>
      </w:r>
      <w:r w:rsidR="00A53F16" w:rsidRPr="001E27BC">
        <w:t>, in terms of GCCA as a practical cooperation</w:t>
      </w:r>
      <w:r w:rsidRPr="001E27BC">
        <w:t xml:space="preserve"> </w:t>
      </w:r>
      <w:r w:rsidR="00A53F16" w:rsidRPr="001E27BC">
        <w:t xml:space="preserve">instrument, </w:t>
      </w:r>
      <w:r w:rsidRPr="001E27BC">
        <w:t>is also explained by slow start-up phases, e</w:t>
      </w:r>
      <w:r w:rsidR="00C00931" w:rsidRPr="001E27BC">
        <w:t xml:space="preserve">ven though most </w:t>
      </w:r>
      <w:r w:rsidR="0011487D" w:rsidRPr="001E27BC">
        <w:t xml:space="preserve">programming </w:t>
      </w:r>
      <w:r w:rsidR="00644BE0" w:rsidRPr="001E27BC">
        <w:t>activities</w:t>
      </w:r>
      <w:r w:rsidR="00C00931" w:rsidRPr="001E27BC">
        <w:t xml:space="preserve"> were </w:t>
      </w:r>
      <w:r w:rsidR="00644BE0" w:rsidRPr="001E27BC">
        <w:t>int</w:t>
      </w:r>
      <w:r w:rsidR="00644BE0" w:rsidRPr="001E27BC">
        <w:t>e</w:t>
      </w:r>
      <w:r w:rsidR="00644BE0" w:rsidRPr="001E27BC">
        <w:t>grated into</w:t>
      </w:r>
      <w:r w:rsidR="00C00931" w:rsidRPr="001E27BC">
        <w:t xml:space="preserve"> existing projects and programmes</w:t>
      </w:r>
      <w:r w:rsidRPr="001E27BC">
        <w:t xml:space="preserve">. </w:t>
      </w:r>
      <w:r w:rsidR="00C00931" w:rsidRPr="001E27BC">
        <w:t>This was mostly due to a need to define the right mechanisms for dealing with multiple funding sources, multiple sectors and/or multiple implementing part</w:t>
      </w:r>
      <w:r w:rsidR="0004379F" w:rsidRPr="001E27BC">
        <w:t xml:space="preserve">ners, and should not necessarily be seen as time lost; instead it is supposed to contribute to proper preparation for implementation. </w:t>
      </w:r>
      <w:r w:rsidR="00C00931" w:rsidRPr="001E27BC">
        <w:t xml:space="preserve">There are no easy short-cuts around these constraints, but the programme could learn from </w:t>
      </w:r>
      <w:r w:rsidR="0011487D" w:rsidRPr="001E27BC">
        <w:t xml:space="preserve">the </w:t>
      </w:r>
      <w:r w:rsidR="00C00931" w:rsidRPr="001E27BC">
        <w:t>experience</w:t>
      </w:r>
      <w:r w:rsidR="0011487D" w:rsidRPr="001E27BC">
        <w:t>s</w:t>
      </w:r>
      <w:r w:rsidR="00C00931" w:rsidRPr="001E27BC">
        <w:t xml:space="preserve"> in other sectors such as water or energy, which are also cross-sectoral in </w:t>
      </w:r>
      <w:r w:rsidRPr="001E27BC">
        <w:t>nature. Sector working groups, which work towards joint programming and harmonised approaches</w:t>
      </w:r>
      <w:r w:rsidR="0004379F" w:rsidRPr="001E27BC">
        <w:t>,</w:t>
      </w:r>
      <w:r w:rsidRPr="001E27BC">
        <w:t xml:space="preserve"> and </w:t>
      </w:r>
      <w:r w:rsidR="0004379F" w:rsidRPr="001E27BC">
        <w:t xml:space="preserve">which </w:t>
      </w:r>
      <w:r w:rsidRPr="001E27BC">
        <w:t>have a lead donor chairing the donor working group, can contribute to develo</w:t>
      </w:r>
      <w:r w:rsidRPr="001E27BC">
        <w:t>p</w:t>
      </w:r>
      <w:r w:rsidRPr="001E27BC">
        <w:t>ment and use of a single set of monitoring and financial procedures</w:t>
      </w:r>
      <w:r w:rsidR="00F1080D" w:rsidRPr="001E27BC">
        <w:t xml:space="preserve">, including </w:t>
      </w:r>
      <w:r w:rsidRPr="001E27BC">
        <w:t>joint-evaluations</w:t>
      </w:r>
      <w:r w:rsidR="00F1080D" w:rsidRPr="001E27BC">
        <w:t xml:space="preserve">. </w:t>
      </w:r>
      <w:r w:rsidR="00ED14A2" w:rsidRPr="001E27BC">
        <w:t xml:space="preserve">However, </w:t>
      </w:r>
      <w:r w:rsidR="0004379F" w:rsidRPr="001E27BC">
        <w:t>donor platform</w:t>
      </w:r>
      <w:r w:rsidR="00ED14A2" w:rsidRPr="001E27BC">
        <w:t>s</w:t>
      </w:r>
      <w:r w:rsidR="0004379F" w:rsidRPr="001E27BC">
        <w:t xml:space="preserve"> do not exist </w:t>
      </w:r>
      <w:r w:rsidR="00ED14A2" w:rsidRPr="001E27BC">
        <w:t xml:space="preserve">in all GCCA countries, </w:t>
      </w:r>
      <w:r w:rsidR="0004379F" w:rsidRPr="001E27BC">
        <w:t>and when they exist they are not necessarily operational.</w:t>
      </w:r>
    </w:p>
    <w:p w:rsidR="00727B95" w:rsidRPr="001E27BC" w:rsidRDefault="00644BE0" w:rsidP="00727B95">
      <w:pPr>
        <w:numPr>
          <w:ilvl w:val="0"/>
          <w:numId w:val="11"/>
        </w:numPr>
      </w:pPr>
      <w:r w:rsidRPr="001E27BC">
        <w:t>P</w:t>
      </w:r>
      <w:r w:rsidR="001D3D1F" w:rsidRPr="001E27BC">
        <w:t xml:space="preserve">rivate sector involvement in the programme is relatively weak. </w:t>
      </w:r>
      <w:r w:rsidR="00727B95" w:rsidRPr="001E27BC">
        <w:t>This is partly due to the weakness of the Clean Development Mechanism (CDM), one of the GCCA’s priority areas of action; none of the national programmes visited used GCCA support to strengthen participation in the CDM, though some of the regional, Intra-ACP GCCA su</w:t>
      </w:r>
      <w:r w:rsidR="00727B95" w:rsidRPr="001E27BC">
        <w:t>p</w:t>
      </w:r>
      <w:r w:rsidR="00727B95" w:rsidRPr="001E27BC">
        <w:t>ported programmes do.</w:t>
      </w:r>
      <w:r w:rsidR="00381522" w:rsidRPr="001E27BC">
        <w:rPr>
          <w:rStyle w:val="FootnoteReference"/>
        </w:rPr>
        <w:footnoteReference w:id="9"/>
      </w:r>
      <w:r w:rsidR="00727B95" w:rsidRPr="001E27BC">
        <w:t xml:space="preserve"> Clearly, conditions in the carbon markets do not provide strong incentives for CDM-related action. However, the private sector does often come in as a service provider in the development of community infrastructure (for example in Nepal, Burkina Faso), rather than as a direct target group.  </w:t>
      </w:r>
    </w:p>
    <w:p w:rsidR="00CF2606" w:rsidRPr="001E27BC" w:rsidRDefault="001D3D1F" w:rsidP="00A53F16">
      <w:pPr>
        <w:numPr>
          <w:ilvl w:val="0"/>
          <w:numId w:val="11"/>
        </w:numPr>
      </w:pPr>
      <w:r w:rsidRPr="001E27BC">
        <w:t xml:space="preserve">Stronger engagement of the private sector </w:t>
      </w:r>
      <w:r w:rsidRPr="009672E5">
        <w:t xml:space="preserve">seems to require the development </w:t>
      </w:r>
      <w:r w:rsidR="00266538" w:rsidRPr="009672E5">
        <w:t xml:space="preserve">of </w:t>
      </w:r>
      <w:r w:rsidRPr="009672E5">
        <w:t xml:space="preserve">climate change </w:t>
      </w:r>
      <w:r w:rsidR="00117816" w:rsidRPr="009672E5">
        <w:t>F</w:t>
      </w:r>
      <w:r w:rsidRPr="009672E5">
        <w:t xml:space="preserve">unds </w:t>
      </w:r>
      <w:r w:rsidR="005E0A69" w:rsidRPr="009672E5">
        <w:t xml:space="preserve">using </w:t>
      </w:r>
      <w:r w:rsidRPr="009672E5">
        <w:t xml:space="preserve">Calls for Proposals </w:t>
      </w:r>
      <w:r w:rsidR="005E0A69" w:rsidRPr="009672E5">
        <w:t xml:space="preserve">that </w:t>
      </w:r>
      <w:r w:rsidR="00727B95" w:rsidRPr="009672E5">
        <w:t xml:space="preserve">allow for eligibility </w:t>
      </w:r>
      <w:r w:rsidR="00644BE0" w:rsidRPr="009672E5">
        <w:t xml:space="preserve">for </w:t>
      </w:r>
      <w:r w:rsidR="005E0A69" w:rsidRPr="009672E5">
        <w:t>private sector oper</w:t>
      </w:r>
      <w:r w:rsidR="005E0A69" w:rsidRPr="009672E5">
        <w:t>a</w:t>
      </w:r>
      <w:r w:rsidR="005E0A69" w:rsidRPr="009672E5">
        <w:t xml:space="preserve">tors. </w:t>
      </w:r>
      <w:r w:rsidRPr="009672E5">
        <w:t xml:space="preserve">A good example of such </w:t>
      </w:r>
      <w:r w:rsidR="00644BE0" w:rsidRPr="009672E5">
        <w:t xml:space="preserve">a </w:t>
      </w:r>
      <w:r w:rsidR="005E0A69" w:rsidRPr="009672E5">
        <w:t xml:space="preserve">Fund </w:t>
      </w:r>
      <w:r w:rsidR="00117816" w:rsidRPr="009672E5">
        <w:t>is the FONERWA (</w:t>
      </w:r>
      <w:r w:rsidR="000B29E5" w:rsidRPr="009672E5">
        <w:t>a national climate change and environment fund</w:t>
      </w:r>
      <w:r w:rsidR="00117816" w:rsidRPr="009672E5">
        <w:t>) found in Rwanda</w:t>
      </w:r>
      <w:r w:rsidR="000B29E5" w:rsidRPr="009672E5">
        <w:t>, established in 2012</w:t>
      </w:r>
      <w:r w:rsidR="005E0A69" w:rsidRPr="009672E5">
        <w:t>. It is a well-developed mech</w:t>
      </w:r>
      <w:r w:rsidR="005E0A69" w:rsidRPr="009672E5">
        <w:t>a</w:t>
      </w:r>
      <w:r w:rsidR="005E0A69" w:rsidRPr="009672E5">
        <w:t xml:space="preserve">nism for </w:t>
      </w:r>
      <w:r w:rsidR="00644BE0" w:rsidRPr="009672E5">
        <w:t xml:space="preserve">the </w:t>
      </w:r>
      <w:r w:rsidR="005E0A69" w:rsidRPr="009672E5">
        <w:t>allocation of climate funds</w:t>
      </w:r>
      <w:r w:rsidR="00117816" w:rsidRPr="009672E5">
        <w:rPr>
          <w:vertAlign w:val="superscript"/>
        </w:rPr>
        <w:footnoteReference w:id="10"/>
      </w:r>
      <w:r w:rsidR="005E0A69" w:rsidRPr="009672E5">
        <w:t xml:space="preserve"> to the most competitive proposals, including from governmental, civil society organisations and the Private Sector. It applies an inn</w:t>
      </w:r>
      <w:r w:rsidR="005E0A69" w:rsidRPr="009672E5">
        <w:t>o</w:t>
      </w:r>
      <w:r w:rsidR="005E0A69" w:rsidRPr="009672E5">
        <w:t>vative approach whereby government institutions need to compete on an equal basis with private sector and civil society organisations for limited funds in a fully competitive pr</w:t>
      </w:r>
      <w:r w:rsidR="005E0A69" w:rsidRPr="009672E5">
        <w:t>o</w:t>
      </w:r>
      <w:r w:rsidR="005E0A69" w:rsidRPr="009672E5">
        <w:t xml:space="preserve">cess. </w:t>
      </w:r>
      <w:r w:rsidR="00117816" w:rsidRPr="009672E5">
        <w:t>A</w:t>
      </w:r>
      <w:r w:rsidR="005E0A69" w:rsidRPr="009672E5">
        <w:t xml:space="preserve">t the time of </w:t>
      </w:r>
      <w:r w:rsidR="00644BE0" w:rsidRPr="009672E5">
        <w:t xml:space="preserve">the </w:t>
      </w:r>
      <w:r w:rsidR="005E0A69" w:rsidRPr="009672E5">
        <w:t xml:space="preserve">conception of the </w:t>
      </w:r>
      <w:r w:rsidR="00117816" w:rsidRPr="009672E5">
        <w:t>GCCA action in Rwanda it w</w:t>
      </w:r>
      <w:r w:rsidR="00CF2606" w:rsidRPr="009672E5">
        <w:t xml:space="preserve">as considered to be </w:t>
      </w:r>
      <w:r w:rsidR="00117816" w:rsidRPr="009672E5">
        <w:t xml:space="preserve">still insufficiently defined to qualify for GCCA </w:t>
      </w:r>
      <w:r w:rsidR="00CF2606" w:rsidRPr="009672E5">
        <w:t xml:space="preserve">funding </w:t>
      </w:r>
      <w:r w:rsidR="00117816" w:rsidRPr="009672E5">
        <w:t xml:space="preserve">support, but future support to such National Funds is </w:t>
      </w:r>
      <w:r w:rsidR="00266538" w:rsidRPr="009672E5">
        <w:t xml:space="preserve">seen as being a feasible </w:t>
      </w:r>
      <w:r w:rsidR="00117816" w:rsidRPr="009672E5">
        <w:t>approach to strengthen private sector e</w:t>
      </w:r>
      <w:r w:rsidR="00117816" w:rsidRPr="009672E5">
        <w:t>n</w:t>
      </w:r>
      <w:r w:rsidR="00117816" w:rsidRPr="009672E5">
        <w:t>gagement</w:t>
      </w:r>
      <w:r w:rsidR="00117816" w:rsidRPr="001E27BC">
        <w:t xml:space="preserve"> in climate action</w:t>
      </w:r>
      <w:r w:rsidR="00CF2606" w:rsidRPr="001E27BC">
        <w:t>.</w:t>
      </w:r>
    </w:p>
    <w:p w:rsidR="00266538" w:rsidRPr="00135A75" w:rsidRDefault="00266538" w:rsidP="00135A75">
      <w:pPr>
        <w:keepNext/>
        <w:keepLines/>
        <w:ind w:left="360"/>
        <w:rPr>
          <w:b/>
        </w:rPr>
      </w:pPr>
      <w:r w:rsidRPr="00135A75">
        <w:rPr>
          <w:b/>
        </w:rPr>
        <w:t>REC: It is recommended to promote stronger involvement of non-state actors and the private sector in GCCA-supported activities.</w:t>
      </w:r>
    </w:p>
    <w:p w:rsidR="00117816" w:rsidRPr="001E27BC" w:rsidRDefault="00266538" w:rsidP="00266538">
      <w:pPr>
        <w:pStyle w:val="ListParagraph"/>
        <w:numPr>
          <w:ilvl w:val="0"/>
          <w:numId w:val="22"/>
        </w:numPr>
      </w:pPr>
      <w:r w:rsidRPr="001E27BC">
        <w:rPr>
          <w:i/>
        </w:rPr>
        <w:t xml:space="preserve">It is important to promote stronger </w:t>
      </w:r>
      <w:r w:rsidRPr="001E27BC">
        <w:rPr>
          <w:b/>
          <w:i/>
        </w:rPr>
        <w:t>involvement of relevant non-state actors</w:t>
      </w:r>
      <w:r w:rsidRPr="001E27BC">
        <w:rPr>
          <w:i/>
        </w:rPr>
        <w:t xml:space="preserve"> in GCCA-supported action (at both national and regional levels, as well as with NSA’s based in the North), in order to ensure proper engagement with, and capacity development of, the populations most vulnerable to the effects of climate change. Likewise, where possible, </w:t>
      </w:r>
      <w:r w:rsidRPr="001E27BC">
        <w:rPr>
          <w:b/>
          <w:i/>
        </w:rPr>
        <w:t>engagement with the private sector</w:t>
      </w:r>
      <w:r w:rsidRPr="001E27BC">
        <w:rPr>
          <w:i/>
        </w:rPr>
        <w:t xml:space="preserve"> should be strengthened, for example through i</w:t>
      </w:r>
      <w:r w:rsidRPr="001E27BC">
        <w:rPr>
          <w:i/>
        </w:rPr>
        <w:t>n</w:t>
      </w:r>
      <w:r w:rsidRPr="001E27BC">
        <w:rPr>
          <w:i/>
        </w:rPr>
        <w:t xml:space="preserve">creased support for national climate action funds that include private sector support, such as the FONERWA in Rwanda. Where relevant, GCCA-supported actions should also link up with the private sector support programmes funded by MS but which, thus far, have not developed a strong climate change focus. </w:t>
      </w:r>
    </w:p>
    <w:p w:rsidR="000C2340" w:rsidRPr="001E27BC" w:rsidRDefault="000B29E5" w:rsidP="00527CC2">
      <w:pPr>
        <w:numPr>
          <w:ilvl w:val="0"/>
          <w:numId w:val="11"/>
        </w:numPr>
      </w:pPr>
      <w:r w:rsidRPr="001E27BC">
        <w:t xml:space="preserve">In terms of </w:t>
      </w:r>
      <w:r w:rsidR="000C2340" w:rsidRPr="001E27BC">
        <w:t xml:space="preserve">GCCA priority areas and </w:t>
      </w:r>
      <w:r w:rsidRPr="001E27BC">
        <w:t xml:space="preserve">sectors, </w:t>
      </w:r>
      <w:r w:rsidR="00D95462" w:rsidRPr="001E27BC">
        <w:t xml:space="preserve">all interventions except the one in Mauritius, </w:t>
      </w:r>
      <w:r w:rsidRPr="001E27BC">
        <w:t xml:space="preserve">concern the sectors (agriculture, water, </w:t>
      </w:r>
      <w:r w:rsidR="00D95462" w:rsidRPr="001E27BC">
        <w:t xml:space="preserve">natural resource management </w:t>
      </w:r>
      <w:r w:rsidRPr="001E27BC">
        <w:t>and disaster risks) most relevant to vulnerable populations</w:t>
      </w:r>
      <w:r w:rsidR="00824233" w:rsidRPr="001E27BC">
        <w:t xml:space="preserve">, </w:t>
      </w:r>
      <w:r w:rsidR="00527CC2" w:rsidRPr="001E27BC">
        <w:t xml:space="preserve">with a clear </w:t>
      </w:r>
      <w:r w:rsidR="00824233" w:rsidRPr="001E27BC">
        <w:t>scope to alleviate poverty</w:t>
      </w:r>
      <w:r w:rsidRPr="001E27BC">
        <w:t>.</w:t>
      </w:r>
      <w:r w:rsidR="00D95462" w:rsidRPr="001E27BC">
        <w:t xml:space="preserve"> </w:t>
      </w:r>
      <w:r w:rsidRPr="001E27BC">
        <w:t>The REDD actions (</w:t>
      </w:r>
      <w:r w:rsidR="0053760E" w:rsidRPr="001E27BC">
        <w:t xml:space="preserve">case </w:t>
      </w:r>
      <w:r w:rsidRPr="001E27BC">
        <w:t xml:space="preserve">Burkina Faso) </w:t>
      </w:r>
      <w:r w:rsidR="0053760E" w:rsidRPr="001E27BC">
        <w:t>require specifi</w:t>
      </w:r>
      <w:r w:rsidR="00D95462" w:rsidRPr="001E27BC">
        <w:t>c attention to ensure REDD-benefits</w:t>
      </w:r>
      <w:r w:rsidR="0053760E" w:rsidRPr="001E27BC">
        <w:t xml:space="preserve"> would indeed accrue to the most vulnerable populations, and corresponding recommend</w:t>
      </w:r>
      <w:r w:rsidR="0053760E" w:rsidRPr="001E27BC">
        <w:t>a</w:t>
      </w:r>
      <w:r w:rsidR="0053760E" w:rsidRPr="001E27BC">
        <w:t xml:space="preserve">tions were made in the </w:t>
      </w:r>
      <w:r w:rsidR="00D95462" w:rsidRPr="001E27BC">
        <w:t xml:space="preserve">relevant </w:t>
      </w:r>
      <w:r w:rsidR="0053760E" w:rsidRPr="001E27BC">
        <w:t>Aide Memoire (</w:t>
      </w:r>
      <w:r w:rsidR="0053760E" w:rsidRPr="001E27BC">
        <w:rPr>
          <w:i/>
        </w:rPr>
        <w:t>Annex 3.4</w:t>
      </w:r>
      <w:r w:rsidR="000C2340" w:rsidRPr="001E27BC">
        <w:t>).</w:t>
      </w:r>
    </w:p>
    <w:p w:rsidR="00527CC2" w:rsidRPr="001E27BC" w:rsidRDefault="00824233" w:rsidP="00527CC2">
      <w:pPr>
        <w:numPr>
          <w:ilvl w:val="0"/>
          <w:numId w:val="11"/>
        </w:numPr>
      </w:pPr>
      <w:r w:rsidRPr="001E27BC">
        <w:t>The national programmes visited did not include any action focusing on CDM or other carbon trade</w:t>
      </w:r>
      <w:r w:rsidR="00527CC2" w:rsidRPr="001E27BC">
        <w:t>,</w:t>
      </w:r>
      <w:r w:rsidRPr="001E27BC">
        <w:t xml:space="preserve"> but the West-African regional GCCA programme (managed by ECOWAS/CILSS) </w:t>
      </w:r>
      <w:r w:rsidR="00527CC2" w:rsidRPr="001E27BC">
        <w:t xml:space="preserve">has trained and accompanied twenty six (26) proponents of carbon projects to submit their Project Idea Notes (PINs) for funding. It is recommended (in the concerned Mission Aide Memoire) that sufficient financial and human resources be made available to maximise chances for these projects to be financed and implemented, since they can make a direct contribution to poverty alleviation. To this end, a partnership was established between CILSS and the </w:t>
      </w:r>
      <w:r w:rsidR="00E6377F" w:rsidRPr="001E27BC">
        <w:t>UNFCCC/</w:t>
      </w:r>
      <w:r w:rsidR="00527CC2" w:rsidRPr="001E27BC">
        <w:t>CDM Secretariat based in Bonn.</w:t>
      </w:r>
    </w:p>
    <w:p w:rsidR="00D036B2" w:rsidRPr="001E27BC" w:rsidRDefault="006C6102" w:rsidP="000C2340">
      <w:pPr>
        <w:ind w:left="709" w:hanging="709"/>
        <w:rPr>
          <w:b/>
          <w:i/>
        </w:rPr>
      </w:pPr>
      <w:r w:rsidRPr="001E27BC">
        <w:rPr>
          <w:b/>
          <w:i/>
        </w:rPr>
        <w:t>EQ</w:t>
      </w:r>
      <w:r w:rsidR="00D036B2" w:rsidRPr="001E27BC">
        <w:rPr>
          <w:b/>
          <w:i/>
        </w:rPr>
        <w:t>5.</w:t>
      </w:r>
      <w:r w:rsidR="00D036B2" w:rsidRPr="001E27BC">
        <w:rPr>
          <w:b/>
          <w:i/>
        </w:rPr>
        <w:tab/>
        <w:t>To what extent has the programme contributed to effec</w:t>
      </w:r>
      <w:r w:rsidRPr="001E27BC">
        <w:rPr>
          <w:b/>
          <w:i/>
        </w:rPr>
        <w:t>tive capacity building (= an in</w:t>
      </w:r>
      <w:r w:rsidR="00D036B2" w:rsidRPr="001E27BC">
        <w:rPr>
          <w:b/>
          <w:i/>
        </w:rPr>
        <w:t>termediate result contributing to achievement of objectives)?</w:t>
      </w:r>
    </w:p>
    <w:p w:rsidR="00CD0D96" w:rsidRPr="001E27BC" w:rsidRDefault="003B7700" w:rsidP="0076070B">
      <w:pPr>
        <w:numPr>
          <w:ilvl w:val="0"/>
          <w:numId w:val="14"/>
        </w:numPr>
      </w:pPr>
      <w:r w:rsidRPr="001E27BC">
        <w:t xml:space="preserve">The overall picture emerging is that </w:t>
      </w:r>
      <w:r w:rsidR="00882D65" w:rsidRPr="001E27BC">
        <w:t xml:space="preserve">most of the programmes visited (representing one third of all programmes) </w:t>
      </w:r>
      <w:r w:rsidRPr="001E27BC">
        <w:t xml:space="preserve">make </w:t>
      </w:r>
      <w:r w:rsidR="0076070B" w:rsidRPr="001E27BC">
        <w:t xml:space="preserve">some </w:t>
      </w:r>
      <w:r w:rsidR="00EB3ECC" w:rsidRPr="001E27BC">
        <w:t>contribut</w:t>
      </w:r>
      <w:r w:rsidRPr="001E27BC">
        <w:t>ion to the development and use of new c</w:t>
      </w:r>
      <w:r w:rsidR="00EB3ECC" w:rsidRPr="001E27BC">
        <w:t>a</w:t>
      </w:r>
      <w:r w:rsidR="00EB3ECC" w:rsidRPr="001E27BC">
        <w:t>pacit</w:t>
      </w:r>
      <w:r w:rsidRPr="001E27BC">
        <w:t>ies for climate</w:t>
      </w:r>
      <w:r w:rsidR="00EB3ECC" w:rsidRPr="001E27BC">
        <w:t xml:space="preserve"> ac</w:t>
      </w:r>
      <w:r w:rsidR="0076070B" w:rsidRPr="001E27BC">
        <w:t>tion,</w:t>
      </w:r>
      <w:r w:rsidRPr="001E27BC">
        <w:t xml:space="preserve"> </w:t>
      </w:r>
      <w:r w:rsidR="0076070B" w:rsidRPr="001E27BC">
        <w:t xml:space="preserve">but </w:t>
      </w:r>
      <w:r w:rsidR="00882D65" w:rsidRPr="001E27BC">
        <w:t xml:space="preserve">that </w:t>
      </w:r>
      <w:r w:rsidR="0076070B" w:rsidRPr="001E27BC">
        <w:t xml:space="preserve">only </w:t>
      </w:r>
      <w:r w:rsidR="00882D65" w:rsidRPr="001E27BC">
        <w:t xml:space="preserve">a </w:t>
      </w:r>
      <w:r w:rsidR="0076070B" w:rsidRPr="001E27BC">
        <w:t xml:space="preserve">few make a significant contribution. </w:t>
      </w:r>
      <w:r w:rsidRPr="001E27BC">
        <w:t xml:space="preserve">In </w:t>
      </w:r>
      <w:r w:rsidR="006309AA" w:rsidRPr="001E27BC">
        <w:t xml:space="preserve">some </w:t>
      </w:r>
      <w:r w:rsidRPr="001E27BC">
        <w:t>case</w:t>
      </w:r>
      <w:r w:rsidR="006309AA" w:rsidRPr="001E27BC">
        <w:t>s</w:t>
      </w:r>
      <w:r w:rsidRPr="001E27BC">
        <w:t xml:space="preserve"> (Ethiopia</w:t>
      </w:r>
      <w:r w:rsidR="006309AA" w:rsidRPr="001E27BC">
        <w:t xml:space="preserve">, </w:t>
      </w:r>
      <w:r w:rsidR="00882D65" w:rsidRPr="001E27BC">
        <w:t>Jamaica</w:t>
      </w:r>
      <w:r w:rsidRPr="001E27BC">
        <w:t xml:space="preserve">) this contribution was very </w:t>
      </w:r>
      <w:r w:rsidR="00AA334D" w:rsidRPr="001E27BC">
        <w:t>convincing</w:t>
      </w:r>
      <w:r w:rsidRPr="001E27BC">
        <w:t>, at all levels from national-level government down to the com</w:t>
      </w:r>
      <w:r w:rsidR="0076070B" w:rsidRPr="001E27BC">
        <w:t>munity level, th</w:t>
      </w:r>
      <w:r w:rsidR="00AA334D" w:rsidRPr="001E27BC">
        <w:t xml:space="preserve">anks to </w:t>
      </w:r>
      <w:r w:rsidR="0076070B" w:rsidRPr="001E27BC">
        <w:t xml:space="preserve">explicit training </w:t>
      </w:r>
      <w:r w:rsidR="00AA334D" w:rsidRPr="001E27BC">
        <w:t>activ</w:t>
      </w:r>
      <w:r w:rsidR="00AA334D" w:rsidRPr="001E27BC">
        <w:t>i</w:t>
      </w:r>
      <w:r w:rsidR="00AA334D" w:rsidRPr="001E27BC">
        <w:t xml:space="preserve">ties for </w:t>
      </w:r>
      <w:r w:rsidR="0076070B" w:rsidRPr="001E27BC">
        <w:t>project partners by experts, organisation of target groups</w:t>
      </w:r>
      <w:r w:rsidR="001D31D2" w:rsidRPr="001E27BC">
        <w:t>,</w:t>
      </w:r>
      <w:r w:rsidR="0076070B" w:rsidRPr="001E27BC">
        <w:t xml:space="preserve"> and preparation of i</w:t>
      </w:r>
      <w:r w:rsidR="0076070B" w:rsidRPr="001E27BC">
        <w:t>n</w:t>
      </w:r>
      <w:r w:rsidR="0076070B" w:rsidRPr="001E27BC">
        <w:t xml:space="preserve">formation and technology packages targeting communities. </w:t>
      </w:r>
      <w:r w:rsidR="002D71F0" w:rsidRPr="001E27BC">
        <w:t>In the case of Belize, the national Climate Change Office has been made operational due</w:t>
      </w:r>
      <w:r w:rsidR="001D31D2" w:rsidRPr="001E27BC">
        <w:t>,</w:t>
      </w:r>
      <w:r w:rsidR="002D71F0" w:rsidRPr="001E27BC">
        <w:t xml:space="preserve"> in large part</w:t>
      </w:r>
      <w:r w:rsidR="001D31D2" w:rsidRPr="001E27BC">
        <w:t>,</w:t>
      </w:r>
      <w:r w:rsidR="002D71F0" w:rsidRPr="001E27BC">
        <w:t xml:space="preserve"> to the co</w:t>
      </w:r>
      <w:r w:rsidR="002D71F0" w:rsidRPr="001E27BC">
        <w:t>n</w:t>
      </w:r>
      <w:r w:rsidR="002D71F0" w:rsidRPr="001E27BC">
        <w:t>tribution of the national GCCA programme working in collaboration with the regional I</w:t>
      </w:r>
      <w:r w:rsidR="002D71F0" w:rsidRPr="001E27BC">
        <w:t>n</w:t>
      </w:r>
      <w:r w:rsidR="002D71F0" w:rsidRPr="001E27BC">
        <w:t>tra-ACP Regional Programme for the Caribbean. The Belize Climate Change Office</w:t>
      </w:r>
      <w:r w:rsidR="001D31D2" w:rsidRPr="001E27BC">
        <w:t>, for example,</w:t>
      </w:r>
      <w:r w:rsidR="002D71F0" w:rsidRPr="001E27BC">
        <w:t xml:space="preserve"> is staffed by </w:t>
      </w:r>
      <w:r w:rsidR="00151045" w:rsidRPr="001E27BC">
        <w:t>competent</w:t>
      </w:r>
      <w:r w:rsidR="002D71F0" w:rsidRPr="001E27BC">
        <w:t xml:space="preserve"> professionals with climate change backgrounds. In a short time</w:t>
      </w:r>
      <w:r w:rsidR="00151045" w:rsidRPr="001E27BC">
        <w:t>,</w:t>
      </w:r>
      <w:r w:rsidR="002D71F0" w:rsidRPr="001E27BC">
        <w:t xml:space="preserve"> the office has been able to become the focal point for climate change activity in the country and is relied upon by the Minister of the Environment for guidance. </w:t>
      </w:r>
    </w:p>
    <w:p w:rsidR="009E2CC0" w:rsidRPr="009672E5" w:rsidRDefault="009E2CC0" w:rsidP="009E2CC0">
      <w:pPr>
        <w:pStyle w:val="ListParagraph"/>
        <w:numPr>
          <w:ilvl w:val="0"/>
          <w:numId w:val="14"/>
        </w:numPr>
      </w:pPr>
      <w:r w:rsidRPr="001E27BC">
        <w:t xml:space="preserve">The </w:t>
      </w:r>
      <w:r w:rsidR="00AA5372" w:rsidRPr="001E27BC">
        <w:t xml:space="preserve">GCCA </w:t>
      </w:r>
      <w:r w:rsidRPr="001E27BC">
        <w:t xml:space="preserve">Capacity Building objective strongly benefits from activities </w:t>
      </w:r>
      <w:r w:rsidR="00AA5372" w:rsidRPr="001E27BC">
        <w:t xml:space="preserve">undertaken from the central level (GCCA) and </w:t>
      </w:r>
      <w:r w:rsidRPr="001E27BC">
        <w:t xml:space="preserve">under the Intra-ACP GCCA programme. In particular, mainstreaming of climate change into national policies and strategies has been fostered by the </w:t>
      </w:r>
      <w:r w:rsidR="00AA5372" w:rsidRPr="001E27BC">
        <w:t xml:space="preserve">Global Support Facility (GSF) and by </w:t>
      </w:r>
      <w:r w:rsidRPr="001E27BC">
        <w:t xml:space="preserve">Climate Support Facility </w:t>
      </w:r>
      <w:r w:rsidR="00FE45BB" w:rsidRPr="001E27BC">
        <w:t xml:space="preserve">(CSF) </w:t>
      </w:r>
      <w:r w:rsidRPr="001E27BC">
        <w:t xml:space="preserve">of the Intra-ACP GCCA </w:t>
      </w:r>
      <w:r w:rsidRPr="009672E5">
        <w:t>programme</w:t>
      </w:r>
      <w:r w:rsidR="00AA5372" w:rsidRPr="009672E5">
        <w:t xml:space="preserve"> for the </w:t>
      </w:r>
      <w:r w:rsidRPr="009672E5">
        <w:t xml:space="preserve">West-African countries. </w:t>
      </w:r>
      <w:r w:rsidR="00A859DC" w:rsidRPr="009672E5">
        <w:t xml:space="preserve">This is extensively discussed in the report on </w:t>
      </w:r>
      <w:r w:rsidR="001D31D2" w:rsidRPr="009672E5">
        <w:t xml:space="preserve">the mid-term </w:t>
      </w:r>
      <w:r w:rsidR="00A859DC" w:rsidRPr="009672E5">
        <w:t xml:space="preserve">evaluation of the Intra-ACP GCCA programme. </w:t>
      </w:r>
      <w:r w:rsidRPr="009672E5">
        <w:t xml:space="preserve">As mentioned under EQ3, EC and GSF lead </w:t>
      </w:r>
      <w:r w:rsidR="00CE48EE" w:rsidRPr="009672E5">
        <w:t>g</w:t>
      </w:r>
      <w:r w:rsidRPr="009672E5">
        <w:t xml:space="preserve">lobal </w:t>
      </w:r>
      <w:r w:rsidR="00CE48EE" w:rsidRPr="009672E5">
        <w:t>p</w:t>
      </w:r>
      <w:r w:rsidRPr="009672E5">
        <w:t>olicy events and the Capacity 4 Development ne</w:t>
      </w:r>
      <w:r w:rsidRPr="009672E5">
        <w:t>t</w:t>
      </w:r>
      <w:r w:rsidRPr="009672E5">
        <w:t>work and platform also make important contributions to the capacity development obje</w:t>
      </w:r>
      <w:r w:rsidRPr="009672E5">
        <w:t>c</w:t>
      </w:r>
      <w:r w:rsidRPr="009672E5">
        <w:t>tives of the programme. Their actual impact has not been measured, though.</w:t>
      </w:r>
    </w:p>
    <w:p w:rsidR="003B7700" w:rsidRPr="009672E5" w:rsidRDefault="00AA334D" w:rsidP="0076070B">
      <w:pPr>
        <w:numPr>
          <w:ilvl w:val="0"/>
          <w:numId w:val="14"/>
        </w:numPr>
      </w:pPr>
      <w:r w:rsidRPr="009672E5">
        <w:t>In Mozambique, the mobilisation of a high number of actors (</w:t>
      </w:r>
      <w:r w:rsidR="006309AA" w:rsidRPr="009672E5">
        <w:t>&gt;</w:t>
      </w:r>
      <w:r w:rsidRPr="009672E5">
        <w:t xml:space="preserve"> 200) through the small grants programme also contributes indirectly </w:t>
      </w:r>
      <w:r w:rsidR="000F5460" w:rsidRPr="009672E5">
        <w:t xml:space="preserve">but importantly </w:t>
      </w:r>
      <w:r w:rsidRPr="009672E5">
        <w:t xml:space="preserve">to development of capacities </w:t>
      </w:r>
      <w:r w:rsidR="006309AA" w:rsidRPr="009672E5">
        <w:t xml:space="preserve">of many actors </w:t>
      </w:r>
      <w:r w:rsidRPr="009672E5">
        <w:t xml:space="preserve">for undertaking climate action. </w:t>
      </w:r>
    </w:p>
    <w:p w:rsidR="00CD0D96" w:rsidRPr="009672E5" w:rsidRDefault="003945D0" w:rsidP="00135A75">
      <w:pPr>
        <w:ind w:left="360"/>
        <w:rPr>
          <w:b/>
        </w:rPr>
      </w:pPr>
      <w:r w:rsidRPr="009672E5">
        <w:rPr>
          <w:b/>
        </w:rPr>
        <w:t>Lesson learned 3</w:t>
      </w:r>
      <w:r w:rsidR="00CD0D96" w:rsidRPr="009672E5">
        <w:rPr>
          <w:b/>
        </w:rPr>
        <w:t xml:space="preserve">: Small grants programmes are capable of contributing significantly to the GCCA’s capacity building objective thanks to mobilisation of a high number of civil </w:t>
      </w:r>
      <w:r w:rsidR="00170F63" w:rsidRPr="009672E5">
        <w:rPr>
          <w:b/>
        </w:rPr>
        <w:t xml:space="preserve">society </w:t>
      </w:r>
      <w:r w:rsidR="00CD0D96" w:rsidRPr="009672E5">
        <w:rPr>
          <w:b/>
        </w:rPr>
        <w:t xml:space="preserve">and/or governmental actors. </w:t>
      </w:r>
    </w:p>
    <w:p w:rsidR="000F5460" w:rsidRPr="001E27BC" w:rsidRDefault="000F5460" w:rsidP="0076070B">
      <w:pPr>
        <w:numPr>
          <w:ilvl w:val="0"/>
          <w:numId w:val="14"/>
        </w:numPr>
      </w:pPr>
      <w:r w:rsidRPr="009672E5">
        <w:t>In two countries</w:t>
      </w:r>
      <w:r w:rsidR="005263B2" w:rsidRPr="009672E5">
        <w:t xml:space="preserve"> of the ten country interventions</w:t>
      </w:r>
      <w:r w:rsidR="005263B2" w:rsidRPr="001E27BC">
        <w:t xml:space="preserve"> evaluated</w:t>
      </w:r>
      <w:r w:rsidRPr="001E27BC">
        <w:t>, the capacity building obje</w:t>
      </w:r>
      <w:r w:rsidRPr="001E27BC">
        <w:t>c</w:t>
      </w:r>
      <w:r w:rsidRPr="001E27BC">
        <w:t xml:space="preserve">tive </w:t>
      </w:r>
      <w:r w:rsidR="005263B2" w:rsidRPr="001E27BC">
        <w:t>was less effective. This was partly due to the nature of the in</w:t>
      </w:r>
      <w:r w:rsidR="00170F63" w:rsidRPr="001E27BC">
        <w:t>strument chosen (budget support</w:t>
      </w:r>
      <w:r w:rsidR="005263B2" w:rsidRPr="001E27BC">
        <w:t>, in the case of Rwanda</w:t>
      </w:r>
      <w:r w:rsidR="00170F63" w:rsidRPr="001E27BC">
        <w:t>)</w:t>
      </w:r>
      <w:r w:rsidR="005263B2" w:rsidRPr="001E27BC">
        <w:t xml:space="preserve">, even though this would not preclude a separate </w:t>
      </w:r>
      <w:r w:rsidR="00EE1EC6" w:rsidRPr="001E27BC">
        <w:t>c</w:t>
      </w:r>
      <w:r w:rsidR="005263B2" w:rsidRPr="001E27BC">
        <w:t xml:space="preserve">apacity </w:t>
      </w:r>
      <w:r w:rsidR="00EE1EC6" w:rsidRPr="001E27BC">
        <w:t>b</w:t>
      </w:r>
      <w:r w:rsidR="005263B2" w:rsidRPr="001E27BC">
        <w:t xml:space="preserve">uilding or </w:t>
      </w:r>
      <w:r w:rsidR="00235544" w:rsidRPr="001E27BC">
        <w:t>t</w:t>
      </w:r>
      <w:r w:rsidR="005263B2" w:rsidRPr="001E27BC">
        <w:t xml:space="preserve">echnical </w:t>
      </w:r>
      <w:r w:rsidR="00235544" w:rsidRPr="001E27BC">
        <w:t>a</w:t>
      </w:r>
      <w:r w:rsidR="005263B2" w:rsidRPr="001E27BC">
        <w:t>ssistance component. Capacity building to the concerned (Land R</w:t>
      </w:r>
      <w:r w:rsidR="005263B2" w:rsidRPr="001E27BC">
        <w:t>e</w:t>
      </w:r>
      <w:r w:rsidR="005263B2" w:rsidRPr="001E27BC">
        <w:t xml:space="preserve">form) programme was being delivered through UK-funded </w:t>
      </w:r>
      <w:r w:rsidR="00235544" w:rsidRPr="001E27BC">
        <w:t>t</w:t>
      </w:r>
      <w:r w:rsidR="005263B2" w:rsidRPr="001E27BC">
        <w:t xml:space="preserve">echnical assistance, but was not focused on capacities for </w:t>
      </w:r>
      <w:r w:rsidR="00235544" w:rsidRPr="001E27BC">
        <w:t>c</w:t>
      </w:r>
      <w:r w:rsidR="005263B2" w:rsidRPr="001E27BC">
        <w:t xml:space="preserve">limate </w:t>
      </w:r>
      <w:r w:rsidR="00235544" w:rsidRPr="001E27BC">
        <w:t>c</w:t>
      </w:r>
      <w:r w:rsidR="005263B2" w:rsidRPr="001E27BC">
        <w:t xml:space="preserve">hange adaptation. In the case of Benin, </w:t>
      </w:r>
      <w:r w:rsidR="00397AD8" w:rsidRPr="001E27BC">
        <w:t xml:space="preserve">provisions for capacity development were made, but due to implementation constraints the related activities had not started. </w:t>
      </w:r>
    </w:p>
    <w:p w:rsidR="002F5E0B" w:rsidRPr="001E27BC" w:rsidRDefault="002F5E0B" w:rsidP="00151045">
      <w:pPr>
        <w:numPr>
          <w:ilvl w:val="0"/>
          <w:numId w:val="14"/>
        </w:numPr>
      </w:pPr>
      <w:r w:rsidRPr="001E27BC">
        <w:t xml:space="preserve">The </w:t>
      </w:r>
      <w:r w:rsidR="00235544" w:rsidRPr="001E27BC">
        <w:t>t</w:t>
      </w:r>
      <w:r w:rsidRPr="001E27BC">
        <w:t xml:space="preserve">echnical </w:t>
      </w:r>
      <w:r w:rsidR="00235544" w:rsidRPr="001E27BC">
        <w:t>a</w:t>
      </w:r>
      <w:r w:rsidRPr="001E27BC">
        <w:t>ssistance provided under the programme to country programmes (cases Bhutan, Ethiopia, Mauritius</w:t>
      </w:r>
      <w:r w:rsidR="00151045" w:rsidRPr="001E27BC">
        <w:t>)</w:t>
      </w:r>
      <w:r w:rsidRPr="001E27BC">
        <w:t xml:space="preserve"> and as part of the GSF, was generally much appreciated, well adapted to local contexts and complementing national expertise, in line with princ</w:t>
      </w:r>
      <w:r w:rsidRPr="001E27BC">
        <w:t>i</w:t>
      </w:r>
      <w:r w:rsidRPr="001E27BC">
        <w:t>ple</w:t>
      </w:r>
      <w:r w:rsidR="00170F63" w:rsidRPr="001E27BC">
        <w:t>s</w:t>
      </w:r>
      <w:r w:rsidRPr="001E27BC">
        <w:t xml:space="preserve"> of the EU Backbone Strategy on </w:t>
      </w:r>
      <w:r w:rsidR="002C6201" w:rsidRPr="001E27BC">
        <w:t>t</w:t>
      </w:r>
      <w:r w:rsidRPr="001E27BC">
        <w:t xml:space="preserve">echnical </w:t>
      </w:r>
      <w:r w:rsidR="002C6201" w:rsidRPr="001E27BC">
        <w:t>a</w:t>
      </w:r>
      <w:r w:rsidRPr="001E27BC">
        <w:t xml:space="preserve">ssistance. In one case (Burkina Faso), it was felt that the World Bank </w:t>
      </w:r>
      <w:r w:rsidR="00200336" w:rsidRPr="001E27BC">
        <w:t xml:space="preserve">(WB) </w:t>
      </w:r>
      <w:r w:rsidRPr="001E27BC">
        <w:t>could have made better use of nationally available e</w:t>
      </w:r>
      <w:r w:rsidRPr="001E27BC">
        <w:t>x</w:t>
      </w:r>
      <w:r w:rsidRPr="001E27BC">
        <w:t xml:space="preserve">perts. </w:t>
      </w:r>
      <w:r w:rsidR="00151045" w:rsidRPr="001E27BC">
        <w:t xml:space="preserve">For Mozambique, a recommendation to use the Climate Support Facility to greater advantage was made. </w:t>
      </w:r>
    </w:p>
    <w:p w:rsidR="00C36F7E" w:rsidRPr="001E27BC" w:rsidRDefault="006309AA" w:rsidP="00C36F7E">
      <w:pPr>
        <w:numPr>
          <w:ilvl w:val="0"/>
          <w:numId w:val="14"/>
        </w:numPr>
      </w:pPr>
      <w:r w:rsidRPr="001E27BC">
        <w:t>That said</w:t>
      </w:r>
      <w:proofErr w:type="gramStart"/>
      <w:r w:rsidR="00EB3ECC" w:rsidRPr="001E27BC">
        <w:t>,</w:t>
      </w:r>
      <w:proofErr w:type="gramEnd"/>
      <w:r w:rsidR="00EB3ECC" w:rsidRPr="001E27BC">
        <w:t xml:space="preserve"> capacity development still </w:t>
      </w:r>
      <w:r w:rsidRPr="001E27BC">
        <w:t xml:space="preserve">remains </w:t>
      </w:r>
      <w:r w:rsidR="00EB3ECC" w:rsidRPr="001E27BC">
        <w:t>a major challenge in most target countries.</w:t>
      </w:r>
      <w:r w:rsidRPr="001E27BC">
        <w:t xml:space="preserve"> </w:t>
      </w:r>
      <w:r w:rsidR="00151045" w:rsidRPr="001E27BC">
        <w:t>Capacities for integration of climate change in sectoral plans or into projects are</w:t>
      </w:r>
      <w:r w:rsidR="003F3C2B" w:rsidRPr="001E27BC">
        <w:t xml:space="preserve"> generally still weak, in particular at </w:t>
      </w:r>
      <w:r w:rsidR="00151045" w:rsidRPr="001E27BC">
        <w:t>local</w:t>
      </w:r>
      <w:r w:rsidR="003F3C2B" w:rsidRPr="001E27BC">
        <w:t xml:space="preserve"> level. In most cases, technical assistance is required and foreseen</w:t>
      </w:r>
      <w:r w:rsidR="009E2CC0" w:rsidRPr="001E27BC">
        <w:t xml:space="preserve"> to upgrade existing capacities, including in situation</w:t>
      </w:r>
      <w:r w:rsidR="008441D1" w:rsidRPr="001E27BC">
        <w:t>s</w:t>
      </w:r>
      <w:r w:rsidR="009E2CC0" w:rsidRPr="001E27BC">
        <w:t xml:space="preserve"> where GCCA funding is provided as budget support. </w:t>
      </w:r>
    </w:p>
    <w:p w:rsidR="00170F63" w:rsidRPr="00135A75" w:rsidRDefault="00170F63" w:rsidP="00135A75">
      <w:pPr>
        <w:keepNext/>
        <w:keepLines/>
        <w:ind w:left="360"/>
        <w:rPr>
          <w:b/>
        </w:rPr>
      </w:pPr>
      <w:r w:rsidRPr="00135A75">
        <w:rPr>
          <w:b/>
        </w:rPr>
        <w:t>REC: It is recommended that the EU (as part of the implementation of their regional and national programmes) support long-term strategic planning and institutional c</w:t>
      </w:r>
      <w:r w:rsidRPr="00135A75">
        <w:rPr>
          <w:b/>
        </w:rPr>
        <w:t>a</w:t>
      </w:r>
      <w:r w:rsidRPr="00135A75">
        <w:rPr>
          <w:b/>
        </w:rPr>
        <w:t>pacity building for climate action at national and regional level in EU beneficiary coun</w:t>
      </w:r>
      <w:r w:rsidRPr="00135A75">
        <w:rPr>
          <w:b/>
        </w:rPr>
        <w:t>t</w:t>
      </w:r>
      <w:r w:rsidRPr="00135A75">
        <w:rPr>
          <w:b/>
        </w:rPr>
        <w:t>ries.</w:t>
      </w:r>
    </w:p>
    <w:p w:rsidR="001F5B08" w:rsidRPr="009672E5" w:rsidRDefault="00170F63" w:rsidP="00170F63">
      <w:pPr>
        <w:pStyle w:val="ListParagraph"/>
        <w:numPr>
          <w:ilvl w:val="0"/>
          <w:numId w:val="22"/>
        </w:numPr>
        <w:rPr>
          <w:i/>
        </w:rPr>
      </w:pPr>
      <w:r w:rsidRPr="009672E5">
        <w:rPr>
          <w:i/>
        </w:rPr>
        <w:t>The objective of this recommendation is to ensure stronger regional and national owne</w:t>
      </w:r>
      <w:r w:rsidRPr="009672E5">
        <w:rPr>
          <w:i/>
        </w:rPr>
        <w:t>r</w:t>
      </w:r>
      <w:r w:rsidRPr="009672E5">
        <w:rPr>
          <w:i/>
        </w:rPr>
        <w:t>ship of the climate-change agenda.</w:t>
      </w:r>
      <w:r w:rsidR="00BC6704" w:rsidRPr="009672E5">
        <w:rPr>
          <w:rStyle w:val="FootnoteReference"/>
          <w:i/>
        </w:rPr>
        <w:footnoteReference w:id="11"/>
      </w:r>
      <w:r w:rsidRPr="009672E5">
        <w:rPr>
          <w:i/>
        </w:rPr>
        <w:t xml:space="preserve"> This should include: support for the establishment of National Climate Change Office/Departments with sufficient authority to define and i</w:t>
      </w:r>
      <w:r w:rsidRPr="009672E5">
        <w:rPr>
          <w:i/>
        </w:rPr>
        <w:t>n</w:t>
      </w:r>
      <w:r w:rsidRPr="009672E5">
        <w:rPr>
          <w:i/>
        </w:rPr>
        <w:t>fluence national strategies and to influence the development of regional (climate-action) strategies; and, in parallel, provide support for capacity building in these institutions to ensure adequate capabilities over the long-term. Additional technical assistance support - either long-term or as a series of short-term inputs using, for example, the Framework contract mechanism - could also be considered to increase support for national capacity building; also in some cases GCCA support can be provided in the form of budgetary support. This could include technical assistance to facilitate budget support.</w:t>
      </w:r>
    </w:p>
    <w:p w:rsidR="00D036B2" w:rsidRPr="001E27BC" w:rsidRDefault="00315F62" w:rsidP="003936A6">
      <w:pPr>
        <w:pStyle w:val="Heading2"/>
      </w:pPr>
      <w:bookmarkStart w:id="22" w:name="_Toc284767318"/>
      <w:r>
        <w:t>2.4</w:t>
      </w:r>
      <w:r>
        <w:tab/>
      </w:r>
      <w:r w:rsidR="00D036B2" w:rsidRPr="001E27BC">
        <w:t>On efficiency</w:t>
      </w:r>
      <w:r w:rsidR="006C6102" w:rsidRPr="001E27BC">
        <w:t xml:space="preserve"> (sound management and value for money):</w:t>
      </w:r>
      <w:bookmarkEnd w:id="22"/>
    </w:p>
    <w:p w:rsidR="00D036B2" w:rsidRPr="001E27BC" w:rsidRDefault="006C6102" w:rsidP="0076070B">
      <w:pPr>
        <w:ind w:left="709" w:hanging="709"/>
        <w:rPr>
          <w:b/>
          <w:i/>
        </w:rPr>
      </w:pPr>
      <w:r w:rsidRPr="001E27BC">
        <w:rPr>
          <w:b/>
          <w:i/>
        </w:rPr>
        <w:t>EQ</w:t>
      </w:r>
      <w:r w:rsidR="00D036B2" w:rsidRPr="001E27BC">
        <w:rPr>
          <w:b/>
          <w:i/>
        </w:rPr>
        <w:t>6.</w:t>
      </w:r>
      <w:r w:rsidR="00D036B2" w:rsidRPr="001E27BC">
        <w:rPr>
          <w:b/>
          <w:i/>
        </w:rPr>
        <w:tab/>
        <w:t>To what extent are institutional arrangements and im</w:t>
      </w:r>
      <w:r w:rsidRPr="001E27BC">
        <w:rPr>
          <w:b/>
          <w:i/>
        </w:rPr>
        <w:t>plementation modalities for ma</w:t>
      </w:r>
      <w:r w:rsidRPr="001E27BC">
        <w:rPr>
          <w:b/>
          <w:i/>
        </w:rPr>
        <w:t>n</w:t>
      </w:r>
      <w:r w:rsidR="00D036B2" w:rsidRPr="001E27BC">
        <w:rPr>
          <w:b/>
          <w:i/>
        </w:rPr>
        <w:t xml:space="preserve">agement of the interventions appropriate (i.e. based </w:t>
      </w:r>
      <w:r w:rsidRPr="001E27BC">
        <w:rPr>
          <w:b/>
          <w:i/>
        </w:rPr>
        <w:t>on realistic assessments of con</w:t>
      </w:r>
      <w:r w:rsidR="00D036B2" w:rsidRPr="001E27BC">
        <w:rPr>
          <w:b/>
          <w:i/>
        </w:rPr>
        <w:t>texts and driven by principles of aid effectiveness) and functional?</w:t>
      </w:r>
    </w:p>
    <w:p w:rsidR="003945D0" w:rsidRPr="001E27BC" w:rsidRDefault="007A6D1A" w:rsidP="008B70B5">
      <w:pPr>
        <w:numPr>
          <w:ilvl w:val="0"/>
          <w:numId w:val="14"/>
        </w:numPr>
      </w:pPr>
      <w:r w:rsidRPr="001E27BC">
        <w:t>At first sight, i</w:t>
      </w:r>
      <w:r w:rsidR="00507A15" w:rsidRPr="001E27BC">
        <w:t xml:space="preserve">nstitutional modalities and/or management modes/arrangements </w:t>
      </w:r>
      <w:r w:rsidRPr="001E27BC">
        <w:t xml:space="preserve">seem to </w:t>
      </w:r>
      <w:r w:rsidR="00507A15" w:rsidRPr="001E27BC">
        <w:t xml:space="preserve">constitute the most problematic </w:t>
      </w:r>
      <w:r w:rsidR="002F2C75" w:rsidRPr="001E27BC">
        <w:t xml:space="preserve">aspect </w:t>
      </w:r>
      <w:r w:rsidR="007634E2" w:rsidRPr="001E27BC">
        <w:t xml:space="preserve">of the GCCA programme. </w:t>
      </w:r>
      <w:r w:rsidRPr="001E27BC">
        <w:t>This is due to the i</w:t>
      </w:r>
      <w:r w:rsidRPr="001E27BC">
        <w:t>n</w:t>
      </w:r>
      <w:r w:rsidRPr="001E27BC">
        <w:t>volvement of a multitude of sectors and actors</w:t>
      </w:r>
      <w:r w:rsidR="00DD3CF6" w:rsidRPr="001E27BC">
        <w:t>,</w:t>
      </w:r>
      <w:r w:rsidRPr="001E27BC">
        <w:t xml:space="preserve"> and the presence of several administrative layers. </w:t>
      </w:r>
      <w:r w:rsidR="007634E2" w:rsidRPr="001E27BC">
        <w:t>Most country programmes have suffered considerable delays due to complex inst</w:t>
      </w:r>
      <w:r w:rsidR="007634E2" w:rsidRPr="001E27BC">
        <w:t>i</w:t>
      </w:r>
      <w:r w:rsidR="007634E2" w:rsidRPr="001E27BC">
        <w:t>tutional and implementation arrangements</w:t>
      </w:r>
      <w:r w:rsidR="002B55C6" w:rsidRPr="001E27BC">
        <w:t xml:space="preserve"> requiring clarification. </w:t>
      </w:r>
      <w:r w:rsidRPr="001E27BC">
        <w:t xml:space="preserve">In some cases, use of local systems has also implied delays in delivery of the programmes. </w:t>
      </w:r>
      <w:r w:rsidR="002B55C6" w:rsidRPr="001E27BC">
        <w:t>This is</w:t>
      </w:r>
      <w:r w:rsidR="00DD3CF6" w:rsidRPr="001E27BC">
        <w:t>,</w:t>
      </w:r>
      <w:r w:rsidR="002B55C6" w:rsidRPr="001E27BC">
        <w:t xml:space="preserve"> in part</w:t>
      </w:r>
      <w:r w:rsidR="00DD3CF6" w:rsidRPr="001E27BC">
        <w:t>,</w:t>
      </w:r>
      <w:r w:rsidR="002B55C6" w:rsidRPr="001E27BC">
        <w:t xml:space="preserve"> a consequence of </w:t>
      </w:r>
      <w:r w:rsidR="002F2C75" w:rsidRPr="001E27BC">
        <w:t xml:space="preserve">the approach adopted by the EC whereby </w:t>
      </w:r>
      <w:r w:rsidR="002B55C6" w:rsidRPr="001E27BC">
        <w:t xml:space="preserve">GCCA funds </w:t>
      </w:r>
      <w:r w:rsidR="002F2C75" w:rsidRPr="001E27BC">
        <w:t xml:space="preserve">are linked </w:t>
      </w:r>
      <w:r w:rsidR="002B55C6" w:rsidRPr="001E27BC">
        <w:t>to e</w:t>
      </w:r>
      <w:r w:rsidR="002B55C6" w:rsidRPr="001E27BC">
        <w:t>x</w:t>
      </w:r>
      <w:r w:rsidR="002B55C6" w:rsidRPr="001E27BC">
        <w:t>isting projects and programmes</w:t>
      </w:r>
      <w:r w:rsidRPr="001E27BC">
        <w:t xml:space="preserve">, </w:t>
      </w:r>
      <w:r w:rsidR="002B55C6" w:rsidRPr="001E27BC">
        <w:t>rather than new pro</w:t>
      </w:r>
      <w:r w:rsidRPr="001E27BC">
        <w:t xml:space="preserve">grammes, </w:t>
      </w:r>
      <w:r w:rsidR="002B55C6" w:rsidRPr="001E27BC">
        <w:t>involving other donors and implementers</w:t>
      </w:r>
      <w:r w:rsidR="002F2C75" w:rsidRPr="001E27BC">
        <w:t xml:space="preserve">. While this results in initial delays, in </w:t>
      </w:r>
      <w:r w:rsidRPr="001E27BC">
        <w:t xml:space="preserve">the end, the approach adopted does foster </w:t>
      </w:r>
      <w:r w:rsidR="00DD3CF6" w:rsidRPr="001E27BC">
        <w:t xml:space="preserve">national </w:t>
      </w:r>
      <w:r w:rsidRPr="001E27BC">
        <w:t>ownership.</w:t>
      </w:r>
    </w:p>
    <w:p w:rsidR="007634E2" w:rsidRPr="009672E5" w:rsidRDefault="007634E2" w:rsidP="007634E2">
      <w:pPr>
        <w:numPr>
          <w:ilvl w:val="0"/>
          <w:numId w:val="14"/>
        </w:numPr>
      </w:pPr>
      <w:r w:rsidRPr="001E27BC">
        <w:t xml:space="preserve">In most </w:t>
      </w:r>
      <w:r w:rsidR="007A6D1A" w:rsidRPr="001E27BC">
        <w:t>national programmes,</w:t>
      </w:r>
      <w:r w:rsidRPr="001E27BC">
        <w:t xml:space="preserve"> th</w:t>
      </w:r>
      <w:r w:rsidR="007A6D1A" w:rsidRPr="001E27BC">
        <w:t>e phase</w:t>
      </w:r>
      <w:r w:rsidRPr="001E27BC">
        <w:t xml:space="preserve"> </w:t>
      </w:r>
      <w:r w:rsidR="003945D0" w:rsidRPr="001E27BC">
        <w:t>of developing appropriate implementation a</w:t>
      </w:r>
      <w:r w:rsidR="003945D0" w:rsidRPr="001E27BC">
        <w:t>r</w:t>
      </w:r>
      <w:r w:rsidR="003945D0" w:rsidRPr="001E27BC">
        <w:t xml:space="preserve">rangements </w:t>
      </w:r>
      <w:r w:rsidRPr="001E27BC">
        <w:t xml:space="preserve">has been overcome, </w:t>
      </w:r>
      <w:r w:rsidRPr="009672E5">
        <w:t xml:space="preserve">though, and </w:t>
      </w:r>
      <w:r w:rsidR="00DD3CF6" w:rsidRPr="009672E5">
        <w:t xml:space="preserve">the </w:t>
      </w:r>
      <w:r w:rsidRPr="009672E5">
        <w:t xml:space="preserve">basis for longer-term support for climate action has been laid. In 70% of the projects </w:t>
      </w:r>
      <w:r w:rsidR="00DD3CF6" w:rsidRPr="009672E5">
        <w:t xml:space="preserve">evaluated </w:t>
      </w:r>
      <w:r w:rsidRPr="009672E5">
        <w:t>they do not pose major problems anymore.</w:t>
      </w:r>
      <w:r w:rsidR="005E51F4" w:rsidRPr="009672E5">
        <w:t xml:space="preserve"> In the evaluator’s view, the clarification of institutional arrangements and ma</w:t>
      </w:r>
      <w:r w:rsidR="005E51F4" w:rsidRPr="009672E5">
        <w:t>n</w:t>
      </w:r>
      <w:r w:rsidR="005E51F4" w:rsidRPr="009672E5">
        <w:t>agement modes should be seen as an investment that shoul</w:t>
      </w:r>
      <w:r w:rsidR="00E12CA6" w:rsidRPr="009672E5">
        <w:t>d be further capitalized upon. In order to achieve significant impact, and to continue and increase support for GCCA climate action (GCCA+) in a long-term perspective, it will be necessary to build on coal</w:t>
      </w:r>
      <w:r w:rsidR="00E12CA6" w:rsidRPr="009672E5">
        <w:t>i</w:t>
      </w:r>
      <w:r w:rsidR="00E12CA6" w:rsidRPr="009672E5">
        <w:t>tions, institutional bases and collaborative arrangements as well as pilot projects esta</w:t>
      </w:r>
      <w:r w:rsidR="00E12CA6" w:rsidRPr="009672E5">
        <w:t>b</w:t>
      </w:r>
      <w:r w:rsidR="00E12CA6" w:rsidRPr="009672E5">
        <w:t>lished during the first phase.</w:t>
      </w:r>
    </w:p>
    <w:p w:rsidR="00E602D7" w:rsidRPr="001E27BC" w:rsidRDefault="003A40B0" w:rsidP="003A40B0">
      <w:pPr>
        <w:numPr>
          <w:ilvl w:val="0"/>
          <w:numId w:val="14"/>
        </w:numPr>
      </w:pPr>
      <w:r w:rsidRPr="009672E5">
        <w:t xml:space="preserve">While in many countries the GCCA </w:t>
      </w:r>
      <w:r w:rsidR="00E65B4A" w:rsidRPr="009672E5">
        <w:t xml:space="preserve">develops </w:t>
      </w:r>
      <w:r w:rsidRPr="009672E5">
        <w:t>partners</w:t>
      </w:r>
      <w:r w:rsidR="00E65B4A" w:rsidRPr="009672E5">
        <w:t>hips</w:t>
      </w:r>
      <w:r w:rsidRPr="009672E5">
        <w:t xml:space="preserve"> with other agencies, in order to reduce fragmentation and improve harmonisation of practices, i</w:t>
      </w:r>
      <w:r w:rsidR="007634E2" w:rsidRPr="009672E5">
        <w:t>n some of the pro</w:t>
      </w:r>
      <w:r w:rsidRPr="009672E5">
        <w:t xml:space="preserve">grammes </w:t>
      </w:r>
      <w:r w:rsidR="007634E2" w:rsidRPr="009672E5">
        <w:t>institutional or management issues seriously hamper progress</w:t>
      </w:r>
      <w:r w:rsidRPr="009672E5">
        <w:t xml:space="preserve">. This is </w:t>
      </w:r>
      <w:r w:rsidR="00E602D7" w:rsidRPr="009672E5">
        <w:t xml:space="preserve">especially </w:t>
      </w:r>
      <w:r w:rsidRPr="009672E5">
        <w:t xml:space="preserve">the case </w:t>
      </w:r>
      <w:r w:rsidR="00E602D7" w:rsidRPr="009672E5">
        <w:t xml:space="preserve">when several </w:t>
      </w:r>
      <w:r w:rsidRPr="009672E5">
        <w:t>d</w:t>
      </w:r>
      <w:r w:rsidR="00E602D7" w:rsidRPr="009672E5">
        <w:t xml:space="preserve">onors </w:t>
      </w:r>
      <w:r w:rsidRPr="009672E5">
        <w:t xml:space="preserve">and implementing organizations </w:t>
      </w:r>
      <w:r w:rsidR="00E602D7" w:rsidRPr="009672E5">
        <w:t>are involved in delivery of the a</w:t>
      </w:r>
      <w:r w:rsidR="00E602D7" w:rsidRPr="009672E5">
        <w:t>c</w:t>
      </w:r>
      <w:r w:rsidR="00E602D7" w:rsidRPr="009672E5">
        <w:t>tion</w:t>
      </w:r>
      <w:r w:rsidR="007634E2" w:rsidRPr="009672E5">
        <w:t xml:space="preserve">. </w:t>
      </w:r>
      <w:r w:rsidR="008441D1" w:rsidRPr="009672E5">
        <w:t>The r</w:t>
      </w:r>
      <w:r w:rsidR="00E602D7" w:rsidRPr="009672E5">
        <w:t xml:space="preserve">oles of each of the partners are often not clearly defined and </w:t>
      </w:r>
      <w:r w:rsidRPr="009672E5">
        <w:t xml:space="preserve">still </w:t>
      </w:r>
      <w:r w:rsidR="00E602D7" w:rsidRPr="009672E5">
        <w:t>need to be agreed upon. Financing arrangements a</w:t>
      </w:r>
      <w:r w:rsidR="007201DA" w:rsidRPr="009672E5">
        <w:t>s well as</w:t>
      </w:r>
      <w:r w:rsidR="00E602D7" w:rsidRPr="009672E5">
        <w:t xml:space="preserve"> accountability and reporting requir</w:t>
      </w:r>
      <w:r w:rsidR="00E602D7" w:rsidRPr="009672E5">
        <w:t>e</w:t>
      </w:r>
      <w:r w:rsidR="00E602D7" w:rsidRPr="009672E5">
        <w:t>ments of donors and implementing agencies often differ, despite adherence to the princ</w:t>
      </w:r>
      <w:r w:rsidR="00E602D7" w:rsidRPr="009672E5">
        <w:t>i</w:t>
      </w:r>
      <w:r w:rsidR="00E602D7" w:rsidRPr="009672E5">
        <w:t>ples of the Paris Declaration. In Nepal,</w:t>
      </w:r>
      <w:r w:rsidR="00E602D7" w:rsidRPr="001E27BC">
        <w:t xml:space="preserve"> for example, use of EU funds for Calls for prop</w:t>
      </w:r>
      <w:r w:rsidR="00E602D7" w:rsidRPr="001E27BC">
        <w:t>o</w:t>
      </w:r>
      <w:r w:rsidR="00E602D7" w:rsidRPr="001E27BC">
        <w:t>sals was constrained by the EU requirements for such call</w:t>
      </w:r>
      <w:r w:rsidR="007201DA" w:rsidRPr="001E27BC">
        <w:t>s,</w:t>
      </w:r>
      <w:r w:rsidR="00E602D7" w:rsidRPr="001E27BC">
        <w:t xml:space="preserve"> which differ from DFID/UK requirements, and better alignment is still required. </w:t>
      </w:r>
      <w:r w:rsidR="008441D1" w:rsidRPr="001E27BC">
        <w:t>Similarly in Mozambique, conside</w:t>
      </w:r>
      <w:r w:rsidR="008441D1" w:rsidRPr="001E27BC">
        <w:t>r</w:t>
      </w:r>
      <w:r w:rsidR="008441D1" w:rsidRPr="001E27BC">
        <w:t xml:space="preserve">able effort has been made to adhere to the Paris Declaration and </w:t>
      </w:r>
      <w:r w:rsidR="008B70B5" w:rsidRPr="001E27BC">
        <w:t xml:space="preserve">this </w:t>
      </w:r>
      <w:r w:rsidR="008441D1" w:rsidRPr="001E27BC">
        <w:t xml:space="preserve">has not happened without considerable challenges.  </w:t>
      </w:r>
    </w:p>
    <w:p w:rsidR="00E602D7" w:rsidRPr="001E27BC" w:rsidRDefault="00E602D7" w:rsidP="00135A75">
      <w:pPr>
        <w:ind w:left="360"/>
        <w:rPr>
          <w:b/>
        </w:rPr>
      </w:pPr>
      <w:r w:rsidRPr="001E27BC">
        <w:rPr>
          <w:b/>
        </w:rPr>
        <w:t>Lesson learned</w:t>
      </w:r>
      <w:r w:rsidR="001C2CC6" w:rsidRPr="001E27BC">
        <w:rPr>
          <w:b/>
        </w:rPr>
        <w:t xml:space="preserve"> </w:t>
      </w:r>
      <w:r w:rsidR="003945D0" w:rsidRPr="001E27BC">
        <w:rPr>
          <w:b/>
        </w:rPr>
        <w:t>4</w:t>
      </w:r>
      <w:r w:rsidRPr="001E27BC">
        <w:rPr>
          <w:b/>
        </w:rPr>
        <w:t>: Despite common adherence to principles of the Paris Declarati</w:t>
      </w:r>
      <w:r w:rsidR="001C2CC6" w:rsidRPr="001E27BC">
        <w:rPr>
          <w:b/>
        </w:rPr>
        <w:t>on, EU-based</w:t>
      </w:r>
      <w:r w:rsidRPr="001E27BC">
        <w:rPr>
          <w:b/>
        </w:rPr>
        <w:t xml:space="preserve"> donor requirements </w:t>
      </w:r>
      <w:r w:rsidR="001C2CC6" w:rsidRPr="001E27BC">
        <w:rPr>
          <w:b/>
        </w:rPr>
        <w:t>still require further alignment to make delegated manag</w:t>
      </w:r>
      <w:r w:rsidR="001C2CC6" w:rsidRPr="001E27BC">
        <w:rPr>
          <w:b/>
        </w:rPr>
        <w:t>e</w:t>
      </w:r>
      <w:r w:rsidR="001C2CC6" w:rsidRPr="001E27BC">
        <w:rPr>
          <w:b/>
        </w:rPr>
        <w:t>ment work properly.</w:t>
      </w:r>
    </w:p>
    <w:p w:rsidR="00507A15" w:rsidRPr="001E27BC" w:rsidRDefault="007634E2" w:rsidP="0076070B">
      <w:pPr>
        <w:numPr>
          <w:ilvl w:val="0"/>
          <w:numId w:val="14"/>
        </w:numPr>
      </w:pPr>
      <w:r w:rsidRPr="001E27BC">
        <w:t xml:space="preserve">Of the projects visited, </w:t>
      </w:r>
      <w:r w:rsidR="003945D0" w:rsidRPr="009672E5">
        <w:t xml:space="preserve">implementation </w:t>
      </w:r>
      <w:r w:rsidR="007201DA" w:rsidRPr="009672E5">
        <w:t xml:space="preserve">challenges </w:t>
      </w:r>
      <w:r w:rsidR="003945D0" w:rsidRPr="009672E5">
        <w:t>were</w:t>
      </w:r>
      <w:r w:rsidRPr="009672E5">
        <w:t xml:space="preserve"> most obvious in the Nepal and Benin projects. In the case of Benin, where </w:t>
      </w:r>
      <w:r w:rsidR="00B36F80" w:rsidRPr="009672E5">
        <w:t xml:space="preserve">programme </w:t>
      </w:r>
      <w:r w:rsidR="003A40B0" w:rsidRPr="009672E5">
        <w:t>management is</w:t>
      </w:r>
      <w:r w:rsidRPr="009672E5">
        <w:t xml:space="preserve"> delegated to UNDP, the layer of UN administrative complexity additional to that of the national go</w:t>
      </w:r>
      <w:r w:rsidRPr="009672E5">
        <w:t>v</w:t>
      </w:r>
      <w:r w:rsidRPr="009672E5">
        <w:t>ernment</w:t>
      </w:r>
      <w:r w:rsidR="005E51F4" w:rsidRPr="009672E5">
        <w:t xml:space="preserve"> </w:t>
      </w:r>
      <w:r w:rsidR="00B36F80" w:rsidRPr="009672E5">
        <w:t xml:space="preserve">resulted </w:t>
      </w:r>
      <w:r w:rsidRPr="009672E5">
        <w:t>in ser</w:t>
      </w:r>
      <w:r w:rsidR="007201DA" w:rsidRPr="009672E5">
        <w:t>i</w:t>
      </w:r>
      <w:r w:rsidRPr="009672E5">
        <w:t>ous delays</w:t>
      </w:r>
      <w:r w:rsidR="00B36F80" w:rsidRPr="009672E5">
        <w:t>. S</w:t>
      </w:r>
      <w:r w:rsidR="00E602D7" w:rsidRPr="009672E5">
        <w:t xml:space="preserve">lack project management and </w:t>
      </w:r>
      <w:r w:rsidR="005E51F4" w:rsidRPr="009672E5">
        <w:t xml:space="preserve">a degree of </w:t>
      </w:r>
      <w:r w:rsidRPr="009672E5">
        <w:t>ineff</w:t>
      </w:r>
      <w:r w:rsidRPr="009672E5">
        <w:t>i</w:t>
      </w:r>
      <w:r w:rsidRPr="009672E5">
        <w:t>ciency in solving problems between</w:t>
      </w:r>
      <w:r w:rsidRPr="001E27BC">
        <w:t xml:space="preserve"> </w:t>
      </w:r>
      <w:r w:rsidR="005E51F4" w:rsidRPr="001E27BC">
        <w:t>UNDP and the government w</w:t>
      </w:r>
      <w:r w:rsidR="00E602D7" w:rsidRPr="001E27BC">
        <w:t>ere</w:t>
      </w:r>
      <w:r w:rsidR="005E51F4" w:rsidRPr="001E27BC">
        <w:t xml:space="preserve"> </w:t>
      </w:r>
      <w:r w:rsidR="00B36F80" w:rsidRPr="001E27BC">
        <w:t xml:space="preserve">also </w:t>
      </w:r>
      <w:r w:rsidR="005E51F4" w:rsidRPr="001E27BC">
        <w:t>observed</w:t>
      </w:r>
      <w:r w:rsidR="00B36F80" w:rsidRPr="001E27BC">
        <w:t xml:space="preserve">. </w:t>
      </w:r>
      <w:r w:rsidR="005E51F4" w:rsidRPr="001E27BC">
        <w:t>The same applies for Nepal, where UNDP is involved in delivery of the action in collabo</w:t>
      </w:r>
      <w:r w:rsidR="005E51F4" w:rsidRPr="001E27BC">
        <w:t>r</w:t>
      </w:r>
      <w:r w:rsidR="005E51F4" w:rsidRPr="001E27BC">
        <w:t xml:space="preserve">ation with national authorities. </w:t>
      </w:r>
      <w:r w:rsidR="001C2CC6" w:rsidRPr="001E27BC">
        <w:t xml:space="preserve">It was also found that the UNDP National Execution (NEX) modality sometimes constrains UNDP in recruiting the required human resources at competitive conditions. </w:t>
      </w:r>
      <w:r w:rsidR="005E51F4" w:rsidRPr="001E27BC">
        <w:t xml:space="preserve">Moreover, in the case of Nepal, the action has been delegated for management to DFID as the lead donor, which adds one more administrative layer. </w:t>
      </w:r>
    </w:p>
    <w:p w:rsidR="006C2691" w:rsidRPr="001E27BC" w:rsidRDefault="005E51F4" w:rsidP="0076070B">
      <w:pPr>
        <w:numPr>
          <w:ilvl w:val="0"/>
          <w:numId w:val="14"/>
        </w:numPr>
      </w:pPr>
      <w:r w:rsidRPr="001E27BC">
        <w:t xml:space="preserve">In cases of important institutional or management constraints, </w:t>
      </w:r>
      <w:r w:rsidR="00E602D7" w:rsidRPr="001E27BC">
        <w:t xml:space="preserve">such as Benin or Nepal, </w:t>
      </w:r>
      <w:r w:rsidRPr="001E27BC">
        <w:t xml:space="preserve">the evaluation team has </w:t>
      </w:r>
      <w:r w:rsidR="00E602D7" w:rsidRPr="001E27BC">
        <w:t>recommended</w:t>
      </w:r>
      <w:r w:rsidRPr="001E27BC">
        <w:t xml:space="preserve"> that </w:t>
      </w:r>
      <w:r w:rsidR="00E602D7" w:rsidRPr="001E27BC">
        <w:t>external mid-term evaluation missions be unde</w:t>
      </w:r>
      <w:r w:rsidR="00E602D7" w:rsidRPr="001E27BC">
        <w:t>r</w:t>
      </w:r>
      <w:r w:rsidR="00E602D7" w:rsidRPr="001E27BC">
        <w:t xml:space="preserve">taken focusing on these issues. </w:t>
      </w:r>
    </w:p>
    <w:p w:rsidR="003945D0" w:rsidRPr="001E27BC" w:rsidRDefault="003945D0" w:rsidP="0076070B">
      <w:pPr>
        <w:numPr>
          <w:ilvl w:val="0"/>
          <w:numId w:val="14"/>
        </w:numPr>
      </w:pPr>
      <w:r w:rsidRPr="001E27BC">
        <w:t xml:space="preserve">The principle of using </w:t>
      </w:r>
      <w:r w:rsidR="00F62E9E" w:rsidRPr="001E27BC">
        <w:t xml:space="preserve">the project </w:t>
      </w:r>
      <w:r w:rsidR="003A40B0" w:rsidRPr="001E27BC">
        <w:t xml:space="preserve">implementation </w:t>
      </w:r>
      <w:r w:rsidR="00F62E9E" w:rsidRPr="001E27BC">
        <w:t>modality – for delivery of GCCA su</w:t>
      </w:r>
      <w:r w:rsidR="00F62E9E" w:rsidRPr="001E27BC">
        <w:t>p</w:t>
      </w:r>
      <w:r w:rsidR="00F62E9E" w:rsidRPr="001E27BC">
        <w:t xml:space="preserve">port - only when </w:t>
      </w:r>
      <w:r w:rsidR="00F62E9E" w:rsidRPr="009672E5">
        <w:t xml:space="preserve">conditions for Budget Support are not in place, is </w:t>
      </w:r>
      <w:r w:rsidR="003A40B0" w:rsidRPr="009672E5">
        <w:t xml:space="preserve">fully justified </w:t>
      </w:r>
      <w:r w:rsidR="00F62E9E" w:rsidRPr="009672E5">
        <w:t>from an aid</w:t>
      </w:r>
      <w:r w:rsidR="003A40B0" w:rsidRPr="009672E5">
        <w:t>-</w:t>
      </w:r>
      <w:r w:rsidR="00F62E9E" w:rsidRPr="009672E5">
        <w:t xml:space="preserve">effectiveness point of view. However, </w:t>
      </w:r>
      <w:r w:rsidR="003A40B0" w:rsidRPr="009672E5">
        <w:t xml:space="preserve">as the Mauritius and Rwanda </w:t>
      </w:r>
      <w:r w:rsidR="007201DA" w:rsidRPr="009672E5">
        <w:t xml:space="preserve">examples </w:t>
      </w:r>
      <w:r w:rsidR="003A40B0" w:rsidRPr="009672E5">
        <w:t>i</w:t>
      </w:r>
      <w:r w:rsidR="003A40B0" w:rsidRPr="009672E5">
        <w:t>l</w:t>
      </w:r>
      <w:r w:rsidR="003A40B0" w:rsidRPr="009672E5">
        <w:t xml:space="preserve">lustrate, the use of budget support also </w:t>
      </w:r>
      <w:r w:rsidR="00F62E9E" w:rsidRPr="009672E5">
        <w:t>implies certain constraints. The main implication is the use of agreed performance indicators, in situations where appropriate indicators for climate change</w:t>
      </w:r>
      <w:r w:rsidR="00F62E9E" w:rsidRPr="001E27BC">
        <w:t xml:space="preserve"> action do not necessarily exist, within the Performance Assessment Frameworks. This was discussed under EQ 1 and a corresponding recommendation has been formulated.</w:t>
      </w:r>
    </w:p>
    <w:p w:rsidR="008B70B5" w:rsidRPr="001E27BC" w:rsidRDefault="00F62E9E" w:rsidP="00E977CF">
      <w:pPr>
        <w:numPr>
          <w:ilvl w:val="0"/>
          <w:numId w:val="14"/>
        </w:numPr>
      </w:pPr>
      <w:r w:rsidRPr="001E27BC">
        <w:t>It was observed that</w:t>
      </w:r>
      <w:r w:rsidR="003A40B0" w:rsidRPr="001E27BC">
        <w:t>,</w:t>
      </w:r>
      <w:r w:rsidRPr="001E27BC">
        <w:t xml:space="preserve"> in </w:t>
      </w:r>
      <w:r w:rsidR="003A40B0" w:rsidRPr="001E27BC">
        <w:t>several</w:t>
      </w:r>
      <w:r w:rsidRPr="001E27BC">
        <w:t xml:space="preserve"> cases, the GCCA actions had been identified and form</w:t>
      </w:r>
      <w:r w:rsidRPr="001E27BC">
        <w:t>u</w:t>
      </w:r>
      <w:r w:rsidRPr="001E27BC">
        <w:t>lated in a relative hurry, compromising on the identification of the most appropri</w:t>
      </w:r>
      <w:r w:rsidR="00D0217C" w:rsidRPr="001E27BC">
        <w:t>ate a</w:t>
      </w:r>
      <w:r w:rsidR="00D0217C" w:rsidRPr="001E27BC">
        <w:t>c</w:t>
      </w:r>
      <w:r w:rsidR="00D0217C" w:rsidRPr="001E27BC">
        <w:t xml:space="preserve">tion, </w:t>
      </w:r>
      <w:r w:rsidRPr="001E27BC">
        <w:t>intervention logics</w:t>
      </w:r>
      <w:r w:rsidR="00D0217C" w:rsidRPr="001E27BC">
        <w:t xml:space="preserve"> or indicators</w:t>
      </w:r>
      <w:r w:rsidRPr="001E27BC">
        <w:t xml:space="preserve">. While this could be justified for the first phase, with availability of Fast Start Funds, this should not be the case for </w:t>
      </w:r>
      <w:r w:rsidR="00E977CF" w:rsidRPr="001E27BC">
        <w:t xml:space="preserve">identification and formulation of follow-up action. </w:t>
      </w:r>
    </w:p>
    <w:p w:rsidR="00E977CF" w:rsidRPr="001E27BC" w:rsidRDefault="00E977CF" w:rsidP="00E977CF">
      <w:pPr>
        <w:numPr>
          <w:ilvl w:val="0"/>
          <w:numId w:val="14"/>
        </w:numPr>
      </w:pPr>
      <w:r w:rsidRPr="001E27BC">
        <w:t xml:space="preserve">The evaluator </w:t>
      </w:r>
      <w:r w:rsidR="008B70B5" w:rsidRPr="001E27BC">
        <w:t xml:space="preserve">also </w:t>
      </w:r>
      <w:r w:rsidRPr="001E27BC">
        <w:t>noted – in particular on missions to Mauritius and Rwanda – that ti</w:t>
      </w:r>
      <w:r w:rsidRPr="001E27BC">
        <w:t>m</w:t>
      </w:r>
      <w:r w:rsidRPr="001E27BC">
        <w:t xml:space="preserve">ing of the evaluation mission would overlap </w:t>
      </w:r>
      <w:r w:rsidR="00D0217C" w:rsidRPr="001E27BC">
        <w:t xml:space="preserve">with </w:t>
      </w:r>
      <w:r w:rsidRPr="001E27BC">
        <w:t xml:space="preserve">that of identification or formulation missions for follow-up action. As a result, recommendations from the evaluation could </w:t>
      </w:r>
      <w:r w:rsidR="00DB722A" w:rsidRPr="001E27BC">
        <w:t xml:space="preserve">not </w:t>
      </w:r>
      <w:r w:rsidRPr="001E27BC">
        <w:t xml:space="preserve">be fully </w:t>
      </w:r>
      <w:r w:rsidR="004E2F07" w:rsidRPr="001E27BC">
        <w:t xml:space="preserve">considered </w:t>
      </w:r>
      <w:r w:rsidRPr="001E27BC">
        <w:t xml:space="preserve">for formulation of the next implementation phase. </w:t>
      </w:r>
      <w:r w:rsidR="004E2F07" w:rsidRPr="001E27BC">
        <w:t>Such situations s</w:t>
      </w:r>
      <w:r w:rsidRPr="001E27BC">
        <w:t>hould be avoided as much as possible</w:t>
      </w:r>
      <w:r w:rsidR="004E2F07" w:rsidRPr="001E27BC">
        <w:t>,</w:t>
      </w:r>
      <w:r w:rsidRPr="001E27BC">
        <w:t xml:space="preserve"> so lessons learned can </w:t>
      </w:r>
      <w:r w:rsidR="004E2F07" w:rsidRPr="001E27BC">
        <w:t xml:space="preserve">properly </w:t>
      </w:r>
      <w:r w:rsidRPr="001E27BC">
        <w:t>feed into the fo</w:t>
      </w:r>
      <w:r w:rsidRPr="001E27BC">
        <w:t>r</w:t>
      </w:r>
      <w:r w:rsidRPr="001E27BC">
        <w:t>mulation phase.</w:t>
      </w:r>
    </w:p>
    <w:p w:rsidR="00D036B2" w:rsidRPr="001E27BC" w:rsidRDefault="006C6102" w:rsidP="0076070B">
      <w:pPr>
        <w:ind w:left="709" w:hanging="709"/>
        <w:rPr>
          <w:b/>
          <w:i/>
        </w:rPr>
      </w:pPr>
      <w:r w:rsidRPr="001E27BC">
        <w:rPr>
          <w:b/>
          <w:i/>
        </w:rPr>
        <w:t>EQ</w:t>
      </w:r>
      <w:r w:rsidR="00D036B2" w:rsidRPr="001E27BC">
        <w:rPr>
          <w:b/>
          <w:i/>
        </w:rPr>
        <w:t>7.</w:t>
      </w:r>
      <w:r w:rsidR="00D036B2" w:rsidRPr="001E27BC">
        <w:rPr>
          <w:b/>
          <w:i/>
        </w:rPr>
        <w:tab/>
        <w:t xml:space="preserve">To which extent has the programme established linkages and created synergies (at </w:t>
      </w:r>
      <w:r w:rsidRPr="001E27BC">
        <w:rPr>
          <w:b/>
          <w:i/>
        </w:rPr>
        <w:t>national</w:t>
      </w:r>
      <w:r w:rsidR="00D036B2" w:rsidRPr="001E27BC">
        <w:rPr>
          <w:b/>
          <w:i/>
        </w:rPr>
        <w:t>, regional and ACP/global levels) with other, r</w:t>
      </w:r>
      <w:r w:rsidRPr="001E27BC">
        <w:rPr>
          <w:b/>
          <w:i/>
        </w:rPr>
        <w:t>elated actions, including EU i</w:t>
      </w:r>
      <w:r w:rsidRPr="001E27BC">
        <w:rPr>
          <w:b/>
          <w:i/>
        </w:rPr>
        <w:t>n</w:t>
      </w:r>
      <w:r w:rsidR="00D036B2" w:rsidRPr="001E27BC">
        <w:rPr>
          <w:b/>
          <w:i/>
        </w:rPr>
        <w:t>struments and actions, in line with the harmonisation principle?</w:t>
      </w:r>
    </w:p>
    <w:p w:rsidR="00060679" w:rsidRPr="001E27BC" w:rsidRDefault="006C2691" w:rsidP="00D413A9">
      <w:pPr>
        <w:numPr>
          <w:ilvl w:val="0"/>
          <w:numId w:val="14"/>
        </w:numPr>
      </w:pPr>
      <w:r w:rsidRPr="001E27BC">
        <w:t xml:space="preserve">Harmonisation and linking of GCCA support with other </w:t>
      </w:r>
      <w:r w:rsidR="00D413A9" w:rsidRPr="001E27BC">
        <w:t>(</w:t>
      </w:r>
      <w:r w:rsidRPr="001E27BC">
        <w:t>climate</w:t>
      </w:r>
      <w:r w:rsidR="00D413A9" w:rsidRPr="001E27BC">
        <w:t>)</w:t>
      </w:r>
      <w:r w:rsidRPr="001E27BC">
        <w:t xml:space="preserve"> action is generally </w:t>
      </w:r>
      <w:r w:rsidR="006E0637" w:rsidRPr="001E27BC">
        <w:t>satisfactory</w:t>
      </w:r>
      <w:r w:rsidR="000E4EEC" w:rsidRPr="001E27BC">
        <w:t xml:space="preserve"> to very good</w:t>
      </w:r>
      <w:r w:rsidRPr="001E27BC">
        <w:t>, in particular in those countries</w:t>
      </w:r>
      <w:r w:rsidR="006E0637" w:rsidRPr="001E27BC">
        <w:t xml:space="preserve"> –such as Burkina Faso or Rwanda - </w:t>
      </w:r>
      <w:r w:rsidRPr="001E27BC">
        <w:t xml:space="preserve">where government takes </w:t>
      </w:r>
      <w:r w:rsidR="00D413A9" w:rsidRPr="001E27BC">
        <w:t xml:space="preserve">active </w:t>
      </w:r>
      <w:r w:rsidRPr="001E27BC">
        <w:t>charge of donor coordi</w:t>
      </w:r>
      <w:r w:rsidR="006E0637" w:rsidRPr="001E27BC">
        <w:t>nation. In 30% of the countries visited (Ethiopia, Rwanda, Burkina Faso) linkages and synergies were found to be very good.</w:t>
      </w:r>
    </w:p>
    <w:p w:rsidR="00BC3717" w:rsidRPr="001E27BC" w:rsidRDefault="00060679" w:rsidP="00D413A9">
      <w:pPr>
        <w:numPr>
          <w:ilvl w:val="0"/>
          <w:numId w:val="14"/>
        </w:numPr>
      </w:pPr>
      <w:r w:rsidRPr="001E27BC">
        <w:t xml:space="preserve">Linkages and </w:t>
      </w:r>
      <w:r w:rsidRPr="009672E5">
        <w:t xml:space="preserve">harmonisation are </w:t>
      </w:r>
      <w:r w:rsidR="007201DA" w:rsidRPr="009672E5">
        <w:t>especially</w:t>
      </w:r>
      <w:r w:rsidRPr="009672E5">
        <w:t xml:space="preserve"> good in countries where a particular donor takes a clear lead </w:t>
      </w:r>
      <w:r w:rsidR="00B36F80" w:rsidRPr="009672E5">
        <w:t xml:space="preserve">in </w:t>
      </w:r>
      <w:r w:rsidRPr="009672E5">
        <w:t xml:space="preserve">the </w:t>
      </w:r>
      <w:r w:rsidR="00B36F80" w:rsidRPr="009672E5">
        <w:t xml:space="preserve">relevant </w:t>
      </w:r>
      <w:r w:rsidRPr="009672E5">
        <w:t>sector</w:t>
      </w:r>
      <w:r w:rsidR="00B36F80" w:rsidRPr="009672E5">
        <w:t xml:space="preserve">. </w:t>
      </w:r>
      <w:r w:rsidR="006E0637" w:rsidRPr="009672E5">
        <w:t>In Rwanda, f</w:t>
      </w:r>
      <w:r w:rsidR="007201DA" w:rsidRPr="009672E5">
        <w:t>or example, DFID is the lea</w:t>
      </w:r>
      <w:r w:rsidR="00301366" w:rsidRPr="009672E5">
        <w:t>d</w:t>
      </w:r>
      <w:r w:rsidR="007201DA" w:rsidRPr="009672E5">
        <w:t xml:space="preserve"> </w:t>
      </w:r>
      <w:r w:rsidR="006E0637" w:rsidRPr="009672E5">
        <w:t>donor on the (land reform and registration) programme that benefits from GCCA support in the form of budget support</w:t>
      </w:r>
      <w:r w:rsidR="006E0637" w:rsidRPr="001E27BC">
        <w:t xml:space="preserve">, alongside Dutch and Swedish support for specific programme components. </w:t>
      </w:r>
      <w:r w:rsidR="00D413A9" w:rsidRPr="001E27BC">
        <w:t>Likewise, in Ethiopia, the action clearly benefits from the long-term BMZ</w:t>
      </w:r>
      <w:r w:rsidR="00B5108C" w:rsidRPr="001E27BC">
        <w:rPr>
          <w:rStyle w:val="FootnoteReference"/>
        </w:rPr>
        <w:footnoteReference w:id="12"/>
      </w:r>
      <w:r w:rsidR="00D413A9" w:rsidRPr="001E27BC">
        <w:t xml:space="preserve">-supported Sustainable Land Management Programme (2005-2014) </w:t>
      </w:r>
      <w:r w:rsidR="00301366" w:rsidRPr="001E27BC">
        <w:t xml:space="preserve">that </w:t>
      </w:r>
      <w:r w:rsidR="00D413A9" w:rsidRPr="001E27BC">
        <w:t>the GCCA action was graft</w:t>
      </w:r>
      <w:r w:rsidRPr="001E27BC">
        <w:t xml:space="preserve">ed onto. </w:t>
      </w:r>
    </w:p>
    <w:p w:rsidR="006C2691" w:rsidRPr="001E27BC" w:rsidRDefault="006E0637" w:rsidP="00312BEC">
      <w:pPr>
        <w:numPr>
          <w:ilvl w:val="0"/>
          <w:numId w:val="14"/>
        </w:numPr>
      </w:pPr>
      <w:r w:rsidRPr="001E27BC">
        <w:t xml:space="preserve">In Burkina Faso, the government strives for a </w:t>
      </w:r>
      <w:r w:rsidR="00BC3717" w:rsidRPr="001E27BC">
        <w:t xml:space="preserve">clear </w:t>
      </w:r>
      <w:r w:rsidRPr="001E27BC">
        <w:t xml:space="preserve">labour division and complementarity of </w:t>
      </w:r>
      <w:r w:rsidR="00301366" w:rsidRPr="001E27BC">
        <w:t>donor support (EU/</w:t>
      </w:r>
      <w:r w:rsidRPr="001E27BC">
        <w:t xml:space="preserve">World Bank, African Development Bank) </w:t>
      </w:r>
      <w:r w:rsidR="00BC3717" w:rsidRPr="001E27BC">
        <w:t xml:space="preserve">through </w:t>
      </w:r>
      <w:r w:rsidRPr="001E27BC">
        <w:t xml:space="preserve">an active </w:t>
      </w:r>
      <w:r w:rsidR="00BC3717" w:rsidRPr="001E27BC">
        <w:t xml:space="preserve">sector </w:t>
      </w:r>
      <w:r w:rsidRPr="001E27BC">
        <w:t xml:space="preserve">coordination </w:t>
      </w:r>
      <w:r w:rsidR="00BC3717" w:rsidRPr="001E27BC">
        <w:t xml:space="preserve">group and the creation of a single steering committee for different projects </w:t>
      </w:r>
      <w:r w:rsidR="00301366" w:rsidRPr="001E27BC">
        <w:t>with</w:t>
      </w:r>
      <w:r w:rsidR="00BC3717" w:rsidRPr="001E27BC">
        <w:t xml:space="preserve">in the same sector. Still, the linkage with regional actions, </w:t>
      </w:r>
      <w:r w:rsidR="00301366" w:rsidRPr="001E27BC">
        <w:t xml:space="preserve">and </w:t>
      </w:r>
      <w:r w:rsidR="00BC3717" w:rsidRPr="001E27BC">
        <w:t>in particular activities aimed</w:t>
      </w:r>
      <w:r w:rsidR="00301366" w:rsidRPr="001E27BC">
        <w:t xml:space="preserve"> at</w:t>
      </w:r>
      <w:r w:rsidR="00BC3717" w:rsidRPr="001E27BC">
        <w:t xml:space="preserve"> mainstreaming </w:t>
      </w:r>
      <w:r w:rsidR="00CA03CF" w:rsidRPr="001E27BC">
        <w:t>climate change</w:t>
      </w:r>
      <w:r w:rsidR="00BC3717" w:rsidRPr="001E27BC">
        <w:t xml:space="preserve"> into policies and strategies, and the exchange of knowledge and experience, could be better aligned with regional and global level initi</w:t>
      </w:r>
      <w:r w:rsidR="00BC3717" w:rsidRPr="001E27BC">
        <w:t>a</w:t>
      </w:r>
      <w:r w:rsidR="00BC3717" w:rsidRPr="001E27BC">
        <w:t xml:space="preserve">tives </w:t>
      </w:r>
      <w:r w:rsidR="0071239B" w:rsidRPr="001E27BC">
        <w:t xml:space="preserve">- </w:t>
      </w:r>
      <w:r w:rsidR="00BC3717" w:rsidRPr="001E27BC">
        <w:t>in this case the CI</w:t>
      </w:r>
      <w:r w:rsidR="00060679" w:rsidRPr="001E27BC">
        <w:t>LSS</w:t>
      </w:r>
      <w:r w:rsidR="00940C93" w:rsidRPr="001E27BC">
        <w:rPr>
          <w:rStyle w:val="FootnoteReference"/>
        </w:rPr>
        <w:footnoteReference w:id="13"/>
      </w:r>
      <w:r w:rsidR="00060679" w:rsidRPr="001E27BC">
        <w:t xml:space="preserve"> regional programme and the </w:t>
      </w:r>
      <w:r w:rsidR="00B36F80" w:rsidRPr="001E27BC">
        <w:t>Climate Support Facility (</w:t>
      </w:r>
      <w:r w:rsidR="00060679" w:rsidRPr="001E27BC">
        <w:t>CS</w:t>
      </w:r>
      <w:r w:rsidR="00BC3717" w:rsidRPr="001E27BC">
        <w:t xml:space="preserve">F). </w:t>
      </w:r>
      <w:r w:rsidR="00312BEC" w:rsidRPr="001E27BC">
        <w:t xml:space="preserve">A recommendation </w:t>
      </w:r>
      <w:r w:rsidR="00F6277A" w:rsidRPr="001E27BC">
        <w:t xml:space="preserve">related to this concern </w:t>
      </w:r>
      <w:r w:rsidR="00312BEC" w:rsidRPr="001E27BC">
        <w:t xml:space="preserve">has been </w:t>
      </w:r>
      <w:r w:rsidR="00060679" w:rsidRPr="001E27BC">
        <w:t>formulated as</w:t>
      </w:r>
      <w:r w:rsidR="00312BEC" w:rsidRPr="001E27BC">
        <w:t xml:space="preserve"> </w:t>
      </w:r>
      <w:r w:rsidR="00312BEC" w:rsidRPr="001E27BC">
        <w:rPr>
          <w:i/>
        </w:rPr>
        <w:t>REC.</w:t>
      </w:r>
      <w:r w:rsidR="0071239B" w:rsidRPr="001E27BC">
        <w:rPr>
          <w:i/>
        </w:rPr>
        <w:t>2</w:t>
      </w:r>
      <w:r w:rsidR="00312BEC" w:rsidRPr="001E27BC">
        <w:t xml:space="preserve"> concer</w:t>
      </w:r>
      <w:r w:rsidR="00312BEC" w:rsidRPr="001E27BC">
        <w:t>n</w:t>
      </w:r>
      <w:r w:rsidR="00312BEC" w:rsidRPr="001E27BC">
        <w:t xml:space="preserve">ing the collaboration between GCCA-supported projects and programmes. </w:t>
      </w:r>
    </w:p>
    <w:p w:rsidR="00F6277A" w:rsidRPr="009672E5" w:rsidRDefault="00F6277A" w:rsidP="00312BEC">
      <w:pPr>
        <w:pStyle w:val="ListParagraph"/>
        <w:numPr>
          <w:ilvl w:val="0"/>
          <w:numId w:val="20"/>
        </w:numPr>
      </w:pPr>
      <w:r w:rsidRPr="001E27BC">
        <w:t>In most GCCA countries, the division of labour among donors - in line with the Paris D</w:t>
      </w:r>
      <w:r w:rsidRPr="001E27BC">
        <w:t>e</w:t>
      </w:r>
      <w:r w:rsidRPr="001E27BC">
        <w:t>claration - has allowed the programme to build upon existing initiatives lead by one of the Me</w:t>
      </w:r>
      <w:r w:rsidR="00E2401B" w:rsidRPr="001E27BC">
        <w:t xml:space="preserve">mber States (examples </w:t>
      </w:r>
      <w:r w:rsidRPr="001E27BC">
        <w:t>Mozambique, Nepal</w:t>
      </w:r>
      <w:r w:rsidR="00E2401B" w:rsidRPr="001E27BC">
        <w:t>, Belize</w:t>
      </w:r>
      <w:r w:rsidRPr="001E27BC">
        <w:t>) or another Development Partner such as UNDP (case Benin) or World Bank (case Burkina Faso)</w:t>
      </w:r>
      <w:r w:rsidR="00E2401B" w:rsidRPr="001E27BC">
        <w:t>. This has resulted in pr</w:t>
      </w:r>
      <w:r w:rsidR="00E2401B" w:rsidRPr="001E27BC">
        <w:t>o</w:t>
      </w:r>
      <w:r w:rsidR="00E2401B" w:rsidRPr="001E27BC">
        <w:t xml:space="preserve">jects becoming </w:t>
      </w:r>
      <w:r w:rsidR="00E2401B" w:rsidRPr="009672E5">
        <w:t>operational in a relatively short time – even if identification of appropriate management arrangements would still consume considerable time and energy. But in se</w:t>
      </w:r>
      <w:r w:rsidR="00E2401B" w:rsidRPr="009672E5">
        <w:t>v</w:t>
      </w:r>
      <w:r w:rsidR="00E2401B" w:rsidRPr="009672E5">
        <w:t xml:space="preserve">eral cases (Ethiopia, Mozambique), this gave the programme a head start and allowed for </w:t>
      </w:r>
      <w:r w:rsidR="00301366" w:rsidRPr="009672E5">
        <w:t>rapid achievement of tangible results</w:t>
      </w:r>
      <w:r w:rsidR="00E2401B" w:rsidRPr="009672E5">
        <w:t xml:space="preserve">. </w:t>
      </w:r>
    </w:p>
    <w:p w:rsidR="00E2401B" w:rsidRPr="001E27BC" w:rsidRDefault="00E2401B" w:rsidP="00E2401B">
      <w:pPr>
        <w:numPr>
          <w:ilvl w:val="0"/>
          <w:numId w:val="14"/>
        </w:numPr>
      </w:pPr>
      <w:r w:rsidRPr="009672E5">
        <w:t>At the same time, however, the Delegation</w:t>
      </w:r>
      <w:r w:rsidRPr="001E27BC">
        <w:t xml:space="preserve"> Agreements with Member State agencies or multilateral agencies result in a reduction of oversight and control on the part of the EU Delegations. This was found to be an obstacle to progress of the actions in Nepal and Benin, for example. This seems to be </w:t>
      </w:r>
      <w:r w:rsidR="0071239B" w:rsidRPr="001E27BC">
        <w:t xml:space="preserve">a </w:t>
      </w:r>
      <w:r w:rsidRPr="001E27BC">
        <w:t xml:space="preserve">dilemma that is hard to get around, other than through improved communication between partners involved. </w:t>
      </w:r>
    </w:p>
    <w:p w:rsidR="008B70B5" w:rsidRPr="001E27BC" w:rsidRDefault="00E2401B" w:rsidP="00543FF5">
      <w:pPr>
        <w:numPr>
          <w:ilvl w:val="0"/>
          <w:numId w:val="14"/>
        </w:numPr>
      </w:pPr>
      <w:r w:rsidRPr="001E27BC">
        <w:t xml:space="preserve">Still, there is room for improved harmonisation in another 30% of the projects visited, in particular in Nepal and Bhutan. In Nepal, many EU Member States (Finland, Netherlands, Denmark, </w:t>
      </w:r>
      <w:r w:rsidR="0071239B" w:rsidRPr="001E27BC">
        <w:t>and Germany</w:t>
      </w:r>
      <w:r w:rsidRPr="001E27BC">
        <w:t xml:space="preserve">, among others) have programmes and projects, but in the field of climate change their initiatives are hardly </w:t>
      </w:r>
      <w:r w:rsidR="0071239B" w:rsidRPr="001E27BC">
        <w:t xml:space="preserve">harmonised or </w:t>
      </w:r>
      <w:r w:rsidRPr="001E27BC">
        <w:t>aligned. Furthermore, other donors (USAID, ADB and others) also have important climate change programmes. An exchange of experience is happening but proper coordination is still lacking. In Bhutan, there is room for an increased role of the GCCA action in triggering active donor coord</w:t>
      </w:r>
      <w:r w:rsidRPr="001E27BC">
        <w:t>i</w:t>
      </w:r>
      <w:r w:rsidRPr="001E27BC">
        <w:t>nation in the renewable natural resources sector.</w:t>
      </w:r>
    </w:p>
    <w:p w:rsidR="00C97318" w:rsidRPr="001E27BC" w:rsidRDefault="00C97318" w:rsidP="00C97318">
      <w:pPr>
        <w:pStyle w:val="ListParagraph"/>
        <w:numPr>
          <w:ilvl w:val="0"/>
          <w:numId w:val="14"/>
        </w:numPr>
      </w:pPr>
      <w:r w:rsidRPr="001E27BC">
        <w:t xml:space="preserve">At the same time, it was found that there is very limited interaction between </w:t>
      </w:r>
      <w:r w:rsidR="007A24DD" w:rsidRPr="001E27BC">
        <w:t xml:space="preserve">the </w:t>
      </w:r>
      <w:r w:rsidRPr="001E27BC">
        <w:t xml:space="preserve">national </w:t>
      </w:r>
      <w:r w:rsidR="007A24DD" w:rsidRPr="001E27BC">
        <w:t xml:space="preserve">GCCA </w:t>
      </w:r>
      <w:r w:rsidRPr="001E27BC">
        <w:t xml:space="preserve">programmes and the </w:t>
      </w:r>
      <w:r w:rsidR="007A24DD" w:rsidRPr="001E27BC">
        <w:t xml:space="preserve">respective </w:t>
      </w:r>
      <w:r w:rsidRPr="001E27BC">
        <w:t xml:space="preserve">regional </w:t>
      </w:r>
      <w:r w:rsidR="007A24DD" w:rsidRPr="001E27BC">
        <w:t xml:space="preserve">GCCA </w:t>
      </w:r>
      <w:r w:rsidRPr="001E27BC">
        <w:t>programmes</w:t>
      </w:r>
      <w:r w:rsidR="007A24DD" w:rsidRPr="001E27BC">
        <w:t>, supported under the Intra-ACP funding</w:t>
      </w:r>
      <w:r w:rsidRPr="001E27BC">
        <w:t>. The evaluators have come across national and regional programmes operating from the same capital (Ouagadougou, Addis Ababa), which had had virtually no interaction or any joint planning. Likewise, lessons learned from pilot experience</w:t>
      </w:r>
      <w:r w:rsidR="005A1A2F" w:rsidRPr="001E27BC">
        <w:t>s</w:t>
      </w:r>
      <w:r w:rsidRPr="001E27BC">
        <w:t xml:space="preserve"> d</w:t>
      </w:r>
      <w:r w:rsidRPr="001E27BC">
        <w:t>e</w:t>
      </w:r>
      <w:r w:rsidRPr="001E27BC">
        <w:t xml:space="preserve">veloped in national programmes rarely find their way into regional programming. This seems partly due to a limited focus, in national programmes, on promotion of initiatives that could address needs of multiple countries. In part, it </w:t>
      </w:r>
      <w:r w:rsidR="005A1A2F" w:rsidRPr="001E27BC">
        <w:t xml:space="preserve">also </w:t>
      </w:r>
      <w:r w:rsidRPr="001E27BC">
        <w:t>seems due to a limited inte</w:t>
      </w:r>
      <w:r w:rsidRPr="001E27BC">
        <w:t>r</w:t>
      </w:r>
      <w:r w:rsidRPr="001E27BC">
        <w:t>est, from regional programmes, for pilot or demonstration activities in country progra</w:t>
      </w:r>
      <w:r w:rsidRPr="001E27BC">
        <w:t>m</w:t>
      </w:r>
      <w:r w:rsidRPr="001E27BC">
        <w:t xml:space="preserve">mes that could inspire regional pilot activities. </w:t>
      </w:r>
    </w:p>
    <w:p w:rsidR="00C97318" w:rsidRPr="001E27BC" w:rsidRDefault="00C97318" w:rsidP="00C97318">
      <w:pPr>
        <w:numPr>
          <w:ilvl w:val="0"/>
          <w:numId w:val="14"/>
        </w:numPr>
      </w:pPr>
      <w:r w:rsidRPr="001E27BC">
        <w:t xml:space="preserve">Greater interaction and synergy between the </w:t>
      </w:r>
      <w:r w:rsidR="004E4A02">
        <w:t xml:space="preserve">national </w:t>
      </w:r>
      <w:r w:rsidRPr="001E27BC">
        <w:t>and the regional GCCA progra</w:t>
      </w:r>
      <w:r w:rsidRPr="001E27BC">
        <w:t>m</w:t>
      </w:r>
      <w:r w:rsidRPr="001E27BC">
        <w:t xml:space="preserve">mes is therefore required. National programmes can rarely satisfy all needs, in particular when it comes to technical capacity building of national partners. Regional programmes should better identify those gaps and needs in national programming that are of regional interest, and </w:t>
      </w:r>
      <w:r w:rsidR="0071239B" w:rsidRPr="001E27BC">
        <w:t xml:space="preserve">pick up </w:t>
      </w:r>
      <w:r w:rsidRPr="001E27BC">
        <w:t>those successful interventions that have a potential for up</w:t>
      </w:r>
      <w:r w:rsidR="005A1A2F" w:rsidRPr="001E27BC">
        <w:t>-</w:t>
      </w:r>
      <w:r w:rsidRPr="001E27BC">
        <w:t xml:space="preserve">scaling at regional level. </w:t>
      </w:r>
    </w:p>
    <w:p w:rsidR="00B47379" w:rsidRPr="009672E5" w:rsidRDefault="00060679" w:rsidP="0071239B">
      <w:pPr>
        <w:numPr>
          <w:ilvl w:val="0"/>
          <w:numId w:val="14"/>
        </w:numPr>
      </w:pPr>
      <w:r w:rsidRPr="001E27BC">
        <w:t xml:space="preserve">At central </w:t>
      </w:r>
      <w:r w:rsidR="000E4EEC" w:rsidRPr="001E27BC">
        <w:t>(</w:t>
      </w:r>
      <w:r w:rsidR="0071239B" w:rsidRPr="001E27BC">
        <w:t xml:space="preserve">DEVCO </w:t>
      </w:r>
      <w:r w:rsidR="0071239B" w:rsidRPr="009672E5">
        <w:t>Headquarters,</w:t>
      </w:r>
      <w:r w:rsidR="000E4EEC" w:rsidRPr="009672E5">
        <w:t xml:space="preserve"> ACP Secretariat)</w:t>
      </w:r>
      <w:r w:rsidR="0071239B" w:rsidRPr="009672E5">
        <w:t xml:space="preserve"> and de-central (EU Delegations) management levels</w:t>
      </w:r>
      <w:r w:rsidRPr="009672E5">
        <w:t xml:space="preserve">, efforts are </w:t>
      </w:r>
      <w:r w:rsidR="005A1A2F" w:rsidRPr="009672E5">
        <w:t xml:space="preserve">clearly being </w:t>
      </w:r>
      <w:r w:rsidRPr="009672E5">
        <w:t>made to ensure the various GCCA related i</w:t>
      </w:r>
      <w:r w:rsidRPr="009672E5">
        <w:t>n</w:t>
      </w:r>
      <w:r w:rsidRPr="009672E5">
        <w:t>itiatives, in particular the</w:t>
      </w:r>
      <w:r w:rsidRPr="001E27BC">
        <w:t xml:space="preserve"> global and Intra-ACP strands of the overall GCCA initiative</w:t>
      </w:r>
      <w:r w:rsidR="0071239B" w:rsidRPr="001E27BC">
        <w:t>,</w:t>
      </w:r>
      <w:r w:rsidRPr="001E27BC">
        <w:t xml:space="preserve"> do communicate and are </w:t>
      </w:r>
      <w:r w:rsidR="0071239B" w:rsidRPr="001E27BC">
        <w:t xml:space="preserve">properly </w:t>
      </w:r>
      <w:r w:rsidRPr="001E27BC">
        <w:t xml:space="preserve">coordinated. An important achievement is participation in </w:t>
      </w:r>
      <w:r w:rsidR="000E4EEC" w:rsidRPr="001E27BC">
        <w:t>each other’s</w:t>
      </w:r>
      <w:r w:rsidRPr="001E27BC">
        <w:t xml:space="preserve"> Steering Committee meetings and other relevant events. </w:t>
      </w:r>
      <w:r w:rsidR="000E4EEC" w:rsidRPr="001E27BC">
        <w:t xml:space="preserve">This has started to result </w:t>
      </w:r>
      <w:r w:rsidR="00B47379" w:rsidRPr="001E27BC">
        <w:t xml:space="preserve">in </w:t>
      </w:r>
      <w:r w:rsidR="000E4EEC" w:rsidRPr="001E27BC">
        <w:t>inc</w:t>
      </w:r>
      <w:r w:rsidR="00B47379" w:rsidRPr="001E27BC">
        <w:t>reased</w:t>
      </w:r>
      <w:r w:rsidR="000E4EEC" w:rsidRPr="001E27BC">
        <w:t xml:space="preserve"> exchanges and coordination of activities, </w:t>
      </w:r>
      <w:r w:rsidR="00B47379" w:rsidRPr="001E27BC">
        <w:t xml:space="preserve">and </w:t>
      </w:r>
      <w:r w:rsidR="000E4EEC" w:rsidRPr="001E27BC">
        <w:t xml:space="preserve">a strengthened network of climate action practitioners. </w:t>
      </w:r>
      <w:r w:rsidR="0071239B" w:rsidRPr="001E27BC">
        <w:t xml:space="preserve">Details on tangible cooperation </w:t>
      </w:r>
      <w:r w:rsidR="00FC6A08" w:rsidRPr="001E27BC">
        <w:t xml:space="preserve">results </w:t>
      </w:r>
      <w:r w:rsidR="0071239B" w:rsidRPr="001E27BC">
        <w:t xml:space="preserve">are reported in the Aide Memoire on the CSF and Technical Assistance to the ACP </w:t>
      </w:r>
      <w:r w:rsidR="0071239B" w:rsidRPr="009672E5">
        <w:t>Secre</w:t>
      </w:r>
      <w:r w:rsidR="00FC6A08" w:rsidRPr="009672E5">
        <w:t>tariat, included in the report on evaluation of</w:t>
      </w:r>
      <w:r w:rsidR="00190BF1" w:rsidRPr="009672E5">
        <w:t xml:space="preserve"> the Intra ACP GCCA</w:t>
      </w:r>
      <w:r w:rsidR="00FC6A08" w:rsidRPr="009672E5">
        <w:t>.</w:t>
      </w:r>
    </w:p>
    <w:p w:rsidR="00B47379" w:rsidRPr="009672E5" w:rsidRDefault="00B47379" w:rsidP="00543FF5">
      <w:pPr>
        <w:ind w:left="360"/>
        <w:rPr>
          <w:b/>
        </w:rPr>
      </w:pPr>
      <w:r w:rsidRPr="009672E5">
        <w:rPr>
          <w:b/>
        </w:rPr>
        <w:t xml:space="preserve">REC: It is recommended that stronger linkages between national and regional GCCA programmes be established. </w:t>
      </w:r>
    </w:p>
    <w:p w:rsidR="00B47379" w:rsidRPr="009672E5" w:rsidRDefault="00B47379" w:rsidP="00B47379">
      <w:pPr>
        <w:numPr>
          <w:ilvl w:val="0"/>
          <w:numId w:val="22"/>
        </w:numPr>
        <w:rPr>
          <w:i/>
        </w:rPr>
      </w:pPr>
      <w:r w:rsidRPr="009672E5">
        <w:rPr>
          <w:i/>
        </w:rPr>
        <w:t>The EU, as one of the few development partners that works with both Regional and National Programmes under its various funding mechanisms, is in a position to use its unique situation to ensure coordination and complementarity within regions and between development partners (EU MS and other partners working on climate change). The EU’s added advantage, over and above the regional programming, is its role as an actor on the global environmental stage and, hence, the unique role of being able to foster linkages between national, regional and global levels. Linkages can go both ways - up-scaling from national to regional; and replication across the region. Pilot and demonstration a</w:t>
      </w:r>
      <w:r w:rsidRPr="009672E5">
        <w:rPr>
          <w:i/>
        </w:rPr>
        <w:t>c</w:t>
      </w:r>
      <w:r w:rsidRPr="009672E5">
        <w:rPr>
          <w:i/>
        </w:rPr>
        <w:t>tivities supported by national GCCA programmes need monitoring for their suitability at the regional level. They should be used as sources of inspiration, actively promoted by the respective regional programmes, and, where possible, integrated into other national pr</w:t>
      </w:r>
      <w:r w:rsidRPr="009672E5">
        <w:rPr>
          <w:i/>
        </w:rPr>
        <w:t>o</w:t>
      </w:r>
      <w:r w:rsidRPr="009672E5">
        <w:rPr>
          <w:i/>
        </w:rPr>
        <w:t>grammes. In this regard, the Regional Delegations would benefit by having a member of staff (preferably one already working at the Delegation on the environment and/or cl</w:t>
      </w:r>
      <w:r w:rsidRPr="009672E5">
        <w:rPr>
          <w:i/>
        </w:rPr>
        <w:t>i</w:t>
      </w:r>
      <w:r w:rsidRPr="009672E5">
        <w:rPr>
          <w:i/>
        </w:rPr>
        <w:t>mate change portfolio) to formally include GCCA in their terms of reference, with the mandate to liaise both with the national programmes in “their” region as well as globally and with other EU regional climate change interventions.</w:t>
      </w:r>
    </w:p>
    <w:p w:rsidR="00060679" w:rsidRPr="009672E5" w:rsidRDefault="00B47379" w:rsidP="00B47379">
      <w:pPr>
        <w:numPr>
          <w:ilvl w:val="0"/>
          <w:numId w:val="22"/>
        </w:numPr>
        <w:rPr>
          <w:i/>
        </w:rPr>
      </w:pPr>
      <w:r w:rsidRPr="009672E5">
        <w:rPr>
          <w:i/>
        </w:rPr>
        <w:t>The elaboration of comprehensive regional climate change strategies - which some r</w:t>
      </w:r>
      <w:r w:rsidRPr="009672E5">
        <w:rPr>
          <w:i/>
        </w:rPr>
        <w:t>e</w:t>
      </w:r>
      <w:r w:rsidRPr="009672E5">
        <w:rPr>
          <w:i/>
        </w:rPr>
        <w:t xml:space="preserve">gional programmes currently lack – should benefit from Intra-ACP GCCA support. For example, the CSF could make an important contribution to this end, as well as drawing support from the regional strategies of other development partners, where such strategies or programme initiatives exist. </w:t>
      </w:r>
    </w:p>
    <w:p w:rsidR="00D036B2" w:rsidRPr="001E27BC" w:rsidRDefault="00315F62" w:rsidP="00730219">
      <w:pPr>
        <w:pStyle w:val="Heading2"/>
        <w:keepLines/>
      </w:pPr>
      <w:bookmarkStart w:id="23" w:name="_Toc284767319"/>
      <w:r>
        <w:t>2.5</w:t>
      </w:r>
      <w:r>
        <w:tab/>
      </w:r>
      <w:r w:rsidR="00D036B2" w:rsidRPr="001E27BC">
        <w:t>On impact</w:t>
      </w:r>
      <w:r w:rsidR="006C6102" w:rsidRPr="001E27BC">
        <w:t xml:space="preserve"> (achievement of wider effects)</w:t>
      </w:r>
      <w:r w:rsidR="00D036B2" w:rsidRPr="001E27BC">
        <w:t>:</w:t>
      </w:r>
      <w:bookmarkEnd w:id="23"/>
    </w:p>
    <w:p w:rsidR="00D036B2" w:rsidRPr="001E27BC" w:rsidRDefault="006C6102" w:rsidP="00730219">
      <w:pPr>
        <w:keepNext/>
        <w:keepLines/>
        <w:ind w:left="709" w:hanging="709"/>
        <w:rPr>
          <w:b/>
          <w:i/>
        </w:rPr>
      </w:pPr>
      <w:r w:rsidRPr="001E27BC">
        <w:rPr>
          <w:b/>
          <w:i/>
        </w:rPr>
        <w:t>EQ</w:t>
      </w:r>
      <w:r w:rsidR="00D036B2" w:rsidRPr="001E27BC">
        <w:rPr>
          <w:b/>
          <w:i/>
        </w:rPr>
        <w:t>8.</w:t>
      </w:r>
      <w:r w:rsidR="00D036B2" w:rsidRPr="001E27BC">
        <w:rPr>
          <w:b/>
          <w:i/>
        </w:rPr>
        <w:tab/>
        <w:t>To what extent has the programme contributed to achievement of overall objectives?</w:t>
      </w:r>
    </w:p>
    <w:p w:rsidR="00D036B2" w:rsidRPr="001E27BC" w:rsidRDefault="00D62E18" w:rsidP="00730219">
      <w:pPr>
        <w:keepNext/>
        <w:keepLines/>
        <w:numPr>
          <w:ilvl w:val="0"/>
          <w:numId w:val="14"/>
        </w:numPr>
      </w:pPr>
      <w:r w:rsidRPr="001E27BC">
        <w:t xml:space="preserve">The overall </w:t>
      </w:r>
      <w:r w:rsidR="00D036B2" w:rsidRPr="001E27BC">
        <w:t>G</w:t>
      </w:r>
      <w:r w:rsidRPr="001E27BC">
        <w:t>CCA objective is</w:t>
      </w:r>
      <w:r w:rsidR="00D036B2" w:rsidRPr="001E27BC">
        <w:t xml:space="preserve"> </w:t>
      </w:r>
      <w:r w:rsidR="00D036B2" w:rsidRPr="001E27BC">
        <w:rPr>
          <w:i/>
        </w:rPr>
        <w:t>to help poor developing countries most vulnerable to cl</w:t>
      </w:r>
      <w:r w:rsidR="00D036B2" w:rsidRPr="001E27BC">
        <w:rPr>
          <w:i/>
        </w:rPr>
        <w:t>i</w:t>
      </w:r>
      <w:r w:rsidR="00D036B2" w:rsidRPr="001E27BC">
        <w:rPr>
          <w:i/>
        </w:rPr>
        <w:t>mate change, in particular LDCs and SIDS, to increase their capabilities to cope with the effects of climate change, in support of th</w:t>
      </w:r>
      <w:r w:rsidR="007A5802" w:rsidRPr="001E27BC">
        <w:rPr>
          <w:i/>
        </w:rPr>
        <w:t xml:space="preserve">e achievement of the MDGs; and </w:t>
      </w:r>
      <w:r w:rsidR="00D036B2" w:rsidRPr="001E27BC">
        <w:rPr>
          <w:i/>
        </w:rPr>
        <w:t>where it be</w:t>
      </w:r>
      <w:r w:rsidR="00D036B2" w:rsidRPr="001E27BC">
        <w:rPr>
          <w:i/>
        </w:rPr>
        <w:t>n</w:t>
      </w:r>
      <w:r w:rsidR="00D036B2" w:rsidRPr="001E27BC">
        <w:rPr>
          <w:i/>
        </w:rPr>
        <w:t>efits their poverty reduction objectives, the Alliance will also help such countries to pa</w:t>
      </w:r>
      <w:r w:rsidR="00D036B2" w:rsidRPr="001E27BC">
        <w:rPr>
          <w:i/>
        </w:rPr>
        <w:t>r</w:t>
      </w:r>
      <w:r w:rsidR="00D036B2" w:rsidRPr="001E27BC">
        <w:rPr>
          <w:i/>
        </w:rPr>
        <w:t>ticipate in the global climate change mitigation effort, even if, as in the case of LDCs, they will not be required to make emission reduction commitments under a post-2012 agreement.</w:t>
      </w:r>
      <w:r w:rsidR="00B5108C" w:rsidRPr="001E27BC">
        <w:t xml:space="preserve"> Since this objective is rather generally formulated, country programmes and projects have been assessed against their individual overall objectives, which were more specific t</w:t>
      </w:r>
      <w:r w:rsidR="00FC4947" w:rsidRPr="001E27BC">
        <w:t xml:space="preserve">han the overall GCCA objective, and would usually related to one of the specific priority areas (adaptation, REDD, CDM, DRR or mainstreaming of </w:t>
      </w:r>
      <w:r w:rsidR="00CA03CF" w:rsidRPr="001E27BC">
        <w:t>climate change</w:t>
      </w:r>
      <w:r w:rsidR="00FC4947" w:rsidRPr="001E27BC">
        <w:t xml:space="preserve"> into poverty reduction). </w:t>
      </w:r>
    </w:p>
    <w:p w:rsidR="00D62E18" w:rsidRPr="001E27BC" w:rsidRDefault="00D62E18" w:rsidP="00D62E18">
      <w:pPr>
        <w:numPr>
          <w:ilvl w:val="0"/>
          <w:numId w:val="14"/>
        </w:numPr>
      </w:pPr>
      <w:r w:rsidRPr="001E27BC">
        <w:t xml:space="preserve">At the time of the evaluation, the country-level actions have not </w:t>
      </w:r>
      <w:r w:rsidR="00FC6A08" w:rsidRPr="001E27BC">
        <w:t xml:space="preserve">yet </w:t>
      </w:r>
      <w:r w:rsidRPr="001E27BC">
        <w:t>resulted in the desired impact, with four out of the ten pro</w:t>
      </w:r>
      <w:r w:rsidR="00FC6A08" w:rsidRPr="001E27BC">
        <w:t xml:space="preserve">grammes </w:t>
      </w:r>
      <w:r w:rsidRPr="001E27BC">
        <w:t>evaluated performing unsatisfactorily, in terms of impact. This is due to the fact that they are not yet fully operational or functional (cases of Nepal and Benin) or due to a limited focus on climate change impact (cases of Rwanda and Mauritius). As far as operational and implementation problems are co</w:t>
      </w:r>
      <w:r w:rsidRPr="001E27BC">
        <w:t>n</w:t>
      </w:r>
      <w:r w:rsidRPr="001E27BC">
        <w:t xml:space="preserve">cerned, these have </w:t>
      </w:r>
      <w:r w:rsidR="00FC6A08" w:rsidRPr="001E27BC">
        <w:t xml:space="preserve">already </w:t>
      </w:r>
      <w:r w:rsidRPr="001E27BC">
        <w:t>been discussed as part of EQ6</w:t>
      </w:r>
      <w:r w:rsidR="00FC6A08" w:rsidRPr="001E27BC">
        <w:t>; they are expected to be solved in time</w:t>
      </w:r>
      <w:r w:rsidRPr="001E27BC">
        <w:t>. A limited focus on climate change</w:t>
      </w:r>
      <w:r w:rsidR="00FC6A08" w:rsidRPr="001E27BC">
        <w:t>, on the other hand,</w:t>
      </w:r>
      <w:r w:rsidRPr="001E27BC">
        <w:t xml:space="preserve"> is mostly due to </w:t>
      </w:r>
      <w:r w:rsidR="00FC6A08" w:rsidRPr="001E27BC">
        <w:t xml:space="preserve">challenges </w:t>
      </w:r>
      <w:r w:rsidR="00B60921" w:rsidRPr="001E27BC">
        <w:t xml:space="preserve">in </w:t>
      </w:r>
      <w:r w:rsidR="00FC6A08" w:rsidRPr="001E27BC">
        <w:t>identifying</w:t>
      </w:r>
      <w:r w:rsidR="00B60921" w:rsidRPr="001E27BC">
        <w:t xml:space="preserve"> climate specific indicators under the budget support modality, as discussed under EQ2. Otherwise, </w:t>
      </w:r>
      <w:r w:rsidR="00B60921" w:rsidRPr="009672E5">
        <w:t>prospects for impact are generally speaking good, with most ta</w:t>
      </w:r>
      <w:r w:rsidR="00B60921" w:rsidRPr="009672E5">
        <w:t>n</w:t>
      </w:r>
      <w:r w:rsidR="00B60921" w:rsidRPr="009672E5">
        <w:t xml:space="preserve">gible impacts at this point in time </w:t>
      </w:r>
      <w:r w:rsidR="007A5802" w:rsidRPr="009672E5">
        <w:t xml:space="preserve">noticeable </w:t>
      </w:r>
      <w:r w:rsidR="00B60921" w:rsidRPr="009672E5">
        <w:t xml:space="preserve">in the Ethiopian action. </w:t>
      </w:r>
      <w:r w:rsidR="00B5108C" w:rsidRPr="009672E5">
        <w:t>This is explained by the fact that the Ethiopian</w:t>
      </w:r>
      <w:r w:rsidR="00B5108C" w:rsidRPr="001E27BC">
        <w:t xml:space="preserve"> action is built on a well-established (BMZ-supported) </w:t>
      </w:r>
      <w:r w:rsidR="00CD1B75" w:rsidRPr="001E27BC">
        <w:t>pr</w:t>
      </w:r>
      <w:r w:rsidR="00CD1B75" w:rsidRPr="001E27BC">
        <w:t>o</w:t>
      </w:r>
      <w:r w:rsidR="00CD1B75" w:rsidRPr="001E27BC">
        <w:t>gramme that has been</w:t>
      </w:r>
      <w:r w:rsidR="00B5108C" w:rsidRPr="001E27BC">
        <w:t xml:space="preserve"> ongoing since 2004 (refer </w:t>
      </w:r>
      <w:r w:rsidR="00CD1B75" w:rsidRPr="001E27BC">
        <w:t>to EQ.7</w:t>
      </w:r>
      <w:r w:rsidR="00B5108C" w:rsidRPr="001E27BC">
        <w:t>)</w:t>
      </w:r>
      <w:r w:rsidR="00CD1B75" w:rsidRPr="001E27BC">
        <w:t>, with extensive technical assis</w:t>
      </w:r>
      <w:r w:rsidR="00CD1B75" w:rsidRPr="001E27BC">
        <w:t>t</w:t>
      </w:r>
      <w:r w:rsidR="00CD1B75" w:rsidRPr="001E27BC">
        <w:t xml:space="preserve">ance facilities. </w:t>
      </w:r>
    </w:p>
    <w:p w:rsidR="00C8222C" w:rsidRPr="001E27BC" w:rsidRDefault="00C8222C" w:rsidP="00D62E18">
      <w:pPr>
        <w:numPr>
          <w:ilvl w:val="0"/>
          <w:numId w:val="14"/>
        </w:numPr>
      </w:pPr>
      <w:r w:rsidRPr="001E27BC">
        <w:t xml:space="preserve">It was found that monitoring systems </w:t>
      </w:r>
      <w:r w:rsidR="00CD1B75" w:rsidRPr="001E27BC">
        <w:t xml:space="preserve">that would allow assessing impact </w:t>
      </w:r>
      <w:r w:rsidRPr="001E27BC">
        <w:t>are</w:t>
      </w:r>
      <w:r w:rsidR="007A5802" w:rsidRPr="001E27BC">
        <w:t>,</w:t>
      </w:r>
      <w:r w:rsidRPr="001E27BC">
        <w:t xml:space="preserve"> in m</w:t>
      </w:r>
      <w:r w:rsidR="00CD1B75" w:rsidRPr="001E27BC">
        <w:t xml:space="preserve">ost </w:t>
      </w:r>
      <w:r w:rsidRPr="001E27BC">
        <w:t>cases</w:t>
      </w:r>
      <w:r w:rsidR="007A5802" w:rsidRPr="001E27BC">
        <w:t>,</w:t>
      </w:r>
      <w:r w:rsidRPr="001E27BC">
        <w:t xml:space="preserve"> weakly developed. While this is not a GCCA-specific issue, more attention should be given, in a next phase, to the development of appropriate monitoring systems</w:t>
      </w:r>
      <w:r w:rsidR="007A5802" w:rsidRPr="001E27BC">
        <w:t>,</w:t>
      </w:r>
      <w:r w:rsidRPr="001E27BC">
        <w:t xml:space="preserve"> in pa</w:t>
      </w:r>
      <w:r w:rsidRPr="001E27BC">
        <w:t>r</w:t>
      </w:r>
      <w:r w:rsidRPr="001E27BC">
        <w:t xml:space="preserve">ticular at outcome level. There is also a general need to get baseline data in place in order to assess impact. In this regard, the evaluator recommends the provision of a dedicated monitoring service for the GCCA programme, with specific </w:t>
      </w:r>
      <w:r w:rsidR="00CA03CF" w:rsidRPr="001E27BC">
        <w:t>climate change</w:t>
      </w:r>
      <w:r w:rsidRPr="001E27BC">
        <w:t xml:space="preserve"> expertise, to provide technical and backstopping services for monitoring. This could possibly be int</w:t>
      </w:r>
      <w:r w:rsidRPr="001E27BC">
        <w:t>e</w:t>
      </w:r>
      <w:r w:rsidRPr="001E27BC">
        <w:t>grated with the services provided by the existing Global Support Facility.</w:t>
      </w:r>
    </w:p>
    <w:p w:rsidR="00B60921" w:rsidRPr="009672E5" w:rsidRDefault="00B60921" w:rsidP="00D62E18">
      <w:pPr>
        <w:numPr>
          <w:ilvl w:val="0"/>
          <w:numId w:val="14"/>
        </w:numPr>
      </w:pPr>
      <w:r w:rsidRPr="001E27BC">
        <w:t xml:space="preserve">The relative impact of the GCCA programme in each of the targeted countries </w:t>
      </w:r>
      <w:r w:rsidR="00330CF1" w:rsidRPr="001E27BC">
        <w:t xml:space="preserve">also </w:t>
      </w:r>
      <w:r w:rsidRPr="001E27BC">
        <w:t>d</w:t>
      </w:r>
      <w:r w:rsidRPr="001E27BC">
        <w:t>e</w:t>
      </w:r>
      <w:r w:rsidRPr="001E27BC">
        <w:t>pends on the size and nature of existing initiatives on climate change</w:t>
      </w:r>
      <w:r w:rsidR="00330CF1" w:rsidRPr="001E27BC">
        <w:t xml:space="preserve"> that the GCCA comes to strengthen</w:t>
      </w:r>
      <w:r w:rsidRPr="001E27BC">
        <w:t>. In some instances, the GCCA contribution is r</w:t>
      </w:r>
      <w:r w:rsidR="00330CF1" w:rsidRPr="001E27BC">
        <w:t xml:space="preserve">elatively </w:t>
      </w:r>
      <w:r w:rsidRPr="001E27BC">
        <w:t xml:space="preserve">modest in comparison to other donor </w:t>
      </w:r>
      <w:r w:rsidR="00330CF1" w:rsidRPr="001E27BC">
        <w:t xml:space="preserve">support for </w:t>
      </w:r>
      <w:r w:rsidRPr="001E27BC">
        <w:t xml:space="preserve">climate change (case Bangladesh, Nepal); in other cases it </w:t>
      </w:r>
      <w:r w:rsidR="00330CF1" w:rsidRPr="001E27BC">
        <w:t xml:space="preserve">can be </w:t>
      </w:r>
      <w:r w:rsidRPr="001E27BC">
        <w:t xml:space="preserve">rather </w:t>
      </w:r>
      <w:r w:rsidR="00CD1B75" w:rsidRPr="001E27BC">
        <w:t>significant</w:t>
      </w:r>
      <w:r w:rsidRPr="001E27BC">
        <w:t>. In Jamaica</w:t>
      </w:r>
      <w:r w:rsidR="008B70B5" w:rsidRPr="001E27BC">
        <w:t>,</w:t>
      </w:r>
      <w:r w:rsidRPr="001E27BC">
        <w:t xml:space="preserve"> for example, the GCCA support </w:t>
      </w:r>
      <w:r w:rsidR="00B86505" w:rsidRPr="001E27BC">
        <w:t xml:space="preserve">was the first of its kind; it </w:t>
      </w:r>
      <w:r w:rsidRPr="001E27BC">
        <w:t xml:space="preserve">helped create the institutional basis for Climate action and thereby helped access other funding sources and ensure a more sustainable impact. </w:t>
      </w:r>
      <w:r w:rsidR="001F7DA3" w:rsidRPr="001E27BC">
        <w:t xml:space="preserve">In Belize, important steps have been made in mainstreaming climate in government departments that are key over the long-term in addressing climate change and risk </w:t>
      </w:r>
      <w:r w:rsidR="001F7DA3" w:rsidRPr="009672E5">
        <w:t xml:space="preserve">reduction. </w:t>
      </w:r>
    </w:p>
    <w:p w:rsidR="000A3555" w:rsidRPr="001E27BC" w:rsidRDefault="00F81496" w:rsidP="000A3555">
      <w:pPr>
        <w:pStyle w:val="ListParagraph"/>
        <w:numPr>
          <w:ilvl w:val="0"/>
          <w:numId w:val="20"/>
        </w:numPr>
      </w:pPr>
      <w:r w:rsidRPr="009672E5">
        <w:t>Nevertheless</w:t>
      </w:r>
      <w:r w:rsidR="00B86505" w:rsidRPr="009672E5">
        <w:t xml:space="preserve">, in virtually all of </w:t>
      </w:r>
      <w:r w:rsidR="00B60921" w:rsidRPr="009672E5">
        <w:t>the targeted</w:t>
      </w:r>
      <w:r w:rsidR="00631682" w:rsidRPr="009672E5">
        <w:t xml:space="preserve"> countries, </w:t>
      </w:r>
      <w:r w:rsidRPr="009672E5">
        <w:t>while the GCCA-</w:t>
      </w:r>
      <w:r w:rsidR="00B86505" w:rsidRPr="009672E5">
        <w:t xml:space="preserve">supported </w:t>
      </w:r>
      <w:r w:rsidR="00330CF1" w:rsidRPr="009672E5">
        <w:t>pr</w:t>
      </w:r>
      <w:r w:rsidR="00330CF1" w:rsidRPr="009672E5">
        <w:t>o</w:t>
      </w:r>
      <w:r w:rsidR="00330CF1" w:rsidRPr="009672E5">
        <w:t>grammes have</w:t>
      </w:r>
      <w:r w:rsidR="00B86505" w:rsidRPr="009672E5">
        <w:t xml:space="preserve"> provided and are providing valuable experience, there is a need for </w:t>
      </w:r>
      <w:r w:rsidR="00D866B2" w:rsidRPr="009672E5">
        <w:t>exten</w:t>
      </w:r>
      <w:r w:rsidR="00D866B2" w:rsidRPr="009672E5">
        <w:t>d</w:t>
      </w:r>
      <w:r w:rsidR="00D866B2" w:rsidRPr="009672E5">
        <w:t xml:space="preserve">ing </w:t>
      </w:r>
      <w:r w:rsidR="00330CF1" w:rsidRPr="009672E5">
        <w:t>in time</w:t>
      </w:r>
      <w:r w:rsidR="00330CF1" w:rsidRPr="001E27BC">
        <w:t xml:space="preserve"> </w:t>
      </w:r>
      <w:r w:rsidR="00D866B2" w:rsidRPr="001E27BC">
        <w:t xml:space="preserve">or </w:t>
      </w:r>
      <w:r w:rsidR="00330CF1" w:rsidRPr="001E27BC">
        <w:t xml:space="preserve">for geographic </w:t>
      </w:r>
      <w:r w:rsidR="00B86505" w:rsidRPr="001E27BC">
        <w:t>up-</w:t>
      </w:r>
      <w:r w:rsidR="00330CF1" w:rsidRPr="001E27BC">
        <w:t>scaling to</w:t>
      </w:r>
      <w:r w:rsidR="00B86505" w:rsidRPr="001E27BC">
        <w:t xml:space="preserve"> achieve </w:t>
      </w:r>
      <w:r w:rsidR="001F7DA3" w:rsidRPr="001E27BC">
        <w:t xml:space="preserve">more </w:t>
      </w:r>
      <w:r w:rsidR="00B86505" w:rsidRPr="001E27BC">
        <w:t>significant impact</w:t>
      </w:r>
      <w:r w:rsidR="001F7DA3" w:rsidRPr="001E27BC">
        <w:t>s</w:t>
      </w:r>
      <w:r w:rsidR="00B86505" w:rsidRPr="001E27BC">
        <w:t xml:space="preserve">. </w:t>
      </w:r>
      <w:r w:rsidR="00D866B2" w:rsidRPr="001E27BC">
        <w:t xml:space="preserve">Addressing climate change </w:t>
      </w:r>
      <w:r w:rsidR="00330CF1" w:rsidRPr="001E27BC">
        <w:t>effectively requires</w:t>
      </w:r>
      <w:r w:rsidR="00D866B2" w:rsidRPr="001E27BC">
        <w:t xml:space="preserve"> long-term commitments</w:t>
      </w:r>
      <w:r w:rsidR="001F7DA3" w:rsidRPr="001E27BC">
        <w:t xml:space="preserve"> beyond a three-year pr</w:t>
      </w:r>
      <w:r w:rsidR="001F7DA3" w:rsidRPr="001E27BC">
        <w:t>o</w:t>
      </w:r>
      <w:r w:rsidR="001F7DA3" w:rsidRPr="001E27BC">
        <w:t>gramming cycle</w:t>
      </w:r>
      <w:r w:rsidR="00D866B2" w:rsidRPr="001E27BC">
        <w:t xml:space="preserve">. </w:t>
      </w:r>
      <w:r w:rsidR="00B86505" w:rsidRPr="001E27BC">
        <w:t xml:space="preserve">In most cases, GCCA support has served to develop pilot activities or </w:t>
      </w:r>
      <w:r w:rsidR="00CD1B75" w:rsidRPr="001E27BC">
        <w:t xml:space="preserve">develop </w:t>
      </w:r>
      <w:r w:rsidR="00B86505" w:rsidRPr="001E27BC">
        <w:t>action</w:t>
      </w:r>
      <w:r w:rsidR="00CD1B75" w:rsidRPr="001E27BC">
        <w:t>s</w:t>
      </w:r>
      <w:r w:rsidR="00B86505" w:rsidRPr="001E27BC">
        <w:t xml:space="preserve"> </w:t>
      </w:r>
      <w:r w:rsidR="00D866B2" w:rsidRPr="001E27BC">
        <w:t>in a pilot area. Experience gained is sufficiently positive to warrant repl</w:t>
      </w:r>
      <w:r w:rsidR="00D866B2" w:rsidRPr="001E27BC">
        <w:t>i</w:t>
      </w:r>
      <w:r w:rsidR="00D866B2" w:rsidRPr="001E27BC">
        <w:t>cation or further ex</w:t>
      </w:r>
      <w:r w:rsidR="00CD1B75" w:rsidRPr="001E27BC">
        <w:t>te</w:t>
      </w:r>
      <w:r w:rsidR="00D866B2" w:rsidRPr="001E27BC">
        <w:t>nsion.</w:t>
      </w:r>
      <w:r w:rsidR="000A3555" w:rsidRPr="001E27BC">
        <w:t xml:space="preserve"> In order to achieve </w:t>
      </w:r>
      <w:r w:rsidR="00CD1B75" w:rsidRPr="001E27BC">
        <w:t xml:space="preserve">a </w:t>
      </w:r>
      <w:r w:rsidR="000A3555" w:rsidRPr="001E27BC">
        <w:t>significant impact</w:t>
      </w:r>
      <w:r w:rsidR="00CD1B75" w:rsidRPr="001E27BC">
        <w:t xml:space="preserve"> from a global climate alliance point of view</w:t>
      </w:r>
      <w:r w:rsidR="000A3555" w:rsidRPr="001E27BC">
        <w:t xml:space="preserve">, a continuation of GCCA-support </w:t>
      </w:r>
      <w:r w:rsidRPr="001E27BC">
        <w:t>has</w:t>
      </w:r>
      <w:r w:rsidR="000A3555" w:rsidRPr="001E27BC">
        <w:t xml:space="preserve"> therefore </w:t>
      </w:r>
      <w:r w:rsidRPr="001E27BC">
        <w:t xml:space="preserve">been </w:t>
      </w:r>
      <w:r w:rsidR="000A3555" w:rsidRPr="001E27BC">
        <w:t xml:space="preserve">recommended, building on the institutional bases established. </w:t>
      </w:r>
    </w:p>
    <w:p w:rsidR="00D62E18" w:rsidRPr="001E27BC" w:rsidRDefault="00CD1B75" w:rsidP="00D62E18">
      <w:pPr>
        <w:numPr>
          <w:ilvl w:val="0"/>
          <w:numId w:val="14"/>
        </w:numPr>
      </w:pPr>
      <w:r w:rsidRPr="001E27BC">
        <w:t>As pointed out under EQ5, g</w:t>
      </w:r>
      <w:r w:rsidR="00D62E18" w:rsidRPr="001E27BC">
        <w:t>lobal level activitie</w:t>
      </w:r>
      <w:r w:rsidR="00D866B2" w:rsidRPr="001E27BC">
        <w:t>s, global learning events, have played an important role in learning from ongoing experience, developing knowledge and exchan</w:t>
      </w:r>
      <w:r w:rsidR="00D866B2" w:rsidRPr="001E27BC">
        <w:t>g</w:t>
      </w:r>
      <w:r w:rsidR="00D866B2" w:rsidRPr="001E27BC">
        <w:t xml:space="preserve">ing good practice, thereby </w:t>
      </w:r>
      <w:r w:rsidRPr="001E27BC">
        <w:t xml:space="preserve">strengthening capacities and </w:t>
      </w:r>
      <w:r w:rsidR="00D866B2" w:rsidRPr="001E27BC">
        <w:t>enhancing impact of the pr</w:t>
      </w:r>
      <w:r w:rsidR="00D866B2" w:rsidRPr="001E27BC">
        <w:t>o</w:t>
      </w:r>
      <w:r w:rsidR="00D866B2" w:rsidRPr="001E27BC">
        <w:t xml:space="preserve">gramme as a whole. </w:t>
      </w:r>
    </w:p>
    <w:p w:rsidR="00D62E18" w:rsidRPr="001E27BC" w:rsidRDefault="000A3555" w:rsidP="00D866B2">
      <w:pPr>
        <w:numPr>
          <w:ilvl w:val="0"/>
          <w:numId w:val="14"/>
        </w:numPr>
      </w:pPr>
      <w:r w:rsidRPr="001E27BC">
        <w:t>An interesting finding is that several of the countries participating in the GCCA do not only have adaptation objectives</w:t>
      </w:r>
      <w:r w:rsidR="00E20182" w:rsidRPr="001E27BC">
        <w:t>,</w:t>
      </w:r>
      <w:r w:rsidRPr="001E27BC">
        <w:t xml:space="preserve"> but </w:t>
      </w:r>
      <w:r w:rsidR="00F81496" w:rsidRPr="001E27BC">
        <w:t xml:space="preserve">also </w:t>
      </w:r>
      <w:r w:rsidR="00E20182" w:rsidRPr="001E27BC">
        <w:t xml:space="preserve">articulate </w:t>
      </w:r>
      <w:r w:rsidRPr="001E27BC">
        <w:t xml:space="preserve">ambitions to contribute to </w:t>
      </w:r>
      <w:r w:rsidR="00E20182" w:rsidRPr="001E27BC">
        <w:t xml:space="preserve">global </w:t>
      </w:r>
      <w:r w:rsidR="001F7DA3" w:rsidRPr="001E27BC">
        <w:t xml:space="preserve">Green House Gases (GHG) </w:t>
      </w:r>
      <w:r w:rsidRPr="001E27BC">
        <w:t>m</w:t>
      </w:r>
      <w:r w:rsidR="00D62E18" w:rsidRPr="001E27BC">
        <w:t>itigation</w:t>
      </w:r>
      <w:r w:rsidRPr="001E27BC">
        <w:t xml:space="preserve"> </w:t>
      </w:r>
      <w:r w:rsidR="00F81496" w:rsidRPr="001E27BC">
        <w:t>objectives</w:t>
      </w:r>
      <w:r w:rsidRPr="001E27BC">
        <w:t xml:space="preserve">. This was clearly observed in countries such as Nepal, Bhutan, Mauritius, Burkina Faso, Benin and Ethiopia. In a few cases, </w:t>
      </w:r>
      <w:r w:rsidR="001F7DA3" w:rsidRPr="001E27BC">
        <w:t xml:space="preserve">there is a clear focus on mitigation </w:t>
      </w:r>
      <w:r w:rsidRPr="001E27BC">
        <w:t xml:space="preserve">(Mauritius, Burkina Faso) but in most cases, the adaptation actions have </w:t>
      </w:r>
      <w:r w:rsidR="00F81496" w:rsidRPr="001E27BC">
        <w:t xml:space="preserve">secondary mitigation benefits. </w:t>
      </w:r>
      <w:r w:rsidR="00330CF1" w:rsidRPr="001E27BC">
        <w:t>Considering this ambition, e</w:t>
      </w:r>
      <w:r w:rsidRPr="001E27BC">
        <w:t xml:space="preserve">ven if </w:t>
      </w:r>
      <w:r w:rsidR="00152B24" w:rsidRPr="001E27BC">
        <w:t>most of the GCCA support to date concerns adaptation action</w:t>
      </w:r>
      <w:r w:rsidRPr="001E27BC">
        <w:t xml:space="preserve">, a continuation of </w:t>
      </w:r>
      <w:r w:rsidR="00152B24" w:rsidRPr="001E27BC">
        <w:t>GCCA support for mitigation actions seems justified as well</w:t>
      </w:r>
      <w:r w:rsidR="009C74F6" w:rsidRPr="001E27BC">
        <w:t>. S</w:t>
      </w:r>
      <w:r w:rsidR="00152B24" w:rsidRPr="001E27BC">
        <w:t xml:space="preserve">hould a country prefer to use GCCA support for </w:t>
      </w:r>
      <w:r w:rsidR="009C74F6" w:rsidRPr="001E27BC">
        <w:t>mitigation, it should qualify for support</w:t>
      </w:r>
      <w:r w:rsidR="00F81496" w:rsidRPr="001E27BC">
        <w:t>,</w:t>
      </w:r>
      <w:r w:rsidR="009C74F6" w:rsidRPr="001E27BC">
        <w:t xml:space="preserve"> </w:t>
      </w:r>
      <w:r w:rsidR="00152B24" w:rsidRPr="001E27BC">
        <w:t xml:space="preserve">provided </w:t>
      </w:r>
      <w:r w:rsidR="00E20182" w:rsidRPr="001E27BC">
        <w:t xml:space="preserve">the mitigation action contributes to </w:t>
      </w:r>
      <w:r w:rsidR="00152B24" w:rsidRPr="001E27BC">
        <w:t xml:space="preserve">poverty reduction objectives as well. </w:t>
      </w:r>
    </w:p>
    <w:p w:rsidR="00DF40F6" w:rsidRPr="009672E5" w:rsidRDefault="00FC4947" w:rsidP="00D866B2">
      <w:pPr>
        <w:numPr>
          <w:ilvl w:val="0"/>
          <w:numId w:val="14"/>
        </w:numPr>
      </w:pPr>
      <w:r w:rsidRPr="001E27BC">
        <w:t>The evaluation team has not come across any unforeseen negative impacts. On the other hand, several country programmes clearly have unintended positive impacts, in particular in terms of biodiversity conservation (case of Benin)</w:t>
      </w:r>
      <w:r w:rsidR="00330CF1" w:rsidRPr="001E27BC">
        <w:t>, good governance (Nepal, Rwanda) or in</w:t>
      </w:r>
      <w:r w:rsidR="00633FE3" w:rsidRPr="001E27BC">
        <w:t xml:space="preserve"> </w:t>
      </w:r>
      <w:r w:rsidR="00330CF1" w:rsidRPr="001E27BC">
        <w:t>establishing the groundwork for the creation of a Climate Change Division (</w:t>
      </w:r>
      <w:r w:rsidR="00633FE3" w:rsidRPr="001E27BC">
        <w:t>Ja</w:t>
      </w:r>
      <w:r w:rsidR="00330CF1" w:rsidRPr="001E27BC">
        <w:t>maica</w:t>
      </w:r>
      <w:r w:rsidR="00330CF1" w:rsidRPr="009672E5">
        <w:t>).</w:t>
      </w:r>
    </w:p>
    <w:p w:rsidR="00DF40F6" w:rsidRPr="009672E5" w:rsidRDefault="00DF40F6" w:rsidP="009A69D8">
      <w:pPr>
        <w:ind w:left="360"/>
        <w:rPr>
          <w:b/>
        </w:rPr>
      </w:pPr>
      <w:r w:rsidRPr="009672E5">
        <w:rPr>
          <w:b/>
        </w:rPr>
        <w:t xml:space="preserve">REC: It is recommended that the monitoring framework for the programme be strengthened. </w:t>
      </w:r>
    </w:p>
    <w:p w:rsidR="00FC4947" w:rsidRPr="009672E5" w:rsidRDefault="00DF40F6" w:rsidP="00DF40F6">
      <w:pPr>
        <w:numPr>
          <w:ilvl w:val="0"/>
          <w:numId w:val="19"/>
        </w:numPr>
        <w:rPr>
          <w:i/>
        </w:rPr>
      </w:pPr>
      <w:r w:rsidRPr="009672E5">
        <w:rPr>
          <w:i/>
        </w:rPr>
        <w:t>It is important to enhance monitoring of regional and national programmes, especially for more problematic programmes. Options for strengthened monitoring include (1) a more pronounced role of the EU Delegations, (2) increased use of GSF and CSF services, and (3) procurement of technical backstopping services for the development and impl</w:t>
      </w:r>
      <w:r w:rsidRPr="009672E5">
        <w:rPr>
          <w:i/>
        </w:rPr>
        <w:t>e</w:t>
      </w:r>
      <w:r w:rsidRPr="009672E5">
        <w:rPr>
          <w:i/>
        </w:rPr>
        <w:t>mentation of an impact monitoring system for the GCCA programme. The latter should include the development of an overall monitoring framework for the programme with - possibly - a number of compulsory indicators for all interventions.</w:t>
      </w:r>
    </w:p>
    <w:p w:rsidR="00D036B2" w:rsidRPr="001E27BC" w:rsidRDefault="00C74D2B" w:rsidP="0076070B">
      <w:pPr>
        <w:ind w:left="709" w:hanging="709"/>
        <w:rPr>
          <w:b/>
          <w:i/>
        </w:rPr>
      </w:pPr>
      <w:r w:rsidRPr="001E27BC">
        <w:rPr>
          <w:b/>
          <w:i/>
        </w:rPr>
        <w:t>EQ</w:t>
      </w:r>
      <w:r w:rsidR="00D036B2" w:rsidRPr="001E27BC">
        <w:rPr>
          <w:b/>
          <w:i/>
        </w:rPr>
        <w:t>9.</w:t>
      </w:r>
      <w:r w:rsidR="00D036B2" w:rsidRPr="001E27BC">
        <w:rPr>
          <w:b/>
          <w:i/>
        </w:rPr>
        <w:tab/>
        <w:t>To which extent does the programme contribute to visibility and a good reputation of the EU’s and ACP’s actions in the field of climate change?</w:t>
      </w:r>
    </w:p>
    <w:p w:rsidR="00B97760" w:rsidRPr="001E27BC" w:rsidRDefault="001F1C15" w:rsidP="00B97760">
      <w:pPr>
        <w:numPr>
          <w:ilvl w:val="0"/>
          <w:numId w:val="15"/>
        </w:numPr>
      </w:pPr>
      <w:r w:rsidRPr="001E27BC">
        <w:t>V</w:t>
      </w:r>
      <w:r w:rsidR="00B97760" w:rsidRPr="001E27BC">
        <w:t>isibility of the GCCA programme at global level is considered to be good. The website is highly informative, with many links to relevant documentation, training materials and up-to-date information on news and events. It was found, though, that the information on the national and regional programmes provided is often not up-to-date. While the GCCA website is highly informative, an effort should be made to provide links to relevant r</w:t>
      </w:r>
      <w:r w:rsidR="00B97760" w:rsidRPr="001E27BC">
        <w:t>e</w:t>
      </w:r>
      <w:r w:rsidR="00B97760" w:rsidRPr="001E27BC">
        <w:t xml:space="preserve">ports and outputs on the supported projects and programmes, either directly or through the projects’ websites. </w:t>
      </w:r>
    </w:p>
    <w:p w:rsidR="00B97760" w:rsidRPr="001E27BC" w:rsidRDefault="00B97760" w:rsidP="00B97760">
      <w:pPr>
        <w:numPr>
          <w:ilvl w:val="0"/>
          <w:numId w:val="15"/>
        </w:numPr>
      </w:pPr>
      <w:r w:rsidRPr="001E27BC">
        <w:t>Most but not all projects have developed websites where basic information and updates on the projects are posted. These websites do not always properly acknowledge EU or MS contributions</w:t>
      </w:r>
      <w:r w:rsidR="001F1C15" w:rsidRPr="001E27BC">
        <w:t>,</w:t>
      </w:r>
      <w:r w:rsidRPr="001E27BC">
        <w:t xml:space="preserve"> and do not use EU logos in most cases.</w:t>
      </w:r>
    </w:p>
    <w:p w:rsidR="001F1C15" w:rsidRPr="001E27BC" w:rsidRDefault="00633FE3" w:rsidP="00B97760">
      <w:pPr>
        <w:numPr>
          <w:ilvl w:val="0"/>
          <w:numId w:val="15"/>
        </w:numPr>
      </w:pPr>
      <w:r w:rsidRPr="001E27BC">
        <w:t xml:space="preserve">With the </w:t>
      </w:r>
      <w:r w:rsidR="009C74F6" w:rsidRPr="001E27BC">
        <w:t>exception</w:t>
      </w:r>
      <w:r w:rsidRPr="001E27BC">
        <w:t xml:space="preserve"> of Jamaica, </w:t>
      </w:r>
      <w:r w:rsidR="00B97760" w:rsidRPr="001E27BC">
        <w:t xml:space="preserve">in the countries visited, </w:t>
      </w:r>
      <w:r w:rsidRPr="001E27BC">
        <w:t>v</w:t>
      </w:r>
      <w:r w:rsidR="008C7309" w:rsidRPr="001E27BC">
        <w:t>isibility of GCCA action was generally found to be on the low side. This is partly due to implementation modalities, in particular budget support</w:t>
      </w:r>
      <w:r w:rsidR="00152B24" w:rsidRPr="001E27BC">
        <w:t xml:space="preserve"> (case of Rwanda, Mauritius, Mozambique)</w:t>
      </w:r>
      <w:r w:rsidR="008C7309" w:rsidRPr="001E27BC">
        <w:t>, partly to the rel</w:t>
      </w:r>
      <w:r w:rsidR="008C7309" w:rsidRPr="001E27BC">
        <w:t>a</w:t>
      </w:r>
      <w:r w:rsidR="008C7309" w:rsidRPr="001E27BC">
        <w:t>tively small role of GCCA funding in jointly managed or delegated actions</w:t>
      </w:r>
      <w:r w:rsidR="00152B24" w:rsidRPr="001E27BC">
        <w:t>, for example in Nepal</w:t>
      </w:r>
      <w:r w:rsidR="008C7309" w:rsidRPr="001E27BC">
        <w:t xml:space="preserve">. In the view of the evaluation team, this should not be perceived as a problem but is a </w:t>
      </w:r>
      <w:r w:rsidR="00105B4A" w:rsidRPr="001E27BC">
        <w:t>‘</w:t>
      </w:r>
      <w:r w:rsidR="008C7309" w:rsidRPr="001E27BC">
        <w:t>natural</w:t>
      </w:r>
      <w:r w:rsidR="00105B4A" w:rsidRPr="001E27BC">
        <w:t>’</w:t>
      </w:r>
      <w:r w:rsidR="008C7309" w:rsidRPr="001E27BC">
        <w:t xml:space="preserve"> consequence of increased donor cooperation, </w:t>
      </w:r>
      <w:r w:rsidR="00152B24" w:rsidRPr="001E27BC">
        <w:t xml:space="preserve">and </w:t>
      </w:r>
      <w:r w:rsidR="008C7309" w:rsidRPr="001E27BC">
        <w:t xml:space="preserve">in line with </w:t>
      </w:r>
      <w:r w:rsidR="00152B24" w:rsidRPr="001E27BC">
        <w:t xml:space="preserve">principles of </w:t>
      </w:r>
      <w:r w:rsidR="008C7309" w:rsidRPr="001E27BC">
        <w:t>the Paris Declaration.</w:t>
      </w:r>
      <w:r w:rsidRPr="001E27BC">
        <w:t xml:space="preserve"> Belize was seen as having adequate visibility of the programme in that country. </w:t>
      </w:r>
    </w:p>
    <w:p w:rsidR="00E14691" w:rsidRPr="001E27BC" w:rsidRDefault="008C7309" w:rsidP="009A69D8">
      <w:pPr>
        <w:ind w:left="360"/>
        <w:rPr>
          <w:b/>
        </w:rPr>
      </w:pPr>
      <w:r w:rsidRPr="001E27BC">
        <w:rPr>
          <w:b/>
        </w:rPr>
        <w:t xml:space="preserve"> </w:t>
      </w:r>
      <w:r w:rsidR="00E14691" w:rsidRPr="001E27BC">
        <w:rPr>
          <w:b/>
        </w:rPr>
        <w:t xml:space="preserve">REC: It is recommended that the GCCA website become a more pro-active and inter-active tool in the GCCA communication strategy.  </w:t>
      </w:r>
    </w:p>
    <w:p w:rsidR="00B97760" w:rsidRPr="001E27BC" w:rsidRDefault="00E14691" w:rsidP="001F1C15">
      <w:pPr>
        <w:numPr>
          <w:ilvl w:val="0"/>
          <w:numId w:val="19"/>
        </w:numPr>
        <w:rPr>
          <w:i/>
        </w:rPr>
      </w:pPr>
      <w:r w:rsidRPr="001E27BC">
        <w:rPr>
          <w:i/>
        </w:rPr>
        <w:t xml:space="preserve">The website should be seen as a proactive tool to increase GCCA visibility. The website could be a key platform for knowledge management in respect of regional and global learning events by adding a knowledge management function that makes best use of the electronic media to also encourage and incorporate feedback on an ongoing basis. The GCCA website is supposed to provide a platform for dialogue; however much more work can be done to ensure that feed-back “from the field” is incorporated. This includes, for example, capturing the follow-up from the “GCCA+ side-event” at the December 2014 COP 20, and building on this. The GCCA website should provide more up-to-date links to relevant outputs and documentation on the interventions supported under both the national and regional programmes.  </w:t>
      </w:r>
    </w:p>
    <w:p w:rsidR="00D036B2" w:rsidRPr="001E27BC" w:rsidRDefault="00315F62" w:rsidP="003936A6">
      <w:pPr>
        <w:pStyle w:val="Heading2"/>
      </w:pPr>
      <w:bookmarkStart w:id="24" w:name="_Toc284767320"/>
      <w:r>
        <w:t>2.6</w:t>
      </w:r>
      <w:r>
        <w:tab/>
      </w:r>
      <w:r w:rsidR="00D036B2" w:rsidRPr="001E27BC">
        <w:t>On sustainability</w:t>
      </w:r>
      <w:r w:rsidR="006C6102" w:rsidRPr="001E27BC">
        <w:t xml:space="preserve"> (likely continuation of achieved results)</w:t>
      </w:r>
      <w:r w:rsidR="001C0CDC">
        <w:t>:</w:t>
      </w:r>
      <w:bookmarkEnd w:id="24"/>
    </w:p>
    <w:p w:rsidR="00D036B2" w:rsidRPr="001E27BC" w:rsidRDefault="00DE7E24" w:rsidP="00E14691">
      <w:pPr>
        <w:widowControl w:val="0"/>
        <w:ind w:left="709" w:hanging="709"/>
        <w:rPr>
          <w:b/>
          <w:i/>
        </w:rPr>
      </w:pPr>
      <w:r>
        <w:rPr>
          <w:b/>
          <w:i/>
        </w:rPr>
        <w:t>EQ</w:t>
      </w:r>
      <w:r w:rsidR="00D036B2" w:rsidRPr="001E27BC">
        <w:rPr>
          <w:b/>
          <w:i/>
        </w:rPr>
        <w:t>10.</w:t>
      </w:r>
      <w:r w:rsidR="00D036B2" w:rsidRPr="001E27BC">
        <w:rPr>
          <w:b/>
          <w:i/>
        </w:rPr>
        <w:tab/>
        <w:t>To what extent are the conditions met and mechanisms in place to sustain programme results and ensure a continued flow of benefits to beneficiaries?</w:t>
      </w:r>
    </w:p>
    <w:p w:rsidR="008C7309" w:rsidRPr="001E27BC" w:rsidRDefault="00F6277A" w:rsidP="00E14691">
      <w:pPr>
        <w:widowControl w:val="0"/>
        <w:numPr>
          <w:ilvl w:val="0"/>
          <w:numId w:val="16"/>
        </w:numPr>
      </w:pPr>
      <w:r w:rsidRPr="001E27BC">
        <w:t xml:space="preserve">Most GCCA supported actions are still in an initial stage; an assessment of impact and sustainability is therefore rather </w:t>
      </w:r>
      <w:r w:rsidR="00633FE3" w:rsidRPr="001E27BC">
        <w:t xml:space="preserve">premature and </w:t>
      </w:r>
      <w:r w:rsidR="00633FE3" w:rsidRPr="009672E5">
        <w:t>would</w:t>
      </w:r>
      <w:r w:rsidR="00417F79" w:rsidRPr="009672E5">
        <w:t>,</w:t>
      </w:r>
      <w:r w:rsidR="00633FE3" w:rsidRPr="009672E5">
        <w:t xml:space="preserve"> in </w:t>
      </w:r>
      <w:r w:rsidR="00417F79" w:rsidRPr="009672E5">
        <w:t xml:space="preserve">most cases, </w:t>
      </w:r>
      <w:r w:rsidR="00633FE3" w:rsidRPr="009672E5">
        <w:t xml:space="preserve">be </w:t>
      </w:r>
      <w:r w:rsidRPr="009672E5">
        <w:t>speculative. Nonetheless, p</w:t>
      </w:r>
      <w:r w:rsidR="008C7309" w:rsidRPr="009672E5">
        <w:t>rospects for sustainability of GCCA project results a</w:t>
      </w:r>
      <w:r w:rsidRPr="009672E5">
        <w:t>ppear to be</w:t>
      </w:r>
      <w:r w:rsidR="008C7309" w:rsidRPr="009672E5">
        <w:t xml:space="preserve"> generally good</w:t>
      </w:r>
      <w:r w:rsidR="00F619B3" w:rsidRPr="009672E5">
        <w:t xml:space="preserve">, </w:t>
      </w:r>
      <w:r w:rsidRPr="009672E5">
        <w:t xml:space="preserve">in </w:t>
      </w:r>
      <w:r w:rsidR="00FE7F5E" w:rsidRPr="009672E5">
        <w:t>90% of the countries visit</w:t>
      </w:r>
      <w:r w:rsidR="00F619B3" w:rsidRPr="009672E5">
        <w:t>ed</w:t>
      </w:r>
      <w:r w:rsidR="005277FC" w:rsidRPr="009672E5">
        <w:t>. This is largely</w:t>
      </w:r>
      <w:r w:rsidR="005277FC" w:rsidRPr="001E27BC">
        <w:t xml:space="preserve"> due to the fact that the support is linked to integration of climate action into national and local planning and development processes. E</w:t>
      </w:r>
      <w:r w:rsidR="008C7309" w:rsidRPr="001E27BC">
        <w:t>specially whe</w:t>
      </w:r>
      <w:r w:rsidR="005277FC" w:rsidRPr="001E27BC">
        <w:t>n</w:t>
      </w:r>
      <w:r w:rsidR="008C7309" w:rsidRPr="001E27BC">
        <w:t xml:space="preserve"> there is strong political support for climate (or environmental) action (</w:t>
      </w:r>
      <w:r w:rsidR="00417F79" w:rsidRPr="001E27BC">
        <w:t xml:space="preserve">for </w:t>
      </w:r>
      <w:r w:rsidR="008C7309" w:rsidRPr="001E27BC">
        <w:t>ex</w:t>
      </w:r>
      <w:r w:rsidR="00FE7F5E" w:rsidRPr="001E27BC">
        <w:t>ample</w:t>
      </w:r>
      <w:r w:rsidR="008C7309" w:rsidRPr="001E27BC">
        <w:t xml:space="preserve"> B</w:t>
      </w:r>
      <w:r w:rsidR="00FE7F5E" w:rsidRPr="001E27BC">
        <w:t>hutan</w:t>
      </w:r>
      <w:r w:rsidR="008C7309" w:rsidRPr="001E27BC">
        <w:t>)</w:t>
      </w:r>
      <w:r w:rsidR="005277FC" w:rsidRPr="001E27BC">
        <w:t>, results are likely to be sustained</w:t>
      </w:r>
      <w:r w:rsidR="008C7309" w:rsidRPr="001E27BC">
        <w:t xml:space="preserve">. However, even if there is limited ownership at national level, strong local ownership can </w:t>
      </w:r>
      <w:r w:rsidR="00FE7F5E" w:rsidRPr="001E27BC">
        <w:t xml:space="preserve">still </w:t>
      </w:r>
      <w:r w:rsidR="008C7309" w:rsidRPr="001E27BC">
        <w:t>create the right cond</w:t>
      </w:r>
      <w:r w:rsidR="008C7309" w:rsidRPr="001E27BC">
        <w:t>i</w:t>
      </w:r>
      <w:r w:rsidR="008C7309" w:rsidRPr="001E27BC">
        <w:t>tions for a sustainable impact of the action</w:t>
      </w:r>
      <w:r w:rsidR="00FE7F5E" w:rsidRPr="001E27BC">
        <w:t>, as was found to be the case in Mozambique</w:t>
      </w:r>
      <w:r w:rsidR="00F619B3" w:rsidRPr="001E27BC">
        <w:t>, for example</w:t>
      </w:r>
      <w:r w:rsidR="008C7309" w:rsidRPr="001E27BC">
        <w:t>.</w:t>
      </w:r>
    </w:p>
    <w:p w:rsidR="004B7A3C" w:rsidRPr="009672E5" w:rsidRDefault="004B7A3C" w:rsidP="004B7A3C">
      <w:pPr>
        <w:numPr>
          <w:ilvl w:val="0"/>
          <w:numId w:val="16"/>
        </w:numPr>
      </w:pPr>
      <w:r w:rsidRPr="001E27BC">
        <w:t xml:space="preserve">In one case only, the evaluators </w:t>
      </w:r>
      <w:r w:rsidRPr="009672E5">
        <w:t>had concerns about the prospects for a sustained impact. In Rwanda, st</w:t>
      </w:r>
      <w:r w:rsidR="00417F79" w:rsidRPr="009672E5">
        <w:t>aff, skills and equipment at the de</w:t>
      </w:r>
      <w:r w:rsidRPr="009672E5">
        <w:t>central</w:t>
      </w:r>
      <w:r w:rsidR="00417F79" w:rsidRPr="009672E5">
        <w:t>ised</w:t>
      </w:r>
      <w:r w:rsidRPr="009672E5">
        <w:t xml:space="preserve"> (District) level </w:t>
      </w:r>
      <w:r w:rsidR="00417F79" w:rsidRPr="009672E5">
        <w:t xml:space="preserve">still </w:t>
      </w:r>
      <w:r w:rsidRPr="009672E5">
        <w:t>were co</w:t>
      </w:r>
      <w:r w:rsidRPr="009672E5">
        <w:t>n</w:t>
      </w:r>
      <w:r w:rsidRPr="009672E5">
        <w:t xml:space="preserve">sidered to be </w:t>
      </w:r>
      <w:r w:rsidR="00E109E3" w:rsidRPr="009672E5">
        <w:t>i</w:t>
      </w:r>
      <w:r w:rsidRPr="009672E5">
        <w:t>nsufficient to sustain the investments made (i</w:t>
      </w:r>
      <w:r w:rsidR="00F619B3" w:rsidRPr="009672E5">
        <w:t>.</w:t>
      </w:r>
      <w:r w:rsidR="00417F79" w:rsidRPr="009672E5">
        <w:t>e.</w:t>
      </w:r>
      <w:r w:rsidRPr="009672E5">
        <w:t xml:space="preserve"> the Land Administration Information System). As this concerns a country-specific situation, </w:t>
      </w:r>
      <w:r w:rsidR="002D7206" w:rsidRPr="009672E5">
        <w:t xml:space="preserve">the related </w:t>
      </w:r>
      <w:r w:rsidRPr="009672E5">
        <w:t>reco</w:t>
      </w:r>
      <w:r w:rsidRPr="009672E5">
        <w:t>m</w:t>
      </w:r>
      <w:r w:rsidRPr="009672E5">
        <w:t xml:space="preserve">mendation </w:t>
      </w:r>
      <w:r w:rsidR="00F619B3" w:rsidRPr="009672E5">
        <w:t>wa</w:t>
      </w:r>
      <w:r w:rsidRPr="009672E5">
        <w:t>s made in th</w:t>
      </w:r>
      <w:r w:rsidR="00F619B3" w:rsidRPr="009672E5">
        <w:t xml:space="preserve">e </w:t>
      </w:r>
      <w:r w:rsidR="00417F79" w:rsidRPr="009672E5">
        <w:t>appropriate</w:t>
      </w:r>
      <w:r w:rsidR="00F619B3" w:rsidRPr="009672E5">
        <w:t xml:space="preserve"> Aide Memoire only (</w:t>
      </w:r>
      <w:r w:rsidR="002D7206" w:rsidRPr="009672E5">
        <w:t xml:space="preserve">re. </w:t>
      </w:r>
      <w:r w:rsidR="00F619B3" w:rsidRPr="009672E5">
        <w:rPr>
          <w:i/>
        </w:rPr>
        <w:t>Annex 3.6</w:t>
      </w:r>
      <w:r w:rsidR="00F619B3" w:rsidRPr="009672E5">
        <w:t>)</w:t>
      </w:r>
      <w:r w:rsidRPr="009672E5">
        <w:t>.</w:t>
      </w:r>
      <w:r w:rsidR="00E109E3" w:rsidRPr="009672E5">
        <w:t xml:space="preserve"> </w:t>
      </w:r>
    </w:p>
    <w:p w:rsidR="006E5CC3" w:rsidRPr="001E27BC" w:rsidRDefault="00C31BD2" w:rsidP="006E5CC3">
      <w:pPr>
        <w:numPr>
          <w:ilvl w:val="0"/>
          <w:numId w:val="16"/>
        </w:numPr>
      </w:pPr>
      <w:r w:rsidRPr="001E27BC">
        <w:t>T</w:t>
      </w:r>
      <w:r w:rsidR="006E5CC3" w:rsidRPr="001E27BC">
        <w:t>he programme as a whole has given proper attention to partner's individual and organ</w:t>
      </w:r>
      <w:r w:rsidR="006E5CC3" w:rsidRPr="001E27BC">
        <w:t>i</w:t>
      </w:r>
      <w:r w:rsidR="006E5CC3" w:rsidRPr="001E27BC">
        <w:t xml:space="preserve">zational capacity building, even if limited capacities to effectively address climate change continues to </w:t>
      </w:r>
      <w:r w:rsidR="006E5CC3" w:rsidRPr="00DE7E24">
        <w:t>be a challenge</w:t>
      </w:r>
      <w:r w:rsidRPr="00DE7E24">
        <w:t xml:space="preserve"> (refer section on </w:t>
      </w:r>
      <w:r w:rsidRPr="00DE7E24">
        <w:rPr>
          <w:i/>
        </w:rPr>
        <w:t>EQ5</w:t>
      </w:r>
      <w:r w:rsidR="00417F79" w:rsidRPr="00DE7E24">
        <w:t>)</w:t>
      </w:r>
      <w:r w:rsidR="006E5CC3" w:rsidRPr="00DE7E24">
        <w:t>. By maintaining its focus on capacity building, an</w:t>
      </w:r>
      <w:r w:rsidR="006E5CC3" w:rsidRPr="001E27BC">
        <w:t xml:space="preserve"> adequate level of qualified human and institutional resources is likely to b</w:t>
      </w:r>
      <w:r w:rsidR="006E5CC3" w:rsidRPr="001E27BC">
        <w:t>e</w:t>
      </w:r>
      <w:r w:rsidR="006E5CC3" w:rsidRPr="001E27BC">
        <w:t>come available in the near future, which can continue to deliver GCCA’s expected ou</w:t>
      </w:r>
      <w:r w:rsidR="006E5CC3" w:rsidRPr="001E27BC">
        <w:t>t</w:t>
      </w:r>
      <w:r w:rsidR="006E5CC3" w:rsidRPr="001E27BC">
        <w:t xml:space="preserve">comes. </w:t>
      </w:r>
    </w:p>
    <w:p w:rsidR="004B7A3C" w:rsidRPr="001E27BC" w:rsidRDefault="004B7A3C" w:rsidP="004B7A3C">
      <w:pPr>
        <w:numPr>
          <w:ilvl w:val="0"/>
          <w:numId w:val="16"/>
        </w:numPr>
      </w:pPr>
      <w:r w:rsidRPr="001E27BC">
        <w:t xml:space="preserve">Most of the GCCA actions have had to address difficult institutional situations, </w:t>
      </w:r>
      <w:r w:rsidR="00C31BD2" w:rsidRPr="001E27BC">
        <w:t xml:space="preserve">and </w:t>
      </w:r>
      <w:r w:rsidRPr="001E27BC">
        <w:t>ide</w:t>
      </w:r>
      <w:r w:rsidRPr="001E27BC">
        <w:t>n</w:t>
      </w:r>
      <w:r w:rsidRPr="001E27BC">
        <w:t xml:space="preserve">tify </w:t>
      </w:r>
      <w:r w:rsidR="00C31BD2" w:rsidRPr="001E27BC">
        <w:t xml:space="preserve">or help create </w:t>
      </w:r>
      <w:r w:rsidRPr="001E27BC">
        <w:t xml:space="preserve">the right entry point for climate action; this has been discussed under </w:t>
      </w:r>
      <w:r w:rsidRPr="001E27BC">
        <w:rPr>
          <w:i/>
        </w:rPr>
        <w:t>EQ6</w:t>
      </w:r>
      <w:r w:rsidRPr="001E27BC">
        <w:t>. In most cases, this stage has been overcome, though, and proper institutional stru</w:t>
      </w:r>
      <w:r w:rsidRPr="001E27BC">
        <w:t>c</w:t>
      </w:r>
      <w:r w:rsidRPr="001E27BC">
        <w:t>tures and systems have been developed as a basis for longer-term support for climate a</w:t>
      </w:r>
      <w:r w:rsidRPr="001E27BC">
        <w:t>c</w:t>
      </w:r>
      <w:r w:rsidRPr="001E27BC">
        <w:t>tion. In the evaluator’s view, the clarification of institutional arrangements and manag</w:t>
      </w:r>
      <w:r w:rsidRPr="001E27BC">
        <w:t>e</w:t>
      </w:r>
      <w:r w:rsidRPr="001E27BC">
        <w:t>ment modes should be seen as an investment that should be further capitalized upon du</w:t>
      </w:r>
      <w:r w:rsidRPr="001E27BC">
        <w:t>r</w:t>
      </w:r>
      <w:r w:rsidRPr="001E27BC">
        <w:t>ing</w:t>
      </w:r>
      <w:r w:rsidR="00C31BD2" w:rsidRPr="001E27BC">
        <w:t xml:space="preserve"> a follow-up phase of the GCCA</w:t>
      </w:r>
      <w:r w:rsidR="00E12CA6" w:rsidRPr="001E27BC">
        <w:t>.</w:t>
      </w:r>
    </w:p>
    <w:p w:rsidR="004B7A3C" w:rsidRPr="001E27BC" w:rsidRDefault="004B7A3C" w:rsidP="004B7A3C">
      <w:pPr>
        <w:numPr>
          <w:ilvl w:val="0"/>
          <w:numId w:val="16"/>
        </w:numPr>
      </w:pPr>
      <w:r w:rsidRPr="001E27BC">
        <w:t xml:space="preserve">In several countries, such as in Jamaica, the programme has contributed to mobilisation of additional resources for </w:t>
      </w:r>
      <w:r w:rsidRPr="009672E5">
        <w:t xml:space="preserve">climate action. </w:t>
      </w:r>
      <w:r w:rsidR="00C31BD2" w:rsidRPr="009672E5">
        <w:t>Yet</w:t>
      </w:r>
      <w:r w:rsidRPr="009672E5">
        <w:t>, in most cases, continuation and sustainability of the actions undertaken w</w:t>
      </w:r>
      <w:r w:rsidR="00F4522C" w:rsidRPr="009672E5">
        <w:t>ill</w:t>
      </w:r>
      <w:r w:rsidRPr="009672E5">
        <w:t>, for years to come, still depend on GCCA support. In the evaluator’s view, given</w:t>
      </w:r>
      <w:r w:rsidRPr="001E27BC">
        <w:t xml:space="preserve"> the overall good results of the program</w:t>
      </w:r>
      <w:r w:rsidR="00D94F23" w:rsidRPr="001E27BC">
        <w:t xml:space="preserve">me </w:t>
      </w:r>
      <w:r w:rsidRPr="001E27BC">
        <w:t>and Europe’s commi</w:t>
      </w:r>
      <w:r w:rsidRPr="001E27BC">
        <w:t>t</w:t>
      </w:r>
      <w:r w:rsidRPr="001E27BC">
        <w:t xml:space="preserve">ment to supporting LDCs and SIDS in undertaking </w:t>
      </w:r>
      <w:r w:rsidR="00D94F23" w:rsidRPr="001E27BC">
        <w:t>climate action</w:t>
      </w:r>
      <w:r w:rsidRPr="001E27BC">
        <w:t xml:space="preserve">, follow-up funding </w:t>
      </w:r>
      <w:r w:rsidR="00D94F23" w:rsidRPr="001E27BC">
        <w:t xml:space="preserve">for the GCCA programme </w:t>
      </w:r>
      <w:r w:rsidRPr="001E27BC">
        <w:t>is fully justified</w:t>
      </w:r>
      <w:r w:rsidR="00D94F23" w:rsidRPr="001E27BC">
        <w:t xml:space="preserve">. </w:t>
      </w:r>
    </w:p>
    <w:p w:rsidR="00F4522C" w:rsidRPr="009A69D8" w:rsidRDefault="00F4522C" w:rsidP="009A69D8">
      <w:pPr>
        <w:ind w:left="360"/>
        <w:rPr>
          <w:b/>
          <w:i/>
        </w:rPr>
      </w:pPr>
      <w:r w:rsidRPr="009A69D8">
        <w:rPr>
          <w:b/>
        </w:rPr>
        <w:t>REC: Continued and increased support for GCCA climate action (GCCA+) is reco</w:t>
      </w:r>
      <w:r w:rsidRPr="009A69D8">
        <w:rPr>
          <w:b/>
        </w:rPr>
        <w:t>m</w:t>
      </w:r>
      <w:r w:rsidRPr="009A69D8">
        <w:rPr>
          <w:b/>
        </w:rPr>
        <w:t>mended</w:t>
      </w:r>
      <w:r w:rsidRPr="009A69D8">
        <w:rPr>
          <w:b/>
          <w:i/>
        </w:rPr>
        <w:t xml:space="preserve">. </w:t>
      </w:r>
    </w:p>
    <w:p w:rsidR="00F4522C" w:rsidRPr="001E27BC" w:rsidRDefault="00F4522C" w:rsidP="00F4522C">
      <w:pPr>
        <w:pStyle w:val="ListParagraph"/>
        <w:numPr>
          <w:ilvl w:val="0"/>
          <w:numId w:val="19"/>
        </w:numPr>
        <w:rPr>
          <w:i/>
        </w:rPr>
      </w:pPr>
      <w:r w:rsidRPr="001E27BC">
        <w:rPr>
          <w:i/>
        </w:rPr>
        <w:t>This recommendation is based on promising results and good overall performance of GCCA interventions, the realisation that climate action needs to be seen in a long-term perspective, as well as acknowledging the unique role that the EU can play in creating support for global climate change action. Continued support will need to build on exis</w:t>
      </w:r>
      <w:r w:rsidRPr="001E27BC">
        <w:rPr>
          <w:i/>
        </w:rPr>
        <w:t>t</w:t>
      </w:r>
      <w:r w:rsidRPr="001E27BC">
        <w:rPr>
          <w:i/>
        </w:rPr>
        <w:t>ing experience, progressively improving institutional strengths, linkages and collabo</w:t>
      </w:r>
      <w:r w:rsidRPr="001E27BC">
        <w:rPr>
          <w:i/>
        </w:rPr>
        <w:t>r</w:t>
      </w:r>
      <w:r w:rsidRPr="001E27BC">
        <w:rPr>
          <w:i/>
        </w:rPr>
        <w:t xml:space="preserve">ative partnerships and encouraging innovative practices. </w:t>
      </w:r>
    </w:p>
    <w:p w:rsidR="00F4522C" w:rsidRPr="001E27BC" w:rsidRDefault="00F4522C" w:rsidP="00F4522C">
      <w:pPr>
        <w:pStyle w:val="ListParagraph"/>
        <w:numPr>
          <w:ilvl w:val="0"/>
          <w:numId w:val="19"/>
        </w:numPr>
        <w:rPr>
          <w:i/>
        </w:rPr>
      </w:pPr>
      <w:r w:rsidRPr="001E27BC">
        <w:rPr>
          <w:i/>
        </w:rPr>
        <w:t>Continued support will also need to build on the pilot projects established during the first phase and, more importantly, the elaboration of a long-term strategy which specifies the roles of the various programme components (national and regional programmes; and support functions) and how they connect with, complement and reinforce each other.</w:t>
      </w:r>
    </w:p>
    <w:p w:rsidR="0022593E" w:rsidRPr="001E27BC" w:rsidRDefault="00F4522C" w:rsidP="00F4522C">
      <w:pPr>
        <w:pStyle w:val="ListParagraph"/>
        <w:numPr>
          <w:ilvl w:val="0"/>
          <w:numId w:val="19"/>
        </w:numPr>
        <w:rPr>
          <w:i/>
        </w:rPr>
      </w:pPr>
      <w:r w:rsidRPr="001E27BC">
        <w:rPr>
          <w:i/>
        </w:rPr>
        <w:t>This applies in particular to the Intra-ACP supported regional programmes, to ensure that they address the ACP regional climate change concerns while strengthening the gl</w:t>
      </w:r>
      <w:r w:rsidRPr="001E27BC">
        <w:rPr>
          <w:i/>
        </w:rPr>
        <w:t>o</w:t>
      </w:r>
      <w:r w:rsidRPr="001E27BC">
        <w:rPr>
          <w:i/>
        </w:rPr>
        <w:t>bal alliance between ACP countries, through shared and synergetic programming in line with article 32A of the Cotonou Agreement.</w:t>
      </w:r>
    </w:p>
    <w:p w:rsidR="00773523" w:rsidRPr="001E27BC" w:rsidRDefault="00315F62" w:rsidP="003936A6">
      <w:pPr>
        <w:pStyle w:val="Heading1"/>
      </w:pPr>
      <w:bookmarkStart w:id="25" w:name="_Toc284767321"/>
      <w:r>
        <w:t>3</w:t>
      </w:r>
      <w:r>
        <w:tab/>
      </w:r>
      <w:r w:rsidR="00DD240C" w:rsidRPr="001E27BC">
        <w:t>Overall Assessment</w:t>
      </w:r>
      <w:bookmarkEnd w:id="25"/>
      <w:r w:rsidR="00773523" w:rsidRPr="001E27BC">
        <w:t xml:space="preserve"> </w:t>
      </w:r>
    </w:p>
    <w:p w:rsidR="009D033B" w:rsidRPr="001E27BC" w:rsidRDefault="00171EC7" w:rsidP="0022593E">
      <w:pPr>
        <w:keepNext/>
        <w:keepLines/>
      </w:pPr>
      <w:r w:rsidRPr="001E27BC">
        <w:t xml:space="preserve">Overall, the global GCCA programme is </w:t>
      </w:r>
      <w:r w:rsidR="00CB0E1E" w:rsidRPr="001E27BC">
        <w:t xml:space="preserve">found to be </w:t>
      </w:r>
      <w:r w:rsidRPr="001E27BC">
        <w:t xml:space="preserve">performing well. </w:t>
      </w:r>
      <w:r w:rsidR="00BE6D6D" w:rsidRPr="001E27BC">
        <w:t>The evaluation team has assessed a sample of 10 country programmes</w:t>
      </w:r>
      <w:r w:rsidR="00CB0E1E" w:rsidRPr="001E27BC">
        <w:t xml:space="preserve">, six </w:t>
      </w:r>
      <w:r w:rsidR="00BE6D6D" w:rsidRPr="001E27BC">
        <w:t>regional programme</w:t>
      </w:r>
      <w:r w:rsidR="00CB0E1E" w:rsidRPr="001E27BC">
        <w:t>s</w:t>
      </w:r>
      <w:r w:rsidR="00BE6D6D" w:rsidRPr="001E27BC">
        <w:t xml:space="preserve"> which </w:t>
      </w:r>
      <w:r w:rsidR="00CB0E1E" w:rsidRPr="001E27BC">
        <w:t>are</w:t>
      </w:r>
      <w:r w:rsidR="00BE6D6D" w:rsidRPr="001E27BC">
        <w:t xml:space="preserve"> discussed in the report on the </w:t>
      </w:r>
      <w:r w:rsidR="0083385B" w:rsidRPr="001E27BC">
        <w:t xml:space="preserve">evaluation of the </w:t>
      </w:r>
      <w:r w:rsidR="00BE6D6D" w:rsidRPr="001E27BC">
        <w:t>Intra-ACP programme</w:t>
      </w:r>
      <w:r w:rsidR="0075493C" w:rsidRPr="001E27BC">
        <w:t xml:space="preserve">, as well as other </w:t>
      </w:r>
      <w:r w:rsidR="00CB0E1E" w:rsidRPr="001E27BC">
        <w:t xml:space="preserve">programme components, in particular the </w:t>
      </w:r>
      <w:r w:rsidR="0075493C" w:rsidRPr="001E27BC">
        <w:t>Global Support Facility</w:t>
      </w:r>
      <w:r w:rsidR="00CB0E1E" w:rsidRPr="001E27BC">
        <w:t xml:space="preserve"> and the Climate Support Facility, as well as other DEVCO background information</w:t>
      </w:r>
      <w:r w:rsidR="00BE6D6D" w:rsidRPr="001E27BC">
        <w:t xml:space="preserve">. </w:t>
      </w:r>
      <w:r w:rsidR="009D033B" w:rsidRPr="001E27BC">
        <w:t xml:space="preserve">An overview of performance of each of </w:t>
      </w:r>
      <w:r w:rsidR="009C74F6" w:rsidRPr="001E27BC">
        <w:t>the Programmes</w:t>
      </w:r>
      <w:r w:rsidR="000A1E9D" w:rsidRPr="001E27BC">
        <w:t xml:space="preserve"> </w:t>
      </w:r>
      <w:r w:rsidR="009D033B" w:rsidRPr="001E27BC">
        <w:t xml:space="preserve">visited during field missions, for each of the criteria, is provided </w:t>
      </w:r>
      <w:r w:rsidR="00AF6BCC" w:rsidRPr="001E27BC">
        <w:t xml:space="preserve">in </w:t>
      </w:r>
      <w:r w:rsidR="00AF6BCC" w:rsidRPr="001E27BC">
        <w:rPr>
          <w:i/>
        </w:rPr>
        <w:t>Table 1</w:t>
      </w:r>
      <w:r w:rsidR="00AF6BCC" w:rsidRPr="001E27BC">
        <w:t xml:space="preserve"> </w:t>
      </w:r>
      <w:r w:rsidR="00CB0E1E" w:rsidRPr="001E27BC">
        <w:t>at the end of this chapter. For the sake of a complete overview of performance of individual pro</w:t>
      </w:r>
      <w:r w:rsidR="0045765C" w:rsidRPr="001E27BC">
        <w:t>gramme comp</w:t>
      </w:r>
      <w:r w:rsidR="0045765C" w:rsidRPr="001E27BC">
        <w:t>o</w:t>
      </w:r>
      <w:r w:rsidR="0045765C" w:rsidRPr="001E27BC">
        <w:t xml:space="preserve">nents, in </w:t>
      </w:r>
      <w:r w:rsidR="0045765C" w:rsidRPr="001E27BC">
        <w:rPr>
          <w:i/>
        </w:rPr>
        <w:t>T</w:t>
      </w:r>
      <w:r w:rsidR="00CB0E1E" w:rsidRPr="001E27BC">
        <w:rPr>
          <w:i/>
        </w:rPr>
        <w:t>able 2</w:t>
      </w:r>
      <w:r w:rsidR="00CB0E1E" w:rsidRPr="001E27BC">
        <w:t xml:space="preserve"> the scoring of Intra-ACP funded regional programmes is provided as well. </w:t>
      </w:r>
    </w:p>
    <w:p w:rsidR="004253BE" w:rsidRPr="001E27BC" w:rsidRDefault="00BE6D6D" w:rsidP="0076070B">
      <w:r w:rsidRPr="001E27BC">
        <w:t xml:space="preserve">Six </w:t>
      </w:r>
      <w:r w:rsidR="00C0126D" w:rsidRPr="001E27BC">
        <w:t xml:space="preserve">out </w:t>
      </w:r>
      <w:r w:rsidRPr="001E27BC">
        <w:t>of the</w:t>
      </w:r>
      <w:r w:rsidR="0083385B" w:rsidRPr="001E27BC">
        <w:t xml:space="preserve"> ten </w:t>
      </w:r>
      <w:r w:rsidR="00CB0E1E" w:rsidRPr="001E27BC">
        <w:t xml:space="preserve">national </w:t>
      </w:r>
      <w:r w:rsidR="009C74F6" w:rsidRPr="001E27BC">
        <w:t xml:space="preserve">programmes </w:t>
      </w:r>
      <w:r w:rsidR="00C0126D" w:rsidRPr="001E27BC">
        <w:t xml:space="preserve">evaluated </w:t>
      </w:r>
      <w:r w:rsidRPr="001E27BC">
        <w:t xml:space="preserve">were found to be performing </w:t>
      </w:r>
      <w:r w:rsidR="00F26254" w:rsidRPr="001E27BC">
        <w:t>well</w:t>
      </w:r>
      <w:r w:rsidR="0045765C" w:rsidRPr="001E27BC">
        <w:t>,</w:t>
      </w:r>
      <w:r w:rsidR="000A1E9D" w:rsidRPr="001E27BC">
        <w:t xml:space="preserve"> with one performing very well. </w:t>
      </w:r>
      <w:r w:rsidR="000A1E9D" w:rsidRPr="009672E5">
        <w:t xml:space="preserve">Three </w:t>
      </w:r>
      <w:r w:rsidRPr="009672E5">
        <w:t>programmes were found to have problems constraining their pe</w:t>
      </w:r>
      <w:r w:rsidRPr="009672E5">
        <w:t>r</w:t>
      </w:r>
      <w:r w:rsidRPr="009672E5">
        <w:t xml:space="preserve">formance. </w:t>
      </w:r>
      <w:r w:rsidR="00F26254" w:rsidRPr="009672E5">
        <w:t xml:space="preserve">Reduced performance of these programmes appears to be related to the selection of </w:t>
      </w:r>
      <w:r w:rsidR="0045765C" w:rsidRPr="009672E5">
        <w:t xml:space="preserve">not sufficiently </w:t>
      </w:r>
      <w:r w:rsidR="00F26254" w:rsidRPr="009672E5">
        <w:t>appropriate indicators (in the case of the budget support modality), and to complex institutional</w:t>
      </w:r>
      <w:r w:rsidR="00F26254" w:rsidRPr="001E27BC">
        <w:t xml:space="preserve"> arrangements between various national and development partners, slowing down field-level operationalisation.</w:t>
      </w:r>
    </w:p>
    <w:p w:rsidR="00BE6D6D" w:rsidRPr="001E27BC" w:rsidRDefault="00BE6D6D" w:rsidP="0076070B">
      <w:r w:rsidRPr="001E27BC">
        <w:t xml:space="preserve">In terms of the ten evaluation questions </w:t>
      </w:r>
      <w:r w:rsidR="00F5571B" w:rsidRPr="001E27BC">
        <w:t>(</w:t>
      </w:r>
      <w:r w:rsidRPr="001E27BC">
        <w:t xml:space="preserve">related to the five OECD </w:t>
      </w:r>
      <w:r w:rsidR="00F5571B" w:rsidRPr="001E27BC">
        <w:t xml:space="preserve">and the two EC specific </w:t>
      </w:r>
      <w:r w:rsidRPr="001E27BC">
        <w:t>eval</w:t>
      </w:r>
      <w:r w:rsidRPr="001E27BC">
        <w:t>u</w:t>
      </w:r>
      <w:r w:rsidRPr="001E27BC">
        <w:t>ation criteria</w:t>
      </w:r>
      <w:r w:rsidR="00F5571B" w:rsidRPr="001E27BC">
        <w:t>)</w:t>
      </w:r>
      <w:r w:rsidRPr="001E27BC">
        <w:t>, the overall assessment is that the average score on each of the evaluation questions is ‘good’</w:t>
      </w:r>
      <w:r w:rsidR="00F26254" w:rsidRPr="001E27BC">
        <w:t>; there are no particular areas of systematic under</w:t>
      </w:r>
      <w:r w:rsidR="0075493C" w:rsidRPr="001E27BC">
        <w:t xml:space="preserve"> or over</w:t>
      </w:r>
      <w:r w:rsidR="000A1E9D" w:rsidRPr="001E27BC">
        <w:t xml:space="preserve"> </w:t>
      </w:r>
      <w:r w:rsidR="00F26254" w:rsidRPr="001E27BC">
        <w:t xml:space="preserve">performance. </w:t>
      </w:r>
      <w:r w:rsidRPr="001E27BC">
        <w:t>While for each of the evaluation criteria, there are issues to be addressed</w:t>
      </w:r>
      <w:r w:rsidR="009C74F6" w:rsidRPr="001E27BC">
        <w:t xml:space="preserve">, </w:t>
      </w:r>
      <w:r w:rsidR="00D07F52" w:rsidRPr="001E27BC">
        <w:t>two areas</w:t>
      </w:r>
      <w:r w:rsidRPr="001E27BC">
        <w:t xml:space="preserve"> appear to be more problematic, namely (1) the function of the GCCA as an instrument for practical cooperation to tackle the combined challenge</w:t>
      </w:r>
      <w:r w:rsidR="000A1E9D" w:rsidRPr="001E27BC">
        <w:t>s</w:t>
      </w:r>
      <w:r w:rsidRPr="001E27BC">
        <w:t xml:space="preserve"> of climate change and the fight against pov</w:t>
      </w:r>
      <w:r w:rsidR="0045765C" w:rsidRPr="001E27BC">
        <w:t>erty;</w:t>
      </w:r>
      <w:r w:rsidRPr="001E27BC">
        <w:t xml:space="preserve"> and (2) the institutional arrangements and implementation modalities developed for management of the GCCA interve</w:t>
      </w:r>
      <w:r w:rsidRPr="001E27BC">
        <w:t>n</w:t>
      </w:r>
      <w:r w:rsidRPr="001E27BC">
        <w:t xml:space="preserve">tions. </w:t>
      </w:r>
      <w:r w:rsidR="00C074C2" w:rsidRPr="001E27BC">
        <w:t xml:space="preserve">Both issues will be discussed hereafter. </w:t>
      </w:r>
    </w:p>
    <w:p w:rsidR="001957CF" w:rsidRPr="009672E5" w:rsidRDefault="001957CF" w:rsidP="0076070B">
      <w:r w:rsidRPr="001E27BC">
        <w:t xml:space="preserve">All actions undertaken, except for one, were evaluated as being </w:t>
      </w:r>
      <w:r w:rsidRPr="001E27BC">
        <w:rPr>
          <w:b/>
        </w:rPr>
        <w:t>relevant</w:t>
      </w:r>
      <w:r w:rsidRPr="001E27BC">
        <w:t xml:space="preserve"> to </w:t>
      </w:r>
      <w:r w:rsidRPr="001E27BC">
        <w:rPr>
          <w:b/>
        </w:rPr>
        <w:t>highly relevant</w:t>
      </w:r>
      <w:r w:rsidRPr="001E27BC">
        <w:t xml:space="preserve"> in the context of the GCCA programme and of national policies. Most projects focus on adaptation action and, obviously, clear climate change strategies and action plans facilitate identification of well-</w:t>
      </w:r>
      <w:r w:rsidRPr="009672E5">
        <w:t xml:space="preserve">targeted GCCA support. Most projects build on existing projects and programmes, which is considered a very valuable approach for achievement of quick and good results. </w:t>
      </w:r>
      <w:r w:rsidR="0045765C" w:rsidRPr="009672E5">
        <w:t>Nonetheless</w:t>
      </w:r>
      <w:r w:rsidRPr="009672E5">
        <w:t xml:space="preserve">, it </w:t>
      </w:r>
      <w:r w:rsidR="0075493C" w:rsidRPr="009672E5">
        <w:t xml:space="preserve">was </w:t>
      </w:r>
      <w:r w:rsidRPr="009672E5">
        <w:t>not always obvious to identify the right org</w:t>
      </w:r>
      <w:r w:rsidR="00211E05" w:rsidRPr="009672E5">
        <w:t>anisation for leading the actions, as more often than not there are no dedicated climate change offices</w:t>
      </w:r>
      <w:r w:rsidR="0045765C" w:rsidRPr="009672E5">
        <w:t xml:space="preserve"> established and functioning</w:t>
      </w:r>
      <w:r w:rsidR="00211E05" w:rsidRPr="009672E5">
        <w:t xml:space="preserve">. </w:t>
      </w:r>
      <w:r w:rsidR="000A1E9D" w:rsidRPr="009672E5">
        <w:t>In countries</w:t>
      </w:r>
      <w:r w:rsidR="000A1E9D" w:rsidRPr="001E27BC">
        <w:t xml:space="preserve"> such as Belize and Jamaica</w:t>
      </w:r>
      <w:r w:rsidR="0045765C" w:rsidRPr="001E27BC">
        <w:t>,</w:t>
      </w:r>
      <w:r w:rsidR="000A1E9D" w:rsidRPr="001E27BC">
        <w:t xml:space="preserve"> Climate Offices are now in place and this bodes well for the future</w:t>
      </w:r>
      <w:r w:rsidR="0045765C" w:rsidRPr="001E27BC">
        <w:t xml:space="preserve">; however, </w:t>
      </w:r>
      <w:r w:rsidR="000A1E9D" w:rsidRPr="001E27BC">
        <w:t>the ongoing absence of such departments in other countries is a real detriment.</w:t>
      </w:r>
      <w:r w:rsidR="009C74F6" w:rsidRPr="001E27BC">
        <w:t xml:space="preserve"> </w:t>
      </w:r>
      <w:r w:rsidR="00211E05" w:rsidRPr="001E27BC">
        <w:t>Cons</w:t>
      </w:r>
      <w:r w:rsidR="00211E05" w:rsidRPr="001E27BC">
        <w:t>e</w:t>
      </w:r>
      <w:r w:rsidR="00211E05" w:rsidRPr="001E27BC">
        <w:t xml:space="preserve">quently, working out collaborative arrangements across institutions </w:t>
      </w:r>
      <w:r w:rsidR="0075493C" w:rsidRPr="001E27BC">
        <w:t xml:space="preserve">to lead </w:t>
      </w:r>
      <w:r w:rsidR="0075493C" w:rsidRPr="009672E5">
        <w:t xml:space="preserve">the </w:t>
      </w:r>
      <w:r w:rsidR="0045765C" w:rsidRPr="009672E5">
        <w:t xml:space="preserve">climate change </w:t>
      </w:r>
      <w:r w:rsidR="0075493C" w:rsidRPr="009672E5">
        <w:t xml:space="preserve">action </w:t>
      </w:r>
      <w:r w:rsidR="00211E05" w:rsidRPr="009672E5">
        <w:t>often takes considerable start-up time.</w:t>
      </w:r>
    </w:p>
    <w:p w:rsidR="00211E05" w:rsidRPr="009672E5" w:rsidRDefault="00211E05" w:rsidP="0076070B">
      <w:r w:rsidRPr="009672E5">
        <w:t xml:space="preserve">The design of </w:t>
      </w:r>
      <w:r w:rsidR="002D7206" w:rsidRPr="009672E5">
        <w:t>the GCCA</w:t>
      </w:r>
      <w:r w:rsidR="00E945FB" w:rsidRPr="009672E5">
        <w:t xml:space="preserve"> National Programmes </w:t>
      </w:r>
      <w:r w:rsidRPr="009672E5">
        <w:t>was found to be generally appropriate and consi</w:t>
      </w:r>
      <w:r w:rsidRPr="009672E5">
        <w:t>s</w:t>
      </w:r>
      <w:r w:rsidRPr="009672E5">
        <w:t xml:space="preserve">tent, even though several of the logical frameworks could do with improvements. Linkage of these logframes to national planning and reporting systems – in line with the idea of </w:t>
      </w:r>
      <w:r w:rsidR="00CA03CF" w:rsidRPr="009672E5">
        <w:t>climate change</w:t>
      </w:r>
      <w:r w:rsidRPr="009672E5">
        <w:t xml:space="preserve"> mainstreaming - can be challenging but is </w:t>
      </w:r>
      <w:r w:rsidR="0045765C" w:rsidRPr="009672E5">
        <w:t xml:space="preserve">gradually </w:t>
      </w:r>
      <w:r w:rsidRPr="009672E5">
        <w:t xml:space="preserve">being addressed. </w:t>
      </w:r>
      <w:r w:rsidR="0045765C" w:rsidRPr="009672E5">
        <w:t xml:space="preserve">As regards </w:t>
      </w:r>
      <w:r w:rsidR="00AA173F" w:rsidRPr="009672E5">
        <w:t xml:space="preserve">budget support, it was found that identification of appropriate indicators for measuring climate action results is a challenge, and it is </w:t>
      </w:r>
      <w:r w:rsidR="0045765C" w:rsidRPr="009672E5">
        <w:t xml:space="preserve">therefore important </w:t>
      </w:r>
      <w:r w:rsidR="00AA173F" w:rsidRPr="009672E5">
        <w:t xml:space="preserve">to take sufficient time to formulate </w:t>
      </w:r>
      <w:r w:rsidR="0075493C" w:rsidRPr="009672E5">
        <w:t xml:space="preserve">appropriate </w:t>
      </w:r>
      <w:r w:rsidR="00AA173F" w:rsidRPr="009672E5">
        <w:t xml:space="preserve">indicators. </w:t>
      </w:r>
    </w:p>
    <w:p w:rsidR="00AA173F" w:rsidRPr="001E27BC" w:rsidRDefault="00C074C2" w:rsidP="0076070B">
      <w:r w:rsidRPr="009672E5">
        <w:t>All projects and programmes</w:t>
      </w:r>
      <w:r w:rsidRPr="001E27BC">
        <w:t xml:space="preserve"> evaluated have made a </w:t>
      </w:r>
      <w:r w:rsidRPr="001E27BC">
        <w:rPr>
          <w:b/>
        </w:rPr>
        <w:t>satisfactory</w:t>
      </w:r>
      <w:r w:rsidRPr="001E27BC">
        <w:t xml:space="preserve"> to </w:t>
      </w:r>
      <w:r w:rsidRPr="001E27BC">
        <w:rPr>
          <w:b/>
        </w:rPr>
        <w:t>significant</w:t>
      </w:r>
      <w:r w:rsidRPr="001E27BC">
        <w:t xml:space="preserve"> contribution to </w:t>
      </w:r>
      <w:r w:rsidR="00B1733A" w:rsidRPr="001E27BC">
        <w:t>d</w:t>
      </w:r>
      <w:r w:rsidRPr="001E27BC">
        <w:t xml:space="preserve">ialogue on </w:t>
      </w:r>
      <w:r w:rsidR="00CA03CF" w:rsidRPr="001E27BC">
        <w:t>climate change</w:t>
      </w:r>
      <w:r w:rsidRPr="001E27BC">
        <w:t xml:space="preserve"> and exchange of experience within and between countries, and b</w:t>
      </w:r>
      <w:r w:rsidRPr="001E27BC">
        <w:t>e</w:t>
      </w:r>
      <w:r w:rsidRPr="001E27BC">
        <w:t xml:space="preserve">tween countries and the European Union. However, the concerned activities are not always well coordinated with regional and global activities, and there is room for increased coordination. </w:t>
      </w:r>
      <w:r w:rsidR="009705B7" w:rsidRPr="001E27BC">
        <w:t>The global level activities, in particular the learning events, have also made a very significant contr</w:t>
      </w:r>
      <w:r w:rsidR="009705B7" w:rsidRPr="001E27BC">
        <w:t>i</w:t>
      </w:r>
      <w:r w:rsidR="009705B7" w:rsidRPr="001E27BC">
        <w:t>bution to exchange of experience and to the development of the international dialogue.</w:t>
      </w:r>
    </w:p>
    <w:p w:rsidR="004E4A02" w:rsidRDefault="00C074C2" w:rsidP="00C074C2">
      <w:r w:rsidRPr="001E27BC">
        <w:t xml:space="preserve">Many of the </w:t>
      </w:r>
      <w:r w:rsidR="00E945FB" w:rsidRPr="001E27BC">
        <w:t>project activit</w:t>
      </w:r>
      <w:r w:rsidR="009C74F6" w:rsidRPr="001E27BC">
        <w:t>ies</w:t>
      </w:r>
      <w:r w:rsidR="00E945FB" w:rsidRPr="001E27BC">
        <w:t xml:space="preserve"> </w:t>
      </w:r>
      <w:r w:rsidR="009C74F6" w:rsidRPr="001E27BC">
        <w:t>of the</w:t>
      </w:r>
      <w:r w:rsidR="00E945FB" w:rsidRPr="001E27BC">
        <w:t xml:space="preserve"> various GCCA national programmes </w:t>
      </w:r>
      <w:r w:rsidRPr="001E27BC">
        <w:t xml:space="preserve">evaluated show that </w:t>
      </w:r>
      <w:r w:rsidR="00CA03CF" w:rsidRPr="001E27BC">
        <w:t>climate change</w:t>
      </w:r>
      <w:r w:rsidRPr="001E27BC">
        <w:t xml:space="preserve"> adaptation and mitigation actions </w:t>
      </w:r>
      <w:r w:rsidR="00B1733A" w:rsidRPr="001E27BC">
        <w:t xml:space="preserve">have a good potential to </w:t>
      </w:r>
      <w:r w:rsidRPr="001E27BC">
        <w:t>reduce poverty</w:t>
      </w:r>
      <w:r w:rsidR="0045765C" w:rsidRPr="001E27BC">
        <w:t>;</w:t>
      </w:r>
      <w:r w:rsidRPr="001E27BC">
        <w:t xml:space="preserve"> at the same time</w:t>
      </w:r>
      <w:r w:rsidR="00B1733A" w:rsidRPr="001E27BC">
        <w:t>, though</w:t>
      </w:r>
      <w:r w:rsidR="0045765C" w:rsidRPr="001E27BC">
        <w:t>,</w:t>
      </w:r>
      <w:r w:rsidR="00B1733A" w:rsidRPr="001E27BC">
        <w:t xml:space="preserve"> these benefits still need to materialise in most </w:t>
      </w:r>
      <w:r w:rsidR="00B1733A" w:rsidRPr="009672E5">
        <w:t>projects</w:t>
      </w:r>
      <w:r w:rsidR="000679A0">
        <w:t xml:space="preserve">. </w:t>
      </w:r>
      <w:r w:rsidR="004E4A02" w:rsidRPr="004E4A02">
        <w:t>In cases where no po</w:t>
      </w:r>
      <w:r w:rsidR="004E4A02" w:rsidRPr="004E4A02">
        <w:t>v</w:t>
      </w:r>
      <w:r w:rsidR="004E4A02" w:rsidRPr="004E4A02">
        <w:t>erty reduction benefits were achieved, this was mostly found to be due to a lack of connection with community-based organisations representing the populations most vulnerable to climate change. Involvement of non-state actors can, in such cases, help address this constraint. In some other cases, this was due to the aforementioned problematic management arrangements slowing down delivery of</w:t>
      </w:r>
      <w:r w:rsidR="004E4A02" w:rsidRPr="001E27BC">
        <w:t xml:space="preserve"> the action on the ground</w:t>
      </w:r>
      <w:r w:rsidR="004E4A02">
        <w:t xml:space="preserve">. </w:t>
      </w:r>
      <w:r w:rsidR="004E4A02" w:rsidRPr="004E4A02">
        <w:t xml:space="preserve">Lastly, in some cases, the choice for mitigation </w:t>
      </w:r>
      <w:r w:rsidR="004E4A02" w:rsidRPr="001E27BC">
        <w:t>rather than adaptation action limited the scope to reduce vulnerability and poverty.</w:t>
      </w:r>
    </w:p>
    <w:p w:rsidR="00C074C2" w:rsidRPr="001E27BC" w:rsidRDefault="00B1733A" w:rsidP="00C074C2">
      <w:r w:rsidRPr="001E27BC">
        <w:t>Development of capacities to address climate change is a main objective of the GCCA initiative, and most of the projects contribute to this objective</w:t>
      </w:r>
      <w:r w:rsidR="00E945FB" w:rsidRPr="001E27BC">
        <w:t xml:space="preserve"> to some degree</w:t>
      </w:r>
      <w:r w:rsidRPr="001E27BC">
        <w:t>. At the same time, limited in-country capacities continue to be a challenge in most cases</w:t>
      </w:r>
      <w:r w:rsidR="0075493C" w:rsidRPr="001E27BC">
        <w:t xml:space="preserve">; </w:t>
      </w:r>
      <w:r w:rsidRPr="001E27BC">
        <w:t>therefore</w:t>
      </w:r>
      <w:r w:rsidR="0075493C" w:rsidRPr="001E27BC">
        <w:t>,</w:t>
      </w:r>
      <w:r w:rsidRPr="001E27BC">
        <w:t xml:space="preserve"> a continued focus on c</w:t>
      </w:r>
      <w:r w:rsidRPr="001E27BC">
        <w:t>a</w:t>
      </w:r>
      <w:r w:rsidRPr="001E27BC">
        <w:t xml:space="preserve">pacity development, during a follow-up phase, seems fully justified. Technical assistance linked to projects and programmes can play an important role in development of such capacity. </w:t>
      </w:r>
    </w:p>
    <w:p w:rsidR="00C074C2" w:rsidRPr="001E27BC" w:rsidRDefault="00B1733A" w:rsidP="0076070B">
      <w:r w:rsidRPr="001E27BC">
        <w:t xml:space="preserve">Institutional modalities and management arrangements appear to constitute the most problematic aspect of the GCCA programme. Most actions have suffered considerable delays due to complex institutional and implementation arrangements, related to involvement of a multitude of </w:t>
      </w:r>
      <w:r w:rsidR="00E12B25" w:rsidRPr="001E27BC">
        <w:t xml:space="preserve">funding sources, </w:t>
      </w:r>
      <w:r w:rsidRPr="001E27BC">
        <w:t>sectors and actors</w:t>
      </w:r>
      <w:r w:rsidR="009D32DC" w:rsidRPr="001E27BC">
        <w:t>,</w:t>
      </w:r>
      <w:r w:rsidRPr="001E27BC">
        <w:t xml:space="preserve"> and the presence of several administrative layers. In most cases, </w:t>
      </w:r>
      <w:r w:rsidR="00E12B25" w:rsidRPr="001E27BC">
        <w:t xml:space="preserve">though, </w:t>
      </w:r>
      <w:r w:rsidRPr="001E27BC">
        <w:t>th</w:t>
      </w:r>
      <w:r w:rsidR="00E12B25" w:rsidRPr="001E27BC">
        <w:t>e</w:t>
      </w:r>
      <w:r w:rsidRPr="001E27BC">
        <w:t xml:space="preserve"> stage </w:t>
      </w:r>
      <w:r w:rsidR="00E12B25" w:rsidRPr="001E27BC">
        <w:t xml:space="preserve">of clarifying roles and institutional and management arrangements </w:t>
      </w:r>
      <w:r w:rsidRPr="001E27BC">
        <w:t xml:space="preserve">has been overcome, and a basis for longer-term </w:t>
      </w:r>
      <w:r w:rsidRPr="009672E5">
        <w:t>support for climate action has been laid.</w:t>
      </w:r>
      <w:r w:rsidR="00E12B25" w:rsidRPr="009672E5">
        <w:t xml:space="preserve"> This leads the evaluator to </w:t>
      </w:r>
      <w:r w:rsidR="009D32DC" w:rsidRPr="009672E5">
        <w:t xml:space="preserve">emphasize the necessity of </w:t>
      </w:r>
      <w:r w:rsidR="00E12B25" w:rsidRPr="009672E5">
        <w:t>building</w:t>
      </w:r>
      <w:r w:rsidR="00E12B25" w:rsidRPr="001E27BC">
        <w:t xml:space="preserve"> on the newly established collaborative partne</w:t>
      </w:r>
      <w:r w:rsidR="00E12B25" w:rsidRPr="001E27BC">
        <w:t>r</w:t>
      </w:r>
      <w:r w:rsidR="00E12B25" w:rsidRPr="001E27BC">
        <w:t xml:space="preserve">ships and arrangements. </w:t>
      </w:r>
    </w:p>
    <w:p w:rsidR="00211E05" w:rsidRPr="009672E5" w:rsidRDefault="00E42434" w:rsidP="0076070B">
      <w:r w:rsidRPr="001E27BC">
        <w:t>Nonetheless, in a number of cases institutional or management issues still seriously hamper pr</w:t>
      </w:r>
      <w:r w:rsidRPr="001E27BC">
        <w:t>o</w:t>
      </w:r>
      <w:r w:rsidRPr="001E27BC">
        <w:t>gress, especially when several organizations and donors are involved in delivery of the action</w:t>
      </w:r>
      <w:r w:rsidR="009D32DC" w:rsidRPr="001E27BC">
        <w:t>,</w:t>
      </w:r>
      <w:r w:rsidRPr="001E27BC">
        <w:t xml:space="preserve"> and management of the action is delegated. In these cases, </w:t>
      </w:r>
      <w:r w:rsidR="0075493C" w:rsidRPr="001E27BC">
        <w:t>oversight and control tend to be li</w:t>
      </w:r>
      <w:r w:rsidR="0075493C" w:rsidRPr="001E27BC">
        <w:t>m</w:t>
      </w:r>
      <w:r w:rsidR="0075493C" w:rsidRPr="001E27BC">
        <w:t xml:space="preserve">ited, and </w:t>
      </w:r>
      <w:r w:rsidRPr="001E27BC">
        <w:t xml:space="preserve">a more pro-active role of the EU </w:t>
      </w:r>
      <w:r w:rsidRPr="009672E5">
        <w:t>Delegations involved seems required in order to arrive at workable implementation arrangements. For th</w:t>
      </w:r>
      <w:r w:rsidR="00F01744" w:rsidRPr="009672E5">
        <w:t xml:space="preserve">ose </w:t>
      </w:r>
      <w:r w:rsidRPr="009672E5">
        <w:t>programmes, mid-term review missions are recommended</w:t>
      </w:r>
      <w:r w:rsidR="009D32DC" w:rsidRPr="009672E5">
        <w:t>,</w:t>
      </w:r>
      <w:r w:rsidRPr="009672E5">
        <w:t xml:space="preserve"> with a particular focus on the institutional and management arrangements. </w:t>
      </w:r>
    </w:p>
    <w:p w:rsidR="00E42434" w:rsidRPr="001E27BC" w:rsidRDefault="00E42434" w:rsidP="0076070B">
      <w:r w:rsidRPr="009672E5">
        <w:t>Otherwise, harmonisation and linking of GCCA support with other climate action is generally satisfactory, in particular in those countries where governments take active charge of donor c</w:t>
      </w:r>
      <w:r w:rsidRPr="009672E5">
        <w:t>o</w:t>
      </w:r>
      <w:r w:rsidRPr="009672E5">
        <w:t xml:space="preserve">ordination. In many cases, GCCA support is </w:t>
      </w:r>
      <w:r w:rsidR="009D033B" w:rsidRPr="009672E5">
        <w:t xml:space="preserve">grafted onto and </w:t>
      </w:r>
      <w:r w:rsidR="00421648" w:rsidRPr="009672E5">
        <w:t>strengthen</w:t>
      </w:r>
      <w:r w:rsidR="009D32DC" w:rsidRPr="009672E5">
        <w:t xml:space="preserve">s </w:t>
      </w:r>
      <w:r w:rsidR="00421648" w:rsidRPr="009672E5">
        <w:t xml:space="preserve">projects or programmes </w:t>
      </w:r>
      <w:r w:rsidRPr="009672E5">
        <w:t>managed by a Member S</w:t>
      </w:r>
      <w:r w:rsidR="00421648" w:rsidRPr="009672E5">
        <w:t>tate</w:t>
      </w:r>
      <w:r w:rsidR="009D32DC" w:rsidRPr="009672E5">
        <w:t>, acting as lead partner</w:t>
      </w:r>
      <w:r w:rsidR="00AD4336" w:rsidRPr="009672E5">
        <w:t xml:space="preserve"> </w:t>
      </w:r>
      <w:r w:rsidR="00421648" w:rsidRPr="009672E5">
        <w:t xml:space="preserve">on </w:t>
      </w:r>
      <w:r w:rsidR="00B631C0" w:rsidRPr="009672E5">
        <w:t>c</w:t>
      </w:r>
      <w:r w:rsidR="00421648" w:rsidRPr="009672E5">
        <w:t xml:space="preserve">limate </w:t>
      </w:r>
      <w:r w:rsidR="00B631C0" w:rsidRPr="009672E5">
        <w:t>c</w:t>
      </w:r>
      <w:r w:rsidR="00421648" w:rsidRPr="009672E5">
        <w:t>hange or</w:t>
      </w:r>
      <w:r w:rsidR="009D033B" w:rsidRPr="009672E5">
        <w:t xml:space="preserve"> by a multilateral agency (UNDP</w:t>
      </w:r>
      <w:r w:rsidR="00421648" w:rsidRPr="009672E5">
        <w:t>, World Bank). Yet, in a few cases, there clearly is room for increased coordination and harmonisation of European</w:t>
      </w:r>
      <w:r w:rsidR="009D033B" w:rsidRPr="009672E5">
        <w:t>-</w:t>
      </w:r>
      <w:r w:rsidR="00421648" w:rsidRPr="009672E5">
        <w:t>funded activities</w:t>
      </w:r>
      <w:r w:rsidR="00421648" w:rsidRPr="001E27BC">
        <w:t xml:space="preserve"> on climate change; EU Delegations could </w:t>
      </w:r>
      <w:r w:rsidR="009D033B" w:rsidRPr="001E27BC">
        <w:t xml:space="preserve">generally </w:t>
      </w:r>
      <w:r w:rsidR="00421648" w:rsidRPr="001E27BC">
        <w:t xml:space="preserve">play a more active role in making this happen. </w:t>
      </w:r>
    </w:p>
    <w:p w:rsidR="00421648" w:rsidRPr="001E27BC" w:rsidRDefault="00421648" w:rsidP="0076070B">
      <w:r w:rsidRPr="001E27BC">
        <w:t xml:space="preserve">A proper assessment of impact and sustainability is rather speculative, as most GCCA supported actions </w:t>
      </w:r>
      <w:r w:rsidR="009D033B" w:rsidRPr="001E27BC">
        <w:t xml:space="preserve">visited </w:t>
      </w:r>
      <w:r w:rsidRPr="001E27BC">
        <w:t>are still in a</w:t>
      </w:r>
      <w:r w:rsidR="009D033B" w:rsidRPr="001E27BC">
        <w:t>n</w:t>
      </w:r>
      <w:r w:rsidRPr="001E27BC">
        <w:t xml:space="preserve"> initial stage</w:t>
      </w:r>
      <w:r w:rsidR="00B87F6B" w:rsidRPr="001E27BC">
        <w:t>. In some instances, the GCCA contribution is modest in comparison to other donor action on climate change (</w:t>
      </w:r>
      <w:r w:rsidR="009D32DC" w:rsidRPr="001E27BC">
        <w:t>for example Bangladesh and</w:t>
      </w:r>
      <w:r w:rsidR="00B87F6B" w:rsidRPr="001E27BC">
        <w:t xml:space="preserve"> Nepal) while in other cases it is very significant, especially when it </w:t>
      </w:r>
      <w:r w:rsidR="009D32DC" w:rsidRPr="001E27BC">
        <w:t xml:space="preserve">contributes to creating </w:t>
      </w:r>
      <w:r w:rsidR="00B87F6B" w:rsidRPr="001E27BC">
        <w:t>the institu</w:t>
      </w:r>
      <w:r w:rsidR="00F01744" w:rsidRPr="001E27BC">
        <w:t>tional basis for c</w:t>
      </w:r>
      <w:r w:rsidR="00B87F6B" w:rsidRPr="001E27BC">
        <w:t xml:space="preserve">limate action and </w:t>
      </w:r>
      <w:r w:rsidR="009D32DC" w:rsidRPr="001E27BC">
        <w:t>helps access other funding sources</w:t>
      </w:r>
      <w:r w:rsidR="00B87F6B" w:rsidRPr="001E27BC">
        <w:t xml:space="preserve"> </w:t>
      </w:r>
      <w:r w:rsidR="009D32DC" w:rsidRPr="001E27BC">
        <w:t>(</w:t>
      </w:r>
      <w:r w:rsidR="00B87F6B" w:rsidRPr="001E27BC">
        <w:t>such as in Jamaica</w:t>
      </w:r>
      <w:r w:rsidR="009D32DC" w:rsidRPr="001E27BC">
        <w:t>)</w:t>
      </w:r>
      <w:r w:rsidR="00B87F6B" w:rsidRPr="001E27BC">
        <w:t xml:space="preserve">. </w:t>
      </w:r>
      <w:r w:rsidRPr="001E27BC">
        <w:t xml:space="preserve">In </w:t>
      </w:r>
      <w:r w:rsidR="009D033B" w:rsidRPr="001E27BC">
        <w:t xml:space="preserve">some </w:t>
      </w:r>
      <w:r w:rsidRPr="001E27BC">
        <w:t xml:space="preserve">cases, </w:t>
      </w:r>
      <w:r w:rsidRPr="009672E5">
        <w:t>prospects for a significant impact on climate adaptation or mitigation are bleak</w:t>
      </w:r>
      <w:r w:rsidR="009D32DC" w:rsidRPr="009672E5">
        <w:t>,</w:t>
      </w:r>
      <w:r w:rsidRPr="009672E5">
        <w:t xml:space="preserve"> as the a</w:t>
      </w:r>
      <w:r w:rsidRPr="009672E5">
        <w:t>c</w:t>
      </w:r>
      <w:r w:rsidRPr="009672E5">
        <w:t xml:space="preserve">tions do not have a clear climate change focus, in particular in some cases </w:t>
      </w:r>
      <w:r w:rsidR="009D32DC" w:rsidRPr="009672E5">
        <w:t xml:space="preserve">involving the </w:t>
      </w:r>
      <w:r w:rsidRPr="009672E5">
        <w:t>budget support</w:t>
      </w:r>
      <w:r w:rsidR="009D32DC" w:rsidRPr="009672E5">
        <w:t xml:space="preserve"> modality</w:t>
      </w:r>
      <w:r w:rsidRPr="009672E5">
        <w:t xml:space="preserve">. Nonetheless, in most of the countries, the GCCA actions </w:t>
      </w:r>
      <w:r w:rsidR="00B87F6B" w:rsidRPr="009672E5">
        <w:t xml:space="preserve">generate </w:t>
      </w:r>
      <w:r w:rsidRPr="009672E5">
        <w:t>valuable</w:t>
      </w:r>
      <w:r w:rsidRPr="001E27BC">
        <w:t xml:space="preserve"> experience</w:t>
      </w:r>
      <w:r w:rsidR="009D32DC" w:rsidRPr="001E27BC">
        <w:t>,</w:t>
      </w:r>
      <w:r w:rsidRPr="001E27BC">
        <w:t xml:space="preserve"> and there is a need for extending or up-scaling the action in order to achieve signif</w:t>
      </w:r>
      <w:r w:rsidRPr="001E27BC">
        <w:t>i</w:t>
      </w:r>
      <w:r w:rsidRPr="001E27BC">
        <w:t>cant impact</w:t>
      </w:r>
      <w:r w:rsidR="009D32DC" w:rsidRPr="001E27BC">
        <w:t>s</w:t>
      </w:r>
      <w:r w:rsidRPr="001E27BC">
        <w:t>.</w:t>
      </w:r>
    </w:p>
    <w:p w:rsidR="00421648" w:rsidRPr="001E27BC" w:rsidRDefault="00B87F6B" w:rsidP="0076070B">
      <w:r w:rsidRPr="001E27BC">
        <w:t>P</w:t>
      </w:r>
      <w:r w:rsidR="00421648" w:rsidRPr="001E27BC">
        <w:t xml:space="preserve">rospects for sustainability of GCCA project </w:t>
      </w:r>
      <w:r w:rsidR="00421648" w:rsidRPr="009672E5">
        <w:t>results appear to be generally good</w:t>
      </w:r>
      <w:r w:rsidRPr="009672E5">
        <w:t xml:space="preserve">, which </w:t>
      </w:r>
      <w:r w:rsidR="0083385B" w:rsidRPr="009672E5">
        <w:t>is largely</w:t>
      </w:r>
      <w:r w:rsidR="00421648" w:rsidRPr="009672E5">
        <w:t xml:space="preserve"> due to the fact that the support is linked</w:t>
      </w:r>
      <w:r w:rsidR="00F01744" w:rsidRPr="009672E5">
        <w:t>: (i)</w:t>
      </w:r>
      <w:r w:rsidR="00421648" w:rsidRPr="009672E5">
        <w:t xml:space="preserve"> to integration of climate action into national and local planning and development processes</w:t>
      </w:r>
      <w:r w:rsidR="00F01744" w:rsidRPr="009672E5">
        <w:t xml:space="preserve"> (mainstreaming); (ii)</w:t>
      </w:r>
      <w:r w:rsidRPr="009672E5">
        <w:t xml:space="preserve"> to</w:t>
      </w:r>
      <w:r w:rsidR="0083385B" w:rsidRPr="009672E5">
        <w:t xml:space="preserve"> the efforts made to clarify appropr</w:t>
      </w:r>
      <w:r w:rsidR="0083385B" w:rsidRPr="009672E5">
        <w:t>i</w:t>
      </w:r>
      <w:r w:rsidR="0083385B" w:rsidRPr="009672E5">
        <w:t>ate institutional arrangements for de</w:t>
      </w:r>
      <w:r w:rsidR="00F01744" w:rsidRPr="009672E5">
        <w:t>livery of GCCA support;</w:t>
      </w:r>
      <w:r w:rsidR="0083385B" w:rsidRPr="009672E5">
        <w:t xml:space="preserve"> and </w:t>
      </w:r>
      <w:r w:rsidR="00F01744" w:rsidRPr="009672E5">
        <w:t xml:space="preserve">(iii) </w:t>
      </w:r>
      <w:r w:rsidR="0083385B" w:rsidRPr="009672E5">
        <w:t>to the programme’s general focus on capacity development. In some cases, the programme has contributed to mobilisation of additional funding</w:t>
      </w:r>
      <w:r w:rsidR="0083385B" w:rsidRPr="001E27BC">
        <w:t xml:space="preserve"> for climate action, but for the time being, a continuation of GCCA support is required to sustain the very</w:t>
      </w:r>
      <w:r w:rsidR="009705B7" w:rsidRPr="001E27BC">
        <w:t xml:space="preserve"> initial but promising results. In this context, better coordination of evaluation and formulation activities is desirable, in order to maximise benefits from the eval</w:t>
      </w:r>
      <w:r w:rsidR="009705B7" w:rsidRPr="001E27BC">
        <w:t>u</w:t>
      </w:r>
      <w:r w:rsidR="009705B7" w:rsidRPr="001E27BC">
        <w:t xml:space="preserve">ation exercises. </w:t>
      </w:r>
    </w:p>
    <w:p w:rsidR="00F01744" w:rsidRPr="001E27BC" w:rsidRDefault="009026ED" w:rsidP="0076070B">
      <w:r>
        <w:t>O</w:t>
      </w:r>
      <w:r w:rsidR="0095494D" w:rsidRPr="001E27BC">
        <w:t xml:space="preserve">verall </w:t>
      </w:r>
      <w:r w:rsidR="009705B7" w:rsidRPr="001E27BC">
        <w:t>visibility of the GCCA initiative is considered to be satisfactory. At global level, there is good visibility thanks to the global events</w:t>
      </w:r>
      <w:r w:rsidR="00F01744" w:rsidRPr="001E27BC">
        <w:t>,</w:t>
      </w:r>
      <w:r w:rsidR="009705B7" w:rsidRPr="001E27BC">
        <w:t xml:space="preserve"> and to a well-resourced and maintained website, as well as an active web platform for exchange of experiences and ideas (capacity4development). At country level, however, visibility was generally </w:t>
      </w:r>
      <w:r w:rsidR="009705B7" w:rsidRPr="009672E5">
        <w:t xml:space="preserve">found to be rather low. This is related to the budget support modality, in a number of cases, or to the relatively limited GCCA contribution to large actions, in other cases. </w:t>
      </w:r>
      <w:r w:rsidR="00F01744" w:rsidRPr="009672E5">
        <w:t>Notwithstanding</w:t>
      </w:r>
      <w:r w:rsidR="0095494D" w:rsidRPr="009672E5">
        <w:t>, m</w:t>
      </w:r>
      <w:r w:rsidR="009705B7" w:rsidRPr="009672E5">
        <w:t xml:space="preserve">ost projects could improve acknowledgement and visibility of EU contributions, on </w:t>
      </w:r>
      <w:r w:rsidR="00711092" w:rsidRPr="009672E5">
        <w:t xml:space="preserve">their </w:t>
      </w:r>
      <w:r w:rsidR="009705B7" w:rsidRPr="009672E5">
        <w:t>websites</w:t>
      </w:r>
      <w:r w:rsidR="009705B7" w:rsidRPr="001E27BC">
        <w:t xml:space="preserve"> and deliverables. </w:t>
      </w:r>
    </w:p>
    <w:p w:rsidR="009F53EE" w:rsidRDefault="009026ED" w:rsidP="00E53122">
      <w:r w:rsidRPr="009672E5">
        <w:t xml:space="preserve">While visibility of the GCCA is considered to be satisfactory, certainly in </w:t>
      </w:r>
      <w:r w:rsidR="00D82D26">
        <w:rPr>
          <w:lang w:val="en-US"/>
        </w:rPr>
        <w:t>“poor</w:t>
      </w:r>
      <w:r w:rsidRPr="009672E5">
        <w:rPr>
          <w:lang w:val="en-US"/>
        </w:rPr>
        <w:t xml:space="preserve"> countries and regions most vulnerable to climate change”, </w:t>
      </w:r>
      <w:r w:rsidRPr="009672E5">
        <w:t>and probably also in global fora (</w:t>
      </w:r>
      <w:r w:rsidR="00E53122" w:rsidRPr="009672E5">
        <w:t>for example, through organisation of “side events” at the UNFCCC conference of parties, etc.), th</w:t>
      </w:r>
      <w:r w:rsidR="009F53EE" w:rsidRPr="009672E5">
        <w:t>e same vis</w:t>
      </w:r>
      <w:r w:rsidR="009F53EE" w:rsidRPr="009672E5">
        <w:t>i</w:t>
      </w:r>
      <w:r w:rsidR="009F53EE" w:rsidRPr="009672E5">
        <w:t xml:space="preserve">bility is not necessarily there </w:t>
      </w:r>
      <w:r w:rsidR="00E53122" w:rsidRPr="009672E5">
        <w:t xml:space="preserve">with representatives of Member States back in Europe, dealing with or having portfolio responsibility for, climate change. In response to </w:t>
      </w:r>
      <w:r w:rsidR="009F53EE" w:rsidRPr="009672E5">
        <w:t>the questionnaire sent to MS at headquarters level</w:t>
      </w:r>
      <w:r w:rsidR="009F53EE" w:rsidRPr="009672E5">
        <w:rPr>
          <w:rStyle w:val="FootnoteReference"/>
        </w:rPr>
        <w:footnoteReference w:id="14"/>
      </w:r>
      <w:r w:rsidR="009F53EE" w:rsidRPr="009672E5">
        <w:t>, respondents replied that they were only “somewhat aware” of the GCCA in their Departments. This has led the evaluators to conclude that significant lobbying work by the EU is necessary in order to raise the GCCA profile with MS.</w:t>
      </w:r>
    </w:p>
    <w:p w:rsidR="009705B7" w:rsidRPr="001E27BC" w:rsidRDefault="009705B7" w:rsidP="00E53122"/>
    <w:p w:rsidR="00C31BD2" w:rsidRPr="001E27BC" w:rsidRDefault="00C31BD2" w:rsidP="0076070B">
      <w:pPr>
        <w:sectPr w:rsidR="00C31BD2" w:rsidRPr="001E27BC">
          <w:pgSz w:w="11906" w:h="16838" w:code="9"/>
          <w:pgMar w:top="1276" w:right="1440" w:bottom="1080" w:left="1440" w:header="851" w:footer="851" w:gutter="0"/>
          <w:pgNumType w:start="1"/>
          <w:docGrid w:linePitch="326"/>
        </w:sectPr>
      </w:pPr>
    </w:p>
    <w:p w:rsidR="00C31BD2" w:rsidRPr="001E27BC" w:rsidRDefault="00936740" w:rsidP="0076070B">
      <w:r w:rsidRPr="001E27BC">
        <w:rPr>
          <w:noProof/>
          <w:lang w:val="en-US"/>
        </w:rPr>
        <w:drawing>
          <wp:inline distT="0" distB="0" distL="0" distR="0">
            <wp:extent cx="9629775" cy="528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31045" cy="5287072"/>
                    </a:xfrm>
                    <a:prstGeom prst="rect">
                      <a:avLst/>
                    </a:prstGeom>
                    <a:noFill/>
                    <a:ln>
                      <a:noFill/>
                    </a:ln>
                  </pic:spPr>
                </pic:pic>
              </a:graphicData>
            </a:graphic>
          </wp:inline>
        </w:drawing>
      </w:r>
    </w:p>
    <w:p w:rsidR="00FF18CB" w:rsidRPr="001E27BC" w:rsidRDefault="00420E15" w:rsidP="003A6EAD">
      <w:pPr>
        <w:jc w:val="left"/>
        <w:rPr>
          <w:i/>
        </w:rPr>
      </w:pPr>
      <w:r w:rsidRPr="001E27BC">
        <w:rPr>
          <w:b/>
          <w:i/>
        </w:rPr>
        <w:t>Table 1</w:t>
      </w:r>
      <w:r w:rsidRPr="001E27BC">
        <w:rPr>
          <w:i/>
        </w:rPr>
        <w:t>. Scoring of the national GCCA programmes (global funding) evaluated on the respective evaluation criteria and questions.</w:t>
      </w:r>
      <w:r w:rsidR="00FF18CB" w:rsidRPr="001E27BC">
        <w:rPr>
          <w:i/>
        </w:rPr>
        <w:br w:type="page"/>
      </w:r>
    </w:p>
    <w:p w:rsidR="00FF18CB" w:rsidRPr="001E27BC" w:rsidRDefault="00FF18CB" w:rsidP="00FF18CB">
      <w:pPr>
        <w:spacing w:after="0" w:line="240" w:lineRule="auto"/>
        <w:ind w:left="-567" w:right="-655"/>
        <w:jc w:val="center"/>
      </w:pPr>
      <w:r w:rsidRPr="001E27BC">
        <w:rPr>
          <w:noProof/>
          <w:lang w:val="en-US"/>
        </w:rPr>
        <w:drawing>
          <wp:inline distT="0" distB="0" distL="0" distR="0">
            <wp:extent cx="9940527" cy="48196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45528" cy="4822075"/>
                    </a:xfrm>
                    <a:prstGeom prst="rect">
                      <a:avLst/>
                    </a:prstGeom>
                    <a:noFill/>
                    <a:ln>
                      <a:noFill/>
                    </a:ln>
                  </pic:spPr>
                </pic:pic>
              </a:graphicData>
            </a:graphic>
          </wp:inline>
        </w:drawing>
      </w:r>
    </w:p>
    <w:p w:rsidR="00FF18CB" w:rsidRPr="001E27BC" w:rsidRDefault="00FF18CB" w:rsidP="00FF18CB">
      <w:pPr>
        <w:spacing w:after="0" w:line="240" w:lineRule="auto"/>
        <w:jc w:val="center"/>
      </w:pPr>
    </w:p>
    <w:p w:rsidR="00FF18CB" w:rsidRPr="001E27BC" w:rsidRDefault="00FF18CB" w:rsidP="003A6EAD">
      <w:pPr>
        <w:spacing w:after="0" w:line="240" w:lineRule="auto"/>
        <w:jc w:val="left"/>
        <w:rPr>
          <w:b/>
          <w:i/>
        </w:rPr>
        <w:sectPr w:rsidR="00FF18CB" w:rsidRPr="001E27BC">
          <w:pgSz w:w="16838" w:h="11906" w:orient="landscape" w:code="9"/>
          <w:pgMar w:top="1440" w:right="962" w:bottom="1440" w:left="709" w:header="851" w:footer="851" w:gutter="0"/>
          <w:docGrid w:linePitch="326"/>
        </w:sectPr>
      </w:pPr>
      <w:r w:rsidRPr="001E27BC">
        <w:rPr>
          <w:b/>
          <w:i/>
        </w:rPr>
        <w:t xml:space="preserve">Table 2. </w:t>
      </w:r>
      <w:r w:rsidRPr="001E27BC">
        <w:rPr>
          <w:i/>
        </w:rPr>
        <w:t>Scoring of regional programmes (Intra</w:t>
      </w:r>
      <w:r w:rsidR="00C86519" w:rsidRPr="001E27BC">
        <w:rPr>
          <w:i/>
        </w:rPr>
        <w:t>-</w:t>
      </w:r>
      <w:r w:rsidRPr="001E27BC">
        <w:rPr>
          <w:i/>
        </w:rPr>
        <w:t xml:space="preserve">ACP </w:t>
      </w:r>
      <w:r w:rsidR="00C86519" w:rsidRPr="001E27BC">
        <w:rPr>
          <w:i/>
        </w:rPr>
        <w:t>GCCA</w:t>
      </w:r>
      <w:r w:rsidRPr="001E27BC">
        <w:rPr>
          <w:i/>
        </w:rPr>
        <w:t xml:space="preserve"> </w:t>
      </w:r>
      <w:r w:rsidR="00C86519" w:rsidRPr="001E27BC">
        <w:rPr>
          <w:i/>
        </w:rPr>
        <w:t xml:space="preserve">and global </w:t>
      </w:r>
      <w:r w:rsidRPr="001E27BC">
        <w:rPr>
          <w:i/>
        </w:rPr>
        <w:t>funding) on evaluation criteria and questions</w:t>
      </w:r>
    </w:p>
    <w:p w:rsidR="00086478" w:rsidRPr="001E27BC" w:rsidRDefault="00315F62" w:rsidP="003936A6">
      <w:pPr>
        <w:pStyle w:val="Heading1"/>
      </w:pPr>
      <w:bookmarkStart w:id="26" w:name="_Toc153339915"/>
      <w:bookmarkStart w:id="27" w:name="_Toc368557560"/>
      <w:bookmarkStart w:id="28" w:name="_Toc284767322"/>
      <w:r>
        <w:t>4</w:t>
      </w:r>
      <w:r>
        <w:tab/>
      </w:r>
      <w:r w:rsidR="00086478" w:rsidRPr="001E27BC">
        <w:t>Conclusions</w:t>
      </w:r>
      <w:r w:rsidR="003F5B64" w:rsidRPr="001E27BC">
        <w:t xml:space="preserve">, </w:t>
      </w:r>
      <w:r w:rsidR="00086478" w:rsidRPr="001E27BC">
        <w:t>Recommendations</w:t>
      </w:r>
      <w:bookmarkEnd w:id="26"/>
      <w:bookmarkEnd w:id="27"/>
      <w:r w:rsidR="00086478" w:rsidRPr="001E27BC">
        <w:t xml:space="preserve"> </w:t>
      </w:r>
      <w:r w:rsidR="003F5B64" w:rsidRPr="001E27BC">
        <w:t>and Lessons Learned</w:t>
      </w:r>
      <w:bookmarkEnd w:id="28"/>
    </w:p>
    <w:p w:rsidR="008D2B17" w:rsidRDefault="0099455B" w:rsidP="0099455B">
      <w:r w:rsidRPr="001E27BC">
        <w:t xml:space="preserve">In this section, the main conclusions from the evaluation are </w:t>
      </w:r>
      <w:r w:rsidR="0034123F" w:rsidRPr="001E27BC">
        <w:t>reported</w:t>
      </w:r>
      <w:r w:rsidRPr="001E27BC">
        <w:t xml:space="preserve">, leading into corresponding recommendations. The recommendations have been </w:t>
      </w:r>
      <w:r w:rsidR="00E147BA" w:rsidRPr="001E27BC">
        <w:t xml:space="preserve">extracted </w:t>
      </w:r>
      <w:r w:rsidRPr="001E27BC">
        <w:t>from the main text, as they e</w:t>
      </w:r>
      <w:r w:rsidRPr="001E27BC">
        <w:t>m</w:t>
      </w:r>
      <w:r w:rsidRPr="001E27BC">
        <w:t>erged as part of answering the various evaluation questions</w:t>
      </w:r>
      <w:r w:rsidR="0034123F" w:rsidRPr="001E27BC">
        <w:t>, and elaborated or reworded as self-standing recommendations</w:t>
      </w:r>
      <w:r w:rsidR="00DA7DA7" w:rsidRPr="001E27BC">
        <w:t>. Since</w:t>
      </w:r>
      <w:r w:rsidR="009270ED" w:rsidRPr="001E27BC">
        <w:t>,</w:t>
      </w:r>
      <w:r w:rsidR="00DA7DA7" w:rsidRPr="001E27BC">
        <w:t xml:space="preserve"> in a number of cases, </w:t>
      </w:r>
      <w:r w:rsidRPr="001E27BC">
        <w:t xml:space="preserve">similar recommendations would emerge from </w:t>
      </w:r>
      <w:r w:rsidRPr="009672E5">
        <w:t xml:space="preserve">different evaluation questions, in this chapter they have been merged </w:t>
      </w:r>
      <w:r w:rsidR="008841BF" w:rsidRPr="009672E5">
        <w:t>and synthesized</w:t>
      </w:r>
      <w:r w:rsidR="008D2B17">
        <w:t>.</w:t>
      </w:r>
    </w:p>
    <w:p w:rsidR="008841BF" w:rsidRPr="009672E5" w:rsidRDefault="008841BF" w:rsidP="0099455B">
      <w:r w:rsidRPr="009672E5">
        <w:t xml:space="preserve">Furthermore, </w:t>
      </w:r>
      <w:r w:rsidR="003A6EAD" w:rsidRPr="009672E5">
        <w:t xml:space="preserve">regarding </w:t>
      </w:r>
      <w:r w:rsidRPr="009672E5">
        <w:t>the recommendations for the overall GCCA initiative, conclusions and recommendations for the Intra-ACP GCCA programme – which constitutes an important comp</w:t>
      </w:r>
      <w:r w:rsidRPr="009672E5">
        <w:t>o</w:t>
      </w:r>
      <w:r w:rsidRPr="009672E5">
        <w:t>nent of the overall GCCA programme - have also been taken into consideration</w:t>
      </w:r>
      <w:r w:rsidR="0034123F" w:rsidRPr="009672E5">
        <w:t xml:space="preserve"> and integrated</w:t>
      </w:r>
      <w:r w:rsidRPr="009672E5">
        <w:t>. For a full justification of the recommendations in as far they refer to the Intra-ACP GCCA pr</w:t>
      </w:r>
      <w:r w:rsidRPr="009672E5">
        <w:t>o</w:t>
      </w:r>
      <w:r w:rsidRPr="009672E5">
        <w:t xml:space="preserve">gramme, we refer to the Main Report on </w:t>
      </w:r>
      <w:r w:rsidR="009270ED" w:rsidRPr="009672E5">
        <w:t xml:space="preserve">Mid-Term </w:t>
      </w:r>
      <w:r w:rsidRPr="009672E5">
        <w:t>evaluation of the Intra-ACP GCCA pr</w:t>
      </w:r>
      <w:r w:rsidRPr="009672E5">
        <w:t>o</w:t>
      </w:r>
      <w:r w:rsidRPr="009672E5">
        <w:t>gramme and its Annexes</w:t>
      </w:r>
      <w:r w:rsidR="003A6EAD" w:rsidRPr="009672E5">
        <w:t xml:space="preserve"> - prepared as a separate and stand-alone report</w:t>
      </w:r>
      <w:r w:rsidRPr="009672E5">
        <w:t>.</w:t>
      </w:r>
      <w:r w:rsidR="003A6EAD" w:rsidRPr="009672E5">
        <w:rPr>
          <w:rStyle w:val="FootnoteReference"/>
        </w:rPr>
        <w:footnoteReference w:id="15"/>
      </w:r>
    </w:p>
    <w:p w:rsidR="00DB402A" w:rsidRPr="009672E5" w:rsidRDefault="00DA7DA7" w:rsidP="003F5B64">
      <w:r w:rsidRPr="009672E5">
        <w:t>An effort has been made to keep the number of recommendations manageable (=&lt;10)</w:t>
      </w:r>
      <w:r w:rsidR="00AD4336" w:rsidRPr="009672E5">
        <w:t>.</w:t>
      </w:r>
      <w:r w:rsidR="00DB402A" w:rsidRPr="009672E5">
        <w:t xml:space="preserve"> </w:t>
      </w:r>
      <w:r w:rsidR="0099455B" w:rsidRPr="009672E5">
        <w:t>The re</w:t>
      </w:r>
      <w:r w:rsidR="0099455B" w:rsidRPr="009672E5">
        <w:t>c</w:t>
      </w:r>
      <w:r w:rsidR="0099455B" w:rsidRPr="009672E5">
        <w:t xml:space="preserve">ommendations </w:t>
      </w:r>
      <w:r w:rsidR="00DB402A" w:rsidRPr="009672E5">
        <w:t xml:space="preserve">are policy level recommendations and </w:t>
      </w:r>
      <w:r w:rsidR="0099455B" w:rsidRPr="009672E5">
        <w:t>have not been prioritised, as they are co</w:t>
      </w:r>
      <w:r w:rsidR="0099455B" w:rsidRPr="009672E5">
        <w:t>n</w:t>
      </w:r>
      <w:r w:rsidR="0099455B" w:rsidRPr="009672E5">
        <w:t>sidered to be of similar relevance and urgency</w:t>
      </w:r>
      <w:r w:rsidRPr="009672E5">
        <w:t>, but have been put in</w:t>
      </w:r>
      <w:r w:rsidR="00DB402A" w:rsidRPr="009672E5">
        <w:t>to</w:t>
      </w:r>
      <w:r w:rsidRPr="009672E5">
        <w:t xml:space="preserve"> a logical</w:t>
      </w:r>
      <w:r w:rsidR="0034123F" w:rsidRPr="009672E5">
        <w:t xml:space="preserve"> order</w:t>
      </w:r>
      <w:r w:rsidRPr="009672E5">
        <w:t xml:space="preserve">. </w:t>
      </w:r>
      <w:r w:rsidR="0099455B" w:rsidRPr="009672E5">
        <w:t>They are directed to the evaluation managers at the European Commission, who are expected to share them with the ap</w:t>
      </w:r>
      <w:r w:rsidRPr="009672E5">
        <w:t>propriate audiences.</w:t>
      </w:r>
      <w:r w:rsidR="00093566" w:rsidRPr="009672E5">
        <w:t xml:space="preserve"> </w:t>
      </w:r>
    </w:p>
    <w:p w:rsidR="00DB402A" w:rsidRPr="009672E5" w:rsidRDefault="00DB402A" w:rsidP="003F5B64">
      <w:r w:rsidRPr="009672E5">
        <w:t>While a number of a</w:t>
      </w:r>
      <w:r w:rsidR="00AF2CCC">
        <w:t>ction-oriented recommendations we</w:t>
      </w:r>
      <w:r w:rsidRPr="009672E5">
        <w:t>re made for each project visited - i</w:t>
      </w:r>
      <w:r w:rsidRPr="009672E5">
        <w:t>n</w:t>
      </w:r>
      <w:r w:rsidRPr="009672E5">
        <w:t xml:space="preserve">cluded in the Aide-Memoire completed for each project </w:t>
      </w:r>
      <w:r w:rsidR="00AF2CCC">
        <w:t xml:space="preserve">(see </w:t>
      </w:r>
      <w:r w:rsidRPr="009672E5">
        <w:t>Volume 2 Annex 3</w:t>
      </w:r>
      <w:r w:rsidR="00AF2CCC">
        <w:t>)</w:t>
      </w:r>
      <w:r w:rsidRPr="009672E5">
        <w:t xml:space="preserve"> - the policy recommendations focus on the GCCA at the programme level. The supporting text for each re</w:t>
      </w:r>
      <w:r w:rsidRPr="009672E5">
        <w:t>c</w:t>
      </w:r>
      <w:r w:rsidRPr="009672E5">
        <w:t>ommendation expands on the recommendation and attempts to outline, in more detail, sugge</w:t>
      </w:r>
      <w:r w:rsidRPr="009672E5">
        <w:t>s</w:t>
      </w:r>
      <w:r w:rsidRPr="009672E5">
        <w:t>tions for the way forward. However it remains outside the scope of the evaluation to develop a detailed work plan on how to transform the recommendations into actual financed interventions.</w:t>
      </w:r>
    </w:p>
    <w:p w:rsidR="003F5B64" w:rsidRPr="001E27BC" w:rsidRDefault="0099455B" w:rsidP="003F5B64">
      <w:r w:rsidRPr="009672E5">
        <w:t>Finally, lessons learned in the course of the evaluation are provided</w:t>
      </w:r>
      <w:r w:rsidR="00315F62">
        <w:t xml:space="preserve"> in Section 4.3</w:t>
      </w:r>
      <w:r w:rsidRPr="009672E5">
        <w:t>.</w:t>
      </w:r>
      <w:r w:rsidRPr="001E27BC">
        <w:t xml:space="preserve"> </w:t>
      </w:r>
    </w:p>
    <w:p w:rsidR="00230EE0" w:rsidRPr="001E27BC" w:rsidRDefault="00315F62" w:rsidP="003936A6">
      <w:pPr>
        <w:pStyle w:val="Heading2"/>
      </w:pPr>
      <w:r>
        <w:t xml:space="preserve"> </w:t>
      </w:r>
      <w:bookmarkStart w:id="29" w:name="_Toc284767323"/>
      <w:r>
        <w:t>4.2</w:t>
      </w:r>
      <w:r>
        <w:tab/>
      </w:r>
      <w:r w:rsidR="00086478" w:rsidRPr="001E27BC">
        <w:t>Conclusions</w:t>
      </w:r>
      <w:r w:rsidR="003F5B64" w:rsidRPr="001E27BC">
        <w:t xml:space="preserve"> and </w:t>
      </w:r>
      <w:r w:rsidR="00086478" w:rsidRPr="001E27BC">
        <w:t>Recommendations</w:t>
      </w:r>
      <w:bookmarkEnd w:id="29"/>
    </w:p>
    <w:p w:rsidR="005D3F95" w:rsidRPr="001E27BC" w:rsidRDefault="005D3F95" w:rsidP="005D3F95">
      <w:pPr>
        <w:autoSpaceDE w:val="0"/>
        <w:autoSpaceDN w:val="0"/>
        <w:rPr>
          <w:color w:val="1A1A18"/>
        </w:rPr>
      </w:pPr>
      <w:r w:rsidRPr="001E27BC">
        <w:rPr>
          <w:color w:val="1A1A18"/>
        </w:rPr>
        <w:t xml:space="preserve">The </w:t>
      </w:r>
      <w:r w:rsidRPr="009672E5">
        <w:rPr>
          <w:color w:val="1A1A18"/>
        </w:rPr>
        <w:t xml:space="preserve">GCCA </w:t>
      </w:r>
      <w:r w:rsidR="00D34B25" w:rsidRPr="009672E5">
        <w:rPr>
          <w:color w:val="1A1A18"/>
        </w:rPr>
        <w:t>mandate is to provide learning and public awareness on global climate change affec</w:t>
      </w:r>
      <w:r w:rsidR="00D34B25" w:rsidRPr="009672E5">
        <w:rPr>
          <w:color w:val="1A1A18"/>
        </w:rPr>
        <w:t>t</w:t>
      </w:r>
      <w:r w:rsidR="00D82D26">
        <w:rPr>
          <w:color w:val="1A1A18"/>
        </w:rPr>
        <w:t>ing “poor</w:t>
      </w:r>
      <w:r w:rsidR="00D34B25" w:rsidRPr="009672E5">
        <w:rPr>
          <w:color w:val="1A1A18"/>
        </w:rPr>
        <w:t xml:space="preserve"> countries and regions most </w:t>
      </w:r>
      <w:r w:rsidR="00952B8C" w:rsidRPr="009672E5">
        <w:rPr>
          <w:color w:val="1A1A18"/>
        </w:rPr>
        <w:t xml:space="preserve">vulnerable to climate change” and hence </w:t>
      </w:r>
      <w:r w:rsidR="00AF2CCC">
        <w:rPr>
          <w:color w:val="1A1A18"/>
        </w:rPr>
        <w:t xml:space="preserve">is </w:t>
      </w:r>
      <w:r w:rsidRPr="009672E5">
        <w:rPr>
          <w:color w:val="1A1A18"/>
        </w:rPr>
        <w:t>primarily</w:t>
      </w:r>
      <w:r w:rsidRPr="001E27BC">
        <w:rPr>
          <w:color w:val="1A1A18"/>
        </w:rPr>
        <w:t xml:space="preserve"> focu</w:t>
      </w:r>
      <w:r w:rsidRPr="001E27BC">
        <w:rPr>
          <w:color w:val="1A1A18"/>
        </w:rPr>
        <w:t>s</w:t>
      </w:r>
      <w:r w:rsidRPr="001E27BC">
        <w:rPr>
          <w:color w:val="1A1A18"/>
        </w:rPr>
        <w:t>sed on providing assistance to Least Developed Countries (LDC’s) and Small Island Develo</w:t>
      </w:r>
      <w:r w:rsidRPr="001E27BC">
        <w:rPr>
          <w:color w:val="1A1A18"/>
        </w:rPr>
        <w:t>p</w:t>
      </w:r>
      <w:r w:rsidRPr="001E27BC">
        <w:rPr>
          <w:color w:val="1A1A18"/>
        </w:rPr>
        <w:t>ment States (SIDS) in undertaking climate change adaptation or mitigation actions. However, other countries are equally included in GCCA communications, which makes it a global initiative indeed. The combination of global, regional and national foc</w:t>
      </w:r>
      <w:r w:rsidR="00952B8C" w:rsidRPr="001E27BC">
        <w:rPr>
          <w:color w:val="1A1A18"/>
        </w:rPr>
        <w:t xml:space="preserve">i </w:t>
      </w:r>
      <w:r w:rsidRPr="001E27BC">
        <w:rPr>
          <w:color w:val="1A1A18"/>
        </w:rPr>
        <w:t>differentiates the GCCA from Member State-led climate actions and the endeavours of other donors. As such, the initiative is of special value in terms of what it is contributing to combating climate change</w:t>
      </w:r>
      <w:r w:rsidR="00AF2CCC">
        <w:rPr>
          <w:color w:val="1A1A18"/>
        </w:rPr>
        <w:t xml:space="preserve"> at all levels</w:t>
      </w:r>
      <w:r w:rsidRPr="001E27BC">
        <w:rPr>
          <w:color w:val="1A1A18"/>
        </w:rPr>
        <w:t xml:space="preserve">.   </w:t>
      </w:r>
    </w:p>
    <w:p w:rsidR="001E27BC" w:rsidRPr="009672E5" w:rsidRDefault="005D3F95" w:rsidP="005D3F95">
      <w:pPr>
        <w:autoSpaceDE w:val="0"/>
        <w:autoSpaceDN w:val="0"/>
        <w:rPr>
          <w:color w:val="1A1A18"/>
        </w:rPr>
      </w:pPr>
      <w:r w:rsidRPr="001E27BC">
        <w:rPr>
          <w:color w:val="1A1A18"/>
        </w:rPr>
        <w:t>In all instances, GCCA has responded to an actual demand for support as expressed by benef</w:t>
      </w:r>
      <w:r w:rsidRPr="001E27BC">
        <w:rPr>
          <w:color w:val="1A1A18"/>
        </w:rPr>
        <w:t>i</w:t>
      </w:r>
      <w:r w:rsidRPr="001E27BC">
        <w:rPr>
          <w:color w:val="1A1A18"/>
        </w:rPr>
        <w:t>ciary countries, both in terms of promoting dialogue and enabling negotiations</w:t>
      </w:r>
      <w:r w:rsidR="00952B8C" w:rsidRPr="001E27BC">
        <w:rPr>
          <w:color w:val="1A1A18"/>
        </w:rPr>
        <w:t>, as well as</w:t>
      </w:r>
      <w:r w:rsidRPr="001E27BC">
        <w:rPr>
          <w:color w:val="1A1A18"/>
        </w:rPr>
        <w:t xml:space="preserve"> su</w:t>
      </w:r>
      <w:r w:rsidRPr="001E27BC">
        <w:rPr>
          <w:color w:val="1A1A18"/>
        </w:rPr>
        <w:t>p</w:t>
      </w:r>
      <w:r w:rsidRPr="001E27BC">
        <w:rPr>
          <w:color w:val="1A1A18"/>
        </w:rPr>
        <w:t xml:space="preserve">porting tangible action. In most cases, the GCCA funds have helped strengthen actions led by EU MSs (DFID, Danida, GIZ and others) and Multilateral Agencies, often benefiting from existing structures and systems, </w:t>
      </w:r>
      <w:r w:rsidR="00AF2CCC">
        <w:rPr>
          <w:color w:val="1A1A18"/>
        </w:rPr>
        <w:t xml:space="preserve">and </w:t>
      </w:r>
      <w:r w:rsidRPr="001E27BC">
        <w:rPr>
          <w:color w:val="1A1A18"/>
        </w:rPr>
        <w:t>resulting in relatively quick results. At the same time, the MS have often seen their climate initiatives strengthened by the funding and policy support provided through the GCCA. Moreover, fragmentation of support for climate action has been avoided and, in some countries, a basis for joint ‘European’ climate action is emerging. For the Member States that have provided Fast-Track funds (such as Ireland, Estonia or Cyprus), the GCCA has pr</w:t>
      </w:r>
      <w:r w:rsidRPr="001E27BC">
        <w:rPr>
          <w:color w:val="1A1A18"/>
        </w:rPr>
        <w:t>o</w:t>
      </w:r>
      <w:r w:rsidRPr="001E27BC">
        <w:rPr>
          <w:color w:val="1A1A18"/>
        </w:rPr>
        <w:t xml:space="preserve">vided a good </w:t>
      </w:r>
      <w:r w:rsidRPr="009672E5">
        <w:rPr>
          <w:color w:val="1A1A18"/>
        </w:rPr>
        <w:t>opportun</w:t>
      </w:r>
      <w:r w:rsidR="00AF2CCC">
        <w:rPr>
          <w:color w:val="1A1A18"/>
        </w:rPr>
        <w:t>ity to support climate action (in, f</w:t>
      </w:r>
      <w:r w:rsidRPr="009672E5">
        <w:rPr>
          <w:color w:val="1A1A18"/>
        </w:rPr>
        <w:t>or example</w:t>
      </w:r>
      <w:r w:rsidR="00AF2CCC">
        <w:rPr>
          <w:color w:val="1A1A18"/>
        </w:rPr>
        <w:t>,</w:t>
      </w:r>
      <w:r w:rsidRPr="009672E5">
        <w:rPr>
          <w:color w:val="1A1A18"/>
        </w:rPr>
        <w:t xml:space="preserve"> Nepal or Bhutan) with low transaction costs. </w:t>
      </w:r>
      <w:r w:rsidR="00952B8C" w:rsidRPr="009672E5">
        <w:rPr>
          <w:color w:val="1A1A18"/>
        </w:rPr>
        <w:t xml:space="preserve">While GCCA funds have contributed to strengthening actions led by EU MS, in </w:t>
      </w:r>
      <w:r w:rsidR="00D82D26">
        <w:t xml:space="preserve">“poor </w:t>
      </w:r>
      <w:r w:rsidR="00952B8C" w:rsidRPr="009672E5">
        <w:t xml:space="preserve">countries and regions most vulnerable to climate change”, the EU has been less successful in involving MS to develop a joint European </w:t>
      </w:r>
      <w:r w:rsidR="001E27BC" w:rsidRPr="009672E5">
        <w:t>approach through the global alliance. While M</w:t>
      </w:r>
      <w:r w:rsidR="00000618" w:rsidRPr="009672E5">
        <w:t xml:space="preserve">S </w:t>
      </w:r>
      <w:r w:rsidR="001E27BC" w:rsidRPr="009672E5">
        <w:t>with a shorter history of international (development/</w:t>
      </w:r>
      <w:r w:rsidR="001E27BC" w:rsidRPr="009672E5">
        <w:softHyphen/>
        <w:t xml:space="preserve">environmental) cooperation appear more willing to pool their limited funds into the GCCA, this is less the case for the MS with a long history of involvement with </w:t>
      </w:r>
      <w:r w:rsidR="001E27BC" w:rsidRPr="009672E5">
        <w:rPr>
          <w:color w:val="1A1A18"/>
        </w:rPr>
        <w:t xml:space="preserve"> </w:t>
      </w:r>
      <w:r w:rsidR="001E27BC" w:rsidRPr="009672E5">
        <w:t>“poor countries and regions most vulnerable to climate change”. The</w:t>
      </w:r>
      <w:r w:rsidR="00085850" w:rsidRPr="009672E5">
        <w:t xml:space="preserve"> latter group of </w:t>
      </w:r>
      <w:r w:rsidR="001E27BC" w:rsidRPr="009672E5">
        <w:t>MS have a tendency to assume that they are supporting the GCCA through their “contribution to the EU budget and to the EDF”</w:t>
      </w:r>
      <w:r w:rsidR="00BA373E" w:rsidRPr="009672E5">
        <w:rPr>
          <w:rStyle w:val="FootnoteReference"/>
        </w:rPr>
        <w:footnoteReference w:id="16"/>
      </w:r>
      <w:r w:rsidR="001E27BC" w:rsidRPr="009672E5">
        <w:t xml:space="preserve"> while continuing to provide </w:t>
      </w:r>
      <w:r w:rsidR="00085850" w:rsidRPr="009672E5">
        <w:t xml:space="preserve">the bulk of their </w:t>
      </w:r>
      <w:r w:rsidR="001E27BC" w:rsidRPr="009672E5">
        <w:t xml:space="preserve">assistance to other climate-related funds and initiatives (either their own bilateral programmes or </w:t>
      </w:r>
      <w:r w:rsidR="00085850" w:rsidRPr="009672E5">
        <w:t xml:space="preserve">other </w:t>
      </w:r>
      <w:r w:rsidR="001E27BC" w:rsidRPr="009672E5">
        <w:t xml:space="preserve">multilateral initiatives). </w:t>
      </w:r>
      <w:r w:rsidR="00085850" w:rsidRPr="009672E5">
        <w:t>This seems to be reinforced by MS responses which suggest that they are only “somewhat aware” of the GCCA. As such, the evaluation has also concluded that there are opportunities to raise the profile of the GCCA with the MS, but that this will require lobbying efforts at the strategic policy level - such as the Climate Diplomacy Network</w:t>
      </w:r>
      <w:r w:rsidR="00085850" w:rsidRPr="009672E5">
        <w:rPr>
          <w:rStyle w:val="FootnoteReference"/>
        </w:rPr>
        <w:footnoteReference w:id="17"/>
      </w:r>
      <w:r w:rsidR="00085850" w:rsidRPr="009672E5">
        <w:t xml:space="preserve"> - by more directly involving the respective portfolio ministries dealing with climate change and/or foreign affairs</w:t>
      </w:r>
      <w:r w:rsidR="00085850" w:rsidRPr="009672E5">
        <w:rPr>
          <w:rStyle w:val="FootnoteReference"/>
        </w:rPr>
        <w:footnoteReference w:id="18"/>
      </w:r>
      <w:r w:rsidR="004A6DAC" w:rsidRPr="009672E5">
        <w:t>. Notwithstanding, the responses also show an openness and willingness on the part of the MS to enter more fully into a climate-related dialogue with the Commission.</w:t>
      </w:r>
    </w:p>
    <w:p w:rsidR="004A6DAC" w:rsidRDefault="004A6DAC" w:rsidP="005D3F95">
      <w:pPr>
        <w:autoSpaceDE w:val="0"/>
        <w:autoSpaceDN w:val="0"/>
        <w:rPr>
          <w:color w:val="1A1A18"/>
        </w:rPr>
      </w:pPr>
      <w:r w:rsidRPr="009672E5">
        <w:rPr>
          <w:color w:val="1A1A18"/>
        </w:rPr>
        <w:t>In parallel, and as already mentioned above, the good experiences of joint “European” climate action and dialogue with host countries, and in the regions, is a solid experience that can continue to be built on within the context of both the Paris Declaration on Aid Effectiveness, as well as the development of joint assistance strategies.</w:t>
      </w:r>
      <w:r>
        <w:rPr>
          <w:color w:val="1A1A18"/>
        </w:rPr>
        <w:t xml:space="preserve"> </w:t>
      </w:r>
    </w:p>
    <w:p w:rsidR="00BA373E" w:rsidRDefault="005D3F95" w:rsidP="005D3F95">
      <w:pPr>
        <w:autoSpaceDE w:val="0"/>
        <w:autoSpaceDN w:val="0"/>
        <w:rPr>
          <w:color w:val="1A1A18"/>
        </w:rPr>
      </w:pPr>
      <w:r w:rsidRPr="001E27BC">
        <w:rPr>
          <w:color w:val="1A1A18"/>
        </w:rPr>
        <w:t xml:space="preserve">Overall performance of the components and interventions </w:t>
      </w:r>
      <w:r w:rsidRPr="009672E5">
        <w:rPr>
          <w:color w:val="1A1A18"/>
        </w:rPr>
        <w:t>evaluated has been found to be good, on all evaluation criteria (refer t</w:t>
      </w:r>
      <w:r w:rsidR="00BA373E" w:rsidRPr="009672E5">
        <w:rPr>
          <w:color w:val="1A1A18"/>
        </w:rPr>
        <w:t>o T</w:t>
      </w:r>
      <w:r w:rsidRPr="009672E5">
        <w:rPr>
          <w:color w:val="1A1A18"/>
        </w:rPr>
        <w:t>able</w:t>
      </w:r>
      <w:r w:rsidR="00232AD5" w:rsidRPr="009672E5">
        <w:rPr>
          <w:color w:val="1A1A18"/>
        </w:rPr>
        <w:t>s</w:t>
      </w:r>
      <w:r w:rsidRPr="009672E5">
        <w:rPr>
          <w:color w:val="1A1A18"/>
        </w:rPr>
        <w:t xml:space="preserve"> 1</w:t>
      </w:r>
      <w:r w:rsidR="00232AD5" w:rsidRPr="009672E5">
        <w:rPr>
          <w:color w:val="1A1A18"/>
        </w:rPr>
        <w:t xml:space="preserve"> and 2</w:t>
      </w:r>
      <w:r w:rsidRPr="009672E5">
        <w:rPr>
          <w:color w:val="1A1A18"/>
        </w:rPr>
        <w:t xml:space="preserve">, </w:t>
      </w:r>
      <w:r w:rsidR="00BA373E" w:rsidRPr="009672E5">
        <w:rPr>
          <w:color w:val="1A1A18"/>
        </w:rPr>
        <w:t xml:space="preserve">included under </w:t>
      </w:r>
      <w:r w:rsidR="00AD4336" w:rsidRPr="009672E5">
        <w:rPr>
          <w:color w:val="1A1A18"/>
        </w:rPr>
        <w:t>Chapter</w:t>
      </w:r>
      <w:r w:rsidR="00BA373E" w:rsidRPr="009672E5">
        <w:rPr>
          <w:color w:val="1A1A18"/>
        </w:rPr>
        <w:t xml:space="preserve"> 3). </w:t>
      </w:r>
      <w:r w:rsidRPr="009672E5">
        <w:rPr>
          <w:color w:val="1A1A18"/>
        </w:rPr>
        <w:t>Prospects for a pos</w:t>
      </w:r>
      <w:r w:rsidRPr="009672E5">
        <w:rPr>
          <w:color w:val="1A1A18"/>
        </w:rPr>
        <w:t>i</w:t>
      </w:r>
      <w:r w:rsidRPr="009672E5">
        <w:rPr>
          <w:color w:val="1A1A18"/>
        </w:rPr>
        <w:t>tive impact by the programme are generally good, but at this</w:t>
      </w:r>
      <w:r w:rsidRPr="001E27BC">
        <w:rPr>
          <w:color w:val="1A1A18"/>
        </w:rPr>
        <w:t xml:space="preserve"> point in time, impacts in terms of adaptation and mitigation effects, as well as poverty reduction are still very limited. Most of the programmes are still at an initial stage - the oldest programmes have only been operational for a few years – and require sustained support over a longer period of time. The current phase (287 million EUR funding since 2008) has required considerable investments in developing coalitions, partnerships and institutional arrangements to facilitate the delivery of the individual interve</w:t>
      </w:r>
      <w:r w:rsidRPr="001E27BC">
        <w:rPr>
          <w:color w:val="1A1A18"/>
        </w:rPr>
        <w:t>n</w:t>
      </w:r>
      <w:r w:rsidRPr="001E27BC">
        <w:rPr>
          <w:color w:val="1A1A18"/>
        </w:rPr>
        <w:t xml:space="preserve">tions. These have started to </w:t>
      </w:r>
      <w:r w:rsidR="00000618" w:rsidRPr="00000618">
        <w:rPr>
          <w:color w:val="1A1A18"/>
        </w:rPr>
        <w:t>produce</w:t>
      </w:r>
      <w:r w:rsidRPr="001E27BC">
        <w:rPr>
          <w:color w:val="1A1A18"/>
        </w:rPr>
        <w:t xml:space="preserve"> promising results, which now should be further capitalised upon. </w:t>
      </w:r>
    </w:p>
    <w:p w:rsidR="007131CB" w:rsidRPr="00315F62" w:rsidRDefault="007131CB" w:rsidP="007131CB">
      <w:pPr>
        <w:spacing w:after="120"/>
        <w:rPr>
          <w:b/>
          <w:i/>
          <w:u w:val="single"/>
        </w:rPr>
      </w:pPr>
      <w:r w:rsidRPr="00315F62">
        <w:rPr>
          <w:b/>
          <w:i/>
          <w:u w:val="single"/>
        </w:rPr>
        <w:t xml:space="preserve">Recommendation 1: </w:t>
      </w:r>
    </w:p>
    <w:p w:rsidR="00CD327E" w:rsidRPr="00CD327E" w:rsidRDefault="00CD327E" w:rsidP="00CD327E">
      <w:pPr>
        <w:rPr>
          <w:i/>
        </w:rPr>
      </w:pPr>
      <w:r w:rsidRPr="00CD327E">
        <w:t>Continued and increased support for GCCA climate action (GCCA+) is recommended</w:t>
      </w:r>
      <w:r w:rsidRPr="00CD327E">
        <w:rPr>
          <w:i/>
        </w:rPr>
        <w:t xml:space="preserve">. </w:t>
      </w:r>
    </w:p>
    <w:p w:rsidR="00CD327E" w:rsidRPr="00CD327E" w:rsidRDefault="00CD327E" w:rsidP="00CD327E">
      <w:pPr>
        <w:rPr>
          <w:i/>
        </w:rPr>
      </w:pPr>
      <w:r w:rsidRPr="00CD327E">
        <w:rPr>
          <w:i/>
        </w:rPr>
        <w:t>This recommendation is based on promising results and good overall performance of GCCA interventions, the realisation that climate action needs to be seen in a long-term perspective, as well as acknowledging the unique role that the EU can play in creating support for global cl</w:t>
      </w:r>
      <w:r w:rsidRPr="00CD327E">
        <w:rPr>
          <w:i/>
        </w:rPr>
        <w:t>i</w:t>
      </w:r>
      <w:r w:rsidRPr="00CD327E">
        <w:rPr>
          <w:i/>
        </w:rPr>
        <w:t>mate change action. Continued support will need to build on existing experience, progressively improving institutional strengths, linkages and collaborative partnerships and encouraging inn</w:t>
      </w:r>
      <w:r w:rsidRPr="00CD327E">
        <w:rPr>
          <w:i/>
        </w:rPr>
        <w:t>o</w:t>
      </w:r>
      <w:r w:rsidRPr="00CD327E">
        <w:rPr>
          <w:i/>
        </w:rPr>
        <w:t xml:space="preserve">vative practices. </w:t>
      </w:r>
    </w:p>
    <w:p w:rsidR="00CD327E" w:rsidRPr="00CD327E" w:rsidRDefault="00CD327E" w:rsidP="00CD327E">
      <w:pPr>
        <w:rPr>
          <w:i/>
        </w:rPr>
      </w:pPr>
      <w:r w:rsidRPr="00CD327E">
        <w:rPr>
          <w:i/>
        </w:rPr>
        <w:t>Continued support will also need to build on the pilot projects established during the first phase and, more importantly, the elaboration of a long-term strategy which specifies the roles of the various programme components (national and regional programmes; and support functions) and how they connect with, complement and reinforce each other.</w:t>
      </w:r>
    </w:p>
    <w:p w:rsidR="00CD327E" w:rsidRPr="00CD327E" w:rsidRDefault="00CD327E" w:rsidP="007131CB">
      <w:pPr>
        <w:rPr>
          <w:i/>
        </w:rPr>
      </w:pPr>
      <w:r w:rsidRPr="00CD327E">
        <w:rPr>
          <w:i/>
        </w:rPr>
        <w:t>This applies in particular to the Intra-ACP supported regional programmes, to ensure that they address the ACP regional climate change concerns while strengthening the global alliance b</w:t>
      </w:r>
      <w:r w:rsidRPr="00CD327E">
        <w:rPr>
          <w:i/>
        </w:rPr>
        <w:t>e</w:t>
      </w:r>
      <w:r w:rsidRPr="00CD327E">
        <w:rPr>
          <w:i/>
        </w:rPr>
        <w:t>tween ACP countries, through shared and synergetic programming in line with article 32A of the Cotonou Agreement.</w:t>
      </w:r>
    </w:p>
    <w:p w:rsidR="00A92ACF" w:rsidRPr="001E27BC" w:rsidRDefault="005D3F95" w:rsidP="007131CB">
      <w:pPr>
        <w:spacing w:after="120"/>
      </w:pPr>
      <w:r w:rsidRPr="001E27BC">
        <w:t>At the same time, it was found that there is very limited interaction between programme comp</w:t>
      </w:r>
      <w:r w:rsidRPr="001E27BC">
        <w:t>o</w:t>
      </w:r>
      <w:r w:rsidRPr="001E27BC">
        <w:t xml:space="preserve">nents, in particular between national programmes and the concerned regional programmes. </w:t>
      </w:r>
      <w:r w:rsidR="005273B2" w:rsidRPr="001E27BC">
        <w:t>L</w:t>
      </w:r>
      <w:r w:rsidR="00A92ACF" w:rsidRPr="001E27BC">
        <w:t>e</w:t>
      </w:r>
      <w:r w:rsidR="00A92ACF" w:rsidRPr="001E27BC">
        <w:t>s</w:t>
      </w:r>
      <w:r w:rsidR="00A92ACF" w:rsidRPr="001E27BC">
        <w:t>sons learned from pilot experience developed in national programmes rarely find their</w:t>
      </w:r>
      <w:r w:rsidRPr="001E27BC">
        <w:t xml:space="preserve"> </w:t>
      </w:r>
      <w:r w:rsidR="00A92ACF" w:rsidRPr="001E27BC">
        <w:t xml:space="preserve">way into regional programming. This seems partly due to a limited focus, in national programmes, on promotion of initiatives that could address needs of multiple countries. In part, it </w:t>
      </w:r>
      <w:r w:rsidR="000759D1" w:rsidRPr="001E27BC">
        <w:t xml:space="preserve">also </w:t>
      </w:r>
      <w:r w:rsidR="00A92ACF" w:rsidRPr="001E27BC">
        <w:t xml:space="preserve">seems due to a limited interest, from regional programmes, for pilot or demonstration activities in </w:t>
      </w:r>
      <w:r w:rsidR="00AF2CCC">
        <w:t xml:space="preserve">national </w:t>
      </w:r>
      <w:r w:rsidR="00A92ACF" w:rsidRPr="001E27BC">
        <w:t>programmes that could inspire regional pilot activities.</w:t>
      </w:r>
      <w:r w:rsidR="001039D6" w:rsidRPr="001E27BC">
        <w:t xml:space="preserve"> </w:t>
      </w:r>
    </w:p>
    <w:p w:rsidR="00C32B10" w:rsidRPr="00652EBD" w:rsidRDefault="001039D6" w:rsidP="007131CB">
      <w:pPr>
        <w:spacing w:after="120"/>
      </w:pPr>
      <w:r w:rsidRPr="001E27BC">
        <w:t>Greater interaction and synergy between the global and the regional GCCA programmes is ther</w:t>
      </w:r>
      <w:r w:rsidRPr="001E27BC">
        <w:t>e</w:t>
      </w:r>
      <w:r w:rsidRPr="001E27BC">
        <w:t xml:space="preserve">fore required. National programmes can rarely satisfy all needs, in particular when it comes to </w:t>
      </w:r>
      <w:r w:rsidR="00AF2CCC">
        <w:t xml:space="preserve">the </w:t>
      </w:r>
      <w:r w:rsidRPr="001E27BC">
        <w:t xml:space="preserve">technical capacity building of national partners. Regional programmes should better identify those gaps and needs in </w:t>
      </w:r>
      <w:r w:rsidRPr="00652EBD">
        <w:t xml:space="preserve">national programming that are of regional interest, </w:t>
      </w:r>
      <w:r w:rsidR="0090518F" w:rsidRPr="00652EBD">
        <w:t>including identific</w:t>
      </w:r>
      <w:r w:rsidR="0090518F" w:rsidRPr="00652EBD">
        <w:t>a</w:t>
      </w:r>
      <w:r w:rsidR="0090518F" w:rsidRPr="00652EBD">
        <w:t xml:space="preserve">tion of </w:t>
      </w:r>
      <w:r w:rsidRPr="00652EBD">
        <w:t>those successful interventions that have a potential for up</w:t>
      </w:r>
      <w:r w:rsidR="005030C0">
        <w:t>-</w:t>
      </w:r>
      <w:r w:rsidRPr="00652EBD">
        <w:t xml:space="preserve">scaling at regional level. </w:t>
      </w:r>
    </w:p>
    <w:p w:rsidR="005243DD" w:rsidRPr="00652EBD" w:rsidRDefault="00C32B10" w:rsidP="007131CB">
      <w:pPr>
        <w:spacing w:after="120"/>
      </w:pPr>
      <w:r w:rsidRPr="00652EBD">
        <w:t>Responses, including those from MS, underline the importance of long-term support to climate change adaptation and/or mitigation to LDCs/SIDS focussing both on capacity building</w:t>
      </w:r>
      <w:r w:rsidR="00AF2CCC">
        <w:t>, on</w:t>
      </w:r>
      <w:r w:rsidRPr="00652EBD">
        <w:t xml:space="preserve"> long-term investment</w:t>
      </w:r>
      <w:r w:rsidR="00AF2CCC">
        <w:t>,</w:t>
      </w:r>
      <w:r w:rsidRPr="00652EBD">
        <w:t xml:space="preserve"> and on policy-level ownership.</w:t>
      </w:r>
      <w:r w:rsidR="00F03759" w:rsidRPr="00652EBD">
        <w:t xml:space="preserve"> In addition, providing financial support to GCCA has the advantage of supporting actions in those countries </w:t>
      </w:r>
      <w:r w:rsidR="005E0B8B" w:rsidRPr="00652EBD">
        <w:t xml:space="preserve">vulnerable to climate change </w:t>
      </w:r>
      <w:r w:rsidR="00F03759" w:rsidRPr="00652EBD">
        <w:t>where the MS</w:t>
      </w:r>
      <w:r w:rsidR="00252208" w:rsidRPr="00652EBD">
        <w:t>s</w:t>
      </w:r>
      <w:r w:rsidR="00F03759" w:rsidRPr="00652EBD">
        <w:t xml:space="preserve"> do not have bilateral programmes</w:t>
      </w:r>
      <w:r w:rsidR="005E0B8B" w:rsidRPr="00652EBD">
        <w:t>. This is an area where the EU is in a position to emphasize its comparative advantage vis-à-vis the MS.</w:t>
      </w:r>
    </w:p>
    <w:p w:rsidR="001039D6" w:rsidRPr="001E27BC" w:rsidRDefault="005243DD" w:rsidP="007131CB">
      <w:pPr>
        <w:spacing w:after="120"/>
      </w:pPr>
      <w:r w:rsidRPr="00652EBD">
        <w:t xml:space="preserve">Cooperation with MS in MS programme countries also shows evidence of adding value to MS contributions, particularly where EU and MS develop joint assistance strategies that mainstream climate change into the development cooperation programmes of </w:t>
      </w:r>
      <w:r w:rsidR="00252208" w:rsidRPr="00652EBD">
        <w:t>M</w:t>
      </w:r>
      <w:r w:rsidRPr="00652EBD">
        <w:t xml:space="preserve">ember States. This needs more than a single implementation cycle to really bear fruit </w:t>
      </w:r>
      <w:r w:rsidR="00252208" w:rsidRPr="00652EBD">
        <w:t xml:space="preserve">and </w:t>
      </w:r>
      <w:r w:rsidRPr="00652EBD">
        <w:t>calls for a commitment over a longer period of time.</w:t>
      </w:r>
      <w:r w:rsidR="004073B7" w:rsidRPr="00652EBD">
        <w:rPr>
          <w:rStyle w:val="FootnoteReference"/>
        </w:rPr>
        <w:footnoteReference w:id="19"/>
      </w:r>
    </w:p>
    <w:p w:rsidR="007131CB" w:rsidRPr="00315F62" w:rsidRDefault="007131CB" w:rsidP="007131CB">
      <w:pPr>
        <w:spacing w:after="120"/>
        <w:rPr>
          <w:b/>
          <w:i/>
          <w:u w:val="single"/>
        </w:rPr>
      </w:pPr>
      <w:r w:rsidRPr="00315F62">
        <w:rPr>
          <w:b/>
          <w:i/>
          <w:u w:val="single"/>
        </w:rPr>
        <w:t xml:space="preserve">Recommendation </w:t>
      </w:r>
      <w:r w:rsidR="00F80DAD" w:rsidRPr="00315F62">
        <w:rPr>
          <w:b/>
          <w:i/>
          <w:u w:val="single"/>
        </w:rPr>
        <w:t>2</w:t>
      </w:r>
      <w:r w:rsidRPr="00315F62">
        <w:rPr>
          <w:b/>
          <w:i/>
          <w:u w:val="single"/>
        </w:rPr>
        <w:t xml:space="preserve">: </w:t>
      </w:r>
    </w:p>
    <w:p w:rsidR="00CD327E" w:rsidRPr="00CD327E" w:rsidRDefault="00CD327E" w:rsidP="0090518F">
      <w:pPr>
        <w:rPr>
          <w:i/>
        </w:rPr>
      </w:pPr>
      <w:r w:rsidRPr="00CD327E">
        <w:t>It is recommended that stronger linkages between national and regional GCCA programmes be established</w:t>
      </w:r>
      <w:r w:rsidRPr="00CD327E">
        <w:rPr>
          <w:i/>
        </w:rPr>
        <w:t xml:space="preserve">. </w:t>
      </w:r>
    </w:p>
    <w:p w:rsidR="00CD327E" w:rsidRPr="00CD327E" w:rsidRDefault="00CD327E" w:rsidP="0090518F">
      <w:pPr>
        <w:rPr>
          <w:i/>
        </w:rPr>
      </w:pPr>
      <w:r w:rsidRPr="00CD327E">
        <w:rPr>
          <w:i/>
        </w:rPr>
        <w:t xml:space="preserve">The EU, as one of the few development partners that works with both Regional and National Programmes under its various funding mechanisms, is in a position to use its unique situation to ensure coordination and complementarity </w:t>
      </w:r>
      <w:r w:rsidR="00231C70">
        <w:rPr>
          <w:i/>
        </w:rPr>
        <w:t xml:space="preserve">both </w:t>
      </w:r>
      <w:r w:rsidRPr="00CD327E">
        <w:rPr>
          <w:i/>
        </w:rPr>
        <w:t xml:space="preserve">within regions and between development partners (EU MS and other partners working on climate change). The EU’s added advantage, over and above the regional programming, is its role as an actor on the global environmental stage and, hence, the unique role of being able </w:t>
      </w:r>
      <w:r w:rsidRPr="005030C0">
        <w:rPr>
          <w:i/>
        </w:rPr>
        <w:t>to foster linkages between national, regional and global le</w:t>
      </w:r>
      <w:r w:rsidRPr="005030C0">
        <w:rPr>
          <w:i/>
        </w:rPr>
        <w:t>v</w:t>
      </w:r>
      <w:r w:rsidRPr="005030C0">
        <w:rPr>
          <w:i/>
        </w:rPr>
        <w:t>els. Linkages can go both ways - up-scaling from national to regional; and replication across the region. Pilot and demonstration activities</w:t>
      </w:r>
      <w:r w:rsidRPr="00CD327E">
        <w:rPr>
          <w:i/>
        </w:rPr>
        <w:t xml:space="preserve"> supported by national GCCA programmes need mon</w:t>
      </w:r>
      <w:r w:rsidRPr="00CD327E">
        <w:rPr>
          <w:i/>
        </w:rPr>
        <w:t>i</w:t>
      </w:r>
      <w:r w:rsidRPr="00CD327E">
        <w:rPr>
          <w:i/>
        </w:rPr>
        <w:t>toring for their suitability at the regional level. They should be used as sources of inspiration, actively promoted by the respective regional programmes and, where possible, integrated into other national programmes. In this regard, the Regional Delegations would benefit by having a member of staff (preferably one already working at the Delegation on the environment and/or climate change portfolio) to formally include GCCA in their terms of reference, with the mandate to liaise both with the national programmes in “their” region as well as globally and with other EU regional climate change interventions.</w:t>
      </w:r>
    </w:p>
    <w:p w:rsidR="00CD327E" w:rsidRPr="00CD327E" w:rsidRDefault="00CD327E" w:rsidP="00CD327E">
      <w:pPr>
        <w:rPr>
          <w:i/>
        </w:rPr>
      </w:pPr>
      <w:r w:rsidRPr="00CD327E">
        <w:rPr>
          <w:i/>
        </w:rPr>
        <w:t>The elaboration of comprehensive regional climate change strategies - which some regional pr</w:t>
      </w:r>
      <w:r w:rsidRPr="00CD327E">
        <w:rPr>
          <w:i/>
        </w:rPr>
        <w:t>o</w:t>
      </w:r>
      <w:r w:rsidRPr="00CD327E">
        <w:rPr>
          <w:i/>
        </w:rPr>
        <w:t xml:space="preserve">grammes currently lack – should benefit from Intra-ACP GCCA support. For example, the CSF could make an important contribution to this end, as well as drawing support from the regional strategies of other development partners, where such strategies or programme initiatives exist. </w:t>
      </w:r>
    </w:p>
    <w:p w:rsidR="00305094" w:rsidRPr="001E27BC" w:rsidRDefault="00285C96" w:rsidP="00305094">
      <w:r w:rsidRPr="001E27BC">
        <w:t xml:space="preserve">At country level, </w:t>
      </w:r>
      <w:r w:rsidR="00F80DAD" w:rsidRPr="001E27BC">
        <w:t>GCCA support and interventions are generally well harmonised with and linked to other climate change action</w:t>
      </w:r>
      <w:r w:rsidR="00231C70">
        <w:t>s</w:t>
      </w:r>
      <w:r w:rsidR="00F80DAD" w:rsidRPr="001E27BC">
        <w:t>, in particular in countries that actively coordinate donor action</w:t>
      </w:r>
      <w:r w:rsidR="00E145A6">
        <w:t>s</w:t>
      </w:r>
      <w:r w:rsidR="000759D1" w:rsidRPr="001E27BC">
        <w:t xml:space="preserve"> themselves,</w:t>
      </w:r>
      <w:r w:rsidR="00F80DAD" w:rsidRPr="001E27BC">
        <w:t xml:space="preserve"> or whe</w:t>
      </w:r>
      <w:r w:rsidR="00231C70">
        <w:t>re a donor takes a strong lead i</w:t>
      </w:r>
      <w:r w:rsidR="00F80DAD" w:rsidRPr="001E27BC">
        <w:t xml:space="preserve">n the relevant sector. Still, in several cases, </w:t>
      </w:r>
      <w:r w:rsidR="00305094" w:rsidRPr="001E27BC">
        <w:t xml:space="preserve">such as Nepal, </w:t>
      </w:r>
      <w:r w:rsidR="00F80DAD" w:rsidRPr="001E27BC">
        <w:t>limited harmonisation of approaches and implementation requirements posed serious constraints to progress of the actions</w:t>
      </w:r>
      <w:r w:rsidR="00231C70">
        <w:t>,</w:t>
      </w:r>
      <w:r w:rsidR="00F80DAD" w:rsidRPr="001E27BC">
        <w:t xml:space="preserve"> and improved communication and harmonisation </w:t>
      </w:r>
      <w:r w:rsidR="000759D1" w:rsidRPr="001E27BC">
        <w:t>are</w:t>
      </w:r>
      <w:r w:rsidR="00F80DAD" w:rsidRPr="001E27BC">
        <w:t xml:space="preserve"> r</w:t>
      </w:r>
      <w:r w:rsidR="00F80DAD" w:rsidRPr="001E27BC">
        <w:t>e</w:t>
      </w:r>
      <w:r w:rsidR="00F80DAD" w:rsidRPr="001E27BC">
        <w:t>quired. Also, alignment of EU Member State funded climate action was found to be weak in se</w:t>
      </w:r>
      <w:r w:rsidR="00F80DAD" w:rsidRPr="001E27BC">
        <w:t>v</w:t>
      </w:r>
      <w:r w:rsidR="00F80DAD" w:rsidRPr="001E27BC">
        <w:t>eral countries</w:t>
      </w:r>
      <w:r w:rsidR="00305094" w:rsidRPr="001E27BC">
        <w:t>, including Nepal</w:t>
      </w:r>
      <w:r w:rsidR="00F80DAD" w:rsidRPr="001E27BC">
        <w:t xml:space="preserve">. </w:t>
      </w:r>
      <w:r w:rsidR="00305094" w:rsidRPr="001E27BC">
        <w:t xml:space="preserve">One of the reasons for the existence of the GCCA is to foster more of a joint European approach on climate change in targeted countries, and this objective requires a stronger effort. </w:t>
      </w:r>
    </w:p>
    <w:p w:rsidR="00F80DAD" w:rsidRPr="001E27BC" w:rsidRDefault="00F80DAD" w:rsidP="00305094">
      <w:pPr>
        <w:spacing w:after="120"/>
        <w:rPr>
          <w:b/>
          <w:i/>
        </w:rPr>
      </w:pPr>
      <w:r w:rsidRPr="00315F62">
        <w:rPr>
          <w:b/>
          <w:i/>
          <w:u w:val="single"/>
        </w:rPr>
        <w:t>Recommendation 3</w:t>
      </w:r>
      <w:r w:rsidRPr="001E27BC">
        <w:rPr>
          <w:b/>
          <w:i/>
        </w:rPr>
        <w:t xml:space="preserve">: </w:t>
      </w:r>
    </w:p>
    <w:p w:rsidR="00E145A6" w:rsidRPr="00E145A6" w:rsidRDefault="00E145A6" w:rsidP="00E145A6">
      <w:r w:rsidRPr="00E145A6">
        <w:t>It is recommended that the EU (at Commission and Delegation Level) intensify their lobbying efforts with policy makers in the MS, and with MS interventions in MS programme countries to raise awareness of the GCCA and develop joint intervention strategies focussing on climate change-related activities.</w:t>
      </w:r>
    </w:p>
    <w:p w:rsidR="00E145A6" w:rsidRPr="00E145A6" w:rsidRDefault="00E145A6" w:rsidP="00E145A6">
      <w:pPr>
        <w:rPr>
          <w:i/>
        </w:rPr>
      </w:pPr>
      <w:r w:rsidRPr="00E145A6">
        <w:rPr>
          <w:i/>
        </w:rPr>
        <w:t xml:space="preserve">While </w:t>
      </w:r>
      <w:r w:rsidRPr="00E145A6">
        <w:rPr>
          <w:i/>
          <w:iCs/>
        </w:rPr>
        <w:t xml:space="preserve">in some GCCA target countries a clear European response to climate change is emerging, EU services and Member States should, through the GCCA and other climate initiatives, play a more active role in </w:t>
      </w:r>
      <w:r w:rsidRPr="00E145A6">
        <w:rPr>
          <w:b/>
          <w:i/>
          <w:iCs/>
        </w:rPr>
        <w:t>aligning, coordinating and harmonizing</w:t>
      </w:r>
      <w:r w:rsidRPr="00E145A6">
        <w:rPr>
          <w:i/>
          <w:iCs/>
        </w:rPr>
        <w:t xml:space="preserve"> European (EU and MS) support for climate action. The objective is to limit fragmentation.</w:t>
      </w:r>
      <w:r w:rsidRPr="00E145A6">
        <w:rPr>
          <w:b/>
          <w:i/>
        </w:rPr>
        <w:t xml:space="preserve"> </w:t>
      </w:r>
      <w:r w:rsidRPr="00E145A6">
        <w:rPr>
          <w:i/>
        </w:rPr>
        <w:t>Such a response should not be limited to involvement only at the national level in target countries of local representations, but should i</w:t>
      </w:r>
      <w:r w:rsidRPr="00E145A6">
        <w:rPr>
          <w:i/>
        </w:rPr>
        <w:t>n</w:t>
      </w:r>
      <w:r w:rsidRPr="00E145A6">
        <w:rPr>
          <w:i/>
        </w:rPr>
        <w:t>corporate a regional vision - as well as targeted follow-up from GCCA/DG DEVCO with MS development partners back in Europe</w:t>
      </w:r>
      <w:r w:rsidRPr="00E145A6">
        <w:rPr>
          <w:b/>
          <w:i/>
        </w:rPr>
        <w:t>.</w:t>
      </w:r>
      <w:r w:rsidRPr="00E145A6">
        <w:rPr>
          <w:i/>
        </w:rPr>
        <w:t xml:space="preserve"> Presently, levels of awareness of the GCCA among EU member states is not as well developed as it could be, pointing to the need for stronger lobbying efforts both at senior levels of the Commission with high level climate policy counterparts in the member states, as well as through the Delegations partnering in and/or jointly funding climate change interventions at national and regional level.</w:t>
      </w:r>
    </w:p>
    <w:p w:rsidR="00E145A6" w:rsidRPr="00E145A6" w:rsidRDefault="00E145A6" w:rsidP="00E145A6">
      <w:pPr>
        <w:rPr>
          <w:i/>
        </w:rPr>
      </w:pPr>
      <w:r w:rsidRPr="00DF4FE5">
        <w:rPr>
          <w:i/>
        </w:rPr>
        <w:t>There is a tendency for newer MS, with a shorter history in international development/climate and more limited funds for such activities</w:t>
      </w:r>
      <w:r w:rsidR="00231C70">
        <w:rPr>
          <w:i/>
        </w:rPr>
        <w:t>,</w:t>
      </w:r>
      <w:r w:rsidRPr="00DF4FE5">
        <w:rPr>
          <w:i/>
        </w:rPr>
        <w:t xml:space="preserve"> to more closely align themselves with flagship pr</w:t>
      </w:r>
      <w:r w:rsidRPr="00DF4FE5">
        <w:rPr>
          <w:i/>
        </w:rPr>
        <w:t>o</w:t>
      </w:r>
      <w:r w:rsidRPr="00DF4FE5">
        <w:rPr>
          <w:i/>
        </w:rPr>
        <w:t xml:space="preserve">grammes such as the GCCA. On the other hand, MS with a long history of interventions in the development/environment/climate change sectors are more likely to opt for continuing </w:t>
      </w:r>
      <w:r w:rsidR="00231C70">
        <w:rPr>
          <w:i/>
        </w:rPr>
        <w:t>to support</w:t>
      </w:r>
      <w:r w:rsidRPr="00DF4FE5">
        <w:rPr>
          <w:i/>
        </w:rPr>
        <w:t xml:space="preserve"> their own initiatives, while also continuing to contribute to multilateral agencies (dealing with climate-change and environment) which they have been supporting in the past</w:t>
      </w:r>
      <w:r w:rsidRPr="00E145A6">
        <w:rPr>
          <w:i/>
        </w:rPr>
        <w:t>.</w:t>
      </w:r>
    </w:p>
    <w:p w:rsidR="00E145A6" w:rsidRPr="009672E5" w:rsidRDefault="00E145A6" w:rsidP="00E145A6">
      <w:pPr>
        <w:rPr>
          <w:i/>
        </w:rPr>
      </w:pPr>
      <w:r w:rsidRPr="00E145A6">
        <w:rPr>
          <w:i/>
        </w:rPr>
        <w:t xml:space="preserve">In order to increase MS involvement with the GCCA, it is clear from the responses that the EU needs to raise the profile of the GCCA with MS, as </w:t>
      </w:r>
      <w:r w:rsidRPr="00E145A6">
        <w:rPr>
          <w:b/>
          <w:i/>
        </w:rPr>
        <w:t>none</w:t>
      </w:r>
      <w:r w:rsidRPr="00E145A6">
        <w:rPr>
          <w:i/>
        </w:rPr>
        <w:t xml:space="preserve"> of those </w:t>
      </w:r>
      <w:r w:rsidRPr="001456C4">
        <w:rPr>
          <w:i/>
        </w:rPr>
        <w:t>responding to the</w:t>
      </w:r>
      <w:r w:rsidR="00776384" w:rsidRPr="001456C4">
        <w:rPr>
          <w:i/>
        </w:rPr>
        <w:t xml:space="preserve"> questionnaire sent to</w:t>
      </w:r>
      <w:r w:rsidRPr="001456C4">
        <w:rPr>
          <w:i/>
        </w:rPr>
        <w:t xml:space="preserve"> </w:t>
      </w:r>
      <w:r w:rsidR="00776384" w:rsidRPr="001456C4">
        <w:rPr>
          <w:i/>
        </w:rPr>
        <w:t xml:space="preserve">MS </w:t>
      </w:r>
      <w:r w:rsidRPr="001456C4">
        <w:rPr>
          <w:i/>
        </w:rPr>
        <w:t>claim to be “</w:t>
      </w:r>
      <w:r w:rsidRPr="001456C4">
        <w:rPr>
          <w:b/>
          <w:i/>
        </w:rPr>
        <w:t>well aware</w:t>
      </w:r>
      <w:r w:rsidRPr="001456C4">
        <w:rPr>
          <w:i/>
        </w:rPr>
        <w:t>” of the GCCA.</w:t>
      </w:r>
      <w:r w:rsidR="00776384" w:rsidRPr="001456C4">
        <w:rPr>
          <w:rStyle w:val="FootnoteReference"/>
          <w:i/>
        </w:rPr>
        <w:footnoteReference w:id="20"/>
      </w:r>
      <w:r w:rsidRPr="001456C4">
        <w:rPr>
          <w:i/>
        </w:rPr>
        <w:t xml:space="preserve"> This will need to change through EU lobb</w:t>
      </w:r>
      <w:r w:rsidRPr="001456C4">
        <w:rPr>
          <w:i/>
        </w:rPr>
        <w:t>y</w:t>
      </w:r>
      <w:r w:rsidRPr="001456C4">
        <w:rPr>
          <w:i/>
        </w:rPr>
        <w:t>ing initiatives at EU-MS policy levels in Europe (such as the Climate</w:t>
      </w:r>
      <w:r w:rsidRPr="00E145A6">
        <w:rPr>
          <w:i/>
        </w:rPr>
        <w:t xml:space="preserve"> Diplomacy Network</w:t>
      </w:r>
      <w:r w:rsidR="00231C70">
        <w:rPr>
          <w:i/>
        </w:rPr>
        <w:t>, etc.</w:t>
      </w:r>
      <w:r w:rsidRPr="00E145A6">
        <w:rPr>
          <w:i/>
        </w:rPr>
        <w:t xml:space="preserve">); as well as at the </w:t>
      </w:r>
      <w:r w:rsidRPr="009672E5">
        <w:rPr>
          <w:i/>
        </w:rPr>
        <w:t xml:space="preserve">level of the national/regional Delegations in their liaison with the national/regional programmes of MS. </w:t>
      </w:r>
    </w:p>
    <w:p w:rsidR="004073B7" w:rsidRDefault="005A7B95" w:rsidP="00F80DAD">
      <w:r w:rsidRPr="009672E5">
        <w:t xml:space="preserve"> The GCCA has made a very significant contribution to dialogue on climate change at the national and regional levels. This includes exchanges regarding good practice between countries, regions and the EU. In most cases, the grants provided fulfil a useful purpose in promoting and supporting policy debate on climate change, and in a number of instances, they have helped raise the priority of climate change on the political agenda. However, GCCA support for climate change negotiations, in particular, is spread over various national, regional and global actions, and there does not seem to be a clear division of responsibilities. This was most prominent in </w:t>
      </w:r>
      <w:r w:rsidR="00F00B76">
        <w:t xml:space="preserve">the </w:t>
      </w:r>
      <w:r w:rsidRPr="009672E5">
        <w:t>evaluation of the Intra-ACP GCCA component (for details, please refer to the Intra ACP eval</w:t>
      </w:r>
      <w:r w:rsidRPr="009672E5">
        <w:t>u</w:t>
      </w:r>
      <w:r w:rsidRPr="009672E5">
        <w:t>ation report).</w:t>
      </w:r>
      <w:r w:rsidRPr="001E27BC">
        <w:t xml:space="preserve"> </w:t>
      </w:r>
    </w:p>
    <w:p w:rsidR="00F80DAD" w:rsidRPr="004073B7" w:rsidRDefault="004073B7" w:rsidP="00F80DAD">
      <w:r w:rsidRPr="00652EBD">
        <w:t>M</w:t>
      </w:r>
      <w:r w:rsidR="00272E52" w:rsidRPr="00652EBD">
        <w:t xml:space="preserve">ember </w:t>
      </w:r>
      <w:r w:rsidRPr="00652EBD">
        <w:t>S</w:t>
      </w:r>
      <w:r w:rsidR="00272E52" w:rsidRPr="00652EBD">
        <w:t>tates</w:t>
      </w:r>
      <w:r w:rsidRPr="00652EBD">
        <w:t xml:space="preserve"> - in their responses - also underlined the important role of the EU in mobilising policy level support within Europe through linking with the appropriate MS climate/development agencies; as well as ensuring that scientific research is integrated into the policy level discussions both in Europe and in “poor countries and regions most vulnerable to climate change”.</w:t>
      </w:r>
    </w:p>
    <w:p w:rsidR="007131CB" w:rsidRPr="00315F62" w:rsidRDefault="007131CB" w:rsidP="007131CB">
      <w:pPr>
        <w:spacing w:after="120"/>
        <w:rPr>
          <w:b/>
          <w:i/>
          <w:u w:val="single"/>
        </w:rPr>
      </w:pPr>
      <w:r w:rsidRPr="00315F62">
        <w:rPr>
          <w:b/>
          <w:i/>
          <w:u w:val="single"/>
        </w:rPr>
        <w:t xml:space="preserve">Recommendation </w:t>
      </w:r>
      <w:r w:rsidR="00F80DAD" w:rsidRPr="00315F62">
        <w:rPr>
          <w:b/>
          <w:i/>
          <w:u w:val="single"/>
        </w:rPr>
        <w:t>4</w:t>
      </w:r>
      <w:r w:rsidRPr="00315F62">
        <w:rPr>
          <w:b/>
          <w:i/>
          <w:u w:val="single"/>
        </w:rPr>
        <w:t xml:space="preserve">: </w:t>
      </w:r>
    </w:p>
    <w:p w:rsidR="004E21AB" w:rsidRPr="004E21AB" w:rsidRDefault="004E21AB" w:rsidP="004E21AB">
      <w:pPr>
        <w:widowControl w:val="0"/>
      </w:pPr>
      <w:r w:rsidRPr="004E21AB">
        <w:t>It is recommended that the EU (as part of the implementation of their regional and national pr</w:t>
      </w:r>
      <w:r w:rsidRPr="004E21AB">
        <w:t>o</w:t>
      </w:r>
      <w:r w:rsidRPr="004E21AB">
        <w:t>grammes) support long-term strategic planning and institutional capacity building for climate action at national and regional level in EU beneficiary countries.</w:t>
      </w:r>
    </w:p>
    <w:p w:rsidR="004E21AB" w:rsidRPr="004E21AB" w:rsidRDefault="004E21AB" w:rsidP="004E21AB">
      <w:pPr>
        <w:rPr>
          <w:i/>
        </w:rPr>
      </w:pPr>
      <w:r w:rsidRPr="004E21AB">
        <w:rPr>
          <w:i/>
        </w:rPr>
        <w:t>The objective of this recommendation is to ensure stronger regional and national ownership of the climate-change agenda. This should include: support for the establishment of National Cl</w:t>
      </w:r>
      <w:r w:rsidRPr="004E21AB">
        <w:rPr>
          <w:i/>
        </w:rPr>
        <w:t>i</w:t>
      </w:r>
      <w:r w:rsidRPr="004E21AB">
        <w:rPr>
          <w:i/>
        </w:rPr>
        <w:t>mate Change Office/Departments with sufficient authority to define and influence national stra</w:t>
      </w:r>
      <w:r w:rsidRPr="004E21AB">
        <w:rPr>
          <w:i/>
        </w:rPr>
        <w:t>t</w:t>
      </w:r>
      <w:r w:rsidRPr="004E21AB">
        <w:rPr>
          <w:i/>
        </w:rPr>
        <w:t>egies</w:t>
      </w:r>
      <w:r w:rsidR="00DB384D">
        <w:rPr>
          <w:i/>
        </w:rPr>
        <w:t>,</w:t>
      </w:r>
      <w:r w:rsidRPr="004E21AB">
        <w:rPr>
          <w:i/>
        </w:rPr>
        <w:t xml:space="preserve"> and to influence the development of regional (climate-action) strategies; and, in parallel, provide support for capacity building in these institutions to ensure adequate capabilities over the long-term. Additional technical assistance support - either long-term or as a series of short-term inputs using, for example, the Framework contract </w:t>
      </w:r>
      <w:r w:rsidRPr="00DB384D">
        <w:rPr>
          <w:i/>
        </w:rPr>
        <w:t xml:space="preserve">mechanism - could also be considered to increase support for national capacity building; in </w:t>
      </w:r>
      <w:r w:rsidR="00DB384D" w:rsidRPr="00DB384D">
        <w:rPr>
          <w:i/>
        </w:rPr>
        <w:t xml:space="preserve">other </w:t>
      </w:r>
      <w:r w:rsidRPr="00DB384D">
        <w:rPr>
          <w:i/>
        </w:rPr>
        <w:t>cases GCCA support can be p</w:t>
      </w:r>
      <w:r w:rsidR="00DB384D">
        <w:rPr>
          <w:i/>
        </w:rPr>
        <w:t>rovided in the form of budget</w:t>
      </w:r>
      <w:r w:rsidRPr="00DB384D">
        <w:rPr>
          <w:i/>
        </w:rPr>
        <w:t xml:space="preserve"> support. This could include technical</w:t>
      </w:r>
      <w:r w:rsidRPr="004E21AB">
        <w:rPr>
          <w:i/>
        </w:rPr>
        <w:t xml:space="preserve"> assistance to facilitate budget support.</w:t>
      </w:r>
    </w:p>
    <w:p w:rsidR="004E21AB" w:rsidRPr="009672E5" w:rsidRDefault="004F5BC7" w:rsidP="004F5BC7">
      <w:pPr>
        <w:spacing w:after="120"/>
      </w:pPr>
      <w:r w:rsidRPr="001E27BC">
        <w:t>It was found that, sometimes, effective programme design had suffered from time pressure, esp</w:t>
      </w:r>
      <w:r w:rsidRPr="001E27BC">
        <w:t>e</w:t>
      </w:r>
      <w:r w:rsidRPr="001E27BC">
        <w:t>cially in cases of budget support.</w:t>
      </w:r>
      <w:r w:rsidR="00434670" w:rsidRPr="001E27BC">
        <w:rPr>
          <w:rStyle w:val="FootnoteReference"/>
        </w:rPr>
        <w:footnoteReference w:id="21"/>
      </w:r>
      <w:r w:rsidRPr="001E27BC">
        <w:t xml:space="preserve"> As a result, insufficient time was available to </w:t>
      </w:r>
      <w:r w:rsidR="000E01D8" w:rsidRPr="001E27BC">
        <w:t>identify</w:t>
      </w:r>
      <w:r w:rsidRPr="001E27BC">
        <w:t xml:space="preserve"> the most appropriate result indicators. In case</w:t>
      </w:r>
      <w:r w:rsidR="00DB384D">
        <w:t>s where</w:t>
      </w:r>
      <w:r w:rsidRPr="001E27BC">
        <w:t xml:space="preserve"> GCCA support was provided using the budget su</w:t>
      </w:r>
      <w:r w:rsidRPr="001E27BC">
        <w:t>p</w:t>
      </w:r>
      <w:r w:rsidRPr="001E27BC">
        <w:t xml:space="preserve">port modality (the preferred modality for GCCA support), indicators used for disbursement were found to not always be relevant in terms of measuring the targeted climate change </w:t>
      </w:r>
      <w:r w:rsidR="000E01D8" w:rsidRPr="001E27BC">
        <w:t xml:space="preserve">and/or poverty reduction </w:t>
      </w:r>
      <w:r w:rsidRPr="001E27BC">
        <w:t>effects, and greater effort is required to identify indicators that align with GCCA obje</w:t>
      </w:r>
      <w:r w:rsidRPr="001E27BC">
        <w:t>c</w:t>
      </w:r>
      <w:r w:rsidRPr="001E27BC">
        <w:t xml:space="preserve">tives. Reconciliation of project monitoring and national performance systems was also found to be a challenge </w:t>
      </w:r>
      <w:r w:rsidRPr="009672E5">
        <w:t>in a number of situations, especially in case</w:t>
      </w:r>
      <w:r w:rsidR="00DB384D" w:rsidRPr="009672E5">
        <w:t>s where</w:t>
      </w:r>
      <w:r w:rsidRPr="009672E5">
        <w:t xml:space="preserve"> national programmes work through a general budgetary support system.</w:t>
      </w:r>
    </w:p>
    <w:p w:rsidR="006631A3" w:rsidRDefault="004E21AB" w:rsidP="004E21AB">
      <w:r w:rsidRPr="009672E5">
        <w:t xml:space="preserve">Also at the national and regional levels, identification of the right point of entry was seen as being important, as also </w:t>
      </w:r>
      <w:r w:rsidR="004C4FC8" w:rsidRPr="009672E5">
        <w:t xml:space="preserve">was </w:t>
      </w:r>
      <w:r w:rsidRPr="009672E5">
        <w:t>linking with the appropriate organisations to lead the interventions</w:t>
      </w:r>
      <w:r w:rsidR="00DB384D" w:rsidRPr="009672E5">
        <w:t>.</w:t>
      </w:r>
      <w:r w:rsidRPr="009672E5">
        <w:t xml:space="preserve"> O</w:t>
      </w:r>
      <w:r w:rsidRPr="009672E5">
        <w:t>r</w:t>
      </w:r>
      <w:r w:rsidRPr="009672E5">
        <w:t>ganisa</w:t>
      </w:r>
      <w:r w:rsidR="004C4FC8" w:rsidRPr="009672E5">
        <w:t>tional issues need</w:t>
      </w:r>
      <w:r w:rsidRPr="009672E5">
        <w:t xml:space="preserve"> to be addressed before proper action can be undertaken, and not doing so has shown to result in considerable delays. Most programmes have only become operational on the ground in the second half of their lifetime. It was found that political support and the presence of a Climate Change</w:t>
      </w:r>
      <w:r w:rsidRPr="001E27BC">
        <w:t xml:space="preserve"> Office coordinating climate action were among the key success factors in the enabling environment, as is the presence of long-term strategies or plans for climate change action</w:t>
      </w:r>
      <w:r>
        <w:t>.</w:t>
      </w:r>
    </w:p>
    <w:p w:rsidR="004E21AB" w:rsidRPr="001E27BC" w:rsidRDefault="006631A3" w:rsidP="004E21AB">
      <w:r w:rsidRPr="005D6426">
        <w:t>M</w:t>
      </w:r>
      <w:r w:rsidR="00E235B5" w:rsidRPr="005D6426">
        <w:t>any M</w:t>
      </w:r>
      <w:r w:rsidRPr="005D6426">
        <w:t xml:space="preserve">ember States </w:t>
      </w:r>
      <w:r w:rsidR="00E235B5" w:rsidRPr="005D6426">
        <w:t>have a long track record working through a number of multilateral pr</w:t>
      </w:r>
      <w:r w:rsidR="00E235B5" w:rsidRPr="005D6426">
        <w:t>o</w:t>
      </w:r>
      <w:r w:rsidR="00E235B5" w:rsidRPr="005D6426">
        <w:t>grammes dealing with Climate Change</w:t>
      </w:r>
      <w:r w:rsidR="00434D5D" w:rsidRPr="005D6426">
        <w:t xml:space="preserve"> providing both financial as well as technical support</w:t>
      </w:r>
      <w:r w:rsidR="00E235B5" w:rsidRPr="005D6426">
        <w:rPr>
          <w:rStyle w:val="FootnoteReference"/>
        </w:rPr>
        <w:footnoteReference w:id="22"/>
      </w:r>
      <w:r w:rsidR="00E235B5" w:rsidRPr="005D6426">
        <w:t xml:space="preserve"> and, in this context, </w:t>
      </w:r>
      <w:r w:rsidRPr="005D6426">
        <w:t xml:space="preserve">have underlined the importance of </w:t>
      </w:r>
      <w:r w:rsidR="00E235B5" w:rsidRPr="005D6426">
        <w:t>a multi-stakeholder approach, working at all levels (from global to local). The challenge for the GCCA is to build on existing experience - both in the Commission as well as in MS - in the second and in subsequent phases of the GCCA.</w:t>
      </w:r>
    </w:p>
    <w:p w:rsidR="007131CB" w:rsidRPr="00315F62" w:rsidRDefault="007131CB" w:rsidP="007131CB">
      <w:pPr>
        <w:spacing w:after="120"/>
        <w:rPr>
          <w:b/>
          <w:i/>
          <w:u w:val="single"/>
        </w:rPr>
      </w:pPr>
      <w:r w:rsidRPr="00315F62">
        <w:rPr>
          <w:b/>
          <w:i/>
          <w:u w:val="single"/>
        </w:rPr>
        <w:t xml:space="preserve">Recommendation </w:t>
      </w:r>
      <w:r w:rsidR="0039297B" w:rsidRPr="00315F62">
        <w:rPr>
          <w:b/>
          <w:i/>
          <w:u w:val="single"/>
        </w:rPr>
        <w:t>5</w:t>
      </w:r>
      <w:r w:rsidRPr="00315F62">
        <w:rPr>
          <w:b/>
          <w:i/>
          <w:u w:val="single"/>
        </w:rPr>
        <w:t xml:space="preserve">:  </w:t>
      </w:r>
    </w:p>
    <w:p w:rsidR="004C4FC8" w:rsidRPr="004C4FC8" w:rsidRDefault="004C4FC8" w:rsidP="004C4FC8">
      <w:pPr>
        <w:widowControl w:val="0"/>
      </w:pPr>
      <w:r w:rsidRPr="004C4FC8">
        <w:t>It is recommended that, when budget support for climate-change related interventions is pr</w:t>
      </w:r>
      <w:r w:rsidRPr="004C4FC8">
        <w:t>o</w:t>
      </w:r>
      <w:r w:rsidRPr="004C4FC8">
        <w:t xml:space="preserve">vided, it should be tied to a clearly formulated procedure with corresponding climate related milestones monitored on a regular basis, which trigger further disbursements. </w:t>
      </w:r>
    </w:p>
    <w:p w:rsidR="004C4FC8" w:rsidRPr="004C4FC8" w:rsidRDefault="004C4FC8" w:rsidP="004C4FC8">
      <w:pPr>
        <w:widowControl w:val="0"/>
        <w:rPr>
          <w:i/>
        </w:rPr>
      </w:pPr>
      <w:r w:rsidRPr="004C4FC8">
        <w:rPr>
          <w:i/>
        </w:rPr>
        <w:t xml:space="preserve">In cases where interventions are delivered through </w:t>
      </w:r>
      <w:r w:rsidRPr="004C4FC8">
        <w:rPr>
          <w:b/>
          <w:i/>
        </w:rPr>
        <w:t>budget support</w:t>
      </w:r>
      <w:r w:rsidRPr="004C4FC8">
        <w:rPr>
          <w:i/>
        </w:rPr>
        <w:t>, greater effort is required to identify the most effective ways to achieve results. Key to this is the establishment of correspon</w:t>
      </w:r>
      <w:r w:rsidRPr="004C4FC8">
        <w:rPr>
          <w:i/>
        </w:rPr>
        <w:t>d</w:t>
      </w:r>
      <w:r w:rsidRPr="004C4FC8">
        <w:rPr>
          <w:i/>
        </w:rPr>
        <w:t>ing indicators, that meet both climate-related and</w:t>
      </w:r>
      <w:r w:rsidR="0039160B">
        <w:rPr>
          <w:i/>
        </w:rPr>
        <w:t>,</w:t>
      </w:r>
      <w:r w:rsidRPr="004C4FC8">
        <w:rPr>
          <w:i/>
        </w:rPr>
        <w:t xml:space="preserve"> where directly applicable, poverty reduction objectives, in line with GCCA objectives.</w:t>
      </w:r>
      <w:r w:rsidRPr="004C4FC8">
        <w:t xml:space="preserve"> </w:t>
      </w:r>
      <w:r w:rsidRPr="004C4FC8">
        <w:rPr>
          <w:i/>
        </w:rPr>
        <w:t>In cases of a relatively undefined operating env</w:t>
      </w:r>
      <w:r w:rsidRPr="004C4FC8">
        <w:rPr>
          <w:i/>
        </w:rPr>
        <w:t>i</w:t>
      </w:r>
      <w:r w:rsidRPr="004C4FC8">
        <w:rPr>
          <w:i/>
        </w:rPr>
        <w:t>ronment, the role of indicators related to disbursement will be e</w:t>
      </w:r>
      <w:r w:rsidR="0039160B">
        <w:rPr>
          <w:i/>
        </w:rPr>
        <w:t>ven more critical. Performance i</w:t>
      </w:r>
      <w:r w:rsidRPr="004C4FC8">
        <w:rPr>
          <w:i/>
        </w:rPr>
        <w:t>ndicators should be developed for each individual action that map</w:t>
      </w:r>
      <w:r w:rsidR="00F96CF8">
        <w:rPr>
          <w:i/>
        </w:rPr>
        <w:t>s</w:t>
      </w:r>
      <w:r w:rsidRPr="004C4FC8">
        <w:rPr>
          <w:i/>
        </w:rPr>
        <w:t xml:space="preserve"> </w:t>
      </w:r>
      <w:r w:rsidRPr="001456C4">
        <w:rPr>
          <w:i/>
        </w:rPr>
        <w:t>out the evolution of that pa</w:t>
      </w:r>
      <w:r w:rsidRPr="001456C4">
        <w:rPr>
          <w:i/>
        </w:rPr>
        <w:t>r</w:t>
      </w:r>
      <w:r w:rsidRPr="001456C4">
        <w:rPr>
          <w:i/>
        </w:rPr>
        <w:t>ticular intervention. Where relevant, the experience with budget support from MS should be drawn on, as the EU is already involved, with other development partner</w:t>
      </w:r>
      <w:r w:rsidR="00021A8E" w:rsidRPr="001456C4">
        <w:rPr>
          <w:i/>
        </w:rPr>
        <w:t>s</w:t>
      </w:r>
      <w:r w:rsidRPr="001456C4">
        <w:rPr>
          <w:i/>
        </w:rPr>
        <w:t xml:space="preserve"> in numerous Joint A</w:t>
      </w:r>
      <w:r w:rsidRPr="001456C4">
        <w:rPr>
          <w:i/>
        </w:rPr>
        <w:t>s</w:t>
      </w:r>
      <w:r w:rsidRPr="001456C4">
        <w:rPr>
          <w:i/>
        </w:rPr>
        <w:t>sistance Strategies, many of which use the budget support modality. One</w:t>
      </w:r>
      <w:r w:rsidRPr="004C4FC8">
        <w:rPr>
          <w:i/>
        </w:rPr>
        <w:t xml:space="preserve"> key indicator of success will be the degree to which budgetary support contributes to long-term sustainability in the form of beneficiary countries progressively assuming financial responsibility for climate change r</w:t>
      </w:r>
      <w:r w:rsidRPr="004C4FC8">
        <w:rPr>
          <w:i/>
        </w:rPr>
        <w:t>e</w:t>
      </w:r>
      <w:r w:rsidRPr="004C4FC8">
        <w:rPr>
          <w:i/>
        </w:rPr>
        <w:t xml:space="preserve">lated activity. </w:t>
      </w:r>
    </w:p>
    <w:p w:rsidR="00F80DAD" w:rsidRPr="00315F62" w:rsidRDefault="00F80DAD" w:rsidP="00F80DAD">
      <w:pPr>
        <w:spacing w:after="120"/>
        <w:rPr>
          <w:b/>
          <w:i/>
          <w:u w:val="single"/>
        </w:rPr>
      </w:pPr>
      <w:r w:rsidRPr="00315F62">
        <w:rPr>
          <w:b/>
          <w:i/>
          <w:u w:val="single"/>
        </w:rPr>
        <w:t xml:space="preserve">Recommendation </w:t>
      </w:r>
      <w:r w:rsidR="0039297B" w:rsidRPr="00315F62">
        <w:rPr>
          <w:b/>
          <w:i/>
          <w:u w:val="single"/>
        </w:rPr>
        <w:t>6</w:t>
      </w:r>
      <w:r w:rsidRPr="00315F62">
        <w:rPr>
          <w:b/>
          <w:i/>
          <w:u w:val="single"/>
        </w:rPr>
        <w:t xml:space="preserve">: </w:t>
      </w:r>
    </w:p>
    <w:p w:rsidR="005A7B95" w:rsidRPr="005A7B95" w:rsidRDefault="005A7B95" w:rsidP="005A7B95">
      <w:r w:rsidRPr="005A7B95">
        <w:t>It is recommended that the EU uses its position on the European and International scene to mob</w:t>
      </w:r>
      <w:r w:rsidRPr="005A7B95">
        <w:t>i</w:t>
      </w:r>
      <w:r w:rsidRPr="005A7B95">
        <w:t>lise high level policy support for global climate change action.</w:t>
      </w:r>
    </w:p>
    <w:p w:rsidR="005A7B95" w:rsidRPr="007C0EEB" w:rsidRDefault="005A7B95" w:rsidP="00F80DAD">
      <w:pPr>
        <w:rPr>
          <w:i/>
        </w:rPr>
      </w:pPr>
      <w:r w:rsidRPr="005A7B95">
        <w:rPr>
          <w:i/>
        </w:rPr>
        <w:t xml:space="preserve">This includes improving </w:t>
      </w:r>
      <w:r w:rsidRPr="005A7B95">
        <w:rPr>
          <w:b/>
          <w:i/>
        </w:rPr>
        <w:t>coordination of the support</w:t>
      </w:r>
      <w:r w:rsidRPr="005A7B95">
        <w:rPr>
          <w:i/>
        </w:rPr>
        <w:t xml:space="preserve"> provided to climate change negotiations, mainstreaming of climate change and knowledge management between national, regional and global programmes, and between regional programmes. Particularly the EU needs to maximise the benefits of its unique position on both the European and the International scene, and its a</w:t>
      </w:r>
      <w:r w:rsidRPr="005A7B95">
        <w:rPr>
          <w:i/>
        </w:rPr>
        <w:t>c</w:t>
      </w:r>
      <w:r w:rsidRPr="005A7B95">
        <w:rPr>
          <w:i/>
        </w:rPr>
        <w:t xml:space="preserve">cess to policy makers at high levels, to </w:t>
      </w:r>
      <w:r w:rsidRPr="00652EBD">
        <w:rPr>
          <w:i/>
        </w:rPr>
        <w:t>lobby for the coordination and streamlining of support.</w:t>
      </w:r>
      <w:r w:rsidR="00764E5C" w:rsidRPr="00652EBD">
        <w:rPr>
          <w:i/>
        </w:rPr>
        <w:t xml:space="preserve"> The EU also needs to use its unique position to ensure that advances made in research are int</w:t>
      </w:r>
      <w:r w:rsidR="00764E5C" w:rsidRPr="00652EBD">
        <w:rPr>
          <w:i/>
        </w:rPr>
        <w:t>e</w:t>
      </w:r>
      <w:r w:rsidR="00764E5C" w:rsidRPr="00652EBD">
        <w:rPr>
          <w:i/>
        </w:rPr>
        <w:t xml:space="preserve">grated </w:t>
      </w:r>
      <w:r w:rsidR="00324B5C">
        <w:rPr>
          <w:i/>
        </w:rPr>
        <w:t xml:space="preserve">both </w:t>
      </w:r>
      <w:r w:rsidR="00764E5C" w:rsidRPr="00652EBD">
        <w:rPr>
          <w:i/>
        </w:rPr>
        <w:t>into progr</w:t>
      </w:r>
      <w:r w:rsidR="00D82D26">
        <w:rPr>
          <w:i/>
        </w:rPr>
        <w:t>ammes working with CC in “poor</w:t>
      </w:r>
      <w:r w:rsidR="00764E5C" w:rsidRPr="00652EBD">
        <w:rPr>
          <w:i/>
        </w:rPr>
        <w:t xml:space="preserve"> countries and regions most vulnerable to climate change”, as well as integrating research results into the climate change policy </w:t>
      </w:r>
      <w:r w:rsidR="00764E5C" w:rsidRPr="007C0EEB">
        <w:rPr>
          <w:i/>
        </w:rPr>
        <w:t xml:space="preserve">dialogue at the International and Global level. </w:t>
      </w:r>
    </w:p>
    <w:p w:rsidR="00815EC0" w:rsidRPr="001E27BC" w:rsidRDefault="00815EC0" w:rsidP="00815EC0">
      <w:pPr>
        <w:spacing w:after="120"/>
      </w:pPr>
      <w:r w:rsidRPr="007C0EEB">
        <w:t>The GCCA has proven to be a viable instrument for practical c</w:t>
      </w:r>
      <w:r w:rsidR="007C0EEB">
        <w:t xml:space="preserve">ooperation on climate action. </w:t>
      </w:r>
      <w:r w:rsidRPr="007C0EEB">
        <w:t>In most cases, the national GCCA programmes are expected to generate tangible benefits for the most</w:t>
      </w:r>
      <w:r w:rsidRPr="001E27BC">
        <w:t xml:space="preserve"> vulnerable populations – in terms of reduced poverty and vulnerability – even if</w:t>
      </w:r>
      <w:r w:rsidR="009739CC">
        <w:t>,</w:t>
      </w:r>
      <w:r w:rsidRPr="001E27BC">
        <w:t xml:space="preserve"> in most cases</w:t>
      </w:r>
      <w:r w:rsidR="009739CC">
        <w:t>,</w:t>
      </w:r>
      <w:r w:rsidRPr="001E27BC">
        <w:t xml:space="preserve"> they have yet to materialise due to the late start-up of programme activities. However, ce</w:t>
      </w:r>
      <w:r w:rsidRPr="001E27BC">
        <w:t>r</w:t>
      </w:r>
      <w:r w:rsidRPr="001E27BC">
        <w:t xml:space="preserve">tain interventions clearly perform better than others. Success seems mostly dependent on the presence of effective linkages to final beneficiary groups. Non-state actors (NGOs, civil society groups) appear to play an important role in facilitating such functional linkages. </w:t>
      </w:r>
    </w:p>
    <w:p w:rsidR="00815EC0" w:rsidRPr="001E27BC" w:rsidRDefault="00815EC0" w:rsidP="00815EC0">
      <w:pPr>
        <w:spacing w:after="120"/>
      </w:pPr>
      <w:r w:rsidRPr="001E27BC">
        <w:t>While involvement of government institutions and NGOs in the programme is generally good, private sector involvement is relatively weak. This is partly due to the weakness of the Clean Development Mechanism (CDM), one of the GCCA’s priority areas of action; none of the national programmes visited used GCCA support to strengthen participation in the C</w:t>
      </w:r>
      <w:r w:rsidR="007C0EEB">
        <w:t>DM, though some of the regional</w:t>
      </w:r>
      <w:r w:rsidRPr="001E27BC">
        <w:t xml:space="preserve"> Intra-ACP GCCA supported programmes do. Clearly, conditions in the ca</w:t>
      </w:r>
      <w:r w:rsidRPr="001E27BC">
        <w:t>r</w:t>
      </w:r>
      <w:r w:rsidRPr="001E27BC">
        <w:t>bon markets do not provide strong incentives for CDM-related action. Another constraint to pr</w:t>
      </w:r>
      <w:r w:rsidRPr="001E27BC">
        <w:t>i</w:t>
      </w:r>
      <w:r w:rsidRPr="001E27BC">
        <w:t>vate sector involvement is limited access for private actors to other funding opportunities, due to their private character. More effort is required to identify mechanisms to enhance private sector engagement, for example through funds that include access for private sector actors, such as Rwanda’s Fund for Environment and Climate Change (FONERWA).</w:t>
      </w:r>
    </w:p>
    <w:p w:rsidR="00F80DAD" w:rsidRPr="00315F62" w:rsidRDefault="00F80DAD" w:rsidP="00315F62">
      <w:pPr>
        <w:keepNext/>
        <w:keepLines/>
        <w:spacing w:after="120"/>
        <w:rPr>
          <w:b/>
          <w:i/>
          <w:u w:val="single"/>
        </w:rPr>
      </w:pPr>
      <w:r w:rsidRPr="00315F62">
        <w:rPr>
          <w:b/>
          <w:i/>
          <w:u w:val="single"/>
        </w:rPr>
        <w:t xml:space="preserve">Recommendation </w:t>
      </w:r>
      <w:r w:rsidR="0039297B" w:rsidRPr="00315F62">
        <w:rPr>
          <w:b/>
          <w:i/>
          <w:u w:val="single"/>
        </w:rPr>
        <w:t>7</w:t>
      </w:r>
      <w:r w:rsidRPr="00315F62">
        <w:rPr>
          <w:b/>
          <w:i/>
          <w:u w:val="single"/>
        </w:rPr>
        <w:t xml:space="preserve">: </w:t>
      </w:r>
    </w:p>
    <w:p w:rsidR="0005353C" w:rsidRPr="0005353C" w:rsidRDefault="0005353C" w:rsidP="00315F62">
      <w:pPr>
        <w:keepNext/>
        <w:keepLines/>
      </w:pPr>
      <w:r w:rsidRPr="0005353C">
        <w:t>It is recommended to promote stronger involvement of non-state actors and the private sector in GCCA-supported activities.</w:t>
      </w:r>
    </w:p>
    <w:p w:rsidR="0005353C" w:rsidRPr="0005353C" w:rsidRDefault="0005353C" w:rsidP="0005353C">
      <w:r w:rsidRPr="0005353C">
        <w:rPr>
          <w:i/>
        </w:rPr>
        <w:t xml:space="preserve">It is important to promote stronger </w:t>
      </w:r>
      <w:r w:rsidRPr="0005353C">
        <w:rPr>
          <w:b/>
          <w:i/>
        </w:rPr>
        <w:t>involvement of relevant non-state actors</w:t>
      </w:r>
      <w:r w:rsidRPr="0005353C">
        <w:rPr>
          <w:i/>
        </w:rPr>
        <w:t xml:space="preserve"> in GCCA-supported action (at both national and regional levels, as well as with NSA’s based in the North), in order to ensure proper engagement with, and capacity development of, the populations most vulnerable to the effects of climate change. Likewise, where possible, </w:t>
      </w:r>
      <w:r w:rsidRPr="0005353C">
        <w:rPr>
          <w:b/>
          <w:i/>
        </w:rPr>
        <w:t>engagement with the private sector</w:t>
      </w:r>
      <w:r w:rsidRPr="0005353C">
        <w:rPr>
          <w:i/>
        </w:rPr>
        <w:t xml:space="preserve"> should be strengthened, for example through increased support for national climate action funds that include private sector support.</w:t>
      </w:r>
      <w:r w:rsidR="007B7153">
        <w:rPr>
          <w:i/>
        </w:rPr>
        <w:t xml:space="preserve"> </w:t>
      </w:r>
      <w:r w:rsidRPr="0005353C">
        <w:rPr>
          <w:i/>
        </w:rPr>
        <w:t>Where relevant, GCCA-supported actions should also link up with the private sector support programmes funded by MS but which, thus far, have not deve</w:t>
      </w:r>
      <w:r w:rsidRPr="0005353C">
        <w:rPr>
          <w:i/>
        </w:rPr>
        <w:t>l</w:t>
      </w:r>
      <w:r w:rsidRPr="0005353C">
        <w:rPr>
          <w:i/>
        </w:rPr>
        <w:t xml:space="preserve">oped a strong climate change focus. </w:t>
      </w:r>
    </w:p>
    <w:p w:rsidR="008B603F" w:rsidRDefault="00815EC0" w:rsidP="00815EC0">
      <w:pPr>
        <w:spacing w:after="120"/>
      </w:pPr>
      <w:bookmarkStart w:id="30" w:name="_Toc392691254"/>
      <w:bookmarkEnd w:id="30"/>
      <w:r w:rsidRPr="001E27BC">
        <w:t xml:space="preserve">In most countries, at the time of this evaluation, </w:t>
      </w:r>
      <w:r w:rsidRPr="009672E5">
        <w:t xml:space="preserve">impacts were still rather embryonic. This is mostly due to the fact some of the interventions had only </w:t>
      </w:r>
      <w:r w:rsidR="009739CC" w:rsidRPr="009672E5">
        <w:t xml:space="preserve">recently </w:t>
      </w:r>
      <w:r w:rsidRPr="009672E5">
        <w:t xml:space="preserve">started to become operational. In a few cases, however, </w:t>
      </w:r>
      <w:r w:rsidR="008B603F" w:rsidRPr="009672E5">
        <w:t xml:space="preserve">limited </w:t>
      </w:r>
      <w:r w:rsidRPr="009672E5">
        <w:t xml:space="preserve">impact on climate change (example Rwanda) was found to be </w:t>
      </w:r>
      <w:r w:rsidR="008B603F" w:rsidRPr="009672E5">
        <w:t xml:space="preserve">due rather </w:t>
      </w:r>
      <w:r w:rsidRPr="009672E5">
        <w:t>to a l</w:t>
      </w:r>
      <w:r w:rsidR="008B603F" w:rsidRPr="009672E5">
        <w:t xml:space="preserve">ack of </w:t>
      </w:r>
      <w:r w:rsidRPr="009672E5">
        <w:t xml:space="preserve">focus on </w:t>
      </w:r>
      <w:r w:rsidR="008B603F" w:rsidRPr="009672E5">
        <w:t xml:space="preserve">explicit </w:t>
      </w:r>
      <w:r w:rsidRPr="009672E5">
        <w:t>climate change effects</w:t>
      </w:r>
      <w:r w:rsidR="008B603F" w:rsidRPr="009672E5">
        <w:t xml:space="preserve">, </w:t>
      </w:r>
      <w:r w:rsidR="007B7153" w:rsidRPr="009672E5">
        <w:t xml:space="preserve">where </w:t>
      </w:r>
      <w:r w:rsidR="008B603F" w:rsidRPr="009672E5">
        <w:t>GCCA funds reinforce</w:t>
      </w:r>
      <w:r w:rsidR="007B7153" w:rsidRPr="009672E5">
        <w:t>d</w:t>
      </w:r>
      <w:r w:rsidR="008B603F" w:rsidRPr="009672E5">
        <w:t xml:space="preserve"> actions with some climate benefits (such as land reform action) but </w:t>
      </w:r>
      <w:r w:rsidR="007B7153" w:rsidRPr="009672E5">
        <w:t xml:space="preserve">where </w:t>
      </w:r>
      <w:r w:rsidR="00DF39C3" w:rsidRPr="009672E5">
        <w:t xml:space="preserve">these actions </w:t>
      </w:r>
      <w:r w:rsidR="007B7153" w:rsidRPr="009672E5">
        <w:t xml:space="preserve">did </w:t>
      </w:r>
      <w:r w:rsidR="00DF39C3" w:rsidRPr="009672E5">
        <w:t>not specific</w:t>
      </w:r>
      <w:r w:rsidR="007B7153" w:rsidRPr="009672E5">
        <w:t>ally target</w:t>
      </w:r>
      <w:r w:rsidR="00DF39C3" w:rsidRPr="009672E5">
        <w:t xml:space="preserve"> climate adaptation</w:t>
      </w:r>
      <w:r w:rsidR="00DF39C3">
        <w:t xml:space="preserve"> or mitigation effects</w:t>
      </w:r>
      <w:r w:rsidRPr="001E27BC">
        <w:t xml:space="preserve">. </w:t>
      </w:r>
    </w:p>
    <w:p w:rsidR="00815EC0" w:rsidRPr="001E27BC" w:rsidRDefault="00815EC0" w:rsidP="00815EC0">
      <w:pPr>
        <w:spacing w:after="120"/>
      </w:pPr>
      <w:r w:rsidRPr="001E27BC">
        <w:t>Generally, in case an intervention could build on solid existing structures, such as in Ethiopia, tangible impacts and benefits have been achieved. Yet, even in circumstances where no such structures were in place, such as in Belize, where the Intra-ACP and the national GCCA pr</w:t>
      </w:r>
      <w:r w:rsidRPr="001E27BC">
        <w:t>o</w:t>
      </w:r>
      <w:r w:rsidRPr="001E27BC">
        <w:t xml:space="preserve">grammes built a Climate Change office from scratch, first impacts were already becoming visible. </w:t>
      </w:r>
    </w:p>
    <w:p w:rsidR="0039297B" w:rsidRPr="00315F62" w:rsidRDefault="0039297B" w:rsidP="0039297B">
      <w:pPr>
        <w:spacing w:after="120"/>
        <w:rPr>
          <w:b/>
          <w:i/>
          <w:u w:val="single"/>
        </w:rPr>
      </w:pPr>
      <w:r w:rsidRPr="00315F62">
        <w:rPr>
          <w:b/>
          <w:i/>
          <w:u w:val="single"/>
        </w:rPr>
        <w:t xml:space="preserve">Recommendation 8: </w:t>
      </w:r>
    </w:p>
    <w:p w:rsidR="00CF4276" w:rsidRPr="00CF4276" w:rsidRDefault="00CF4276" w:rsidP="00CF4276">
      <w:pPr>
        <w:rPr>
          <w:i/>
        </w:rPr>
      </w:pPr>
      <w:r w:rsidRPr="00CF4276">
        <w:t>It is recommended that the monitoring framework for the programme be strengthened</w:t>
      </w:r>
      <w:r w:rsidRPr="00CF4276">
        <w:rPr>
          <w:i/>
        </w:rPr>
        <w:t xml:space="preserve">. </w:t>
      </w:r>
    </w:p>
    <w:p w:rsidR="00CF4276" w:rsidRDefault="00CF4276" w:rsidP="0039297B">
      <w:pPr>
        <w:rPr>
          <w:i/>
        </w:rPr>
      </w:pPr>
      <w:r w:rsidRPr="00CF4276">
        <w:rPr>
          <w:i/>
        </w:rPr>
        <w:t xml:space="preserve">It is important to enhance </w:t>
      </w:r>
      <w:r w:rsidRPr="00CF4276">
        <w:rPr>
          <w:b/>
          <w:i/>
        </w:rPr>
        <w:t>monitoring of regional and national programmes</w:t>
      </w:r>
      <w:r w:rsidRPr="00CF4276">
        <w:rPr>
          <w:i/>
        </w:rPr>
        <w:t>, especially for more problematic programmes. Options for strengthened monitoring include</w:t>
      </w:r>
      <w:r w:rsidR="007E2564">
        <w:rPr>
          <w:i/>
        </w:rPr>
        <w:t>:</w:t>
      </w:r>
      <w:r w:rsidRPr="00CF4276">
        <w:rPr>
          <w:i/>
        </w:rPr>
        <w:t xml:space="preserve"> (1) a more pronounced role of the EU Delegations</w:t>
      </w:r>
      <w:r w:rsidR="007E2564">
        <w:rPr>
          <w:i/>
        </w:rPr>
        <w:t>;</w:t>
      </w:r>
      <w:r w:rsidRPr="00CF4276">
        <w:rPr>
          <w:i/>
        </w:rPr>
        <w:t xml:space="preserve"> (2) increased use of GSF and CSF services</w:t>
      </w:r>
      <w:r w:rsidR="007E2564">
        <w:rPr>
          <w:i/>
        </w:rPr>
        <w:t>;</w:t>
      </w:r>
      <w:r w:rsidRPr="00CF4276">
        <w:rPr>
          <w:i/>
        </w:rPr>
        <w:t xml:space="preserve"> and (3) procurement of technical backstopping services for the development and implementation of an impact monitoring system for the GCCA programme. The latter should include the development of an overall mon</w:t>
      </w:r>
      <w:r w:rsidRPr="00CF4276">
        <w:rPr>
          <w:i/>
        </w:rPr>
        <w:t>i</w:t>
      </w:r>
      <w:r w:rsidRPr="00CF4276">
        <w:rPr>
          <w:i/>
        </w:rPr>
        <w:t>toring framework for the programme with - possibly - a number of compulsory indicators for all interventions.</w:t>
      </w:r>
    </w:p>
    <w:p w:rsidR="00CF4276" w:rsidRPr="00CF4276" w:rsidRDefault="00CF4276" w:rsidP="00CF4276">
      <w:pPr>
        <w:spacing w:after="120"/>
      </w:pPr>
      <w:r w:rsidRPr="007E2564">
        <w:t>Though prospects for impact are generally good, monitoring systems that would allow for asses</w:t>
      </w:r>
      <w:r w:rsidRPr="007E2564">
        <w:t>s</w:t>
      </w:r>
      <w:r w:rsidRPr="007E2564">
        <w:t>ing impacts were in most cases weakly developed. This is partly due to design weaknesses, partly to</w:t>
      </w:r>
      <w:r w:rsidRPr="001E27BC">
        <w:t xml:space="preserve"> limited technical assistance for the development of appropriate monitoring systems, including the establishment of baseline values. Greater attention for development of monitoring systems is required</w:t>
      </w:r>
      <w:r>
        <w:t>.</w:t>
      </w:r>
    </w:p>
    <w:p w:rsidR="00F80DAD" w:rsidRPr="00315F62" w:rsidRDefault="00F80DAD" w:rsidP="00815EC0">
      <w:pPr>
        <w:spacing w:after="120"/>
        <w:rPr>
          <w:b/>
          <w:i/>
          <w:u w:val="single"/>
        </w:rPr>
      </w:pPr>
      <w:r w:rsidRPr="00315F62">
        <w:rPr>
          <w:b/>
          <w:i/>
          <w:u w:val="single"/>
        </w:rPr>
        <w:t xml:space="preserve">Recommendation </w:t>
      </w:r>
      <w:r w:rsidR="0039297B" w:rsidRPr="00315F62">
        <w:rPr>
          <w:b/>
          <w:i/>
          <w:u w:val="single"/>
        </w:rPr>
        <w:t>9</w:t>
      </w:r>
      <w:r w:rsidRPr="00315F62">
        <w:rPr>
          <w:b/>
          <w:i/>
          <w:u w:val="single"/>
        </w:rPr>
        <w:t xml:space="preserve">: </w:t>
      </w:r>
    </w:p>
    <w:p w:rsidR="00CF4276" w:rsidRPr="00CF4276" w:rsidRDefault="00CF4276" w:rsidP="00CF4276">
      <w:r w:rsidRPr="00CF4276">
        <w:t>It is recommended to intensify the facilitation of climate change learning communities and lear</w:t>
      </w:r>
      <w:r w:rsidRPr="00CF4276">
        <w:t>n</w:t>
      </w:r>
      <w:r w:rsidRPr="00CF4276">
        <w:t>ing events (globally, regionally and nationally)</w:t>
      </w:r>
    </w:p>
    <w:p w:rsidR="00CF4276" w:rsidRDefault="00CF4276" w:rsidP="00F80DAD">
      <w:pPr>
        <w:rPr>
          <w:i/>
        </w:rPr>
      </w:pPr>
      <w:r w:rsidRPr="00CF4276">
        <w:rPr>
          <w:i/>
        </w:rPr>
        <w:t xml:space="preserve">The GCCA and its Support Facilities (GSF and CSF) should strengthen </w:t>
      </w:r>
      <w:r w:rsidRPr="00CF4276">
        <w:rPr>
          <w:b/>
          <w:i/>
        </w:rPr>
        <w:t>facilitation and prom</w:t>
      </w:r>
      <w:r w:rsidRPr="00CF4276">
        <w:rPr>
          <w:b/>
          <w:i/>
        </w:rPr>
        <w:t>o</w:t>
      </w:r>
      <w:r w:rsidRPr="00CF4276">
        <w:rPr>
          <w:b/>
          <w:i/>
        </w:rPr>
        <w:t>tion of exchange of experience on climate action</w:t>
      </w:r>
      <w:r w:rsidRPr="00CF4276">
        <w:rPr>
          <w:i/>
        </w:rPr>
        <w:t xml:space="preserve"> across the GCCA-supported and other EU-funded projects working on climate change, through the organisation of global learning events and facilitation of learning communities. It would seem </w:t>
      </w:r>
      <w:r w:rsidRPr="007E2564">
        <w:rPr>
          <w:i/>
        </w:rPr>
        <w:t>appropriate to complement global level events with regional events</w:t>
      </w:r>
      <w:r w:rsidR="007E2564" w:rsidRPr="007E2564">
        <w:rPr>
          <w:i/>
        </w:rPr>
        <w:t>, fostering the</w:t>
      </w:r>
      <w:r w:rsidRPr="007E2564">
        <w:rPr>
          <w:i/>
        </w:rPr>
        <w:t xml:space="preserve"> participation of less involved target groups, notably of non-state actors including the private sector. National and regional EU delegations are </w:t>
      </w:r>
      <w:r w:rsidR="007E2564" w:rsidRPr="007E2564">
        <w:rPr>
          <w:i/>
        </w:rPr>
        <w:t xml:space="preserve">seen as being </w:t>
      </w:r>
      <w:r w:rsidRPr="007E2564">
        <w:rPr>
          <w:i/>
        </w:rPr>
        <w:t>key actors, interlocutors and facilitators to achieve this.</w:t>
      </w:r>
    </w:p>
    <w:p w:rsidR="00CF4276" w:rsidRPr="009672E5" w:rsidRDefault="00A260BA" w:rsidP="00B01643">
      <w:pPr>
        <w:spacing w:after="120"/>
      </w:pPr>
      <w:r w:rsidRPr="001E27BC">
        <w:t>The global services provided by the GCCA, in par</w:t>
      </w:r>
      <w:r w:rsidR="00CF4276">
        <w:t>ticular the organisation of the global pol</w:t>
      </w:r>
      <w:r w:rsidRPr="001E27BC">
        <w:t>icy events</w:t>
      </w:r>
      <w:r w:rsidR="00CF4276">
        <w:t>,</w:t>
      </w:r>
      <w:r w:rsidRPr="001E27BC">
        <w:t xml:space="preserve"> the maintenance of a website and of a platform for exchanging ideas and experiences have made an important contribution to the learning and public awareness objectives of the pr</w:t>
      </w:r>
      <w:r w:rsidRPr="001E27BC">
        <w:t>o</w:t>
      </w:r>
      <w:r w:rsidRPr="001E27BC">
        <w:t xml:space="preserve">gramme. </w:t>
      </w:r>
      <w:r w:rsidR="006E352A" w:rsidRPr="006E352A">
        <w:t>Nevertheless</w:t>
      </w:r>
      <w:r w:rsidRPr="001E27BC">
        <w:t xml:space="preserve">, though </w:t>
      </w:r>
      <w:r w:rsidRPr="009672E5">
        <w:t>highly informative, the GCCA website could provide more co</w:t>
      </w:r>
      <w:r w:rsidRPr="009672E5">
        <w:t>m</w:t>
      </w:r>
      <w:r w:rsidRPr="009672E5">
        <w:t xml:space="preserve">plete and up-to-date information on all interventions supported. </w:t>
      </w:r>
    </w:p>
    <w:p w:rsidR="00D07F52" w:rsidRPr="001E27BC" w:rsidRDefault="00CF4276" w:rsidP="00B01643">
      <w:pPr>
        <w:spacing w:after="120"/>
      </w:pPr>
      <w:r w:rsidRPr="009672E5">
        <w:t>There is generally interest in more such learning events, possibly at regional level, to benefit more stakeholders. The global events and services have also helped link national actions to r</w:t>
      </w:r>
      <w:r w:rsidRPr="009672E5">
        <w:t>e</w:t>
      </w:r>
      <w:r w:rsidRPr="009672E5">
        <w:t>gional and global policy processes</w:t>
      </w:r>
      <w:r w:rsidR="006E352A" w:rsidRPr="009672E5">
        <w:t>,</w:t>
      </w:r>
      <w:r w:rsidRPr="009672E5">
        <w:t xml:space="preserve"> and are generally much appreciated. Nonetheless, there is a need and scope for increased exchanges between the projects and programmes in the various countries, and feeding of lessons learned into the formulation of new interventions. In this regard, proper planning of evaluation</w:t>
      </w:r>
      <w:r w:rsidR="007E2564">
        <w:t>,</w:t>
      </w:r>
      <w:r w:rsidRPr="009672E5">
        <w:t xml:space="preserve"> and </w:t>
      </w:r>
      <w:r w:rsidR="009739CC" w:rsidRPr="009672E5">
        <w:t xml:space="preserve">of </w:t>
      </w:r>
      <w:r w:rsidRPr="009672E5">
        <w:t xml:space="preserve">identification and </w:t>
      </w:r>
      <w:r w:rsidRPr="00652EBD">
        <w:t>formulation missions</w:t>
      </w:r>
      <w:r w:rsidR="007E2564">
        <w:t>,</w:t>
      </w:r>
      <w:r w:rsidRPr="00652EBD">
        <w:t xml:space="preserve"> is also required to allow for evaluation experience to feed into the design of new programming.</w:t>
      </w:r>
      <w:r w:rsidR="006631A3" w:rsidRPr="00652EBD">
        <w:t xml:space="preserve"> Member States have also noted the importance of global learning, especially in ensuring linkages between scientific research on climate change, and the global policy process.</w:t>
      </w:r>
    </w:p>
    <w:p w:rsidR="00F80DAD" w:rsidRPr="00315F62" w:rsidRDefault="00F80DAD" w:rsidP="009672E5">
      <w:pPr>
        <w:keepNext/>
        <w:keepLines/>
        <w:spacing w:after="120"/>
        <w:rPr>
          <w:b/>
          <w:i/>
          <w:u w:val="single"/>
        </w:rPr>
      </w:pPr>
      <w:r w:rsidRPr="00315F62">
        <w:rPr>
          <w:b/>
          <w:i/>
          <w:u w:val="single"/>
        </w:rPr>
        <w:t xml:space="preserve">Recommendation 10: </w:t>
      </w:r>
    </w:p>
    <w:p w:rsidR="00951556" w:rsidRPr="00951556" w:rsidRDefault="00951556" w:rsidP="009672E5">
      <w:pPr>
        <w:keepNext/>
        <w:keepLines/>
      </w:pPr>
      <w:r w:rsidRPr="00951556">
        <w:t xml:space="preserve">It is recommended that the GCCA website become a more pro-active and inter-active tool in the GCCA communication strategy.  </w:t>
      </w:r>
    </w:p>
    <w:p w:rsidR="00951556" w:rsidRPr="00951556" w:rsidRDefault="00951556" w:rsidP="00951556">
      <w:pPr>
        <w:rPr>
          <w:i/>
        </w:rPr>
      </w:pPr>
      <w:r w:rsidRPr="00951556">
        <w:rPr>
          <w:i/>
        </w:rPr>
        <w:t xml:space="preserve">The website should be seen as a proactive tool to increase GCCA visibility. The website could be a key platform for knowledge management in respect of regional and global learning events by adding a knowledge management function that makes best use of the electronic media to also encourage and incorporate feedback on an ongoing basis. The GCCA website is supposed to provide a platform for dialogue; however much more work can be done to ensure that feed-back “from the field” is incorporated. This includes, for example, capturing the follow-up from the “GCCA+ side-event” at the December 2014 COP 20, and building on this. The GCCA website should provide more up-to-date links to relevant outputs and documentation on the interventions supported under both the national and regional programmes.  </w:t>
      </w:r>
    </w:p>
    <w:p w:rsidR="00230EE0" w:rsidRPr="001E27BC" w:rsidRDefault="001C0CDC" w:rsidP="003936A6">
      <w:pPr>
        <w:pStyle w:val="Heading2"/>
      </w:pPr>
      <w:r>
        <w:t xml:space="preserve"> </w:t>
      </w:r>
      <w:bookmarkStart w:id="31" w:name="_Toc284767324"/>
      <w:r w:rsidR="00315F62">
        <w:t>4.3</w:t>
      </w:r>
      <w:r w:rsidR="00315F62">
        <w:tab/>
      </w:r>
      <w:r w:rsidR="00230EE0" w:rsidRPr="001E27BC">
        <w:t>Lessons Learned</w:t>
      </w:r>
      <w:bookmarkEnd w:id="31"/>
    </w:p>
    <w:p w:rsidR="006C6915" w:rsidRPr="001E27BC" w:rsidRDefault="006C6915" w:rsidP="006C6915">
      <w:r w:rsidRPr="001E27BC">
        <w:t xml:space="preserve">The following </w:t>
      </w:r>
      <w:r w:rsidR="007E2564">
        <w:t xml:space="preserve">highlights a series </w:t>
      </w:r>
      <w:r w:rsidRPr="001E27BC">
        <w:t xml:space="preserve">of lessons learned through </w:t>
      </w:r>
      <w:r w:rsidR="005C39EA">
        <w:t xml:space="preserve">the </w:t>
      </w:r>
      <w:r w:rsidRPr="001E27BC">
        <w:t>evaluation of the GCCA initi</w:t>
      </w:r>
      <w:r w:rsidRPr="001E27BC">
        <w:t>a</w:t>
      </w:r>
      <w:r w:rsidRPr="001E27BC">
        <w:t xml:space="preserve">tive, including both national and regional programmes and support services. </w:t>
      </w:r>
    </w:p>
    <w:p w:rsidR="00CA4D05" w:rsidRPr="001E27BC" w:rsidRDefault="006C6915" w:rsidP="000706C4">
      <w:pPr>
        <w:pStyle w:val="ListParagraph"/>
        <w:numPr>
          <w:ilvl w:val="0"/>
          <w:numId w:val="23"/>
        </w:numPr>
        <w:ind w:left="431" w:hanging="431"/>
        <w:contextualSpacing w:val="0"/>
      </w:pPr>
      <w:r w:rsidRPr="001E27BC">
        <w:t>Working through existing structures and previously implemented project activity increases the possibility for project success. There are numerous examples from all regions where a previous investment paid dividends for the GCCA programme and helped reduce fragment</w:t>
      </w:r>
      <w:r w:rsidRPr="001E27BC">
        <w:t>a</w:t>
      </w:r>
      <w:r w:rsidRPr="001E27BC">
        <w:t>tion of aid</w:t>
      </w:r>
      <w:r w:rsidR="00414123" w:rsidRPr="001E27BC">
        <w:t xml:space="preserve">. </w:t>
      </w:r>
    </w:p>
    <w:p w:rsidR="00D83D32" w:rsidRPr="001E27BC" w:rsidRDefault="00D83D32" w:rsidP="009D0058">
      <w:pPr>
        <w:pStyle w:val="ListParagraph"/>
        <w:numPr>
          <w:ilvl w:val="0"/>
          <w:numId w:val="23"/>
        </w:numPr>
        <w:ind w:left="431" w:hanging="431"/>
        <w:contextualSpacing w:val="0"/>
      </w:pPr>
      <w:r w:rsidRPr="001E27BC">
        <w:t>Despite common adherence to principles of the Paris Declaration, EU-based donor requir</w:t>
      </w:r>
      <w:r w:rsidRPr="001E27BC">
        <w:t>e</w:t>
      </w:r>
      <w:r w:rsidRPr="001E27BC">
        <w:t xml:space="preserve">ments still </w:t>
      </w:r>
      <w:r w:rsidR="005C39EA" w:rsidRPr="005C39EA">
        <w:t>need</w:t>
      </w:r>
      <w:r w:rsidRPr="001E27BC">
        <w:t xml:space="preserve"> further alignment to make delegated management work properly.</w:t>
      </w:r>
    </w:p>
    <w:p w:rsidR="00CA4D05" w:rsidRPr="001E27BC" w:rsidRDefault="00FC03E6" w:rsidP="009D0058">
      <w:pPr>
        <w:pStyle w:val="ListParagraph"/>
        <w:numPr>
          <w:ilvl w:val="0"/>
          <w:numId w:val="23"/>
        </w:numPr>
        <w:ind w:left="431" w:hanging="431"/>
        <w:contextualSpacing w:val="0"/>
      </w:pPr>
      <w:r w:rsidRPr="001E27BC">
        <w:t xml:space="preserve">In the context of budget support, given that </w:t>
      </w:r>
      <w:r w:rsidR="006C6915" w:rsidRPr="001E27BC">
        <w:t>climate change</w:t>
      </w:r>
      <w:r w:rsidRPr="001E27BC">
        <w:t xml:space="preserve"> is a relatively unknown field of action, realistic indicators for achievement of relevant results and disbursement may </w:t>
      </w:r>
      <w:r w:rsidR="006C6915" w:rsidRPr="001E27BC">
        <w:t xml:space="preserve">not be easily defined at the start of an intervention, and may </w:t>
      </w:r>
      <w:r w:rsidRPr="001E27BC">
        <w:t>best be identified in the course of the action, as structures and systems mater</w:t>
      </w:r>
      <w:r w:rsidR="000706C4">
        <w:t>ialise and the action evolves.</w:t>
      </w:r>
    </w:p>
    <w:p w:rsidR="00CA4D05" w:rsidRPr="001C448C" w:rsidRDefault="00AA476A" w:rsidP="009D0058">
      <w:pPr>
        <w:pStyle w:val="ListParagraph"/>
        <w:numPr>
          <w:ilvl w:val="0"/>
          <w:numId w:val="23"/>
        </w:numPr>
        <w:ind w:left="431" w:hanging="431"/>
        <w:contextualSpacing w:val="0"/>
      </w:pPr>
      <w:r w:rsidRPr="001E27BC">
        <w:t>Small grants programmes are capable of contributing sig</w:t>
      </w:r>
      <w:r w:rsidR="00CA4D05" w:rsidRPr="001E27BC">
        <w:t>nifi</w:t>
      </w:r>
      <w:r w:rsidRPr="001E27BC">
        <w:t xml:space="preserve">cantly to the GCCA’s capacity building objective thanks to mobilisation of a high number of </w:t>
      </w:r>
      <w:r w:rsidRPr="001C448C">
        <w:t xml:space="preserve">private civil </w:t>
      </w:r>
      <w:r w:rsidR="00171D5F" w:rsidRPr="001C448C">
        <w:t xml:space="preserve">society </w:t>
      </w:r>
      <w:r w:rsidRPr="001C448C">
        <w:t xml:space="preserve">and/or governmental actors. </w:t>
      </w:r>
    </w:p>
    <w:p w:rsidR="006C6915" w:rsidRPr="001E27BC" w:rsidRDefault="006C6915" w:rsidP="000706C4">
      <w:pPr>
        <w:pStyle w:val="ListParagraph"/>
        <w:numPr>
          <w:ilvl w:val="0"/>
          <w:numId w:val="23"/>
        </w:numPr>
        <w:ind w:left="431" w:hanging="431"/>
        <w:contextualSpacing w:val="0"/>
      </w:pPr>
      <w:r w:rsidRPr="001E27BC">
        <w:t>Regional Programmes are complex entities implemented in very challenging circumstances. It should not be assumed that administrative and procurement procedures will fall in</w:t>
      </w:r>
      <w:r w:rsidR="00A55E79">
        <w:t>to</w:t>
      </w:r>
      <w:r w:rsidRPr="001E27BC">
        <w:t xml:space="preserve"> place in an efficient manner. Programme designs should be developed to be able to better antic</w:t>
      </w:r>
      <w:r w:rsidRPr="001E27BC">
        <w:t>i</w:t>
      </w:r>
      <w:r w:rsidRPr="001E27BC">
        <w:t xml:space="preserve">pate and respond to complicated start-ups.  </w:t>
      </w:r>
    </w:p>
    <w:p w:rsidR="006C6915" w:rsidRPr="001E27BC" w:rsidRDefault="006C6915" w:rsidP="000706C4">
      <w:pPr>
        <w:pStyle w:val="ListParagraph"/>
        <w:numPr>
          <w:ilvl w:val="0"/>
          <w:numId w:val="23"/>
        </w:numPr>
        <w:ind w:left="431" w:hanging="431"/>
        <w:contextualSpacing w:val="0"/>
      </w:pPr>
      <w:r w:rsidRPr="001E27BC">
        <w:t xml:space="preserve">To manage a programme on a regional scale requires experience and appropriate capacity. Once the institutional capacity is in place, the implementing partner should be guided by a clear and appropriate regional strategy. </w:t>
      </w:r>
    </w:p>
    <w:p w:rsidR="00093566" w:rsidRPr="001E27BC" w:rsidRDefault="006C6915" w:rsidP="000706C4">
      <w:pPr>
        <w:pStyle w:val="ListParagraph"/>
        <w:numPr>
          <w:ilvl w:val="0"/>
          <w:numId w:val="23"/>
        </w:numPr>
        <w:ind w:left="431" w:hanging="431"/>
        <w:contextualSpacing w:val="0"/>
      </w:pPr>
      <w:r w:rsidRPr="001E27BC">
        <w:t xml:space="preserve">The steps required to ensure successful programming are as critical today as ever. Logframes that describe achievable objectives with good indicators should be in place, and monitoring and evaluation systems are crucial. </w:t>
      </w:r>
    </w:p>
    <w:p w:rsidR="00A55E79" w:rsidRDefault="006C6915" w:rsidP="000706C4">
      <w:pPr>
        <w:pStyle w:val="ListParagraph"/>
        <w:numPr>
          <w:ilvl w:val="0"/>
          <w:numId w:val="23"/>
        </w:numPr>
        <w:ind w:left="431" w:hanging="431"/>
        <w:contextualSpacing w:val="0"/>
      </w:pPr>
      <w:r w:rsidRPr="001E27BC">
        <w:t>The importance of flexibility in programme design was a theme that came up consistently</w:t>
      </w:r>
      <w:r w:rsidR="001506EF" w:rsidRPr="001E27BC">
        <w:t xml:space="preserve">, in particular </w:t>
      </w:r>
      <w:r w:rsidRPr="001E27BC">
        <w:t xml:space="preserve">during the Intra ACP Programme evaluation. </w:t>
      </w:r>
      <w:r w:rsidR="00C625DD" w:rsidRPr="001E27BC">
        <w:t xml:space="preserve">A regional programme can respond to gaps both at the regional and national levels, and having some flexibility to do either </w:t>
      </w:r>
      <w:r w:rsidR="005C39EA">
        <w:t xml:space="preserve">or both </w:t>
      </w:r>
      <w:r w:rsidR="00C625DD" w:rsidRPr="001E27BC">
        <w:t>is important in programme design.</w:t>
      </w:r>
    </w:p>
    <w:p w:rsidR="00230EE0" w:rsidRPr="001E27BC" w:rsidRDefault="00A55E79" w:rsidP="00845C68">
      <w:pPr>
        <w:pStyle w:val="Heading1"/>
      </w:pPr>
      <w:r>
        <w:br w:type="page"/>
      </w:r>
      <w:bookmarkStart w:id="32" w:name="_Toc284767325"/>
      <w:r w:rsidR="00315F62">
        <w:t>5</w:t>
      </w:r>
      <w:r w:rsidR="00315F62">
        <w:tab/>
      </w:r>
      <w:r w:rsidR="00230EE0" w:rsidRPr="001E27BC">
        <w:t>ANNEXES</w:t>
      </w:r>
      <w:bookmarkEnd w:id="32"/>
    </w:p>
    <w:p w:rsidR="00230EE0" w:rsidRPr="005C39EA" w:rsidRDefault="00425967" w:rsidP="0076070B">
      <w:r w:rsidRPr="005C39EA">
        <w:t>The following Annexes a</w:t>
      </w:r>
      <w:r w:rsidR="00230EE0" w:rsidRPr="005C39EA">
        <w:t>re p</w:t>
      </w:r>
      <w:r w:rsidRPr="005C39EA">
        <w:t>rovided in a separate document</w:t>
      </w:r>
      <w:r w:rsidR="004B1A7D" w:rsidRPr="005C39EA">
        <w:t xml:space="preserve"> (Volume 2)</w:t>
      </w:r>
      <w:r w:rsidRPr="005C39EA">
        <w:t xml:space="preserve">: </w:t>
      </w:r>
    </w:p>
    <w:p w:rsidR="005E3DBE" w:rsidRPr="005C39EA" w:rsidRDefault="005E3DBE" w:rsidP="005E3DBE">
      <w:r w:rsidRPr="005C39EA">
        <w:t>ACRONYMS</w:t>
      </w:r>
      <w:r w:rsidRPr="005C39EA">
        <w:tab/>
      </w:r>
      <w:r w:rsidRPr="005C39EA">
        <w:tab/>
      </w:r>
      <w:r w:rsidRPr="005C39EA">
        <w:tab/>
      </w:r>
      <w:r w:rsidRPr="005C39EA">
        <w:tab/>
      </w:r>
      <w:r w:rsidRPr="005C39EA">
        <w:tab/>
      </w:r>
      <w:r w:rsidRPr="005C39EA">
        <w:tab/>
      </w:r>
      <w:r w:rsidRPr="005C39EA">
        <w:tab/>
      </w:r>
      <w:r w:rsidRPr="005C39EA">
        <w:tab/>
      </w:r>
      <w:r w:rsidRPr="005C39EA">
        <w:tab/>
      </w:r>
      <w:r w:rsidRPr="005C39EA">
        <w:tab/>
        <w:t>2</w:t>
      </w:r>
    </w:p>
    <w:p w:rsidR="005E3DBE" w:rsidRPr="005C39EA" w:rsidRDefault="005E3DBE" w:rsidP="005E3DBE">
      <w:r w:rsidRPr="005C39EA">
        <w:t>Annex 1: Terms of Reference of the evaluation</w:t>
      </w:r>
      <w:r w:rsidRPr="005C39EA">
        <w:tab/>
      </w:r>
      <w:r w:rsidRPr="005C39EA">
        <w:tab/>
      </w:r>
      <w:r w:rsidRPr="005C39EA">
        <w:tab/>
      </w:r>
      <w:r w:rsidRPr="005C39EA">
        <w:tab/>
      </w:r>
      <w:r w:rsidRPr="005C39EA">
        <w:tab/>
        <w:t>3</w:t>
      </w:r>
    </w:p>
    <w:p w:rsidR="005E3DBE" w:rsidRPr="005C39EA" w:rsidRDefault="005E3DBE" w:rsidP="005E3DBE">
      <w:r w:rsidRPr="005C39EA">
        <w:t>Annex 2: Evaluation team composition</w:t>
      </w:r>
      <w:r w:rsidRPr="005C39EA">
        <w:tab/>
      </w:r>
      <w:r w:rsidRPr="005C39EA">
        <w:tab/>
      </w:r>
      <w:r w:rsidRPr="005C39EA">
        <w:tab/>
      </w:r>
      <w:r w:rsidRPr="005C39EA">
        <w:tab/>
      </w:r>
      <w:r w:rsidRPr="005C39EA">
        <w:tab/>
      </w:r>
      <w:r w:rsidRPr="005C39EA">
        <w:tab/>
        <w:t>37</w:t>
      </w:r>
    </w:p>
    <w:p w:rsidR="005E3DBE" w:rsidRPr="005C39EA" w:rsidRDefault="00A01748" w:rsidP="005E3DBE">
      <w:r>
        <w:t>Annex 3: Mission Aide-Me</w:t>
      </w:r>
      <w:r w:rsidR="005E3DBE" w:rsidRPr="005C39EA">
        <w:t>moires</w:t>
      </w:r>
      <w:r w:rsidR="005E3DBE" w:rsidRPr="005C39EA">
        <w:tab/>
      </w:r>
      <w:r w:rsidR="005E3DBE" w:rsidRPr="005C39EA">
        <w:tab/>
      </w:r>
      <w:r w:rsidR="005E3DBE" w:rsidRPr="005C39EA">
        <w:tab/>
      </w:r>
      <w:r w:rsidR="005E3DBE" w:rsidRPr="005C39EA">
        <w:tab/>
      </w:r>
      <w:r w:rsidR="005E3DBE" w:rsidRPr="005C39EA">
        <w:tab/>
      </w:r>
      <w:r w:rsidR="005E3DBE" w:rsidRPr="005C39EA">
        <w:tab/>
      </w:r>
      <w:r w:rsidR="005E3DBE" w:rsidRPr="005C39EA">
        <w:tab/>
        <w:t>38</w:t>
      </w:r>
    </w:p>
    <w:p w:rsidR="005E3DBE" w:rsidRPr="005C39EA" w:rsidRDefault="005E3DBE" w:rsidP="005E3DBE">
      <w:pPr>
        <w:ind w:firstLine="720"/>
      </w:pPr>
      <w:r w:rsidRPr="005C39EA">
        <w:t>3.1 Nepal</w:t>
      </w:r>
      <w:r w:rsidRPr="005C39EA">
        <w:tab/>
      </w:r>
      <w:r w:rsidRPr="005C39EA">
        <w:tab/>
      </w:r>
      <w:r w:rsidRPr="005C39EA">
        <w:tab/>
      </w:r>
      <w:r w:rsidRPr="005C39EA">
        <w:tab/>
      </w:r>
      <w:r w:rsidRPr="005C39EA">
        <w:tab/>
      </w:r>
      <w:r w:rsidRPr="005C39EA">
        <w:tab/>
      </w:r>
      <w:r w:rsidRPr="005C39EA">
        <w:tab/>
      </w:r>
      <w:r w:rsidRPr="005C39EA">
        <w:tab/>
      </w:r>
      <w:r w:rsidRPr="005C39EA">
        <w:tab/>
        <w:t>38</w:t>
      </w:r>
    </w:p>
    <w:p w:rsidR="005E3DBE" w:rsidRPr="005C39EA" w:rsidRDefault="005E3DBE" w:rsidP="005E3DBE">
      <w:pPr>
        <w:ind w:firstLine="720"/>
      </w:pPr>
      <w:r w:rsidRPr="005C39EA">
        <w:t>3.2 Bhutan</w:t>
      </w:r>
      <w:r w:rsidRPr="005C39EA">
        <w:tab/>
      </w:r>
      <w:r w:rsidRPr="005C39EA">
        <w:tab/>
      </w:r>
      <w:r w:rsidRPr="005C39EA">
        <w:tab/>
      </w:r>
      <w:r w:rsidRPr="005C39EA">
        <w:tab/>
      </w:r>
      <w:r w:rsidRPr="005C39EA">
        <w:tab/>
      </w:r>
      <w:r w:rsidRPr="005C39EA">
        <w:tab/>
      </w:r>
      <w:r w:rsidRPr="005C39EA">
        <w:tab/>
      </w:r>
      <w:r w:rsidRPr="005C39EA">
        <w:tab/>
      </w:r>
      <w:r w:rsidRPr="005C39EA">
        <w:tab/>
        <w:t>56</w:t>
      </w:r>
    </w:p>
    <w:p w:rsidR="005E3DBE" w:rsidRPr="005C39EA" w:rsidRDefault="005E3DBE" w:rsidP="005E3DBE">
      <w:pPr>
        <w:ind w:firstLine="720"/>
      </w:pPr>
      <w:r w:rsidRPr="005C39EA">
        <w:t>3.3 Benin</w:t>
      </w:r>
      <w:r w:rsidRPr="005C39EA">
        <w:tab/>
      </w:r>
      <w:r w:rsidRPr="005C39EA">
        <w:tab/>
      </w:r>
      <w:r w:rsidRPr="005C39EA">
        <w:tab/>
      </w:r>
      <w:r w:rsidRPr="005C39EA">
        <w:tab/>
      </w:r>
      <w:r w:rsidRPr="005C39EA">
        <w:tab/>
      </w:r>
      <w:r w:rsidRPr="005C39EA">
        <w:tab/>
      </w:r>
      <w:r w:rsidRPr="005C39EA">
        <w:tab/>
      </w:r>
      <w:r w:rsidRPr="005C39EA">
        <w:tab/>
      </w:r>
      <w:r w:rsidRPr="005C39EA">
        <w:tab/>
        <w:t>71</w:t>
      </w:r>
    </w:p>
    <w:p w:rsidR="005E3DBE" w:rsidRPr="005C39EA" w:rsidRDefault="005E3DBE" w:rsidP="005E3DBE">
      <w:pPr>
        <w:ind w:firstLine="720"/>
      </w:pPr>
      <w:r w:rsidRPr="005C39EA">
        <w:t>3.4 Burkina Faso</w:t>
      </w:r>
      <w:r w:rsidRPr="005C39EA">
        <w:tab/>
      </w:r>
      <w:r w:rsidRPr="005C39EA">
        <w:tab/>
      </w:r>
      <w:r w:rsidRPr="005C39EA">
        <w:tab/>
      </w:r>
      <w:r w:rsidRPr="005C39EA">
        <w:tab/>
      </w:r>
      <w:r w:rsidRPr="005C39EA">
        <w:tab/>
      </w:r>
      <w:r w:rsidRPr="005C39EA">
        <w:tab/>
      </w:r>
      <w:r w:rsidRPr="005C39EA">
        <w:tab/>
      </w:r>
      <w:r w:rsidRPr="005C39EA">
        <w:tab/>
        <w:t>89</w:t>
      </w:r>
    </w:p>
    <w:p w:rsidR="005E3DBE" w:rsidRPr="005C39EA" w:rsidRDefault="005E3DBE" w:rsidP="005E3DBE">
      <w:pPr>
        <w:ind w:firstLine="720"/>
      </w:pPr>
      <w:r w:rsidRPr="005C39EA">
        <w:t>3.5 Mauritius</w:t>
      </w:r>
      <w:r w:rsidRPr="005C39EA">
        <w:tab/>
      </w:r>
      <w:r w:rsidRPr="005C39EA">
        <w:tab/>
      </w:r>
      <w:r w:rsidRPr="005C39EA">
        <w:tab/>
      </w:r>
      <w:r w:rsidRPr="005C39EA">
        <w:tab/>
      </w:r>
      <w:r w:rsidRPr="005C39EA">
        <w:tab/>
      </w:r>
      <w:r w:rsidRPr="005C39EA">
        <w:tab/>
      </w:r>
      <w:r w:rsidRPr="005C39EA">
        <w:tab/>
      </w:r>
      <w:r w:rsidRPr="005C39EA">
        <w:tab/>
      </w:r>
      <w:r w:rsidRPr="005C39EA">
        <w:tab/>
        <w:t>105</w:t>
      </w:r>
    </w:p>
    <w:p w:rsidR="005E3DBE" w:rsidRPr="005C39EA" w:rsidRDefault="005E3DBE" w:rsidP="005E3DBE">
      <w:pPr>
        <w:ind w:firstLine="720"/>
      </w:pPr>
      <w:r w:rsidRPr="005C39EA">
        <w:t>3.6 Rwanda</w:t>
      </w:r>
      <w:r w:rsidRPr="005C39EA">
        <w:tab/>
      </w:r>
      <w:r w:rsidRPr="005C39EA">
        <w:tab/>
      </w:r>
      <w:r w:rsidRPr="005C39EA">
        <w:tab/>
      </w:r>
      <w:r w:rsidRPr="005C39EA">
        <w:tab/>
      </w:r>
      <w:r w:rsidRPr="005C39EA">
        <w:tab/>
      </w:r>
      <w:r w:rsidRPr="005C39EA">
        <w:tab/>
      </w:r>
      <w:r w:rsidRPr="005C39EA">
        <w:tab/>
      </w:r>
      <w:r w:rsidRPr="005C39EA">
        <w:tab/>
      </w:r>
      <w:r w:rsidRPr="005C39EA">
        <w:tab/>
        <w:t>124</w:t>
      </w:r>
    </w:p>
    <w:p w:rsidR="005E3DBE" w:rsidRPr="005C39EA" w:rsidRDefault="005E3DBE" w:rsidP="005E3DBE">
      <w:pPr>
        <w:ind w:firstLine="720"/>
      </w:pPr>
      <w:r w:rsidRPr="005C39EA">
        <w:t>3.7 Ethiopia</w:t>
      </w:r>
      <w:r w:rsidRPr="005C39EA">
        <w:tab/>
      </w:r>
      <w:r w:rsidRPr="005C39EA">
        <w:tab/>
      </w:r>
      <w:r w:rsidRPr="005C39EA">
        <w:tab/>
      </w:r>
      <w:r w:rsidRPr="005C39EA">
        <w:tab/>
      </w:r>
      <w:r w:rsidRPr="005C39EA">
        <w:tab/>
      </w:r>
      <w:r w:rsidRPr="005C39EA">
        <w:tab/>
      </w:r>
      <w:r w:rsidRPr="005C39EA">
        <w:tab/>
      </w:r>
      <w:r w:rsidRPr="005C39EA">
        <w:tab/>
      </w:r>
      <w:r w:rsidRPr="005C39EA">
        <w:tab/>
        <w:t>140</w:t>
      </w:r>
    </w:p>
    <w:p w:rsidR="005E3DBE" w:rsidRPr="005C39EA" w:rsidRDefault="005E3DBE" w:rsidP="005E3DBE">
      <w:pPr>
        <w:ind w:firstLine="720"/>
      </w:pPr>
      <w:r w:rsidRPr="005C39EA">
        <w:t>3.8 Mozambique</w:t>
      </w:r>
      <w:r w:rsidRPr="005C39EA">
        <w:tab/>
      </w:r>
      <w:r w:rsidRPr="005C39EA">
        <w:tab/>
      </w:r>
      <w:r w:rsidRPr="005C39EA">
        <w:tab/>
      </w:r>
      <w:r w:rsidRPr="005C39EA">
        <w:tab/>
      </w:r>
      <w:r w:rsidRPr="005C39EA">
        <w:tab/>
      </w:r>
      <w:r w:rsidRPr="005C39EA">
        <w:tab/>
      </w:r>
      <w:r w:rsidRPr="005C39EA">
        <w:tab/>
      </w:r>
      <w:r w:rsidRPr="005C39EA">
        <w:tab/>
        <w:t>158</w:t>
      </w:r>
    </w:p>
    <w:p w:rsidR="005E3DBE" w:rsidRPr="005C39EA" w:rsidRDefault="005E3DBE" w:rsidP="005E3DBE">
      <w:pPr>
        <w:ind w:firstLine="720"/>
      </w:pPr>
      <w:r w:rsidRPr="005C39EA">
        <w:t>3.9 Jamaica</w:t>
      </w:r>
      <w:r w:rsidRPr="005C39EA">
        <w:tab/>
      </w:r>
      <w:r w:rsidRPr="005C39EA">
        <w:tab/>
      </w:r>
      <w:r w:rsidRPr="005C39EA">
        <w:tab/>
      </w:r>
      <w:r w:rsidRPr="005C39EA">
        <w:tab/>
      </w:r>
      <w:r w:rsidRPr="005C39EA">
        <w:tab/>
      </w:r>
      <w:r w:rsidRPr="005C39EA">
        <w:tab/>
      </w:r>
      <w:r w:rsidRPr="005C39EA">
        <w:tab/>
      </w:r>
      <w:r w:rsidRPr="005C39EA">
        <w:tab/>
      </w:r>
      <w:r w:rsidRPr="005C39EA">
        <w:tab/>
        <w:t>173</w:t>
      </w:r>
    </w:p>
    <w:p w:rsidR="005E3DBE" w:rsidRPr="005C39EA" w:rsidRDefault="005E3DBE" w:rsidP="005E3DBE">
      <w:pPr>
        <w:ind w:firstLine="720"/>
      </w:pPr>
      <w:r w:rsidRPr="005C39EA">
        <w:t>3.10 Belize</w:t>
      </w:r>
      <w:r w:rsidRPr="005C39EA">
        <w:tab/>
      </w:r>
      <w:r w:rsidRPr="005C39EA">
        <w:tab/>
      </w:r>
      <w:r w:rsidRPr="005C39EA">
        <w:tab/>
      </w:r>
      <w:r w:rsidRPr="005C39EA">
        <w:tab/>
      </w:r>
      <w:r w:rsidRPr="005C39EA">
        <w:tab/>
      </w:r>
      <w:r w:rsidRPr="005C39EA">
        <w:tab/>
      </w:r>
      <w:r w:rsidRPr="005C39EA">
        <w:tab/>
      </w:r>
      <w:r w:rsidRPr="005C39EA">
        <w:tab/>
      </w:r>
      <w:r w:rsidRPr="005C39EA">
        <w:tab/>
        <w:t>190</w:t>
      </w:r>
    </w:p>
    <w:p w:rsidR="005E3DBE" w:rsidRPr="005C39EA" w:rsidRDefault="005E3DBE" w:rsidP="005E3DBE">
      <w:r w:rsidRPr="005C39EA">
        <w:t>Annex 4: Evaluation methodology</w:t>
      </w:r>
      <w:r w:rsidRPr="005C39EA">
        <w:tab/>
      </w:r>
      <w:r w:rsidRPr="005C39EA">
        <w:tab/>
      </w:r>
      <w:r w:rsidRPr="005C39EA">
        <w:tab/>
      </w:r>
      <w:r w:rsidRPr="005C39EA">
        <w:tab/>
      </w:r>
      <w:r w:rsidRPr="005C39EA">
        <w:tab/>
      </w:r>
      <w:r w:rsidRPr="005C39EA">
        <w:tab/>
      </w:r>
      <w:r w:rsidRPr="005C39EA">
        <w:tab/>
        <w:t>209</w:t>
      </w:r>
    </w:p>
    <w:p w:rsidR="005E3DBE" w:rsidRPr="005C39EA" w:rsidRDefault="005E3DBE" w:rsidP="005E3DBE">
      <w:pPr>
        <w:ind w:firstLine="720"/>
      </w:pPr>
      <w:r w:rsidRPr="005C39EA">
        <w:t>4.A Evaluation Matrix</w:t>
      </w:r>
      <w:r w:rsidRPr="005C39EA">
        <w:tab/>
      </w:r>
      <w:r w:rsidRPr="005C39EA">
        <w:tab/>
      </w:r>
      <w:r w:rsidRPr="005C39EA">
        <w:tab/>
      </w:r>
      <w:r w:rsidRPr="005C39EA">
        <w:tab/>
      </w:r>
      <w:r w:rsidRPr="005C39EA">
        <w:tab/>
      </w:r>
      <w:r w:rsidRPr="005C39EA">
        <w:tab/>
      </w:r>
      <w:r w:rsidR="00EA1E29" w:rsidRPr="005C39EA">
        <w:tab/>
      </w:r>
      <w:r w:rsidRPr="005C39EA">
        <w:tab/>
        <w:t>209</w:t>
      </w:r>
    </w:p>
    <w:p w:rsidR="005E3DBE" w:rsidRPr="005C39EA" w:rsidRDefault="005E3DBE" w:rsidP="005E3DBE">
      <w:pPr>
        <w:ind w:firstLine="720"/>
      </w:pPr>
      <w:r w:rsidRPr="005C39EA">
        <w:t>4.B Project Scoring Table</w:t>
      </w:r>
      <w:r w:rsidRPr="005C39EA">
        <w:tab/>
      </w:r>
      <w:r w:rsidRPr="005C39EA">
        <w:tab/>
      </w:r>
      <w:r w:rsidRPr="005C39EA">
        <w:tab/>
      </w:r>
      <w:r w:rsidRPr="005C39EA">
        <w:tab/>
      </w:r>
      <w:r w:rsidRPr="005C39EA">
        <w:tab/>
      </w:r>
      <w:r w:rsidRPr="005C39EA">
        <w:tab/>
      </w:r>
      <w:r w:rsidRPr="005C39EA">
        <w:tab/>
        <w:t>225</w:t>
      </w:r>
    </w:p>
    <w:p w:rsidR="005E3DBE" w:rsidRPr="005C39EA" w:rsidRDefault="005E3DBE" w:rsidP="005E3DBE">
      <w:r w:rsidRPr="005C39EA">
        <w:t>Annex 5: GCCA Organisational Structure</w:t>
      </w:r>
      <w:r w:rsidRPr="005C39EA">
        <w:tab/>
      </w:r>
      <w:r w:rsidRPr="005C39EA">
        <w:tab/>
      </w:r>
      <w:r w:rsidRPr="005C39EA">
        <w:tab/>
      </w:r>
      <w:r w:rsidRPr="005C39EA">
        <w:tab/>
      </w:r>
      <w:r w:rsidRPr="005C39EA">
        <w:tab/>
      </w:r>
      <w:r w:rsidRPr="005C39EA">
        <w:tab/>
        <w:t>226</w:t>
      </w:r>
    </w:p>
    <w:p w:rsidR="005E3DBE" w:rsidRPr="005C39EA" w:rsidRDefault="005E3DBE" w:rsidP="005E3DBE">
      <w:r w:rsidRPr="005C39EA">
        <w:t>Annex 6: GCCA – Reconstructed Intervention Logic</w:t>
      </w:r>
      <w:r w:rsidRPr="005C39EA">
        <w:tab/>
      </w:r>
      <w:r w:rsidRPr="005C39EA">
        <w:tab/>
      </w:r>
      <w:r w:rsidRPr="005C39EA">
        <w:tab/>
      </w:r>
      <w:r w:rsidR="00EA1E29" w:rsidRPr="005C39EA">
        <w:tab/>
      </w:r>
      <w:r w:rsidRPr="005C39EA">
        <w:tab/>
        <w:t>227</w:t>
      </w:r>
    </w:p>
    <w:p w:rsidR="005E3DBE" w:rsidRPr="005C39EA" w:rsidRDefault="005E3DBE" w:rsidP="005E3DBE">
      <w:r w:rsidRPr="005C39EA">
        <w:t>Annex 7: Work Calendar</w:t>
      </w:r>
      <w:r w:rsidRPr="005C39EA">
        <w:tab/>
      </w:r>
      <w:r w:rsidRPr="005C39EA">
        <w:tab/>
      </w:r>
      <w:r w:rsidRPr="005C39EA">
        <w:tab/>
      </w:r>
      <w:r w:rsidRPr="005C39EA">
        <w:tab/>
      </w:r>
      <w:r w:rsidRPr="005C39EA">
        <w:tab/>
      </w:r>
      <w:r w:rsidRPr="005C39EA">
        <w:tab/>
      </w:r>
      <w:r w:rsidRPr="005C39EA">
        <w:tab/>
      </w:r>
      <w:r w:rsidRPr="005C39EA">
        <w:tab/>
        <w:t>229</w:t>
      </w:r>
    </w:p>
    <w:p w:rsidR="00120E5C" w:rsidRPr="005C39EA" w:rsidRDefault="005E3DBE" w:rsidP="005E3DBE">
      <w:r w:rsidRPr="005C39EA">
        <w:t>Annex 8: Literature and</w:t>
      </w:r>
      <w:r w:rsidR="00EA1E29" w:rsidRPr="005C39EA">
        <w:t xml:space="preserve"> Documentation Consulted</w:t>
      </w:r>
      <w:r w:rsidR="00EA1E29" w:rsidRPr="005C39EA">
        <w:tab/>
      </w:r>
      <w:r w:rsidR="00EA1E29" w:rsidRPr="005C39EA">
        <w:tab/>
      </w:r>
      <w:r w:rsidR="00EA1E29" w:rsidRPr="005C39EA">
        <w:tab/>
      </w:r>
      <w:r w:rsidR="00EA1E29" w:rsidRPr="005C39EA">
        <w:tab/>
      </w:r>
      <w:r w:rsidR="00EA1E29" w:rsidRPr="005C39EA">
        <w:tab/>
        <w:t>231</w:t>
      </w:r>
    </w:p>
    <w:p w:rsidR="00120E5C" w:rsidRPr="005C39EA" w:rsidRDefault="005E3DBE" w:rsidP="005E3DBE">
      <w:r w:rsidRPr="005C39EA">
        <w:t xml:space="preserve">Annex 9: </w:t>
      </w:r>
      <w:r w:rsidR="00120E5C" w:rsidRPr="005C39EA">
        <w:t>Member States response to GCCA questionnaire</w:t>
      </w:r>
      <w:r w:rsidR="00120E5C" w:rsidRPr="005C39EA">
        <w:tab/>
      </w:r>
      <w:r w:rsidR="00120E5C" w:rsidRPr="005C39EA">
        <w:tab/>
      </w:r>
      <w:r w:rsidR="00120E5C" w:rsidRPr="005C39EA">
        <w:tab/>
      </w:r>
      <w:r w:rsidR="00120E5C" w:rsidRPr="005C39EA">
        <w:tab/>
      </w:r>
      <w:r w:rsidR="00EA1E29" w:rsidRPr="005C39EA">
        <w:t>235</w:t>
      </w:r>
    </w:p>
    <w:p w:rsidR="005E3DBE" w:rsidRPr="005C39EA" w:rsidRDefault="00EA1E29" w:rsidP="005E3DBE">
      <w:r w:rsidRPr="005C39EA">
        <w:t>Annex 10</w:t>
      </w:r>
      <w:r w:rsidR="00120E5C" w:rsidRPr="005C39EA">
        <w:t xml:space="preserve">: </w:t>
      </w:r>
      <w:r w:rsidR="005E3DBE" w:rsidRPr="005C39EA">
        <w:t>Executive Sum</w:t>
      </w:r>
      <w:r w:rsidR="00120E5C" w:rsidRPr="005C39EA">
        <w:t>mary Intra-ACP GCCA evaluation</w:t>
      </w:r>
      <w:r w:rsidR="00120E5C" w:rsidRPr="005C39EA">
        <w:tab/>
      </w:r>
      <w:r w:rsidR="005E3DBE" w:rsidRPr="005C39EA">
        <w:tab/>
      </w:r>
      <w:r w:rsidRPr="005C39EA">
        <w:tab/>
      </w:r>
      <w:r w:rsidR="005E3DBE" w:rsidRPr="005C39EA">
        <w:tab/>
      </w:r>
      <w:r w:rsidR="007278BB" w:rsidRPr="005C39EA">
        <w:t>251</w:t>
      </w:r>
    </w:p>
    <w:p w:rsidR="00696490" w:rsidRPr="001E27BC" w:rsidRDefault="00EA1E29" w:rsidP="005E3DBE">
      <w:r w:rsidRPr="005C39EA">
        <w:t>Annex 11</w:t>
      </w:r>
      <w:r w:rsidR="005E3DBE" w:rsidRPr="005C39EA">
        <w:t>: One page DAC summary</w:t>
      </w:r>
      <w:r w:rsidR="005E3DBE" w:rsidRPr="005C39EA">
        <w:tab/>
      </w:r>
      <w:r w:rsidR="005E3DBE" w:rsidRPr="007278BB">
        <w:tab/>
      </w:r>
      <w:r w:rsidR="005E3DBE" w:rsidRPr="007278BB">
        <w:tab/>
      </w:r>
      <w:r w:rsidR="005E3DBE" w:rsidRPr="007278BB">
        <w:tab/>
      </w:r>
      <w:r w:rsidR="005E3DBE" w:rsidRPr="007278BB">
        <w:tab/>
      </w:r>
      <w:r w:rsidR="005E3DBE" w:rsidRPr="007278BB">
        <w:tab/>
      </w:r>
      <w:r w:rsidR="005E3DBE" w:rsidRPr="007278BB">
        <w:tab/>
      </w:r>
      <w:r w:rsidR="007278BB" w:rsidRPr="007278BB">
        <w:t>258</w:t>
      </w:r>
    </w:p>
    <w:sectPr w:rsidR="00696490" w:rsidRPr="001E27BC" w:rsidSect="00420E15">
      <w:pgSz w:w="11906" w:h="16838" w:code="9"/>
      <w:pgMar w:top="1387" w:right="1440" w:bottom="1080" w:left="1440" w:header="851" w:footer="851"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564" w:rsidRDefault="007E2564" w:rsidP="002F55B4">
      <w:r>
        <w:separator/>
      </w:r>
    </w:p>
  </w:endnote>
  <w:endnote w:type="continuationSeparator" w:id="0">
    <w:p w:rsidR="007E2564" w:rsidRDefault="007E2564" w:rsidP="002F55B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altName w:val="Lucida Console"/>
    <w:panose1 w:val="020B05030304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64" w:rsidRDefault="00E05987" w:rsidP="00C74292">
    <w:pPr>
      <w:pStyle w:val="Footer"/>
      <w:framePr w:wrap="around" w:vAnchor="text" w:hAnchor="margin" w:xAlign="center" w:y="1"/>
      <w:rPr>
        <w:rStyle w:val="PageNumber"/>
      </w:rPr>
    </w:pPr>
    <w:r>
      <w:rPr>
        <w:rStyle w:val="PageNumber"/>
      </w:rPr>
      <w:fldChar w:fldCharType="begin"/>
    </w:r>
    <w:r w:rsidR="007E2564">
      <w:rPr>
        <w:rStyle w:val="PageNumber"/>
      </w:rPr>
      <w:instrText xml:space="preserve">PAGE  </w:instrText>
    </w:r>
    <w:r>
      <w:rPr>
        <w:rStyle w:val="PageNumber"/>
      </w:rPr>
      <w:fldChar w:fldCharType="end"/>
    </w:r>
  </w:p>
  <w:p w:rsidR="007E2564" w:rsidRDefault="007E256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64" w:rsidRPr="00E21A15" w:rsidRDefault="007E2564">
    <w:pPr>
      <w:pStyle w:val="Footer"/>
      <w:jc w:val="center"/>
      <w:rPr>
        <w:b/>
        <w:i/>
        <w:noProof/>
        <w:sz w:val="18"/>
        <w:lang w:val="en-US"/>
      </w:rPr>
    </w:pPr>
  </w:p>
  <w:p w:rsidR="007E2564" w:rsidRDefault="007E256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64" w:rsidRDefault="00E05987" w:rsidP="00C74292">
    <w:pPr>
      <w:pStyle w:val="Footer"/>
      <w:framePr w:wrap="around" w:vAnchor="text" w:hAnchor="margin" w:xAlign="center" w:y="1"/>
      <w:rPr>
        <w:rStyle w:val="PageNumber"/>
      </w:rPr>
    </w:pPr>
    <w:r>
      <w:rPr>
        <w:rStyle w:val="PageNumber"/>
      </w:rPr>
      <w:fldChar w:fldCharType="begin"/>
    </w:r>
    <w:r w:rsidR="007E2564">
      <w:rPr>
        <w:rStyle w:val="PageNumber"/>
      </w:rPr>
      <w:instrText xml:space="preserve">PAGE  </w:instrText>
    </w:r>
    <w:r>
      <w:rPr>
        <w:rStyle w:val="PageNumber"/>
      </w:rPr>
      <w:fldChar w:fldCharType="separate"/>
    </w:r>
    <w:r w:rsidR="000679A0">
      <w:rPr>
        <w:rStyle w:val="PageNumber"/>
        <w:noProof/>
      </w:rPr>
      <w:t>28</w:t>
    </w:r>
    <w:r>
      <w:rPr>
        <w:rStyle w:val="PageNumber"/>
      </w:rPr>
      <w:fldChar w:fldCharType="end"/>
    </w:r>
  </w:p>
  <w:p w:rsidR="007E2564" w:rsidRPr="004138C5" w:rsidRDefault="007E2564" w:rsidP="001C74E5">
    <w:pPr>
      <w:pStyle w:val="Header"/>
    </w:pPr>
    <w: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564" w:rsidRDefault="007E2564" w:rsidP="002F55B4">
      <w:r>
        <w:separator/>
      </w:r>
    </w:p>
  </w:footnote>
  <w:footnote w:type="continuationSeparator" w:id="0">
    <w:p w:rsidR="007E2564" w:rsidRDefault="007E2564" w:rsidP="002F55B4">
      <w:r>
        <w:continuationSeparator/>
      </w:r>
    </w:p>
  </w:footnote>
  <w:footnote w:id="1">
    <w:p w:rsidR="007E2564" w:rsidRDefault="007E2564">
      <w:pPr>
        <w:pStyle w:val="FootnoteText"/>
      </w:pPr>
      <w:r>
        <w:rPr>
          <w:rStyle w:val="FootnoteReference"/>
        </w:rPr>
        <w:footnoteRef/>
      </w:r>
      <w:r>
        <w:t xml:space="preserve"> </w:t>
      </w:r>
      <w:r w:rsidRPr="001C0CDC">
        <w:t>The Global Support Facility was visited, during the inception phase, in order to understand its functioning and role. It was not as explicitly assessed as the CSF – no separate Aide Memoire prepared - since it has less well-defined projects of its own, and is to a large extent used in identification and formulation of programmes. Ind</w:t>
      </w:r>
      <w:r w:rsidRPr="001C0CDC">
        <w:t>i</w:t>
      </w:r>
      <w:r w:rsidRPr="001C0CDC">
        <w:t xml:space="preserve">rectly, its work was assessed, for example in the form of observations on design of the programmes visited, or on its role in organising global events. The GSF received less attention than the CSF, due to the fact that there were no apparent issues related to </w:t>
      </w:r>
      <w:proofErr w:type="gramStart"/>
      <w:r w:rsidRPr="001C0CDC">
        <w:t>its</w:t>
      </w:r>
      <w:proofErr w:type="gramEnd"/>
      <w:r w:rsidRPr="001C0CDC">
        <w:t xml:space="preserve"> functioning, which was found to be overall satisfactory.</w:t>
      </w:r>
      <w:r>
        <w:t xml:space="preserve"> </w:t>
      </w:r>
    </w:p>
  </w:footnote>
  <w:footnote w:id="2">
    <w:p w:rsidR="007E2564" w:rsidRDefault="007E2564" w:rsidP="00C74D2B">
      <w:pPr>
        <w:pStyle w:val="FootnoteText"/>
        <w:rPr>
          <w:lang w:val="en-US"/>
        </w:rPr>
      </w:pPr>
      <w:r>
        <w:rPr>
          <w:rStyle w:val="FootnoteReference"/>
        </w:rPr>
        <w:footnoteRef/>
      </w:r>
      <w:r>
        <w:t xml:space="preserve"> Least Developed Countries (LDCs) and Small Island Developing States (SIDS).</w:t>
      </w:r>
    </w:p>
  </w:footnote>
  <w:footnote w:id="3">
    <w:p w:rsidR="007E2564" w:rsidRDefault="007E2564" w:rsidP="00BB7A7B">
      <w:pPr>
        <w:pStyle w:val="FootnoteText"/>
      </w:pPr>
      <w:r>
        <w:rPr>
          <w:rStyle w:val="FootnoteReference"/>
        </w:rPr>
        <w:footnoteRef/>
      </w:r>
      <w:r>
        <w:t xml:space="preserve"> Ireland, Sweden, Estonia, Cyprus and the Czech Republic</w:t>
      </w:r>
    </w:p>
  </w:footnote>
  <w:footnote w:id="4">
    <w:p w:rsidR="007E2564" w:rsidRPr="006D57F6" w:rsidRDefault="007E2564" w:rsidP="006D57F6">
      <w:pPr>
        <w:pStyle w:val="FootnoteText"/>
        <w:rPr>
          <w:lang w:val="en-US"/>
        </w:rPr>
      </w:pPr>
      <w:r>
        <w:rPr>
          <w:rStyle w:val="FootnoteReference"/>
        </w:rPr>
        <w:footnoteRef/>
      </w:r>
      <w:r w:rsidRPr="006D57F6">
        <w:rPr>
          <w:lang w:val="en-US"/>
        </w:rPr>
        <w:t xml:space="preserve"> 37.5 mln (Intra-ACP – EDF) + 11.4 mln (SPC) + 5 mln (Mekong) + 4 (UNCDF) = 57.9 mln EUR</w:t>
      </w:r>
    </w:p>
  </w:footnote>
  <w:footnote w:id="5">
    <w:p w:rsidR="007E2564" w:rsidRDefault="007E2564" w:rsidP="008B4A5F">
      <w:pPr>
        <w:pStyle w:val="FootnoteText"/>
      </w:pPr>
      <w:r>
        <w:rPr>
          <w:rStyle w:val="FootnoteReference"/>
        </w:rPr>
        <w:footnoteRef/>
      </w:r>
      <w:r>
        <w:t xml:space="preserve"> The term ‘</w:t>
      </w:r>
      <w:r w:rsidRPr="004D1C8D">
        <w:t>poor developing countries most vulnerable to climate change</w:t>
      </w:r>
      <w:r>
        <w:t>’</w:t>
      </w:r>
      <w:r w:rsidRPr="004D1C8D">
        <w:t xml:space="preserve"> </w:t>
      </w:r>
      <w:r>
        <w:t xml:space="preserve">comes from the GCCA objective as stated in </w:t>
      </w:r>
      <w:r w:rsidRPr="004D1C8D">
        <w:t>Communication from the Commission to the Coun</w:t>
      </w:r>
      <w:r>
        <w:t>cil and the European Parliament on Building a Gl</w:t>
      </w:r>
      <w:r>
        <w:t>o</w:t>
      </w:r>
      <w:r>
        <w:t>bal Climate Change Alliance between the European Union and poor developing countries most vulnerable to climate change</w:t>
      </w:r>
      <w:r w:rsidRPr="00C81BBF">
        <w:t xml:space="preserve"> </w:t>
      </w:r>
      <w:r>
        <w:t>(</w:t>
      </w:r>
      <w:r w:rsidRPr="004D1C8D">
        <w:t>EC</w:t>
      </w:r>
      <w:r>
        <w:t>,</w:t>
      </w:r>
      <w:r w:rsidRPr="004D1C8D">
        <w:t xml:space="preserve"> 2007</w:t>
      </w:r>
      <w:r>
        <w:t>)</w:t>
      </w:r>
      <w:r w:rsidRPr="004D1C8D">
        <w:t>.</w:t>
      </w:r>
      <w:r>
        <w:t xml:space="preserve"> It refers to those </w:t>
      </w:r>
      <w:r w:rsidRPr="004D1C8D">
        <w:t>Least Developed Countries (LDCs) and Small Island Develop</w:t>
      </w:r>
      <w:r>
        <w:t>ing States (SIDS) most vulnerable to climate change</w:t>
      </w:r>
    </w:p>
    <w:p w:rsidR="007E2564" w:rsidRPr="004D1C8D" w:rsidRDefault="007E2564" w:rsidP="008B4A5F">
      <w:pPr>
        <w:pStyle w:val="FootnoteText"/>
      </w:pPr>
    </w:p>
  </w:footnote>
  <w:footnote w:id="6">
    <w:p w:rsidR="007E2564" w:rsidRDefault="007E2564" w:rsidP="00833796">
      <w:pPr>
        <w:pStyle w:val="FootnoteText"/>
      </w:pPr>
      <w:r>
        <w:rPr>
          <w:rStyle w:val="FootnoteReference"/>
        </w:rPr>
        <w:footnoteRef/>
      </w:r>
      <w:r>
        <w:t xml:space="preserve"> </w:t>
      </w:r>
      <w:proofErr w:type="gramStart"/>
      <w:r>
        <w:t>Budget Support Guidelines - Executive Guide.</w:t>
      </w:r>
      <w:proofErr w:type="gramEnd"/>
      <w:r>
        <w:t xml:space="preserve"> EuropeAid Development and Cooperation Directorate-General</w:t>
      </w:r>
    </w:p>
    <w:p w:rsidR="007E2564" w:rsidRPr="00833796" w:rsidRDefault="007E2564" w:rsidP="00833796">
      <w:pPr>
        <w:pStyle w:val="FootnoteText"/>
        <w:rPr>
          <w:lang w:val="en-US"/>
        </w:rPr>
      </w:pPr>
      <w:r>
        <w:t>European Commission, Brussels, September 2012</w:t>
      </w:r>
    </w:p>
  </w:footnote>
  <w:footnote w:id="7">
    <w:p w:rsidR="007E2564" w:rsidRPr="00A47AA4" w:rsidRDefault="007E2564">
      <w:pPr>
        <w:pStyle w:val="FootnoteText"/>
        <w:rPr>
          <w:lang w:val="en-US"/>
        </w:rPr>
      </w:pPr>
      <w:r>
        <w:rPr>
          <w:rStyle w:val="FootnoteReference"/>
        </w:rPr>
        <w:footnoteRef/>
      </w:r>
      <w:r>
        <w:t xml:space="preserve">  </w:t>
      </w:r>
      <w:hyperlink r:id="rId1" w:history="1">
        <w:r w:rsidR="00711C8A" w:rsidRPr="002E081F">
          <w:rPr>
            <w:rStyle w:val="Hyperlink"/>
          </w:rPr>
          <w:t>http://capacity4dev.ec.europa.eu/public-environment-climate</w:t>
        </w:r>
      </w:hyperlink>
    </w:p>
  </w:footnote>
  <w:footnote w:id="8">
    <w:p w:rsidR="007E2564" w:rsidRPr="00D01596" w:rsidRDefault="007E2564">
      <w:pPr>
        <w:pStyle w:val="FootnoteText"/>
      </w:pPr>
      <w:r>
        <w:rPr>
          <w:rStyle w:val="FootnoteReference"/>
        </w:rPr>
        <w:footnoteRef/>
      </w:r>
      <w:r>
        <w:t xml:space="preserve"> This observation was challenged by evaluation management arguing that </w:t>
      </w:r>
      <w:r w:rsidRPr="00D01596">
        <w:t>pr</w:t>
      </w:r>
      <w:r>
        <w:t>o</w:t>
      </w:r>
      <w:r w:rsidRPr="00D01596">
        <w:t xml:space="preserve">grammes do </w:t>
      </w:r>
      <w:r>
        <w:t xml:space="preserve">exchange </w:t>
      </w:r>
      <w:r w:rsidRPr="00D01596">
        <w:t>and th</w:t>
      </w:r>
      <w:r>
        <w:t>at lessons learnt are feeding into t</w:t>
      </w:r>
      <w:r w:rsidRPr="00D01596">
        <w:t xml:space="preserve">he identification and formulation </w:t>
      </w:r>
      <w:r>
        <w:t xml:space="preserve">new </w:t>
      </w:r>
      <w:r w:rsidRPr="00D01596">
        <w:t xml:space="preserve">programmes, through the </w:t>
      </w:r>
      <w:r w:rsidRPr="00AE1A5F">
        <w:t>GSF facility. The statement, however, is based on the observations of the evaluators in the sample of countries visited.</w:t>
      </w:r>
    </w:p>
  </w:footnote>
  <w:footnote w:id="9">
    <w:p w:rsidR="007E2564" w:rsidRDefault="007E2564" w:rsidP="00266538">
      <w:r>
        <w:rPr>
          <w:rStyle w:val="FootnoteReference"/>
        </w:rPr>
        <w:footnoteRef/>
      </w:r>
      <w:r>
        <w:t xml:space="preserve"> </w:t>
      </w:r>
      <w:r w:rsidRPr="00AE1A5F">
        <w:rPr>
          <w:rStyle w:val="FootnoteTextChar1"/>
          <w:sz w:val="20"/>
        </w:rPr>
        <w:t>Myanmar was cited by the programme managers as being one example with private sector involvement in CDM. However, Myanmar fell outside the sample of countries, agreed with the EC for field visits. The point made, which is considered to be valid, is that conditions in the carbon markets do not provide strong incentives for CDM</w:t>
      </w:r>
      <w:r>
        <w:rPr>
          <w:rStyle w:val="FootnoteTextChar1"/>
          <w:sz w:val="20"/>
        </w:rPr>
        <w:t>.</w:t>
      </w:r>
    </w:p>
  </w:footnote>
  <w:footnote w:id="10">
    <w:p w:rsidR="007E2564" w:rsidRPr="00117816" w:rsidRDefault="007E2564">
      <w:pPr>
        <w:pStyle w:val="FootnoteText"/>
        <w:rPr>
          <w:lang w:val="en-US"/>
        </w:rPr>
      </w:pPr>
      <w:r>
        <w:rPr>
          <w:rStyle w:val="FootnoteReference"/>
        </w:rPr>
        <w:footnoteRef/>
      </w:r>
      <w:r>
        <w:t xml:space="preserve"> </w:t>
      </w:r>
      <w:r w:rsidRPr="00117816">
        <w:t>The Fund is not primarily donor-oriented; it also benefits from government contributions (2 million UK£) and collects domestic proceeds from environmental levies and fines as well.</w:t>
      </w:r>
    </w:p>
  </w:footnote>
  <w:footnote w:id="11">
    <w:p w:rsidR="007E2564" w:rsidRDefault="007E2564">
      <w:pPr>
        <w:pStyle w:val="FootnoteText"/>
      </w:pPr>
      <w:r>
        <w:rPr>
          <w:rStyle w:val="FootnoteReference"/>
        </w:rPr>
        <w:footnoteRef/>
      </w:r>
      <w:r>
        <w:t xml:space="preserve"> It should be noted that this recommendation is also strongly supported by the conclusions drawn in the Intra-ACP Mid Term Evaluation report that contains the assessment of a number of key regional programmes.</w:t>
      </w:r>
    </w:p>
  </w:footnote>
  <w:footnote w:id="12">
    <w:p w:rsidR="007E2564" w:rsidRPr="00B5108C" w:rsidRDefault="007E2564">
      <w:pPr>
        <w:pStyle w:val="FootnoteText"/>
        <w:rPr>
          <w:lang w:val="en-US"/>
        </w:rPr>
      </w:pPr>
      <w:r>
        <w:rPr>
          <w:rStyle w:val="FootnoteReference"/>
        </w:rPr>
        <w:footnoteRef/>
      </w:r>
      <w:r>
        <w:t xml:space="preserve"> BMZ is the abbreviation of the German </w:t>
      </w:r>
      <w:r w:rsidRPr="00B5108C">
        <w:t>Federal Ministry for Economic Cooperation and Development</w:t>
      </w:r>
    </w:p>
  </w:footnote>
  <w:footnote w:id="13">
    <w:p w:rsidR="007E2564" w:rsidRPr="00940C93" w:rsidRDefault="007E2564" w:rsidP="00940C93">
      <w:pPr>
        <w:spacing w:before="20" w:after="20" w:line="252" w:lineRule="auto"/>
        <w:rPr>
          <w:sz w:val="20"/>
          <w:szCs w:val="20"/>
          <w:lang w:bidi="en-US"/>
        </w:rPr>
      </w:pPr>
      <w:r>
        <w:rPr>
          <w:rStyle w:val="FootnoteReference"/>
        </w:rPr>
        <w:footnoteRef/>
      </w:r>
      <w:r>
        <w:t xml:space="preserve"> </w:t>
      </w:r>
      <w:r w:rsidRPr="00940C93">
        <w:rPr>
          <w:sz w:val="20"/>
          <w:szCs w:val="20"/>
          <w:lang w:bidi="en-US"/>
        </w:rPr>
        <w:t>CILSS is the abbreviation of the Permanent Interstates Committee for Drought Control in the Sahel</w:t>
      </w:r>
    </w:p>
    <w:p w:rsidR="007E2564" w:rsidRPr="00940C93" w:rsidRDefault="007E2564">
      <w:pPr>
        <w:pStyle w:val="FootnoteText"/>
      </w:pPr>
    </w:p>
  </w:footnote>
  <w:footnote w:id="14">
    <w:p w:rsidR="007E2564" w:rsidRDefault="007E2564">
      <w:pPr>
        <w:pStyle w:val="FootnoteText"/>
      </w:pPr>
      <w:r>
        <w:rPr>
          <w:rStyle w:val="FootnoteReference"/>
        </w:rPr>
        <w:footnoteRef/>
      </w:r>
      <w:r>
        <w:t xml:space="preserve"> </w:t>
      </w:r>
      <w:r w:rsidRPr="009672E5">
        <w:t>MS contacts were shared with the evaluators by DEVCO/C2, and supplemented with contacts from the eval</w:t>
      </w:r>
      <w:r w:rsidRPr="009672E5">
        <w:t>u</w:t>
      </w:r>
      <w:r w:rsidRPr="009672E5">
        <w:t>ators own network.</w:t>
      </w:r>
      <w:r>
        <w:t xml:space="preserve"> </w:t>
      </w:r>
    </w:p>
  </w:footnote>
  <w:footnote w:id="15">
    <w:p w:rsidR="007E2564" w:rsidRDefault="007E2564">
      <w:pPr>
        <w:pStyle w:val="FootnoteText"/>
      </w:pPr>
      <w:r>
        <w:rPr>
          <w:rStyle w:val="FootnoteReference"/>
        </w:rPr>
        <w:footnoteRef/>
      </w:r>
      <w:r>
        <w:t xml:space="preserve"> </w:t>
      </w:r>
      <w:r w:rsidRPr="009672E5">
        <w:t>See: Evaluation of the Intra-ACP GCCA - November 2014.</w:t>
      </w:r>
    </w:p>
  </w:footnote>
  <w:footnote w:id="16">
    <w:p w:rsidR="007E2564" w:rsidRPr="009672E5" w:rsidRDefault="007E2564">
      <w:pPr>
        <w:pStyle w:val="FootnoteText"/>
      </w:pPr>
      <w:r>
        <w:rPr>
          <w:rStyle w:val="FootnoteReference"/>
        </w:rPr>
        <w:footnoteRef/>
      </w:r>
      <w:r>
        <w:t xml:space="preserve"> </w:t>
      </w:r>
      <w:r w:rsidRPr="009672E5">
        <w:t>For example, the response from DFID</w:t>
      </w:r>
    </w:p>
  </w:footnote>
  <w:footnote w:id="17">
    <w:p w:rsidR="007E2564" w:rsidRPr="009672E5" w:rsidRDefault="007E2564">
      <w:pPr>
        <w:pStyle w:val="FootnoteText"/>
      </w:pPr>
      <w:r w:rsidRPr="009672E5">
        <w:rPr>
          <w:rStyle w:val="FootnoteReference"/>
        </w:rPr>
        <w:footnoteRef/>
      </w:r>
      <w:r w:rsidRPr="009672E5">
        <w:t xml:space="preserve"> As suggested by Danida.</w:t>
      </w:r>
    </w:p>
  </w:footnote>
  <w:footnote w:id="18">
    <w:p w:rsidR="007E2564" w:rsidRDefault="007E2564">
      <w:pPr>
        <w:pStyle w:val="FootnoteText"/>
      </w:pPr>
      <w:r w:rsidRPr="009672E5">
        <w:rPr>
          <w:rStyle w:val="FootnoteReference"/>
        </w:rPr>
        <w:footnoteRef/>
      </w:r>
      <w:r w:rsidRPr="009672E5">
        <w:t xml:space="preserve"> As suggested by the </w:t>
      </w:r>
      <w:r w:rsidRPr="009672E5">
        <w:rPr>
          <w:lang w:val="en-US"/>
        </w:rPr>
        <w:t>Agence Française de Développement.</w:t>
      </w:r>
    </w:p>
  </w:footnote>
  <w:footnote w:id="19">
    <w:p w:rsidR="007E2564" w:rsidRDefault="007E2564">
      <w:pPr>
        <w:pStyle w:val="FootnoteText"/>
      </w:pPr>
      <w:r>
        <w:rPr>
          <w:rStyle w:val="FootnoteReference"/>
        </w:rPr>
        <w:footnoteRef/>
      </w:r>
      <w:r>
        <w:t xml:space="preserve"> </w:t>
      </w:r>
      <w:r w:rsidRPr="00652EBD">
        <w:t>The FLEGT action plan is a good example of long-term EU commitment to a policy initiative leading to pos</w:t>
      </w:r>
      <w:r w:rsidRPr="00652EBD">
        <w:t>i</w:t>
      </w:r>
      <w:r w:rsidRPr="00652EBD">
        <w:t>tive results and increasing the credibility of the EU (and its MS) in the sector.</w:t>
      </w:r>
    </w:p>
  </w:footnote>
  <w:footnote w:id="20">
    <w:p w:rsidR="007E2564" w:rsidRDefault="007E2564">
      <w:pPr>
        <w:pStyle w:val="FootnoteText"/>
      </w:pPr>
      <w:r>
        <w:rPr>
          <w:rStyle w:val="FootnoteReference"/>
        </w:rPr>
        <w:footnoteRef/>
      </w:r>
      <w:r>
        <w:t xml:space="preserve"> See also Volume 2 Annex 9 for more details.</w:t>
      </w:r>
    </w:p>
  </w:footnote>
  <w:footnote w:id="21">
    <w:p w:rsidR="007E2564" w:rsidRDefault="007E2564" w:rsidP="00434670">
      <w:r>
        <w:rPr>
          <w:rStyle w:val="FootnoteReference"/>
        </w:rPr>
        <w:footnoteRef/>
      </w:r>
      <w:r>
        <w:t xml:space="preserve"> </w:t>
      </w:r>
      <w:r w:rsidRPr="009672E5">
        <w:rPr>
          <w:rStyle w:val="FootnoteTextChar1"/>
          <w:sz w:val="20"/>
        </w:rPr>
        <w:t>This is not unique to GCCA programmes but is more a reflection on EU procedures in general. This has also been highlighted in previous evaluations. In a few instances during missions, when comments were made on design, or lack of suitable indicators for example, the argument put forward was that they (EUDs) had been under time pressure to get actions quickly identified or formulated. In this regard, GCCA is probably no diffe</w:t>
      </w:r>
      <w:r w:rsidRPr="009672E5">
        <w:rPr>
          <w:rStyle w:val="FootnoteTextChar1"/>
          <w:sz w:val="20"/>
        </w:rPr>
        <w:t>r</w:t>
      </w:r>
      <w:r w:rsidRPr="009672E5">
        <w:rPr>
          <w:rStyle w:val="FootnoteTextChar1"/>
          <w:sz w:val="20"/>
        </w:rPr>
        <w:t>ent from other programmes.</w:t>
      </w:r>
      <w:r>
        <w:t xml:space="preserve"> </w:t>
      </w:r>
    </w:p>
  </w:footnote>
  <w:footnote w:id="22">
    <w:p w:rsidR="007E2564" w:rsidRDefault="007E2564">
      <w:pPr>
        <w:pStyle w:val="FootnoteText"/>
      </w:pPr>
      <w:r>
        <w:rPr>
          <w:rStyle w:val="FootnoteReference"/>
        </w:rPr>
        <w:footnoteRef/>
      </w:r>
      <w:r>
        <w:t xml:space="preserve"> For example: UNDP, UNEP, the UNFCCC, GEF, the Mekong River Commission, etc.</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64" w:rsidRDefault="007E2564" w:rsidP="002E7FEC">
    <w:pPr>
      <w:pStyle w:val="Header"/>
      <w:tabs>
        <w:tab w:val="clear" w:pos="9360"/>
        <w:tab w:val="left" w:pos="9045"/>
      </w:tabs>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4F4"/>
    <w:multiLevelType w:val="hybridMultilevel"/>
    <w:tmpl w:val="2412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250E9"/>
    <w:multiLevelType w:val="hybridMultilevel"/>
    <w:tmpl w:val="F844049C"/>
    <w:lvl w:ilvl="0" w:tplc="49E42C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4139D"/>
    <w:multiLevelType w:val="hybridMultilevel"/>
    <w:tmpl w:val="115C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9008F"/>
    <w:multiLevelType w:val="multilevel"/>
    <w:tmpl w:val="35987F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0A212A7"/>
    <w:multiLevelType w:val="hybridMultilevel"/>
    <w:tmpl w:val="9DC05854"/>
    <w:lvl w:ilvl="0" w:tplc="86A0EEEC">
      <w:start w:val="1"/>
      <w:numFmt w:val="bullet"/>
      <w:pStyle w:val="reportbullets"/>
      <w:lvlText w:val=""/>
      <w:lvlJc w:val="left"/>
      <w:pPr>
        <w:tabs>
          <w:tab w:val="num" w:pos="360"/>
        </w:tabs>
        <w:ind w:left="180" w:hanging="180"/>
      </w:pPr>
      <w:rPr>
        <w:rFonts w:ascii="Symbol" w:hAnsi="Symbol" w:cs="Times New Roman" w:hint="default"/>
      </w:rPr>
    </w:lvl>
    <w:lvl w:ilvl="1" w:tplc="04090003">
      <w:start w:val="1"/>
      <w:numFmt w:val="bullet"/>
      <w:lvlText w:val="o"/>
      <w:lvlJc w:val="left"/>
      <w:pPr>
        <w:tabs>
          <w:tab w:val="num" w:pos="1440"/>
        </w:tabs>
        <w:ind w:left="1440" w:hanging="360"/>
      </w:pPr>
      <w:rPr>
        <w:rFonts w:ascii="Courier" w:hAnsi="Courier" w:cs="Times New Roman" w:hint="default"/>
      </w:rPr>
    </w:lvl>
    <w:lvl w:ilvl="2" w:tplc="04090005">
      <w:start w:val="1"/>
      <w:numFmt w:val="bullet"/>
      <w:lvlText w:val=""/>
      <w:lvlJc w:val="left"/>
      <w:pPr>
        <w:tabs>
          <w:tab w:val="num" w:pos="2160"/>
        </w:tabs>
        <w:ind w:left="2160" w:hanging="36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w:hAnsi="Courier" w:cs="Times New Roman" w:hint="default"/>
      </w:rPr>
    </w:lvl>
    <w:lvl w:ilvl="5" w:tplc="04090005">
      <w:start w:val="1"/>
      <w:numFmt w:val="bullet"/>
      <w:lvlText w:val=""/>
      <w:lvlJc w:val="left"/>
      <w:pPr>
        <w:tabs>
          <w:tab w:val="num" w:pos="4320"/>
        </w:tabs>
        <w:ind w:left="4320" w:hanging="360"/>
      </w:pPr>
      <w:rPr>
        <w:rFonts w:ascii="Symbol" w:hAnsi="Symbol"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w:hAnsi="Courier" w:cs="Times New Roman" w:hint="default"/>
      </w:rPr>
    </w:lvl>
    <w:lvl w:ilvl="8" w:tplc="04090005">
      <w:start w:val="1"/>
      <w:numFmt w:val="bullet"/>
      <w:lvlText w:val=""/>
      <w:lvlJc w:val="left"/>
      <w:pPr>
        <w:tabs>
          <w:tab w:val="num" w:pos="6480"/>
        </w:tabs>
        <w:ind w:left="6480" w:hanging="360"/>
      </w:pPr>
      <w:rPr>
        <w:rFonts w:ascii="Symbol" w:hAnsi="Symbol" w:cs="Times New Roman" w:hint="default"/>
      </w:rPr>
    </w:lvl>
  </w:abstractNum>
  <w:abstractNum w:abstractNumId="5">
    <w:nsid w:val="22B824A5"/>
    <w:multiLevelType w:val="hybridMultilevel"/>
    <w:tmpl w:val="27DC744C"/>
    <w:lvl w:ilvl="0" w:tplc="49E42C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FE2FC1"/>
    <w:multiLevelType w:val="hybridMultilevel"/>
    <w:tmpl w:val="833E89B0"/>
    <w:lvl w:ilvl="0" w:tplc="49E42C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91986"/>
    <w:multiLevelType w:val="hybridMultilevel"/>
    <w:tmpl w:val="B5262748"/>
    <w:lvl w:ilvl="0" w:tplc="49E42C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9377C"/>
    <w:multiLevelType w:val="hybridMultilevel"/>
    <w:tmpl w:val="6DC20480"/>
    <w:lvl w:ilvl="0" w:tplc="49E42C3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CE6704"/>
    <w:multiLevelType w:val="hybridMultilevel"/>
    <w:tmpl w:val="C74C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AF30D01"/>
    <w:multiLevelType w:val="hybridMultilevel"/>
    <w:tmpl w:val="428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B6BF5"/>
    <w:multiLevelType w:val="hybridMultilevel"/>
    <w:tmpl w:val="7FBA6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9051E8"/>
    <w:multiLevelType w:val="hybridMultilevel"/>
    <w:tmpl w:val="1C7641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46086C"/>
    <w:multiLevelType w:val="hybridMultilevel"/>
    <w:tmpl w:val="475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3B3CFB"/>
    <w:multiLevelType w:val="multilevel"/>
    <w:tmpl w:val="3236B4D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B4070CF"/>
    <w:multiLevelType w:val="multilevel"/>
    <w:tmpl w:val="5590DB6A"/>
    <w:styleLink w:val="StyleNumbered"/>
    <w:lvl w:ilvl="0">
      <w:start w:val="1"/>
      <w:numFmt w:val="decimal"/>
      <w:lvlText w:val="%1)"/>
      <w:lvlJc w:val="left"/>
      <w:pPr>
        <w:tabs>
          <w:tab w:val="num" w:pos="794"/>
        </w:tabs>
        <w:ind w:left="794" w:hanging="397"/>
      </w:pPr>
      <w:rPr>
        <w:rFonts w:ascii="Arial" w:hAnsi="Arial" w:cs="Arial" w:hint="default"/>
        <w:sz w:val="22"/>
        <w:szCs w:val="22"/>
      </w:rPr>
    </w:lvl>
    <w:lvl w:ilvl="1">
      <w:start w:val="1"/>
      <w:numFmt w:val="lowerLetter"/>
      <w:lvlText w:val="%2."/>
      <w:lvlJc w:val="left"/>
      <w:pPr>
        <w:tabs>
          <w:tab w:val="num" w:pos="1191"/>
        </w:tabs>
        <w:ind w:left="1191" w:hanging="397"/>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9">
    <w:nsid w:val="630449B4"/>
    <w:multiLevelType w:val="hybridMultilevel"/>
    <w:tmpl w:val="A6E6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AD360F"/>
    <w:multiLevelType w:val="multilevel"/>
    <w:tmpl w:val="DD1C18B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AC85371"/>
    <w:multiLevelType w:val="hybridMultilevel"/>
    <w:tmpl w:val="85129C42"/>
    <w:lvl w:ilvl="0" w:tplc="5DC0FF82">
      <w:start w:val="1"/>
      <w:numFmt w:val="lowerRoman"/>
      <w:pStyle w:val="reportromannumberlist"/>
      <w:lvlText w:val="%1."/>
      <w:lvlJc w:val="left"/>
      <w:pPr>
        <w:tabs>
          <w:tab w:val="num" w:pos="360"/>
        </w:tabs>
      </w:pPr>
      <w:rPr>
        <w:rFonts w:ascii="Times New Roman" w:hAnsi="Times New Roman" w:cs="Times New Roman" w:hint="default"/>
        <w:b w:val="0"/>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nsid w:val="6FE2070C"/>
    <w:multiLevelType w:val="hybridMultilevel"/>
    <w:tmpl w:val="13560DF4"/>
    <w:lvl w:ilvl="0" w:tplc="97A64652">
      <w:start w:val="1"/>
      <w:numFmt w:val="lowerRoman"/>
      <w:lvlText w:val="%1."/>
      <w:lvlJc w:val="right"/>
      <w:pPr>
        <w:ind w:left="720" w:hanging="360"/>
      </w:pPr>
      <w:rPr>
        <w:b w:val="0"/>
        <w:i w:val="0"/>
        <w:caps w:val="0"/>
        <w:strike w:val="0"/>
        <w:dstrike w:val="0"/>
        <w:vanish w:val="0"/>
        <w:webHidden w:val="0"/>
        <w:color w:val="000000"/>
        <w:sz w:val="24"/>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76167302"/>
    <w:multiLevelType w:val="hybridMultilevel"/>
    <w:tmpl w:val="53E6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4106C"/>
    <w:multiLevelType w:val="multilevel"/>
    <w:tmpl w:val="E1DEB164"/>
    <w:lvl w:ilvl="0">
      <w:start w:val="1"/>
      <w:numFmt w:val="decimal"/>
      <w:pStyle w:val="Tit1"/>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suff w:val="nothing"/>
      <w:lvlText w:val="%1.%2.%3.%4."/>
      <w:lvlJc w:val="left"/>
      <w:rPr>
        <w:rFonts w:cs="Times New Roman" w:hint="default"/>
      </w:rPr>
    </w:lvl>
    <w:lvl w:ilvl="4">
      <w:start w:val="1"/>
      <w:numFmt w:val="decimal"/>
      <w:lvlText w:val="%1.%2.%3.%4.%5."/>
      <w:lvlJc w:val="left"/>
      <w:pPr>
        <w:tabs>
          <w:tab w:val="num" w:pos="3083"/>
        </w:tabs>
        <w:ind w:left="3083" w:hanging="792"/>
      </w:pPr>
      <w:rPr>
        <w:rFonts w:cs="Times New Roman" w:hint="default"/>
      </w:rPr>
    </w:lvl>
    <w:lvl w:ilvl="5">
      <w:start w:val="1"/>
      <w:numFmt w:val="decimal"/>
      <w:lvlText w:val="%1.%2.%3.%4.%5.%6."/>
      <w:lvlJc w:val="left"/>
      <w:pPr>
        <w:tabs>
          <w:tab w:val="num" w:pos="3587"/>
        </w:tabs>
        <w:ind w:left="3587" w:hanging="936"/>
      </w:pPr>
      <w:rPr>
        <w:rFonts w:cs="Times New Roman" w:hint="default"/>
      </w:rPr>
    </w:lvl>
    <w:lvl w:ilvl="6">
      <w:start w:val="1"/>
      <w:numFmt w:val="decimal"/>
      <w:lvlText w:val="%1.%2.%3.%4.%5.%6.%7."/>
      <w:lvlJc w:val="left"/>
      <w:pPr>
        <w:tabs>
          <w:tab w:val="num" w:pos="4091"/>
        </w:tabs>
        <w:ind w:left="4091" w:hanging="1080"/>
      </w:pPr>
      <w:rPr>
        <w:rFonts w:cs="Times New Roman" w:hint="default"/>
      </w:rPr>
    </w:lvl>
    <w:lvl w:ilvl="7">
      <w:start w:val="1"/>
      <w:numFmt w:val="decimal"/>
      <w:lvlText w:val="%1.%2.%3.%4.%5.%6.%7.%8."/>
      <w:lvlJc w:val="left"/>
      <w:pPr>
        <w:tabs>
          <w:tab w:val="num" w:pos="4595"/>
        </w:tabs>
        <w:ind w:left="4595" w:hanging="1224"/>
      </w:pPr>
      <w:rPr>
        <w:rFonts w:cs="Times New Roman" w:hint="default"/>
      </w:rPr>
    </w:lvl>
    <w:lvl w:ilvl="8">
      <w:start w:val="1"/>
      <w:numFmt w:val="decimal"/>
      <w:lvlText w:val="%1.%2.%3.%4.%5.%6.%7.%8.%9."/>
      <w:lvlJc w:val="left"/>
      <w:pPr>
        <w:tabs>
          <w:tab w:val="num" w:pos="5171"/>
        </w:tabs>
        <w:ind w:left="5171" w:hanging="1440"/>
      </w:pPr>
      <w:rPr>
        <w:rFonts w:cs="Times New Roman" w:hint="default"/>
      </w:rPr>
    </w:lvl>
  </w:abstractNum>
  <w:abstractNum w:abstractNumId="25">
    <w:nsid w:val="799A565A"/>
    <w:multiLevelType w:val="multilevel"/>
    <w:tmpl w:val="F41806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7F083BD8"/>
    <w:multiLevelType w:val="multilevel"/>
    <w:tmpl w:val="13644608"/>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20"/>
  </w:num>
  <w:num w:numId="3">
    <w:abstractNumId w:val="4"/>
  </w:num>
  <w:num w:numId="4">
    <w:abstractNumId w:val="11"/>
  </w:num>
  <w:num w:numId="5">
    <w:abstractNumId w:val="6"/>
  </w:num>
  <w:num w:numId="6">
    <w:abstractNumId w:val="18"/>
  </w:num>
  <w:num w:numId="7">
    <w:abstractNumId w:val="1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4"/>
    </w:lvlOverride>
    <w:lvlOverride w:ilvl="1">
      <w:startOverride w:val="1"/>
    </w:lvlOverride>
  </w:num>
  <w:num w:numId="10">
    <w:abstractNumId w:val="26"/>
  </w:num>
  <w:num w:numId="11">
    <w:abstractNumId w:val="16"/>
  </w:num>
  <w:num w:numId="12">
    <w:abstractNumId w:val="1"/>
  </w:num>
  <w:num w:numId="13">
    <w:abstractNumId w:val="0"/>
  </w:num>
  <w:num w:numId="14">
    <w:abstractNumId w:val="2"/>
  </w:num>
  <w:num w:numId="15">
    <w:abstractNumId w:val="10"/>
  </w:num>
  <w:num w:numId="16">
    <w:abstractNumId w:val="13"/>
  </w:num>
  <w:num w:numId="17">
    <w:abstractNumId w:val="7"/>
  </w:num>
  <w:num w:numId="18">
    <w:abstractNumId w:val="9"/>
  </w:num>
  <w:num w:numId="19">
    <w:abstractNumId w:val="5"/>
  </w:num>
  <w:num w:numId="20">
    <w:abstractNumId w:val="15"/>
  </w:num>
  <w:num w:numId="21">
    <w:abstractNumId w:val="23"/>
  </w:num>
  <w:num w:numId="22">
    <w:abstractNumId w:val="8"/>
  </w:num>
  <w:num w:numId="23">
    <w:abstractNumId w:val="25"/>
  </w:num>
  <w:num w:numId="24">
    <w:abstractNumId w:val="17"/>
  </w:num>
  <w:num w:numId="25">
    <w:abstractNumId w:val="3"/>
  </w:num>
  <w:num w:numId="26">
    <w:abstractNumId w:val="19"/>
  </w:num>
  <w:num w:numId="27">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attachedTemplate r:id="rId1"/>
  <w:revisionView w:markup="0"/>
  <w:doNotTrackMoves/>
  <w:defaultTabStop w:val="72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cVars>
    <w:docVar w:name="LW_DocType" w:val="LOT 6_REPORT FORMAT4"/>
  </w:docVars>
  <w:rsids>
    <w:rsidRoot w:val="00DD0EBD"/>
    <w:rsid w:val="000000D1"/>
    <w:rsid w:val="0000010F"/>
    <w:rsid w:val="00000618"/>
    <w:rsid w:val="00001705"/>
    <w:rsid w:val="0000375B"/>
    <w:rsid w:val="00003FF4"/>
    <w:rsid w:val="0000496B"/>
    <w:rsid w:val="000066ED"/>
    <w:rsid w:val="000116B0"/>
    <w:rsid w:val="0001170E"/>
    <w:rsid w:val="00013282"/>
    <w:rsid w:val="00013572"/>
    <w:rsid w:val="00013C2D"/>
    <w:rsid w:val="00014736"/>
    <w:rsid w:val="00015460"/>
    <w:rsid w:val="00016F23"/>
    <w:rsid w:val="00020012"/>
    <w:rsid w:val="00020142"/>
    <w:rsid w:val="00021A8E"/>
    <w:rsid w:val="00025C95"/>
    <w:rsid w:val="00030168"/>
    <w:rsid w:val="000331B7"/>
    <w:rsid w:val="000342C1"/>
    <w:rsid w:val="00036B07"/>
    <w:rsid w:val="000378CA"/>
    <w:rsid w:val="000411D4"/>
    <w:rsid w:val="00041D71"/>
    <w:rsid w:val="000429D2"/>
    <w:rsid w:val="00042D20"/>
    <w:rsid w:val="00042DD7"/>
    <w:rsid w:val="00042FAA"/>
    <w:rsid w:val="0004379F"/>
    <w:rsid w:val="00043A87"/>
    <w:rsid w:val="000441CD"/>
    <w:rsid w:val="00044224"/>
    <w:rsid w:val="0004483A"/>
    <w:rsid w:val="0004613F"/>
    <w:rsid w:val="000465C5"/>
    <w:rsid w:val="00047335"/>
    <w:rsid w:val="00047F10"/>
    <w:rsid w:val="0005353C"/>
    <w:rsid w:val="00060679"/>
    <w:rsid w:val="00060943"/>
    <w:rsid w:val="0006148E"/>
    <w:rsid w:val="00061878"/>
    <w:rsid w:val="00062E43"/>
    <w:rsid w:val="0006326F"/>
    <w:rsid w:val="00065565"/>
    <w:rsid w:val="00066D50"/>
    <w:rsid w:val="00066E14"/>
    <w:rsid w:val="000679A0"/>
    <w:rsid w:val="00067C89"/>
    <w:rsid w:val="000703C5"/>
    <w:rsid w:val="000706C4"/>
    <w:rsid w:val="000752F6"/>
    <w:rsid w:val="000759D1"/>
    <w:rsid w:val="00080A95"/>
    <w:rsid w:val="00080DE3"/>
    <w:rsid w:val="0008111A"/>
    <w:rsid w:val="0008317A"/>
    <w:rsid w:val="000836B3"/>
    <w:rsid w:val="0008435C"/>
    <w:rsid w:val="000855DD"/>
    <w:rsid w:val="000856A0"/>
    <w:rsid w:val="00085850"/>
    <w:rsid w:val="00086478"/>
    <w:rsid w:val="000875A0"/>
    <w:rsid w:val="00090A59"/>
    <w:rsid w:val="00093566"/>
    <w:rsid w:val="00093EEF"/>
    <w:rsid w:val="000961BD"/>
    <w:rsid w:val="000A0508"/>
    <w:rsid w:val="000A16D7"/>
    <w:rsid w:val="000A1E9D"/>
    <w:rsid w:val="000A233D"/>
    <w:rsid w:val="000A2726"/>
    <w:rsid w:val="000A2FA2"/>
    <w:rsid w:val="000A34D3"/>
    <w:rsid w:val="000A3555"/>
    <w:rsid w:val="000B1D26"/>
    <w:rsid w:val="000B2560"/>
    <w:rsid w:val="000B29E5"/>
    <w:rsid w:val="000B2B4F"/>
    <w:rsid w:val="000B40C2"/>
    <w:rsid w:val="000B4341"/>
    <w:rsid w:val="000B4B7A"/>
    <w:rsid w:val="000B4EAA"/>
    <w:rsid w:val="000B763F"/>
    <w:rsid w:val="000C0FC9"/>
    <w:rsid w:val="000C2340"/>
    <w:rsid w:val="000C3791"/>
    <w:rsid w:val="000C4883"/>
    <w:rsid w:val="000C61FA"/>
    <w:rsid w:val="000C6D2B"/>
    <w:rsid w:val="000C7A13"/>
    <w:rsid w:val="000D277F"/>
    <w:rsid w:val="000D3645"/>
    <w:rsid w:val="000D5086"/>
    <w:rsid w:val="000E01D8"/>
    <w:rsid w:val="000E1A1E"/>
    <w:rsid w:val="000E3156"/>
    <w:rsid w:val="000E489B"/>
    <w:rsid w:val="000E4EEC"/>
    <w:rsid w:val="000E50AB"/>
    <w:rsid w:val="000E5E37"/>
    <w:rsid w:val="000E638B"/>
    <w:rsid w:val="000E68DB"/>
    <w:rsid w:val="000F1E6C"/>
    <w:rsid w:val="000F227F"/>
    <w:rsid w:val="000F4D89"/>
    <w:rsid w:val="000F5460"/>
    <w:rsid w:val="000F5D9E"/>
    <w:rsid w:val="000F5F70"/>
    <w:rsid w:val="00102526"/>
    <w:rsid w:val="001026E0"/>
    <w:rsid w:val="001039D6"/>
    <w:rsid w:val="001040F9"/>
    <w:rsid w:val="00105B4A"/>
    <w:rsid w:val="00106ED2"/>
    <w:rsid w:val="00110586"/>
    <w:rsid w:val="00110628"/>
    <w:rsid w:val="00111971"/>
    <w:rsid w:val="0011487D"/>
    <w:rsid w:val="00115EA3"/>
    <w:rsid w:val="00117816"/>
    <w:rsid w:val="00120E5C"/>
    <w:rsid w:val="001242D7"/>
    <w:rsid w:val="00125252"/>
    <w:rsid w:val="0012648F"/>
    <w:rsid w:val="00132BB6"/>
    <w:rsid w:val="00133636"/>
    <w:rsid w:val="00133FC4"/>
    <w:rsid w:val="00135A75"/>
    <w:rsid w:val="001378C5"/>
    <w:rsid w:val="001407D0"/>
    <w:rsid w:val="00142303"/>
    <w:rsid w:val="00142A76"/>
    <w:rsid w:val="00143248"/>
    <w:rsid w:val="001456C4"/>
    <w:rsid w:val="00145B4D"/>
    <w:rsid w:val="00147AC6"/>
    <w:rsid w:val="001506EF"/>
    <w:rsid w:val="00150FB8"/>
    <w:rsid w:val="00151045"/>
    <w:rsid w:val="00151689"/>
    <w:rsid w:val="001526CF"/>
    <w:rsid w:val="00152B24"/>
    <w:rsid w:val="00154332"/>
    <w:rsid w:val="00154AF9"/>
    <w:rsid w:val="00156B95"/>
    <w:rsid w:val="00157B08"/>
    <w:rsid w:val="0016083F"/>
    <w:rsid w:val="001626CF"/>
    <w:rsid w:val="0016470D"/>
    <w:rsid w:val="00164A65"/>
    <w:rsid w:val="0016699E"/>
    <w:rsid w:val="001701B6"/>
    <w:rsid w:val="00170291"/>
    <w:rsid w:val="00170B12"/>
    <w:rsid w:val="00170F63"/>
    <w:rsid w:val="00171D5F"/>
    <w:rsid w:val="00171EC7"/>
    <w:rsid w:val="00182183"/>
    <w:rsid w:val="00183579"/>
    <w:rsid w:val="00185322"/>
    <w:rsid w:val="00186355"/>
    <w:rsid w:val="00186C41"/>
    <w:rsid w:val="0018713A"/>
    <w:rsid w:val="00190BF1"/>
    <w:rsid w:val="001957CF"/>
    <w:rsid w:val="001958F9"/>
    <w:rsid w:val="00197D79"/>
    <w:rsid w:val="001A07B6"/>
    <w:rsid w:val="001A1074"/>
    <w:rsid w:val="001A27AB"/>
    <w:rsid w:val="001A2A8B"/>
    <w:rsid w:val="001A39D0"/>
    <w:rsid w:val="001A3CF5"/>
    <w:rsid w:val="001B33FF"/>
    <w:rsid w:val="001B649B"/>
    <w:rsid w:val="001B79FD"/>
    <w:rsid w:val="001C0CDC"/>
    <w:rsid w:val="001C10B3"/>
    <w:rsid w:val="001C1F4E"/>
    <w:rsid w:val="001C2A7E"/>
    <w:rsid w:val="001C2CC6"/>
    <w:rsid w:val="001C448C"/>
    <w:rsid w:val="001C5AEC"/>
    <w:rsid w:val="001C5C6A"/>
    <w:rsid w:val="001C71C1"/>
    <w:rsid w:val="001C74E5"/>
    <w:rsid w:val="001C7906"/>
    <w:rsid w:val="001D01C5"/>
    <w:rsid w:val="001D09D8"/>
    <w:rsid w:val="001D2E5E"/>
    <w:rsid w:val="001D31CB"/>
    <w:rsid w:val="001D31D2"/>
    <w:rsid w:val="001D3D1F"/>
    <w:rsid w:val="001D3F53"/>
    <w:rsid w:val="001D4549"/>
    <w:rsid w:val="001D4BF4"/>
    <w:rsid w:val="001D4E0B"/>
    <w:rsid w:val="001D56F1"/>
    <w:rsid w:val="001E0D15"/>
    <w:rsid w:val="001E0FEE"/>
    <w:rsid w:val="001E27BC"/>
    <w:rsid w:val="001E329B"/>
    <w:rsid w:val="001E5AAE"/>
    <w:rsid w:val="001E77DA"/>
    <w:rsid w:val="001F17E8"/>
    <w:rsid w:val="001F1C15"/>
    <w:rsid w:val="001F1C1B"/>
    <w:rsid w:val="001F2557"/>
    <w:rsid w:val="001F2D41"/>
    <w:rsid w:val="001F387B"/>
    <w:rsid w:val="001F5119"/>
    <w:rsid w:val="001F5ACC"/>
    <w:rsid w:val="001F5B08"/>
    <w:rsid w:val="001F6D42"/>
    <w:rsid w:val="001F6FB9"/>
    <w:rsid w:val="001F7DA3"/>
    <w:rsid w:val="00200336"/>
    <w:rsid w:val="002019D9"/>
    <w:rsid w:val="002033D9"/>
    <w:rsid w:val="0020555D"/>
    <w:rsid w:val="002077A5"/>
    <w:rsid w:val="002102D1"/>
    <w:rsid w:val="00211E05"/>
    <w:rsid w:val="00213381"/>
    <w:rsid w:val="002159B3"/>
    <w:rsid w:val="00216A19"/>
    <w:rsid w:val="00217156"/>
    <w:rsid w:val="002219CB"/>
    <w:rsid w:val="00224AD1"/>
    <w:rsid w:val="00225626"/>
    <w:rsid w:val="0022593E"/>
    <w:rsid w:val="00226ED1"/>
    <w:rsid w:val="0023049E"/>
    <w:rsid w:val="00230EE0"/>
    <w:rsid w:val="00231C70"/>
    <w:rsid w:val="00232AD5"/>
    <w:rsid w:val="00233136"/>
    <w:rsid w:val="00233B0A"/>
    <w:rsid w:val="00235544"/>
    <w:rsid w:val="0023572B"/>
    <w:rsid w:val="00235B42"/>
    <w:rsid w:val="00244FFB"/>
    <w:rsid w:val="00245124"/>
    <w:rsid w:val="002464AE"/>
    <w:rsid w:val="00246C14"/>
    <w:rsid w:val="00247029"/>
    <w:rsid w:val="0025060F"/>
    <w:rsid w:val="00252208"/>
    <w:rsid w:val="0025351C"/>
    <w:rsid w:val="002537C5"/>
    <w:rsid w:val="00254DC6"/>
    <w:rsid w:val="0025537D"/>
    <w:rsid w:val="002559FD"/>
    <w:rsid w:val="00255D23"/>
    <w:rsid w:val="0026139A"/>
    <w:rsid w:val="00261843"/>
    <w:rsid w:val="00266538"/>
    <w:rsid w:val="002666A4"/>
    <w:rsid w:val="002676B7"/>
    <w:rsid w:val="002709EE"/>
    <w:rsid w:val="00270D45"/>
    <w:rsid w:val="00270F00"/>
    <w:rsid w:val="00271549"/>
    <w:rsid w:val="002716D8"/>
    <w:rsid w:val="002723E8"/>
    <w:rsid w:val="00272E52"/>
    <w:rsid w:val="00273CA0"/>
    <w:rsid w:val="00273F8A"/>
    <w:rsid w:val="00274300"/>
    <w:rsid w:val="00274E33"/>
    <w:rsid w:val="00275B4B"/>
    <w:rsid w:val="00276EB9"/>
    <w:rsid w:val="0028008A"/>
    <w:rsid w:val="00283003"/>
    <w:rsid w:val="00283072"/>
    <w:rsid w:val="0028330D"/>
    <w:rsid w:val="00285C96"/>
    <w:rsid w:val="00286FCE"/>
    <w:rsid w:val="002913C9"/>
    <w:rsid w:val="00291A1D"/>
    <w:rsid w:val="00291F25"/>
    <w:rsid w:val="002930FB"/>
    <w:rsid w:val="002940E8"/>
    <w:rsid w:val="00294CF1"/>
    <w:rsid w:val="00296CFF"/>
    <w:rsid w:val="00296D45"/>
    <w:rsid w:val="002A0234"/>
    <w:rsid w:val="002A064C"/>
    <w:rsid w:val="002A1BF2"/>
    <w:rsid w:val="002A1C8F"/>
    <w:rsid w:val="002A4C67"/>
    <w:rsid w:val="002A5EF6"/>
    <w:rsid w:val="002A641A"/>
    <w:rsid w:val="002B2D8F"/>
    <w:rsid w:val="002B2F57"/>
    <w:rsid w:val="002B316A"/>
    <w:rsid w:val="002B3A99"/>
    <w:rsid w:val="002B55C6"/>
    <w:rsid w:val="002B6A42"/>
    <w:rsid w:val="002C16DB"/>
    <w:rsid w:val="002C1B58"/>
    <w:rsid w:val="002C3C6D"/>
    <w:rsid w:val="002C425B"/>
    <w:rsid w:val="002C446C"/>
    <w:rsid w:val="002C4B34"/>
    <w:rsid w:val="002C578A"/>
    <w:rsid w:val="002C6069"/>
    <w:rsid w:val="002C6201"/>
    <w:rsid w:val="002C6955"/>
    <w:rsid w:val="002D1E2B"/>
    <w:rsid w:val="002D380D"/>
    <w:rsid w:val="002D4C8F"/>
    <w:rsid w:val="002D5C94"/>
    <w:rsid w:val="002D5FC7"/>
    <w:rsid w:val="002D71F0"/>
    <w:rsid w:val="002D7206"/>
    <w:rsid w:val="002D7762"/>
    <w:rsid w:val="002E0161"/>
    <w:rsid w:val="002E0BB6"/>
    <w:rsid w:val="002E100D"/>
    <w:rsid w:val="002E4E02"/>
    <w:rsid w:val="002E590C"/>
    <w:rsid w:val="002E69F7"/>
    <w:rsid w:val="002E7FEC"/>
    <w:rsid w:val="002F0A22"/>
    <w:rsid w:val="002F2C75"/>
    <w:rsid w:val="002F501A"/>
    <w:rsid w:val="002F55B4"/>
    <w:rsid w:val="002F5E0B"/>
    <w:rsid w:val="002F7715"/>
    <w:rsid w:val="00300261"/>
    <w:rsid w:val="00301366"/>
    <w:rsid w:val="0030145B"/>
    <w:rsid w:val="00302019"/>
    <w:rsid w:val="00305094"/>
    <w:rsid w:val="003061AA"/>
    <w:rsid w:val="00306643"/>
    <w:rsid w:val="00312BEC"/>
    <w:rsid w:val="00313B5A"/>
    <w:rsid w:val="00313DFB"/>
    <w:rsid w:val="00314D70"/>
    <w:rsid w:val="00315F62"/>
    <w:rsid w:val="003166C4"/>
    <w:rsid w:val="00316F3E"/>
    <w:rsid w:val="00317CD4"/>
    <w:rsid w:val="003208B8"/>
    <w:rsid w:val="003223EB"/>
    <w:rsid w:val="00323014"/>
    <w:rsid w:val="0032362E"/>
    <w:rsid w:val="00323D29"/>
    <w:rsid w:val="00324247"/>
    <w:rsid w:val="003242FE"/>
    <w:rsid w:val="00324B5C"/>
    <w:rsid w:val="003251C4"/>
    <w:rsid w:val="00326841"/>
    <w:rsid w:val="00330C97"/>
    <w:rsid w:val="00330CF1"/>
    <w:rsid w:val="00331F26"/>
    <w:rsid w:val="0033202F"/>
    <w:rsid w:val="00334EEA"/>
    <w:rsid w:val="00335AEE"/>
    <w:rsid w:val="0034123F"/>
    <w:rsid w:val="003413ED"/>
    <w:rsid w:val="00341E14"/>
    <w:rsid w:val="00346BB1"/>
    <w:rsid w:val="00350449"/>
    <w:rsid w:val="00352598"/>
    <w:rsid w:val="00352B00"/>
    <w:rsid w:val="003532CC"/>
    <w:rsid w:val="003541D1"/>
    <w:rsid w:val="0035472E"/>
    <w:rsid w:val="003551B4"/>
    <w:rsid w:val="003566C0"/>
    <w:rsid w:val="00356D15"/>
    <w:rsid w:val="00357CEC"/>
    <w:rsid w:val="00360D28"/>
    <w:rsid w:val="003616E5"/>
    <w:rsid w:val="00363D60"/>
    <w:rsid w:val="003648DF"/>
    <w:rsid w:val="00366701"/>
    <w:rsid w:val="00366FF1"/>
    <w:rsid w:val="00367767"/>
    <w:rsid w:val="00371BC0"/>
    <w:rsid w:val="00372777"/>
    <w:rsid w:val="003738E0"/>
    <w:rsid w:val="0037496C"/>
    <w:rsid w:val="00375F74"/>
    <w:rsid w:val="00381316"/>
    <w:rsid w:val="00381522"/>
    <w:rsid w:val="0038401A"/>
    <w:rsid w:val="00384E37"/>
    <w:rsid w:val="00385C7D"/>
    <w:rsid w:val="0038666D"/>
    <w:rsid w:val="00386FBB"/>
    <w:rsid w:val="00387F35"/>
    <w:rsid w:val="00390D5C"/>
    <w:rsid w:val="0039160B"/>
    <w:rsid w:val="003918A1"/>
    <w:rsid w:val="0039297B"/>
    <w:rsid w:val="003936A6"/>
    <w:rsid w:val="003945D0"/>
    <w:rsid w:val="00394CD7"/>
    <w:rsid w:val="00395B66"/>
    <w:rsid w:val="0039683C"/>
    <w:rsid w:val="00396A29"/>
    <w:rsid w:val="00397AD8"/>
    <w:rsid w:val="003A16A5"/>
    <w:rsid w:val="003A16D3"/>
    <w:rsid w:val="003A40B0"/>
    <w:rsid w:val="003A593A"/>
    <w:rsid w:val="003A62DA"/>
    <w:rsid w:val="003A6EAD"/>
    <w:rsid w:val="003A7D7E"/>
    <w:rsid w:val="003B122D"/>
    <w:rsid w:val="003B2488"/>
    <w:rsid w:val="003B2B23"/>
    <w:rsid w:val="003B34B4"/>
    <w:rsid w:val="003B7639"/>
    <w:rsid w:val="003B7700"/>
    <w:rsid w:val="003C19B7"/>
    <w:rsid w:val="003C397D"/>
    <w:rsid w:val="003C49C1"/>
    <w:rsid w:val="003D0903"/>
    <w:rsid w:val="003D3834"/>
    <w:rsid w:val="003D4A78"/>
    <w:rsid w:val="003D513A"/>
    <w:rsid w:val="003D6112"/>
    <w:rsid w:val="003E2870"/>
    <w:rsid w:val="003E3329"/>
    <w:rsid w:val="003E4CE8"/>
    <w:rsid w:val="003E630A"/>
    <w:rsid w:val="003E6407"/>
    <w:rsid w:val="003F045D"/>
    <w:rsid w:val="003F1343"/>
    <w:rsid w:val="003F3C2B"/>
    <w:rsid w:val="003F5B64"/>
    <w:rsid w:val="003F787B"/>
    <w:rsid w:val="00401D94"/>
    <w:rsid w:val="00404A39"/>
    <w:rsid w:val="0040603A"/>
    <w:rsid w:val="0040650C"/>
    <w:rsid w:val="00406E58"/>
    <w:rsid w:val="004073B7"/>
    <w:rsid w:val="00407D07"/>
    <w:rsid w:val="0041013E"/>
    <w:rsid w:val="004105F0"/>
    <w:rsid w:val="00410DDB"/>
    <w:rsid w:val="0041146F"/>
    <w:rsid w:val="00412867"/>
    <w:rsid w:val="00413055"/>
    <w:rsid w:val="004138C5"/>
    <w:rsid w:val="00413CCF"/>
    <w:rsid w:val="00414123"/>
    <w:rsid w:val="004158EA"/>
    <w:rsid w:val="004159F0"/>
    <w:rsid w:val="004170C6"/>
    <w:rsid w:val="004171A0"/>
    <w:rsid w:val="00417B08"/>
    <w:rsid w:val="00417F79"/>
    <w:rsid w:val="004201A1"/>
    <w:rsid w:val="004205A1"/>
    <w:rsid w:val="00420E15"/>
    <w:rsid w:val="00421648"/>
    <w:rsid w:val="00421DC9"/>
    <w:rsid w:val="004221CD"/>
    <w:rsid w:val="00423139"/>
    <w:rsid w:val="004253BE"/>
    <w:rsid w:val="00425967"/>
    <w:rsid w:val="004261C2"/>
    <w:rsid w:val="004269B7"/>
    <w:rsid w:val="0043080D"/>
    <w:rsid w:val="00430B6A"/>
    <w:rsid w:val="00430D28"/>
    <w:rsid w:val="0043442D"/>
    <w:rsid w:val="00434670"/>
    <w:rsid w:val="00434D5D"/>
    <w:rsid w:val="00435936"/>
    <w:rsid w:val="00435ADB"/>
    <w:rsid w:val="00440373"/>
    <w:rsid w:val="00440913"/>
    <w:rsid w:val="00441406"/>
    <w:rsid w:val="00447F37"/>
    <w:rsid w:val="00450CCC"/>
    <w:rsid w:val="0045202C"/>
    <w:rsid w:val="00453A03"/>
    <w:rsid w:val="004551C9"/>
    <w:rsid w:val="0045765C"/>
    <w:rsid w:val="00464374"/>
    <w:rsid w:val="00464886"/>
    <w:rsid w:val="00465D41"/>
    <w:rsid w:val="00471855"/>
    <w:rsid w:val="00476893"/>
    <w:rsid w:val="00481297"/>
    <w:rsid w:val="004827E5"/>
    <w:rsid w:val="00482800"/>
    <w:rsid w:val="00482F90"/>
    <w:rsid w:val="00484DD2"/>
    <w:rsid w:val="0048589A"/>
    <w:rsid w:val="00485A89"/>
    <w:rsid w:val="00487388"/>
    <w:rsid w:val="00490087"/>
    <w:rsid w:val="00490CE5"/>
    <w:rsid w:val="004915C4"/>
    <w:rsid w:val="00493BB9"/>
    <w:rsid w:val="004A2650"/>
    <w:rsid w:val="004A2E41"/>
    <w:rsid w:val="004A3EB3"/>
    <w:rsid w:val="004A4EB6"/>
    <w:rsid w:val="004A53FF"/>
    <w:rsid w:val="004A6076"/>
    <w:rsid w:val="004A6DAC"/>
    <w:rsid w:val="004A78F2"/>
    <w:rsid w:val="004B065A"/>
    <w:rsid w:val="004B0A8C"/>
    <w:rsid w:val="004B0B6B"/>
    <w:rsid w:val="004B1A7D"/>
    <w:rsid w:val="004B1C48"/>
    <w:rsid w:val="004B1D14"/>
    <w:rsid w:val="004B2B2C"/>
    <w:rsid w:val="004B5B09"/>
    <w:rsid w:val="004B7A3C"/>
    <w:rsid w:val="004C007F"/>
    <w:rsid w:val="004C1E21"/>
    <w:rsid w:val="004C2642"/>
    <w:rsid w:val="004C3924"/>
    <w:rsid w:val="004C41D7"/>
    <w:rsid w:val="004C4512"/>
    <w:rsid w:val="004C4B4F"/>
    <w:rsid w:val="004C4F84"/>
    <w:rsid w:val="004C4FC8"/>
    <w:rsid w:val="004C55D8"/>
    <w:rsid w:val="004C5906"/>
    <w:rsid w:val="004C700D"/>
    <w:rsid w:val="004D0899"/>
    <w:rsid w:val="004D19EF"/>
    <w:rsid w:val="004D1C8D"/>
    <w:rsid w:val="004D5057"/>
    <w:rsid w:val="004E1024"/>
    <w:rsid w:val="004E1D1B"/>
    <w:rsid w:val="004E21AB"/>
    <w:rsid w:val="004E2512"/>
    <w:rsid w:val="004E2F07"/>
    <w:rsid w:val="004E4A02"/>
    <w:rsid w:val="004E7B95"/>
    <w:rsid w:val="004F1F98"/>
    <w:rsid w:val="004F27AE"/>
    <w:rsid w:val="004F3B0E"/>
    <w:rsid w:val="004F5BC7"/>
    <w:rsid w:val="004F672B"/>
    <w:rsid w:val="004F6AA5"/>
    <w:rsid w:val="004F70B7"/>
    <w:rsid w:val="004F7190"/>
    <w:rsid w:val="004F72F3"/>
    <w:rsid w:val="004F788F"/>
    <w:rsid w:val="004F7B6F"/>
    <w:rsid w:val="00500494"/>
    <w:rsid w:val="00501605"/>
    <w:rsid w:val="00502758"/>
    <w:rsid w:val="0050281A"/>
    <w:rsid w:val="005030C0"/>
    <w:rsid w:val="00503192"/>
    <w:rsid w:val="0050538A"/>
    <w:rsid w:val="00505B8E"/>
    <w:rsid w:val="00505C1C"/>
    <w:rsid w:val="00507A15"/>
    <w:rsid w:val="00507BE1"/>
    <w:rsid w:val="00507F2A"/>
    <w:rsid w:val="00510318"/>
    <w:rsid w:val="0051224E"/>
    <w:rsid w:val="00512CB8"/>
    <w:rsid w:val="0051360A"/>
    <w:rsid w:val="005138AF"/>
    <w:rsid w:val="005139D3"/>
    <w:rsid w:val="00513E45"/>
    <w:rsid w:val="0051421C"/>
    <w:rsid w:val="005165E6"/>
    <w:rsid w:val="00516949"/>
    <w:rsid w:val="00516BD2"/>
    <w:rsid w:val="00517A17"/>
    <w:rsid w:val="00517AD1"/>
    <w:rsid w:val="00517F12"/>
    <w:rsid w:val="005220CF"/>
    <w:rsid w:val="005243DD"/>
    <w:rsid w:val="00525223"/>
    <w:rsid w:val="00525718"/>
    <w:rsid w:val="00525D67"/>
    <w:rsid w:val="005263B2"/>
    <w:rsid w:val="00527195"/>
    <w:rsid w:val="005273B2"/>
    <w:rsid w:val="005277FC"/>
    <w:rsid w:val="00527BDB"/>
    <w:rsid w:val="00527CC2"/>
    <w:rsid w:val="00527F25"/>
    <w:rsid w:val="00527F26"/>
    <w:rsid w:val="005320AC"/>
    <w:rsid w:val="005326D9"/>
    <w:rsid w:val="005346A3"/>
    <w:rsid w:val="00535B31"/>
    <w:rsid w:val="00536CCF"/>
    <w:rsid w:val="0053760E"/>
    <w:rsid w:val="005407DC"/>
    <w:rsid w:val="0054179D"/>
    <w:rsid w:val="005434E7"/>
    <w:rsid w:val="00543CE5"/>
    <w:rsid w:val="00543FF5"/>
    <w:rsid w:val="00547210"/>
    <w:rsid w:val="00547AD0"/>
    <w:rsid w:val="005512CE"/>
    <w:rsid w:val="0055174A"/>
    <w:rsid w:val="00551DA6"/>
    <w:rsid w:val="005539B0"/>
    <w:rsid w:val="00553B17"/>
    <w:rsid w:val="005541E4"/>
    <w:rsid w:val="0056094D"/>
    <w:rsid w:val="005609E4"/>
    <w:rsid w:val="00560AA7"/>
    <w:rsid w:val="0056316C"/>
    <w:rsid w:val="00565B3A"/>
    <w:rsid w:val="005661F4"/>
    <w:rsid w:val="005714A0"/>
    <w:rsid w:val="005728CF"/>
    <w:rsid w:val="005742E5"/>
    <w:rsid w:val="00577FA7"/>
    <w:rsid w:val="005804D8"/>
    <w:rsid w:val="00583090"/>
    <w:rsid w:val="00583B9B"/>
    <w:rsid w:val="0058468C"/>
    <w:rsid w:val="00585EC6"/>
    <w:rsid w:val="00587C75"/>
    <w:rsid w:val="005937D6"/>
    <w:rsid w:val="00594C98"/>
    <w:rsid w:val="005962F5"/>
    <w:rsid w:val="005969CB"/>
    <w:rsid w:val="005976B2"/>
    <w:rsid w:val="00597CE8"/>
    <w:rsid w:val="005A0BAD"/>
    <w:rsid w:val="005A18C4"/>
    <w:rsid w:val="005A1A2F"/>
    <w:rsid w:val="005A406A"/>
    <w:rsid w:val="005A41DF"/>
    <w:rsid w:val="005A43DE"/>
    <w:rsid w:val="005A580F"/>
    <w:rsid w:val="005A7A5F"/>
    <w:rsid w:val="005A7B95"/>
    <w:rsid w:val="005B118F"/>
    <w:rsid w:val="005B1617"/>
    <w:rsid w:val="005B3257"/>
    <w:rsid w:val="005B6003"/>
    <w:rsid w:val="005C046F"/>
    <w:rsid w:val="005C0933"/>
    <w:rsid w:val="005C39EA"/>
    <w:rsid w:val="005C6DF6"/>
    <w:rsid w:val="005D0C86"/>
    <w:rsid w:val="005D0DED"/>
    <w:rsid w:val="005D1839"/>
    <w:rsid w:val="005D1AF7"/>
    <w:rsid w:val="005D1BC7"/>
    <w:rsid w:val="005D1E70"/>
    <w:rsid w:val="005D21CE"/>
    <w:rsid w:val="005D3F95"/>
    <w:rsid w:val="005D4037"/>
    <w:rsid w:val="005D6426"/>
    <w:rsid w:val="005D73B0"/>
    <w:rsid w:val="005E0A69"/>
    <w:rsid w:val="005E0B8B"/>
    <w:rsid w:val="005E2F51"/>
    <w:rsid w:val="005E3DBE"/>
    <w:rsid w:val="005E4DFB"/>
    <w:rsid w:val="005E51F4"/>
    <w:rsid w:val="005F01EF"/>
    <w:rsid w:val="005F03C4"/>
    <w:rsid w:val="005F096C"/>
    <w:rsid w:val="005F1CEC"/>
    <w:rsid w:val="005F1E9F"/>
    <w:rsid w:val="005F5C52"/>
    <w:rsid w:val="005F655C"/>
    <w:rsid w:val="005F6E37"/>
    <w:rsid w:val="005F709D"/>
    <w:rsid w:val="00601216"/>
    <w:rsid w:val="00601635"/>
    <w:rsid w:val="00601E88"/>
    <w:rsid w:val="00601FF7"/>
    <w:rsid w:val="006020CE"/>
    <w:rsid w:val="00603C15"/>
    <w:rsid w:val="00603FC7"/>
    <w:rsid w:val="00604047"/>
    <w:rsid w:val="00604814"/>
    <w:rsid w:val="00606A04"/>
    <w:rsid w:val="00607EF9"/>
    <w:rsid w:val="00607FD4"/>
    <w:rsid w:val="00611F58"/>
    <w:rsid w:val="00614355"/>
    <w:rsid w:val="00614AE6"/>
    <w:rsid w:val="006158FE"/>
    <w:rsid w:val="00615F89"/>
    <w:rsid w:val="00616E38"/>
    <w:rsid w:val="00617315"/>
    <w:rsid w:val="006207CC"/>
    <w:rsid w:val="00622894"/>
    <w:rsid w:val="00622E4F"/>
    <w:rsid w:val="00622FF1"/>
    <w:rsid w:val="00623C81"/>
    <w:rsid w:val="006242D7"/>
    <w:rsid w:val="006243A5"/>
    <w:rsid w:val="00627008"/>
    <w:rsid w:val="00627AF3"/>
    <w:rsid w:val="00627FED"/>
    <w:rsid w:val="006309AA"/>
    <w:rsid w:val="00631682"/>
    <w:rsid w:val="006323E8"/>
    <w:rsid w:val="00633FE3"/>
    <w:rsid w:val="0063401D"/>
    <w:rsid w:val="00636E33"/>
    <w:rsid w:val="00636EB6"/>
    <w:rsid w:val="006440E2"/>
    <w:rsid w:val="00644BE0"/>
    <w:rsid w:val="00645935"/>
    <w:rsid w:val="00646792"/>
    <w:rsid w:val="0064719C"/>
    <w:rsid w:val="006501E5"/>
    <w:rsid w:val="0065052D"/>
    <w:rsid w:val="00650561"/>
    <w:rsid w:val="0065184A"/>
    <w:rsid w:val="00651AA3"/>
    <w:rsid w:val="00652EBD"/>
    <w:rsid w:val="00652F81"/>
    <w:rsid w:val="006535BF"/>
    <w:rsid w:val="006536BA"/>
    <w:rsid w:val="00653FB5"/>
    <w:rsid w:val="006543E6"/>
    <w:rsid w:val="006575CE"/>
    <w:rsid w:val="006575FA"/>
    <w:rsid w:val="006630E3"/>
    <w:rsid w:val="006631A3"/>
    <w:rsid w:val="00664B70"/>
    <w:rsid w:val="006672D8"/>
    <w:rsid w:val="00671FBC"/>
    <w:rsid w:val="00672DDC"/>
    <w:rsid w:val="00673731"/>
    <w:rsid w:val="0067472B"/>
    <w:rsid w:val="00675ABB"/>
    <w:rsid w:val="00676892"/>
    <w:rsid w:val="00676940"/>
    <w:rsid w:val="00676E32"/>
    <w:rsid w:val="0068050E"/>
    <w:rsid w:val="00684030"/>
    <w:rsid w:val="00687F62"/>
    <w:rsid w:val="0069429F"/>
    <w:rsid w:val="00694AC7"/>
    <w:rsid w:val="006952C7"/>
    <w:rsid w:val="00696490"/>
    <w:rsid w:val="006A0272"/>
    <w:rsid w:val="006A0966"/>
    <w:rsid w:val="006A0D24"/>
    <w:rsid w:val="006A32EA"/>
    <w:rsid w:val="006A48D5"/>
    <w:rsid w:val="006A4C15"/>
    <w:rsid w:val="006A508E"/>
    <w:rsid w:val="006A6137"/>
    <w:rsid w:val="006B03A3"/>
    <w:rsid w:val="006B1A18"/>
    <w:rsid w:val="006B36F2"/>
    <w:rsid w:val="006B5731"/>
    <w:rsid w:val="006B5F0E"/>
    <w:rsid w:val="006B771E"/>
    <w:rsid w:val="006C14BF"/>
    <w:rsid w:val="006C2691"/>
    <w:rsid w:val="006C2B57"/>
    <w:rsid w:val="006C3198"/>
    <w:rsid w:val="006C31C5"/>
    <w:rsid w:val="006C47CB"/>
    <w:rsid w:val="006C4C7C"/>
    <w:rsid w:val="006C6102"/>
    <w:rsid w:val="006C6144"/>
    <w:rsid w:val="006C6915"/>
    <w:rsid w:val="006C73A4"/>
    <w:rsid w:val="006C7CA1"/>
    <w:rsid w:val="006D0568"/>
    <w:rsid w:val="006D09FE"/>
    <w:rsid w:val="006D1405"/>
    <w:rsid w:val="006D2932"/>
    <w:rsid w:val="006D3B23"/>
    <w:rsid w:val="006D57F6"/>
    <w:rsid w:val="006D60E8"/>
    <w:rsid w:val="006D7D38"/>
    <w:rsid w:val="006E0637"/>
    <w:rsid w:val="006E0E84"/>
    <w:rsid w:val="006E191E"/>
    <w:rsid w:val="006E257B"/>
    <w:rsid w:val="006E352A"/>
    <w:rsid w:val="006E4447"/>
    <w:rsid w:val="006E5452"/>
    <w:rsid w:val="006E5CC3"/>
    <w:rsid w:val="006F1196"/>
    <w:rsid w:val="006F1444"/>
    <w:rsid w:val="006F175E"/>
    <w:rsid w:val="006F213D"/>
    <w:rsid w:val="006F37CA"/>
    <w:rsid w:val="00701F71"/>
    <w:rsid w:val="00702852"/>
    <w:rsid w:val="00702BFF"/>
    <w:rsid w:val="00702CF6"/>
    <w:rsid w:val="007034A5"/>
    <w:rsid w:val="00704B75"/>
    <w:rsid w:val="00707590"/>
    <w:rsid w:val="00711092"/>
    <w:rsid w:val="00711C8A"/>
    <w:rsid w:val="0071239B"/>
    <w:rsid w:val="00712A4C"/>
    <w:rsid w:val="00712E9F"/>
    <w:rsid w:val="00713182"/>
    <w:rsid w:val="007131CB"/>
    <w:rsid w:val="007149B3"/>
    <w:rsid w:val="00717EB6"/>
    <w:rsid w:val="007201DA"/>
    <w:rsid w:val="007207A5"/>
    <w:rsid w:val="007211F7"/>
    <w:rsid w:val="007234EA"/>
    <w:rsid w:val="007254CD"/>
    <w:rsid w:val="00725A50"/>
    <w:rsid w:val="007263EE"/>
    <w:rsid w:val="00726D85"/>
    <w:rsid w:val="007278BB"/>
    <w:rsid w:val="00727B95"/>
    <w:rsid w:val="00730219"/>
    <w:rsid w:val="00730C7B"/>
    <w:rsid w:val="0073263E"/>
    <w:rsid w:val="00733561"/>
    <w:rsid w:val="00737E19"/>
    <w:rsid w:val="00744B04"/>
    <w:rsid w:val="0074753E"/>
    <w:rsid w:val="00747EEA"/>
    <w:rsid w:val="0075113C"/>
    <w:rsid w:val="00752DAD"/>
    <w:rsid w:val="0075493C"/>
    <w:rsid w:val="007558BF"/>
    <w:rsid w:val="007563ED"/>
    <w:rsid w:val="007565A8"/>
    <w:rsid w:val="00757792"/>
    <w:rsid w:val="0076070B"/>
    <w:rsid w:val="00760798"/>
    <w:rsid w:val="007633B4"/>
    <w:rsid w:val="007634E2"/>
    <w:rsid w:val="00763FEA"/>
    <w:rsid w:val="007643FA"/>
    <w:rsid w:val="00764C0C"/>
    <w:rsid w:val="00764E5C"/>
    <w:rsid w:val="007664BB"/>
    <w:rsid w:val="00766BF3"/>
    <w:rsid w:val="00767684"/>
    <w:rsid w:val="007713B7"/>
    <w:rsid w:val="00771E00"/>
    <w:rsid w:val="00773419"/>
    <w:rsid w:val="00773523"/>
    <w:rsid w:val="00773B0C"/>
    <w:rsid w:val="00775B0C"/>
    <w:rsid w:val="00776384"/>
    <w:rsid w:val="00780F3C"/>
    <w:rsid w:val="007825C8"/>
    <w:rsid w:val="00782D71"/>
    <w:rsid w:val="007833F0"/>
    <w:rsid w:val="00783A4E"/>
    <w:rsid w:val="00791BA4"/>
    <w:rsid w:val="007942E1"/>
    <w:rsid w:val="0079735E"/>
    <w:rsid w:val="00797C50"/>
    <w:rsid w:val="00797DDC"/>
    <w:rsid w:val="007A0258"/>
    <w:rsid w:val="007A0456"/>
    <w:rsid w:val="007A0B46"/>
    <w:rsid w:val="007A0D4C"/>
    <w:rsid w:val="007A1835"/>
    <w:rsid w:val="007A24DD"/>
    <w:rsid w:val="007A3667"/>
    <w:rsid w:val="007A4BB6"/>
    <w:rsid w:val="007A52FA"/>
    <w:rsid w:val="007A5802"/>
    <w:rsid w:val="007A5906"/>
    <w:rsid w:val="007A6388"/>
    <w:rsid w:val="007A6952"/>
    <w:rsid w:val="007A6D1A"/>
    <w:rsid w:val="007A6DDD"/>
    <w:rsid w:val="007B26A1"/>
    <w:rsid w:val="007B3BF0"/>
    <w:rsid w:val="007B44AA"/>
    <w:rsid w:val="007B6122"/>
    <w:rsid w:val="007B7153"/>
    <w:rsid w:val="007C0EEB"/>
    <w:rsid w:val="007C1C5C"/>
    <w:rsid w:val="007C2D97"/>
    <w:rsid w:val="007C333B"/>
    <w:rsid w:val="007C338A"/>
    <w:rsid w:val="007C5AD9"/>
    <w:rsid w:val="007C6A48"/>
    <w:rsid w:val="007C7F51"/>
    <w:rsid w:val="007D0184"/>
    <w:rsid w:val="007D232D"/>
    <w:rsid w:val="007D4832"/>
    <w:rsid w:val="007D4A14"/>
    <w:rsid w:val="007D5197"/>
    <w:rsid w:val="007E031B"/>
    <w:rsid w:val="007E15F4"/>
    <w:rsid w:val="007E24DE"/>
    <w:rsid w:val="007E2564"/>
    <w:rsid w:val="007E3378"/>
    <w:rsid w:val="007E5033"/>
    <w:rsid w:val="007E5145"/>
    <w:rsid w:val="007E562D"/>
    <w:rsid w:val="007E72A7"/>
    <w:rsid w:val="007F07B6"/>
    <w:rsid w:val="007F07E8"/>
    <w:rsid w:val="007F1CBB"/>
    <w:rsid w:val="007F3083"/>
    <w:rsid w:val="007F57AC"/>
    <w:rsid w:val="007F5958"/>
    <w:rsid w:val="007F6CF5"/>
    <w:rsid w:val="007F7168"/>
    <w:rsid w:val="007F71FA"/>
    <w:rsid w:val="007F7EE8"/>
    <w:rsid w:val="00800739"/>
    <w:rsid w:val="0080498C"/>
    <w:rsid w:val="00805391"/>
    <w:rsid w:val="00806470"/>
    <w:rsid w:val="00806C3B"/>
    <w:rsid w:val="00807690"/>
    <w:rsid w:val="00810B21"/>
    <w:rsid w:val="008112C7"/>
    <w:rsid w:val="00813700"/>
    <w:rsid w:val="00815EC0"/>
    <w:rsid w:val="0081619E"/>
    <w:rsid w:val="00816AB7"/>
    <w:rsid w:val="00817C1D"/>
    <w:rsid w:val="0082112B"/>
    <w:rsid w:val="00824233"/>
    <w:rsid w:val="008249C6"/>
    <w:rsid w:val="00824E57"/>
    <w:rsid w:val="0082791D"/>
    <w:rsid w:val="00827EB2"/>
    <w:rsid w:val="008308A7"/>
    <w:rsid w:val="00830B09"/>
    <w:rsid w:val="008312A0"/>
    <w:rsid w:val="00831E98"/>
    <w:rsid w:val="00832C43"/>
    <w:rsid w:val="00833796"/>
    <w:rsid w:val="0083385B"/>
    <w:rsid w:val="00834352"/>
    <w:rsid w:val="00835604"/>
    <w:rsid w:val="00835781"/>
    <w:rsid w:val="00837201"/>
    <w:rsid w:val="008401FB"/>
    <w:rsid w:val="00840C16"/>
    <w:rsid w:val="00843D0E"/>
    <w:rsid w:val="008441D1"/>
    <w:rsid w:val="00844D0F"/>
    <w:rsid w:val="00845C68"/>
    <w:rsid w:val="0085073D"/>
    <w:rsid w:val="00851B62"/>
    <w:rsid w:val="00852375"/>
    <w:rsid w:val="008538A0"/>
    <w:rsid w:val="008546BE"/>
    <w:rsid w:val="00856D63"/>
    <w:rsid w:val="00856DC9"/>
    <w:rsid w:val="00857088"/>
    <w:rsid w:val="00860E86"/>
    <w:rsid w:val="008614F9"/>
    <w:rsid w:val="008616E8"/>
    <w:rsid w:val="00861868"/>
    <w:rsid w:val="00863067"/>
    <w:rsid w:val="00863335"/>
    <w:rsid w:val="00863500"/>
    <w:rsid w:val="00865356"/>
    <w:rsid w:val="00865559"/>
    <w:rsid w:val="0086659B"/>
    <w:rsid w:val="00870FFA"/>
    <w:rsid w:val="0087504E"/>
    <w:rsid w:val="0087536A"/>
    <w:rsid w:val="008756D5"/>
    <w:rsid w:val="00875B67"/>
    <w:rsid w:val="00875DDA"/>
    <w:rsid w:val="008779B9"/>
    <w:rsid w:val="00882D65"/>
    <w:rsid w:val="008841BF"/>
    <w:rsid w:val="008848EA"/>
    <w:rsid w:val="00890B17"/>
    <w:rsid w:val="008964A9"/>
    <w:rsid w:val="00896618"/>
    <w:rsid w:val="0089715A"/>
    <w:rsid w:val="008A235F"/>
    <w:rsid w:val="008A3C41"/>
    <w:rsid w:val="008A5A8F"/>
    <w:rsid w:val="008A5CBE"/>
    <w:rsid w:val="008A6DBC"/>
    <w:rsid w:val="008A7E2A"/>
    <w:rsid w:val="008B279F"/>
    <w:rsid w:val="008B314C"/>
    <w:rsid w:val="008B4A5F"/>
    <w:rsid w:val="008B603F"/>
    <w:rsid w:val="008B704A"/>
    <w:rsid w:val="008B70B5"/>
    <w:rsid w:val="008C0620"/>
    <w:rsid w:val="008C2F02"/>
    <w:rsid w:val="008C403E"/>
    <w:rsid w:val="008C46E0"/>
    <w:rsid w:val="008C7309"/>
    <w:rsid w:val="008D16B9"/>
    <w:rsid w:val="008D1D76"/>
    <w:rsid w:val="008D237F"/>
    <w:rsid w:val="008D2B17"/>
    <w:rsid w:val="008D3844"/>
    <w:rsid w:val="008E0602"/>
    <w:rsid w:val="008E097C"/>
    <w:rsid w:val="008F0345"/>
    <w:rsid w:val="008F1EC7"/>
    <w:rsid w:val="008F2633"/>
    <w:rsid w:val="008F3DFF"/>
    <w:rsid w:val="008F634D"/>
    <w:rsid w:val="008F7872"/>
    <w:rsid w:val="008F7EDB"/>
    <w:rsid w:val="0090151B"/>
    <w:rsid w:val="00902118"/>
    <w:rsid w:val="00902224"/>
    <w:rsid w:val="009026ED"/>
    <w:rsid w:val="0090518F"/>
    <w:rsid w:val="009056E1"/>
    <w:rsid w:val="009063CC"/>
    <w:rsid w:val="00907E07"/>
    <w:rsid w:val="00911444"/>
    <w:rsid w:val="00911790"/>
    <w:rsid w:val="009121BF"/>
    <w:rsid w:val="0091271B"/>
    <w:rsid w:val="00915D18"/>
    <w:rsid w:val="00916A76"/>
    <w:rsid w:val="009203DB"/>
    <w:rsid w:val="0092463F"/>
    <w:rsid w:val="00924C59"/>
    <w:rsid w:val="00924D4C"/>
    <w:rsid w:val="00925442"/>
    <w:rsid w:val="00926F54"/>
    <w:rsid w:val="009270ED"/>
    <w:rsid w:val="00927987"/>
    <w:rsid w:val="00930E4C"/>
    <w:rsid w:val="00931886"/>
    <w:rsid w:val="00932689"/>
    <w:rsid w:val="009326CD"/>
    <w:rsid w:val="00933921"/>
    <w:rsid w:val="00934BC0"/>
    <w:rsid w:val="00935539"/>
    <w:rsid w:val="00936740"/>
    <w:rsid w:val="009404D0"/>
    <w:rsid w:val="0094056E"/>
    <w:rsid w:val="00940ADF"/>
    <w:rsid w:val="00940C93"/>
    <w:rsid w:val="00943913"/>
    <w:rsid w:val="009459D7"/>
    <w:rsid w:val="00946261"/>
    <w:rsid w:val="009465C9"/>
    <w:rsid w:val="0094709A"/>
    <w:rsid w:val="009470AA"/>
    <w:rsid w:val="00951059"/>
    <w:rsid w:val="00951556"/>
    <w:rsid w:val="009518A4"/>
    <w:rsid w:val="00951E0F"/>
    <w:rsid w:val="009526F4"/>
    <w:rsid w:val="00952B8C"/>
    <w:rsid w:val="009544FF"/>
    <w:rsid w:val="0095494D"/>
    <w:rsid w:val="00955123"/>
    <w:rsid w:val="00957345"/>
    <w:rsid w:val="00957D62"/>
    <w:rsid w:val="00957DC7"/>
    <w:rsid w:val="009607C6"/>
    <w:rsid w:val="00960E37"/>
    <w:rsid w:val="00962265"/>
    <w:rsid w:val="00963C8E"/>
    <w:rsid w:val="009642F6"/>
    <w:rsid w:val="00964E52"/>
    <w:rsid w:val="0096595F"/>
    <w:rsid w:val="009672E5"/>
    <w:rsid w:val="009678EB"/>
    <w:rsid w:val="009705B7"/>
    <w:rsid w:val="00970623"/>
    <w:rsid w:val="00971CE7"/>
    <w:rsid w:val="00971E8F"/>
    <w:rsid w:val="009724A8"/>
    <w:rsid w:val="009739CC"/>
    <w:rsid w:val="00973A9B"/>
    <w:rsid w:val="00974183"/>
    <w:rsid w:val="0097478B"/>
    <w:rsid w:val="00976660"/>
    <w:rsid w:val="0097692E"/>
    <w:rsid w:val="009769A3"/>
    <w:rsid w:val="00976F2D"/>
    <w:rsid w:val="009771D9"/>
    <w:rsid w:val="009772FB"/>
    <w:rsid w:val="00977A3E"/>
    <w:rsid w:val="00981DC2"/>
    <w:rsid w:val="00982ACA"/>
    <w:rsid w:val="00982FC0"/>
    <w:rsid w:val="00983043"/>
    <w:rsid w:val="00983AD7"/>
    <w:rsid w:val="00984917"/>
    <w:rsid w:val="00985A0B"/>
    <w:rsid w:val="00986B1B"/>
    <w:rsid w:val="00987D91"/>
    <w:rsid w:val="00994019"/>
    <w:rsid w:val="0099455B"/>
    <w:rsid w:val="00996AB0"/>
    <w:rsid w:val="00997042"/>
    <w:rsid w:val="0099759A"/>
    <w:rsid w:val="009A09B6"/>
    <w:rsid w:val="009A1425"/>
    <w:rsid w:val="009A2A02"/>
    <w:rsid w:val="009A6052"/>
    <w:rsid w:val="009A69D8"/>
    <w:rsid w:val="009B158B"/>
    <w:rsid w:val="009B2EC9"/>
    <w:rsid w:val="009C16D3"/>
    <w:rsid w:val="009C7025"/>
    <w:rsid w:val="009C722A"/>
    <w:rsid w:val="009C74F6"/>
    <w:rsid w:val="009C7573"/>
    <w:rsid w:val="009C7ED2"/>
    <w:rsid w:val="009D0058"/>
    <w:rsid w:val="009D033B"/>
    <w:rsid w:val="009D1BE7"/>
    <w:rsid w:val="009D1E48"/>
    <w:rsid w:val="009D26AB"/>
    <w:rsid w:val="009D32DC"/>
    <w:rsid w:val="009D4C4F"/>
    <w:rsid w:val="009D699A"/>
    <w:rsid w:val="009D747B"/>
    <w:rsid w:val="009E0089"/>
    <w:rsid w:val="009E0EFA"/>
    <w:rsid w:val="009E1355"/>
    <w:rsid w:val="009E1A04"/>
    <w:rsid w:val="009E28E4"/>
    <w:rsid w:val="009E2CC0"/>
    <w:rsid w:val="009E44F1"/>
    <w:rsid w:val="009E5D1C"/>
    <w:rsid w:val="009E69DD"/>
    <w:rsid w:val="009F0330"/>
    <w:rsid w:val="009F0879"/>
    <w:rsid w:val="009F1AE3"/>
    <w:rsid w:val="009F3542"/>
    <w:rsid w:val="009F3948"/>
    <w:rsid w:val="009F3D70"/>
    <w:rsid w:val="009F4FD1"/>
    <w:rsid w:val="009F53EE"/>
    <w:rsid w:val="009F5B68"/>
    <w:rsid w:val="009F5F83"/>
    <w:rsid w:val="00A0124D"/>
    <w:rsid w:val="00A01748"/>
    <w:rsid w:val="00A02F16"/>
    <w:rsid w:val="00A03113"/>
    <w:rsid w:val="00A031CE"/>
    <w:rsid w:val="00A0330D"/>
    <w:rsid w:val="00A06471"/>
    <w:rsid w:val="00A07690"/>
    <w:rsid w:val="00A10937"/>
    <w:rsid w:val="00A1213B"/>
    <w:rsid w:val="00A128BE"/>
    <w:rsid w:val="00A15F95"/>
    <w:rsid w:val="00A16172"/>
    <w:rsid w:val="00A16A88"/>
    <w:rsid w:val="00A17A61"/>
    <w:rsid w:val="00A20EAF"/>
    <w:rsid w:val="00A2114B"/>
    <w:rsid w:val="00A213D8"/>
    <w:rsid w:val="00A21CEB"/>
    <w:rsid w:val="00A252B7"/>
    <w:rsid w:val="00A260BA"/>
    <w:rsid w:val="00A26494"/>
    <w:rsid w:val="00A27AFD"/>
    <w:rsid w:val="00A30FA4"/>
    <w:rsid w:val="00A31F78"/>
    <w:rsid w:val="00A32309"/>
    <w:rsid w:val="00A33739"/>
    <w:rsid w:val="00A4010E"/>
    <w:rsid w:val="00A41356"/>
    <w:rsid w:val="00A41CB6"/>
    <w:rsid w:val="00A443DB"/>
    <w:rsid w:val="00A45289"/>
    <w:rsid w:val="00A4645A"/>
    <w:rsid w:val="00A46860"/>
    <w:rsid w:val="00A47AA4"/>
    <w:rsid w:val="00A5136A"/>
    <w:rsid w:val="00A535A6"/>
    <w:rsid w:val="00A53F16"/>
    <w:rsid w:val="00A55003"/>
    <w:rsid w:val="00A556FC"/>
    <w:rsid w:val="00A55E79"/>
    <w:rsid w:val="00A563C4"/>
    <w:rsid w:val="00A568AF"/>
    <w:rsid w:val="00A61314"/>
    <w:rsid w:val="00A6328F"/>
    <w:rsid w:val="00A65DE1"/>
    <w:rsid w:val="00A65F93"/>
    <w:rsid w:val="00A660A0"/>
    <w:rsid w:val="00A6729D"/>
    <w:rsid w:val="00A71405"/>
    <w:rsid w:val="00A716AD"/>
    <w:rsid w:val="00A71D04"/>
    <w:rsid w:val="00A731F1"/>
    <w:rsid w:val="00A732BE"/>
    <w:rsid w:val="00A75C8B"/>
    <w:rsid w:val="00A77BDD"/>
    <w:rsid w:val="00A8238B"/>
    <w:rsid w:val="00A84228"/>
    <w:rsid w:val="00A8538A"/>
    <w:rsid w:val="00A8562C"/>
    <w:rsid w:val="00A859DC"/>
    <w:rsid w:val="00A86BBE"/>
    <w:rsid w:val="00A90A4F"/>
    <w:rsid w:val="00A926DF"/>
    <w:rsid w:val="00A92ACF"/>
    <w:rsid w:val="00A935D1"/>
    <w:rsid w:val="00A94C31"/>
    <w:rsid w:val="00A957BE"/>
    <w:rsid w:val="00A96FD1"/>
    <w:rsid w:val="00AA0092"/>
    <w:rsid w:val="00AA0F0A"/>
    <w:rsid w:val="00AA173F"/>
    <w:rsid w:val="00AA2187"/>
    <w:rsid w:val="00AA2834"/>
    <w:rsid w:val="00AA334D"/>
    <w:rsid w:val="00AA3445"/>
    <w:rsid w:val="00AA476A"/>
    <w:rsid w:val="00AA4BC6"/>
    <w:rsid w:val="00AA5372"/>
    <w:rsid w:val="00AA60D5"/>
    <w:rsid w:val="00AA6201"/>
    <w:rsid w:val="00AA77D3"/>
    <w:rsid w:val="00AA7B77"/>
    <w:rsid w:val="00AB0451"/>
    <w:rsid w:val="00AB06BE"/>
    <w:rsid w:val="00AB27A3"/>
    <w:rsid w:val="00AB4970"/>
    <w:rsid w:val="00AB574A"/>
    <w:rsid w:val="00AC08EC"/>
    <w:rsid w:val="00AC1CA0"/>
    <w:rsid w:val="00AC2F13"/>
    <w:rsid w:val="00AC5EFA"/>
    <w:rsid w:val="00AC6106"/>
    <w:rsid w:val="00AC6FA9"/>
    <w:rsid w:val="00AD1A7F"/>
    <w:rsid w:val="00AD2BCF"/>
    <w:rsid w:val="00AD4336"/>
    <w:rsid w:val="00AD546D"/>
    <w:rsid w:val="00AD69AD"/>
    <w:rsid w:val="00AD6BDD"/>
    <w:rsid w:val="00AD72BF"/>
    <w:rsid w:val="00AD7787"/>
    <w:rsid w:val="00AE1A5F"/>
    <w:rsid w:val="00AE1FBB"/>
    <w:rsid w:val="00AE3EDA"/>
    <w:rsid w:val="00AF124E"/>
    <w:rsid w:val="00AF13B7"/>
    <w:rsid w:val="00AF2CCC"/>
    <w:rsid w:val="00AF409C"/>
    <w:rsid w:val="00AF437F"/>
    <w:rsid w:val="00AF4F3A"/>
    <w:rsid w:val="00AF530D"/>
    <w:rsid w:val="00AF6BCC"/>
    <w:rsid w:val="00B00ADD"/>
    <w:rsid w:val="00B01568"/>
    <w:rsid w:val="00B01643"/>
    <w:rsid w:val="00B025CB"/>
    <w:rsid w:val="00B12CD3"/>
    <w:rsid w:val="00B134E0"/>
    <w:rsid w:val="00B1357D"/>
    <w:rsid w:val="00B1733A"/>
    <w:rsid w:val="00B20E8C"/>
    <w:rsid w:val="00B306E5"/>
    <w:rsid w:val="00B30954"/>
    <w:rsid w:val="00B31FFE"/>
    <w:rsid w:val="00B32DB8"/>
    <w:rsid w:val="00B34C51"/>
    <w:rsid w:val="00B34CF4"/>
    <w:rsid w:val="00B36D31"/>
    <w:rsid w:val="00B36F80"/>
    <w:rsid w:val="00B37475"/>
    <w:rsid w:val="00B46295"/>
    <w:rsid w:val="00B47379"/>
    <w:rsid w:val="00B50E3C"/>
    <w:rsid w:val="00B5108C"/>
    <w:rsid w:val="00B53537"/>
    <w:rsid w:val="00B55461"/>
    <w:rsid w:val="00B5700A"/>
    <w:rsid w:val="00B60921"/>
    <w:rsid w:val="00B61663"/>
    <w:rsid w:val="00B62D31"/>
    <w:rsid w:val="00B631C0"/>
    <w:rsid w:val="00B63890"/>
    <w:rsid w:val="00B709EA"/>
    <w:rsid w:val="00B74219"/>
    <w:rsid w:val="00B75D2C"/>
    <w:rsid w:val="00B77104"/>
    <w:rsid w:val="00B84A0F"/>
    <w:rsid w:val="00B85E04"/>
    <w:rsid w:val="00B86505"/>
    <w:rsid w:val="00B8773C"/>
    <w:rsid w:val="00B87ADA"/>
    <w:rsid w:val="00B87F6B"/>
    <w:rsid w:val="00B9150A"/>
    <w:rsid w:val="00B932EE"/>
    <w:rsid w:val="00B9606C"/>
    <w:rsid w:val="00B97760"/>
    <w:rsid w:val="00B97A88"/>
    <w:rsid w:val="00BA139E"/>
    <w:rsid w:val="00BA1784"/>
    <w:rsid w:val="00BA1FC3"/>
    <w:rsid w:val="00BA30D1"/>
    <w:rsid w:val="00BA373E"/>
    <w:rsid w:val="00BA4B3F"/>
    <w:rsid w:val="00BA5B49"/>
    <w:rsid w:val="00BA5C9F"/>
    <w:rsid w:val="00BB0F41"/>
    <w:rsid w:val="00BB3279"/>
    <w:rsid w:val="00BB3B0F"/>
    <w:rsid w:val="00BB7727"/>
    <w:rsid w:val="00BB7A7B"/>
    <w:rsid w:val="00BB7F4C"/>
    <w:rsid w:val="00BC1DD7"/>
    <w:rsid w:val="00BC3717"/>
    <w:rsid w:val="00BC3E8E"/>
    <w:rsid w:val="00BC4217"/>
    <w:rsid w:val="00BC4241"/>
    <w:rsid w:val="00BC6704"/>
    <w:rsid w:val="00BC77C1"/>
    <w:rsid w:val="00BD017B"/>
    <w:rsid w:val="00BD0A69"/>
    <w:rsid w:val="00BD33C7"/>
    <w:rsid w:val="00BD4A3F"/>
    <w:rsid w:val="00BE1C22"/>
    <w:rsid w:val="00BE2A8F"/>
    <w:rsid w:val="00BE49EE"/>
    <w:rsid w:val="00BE4DFF"/>
    <w:rsid w:val="00BE4F69"/>
    <w:rsid w:val="00BE59FF"/>
    <w:rsid w:val="00BE5BCA"/>
    <w:rsid w:val="00BE6D6D"/>
    <w:rsid w:val="00BE72FD"/>
    <w:rsid w:val="00BE78D6"/>
    <w:rsid w:val="00BF0211"/>
    <w:rsid w:val="00BF154A"/>
    <w:rsid w:val="00BF3D06"/>
    <w:rsid w:val="00BF47D8"/>
    <w:rsid w:val="00BF7669"/>
    <w:rsid w:val="00BF7A62"/>
    <w:rsid w:val="00BF7DBC"/>
    <w:rsid w:val="00BF7E24"/>
    <w:rsid w:val="00C00931"/>
    <w:rsid w:val="00C0126D"/>
    <w:rsid w:val="00C0371A"/>
    <w:rsid w:val="00C04EB5"/>
    <w:rsid w:val="00C05827"/>
    <w:rsid w:val="00C05C73"/>
    <w:rsid w:val="00C05CA6"/>
    <w:rsid w:val="00C05F52"/>
    <w:rsid w:val="00C074C2"/>
    <w:rsid w:val="00C10511"/>
    <w:rsid w:val="00C120C4"/>
    <w:rsid w:val="00C1331D"/>
    <w:rsid w:val="00C13E4C"/>
    <w:rsid w:val="00C206E4"/>
    <w:rsid w:val="00C20D87"/>
    <w:rsid w:val="00C219E6"/>
    <w:rsid w:val="00C231FC"/>
    <w:rsid w:val="00C25FEB"/>
    <w:rsid w:val="00C27827"/>
    <w:rsid w:val="00C306C5"/>
    <w:rsid w:val="00C30D06"/>
    <w:rsid w:val="00C3109D"/>
    <w:rsid w:val="00C31BD2"/>
    <w:rsid w:val="00C31DB1"/>
    <w:rsid w:val="00C3214B"/>
    <w:rsid w:val="00C32B10"/>
    <w:rsid w:val="00C32E00"/>
    <w:rsid w:val="00C33707"/>
    <w:rsid w:val="00C33F65"/>
    <w:rsid w:val="00C3444C"/>
    <w:rsid w:val="00C3590B"/>
    <w:rsid w:val="00C3636E"/>
    <w:rsid w:val="00C36F7E"/>
    <w:rsid w:val="00C4234B"/>
    <w:rsid w:val="00C45507"/>
    <w:rsid w:val="00C47538"/>
    <w:rsid w:val="00C51585"/>
    <w:rsid w:val="00C54427"/>
    <w:rsid w:val="00C60912"/>
    <w:rsid w:val="00C61D87"/>
    <w:rsid w:val="00C623C0"/>
    <w:rsid w:val="00C625DD"/>
    <w:rsid w:val="00C62CD5"/>
    <w:rsid w:val="00C6384F"/>
    <w:rsid w:val="00C66BD7"/>
    <w:rsid w:val="00C66C21"/>
    <w:rsid w:val="00C72059"/>
    <w:rsid w:val="00C733FC"/>
    <w:rsid w:val="00C73A52"/>
    <w:rsid w:val="00C74292"/>
    <w:rsid w:val="00C749E7"/>
    <w:rsid w:val="00C74D2B"/>
    <w:rsid w:val="00C75382"/>
    <w:rsid w:val="00C75765"/>
    <w:rsid w:val="00C7633E"/>
    <w:rsid w:val="00C81BBF"/>
    <w:rsid w:val="00C8222C"/>
    <w:rsid w:val="00C838D1"/>
    <w:rsid w:val="00C83996"/>
    <w:rsid w:val="00C84751"/>
    <w:rsid w:val="00C84D48"/>
    <w:rsid w:val="00C86519"/>
    <w:rsid w:val="00C867F3"/>
    <w:rsid w:val="00C8686C"/>
    <w:rsid w:val="00C87E74"/>
    <w:rsid w:val="00C944D9"/>
    <w:rsid w:val="00C95371"/>
    <w:rsid w:val="00C97318"/>
    <w:rsid w:val="00CA03CF"/>
    <w:rsid w:val="00CA11CB"/>
    <w:rsid w:val="00CA1D22"/>
    <w:rsid w:val="00CA4D05"/>
    <w:rsid w:val="00CA7FBD"/>
    <w:rsid w:val="00CB05EF"/>
    <w:rsid w:val="00CB0E1E"/>
    <w:rsid w:val="00CB239B"/>
    <w:rsid w:val="00CB4411"/>
    <w:rsid w:val="00CB6F76"/>
    <w:rsid w:val="00CB72C0"/>
    <w:rsid w:val="00CB76F3"/>
    <w:rsid w:val="00CB7A0F"/>
    <w:rsid w:val="00CC21C7"/>
    <w:rsid w:val="00CC2A69"/>
    <w:rsid w:val="00CC32F3"/>
    <w:rsid w:val="00CC59A9"/>
    <w:rsid w:val="00CC74AA"/>
    <w:rsid w:val="00CD007A"/>
    <w:rsid w:val="00CD0D96"/>
    <w:rsid w:val="00CD1B75"/>
    <w:rsid w:val="00CD327E"/>
    <w:rsid w:val="00CD5706"/>
    <w:rsid w:val="00CD64A5"/>
    <w:rsid w:val="00CD7066"/>
    <w:rsid w:val="00CD7497"/>
    <w:rsid w:val="00CE16F0"/>
    <w:rsid w:val="00CE4627"/>
    <w:rsid w:val="00CE48EE"/>
    <w:rsid w:val="00CE7E5D"/>
    <w:rsid w:val="00CF2606"/>
    <w:rsid w:val="00CF2ECA"/>
    <w:rsid w:val="00CF341B"/>
    <w:rsid w:val="00CF4276"/>
    <w:rsid w:val="00CF7BDA"/>
    <w:rsid w:val="00D006AE"/>
    <w:rsid w:val="00D01596"/>
    <w:rsid w:val="00D0195A"/>
    <w:rsid w:val="00D0217C"/>
    <w:rsid w:val="00D0293D"/>
    <w:rsid w:val="00D036B2"/>
    <w:rsid w:val="00D0395F"/>
    <w:rsid w:val="00D054F8"/>
    <w:rsid w:val="00D07F52"/>
    <w:rsid w:val="00D107DB"/>
    <w:rsid w:val="00D14EE9"/>
    <w:rsid w:val="00D1510E"/>
    <w:rsid w:val="00D15204"/>
    <w:rsid w:val="00D15AE3"/>
    <w:rsid w:val="00D170D9"/>
    <w:rsid w:val="00D2046F"/>
    <w:rsid w:val="00D210F8"/>
    <w:rsid w:val="00D21EA8"/>
    <w:rsid w:val="00D22907"/>
    <w:rsid w:val="00D30073"/>
    <w:rsid w:val="00D30281"/>
    <w:rsid w:val="00D3190E"/>
    <w:rsid w:val="00D321A3"/>
    <w:rsid w:val="00D338ED"/>
    <w:rsid w:val="00D34441"/>
    <w:rsid w:val="00D34643"/>
    <w:rsid w:val="00D34B25"/>
    <w:rsid w:val="00D35A8D"/>
    <w:rsid w:val="00D35FDA"/>
    <w:rsid w:val="00D413A9"/>
    <w:rsid w:val="00D41F4B"/>
    <w:rsid w:val="00D42363"/>
    <w:rsid w:val="00D42A34"/>
    <w:rsid w:val="00D43187"/>
    <w:rsid w:val="00D4435C"/>
    <w:rsid w:val="00D44E0B"/>
    <w:rsid w:val="00D47F0A"/>
    <w:rsid w:val="00D522F3"/>
    <w:rsid w:val="00D531C0"/>
    <w:rsid w:val="00D5398E"/>
    <w:rsid w:val="00D53E0B"/>
    <w:rsid w:val="00D55BD4"/>
    <w:rsid w:val="00D600AE"/>
    <w:rsid w:val="00D6293B"/>
    <w:rsid w:val="00D62E18"/>
    <w:rsid w:val="00D63034"/>
    <w:rsid w:val="00D63FE7"/>
    <w:rsid w:val="00D6490E"/>
    <w:rsid w:val="00D64EA6"/>
    <w:rsid w:val="00D663E8"/>
    <w:rsid w:val="00D66B8F"/>
    <w:rsid w:val="00D6788F"/>
    <w:rsid w:val="00D70A2B"/>
    <w:rsid w:val="00D70D83"/>
    <w:rsid w:val="00D80F83"/>
    <w:rsid w:val="00D814D0"/>
    <w:rsid w:val="00D8175D"/>
    <w:rsid w:val="00D82D26"/>
    <w:rsid w:val="00D82E3C"/>
    <w:rsid w:val="00D83C2E"/>
    <w:rsid w:val="00D83C81"/>
    <w:rsid w:val="00D83D32"/>
    <w:rsid w:val="00D859D6"/>
    <w:rsid w:val="00D85E90"/>
    <w:rsid w:val="00D866B2"/>
    <w:rsid w:val="00D91B36"/>
    <w:rsid w:val="00D91DAE"/>
    <w:rsid w:val="00D91DC6"/>
    <w:rsid w:val="00D930EF"/>
    <w:rsid w:val="00D94F23"/>
    <w:rsid w:val="00D95462"/>
    <w:rsid w:val="00DA0AC5"/>
    <w:rsid w:val="00DA2347"/>
    <w:rsid w:val="00DA4118"/>
    <w:rsid w:val="00DA5B11"/>
    <w:rsid w:val="00DA5BC9"/>
    <w:rsid w:val="00DA5FD9"/>
    <w:rsid w:val="00DA7074"/>
    <w:rsid w:val="00DA7DA7"/>
    <w:rsid w:val="00DB0E0D"/>
    <w:rsid w:val="00DB2EF8"/>
    <w:rsid w:val="00DB384D"/>
    <w:rsid w:val="00DB402A"/>
    <w:rsid w:val="00DB5A59"/>
    <w:rsid w:val="00DB722A"/>
    <w:rsid w:val="00DC0487"/>
    <w:rsid w:val="00DC09D5"/>
    <w:rsid w:val="00DC109C"/>
    <w:rsid w:val="00DC2003"/>
    <w:rsid w:val="00DC31DF"/>
    <w:rsid w:val="00DC3364"/>
    <w:rsid w:val="00DD0EBD"/>
    <w:rsid w:val="00DD1488"/>
    <w:rsid w:val="00DD240C"/>
    <w:rsid w:val="00DD2C43"/>
    <w:rsid w:val="00DD3A67"/>
    <w:rsid w:val="00DD3CF6"/>
    <w:rsid w:val="00DD5248"/>
    <w:rsid w:val="00DD5B4C"/>
    <w:rsid w:val="00DD62E1"/>
    <w:rsid w:val="00DD6C3C"/>
    <w:rsid w:val="00DD7ED2"/>
    <w:rsid w:val="00DE0463"/>
    <w:rsid w:val="00DE0E26"/>
    <w:rsid w:val="00DE12BE"/>
    <w:rsid w:val="00DE2615"/>
    <w:rsid w:val="00DE3A2A"/>
    <w:rsid w:val="00DE4644"/>
    <w:rsid w:val="00DE4F85"/>
    <w:rsid w:val="00DE7A77"/>
    <w:rsid w:val="00DE7E24"/>
    <w:rsid w:val="00DF0C77"/>
    <w:rsid w:val="00DF210D"/>
    <w:rsid w:val="00DF2215"/>
    <w:rsid w:val="00DF39C3"/>
    <w:rsid w:val="00DF40F6"/>
    <w:rsid w:val="00DF4E45"/>
    <w:rsid w:val="00DF4FE5"/>
    <w:rsid w:val="00DF5804"/>
    <w:rsid w:val="00DF638D"/>
    <w:rsid w:val="00E0284F"/>
    <w:rsid w:val="00E03650"/>
    <w:rsid w:val="00E03C9D"/>
    <w:rsid w:val="00E04029"/>
    <w:rsid w:val="00E0446C"/>
    <w:rsid w:val="00E0548C"/>
    <w:rsid w:val="00E05987"/>
    <w:rsid w:val="00E05E22"/>
    <w:rsid w:val="00E05F84"/>
    <w:rsid w:val="00E06053"/>
    <w:rsid w:val="00E07B28"/>
    <w:rsid w:val="00E109E3"/>
    <w:rsid w:val="00E11A73"/>
    <w:rsid w:val="00E12449"/>
    <w:rsid w:val="00E12B25"/>
    <w:rsid w:val="00E12B5F"/>
    <w:rsid w:val="00E12CA6"/>
    <w:rsid w:val="00E13938"/>
    <w:rsid w:val="00E145A6"/>
    <w:rsid w:val="00E14691"/>
    <w:rsid w:val="00E147BA"/>
    <w:rsid w:val="00E14E2C"/>
    <w:rsid w:val="00E14FD8"/>
    <w:rsid w:val="00E15EF0"/>
    <w:rsid w:val="00E16EC7"/>
    <w:rsid w:val="00E1792E"/>
    <w:rsid w:val="00E20182"/>
    <w:rsid w:val="00E2042F"/>
    <w:rsid w:val="00E20B8C"/>
    <w:rsid w:val="00E211AB"/>
    <w:rsid w:val="00E212C8"/>
    <w:rsid w:val="00E21731"/>
    <w:rsid w:val="00E21A15"/>
    <w:rsid w:val="00E21E86"/>
    <w:rsid w:val="00E221DD"/>
    <w:rsid w:val="00E235B5"/>
    <w:rsid w:val="00E2401B"/>
    <w:rsid w:val="00E25343"/>
    <w:rsid w:val="00E2794F"/>
    <w:rsid w:val="00E30B89"/>
    <w:rsid w:val="00E31F83"/>
    <w:rsid w:val="00E3328D"/>
    <w:rsid w:val="00E3353C"/>
    <w:rsid w:val="00E34046"/>
    <w:rsid w:val="00E34B3C"/>
    <w:rsid w:val="00E34B43"/>
    <w:rsid w:val="00E3712A"/>
    <w:rsid w:val="00E3777B"/>
    <w:rsid w:val="00E41E00"/>
    <w:rsid w:val="00E42434"/>
    <w:rsid w:val="00E42938"/>
    <w:rsid w:val="00E47557"/>
    <w:rsid w:val="00E502A3"/>
    <w:rsid w:val="00E5221E"/>
    <w:rsid w:val="00E528AF"/>
    <w:rsid w:val="00E528EF"/>
    <w:rsid w:val="00E53027"/>
    <w:rsid w:val="00E53122"/>
    <w:rsid w:val="00E542D0"/>
    <w:rsid w:val="00E54D6D"/>
    <w:rsid w:val="00E551A2"/>
    <w:rsid w:val="00E573B5"/>
    <w:rsid w:val="00E578B0"/>
    <w:rsid w:val="00E57BB8"/>
    <w:rsid w:val="00E60018"/>
    <w:rsid w:val="00E602D7"/>
    <w:rsid w:val="00E61027"/>
    <w:rsid w:val="00E61DE5"/>
    <w:rsid w:val="00E6377F"/>
    <w:rsid w:val="00E63B6D"/>
    <w:rsid w:val="00E63DD5"/>
    <w:rsid w:val="00E649CD"/>
    <w:rsid w:val="00E65053"/>
    <w:rsid w:val="00E65B41"/>
    <w:rsid w:val="00E65B4A"/>
    <w:rsid w:val="00E66613"/>
    <w:rsid w:val="00E739C6"/>
    <w:rsid w:val="00E7418B"/>
    <w:rsid w:val="00E74A9F"/>
    <w:rsid w:val="00E77394"/>
    <w:rsid w:val="00E778CB"/>
    <w:rsid w:val="00E802B0"/>
    <w:rsid w:val="00E80835"/>
    <w:rsid w:val="00E81353"/>
    <w:rsid w:val="00E83A77"/>
    <w:rsid w:val="00E83FE3"/>
    <w:rsid w:val="00E843CB"/>
    <w:rsid w:val="00E86EA9"/>
    <w:rsid w:val="00E8714E"/>
    <w:rsid w:val="00E9098A"/>
    <w:rsid w:val="00E90C90"/>
    <w:rsid w:val="00E93791"/>
    <w:rsid w:val="00E9425B"/>
    <w:rsid w:val="00E945FB"/>
    <w:rsid w:val="00E977CF"/>
    <w:rsid w:val="00E979A0"/>
    <w:rsid w:val="00EA1E29"/>
    <w:rsid w:val="00EA65D5"/>
    <w:rsid w:val="00EA72E7"/>
    <w:rsid w:val="00EB1484"/>
    <w:rsid w:val="00EB1A1C"/>
    <w:rsid w:val="00EB2A37"/>
    <w:rsid w:val="00EB3ECC"/>
    <w:rsid w:val="00EB41AF"/>
    <w:rsid w:val="00EB5616"/>
    <w:rsid w:val="00EB607C"/>
    <w:rsid w:val="00EC060B"/>
    <w:rsid w:val="00EC06D2"/>
    <w:rsid w:val="00EC3856"/>
    <w:rsid w:val="00EC440E"/>
    <w:rsid w:val="00EC45C8"/>
    <w:rsid w:val="00EC5001"/>
    <w:rsid w:val="00EC5534"/>
    <w:rsid w:val="00EC6855"/>
    <w:rsid w:val="00EC6B59"/>
    <w:rsid w:val="00EC72B7"/>
    <w:rsid w:val="00ED14A2"/>
    <w:rsid w:val="00ED22ED"/>
    <w:rsid w:val="00ED3331"/>
    <w:rsid w:val="00ED3664"/>
    <w:rsid w:val="00ED4088"/>
    <w:rsid w:val="00ED572D"/>
    <w:rsid w:val="00ED5F25"/>
    <w:rsid w:val="00ED6E8E"/>
    <w:rsid w:val="00EE1526"/>
    <w:rsid w:val="00EE1EC6"/>
    <w:rsid w:val="00EE36F3"/>
    <w:rsid w:val="00EE4340"/>
    <w:rsid w:val="00EE5719"/>
    <w:rsid w:val="00EE6548"/>
    <w:rsid w:val="00EE6CBC"/>
    <w:rsid w:val="00EE7108"/>
    <w:rsid w:val="00EE7D34"/>
    <w:rsid w:val="00EF2A07"/>
    <w:rsid w:val="00F00B76"/>
    <w:rsid w:val="00F00F81"/>
    <w:rsid w:val="00F01744"/>
    <w:rsid w:val="00F01F16"/>
    <w:rsid w:val="00F02DFF"/>
    <w:rsid w:val="00F03067"/>
    <w:rsid w:val="00F03759"/>
    <w:rsid w:val="00F0475B"/>
    <w:rsid w:val="00F05245"/>
    <w:rsid w:val="00F05762"/>
    <w:rsid w:val="00F06979"/>
    <w:rsid w:val="00F06DA0"/>
    <w:rsid w:val="00F07693"/>
    <w:rsid w:val="00F07830"/>
    <w:rsid w:val="00F07A5D"/>
    <w:rsid w:val="00F10440"/>
    <w:rsid w:val="00F1080D"/>
    <w:rsid w:val="00F115CF"/>
    <w:rsid w:val="00F144C9"/>
    <w:rsid w:val="00F14F7C"/>
    <w:rsid w:val="00F1697C"/>
    <w:rsid w:val="00F202E7"/>
    <w:rsid w:val="00F221D9"/>
    <w:rsid w:val="00F24985"/>
    <w:rsid w:val="00F26254"/>
    <w:rsid w:val="00F266FB"/>
    <w:rsid w:val="00F27052"/>
    <w:rsid w:val="00F3052B"/>
    <w:rsid w:val="00F32ADA"/>
    <w:rsid w:val="00F3522B"/>
    <w:rsid w:val="00F35920"/>
    <w:rsid w:val="00F36E2F"/>
    <w:rsid w:val="00F40676"/>
    <w:rsid w:val="00F43311"/>
    <w:rsid w:val="00F43BAB"/>
    <w:rsid w:val="00F4491E"/>
    <w:rsid w:val="00F451DA"/>
    <w:rsid w:val="00F4522C"/>
    <w:rsid w:val="00F50907"/>
    <w:rsid w:val="00F5301B"/>
    <w:rsid w:val="00F5571B"/>
    <w:rsid w:val="00F5606D"/>
    <w:rsid w:val="00F57080"/>
    <w:rsid w:val="00F608DD"/>
    <w:rsid w:val="00F619B3"/>
    <w:rsid w:val="00F62129"/>
    <w:rsid w:val="00F626DC"/>
    <w:rsid w:val="00F6277A"/>
    <w:rsid w:val="00F62E9E"/>
    <w:rsid w:val="00F64C8A"/>
    <w:rsid w:val="00F64E03"/>
    <w:rsid w:val="00F64FD1"/>
    <w:rsid w:val="00F66089"/>
    <w:rsid w:val="00F70C0B"/>
    <w:rsid w:val="00F70FE9"/>
    <w:rsid w:val="00F74C76"/>
    <w:rsid w:val="00F77936"/>
    <w:rsid w:val="00F80DAD"/>
    <w:rsid w:val="00F81496"/>
    <w:rsid w:val="00F819B6"/>
    <w:rsid w:val="00F81C39"/>
    <w:rsid w:val="00F81F2B"/>
    <w:rsid w:val="00F8505D"/>
    <w:rsid w:val="00F868B4"/>
    <w:rsid w:val="00F8753A"/>
    <w:rsid w:val="00F87C3D"/>
    <w:rsid w:val="00F902A3"/>
    <w:rsid w:val="00F9081A"/>
    <w:rsid w:val="00F950A6"/>
    <w:rsid w:val="00F9511D"/>
    <w:rsid w:val="00F95527"/>
    <w:rsid w:val="00F96CF8"/>
    <w:rsid w:val="00F976BE"/>
    <w:rsid w:val="00F97EF7"/>
    <w:rsid w:val="00FA0419"/>
    <w:rsid w:val="00FA1CBE"/>
    <w:rsid w:val="00FA42F0"/>
    <w:rsid w:val="00FB03A3"/>
    <w:rsid w:val="00FB066B"/>
    <w:rsid w:val="00FB1D35"/>
    <w:rsid w:val="00FB2D18"/>
    <w:rsid w:val="00FB5F7D"/>
    <w:rsid w:val="00FB6B0E"/>
    <w:rsid w:val="00FC03E6"/>
    <w:rsid w:val="00FC0604"/>
    <w:rsid w:val="00FC1927"/>
    <w:rsid w:val="00FC2323"/>
    <w:rsid w:val="00FC2CAB"/>
    <w:rsid w:val="00FC2D1A"/>
    <w:rsid w:val="00FC48D7"/>
    <w:rsid w:val="00FC492C"/>
    <w:rsid w:val="00FC4947"/>
    <w:rsid w:val="00FC54A2"/>
    <w:rsid w:val="00FC63D0"/>
    <w:rsid w:val="00FC6A08"/>
    <w:rsid w:val="00FC7555"/>
    <w:rsid w:val="00FC774C"/>
    <w:rsid w:val="00FC79FA"/>
    <w:rsid w:val="00FC7A24"/>
    <w:rsid w:val="00FD1143"/>
    <w:rsid w:val="00FD4852"/>
    <w:rsid w:val="00FD502D"/>
    <w:rsid w:val="00FE1D17"/>
    <w:rsid w:val="00FE1D23"/>
    <w:rsid w:val="00FE45BB"/>
    <w:rsid w:val="00FE4F1F"/>
    <w:rsid w:val="00FE5CCE"/>
    <w:rsid w:val="00FE7F5E"/>
    <w:rsid w:val="00FF0351"/>
    <w:rsid w:val="00FF18CB"/>
    <w:rsid w:val="00FF2619"/>
    <w:rsid w:val="00FF76D4"/>
  </w:rsids>
  <m:mathPr>
    <m:mathFont m:val="Arial Black"/>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uiPriority="99" w:qFormat="1"/>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Body Text" w:uiPriority="99"/>
    <w:lsdException w:name="Body Text Indent" w:uiPriority="99"/>
    <w:lsdException w:name="Body Text 2" w:uiPriority="99"/>
    <w:lsdException w:name="Hyperlink" w:uiPriority="99"/>
    <w:lsdException w:name="Strong" w:uiPriority="99"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42F"/>
    <w:pPr>
      <w:spacing w:after="200" w:line="276" w:lineRule="auto"/>
      <w:jc w:val="both"/>
    </w:pPr>
    <w:rPr>
      <w:rFonts w:ascii="Times New Roman" w:hAnsi="Times New Roman"/>
      <w:sz w:val="23"/>
      <w:lang w:val="en-GB" w:eastAsia="en-US"/>
    </w:rPr>
  </w:style>
  <w:style w:type="paragraph" w:styleId="Heading1">
    <w:name w:val="heading 1"/>
    <w:basedOn w:val="ListParagraph"/>
    <w:next w:val="Normal"/>
    <w:link w:val="Heading1Char1"/>
    <w:autoRedefine/>
    <w:qFormat/>
    <w:rsid w:val="003936A6"/>
    <w:pPr>
      <w:keepNext/>
      <w:spacing w:before="80" w:after="80" w:line="240" w:lineRule="auto"/>
      <w:ind w:left="0"/>
      <w:contextualSpacing w:val="0"/>
      <w:outlineLvl w:val="0"/>
    </w:pPr>
    <w:rPr>
      <w:b/>
      <w:smallCaps/>
      <w:color w:val="17365D"/>
      <w:sz w:val="36"/>
      <w:szCs w:val="36"/>
    </w:rPr>
  </w:style>
  <w:style w:type="paragraph" w:styleId="Heading2">
    <w:name w:val="heading 2"/>
    <w:aliases w:val="Heading 2 Char2,Heading 2 Char1 Char,Heading 2 Char Char Char,Heading 2 Char Char1,Heading 2 Char Char"/>
    <w:basedOn w:val="ListParagraph"/>
    <w:next w:val="Normal"/>
    <w:link w:val="Heading2Char1"/>
    <w:autoRedefine/>
    <w:qFormat/>
    <w:rsid w:val="003936A6"/>
    <w:pPr>
      <w:keepNext/>
      <w:spacing w:before="160" w:after="80"/>
      <w:ind w:left="0"/>
      <w:outlineLvl w:val="1"/>
    </w:pPr>
    <w:rPr>
      <w:b/>
      <w:color w:val="17365D"/>
      <w:sz w:val="28"/>
      <w:szCs w:val="28"/>
    </w:rPr>
  </w:style>
  <w:style w:type="paragraph" w:styleId="Heading3">
    <w:name w:val="heading 3"/>
    <w:basedOn w:val="Normal"/>
    <w:next w:val="Normal"/>
    <w:link w:val="Heading3Char1"/>
    <w:autoRedefine/>
    <w:qFormat/>
    <w:rsid w:val="00315F62"/>
    <w:pPr>
      <w:keepNext/>
      <w:spacing w:before="240" w:after="60"/>
      <w:outlineLvl w:val="2"/>
    </w:pPr>
    <w:rPr>
      <w:rFonts w:eastAsia="Times New Roman"/>
      <w:b/>
      <w:bCs/>
      <w:color w:val="17365D"/>
      <w:sz w:val="24"/>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BCE"/>
    <w:rPr>
      <w:rFonts w:ascii="Lucida Grande" w:hAnsi="Lucida Grande"/>
      <w:sz w:val="18"/>
      <w:szCs w:val="18"/>
    </w:rPr>
  </w:style>
  <w:style w:type="character" w:customStyle="1" w:styleId="BalloonTextChar0">
    <w:name w:val="Balloon Text Char"/>
    <w:basedOn w:val="DefaultParagraphFont"/>
    <w:link w:val="BalloonText"/>
    <w:uiPriority w:val="99"/>
    <w:semiHidden/>
    <w:rsid w:val="00333BCE"/>
    <w:rPr>
      <w:rFonts w:ascii="Lucida Grande" w:hAnsi="Lucida Grande"/>
      <w:sz w:val="18"/>
      <w:szCs w:val="18"/>
    </w:rPr>
  </w:style>
  <w:style w:type="character" w:customStyle="1" w:styleId="BalloonTextChar2">
    <w:name w:val="Balloon Text Char"/>
    <w:basedOn w:val="DefaultParagraphFont"/>
    <w:link w:val="BalloonText"/>
    <w:uiPriority w:val="99"/>
    <w:semiHidden/>
    <w:rsid w:val="008B30F7"/>
    <w:rPr>
      <w:rFonts w:ascii="Lucida Grande" w:hAnsi="Lucida Grande"/>
      <w:sz w:val="18"/>
      <w:szCs w:val="18"/>
    </w:rPr>
  </w:style>
  <w:style w:type="character" w:customStyle="1" w:styleId="BalloonTextChar3">
    <w:name w:val="Balloon Text Char"/>
    <w:basedOn w:val="DefaultParagraphFont"/>
    <w:link w:val="BalloonText"/>
    <w:uiPriority w:val="99"/>
    <w:semiHidden/>
    <w:rsid w:val="008E37A7"/>
    <w:rPr>
      <w:rFonts w:ascii="Lucida Grande" w:hAnsi="Lucida Grande"/>
      <w:sz w:val="18"/>
      <w:szCs w:val="18"/>
    </w:rPr>
  </w:style>
  <w:style w:type="character" w:customStyle="1" w:styleId="BalloonTextChar4">
    <w:name w:val="Balloon Text Char"/>
    <w:basedOn w:val="DefaultParagraphFont"/>
    <w:uiPriority w:val="99"/>
    <w:semiHidden/>
    <w:rsid w:val="00A32E6C"/>
    <w:rPr>
      <w:rFonts w:ascii="Lucida Grande" w:hAnsi="Lucida Grande"/>
      <w:sz w:val="18"/>
      <w:szCs w:val="18"/>
    </w:rPr>
  </w:style>
  <w:style w:type="character" w:customStyle="1" w:styleId="BalloonTextChar5">
    <w:name w:val="Balloon Text Char"/>
    <w:basedOn w:val="DefaultParagraphFont"/>
    <w:uiPriority w:val="99"/>
    <w:semiHidden/>
    <w:rsid w:val="00A8005A"/>
    <w:rPr>
      <w:rFonts w:ascii="Lucida Grande" w:hAnsi="Lucida Grande"/>
      <w:sz w:val="18"/>
      <w:szCs w:val="18"/>
    </w:rPr>
  </w:style>
  <w:style w:type="character" w:customStyle="1" w:styleId="BalloonTextChar6">
    <w:name w:val="Balloon Text Char"/>
    <w:basedOn w:val="DefaultParagraphFont"/>
    <w:uiPriority w:val="99"/>
    <w:semiHidden/>
    <w:rsid w:val="00414E3B"/>
    <w:rPr>
      <w:rFonts w:ascii="Lucida Grande" w:hAnsi="Lucida Grande"/>
      <w:sz w:val="18"/>
      <w:szCs w:val="18"/>
    </w:rPr>
  </w:style>
  <w:style w:type="paragraph" w:styleId="ListParagraph">
    <w:name w:val="List Paragraph"/>
    <w:basedOn w:val="Normal"/>
    <w:uiPriority w:val="34"/>
    <w:qFormat/>
    <w:rsid w:val="00834352"/>
    <w:pPr>
      <w:ind w:left="720"/>
      <w:contextualSpacing/>
    </w:pPr>
  </w:style>
  <w:style w:type="character" w:customStyle="1" w:styleId="BalloonTextChar7">
    <w:name w:val="Balloon Text Char"/>
    <w:basedOn w:val="DefaultParagraphFont"/>
    <w:uiPriority w:val="99"/>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lang w:val="en-US" w:eastAsia="en-US"/>
    </w:rPr>
  </w:style>
  <w:style w:type="character" w:customStyle="1" w:styleId="HeaderChar">
    <w:name w:val="Header Char"/>
    <w:basedOn w:val="DefaultParagraphFont"/>
    <w:semiHidden/>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aliases w:val="Heading 2 Char2 Char,Heading 2 Char1 Char Char,Heading 2 Char Char Char Char,Heading 2 Char Char1 Char,Heading 2 Char Char Char1,Heading 2 Char1 Char1"/>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qFormat/>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link w:val="BodyText3Char"/>
    <w:semiHidden/>
    <w:rsid w:val="00834352"/>
    <w:rPr>
      <w:rFonts w:eastAsia="Times New Roman"/>
      <w:color w:val="FF0000"/>
      <w:szCs w:val="22"/>
    </w:rPr>
  </w:style>
  <w:style w:type="paragraph" w:styleId="TOC4">
    <w:name w:val="toc 4"/>
    <w:basedOn w:val="Normal"/>
    <w:next w:val="Normal"/>
    <w:autoRedefine/>
    <w:uiPriority w:val="39"/>
    <w:semiHidden/>
    <w:rsid w:val="00834352"/>
    <w:pPr>
      <w:spacing w:after="0" w:line="240" w:lineRule="auto"/>
      <w:ind w:left="720"/>
      <w:jc w:val="left"/>
    </w:pPr>
    <w:rPr>
      <w:rFonts w:eastAsia="Times New Roman"/>
    </w:rPr>
  </w:style>
  <w:style w:type="paragraph" w:styleId="TOC5">
    <w:name w:val="toc 5"/>
    <w:basedOn w:val="Normal"/>
    <w:next w:val="Normal"/>
    <w:autoRedefine/>
    <w:uiPriority w:val="39"/>
    <w:semiHidden/>
    <w:rsid w:val="00834352"/>
    <w:pPr>
      <w:spacing w:after="0" w:line="240" w:lineRule="auto"/>
      <w:ind w:left="960"/>
      <w:jc w:val="left"/>
    </w:pPr>
    <w:rPr>
      <w:rFonts w:eastAsia="Times New Roman"/>
    </w:rPr>
  </w:style>
  <w:style w:type="paragraph" w:styleId="TOC6">
    <w:name w:val="toc 6"/>
    <w:basedOn w:val="Normal"/>
    <w:next w:val="Normal"/>
    <w:autoRedefine/>
    <w:uiPriority w:val="39"/>
    <w:semiHidden/>
    <w:rsid w:val="00834352"/>
    <w:pPr>
      <w:spacing w:after="0" w:line="240" w:lineRule="auto"/>
      <w:ind w:left="1200"/>
      <w:jc w:val="left"/>
    </w:pPr>
    <w:rPr>
      <w:rFonts w:eastAsia="Times New Roman"/>
    </w:rPr>
  </w:style>
  <w:style w:type="paragraph" w:styleId="TOC7">
    <w:name w:val="toc 7"/>
    <w:basedOn w:val="Normal"/>
    <w:next w:val="Normal"/>
    <w:autoRedefine/>
    <w:uiPriority w:val="39"/>
    <w:semiHidden/>
    <w:rsid w:val="00834352"/>
    <w:pPr>
      <w:spacing w:after="0" w:line="240" w:lineRule="auto"/>
      <w:ind w:left="1440"/>
      <w:jc w:val="left"/>
    </w:pPr>
    <w:rPr>
      <w:rFonts w:eastAsia="Times New Roman"/>
    </w:rPr>
  </w:style>
  <w:style w:type="paragraph" w:styleId="TOC8">
    <w:name w:val="toc 8"/>
    <w:basedOn w:val="Normal"/>
    <w:next w:val="Normal"/>
    <w:autoRedefine/>
    <w:uiPriority w:val="39"/>
    <w:semiHidden/>
    <w:rsid w:val="00834352"/>
    <w:pPr>
      <w:spacing w:after="0" w:line="240" w:lineRule="auto"/>
      <w:ind w:left="1680"/>
      <w:jc w:val="left"/>
    </w:pPr>
    <w:rPr>
      <w:rFonts w:eastAsia="Times New Roman"/>
    </w:rPr>
  </w:style>
  <w:style w:type="paragraph" w:styleId="TOC9">
    <w:name w:val="toc 9"/>
    <w:basedOn w:val="Normal"/>
    <w:next w:val="Normal"/>
    <w:autoRedefine/>
    <w:uiPriority w:val="39"/>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3936A6"/>
    <w:rPr>
      <w:rFonts w:ascii="Times New Roman" w:hAnsi="Times New Roman"/>
      <w:b/>
      <w:smallCaps/>
      <w:color w:val="17365D"/>
      <w:sz w:val="36"/>
      <w:szCs w:val="36"/>
      <w:lang w:val="en-GB" w:eastAsia="en-US"/>
    </w:rPr>
  </w:style>
  <w:style w:type="character" w:customStyle="1" w:styleId="Heading2Char1">
    <w:name w:val="Heading 2 Char1"/>
    <w:aliases w:val="Heading 2 Char2 Char1,Heading 2 Char1 Char Char1,Heading 2 Char Char Char Char1,Heading 2 Char Char1 Char1,Heading 2 Char Char Char2"/>
    <w:basedOn w:val="DefaultParagraphFont"/>
    <w:link w:val="Heading2"/>
    <w:rsid w:val="003936A6"/>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315F62"/>
    <w:rPr>
      <w:rFonts w:ascii="Times New Roman" w:eastAsia="Times New Roman" w:hAnsi="Times New Roman"/>
      <w:b/>
      <w:bCs/>
      <w:color w:val="17365D"/>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Cs w:val="22"/>
      <w:lang w:val="en-GB" w:eastAsia="en-US"/>
    </w:rPr>
  </w:style>
  <w:style w:type="character" w:customStyle="1" w:styleId="Heading7Char1">
    <w:name w:val="Heading 7 Char1"/>
    <w:basedOn w:val="DefaultParagraphFont"/>
    <w:link w:val="Heading7"/>
    <w:rsid w:val="00C3636E"/>
    <w:rPr>
      <w:rFonts w:eastAsia="Times New Roman"/>
      <w:lang w:val="en-GB" w:eastAsia="en-US"/>
    </w:rPr>
  </w:style>
  <w:style w:type="character" w:customStyle="1" w:styleId="Heading8Char1">
    <w:name w:val="Heading 8 Char1"/>
    <w:basedOn w:val="DefaultParagraphFont"/>
    <w:link w:val="Heading8"/>
    <w:rsid w:val="00C3636E"/>
    <w:rPr>
      <w:rFonts w:eastAsia="Times New Roman"/>
      <w:i/>
      <w:iCs/>
      <w:lang w:val="en-GB" w:eastAsia="en-US"/>
    </w:rPr>
  </w:style>
  <w:style w:type="character" w:customStyle="1" w:styleId="Heading9Char1">
    <w:name w:val="Heading 9 Char1"/>
    <w:basedOn w:val="DefaultParagraphFont"/>
    <w:link w:val="Heading9"/>
    <w:rsid w:val="00C3636E"/>
    <w:rPr>
      <w:rFonts w:ascii="Cambria" w:eastAsia="Times New Roman" w:hAnsi="Cambria"/>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qFormat/>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808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835"/>
    <w:rPr>
      <w:rFonts w:ascii="Times New Roman" w:hAnsi="Times New Roman"/>
      <w:lang w:val="en-GB" w:eastAsia="en-US"/>
    </w:rPr>
  </w:style>
  <w:style w:type="character" w:styleId="EndnoteReference">
    <w:name w:val="endnote reference"/>
    <w:basedOn w:val="DefaultParagraphFont"/>
    <w:uiPriority w:val="99"/>
    <w:semiHidden/>
    <w:unhideWhenUsed/>
    <w:rsid w:val="00E80835"/>
    <w:rPr>
      <w:vertAlign w:val="superscript"/>
    </w:rPr>
  </w:style>
  <w:style w:type="paragraph" w:customStyle="1" w:styleId="Style2">
    <w:name w:val="Style2"/>
    <w:basedOn w:val="Normal"/>
    <w:autoRedefine/>
    <w:qFormat/>
    <w:rsid w:val="00717EB6"/>
    <w:pPr>
      <w:tabs>
        <w:tab w:val="left" w:pos="720"/>
      </w:tabs>
    </w:pPr>
    <w:rPr>
      <w:sz w:val="24"/>
      <w:szCs w:val="20"/>
    </w:rPr>
  </w:style>
  <w:style w:type="paragraph" w:customStyle="1" w:styleId="Tabletitlecell">
    <w:name w:val="Table title cell"/>
    <w:basedOn w:val="Normal"/>
    <w:autoRedefine/>
    <w:uiPriority w:val="99"/>
    <w:rsid w:val="00717EB6"/>
    <w:pPr>
      <w:keepNext/>
      <w:keepLines/>
      <w:tabs>
        <w:tab w:val="left" w:pos="567"/>
      </w:tabs>
      <w:spacing w:before="20" w:after="20"/>
      <w:jc w:val="center"/>
    </w:pPr>
    <w:rPr>
      <w:bCs/>
      <w:i/>
      <w:iCs/>
      <w:sz w:val="20"/>
      <w:szCs w:val="18"/>
    </w:rPr>
  </w:style>
  <w:style w:type="paragraph" w:customStyle="1" w:styleId="Tit1">
    <w:name w:val="Tit 1"/>
    <w:basedOn w:val="Normal"/>
    <w:next w:val="Normal"/>
    <w:autoRedefine/>
    <w:rsid w:val="00717EB6"/>
    <w:pPr>
      <w:widowControl w:val="0"/>
      <w:numPr>
        <w:numId w:val="27"/>
      </w:numPr>
      <w:spacing w:before="120" w:after="240"/>
    </w:pPr>
    <w:rPr>
      <w:caps/>
      <w:sz w:val="28"/>
      <w:lang w:val="fr-FR"/>
    </w:rPr>
  </w:style>
  <w:style w:type="paragraph" w:customStyle="1" w:styleId="NormalIndent1">
    <w:name w:val="Normal Indent1"/>
    <w:basedOn w:val="Normal"/>
    <w:next w:val="NormalIndent"/>
    <w:uiPriority w:val="4"/>
    <w:unhideWhenUsed/>
    <w:qFormat/>
    <w:rsid w:val="00717EB6"/>
    <w:pPr>
      <w:spacing w:line="300" w:lineRule="exact"/>
      <w:ind w:left="720"/>
    </w:pPr>
    <w:rPr>
      <w:sz w:val="24"/>
    </w:rPr>
  </w:style>
  <w:style w:type="character" w:customStyle="1" w:styleId="BodyText3Char">
    <w:name w:val="Body Text 3 Char"/>
    <w:basedOn w:val="DefaultParagraphFont"/>
    <w:link w:val="BodyText3"/>
    <w:semiHidden/>
    <w:rsid w:val="00717EB6"/>
    <w:rPr>
      <w:rFonts w:ascii="Times New Roman" w:eastAsia="Times New Roman" w:hAnsi="Times New Roman"/>
      <w:color w:val="FF0000"/>
      <w:sz w:val="23"/>
      <w:szCs w:val="22"/>
      <w:lang w:val="en-GB" w:eastAsia="en-US"/>
    </w:rPr>
  </w:style>
  <w:style w:type="character" w:styleId="FollowedHyperlink">
    <w:name w:val="FollowedHyperlink"/>
    <w:basedOn w:val="DefaultParagraphFont"/>
    <w:rsid w:val="008E09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footnote text" w:uiPriority="99" w:qFormat="1"/>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Body Text" w:uiPriority="99"/>
    <w:lsdException w:name="Body Text Indent" w:uiPriority="99"/>
    <w:lsdException w:name="Body Text 2" w:uiPriority="99"/>
    <w:lsdException w:name="Hyperlink" w:uiPriority="99"/>
    <w:lsdException w:name="Strong" w:uiPriority="99"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List Paragraph" w:uiPriority="34" w:qFormat="1"/>
    <w:lsdException w:name="TOC Heading" w:qFormat="1"/>
  </w:latentStyles>
  <w:style w:type="paragraph" w:default="1" w:styleId="Normal">
    <w:name w:val="Normal"/>
    <w:qFormat/>
    <w:rsid w:val="00E2042F"/>
    <w:pPr>
      <w:spacing w:after="200" w:line="276" w:lineRule="auto"/>
      <w:jc w:val="both"/>
    </w:pPr>
    <w:rPr>
      <w:rFonts w:ascii="Times New Roman" w:hAnsi="Times New Roman"/>
      <w:sz w:val="23"/>
      <w:lang w:val="en-GB" w:eastAsia="en-US"/>
    </w:rPr>
  </w:style>
  <w:style w:type="paragraph" w:styleId="Heading1">
    <w:name w:val="heading 1"/>
    <w:basedOn w:val="ListParagraph"/>
    <w:next w:val="Normal"/>
    <w:link w:val="Heading1Char1"/>
    <w:autoRedefine/>
    <w:qFormat/>
    <w:rsid w:val="003936A6"/>
    <w:pPr>
      <w:keepNext/>
      <w:spacing w:before="80" w:after="80" w:line="240" w:lineRule="auto"/>
      <w:ind w:left="0"/>
      <w:contextualSpacing w:val="0"/>
      <w:outlineLvl w:val="0"/>
    </w:pPr>
    <w:rPr>
      <w:b/>
      <w:smallCaps/>
      <w:color w:val="17365D"/>
      <w:sz w:val="36"/>
      <w:szCs w:val="36"/>
    </w:rPr>
  </w:style>
  <w:style w:type="paragraph" w:styleId="Heading2">
    <w:name w:val="heading 2"/>
    <w:aliases w:val="Heading 2 Char2,Heading 2 Char1 Char,Heading 2 Char Char Char,Heading 2 Char Char1,Heading 2 Char Char"/>
    <w:basedOn w:val="ListParagraph"/>
    <w:next w:val="Normal"/>
    <w:link w:val="Heading2Char1"/>
    <w:autoRedefine/>
    <w:qFormat/>
    <w:rsid w:val="003936A6"/>
    <w:pPr>
      <w:keepNext/>
      <w:spacing w:before="160" w:after="80"/>
      <w:ind w:left="0"/>
      <w:outlineLvl w:val="1"/>
    </w:pPr>
    <w:rPr>
      <w:b/>
      <w:color w:val="17365D"/>
      <w:sz w:val="28"/>
      <w:szCs w:val="28"/>
    </w:rPr>
  </w:style>
  <w:style w:type="paragraph" w:styleId="Heading3">
    <w:name w:val="heading 3"/>
    <w:basedOn w:val="Normal"/>
    <w:next w:val="Normal"/>
    <w:link w:val="Heading3Char1"/>
    <w:autoRedefine/>
    <w:qFormat/>
    <w:rsid w:val="00315F62"/>
    <w:pPr>
      <w:keepNext/>
      <w:spacing w:before="240" w:after="60"/>
      <w:outlineLvl w:val="2"/>
    </w:pPr>
    <w:rPr>
      <w:rFonts w:eastAsia="Times New Roman"/>
      <w:b/>
      <w:bCs/>
      <w:color w:val="17365D"/>
      <w:sz w:val="24"/>
    </w:rPr>
  </w:style>
  <w:style w:type="paragraph" w:styleId="Heading4">
    <w:name w:val="heading 4"/>
    <w:basedOn w:val="Normal"/>
    <w:next w:val="Normal"/>
    <w:link w:val="Heading4Char1"/>
    <w:qFormat/>
    <w:rsid w:val="00834352"/>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1"/>
    <w:qFormat/>
    <w:rsid w:val="00834352"/>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1"/>
    <w:qFormat/>
    <w:rsid w:val="00834352"/>
    <w:pPr>
      <w:numPr>
        <w:ilvl w:val="5"/>
        <w:numId w:val="10"/>
      </w:numPr>
      <w:spacing w:before="240" w:after="60"/>
      <w:outlineLvl w:val="5"/>
    </w:pPr>
    <w:rPr>
      <w:rFonts w:ascii="Calibri" w:eastAsia="Times New Roman" w:hAnsi="Calibri"/>
      <w:b/>
      <w:bCs/>
      <w:szCs w:val="22"/>
    </w:rPr>
  </w:style>
  <w:style w:type="paragraph" w:styleId="Heading7">
    <w:name w:val="heading 7"/>
    <w:basedOn w:val="Normal"/>
    <w:next w:val="Normal"/>
    <w:link w:val="Heading7Char1"/>
    <w:qFormat/>
    <w:rsid w:val="00834352"/>
    <w:pPr>
      <w:numPr>
        <w:ilvl w:val="6"/>
        <w:numId w:val="10"/>
      </w:numPr>
      <w:spacing w:before="240" w:after="60"/>
      <w:outlineLvl w:val="6"/>
    </w:pPr>
    <w:rPr>
      <w:rFonts w:ascii="Calibri" w:eastAsia="Times New Roman" w:hAnsi="Calibri"/>
    </w:rPr>
  </w:style>
  <w:style w:type="paragraph" w:styleId="Heading8">
    <w:name w:val="heading 8"/>
    <w:basedOn w:val="Normal"/>
    <w:next w:val="Normal"/>
    <w:link w:val="Heading8Char1"/>
    <w:qFormat/>
    <w:rsid w:val="00834352"/>
    <w:pPr>
      <w:numPr>
        <w:ilvl w:val="7"/>
        <w:numId w:val="10"/>
      </w:numPr>
      <w:spacing w:before="240" w:after="60"/>
      <w:outlineLvl w:val="7"/>
    </w:pPr>
    <w:rPr>
      <w:rFonts w:ascii="Calibri" w:eastAsia="Times New Roman" w:hAnsi="Calibri"/>
      <w:i/>
      <w:iCs/>
    </w:rPr>
  </w:style>
  <w:style w:type="paragraph" w:styleId="Heading9">
    <w:name w:val="heading 9"/>
    <w:basedOn w:val="Normal"/>
    <w:next w:val="Normal"/>
    <w:link w:val="Heading9Char1"/>
    <w:qFormat/>
    <w:rsid w:val="00834352"/>
    <w:pPr>
      <w:numPr>
        <w:ilvl w:val="8"/>
        <w:numId w:val="10"/>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83435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32E6C"/>
    <w:rPr>
      <w:rFonts w:ascii="Lucida Grande" w:hAnsi="Lucida Grande"/>
      <w:sz w:val="18"/>
      <w:szCs w:val="18"/>
    </w:rPr>
  </w:style>
  <w:style w:type="character" w:customStyle="1" w:styleId="BalloonTextChar0">
    <w:name w:val="Balloon Text Char"/>
    <w:basedOn w:val="DefaultParagraphFont"/>
    <w:uiPriority w:val="99"/>
    <w:semiHidden/>
    <w:rsid w:val="00A8005A"/>
    <w:rPr>
      <w:rFonts w:ascii="Lucida Grande" w:hAnsi="Lucida Grande"/>
      <w:sz w:val="18"/>
      <w:szCs w:val="18"/>
    </w:rPr>
  </w:style>
  <w:style w:type="character" w:customStyle="1" w:styleId="BalloonTextChar2">
    <w:name w:val="Balloon Text Char"/>
    <w:basedOn w:val="DefaultParagraphFont"/>
    <w:uiPriority w:val="99"/>
    <w:semiHidden/>
    <w:rsid w:val="00414E3B"/>
    <w:rPr>
      <w:rFonts w:ascii="Lucida Grande" w:hAnsi="Lucida Grande"/>
      <w:sz w:val="18"/>
      <w:szCs w:val="18"/>
    </w:rPr>
  </w:style>
  <w:style w:type="paragraph" w:styleId="ListParagraph">
    <w:name w:val="List Paragraph"/>
    <w:basedOn w:val="Normal"/>
    <w:uiPriority w:val="34"/>
    <w:qFormat/>
    <w:rsid w:val="00834352"/>
    <w:pPr>
      <w:ind w:left="720"/>
      <w:contextualSpacing/>
    </w:pPr>
  </w:style>
  <w:style w:type="character" w:customStyle="1" w:styleId="BalloonTextChar3">
    <w:name w:val="Balloon Text Char"/>
    <w:basedOn w:val="DefaultParagraphFont"/>
    <w:uiPriority w:val="99"/>
    <w:semiHidden/>
    <w:rsid w:val="00834352"/>
    <w:rPr>
      <w:rFonts w:ascii="Tahoma" w:hAnsi="Tahoma" w:cs="Tahoma"/>
      <w:sz w:val="16"/>
      <w:szCs w:val="16"/>
      <w:lang w:val="en-US" w:eastAsia="en-US"/>
    </w:rPr>
  </w:style>
  <w:style w:type="paragraph" w:styleId="Header">
    <w:name w:val="header"/>
    <w:link w:val="HeaderChar1"/>
    <w:unhideWhenUsed/>
    <w:rsid w:val="001C74E5"/>
    <w:pPr>
      <w:tabs>
        <w:tab w:val="center" w:pos="4680"/>
        <w:tab w:val="right" w:pos="9360"/>
      </w:tabs>
    </w:pPr>
    <w:rPr>
      <w:rFonts w:ascii="Times New Roman" w:hAnsi="Times New Roman"/>
      <w:b/>
      <w:i/>
      <w:sz w:val="18"/>
      <w:lang w:val="en-US" w:eastAsia="en-US"/>
    </w:rPr>
  </w:style>
  <w:style w:type="character" w:customStyle="1" w:styleId="HeaderChar">
    <w:name w:val="Header Char"/>
    <w:basedOn w:val="DefaultParagraphFont"/>
    <w:semiHidden/>
    <w:rsid w:val="00834352"/>
    <w:rPr>
      <w:sz w:val="22"/>
      <w:szCs w:val="22"/>
    </w:rPr>
  </w:style>
  <w:style w:type="paragraph" w:styleId="Footer">
    <w:name w:val="footer"/>
    <w:basedOn w:val="Normal"/>
    <w:link w:val="FooterChar1"/>
    <w:uiPriority w:val="99"/>
    <w:unhideWhenUsed/>
    <w:rsid w:val="00834352"/>
    <w:pPr>
      <w:tabs>
        <w:tab w:val="center" w:pos="4680"/>
        <w:tab w:val="right" w:pos="9360"/>
      </w:tabs>
    </w:pPr>
  </w:style>
  <w:style w:type="character" w:customStyle="1" w:styleId="FooterChar">
    <w:name w:val="Footer Char"/>
    <w:basedOn w:val="DefaultParagraphFont"/>
    <w:uiPriority w:val="99"/>
    <w:rsid w:val="00834352"/>
    <w:rPr>
      <w:sz w:val="22"/>
      <w:szCs w:val="22"/>
    </w:rPr>
  </w:style>
  <w:style w:type="paragraph" w:styleId="FootnoteText">
    <w:name w:val="footnote text"/>
    <w:aliases w:val="Footnote Text Quote,f"/>
    <w:basedOn w:val="Normal"/>
    <w:link w:val="FootnoteTextChar1"/>
    <w:uiPriority w:val="99"/>
    <w:unhideWhenUsed/>
    <w:qFormat/>
    <w:rsid w:val="00834352"/>
    <w:pPr>
      <w:spacing w:after="0" w:line="240" w:lineRule="auto"/>
    </w:pPr>
    <w:rPr>
      <w:sz w:val="20"/>
      <w:szCs w:val="20"/>
      <w:lang w:bidi="en-US"/>
    </w:rPr>
  </w:style>
  <w:style w:type="character" w:customStyle="1" w:styleId="FootnoteTextChar">
    <w:name w:val="Footnote Text Char"/>
    <w:aliases w:val="Footnote Text Quote Char,f Char"/>
    <w:basedOn w:val="DefaultParagraphFont"/>
    <w:uiPriority w:val="99"/>
    <w:rsid w:val="00834352"/>
    <w:rPr>
      <w:rFonts w:ascii="Times New Roman" w:hAnsi="Times New Roman"/>
      <w:lang w:bidi="en-US"/>
    </w:rPr>
  </w:style>
  <w:style w:type="character" w:styleId="FootnoteReference">
    <w:name w:val="footnote reference"/>
    <w:aliases w:val="ftref"/>
    <w:basedOn w:val="DefaultParagraphFont"/>
    <w:uiPriority w:val="99"/>
    <w:semiHidden/>
    <w:unhideWhenUsed/>
    <w:rsid w:val="00834352"/>
    <w:rPr>
      <w:vertAlign w:val="superscript"/>
    </w:rPr>
  </w:style>
  <w:style w:type="character" w:customStyle="1" w:styleId="Heading1Char">
    <w:name w:val="Heading 1 Char"/>
    <w:basedOn w:val="DefaultParagraphFont"/>
    <w:rsid w:val="00834352"/>
    <w:rPr>
      <w:rFonts w:ascii="Times New Roman" w:hAnsi="Times New Roman"/>
      <w:b/>
      <w:smallCaps/>
      <w:color w:val="244061"/>
      <w:sz w:val="36"/>
      <w:szCs w:val="36"/>
      <w:lang w:val="sv-SE" w:eastAsia="en-US"/>
    </w:rPr>
  </w:style>
  <w:style w:type="character" w:customStyle="1" w:styleId="Heading2Char">
    <w:name w:val="Heading 2 Char"/>
    <w:aliases w:val="Heading 2 Char2 Char,Heading 2 Char1 Char Char,Heading 2 Char Char Char Char,Heading 2 Char Char1 Char,Heading 2 Char Char Char1,Heading 2 Char1 Char1"/>
    <w:basedOn w:val="DefaultParagraphFont"/>
    <w:rsid w:val="00834352"/>
    <w:rPr>
      <w:rFonts w:ascii="Times New Roman" w:hAnsi="Times New Roman"/>
      <w:b/>
      <w:color w:val="244061"/>
      <w:sz w:val="22"/>
      <w:szCs w:val="24"/>
      <w:lang w:val="en-US" w:eastAsia="en-US"/>
    </w:rPr>
  </w:style>
  <w:style w:type="character" w:customStyle="1" w:styleId="Heading3Char">
    <w:name w:val="Heading 3 Char"/>
    <w:basedOn w:val="DefaultParagraphFont"/>
    <w:rsid w:val="00834352"/>
    <w:rPr>
      <w:rFonts w:ascii="Times New Roman" w:eastAsia="Times New Roman" w:hAnsi="Times New Roman"/>
      <w:b/>
      <w:bCs/>
      <w:i/>
      <w:color w:val="244061"/>
      <w:sz w:val="22"/>
      <w:szCs w:val="24"/>
      <w:lang w:val="en-GB" w:eastAsia="en-US"/>
    </w:rPr>
  </w:style>
  <w:style w:type="paragraph" w:styleId="TOCHeading">
    <w:name w:val="TOC Heading"/>
    <w:basedOn w:val="Heading1"/>
    <w:next w:val="Normal"/>
    <w:qFormat/>
    <w:rsid w:val="00834352"/>
    <w:pPr>
      <w:keepLines/>
      <w:spacing w:before="480" w:after="0"/>
      <w:outlineLvl w:val="9"/>
    </w:pPr>
    <w:rPr>
      <w:rFonts w:ascii="Cambria" w:eastAsia="Times New Roman" w:hAnsi="Cambria"/>
      <w:bCs/>
      <w:smallCaps w:val="0"/>
      <w:color w:val="365F91"/>
      <w:sz w:val="28"/>
      <w:szCs w:val="28"/>
      <w:lang w:val="en-US"/>
    </w:rPr>
  </w:style>
  <w:style w:type="paragraph" w:styleId="TOC1">
    <w:name w:val="toc 1"/>
    <w:basedOn w:val="Normal"/>
    <w:next w:val="Normal"/>
    <w:autoRedefine/>
    <w:uiPriority w:val="39"/>
    <w:unhideWhenUsed/>
    <w:qFormat/>
    <w:rsid w:val="00F27052"/>
    <w:pPr>
      <w:tabs>
        <w:tab w:val="left" w:pos="440"/>
        <w:tab w:val="right" w:leader="dot" w:pos="9072"/>
      </w:tabs>
      <w:spacing w:before="120" w:after="120" w:line="240" w:lineRule="auto"/>
    </w:pPr>
    <w:rPr>
      <w:noProof/>
    </w:rPr>
  </w:style>
  <w:style w:type="paragraph" w:styleId="TOC2">
    <w:name w:val="toc 2"/>
    <w:basedOn w:val="Normal"/>
    <w:next w:val="Normal"/>
    <w:autoRedefine/>
    <w:uiPriority w:val="39"/>
    <w:unhideWhenUsed/>
    <w:rsid w:val="009063CC"/>
    <w:pPr>
      <w:tabs>
        <w:tab w:val="left" w:pos="880"/>
        <w:tab w:val="right" w:leader="dot" w:pos="9072"/>
      </w:tabs>
      <w:spacing w:after="120" w:line="240" w:lineRule="auto"/>
      <w:ind w:left="238"/>
    </w:pPr>
  </w:style>
  <w:style w:type="paragraph" w:styleId="TOC3">
    <w:name w:val="toc 3"/>
    <w:basedOn w:val="Normal"/>
    <w:next w:val="Normal"/>
    <w:autoRedefine/>
    <w:uiPriority w:val="39"/>
    <w:unhideWhenUsed/>
    <w:rsid w:val="00834352"/>
    <w:pPr>
      <w:ind w:left="480"/>
    </w:pPr>
  </w:style>
  <w:style w:type="character" w:styleId="Hyperlink">
    <w:name w:val="Hyperlink"/>
    <w:basedOn w:val="DefaultParagraphFont"/>
    <w:uiPriority w:val="99"/>
    <w:unhideWhenUsed/>
    <w:rsid w:val="00834352"/>
    <w:rPr>
      <w:color w:val="0000FF"/>
      <w:u w:val="single"/>
    </w:rPr>
  </w:style>
  <w:style w:type="paragraph" w:customStyle="1" w:styleId="Default">
    <w:name w:val="Default"/>
    <w:rsid w:val="00834352"/>
    <w:pPr>
      <w:autoSpaceDE w:val="0"/>
      <w:autoSpaceDN w:val="0"/>
      <w:adjustRightInd w:val="0"/>
    </w:pPr>
    <w:rPr>
      <w:rFonts w:ascii="Times New Roman" w:hAnsi="Times New Roman"/>
      <w:color w:val="000000"/>
      <w:lang w:val="da-DK" w:eastAsia="en-US"/>
    </w:rPr>
  </w:style>
  <w:style w:type="paragraph" w:styleId="BodyText">
    <w:name w:val="Body Text"/>
    <w:basedOn w:val="Normal"/>
    <w:link w:val="BodyTextChar1"/>
    <w:uiPriority w:val="99"/>
    <w:rsid w:val="00834352"/>
    <w:pPr>
      <w:overflowPunct w:val="0"/>
      <w:autoSpaceDE w:val="0"/>
      <w:autoSpaceDN w:val="0"/>
      <w:adjustRightInd w:val="0"/>
      <w:spacing w:after="0" w:line="240" w:lineRule="auto"/>
      <w:textAlignment w:val="baseline"/>
    </w:pPr>
    <w:rPr>
      <w:rFonts w:eastAsia="Times New Roman"/>
      <w:szCs w:val="20"/>
    </w:rPr>
  </w:style>
  <w:style w:type="character" w:customStyle="1" w:styleId="BodyTextChar">
    <w:name w:val="Body Text Char"/>
    <w:basedOn w:val="DefaultParagraphFont"/>
    <w:rsid w:val="00834352"/>
    <w:rPr>
      <w:rFonts w:ascii="Times New Roman" w:eastAsia="Times New Roman" w:hAnsi="Times New Roman"/>
      <w:sz w:val="24"/>
      <w:lang w:val="en-US" w:eastAsia="en-US"/>
    </w:rPr>
  </w:style>
  <w:style w:type="paragraph" w:customStyle="1" w:styleId="reportromannumberlist">
    <w:name w:val="report_romannumber_list"/>
    <w:basedOn w:val="Normal"/>
    <w:rsid w:val="00834352"/>
    <w:pPr>
      <w:numPr>
        <w:numId w:val="1"/>
      </w:numPr>
      <w:jc w:val="left"/>
    </w:pPr>
    <w:rPr>
      <w:rFonts w:eastAsia="Times New Roman"/>
      <w:szCs w:val="20"/>
    </w:rPr>
  </w:style>
  <w:style w:type="paragraph" w:customStyle="1" w:styleId="reportsubsubhead">
    <w:name w:val="report_subsubhead"/>
    <w:basedOn w:val="Heading3"/>
    <w:autoRedefine/>
    <w:rsid w:val="00834352"/>
    <w:pPr>
      <w:spacing w:before="120" w:after="180" w:line="280" w:lineRule="exact"/>
    </w:pPr>
    <w:rPr>
      <w:b w:val="0"/>
      <w:bCs w:val="0"/>
      <w:i/>
      <w:szCs w:val="20"/>
      <w:lang w:val="en-US"/>
    </w:rPr>
  </w:style>
  <w:style w:type="paragraph" w:styleId="BodyText2">
    <w:name w:val="Body Text 2"/>
    <w:basedOn w:val="Normal"/>
    <w:link w:val="BodyText2Char1"/>
    <w:uiPriority w:val="99"/>
    <w:rsid w:val="00834352"/>
    <w:pPr>
      <w:overflowPunct w:val="0"/>
      <w:autoSpaceDE w:val="0"/>
      <w:autoSpaceDN w:val="0"/>
      <w:adjustRightInd w:val="0"/>
      <w:textAlignment w:val="baseline"/>
    </w:pPr>
    <w:rPr>
      <w:rFonts w:eastAsia="Times New Roman"/>
      <w:color w:val="000000"/>
      <w:szCs w:val="20"/>
    </w:rPr>
  </w:style>
  <w:style w:type="character" w:customStyle="1" w:styleId="BodyText2Char">
    <w:name w:val="Body Text 2 Char"/>
    <w:basedOn w:val="DefaultParagraphFont"/>
    <w:semiHidden/>
    <w:rsid w:val="00834352"/>
    <w:rPr>
      <w:rFonts w:ascii="Times New Roman" w:eastAsia="Times New Roman" w:hAnsi="Times New Roman"/>
      <w:color w:val="000000"/>
      <w:sz w:val="24"/>
      <w:lang w:val="en-US" w:eastAsia="en-US"/>
    </w:rPr>
  </w:style>
  <w:style w:type="character" w:customStyle="1" w:styleId="Heading4Char">
    <w:name w:val="Heading 4 Char"/>
    <w:basedOn w:val="DefaultParagraphFont"/>
    <w:semiHidden/>
    <w:rsid w:val="00834352"/>
    <w:rPr>
      <w:rFonts w:eastAsia="Times New Roman"/>
      <w:b/>
      <w:bCs/>
      <w:sz w:val="28"/>
      <w:szCs w:val="28"/>
      <w:lang w:val="en-US" w:eastAsia="en-US"/>
    </w:rPr>
  </w:style>
  <w:style w:type="character" w:customStyle="1" w:styleId="Heading5Char">
    <w:name w:val="Heading 5 Char"/>
    <w:basedOn w:val="DefaultParagraphFont"/>
    <w:semiHidden/>
    <w:rsid w:val="00834352"/>
    <w:rPr>
      <w:rFonts w:eastAsia="Times New Roman"/>
      <w:b/>
      <w:bCs/>
      <w:i/>
      <w:iCs/>
      <w:sz w:val="26"/>
      <w:szCs w:val="26"/>
      <w:lang w:val="en-US" w:eastAsia="en-US"/>
    </w:rPr>
  </w:style>
  <w:style w:type="character" w:customStyle="1" w:styleId="Heading6Char">
    <w:name w:val="Heading 6 Char"/>
    <w:basedOn w:val="DefaultParagraphFont"/>
    <w:semiHidden/>
    <w:rsid w:val="00834352"/>
    <w:rPr>
      <w:rFonts w:eastAsia="Times New Roman"/>
      <w:b/>
      <w:bCs/>
      <w:sz w:val="22"/>
      <w:szCs w:val="22"/>
      <w:lang w:val="en-US" w:eastAsia="en-US"/>
    </w:rPr>
  </w:style>
  <w:style w:type="character" w:customStyle="1" w:styleId="Heading7Char">
    <w:name w:val="Heading 7 Char"/>
    <w:basedOn w:val="DefaultParagraphFont"/>
    <w:semiHidden/>
    <w:rsid w:val="00834352"/>
    <w:rPr>
      <w:rFonts w:eastAsia="Times New Roman"/>
      <w:sz w:val="24"/>
      <w:szCs w:val="24"/>
      <w:lang w:val="en-US" w:eastAsia="en-US"/>
    </w:rPr>
  </w:style>
  <w:style w:type="character" w:customStyle="1" w:styleId="Heading8Char">
    <w:name w:val="Heading 8 Char"/>
    <w:basedOn w:val="DefaultParagraphFont"/>
    <w:semiHidden/>
    <w:rsid w:val="00834352"/>
    <w:rPr>
      <w:rFonts w:eastAsia="Times New Roman"/>
      <w:i/>
      <w:iCs/>
      <w:sz w:val="24"/>
      <w:szCs w:val="24"/>
      <w:lang w:val="en-US" w:eastAsia="en-US"/>
    </w:rPr>
  </w:style>
  <w:style w:type="character" w:customStyle="1" w:styleId="Heading9Char">
    <w:name w:val="Heading 9 Char"/>
    <w:basedOn w:val="DefaultParagraphFont"/>
    <w:semiHidden/>
    <w:rsid w:val="00834352"/>
    <w:rPr>
      <w:rFonts w:ascii="Cambria" w:eastAsia="Times New Roman" w:hAnsi="Cambria"/>
      <w:sz w:val="22"/>
      <w:szCs w:val="22"/>
      <w:lang w:val="en-US" w:eastAsia="en-US"/>
    </w:rPr>
  </w:style>
  <w:style w:type="paragraph" w:customStyle="1" w:styleId="Tableheading">
    <w:name w:val="Table heading"/>
    <w:basedOn w:val="Normal"/>
    <w:qFormat/>
    <w:rsid w:val="00834352"/>
    <w:pPr>
      <w:spacing w:after="120"/>
    </w:pPr>
    <w:rPr>
      <w:b/>
      <w:iCs/>
      <w:sz w:val="20"/>
      <w:szCs w:val="20"/>
    </w:rPr>
  </w:style>
  <w:style w:type="paragraph" w:customStyle="1" w:styleId="reportbullets">
    <w:name w:val="report_bullets"/>
    <w:basedOn w:val="Normal"/>
    <w:rsid w:val="00834352"/>
    <w:pPr>
      <w:numPr>
        <w:numId w:val="3"/>
      </w:numPr>
      <w:jc w:val="left"/>
    </w:pPr>
    <w:rPr>
      <w:rFonts w:ascii="Arial" w:eastAsia="Times New Roman" w:hAnsi="Arial"/>
      <w:szCs w:val="20"/>
    </w:rPr>
  </w:style>
  <w:style w:type="character" w:customStyle="1" w:styleId="TableheadingChar">
    <w:name w:val="Table heading Char"/>
    <w:basedOn w:val="DefaultParagraphFont"/>
    <w:rsid w:val="00834352"/>
    <w:rPr>
      <w:rFonts w:ascii="Times New Roman" w:hAnsi="Times New Roman"/>
      <w:b/>
      <w:iCs/>
      <w:lang w:val="en-US" w:eastAsia="en-US"/>
    </w:rPr>
  </w:style>
  <w:style w:type="paragraph" w:customStyle="1" w:styleId="IntroandAnnexheading">
    <w:name w:val="Intro and Annex heading"/>
    <w:qFormat/>
    <w:rsid w:val="00363D60"/>
    <w:pPr>
      <w:spacing w:after="240"/>
    </w:pPr>
    <w:rPr>
      <w:rFonts w:ascii="Times New Roman" w:hAnsi="Times New Roman"/>
      <w:b/>
      <w:smallCaps/>
      <w:color w:val="17365D"/>
      <w:sz w:val="36"/>
      <w:szCs w:val="36"/>
      <w:lang w:val="sv-SE" w:eastAsia="da-DK"/>
    </w:rPr>
  </w:style>
  <w:style w:type="character" w:customStyle="1" w:styleId="AnnexheadingChar">
    <w:name w:val="Annex heading Char"/>
    <w:basedOn w:val="Heading1Char"/>
    <w:rsid w:val="00834352"/>
    <w:rPr>
      <w:rFonts w:ascii="Times New Roman" w:hAnsi="Times New Roman"/>
      <w:b/>
      <w:smallCaps/>
      <w:color w:val="244061"/>
      <w:sz w:val="36"/>
      <w:szCs w:val="36"/>
      <w:lang w:val="sv-SE" w:eastAsia="en-US" w:bidi="ar-SA"/>
    </w:rPr>
  </w:style>
  <w:style w:type="paragraph" w:styleId="BodyTextIndent">
    <w:name w:val="Body Text Indent"/>
    <w:basedOn w:val="Normal"/>
    <w:link w:val="BodyTextIndentChar"/>
    <w:uiPriority w:val="99"/>
    <w:rsid w:val="00834352"/>
    <w:rPr>
      <w:rFonts w:eastAsia="Times New Roman"/>
      <w:color w:val="FF0000"/>
      <w:szCs w:val="22"/>
    </w:rPr>
  </w:style>
  <w:style w:type="paragraph" w:styleId="CommentText">
    <w:name w:val="annotation text"/>
    <w:basedOn w:val="Normal"/>
    <w:link w:val="CommentTextChar1"/>
    <w:uiPriority w:val="99"/>
    <w:semiHidden/>
    <w:rsid w:val="00834352"/>
    <w:rPr>
      <w:rFonts w:eastAsia="Times New Roman"/>
      <w:sz w:val="20"/>
      <w:szCs w:val="20"/>
    </w:rPr>
  </w:style>
  <w:style w:type="paragraph" w:styleId="BodyText3">
    <w:name w:val="Body Text 3"/>
    <w:basedOn w:val="Normal"/>
    <w:link w:val="BodyText3Char"/>
    <w:semiHidden/>
    <w:rsid w:val="00834352"/>
    <w:rPr>
      <w:rFonts w:eastAsia="Times New Roman"/>
      <w:color w:val="FF0000"/>
      <w:szCs w:val="22"/>
    </w:rPr>
  </w:style>
  <w:style w:type="paragraph" w:styleId="TOC4">
    <w:name w:val="toc 4"/>
    <w:basedOn w:val="Normal"/>
    <w:next w:val="Normal"/>
    <w:autoRedefine/>
    <w:uiPriority w:val="39"/>
    <w:semiHidden/>
    <w:rsid w:val="00834352"/>
    <w:pPr>
      <w:spacing w:after="0" w:line="240" w:lineRule="auto"/>
      <w:ind w:left="720"/>
      <w:jc w:val="left"/>
    </w:pPr>
    <w:rPr>
      <w:rFonts w:eastAsia="Times New Roman"/>
    </w:rPr>
  </w:style>
  <w:style w:type="paragraph" w:styleId="TOC5">
    <w:name w:val="toc 5"/>
    <w:basedOn w:val="Normal"/>
    <w:next w:val="Normal"/>
    <w:autoRedefine/>
    <w:uiPriority w:val="39"/>
    <w:semiHidden/>
    <w:rsid w:val="00834352"/>
    <w:pPr>
      <w:spacing w:after="0" w:line="240" w:lineRule="auto"/>
      <w:ind w:left="960"/>
      <w:jc w:val="left"/>
    </w:pPr>
    <w:rPr>
      <w:rFonts w:eastAsia="Times New Roman"/>
    </w:rPr>
  </w:style>
  <w:style w:type="paragraph" w:styleId="TOC6">
    <w:name w:val="toc 6"/>
    <w:basedOn w:val="Normal"/>
    <w:next w:val="Normal"/>
    <w:autoRedefine/>
    <w:uiPriority w:val="39"/>
    <w:semiHidden/>
    <w:rsid w:val="00834352"/>
    <w:pPr>
      <w:spacing w:after="0" w:line="240" w:lineRule="auto"/>
      <w:ind w:left="1200"/>
      <w:jc w:val="left"/>
    </w:pPr>
    <w:rPr>
      <w:rFonts w:eastAsia="Times New Roman"/>
    </w:rPr>
  </w:style>
  <w:style w:type="paragraph" w:styleId="TOC7">
    <w:name w:val="toc 7"/>
    <w:basedOn w:val="Normal"/>
    <w:next w:val="Normal"/>
    <w:autoRedefine/>
    <w:uiPriority w:val="39"/>
    <w:semiHidden/>
    <w:rsid w:val="00834352"/>
    <w:pPr>
      <w:spacing w:after="0" w:line="240" w:lineRule="auto"/>
      <w:ind w:left="1440"/>
      <w:jc w:val="left"/>
    </w:pPr>
    <w:rPr>
      <w:rFonts w:eastAsia="Times New Roman"/>
    </w:rPr>
  </w:style>
  <w:style w:type="paragraph" w:styleId="TOC8">
    <w:name w:val="toc 8"/>
    <w:basedOn w:val="Normal"/>
    <w:next w:val="Normal"/>
    <w:autoRedefine/>
    <w:uiPriority w:val="39"/>
    <w:semiHidden/>
    <w:rsid w:val="00834352"/>
    <w:pPr>
      <w:spacing w:after="0" w:line="240" w:lineRule="auto"/>
      <w:ind w:left="1680"/>
      <w:jc w:val="left"/>
    </w:pPr>
    <w:rPr>
      <w:rFonts w:eastAsia="Times New Roman"/>
    </w:rPr>
  </w:style>
  <w:style w:type="paragraph" w:styleId="TOC9">
    <w:name w:val="toc 9"/>
    <w:basedOn w:val="Normal"/>
    <w:next w:val="Normal"/>
    <w:autoRedefine/>
    <w:uiPriority w:val="39"/>
    <w:semiHidden/>
    <w:rsid w:val="00834352"/>
    <w:pPr>
      <w:spacing w:after="0" w:line="240" w:lineRule="auto"/>
      <w:ind w:left="1920"/>
      <w:jc w:val="left"/>
    </w:pPr>
    <w:rPr>
      <w:rFonts w:eastAsia="Times New Roman"/>
    </w:rPr>
  </w:style>
  <w:style w:type="paragraph" w:customStyle="1" w:styleId="reportbodytext">
    <w:name w:val="report_body text"/>
    <w:basedOn w:val="Normal"/>
    <w:autoRedefine/>
    <w:rsid w:val="00834352"/>
    <w:rPr>
      <w:rFonts w:eastAsia="Times New Roman"/>
      <w:szCs w:val="22"/>
    </w:rPr>
  </w:style>
  <w:style w:type="character" w:styleId="CommentReference">
    <w:name w:val="annotation reference"/>
    <w:basedOn w:val="DefaultParagraphFont"/>
    <w:uiPriority w:val="99"/>
    <w:semiHidden/>
    <w:rsid w:val="00834352"/>
    <w:rPr>
      <w:rFonts w:ascii="Times New Roman" w:hAnsi="Times New Roman" w:cs="Times New Roman"/>
      <w:sz w:val="16"/>
      <w:szCs w:val="16"/>
    </w:rPr>
  </w:style>
  <w:style w:type="paragraph" w:styleId="CommentSubject">
    <w:name w:val="annotation subject"/>
    <w:basedOn w:val="CommentText"/>
    <w:next w:val="CommentText"/>
    <w:link w:val="CommentSubjectChar1"/>
    <w:uiPriority w:val="99"/>
    <w:semiHidden/>
    <w:unhideWhenUsed/>
    <w:rsid w:val="00834352"/>
    <w:rPr>
      <w:rFonts w:eastAsia="Calibri"/>
      <w:b/>
      <w:bCs/>
    </w:rPr>
  </w:style>
  <w:style w:type="character" w:customStyle="1" w:styleId="CommentTextChar">
    <w:name w:val="Comment Text Char"/>
    <w:basedOn w:val="DefaultParagraphFont"/>
    <w:semiHidden/>
    <w:rsid w:val="00834352"/>
    <w:rPr>
      <w:rFonts w:ascii="Times New Roman" w:eastAsia="Times New Roman" w:hAnsi="Times New Roman"/>
      <w:lang w:val="en-US" w:eastAsia="en-US"/>
    </w:rPr>
  </w:style>
  <w:style w:type="character" w:customStyle="1" w:styleId="CommentSubjectChar">
    <w:name w:val="Comment Subject Char"/>
    <w:basedOn w:val="CommentTextChar"/>
    <w:rsid w:val="00834352"/>
    <w:rPr>
      <w:rFonts w:ascii="Times New Roman" w:eastAsia="Times New Roman" w:hAnsi="Times New Roman"/>
      <w:lang w:val="en-US" w:eastAsia="en-US"/>
    </w:rPr>
  </w:style>
  <w:style w:type="paragraph" w:styleId="Revision">
    <w:name w:val="Revision"/>
    <w:hidden/>
    <w:semiHidden/>
    <w:rsid w:val="00834352"/>
    <w:rPr>
      <w:rFonts w:ascii="Times New Roman" w:hAnsi="Times New Roman"/>
      <w:sz w:val="22"/>
      <w:lang w:val="en-US" w:eastAsia="en-US"/>
    </w:rPr>
  </w:style>
  <w:style w:type="paragraph" w:customStyle="1" w:styleId="Pa0">
    <w:name w:val="Pa0"/>
    <w:basedOn w:val="Default"/>
    <w:next w:val="Default"/>
    <w:rsid w:val="00834352"/>
    <w:pPr>
      <w:spacing w:line="221" w:lineRule="atLeast"/>
    </w:pPr>
    <w:rPr>
      <w:rFonts w:ascii="Arial" w:eastAsia="Times New Roman" w:hAnsi="Arial" w:cs="Arial"/>
      <w:color w:val="auto"/>
    </w:rPr>
  </w:style>
  <w:style w:type="character" w:customStyle="1" w:styleId="A0">
    <w:name w:val="A0"/>
    <w:rsid w:val="00834352"/>
    <w:rPr>
      <w:b/>
      <w:color w:val="000000"/>
      <w:sz w:val="68"/>
    </w:rPr>
  </w:style>
  <w:style w:type="character" w:customStyle="1" w:styleId="A1">
    <w:name w:val="A1"/>
    <w:rsid w:val="00834352"/>
    <w:rPr>
      <w:color w:val="000000"/>
      <w:sz w:val="36"/>
    </w:rPr>
  </w:style>
  <w:style w:type="paragraph" w:styleId="DocumentMap">
    <w:name w:val="Document Map"/>
    <w:basedOn w:val="Normal"/>
    <w:link w:val="DocumentMapChar"/>
    <w:uiPriority w:val="99"/>
    <w:semiHidden/>
    <w:unhideWhenUsed/>
    <w:rsid w:val="008A7E2A"/>
    <w:rPr>
      <w:rFonts w:ascii="Tahoma" w:hAnsi="Tahoma" w:cs="Tahoma"/>
      <w:sz w:val="16"/>
      <w:szCs w:val="16"/>
    </w:rPr>
  </w:style>
  <w:style w:type="character" w:customStyle="1" w:styleId="DocumentMapChar">
    <w:name w:val="Document Map Char"/>
    <w:basedOn w:val="DefaultParagraphFont"/>
    <w:link w:val="DocumentMap"/>
    <w:uiPriority w:val="99"/>
    <w:semiHidden/>
    <w:rsid w:val="008A7E2A"/>
    <w:rPr>
      <w:rFonts w:ascii="Tahoma" w:hAnsi="Tahoma" w:cs="Tahoma"/>
      <w:sz w:val="16"/>
      <w:szCs w:val="16"/>
      <w:lang w:val="en-US" w:eastAsia="en-US"/>
    </w:rPr>
  </w:style>
  <w:style w:type="table" w:styleId="TableGrid">
    <w:name w:val="Table Grid"/>
    <w:basedOn w:val="TableNormal"/>
    <w:uiPriority w:val="59"/>
    <w:rsid w:val="00B37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sid w:val="00FC2CAB"/>
  </w:style>
  <w:style w:type="paragraph" w:customStyle="1" w:styleId="Frontpage">
    <w:name w:val="Front page"/>
    <w:link w:val="FrontpageChar"/>
    <w:qFormat/>
    <w:rsid w:val="00F05762"/>
    <w:rPr>
      <w:rFonts w:ascii="Times New Roman" w:hAnsi="Times New Roman"/>
      <w:lang w:val="en-GB" w:eastAsia="en-US"/>
    </w:rPr>
  </w:style>
  <w:style w:type="character" w:customStyle="1" w:styleId="FrontpageChar">
    <w:name w:val="Front page Char"/>
    <w:basedOn w:val="DefaultParagraphFont"/>
    <w:link w:val="Frontpage"/>
    <w:rsid w:val="00F05762"/>
    <w:rPr>
      <w:rFonts w:ascii="Times New Roman" w:hAnsi="Times New Roman"/>
      <w:sz w:val="24"/>
      <w:szCs w:val="24"/>
      <w:lang w:val="en-GB" w:eastAsia="en-US" w:bidi="ar-SA"/>
    </w:rPr>
  </w:style>
  <w:style w:type="character" w:customStyle="1" w:styleId="Heading1Char1">
    <w:name w:val="Heading 1 Char1"/>
    <w:basedOn w:val="DefaultParagraphFont"/>
    <w:link w:val="Heading1"/>
    <w:rsid w:val="003936A6"/>
    <w:rPr>
      <w:rFonts w:ascii="Times New Roman" w:hAnsi="Times New Roman"/>
      <w:b/>
      <w:smallCaps/>
      <w:color w:val="17365D"/>
      <w:sz w:val="36"/>
      <w:szCs w:val="36"/>
      <w:lang w:val="en-GB" w:eastAsia="en-US"/>
    </w:rPr>
  </w:style>
  <w:style w:type="character" w:customStyle="1" w:styleId="Heading2Char1">
    <w:name w:val="Heading 2 Char1"/>
    <w:aliases w:val="Heading 2 Char2 Char1,Heading 2 Char1 Char Char1,Heading 2 Char Char Char Char1,Heading 2 Char Char1 Char1,Heading 2 Char Char Char2"/>
    <w:basedOn w:val="DefaultParagraphFont"/>
    <w:link w:val="Heading2"/>
    <w:rsid w:val="003936A6"/>
    <w:rPr>
      <w:rFonts w:ascii="Times New Roman" w:hAnsi="Times New Roman"/>
      <w:b/>
      <w:color w:val="17365D"/>
      <w:sz w:val="28"/>
      <w:szCs w:val="28"/>
      <w:lang w:val="en-GB" w:eastAsia="en-US"/>
    </w:rPr>
  </w:style>
  <w:style w:type="character" w:customStyle="1" w:styleId="Heading3Char1">
    <w:name w:val="Heading 3 Char1"/>
    <w:basedOn w:val="DefaultParagraphFont"/>
    <w:link w:val="Heading3"/>
    <w:rsid w:val="00315F62"/>
    <w:rPr>
      <w:rFonts w:ascii="Times New Roman" w:eastAsia="Times New Roman" w:hAnsi="Times New Roman"/>
      <w:b/>
      <w:bCs/>
      <w:color w:val="17365D"/>
      <w:lang w:val="en-GB" w:eastAsia="en-US"/>
    </w:rPr>
  </w:style>
  <w:style w:type="character" w:customStyle="1" w:styleId="Heading4Char1">
    <w:name w:val="Heading 4 Char1"/>
    <w:basedOn w:val="DefaultParagraphFont"/>
    <w:link w:val="Heading4"/>
    <w:rsid w:val="00C3636E"/>
    <w:rPr>
      <w:rFonts w:eastAsia="Times New Roman"/>
      <w:b/>
      <w:bCs/>
      <w:sz w:val="28"/>
      <w:szCs w:val="28"/>
      <w:lang w:val="en-GB" w:eastAsia="en-US"/>
    </w:rPr>
  </w:style>
  <w:style w:type="character" w:customStyle="1" w:styleId="Heading5Char1">
    <w:name w:val="Heading 5 Char1"/>
    <w:basedOn w:val="DefaultParagraphFont"/>
    <w:link w:val="Heading5"/>
    <w:rsid w:val="00C3636E"/>
    <w:rPr>
      <w:rFonts w:eastAsia="Times New Roman"/>
      <w:b/>
      <w:bCs/>
      <w:i/>
      <w:iCs/>
      <w:sz w:val="26"/>
      <w:szCs w:val="26"/>
      <w:lang w:val="en-GB" w:eastAsia="en-US"/>
    </w:rPr>
  </w:style>
  <w:style w:type="character" w:customStyle="1" w:styleId="Heading6Char1">
    <w:name w:val="Heading 6 Char1"/>
    <w:basedOn w:val="DefaultParagraphFont"/>
    <w:link w:val="Heading6"/>
    <w:rsid w:val="00C3636E"/>
    <w:rPr>
      <w:rFonts w:eastAsia="Times New Roman"/>
      <w:b/>
      <w:bCs/>
      <w:szCs w:val="22"/>
      <w:lang w:val="en-GB" w:eastAsia="en-US"/>
    </w:rPr>
  </w:style>
  <w:style w:type="character" w:customStyle="1" w:styleId="Heading7Char1">
    <w:name w:val="Heading 7 Char1"/>
    <w:basedOn w:val="DefaultParagraphFont"/>
    <w:link w:val="Heading7"/>
    <w:rsid w:val="00C3636E"/>
    <w:rPr>
      <w:rFonts w:eastAsia="Times New Roman"/>
      <w:lang w:val="en-GB" w:eastAsia="en-US"/>
    </w:rPr>
  </w:style>
  <w:style w:type="character" w:customStyle="1" w:styleId="Heading8Char1">
    <w:name w:val="Heading 8 Char1"/>
    <w:basedOn w:val="DefaultParagraphFont"/>
    <w:link w:val="Heading8"/>
    <w:rsid w:val="00C3636E"/>
    <w:rPr>
      <w:rFonts w:eastAsia="Times New Roman"/>
      <w:i/>
      <w:iCs/>
      <w:lang w:val="en-GB" w:eastAsia="en-US"/>
    </w:rPr>
  </w:style>
  <w:style w:type="character" w:customStyle="1" w:styleId="Heading9Char1">
    <w:name w:val="Heading 9 Char1"/>
    <w:basedOn w:val="DefaultParagraphFont"/>
    <w:link w:val="Heading9"/>
    <w:rsid w:val="00C3636E"/>
    <w:rPr>
      <w:rFonts w:ascii="Cambria" w:eastAsia="Times New Roman" w:hAnsi="Cambria"/>
      <w:szCs w:val="22"/>
      <w:lang w:val="en-GB" w:eastAsia="en-US"/>
    </w:rPr>
  </w:style>
  <w:style w:type="character" w:customStyle="1" w:styleId="FooterChar1">
    <w:name w:val="Footer Char1"/>
    <w:basedOn w:val="DefaultParagraphFont"/>
    <w:link w:val="Footer"/>
    <w:uiPriority w:val="99"/>
    <w:rsid w:val="00C3636E"/>
    <w:rPr>
      <w:rFonts w:ascii="Times New Roman" w:hAnsi="Times New Roman"/>
      <w:sz w:val="24"/>
      <w:szCs w:val="24"/>
      <w:lang w:val="en-GB" w:eastAsia="en-US"/>
    </w:rPr>
  </w:style>
  <w:style w:type="character" w:customStyle="1" w:styleId="FootnoteTextChar1">
    <w:name w:val="Footnote Text Char1"/>
    <w:aliases w:val="Footnote Text Quote Char1,f Char1"/>
    <w:basedOn w:val="DefaultParagraphFont"/>
    <w:link w:val="FootnoteText"/>
    <w:uiPriority w:val="99"/>
    <w:rsid w:val="00C3636E"/>
    <w:rPr>
      <w:rFonts w:ascii="Times New Roman" w:hAnsi="Times New Roman"/>
      <w:lang w:val="en-GB" w:eastAsia="en-US" w:bidi="en-US"/>
    </w:rPr>
  </w:style>
  <w:style w:type="paragraph" w:customStyle="1" w:styleId="Box">
    <w:name w:val="Box"/>
    <w:basedOn w:val="Normal"/>
    <w:uiPriority w:val="99"/>
    <w:rsid w:val="00C3636E"/>
    <w:pPr>
      <w:spacing w:before="40" w:after="40" w:line="240" w:lineRule="auto"/>
      <w:jc w:val="left"/>
    </w:pPr>
    <w:rPr>
      <w:rFonts w:ascii="Arial Narrow" w:eastAsia="Times New Roman" w:hAnsi="Arial Narrow" w:cs="Arial Narrow"/>
      <w:sz w:val="20"/>
      <w:szCs w:val="20"/>
      <w:lang w:eastAsia="es-ES"/>
    </w:rPr>
  </w:style>
  <w:style w:type="character" w:customStyle="1" w:styleId="BodyText2Char1">
    <w:name w:val="Body Text 2 Char1"/>
    <w:basedOn w:val="DefaultParagraphFont"/>
    <w:link w:val="BodyText2"/>
    <w:uiPriority w:val="99"/>
    <w:rsid w:val="00C3636E"/>
    <w:rPr>
      <w:rFonts w:ascii="Times New Roman" w:eastAsia="Times New Roman" w:hAnsi="Times New Roman"/>
      <w:color w:val="000000"/>
      <w:sz w:val="24"/>
      <w:lang w:val="en-GB" w:eastAsia="en-US"/>
    </w:rPr>
  </w:style>
  <w:style w:type="character" w:customStyle="1" w:styleId="HeaderChar1">
    <w:name w:val="Header Char1"/>
    <w:basedOn w:val="DefaultParagraphFont"/>
    <w:link w:val="Header"/>
    <w:rsid w:val="00C3636E"/>
    <w:rPr>
      <w:rFonts w:ascii="Times New Roman" w:hAnsi="Times New Roman"/>
      <w:b/>
      <w:i/>
      <w:sz w:val="18"/>
      <w:szCs w:val="24"/>
      <w:lang w:val="en-US" w:eastAsia="en-US"/>
    </w:rPr>
  </w:style>
  <w:style w:type="paragraph" w:customStyle="1" w:styleId="Photo">
    <w:name w:val="Photo"/>
    <w:basedOn w:val="Normal"/>
    <w:autoRedefine/>
    <w:uiPriority w:val="99"/>
    <w:rsid w:val="00C3636E"/>
    <w:pPr>
      <w:spacing w:before="60" w:after="60" w:line="240" w:lineRule="auto"/>
    </w:pPr>
    <w:rPr>
      <w:rFonts w:ascii="Arial" w:eastAsia="Times New Roman" w:hAnsi="Arial" w:cs="Arial"/>
      <w:i/>
      <w:iCs/>
      <w:sz w:val="20"/>
      <w:szCs w:val="20"/>
      <w:lang w:eastAsia="es-ES"/>
    </w:rPr>
  </w:style>
  <w:style w:type="paragraph" w:customStyle="1" w:styleId="Style1">
    <w:name w:val="Style1"/>
    <w:basedOn w:val="Normal"/>
    <w:autoRedefine/>
    <w:uiPriority w:val="99"/>
    <w:qFormat/>
    <w:rsid w:val="00C3636E"/>
    <w:pPr>
      <w:spacing w:before="60" w:after="60" w:line="240" w:lineRule="auto"/>
    </w:pPr>
    <w:rPr>
      <w:rFonts w:ascii="Arial" w:eastAsia="Times New Roman" w:hAnsi="Arial" w:cs="Arial"/>
      <w:i/>
      <w:iCs/>
      <w:sz w:val="18"/>
      <w:szCs w:val="18"/>
      <w:lang w:eastAsia="es-ES"/>
    </w:rPr>
  </w:style>
  <w:style w:type="paragraph" w:customStyle="1" w:styleId="Footnote">
    <w:name w:val="Footnote"/>
    <w:basedOn w:val="Photo"/>
    <w:uiPriority w:val="99"/>
    <w:rsid w:val="00C3636E"/>
    <w:rPr>
      <w:i w:val="0"/>
      <w:iCs w:val="0"/>
    </w:rPr>
  </w:style>
  <w:style w:type="character" w:customStyle="1" w:styleId="BodyTextChar1">
    <w:name w:val="Body Text Char1"/>
    <w:basedOn w:val="DefaultParagraphFont"/>
    <w:link w:val="BodyText"/>
    <w:uiPriority w:val="99"/>
    <w:rsid w:val="00C3636E"/>
    <w:rPr>
      <w:rFonts w:ascii="Times New Roman" w:eastAsia="Times New Roman" w:hAnsi="Times New Roman"/>
      <w:sz w:val="24"/>
      <w:lang w:val="en-GB" w:eastAsia="en-US"/>
    </w:rPr>
  </w:style>
  <w:style w:type="paragraph" w:customStyle="1" w:styleId="Table">
    <w:name w:val="Table"/>
    <w:basedOn w:val="Normal"/>
    <w:uiPriority w:val="99"/>
    <w:rsid w:val="00C3636E"/>
    <w:pPr>
      <w:keepNext/>
      <w:keepLines/>
      <w:spacing w:before="20" w:after="20" w:line="288" w:lineRule="auto"/>
      <w:jc w:val="left"/>
    </w:pPr>
    <w:rPr>
      <w:rFonts w:ascii="Arial" w:eastAsia="Times New Roman" w:hAnsi="Arial" w:cs="Arial"/>
      <w:sz w:val="18"/>
      <w:szCs w:val="18"/>
      <w:lang w:eastAsia="en-GB"/>
    </w:rPr>
  </w:style>
  <w:style w:type="paragraph" w:styleId="HTMLPreformatted">
    <w:name w:val="HTML Preformatted"/>
    <w:basedOn w:val="Normal"/>
    <w:link w:val="HTMLPreformattedChar"/>
    <w:uiPriority w:val="99"/>
    <w:rsid w:val="00C3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36E"/>
    <w:rPr>
      <w:rFonts w:ascii="Courier New" w:eastAsia="Times New Roman" w:hAnsi="Courier New" w:cs="Courier New"/>
      <w:lang w:val="en-US" w:eastAsia="en-US"/>
    </w:rPr>
  </w:style>
  <w:style w:type="paragraph" w:styleId="Caption">
    <w:name w:val="caption"/>
    <w:basedOn w:val="Normal"/>
    <w:next w:val="Normal"/>
    <w:link w:val="CaptionChar"/>
    <w:uiPriority w:val="99"/>
    <w:qFormat/>
    <w:rsid w:val="00C3636E"/>
    <w:pPr>
      <w:spacing w:before="60" w:after="60" w:line="240" w:lineRule="auto"/>
      <w:jc w:val="center"/>
    </w:pPr>
    <w:rPr>
      <w:rFonts w:ascii="Arial" w:eastAsia="Times New Roman" w:hAnsi="Arial" w:cs="Arial"/>
      <w:b/>
      <w:bCs/>
      <w:sz w:val="20"/>
      <w:szCs w:val="20"/>
      <w:lang w:eastAsia="es-ES"/>
    </w:rPr>
  </w:style>
  <w:style w:type="paragraph" w:styleId="TableofFigures">
    <w:name w:val="table of figures"/>
    <w:basedOn w:val="Normal"/>
    <w:next w:val="Normal"/>
    <w:uiPriority w:val="99"/>
    <w:rsid w:val="00C3636E"/>
    <w:pPr>
      <w:spacing w:before="60" w:after="60" w:line="240" w:lineRule="auto"/>
    </w:pPr>
    <w:rPr>
      <w:rFonts w:ascii="Arial" w:eastAsia="Times New Roman" w:hAnsi="Arial" w:cs="Arial"/>
      <w:sz w:val="22"/>
      <w:szCs w:val="22"/>
      <w:lang w:eastAsia="es-ES"/>
    </w:rPr>
  </w:style>
  <w:style w:type="paragraph" w:styleId="ListBullet">
    <w:name w:val="List Bullet"/>
    <w:basedOn w:val="Normal"/>
    <w:uiPriority w:val="99"/>
    <w:rsid w:val="00C3636E"/>
    <w:pPr>
      <w:numPr>
        <w:numId w:val="4"/>
      </w:numPr>
      <w:spacing w:after="240" w:line="240" w:lineRule="auto"/>
    </w:pPr>
    <w:rPr>
      <w:rFonts w:eastAsia="Times New Roman"/>
    </w:rPr>
  </w:style>
  <w:style w:type="paragraph" w:styleId="ListNumber">
    <w:name w:val="List Number"/>
    <w:basedOn w:val="Normal"/>
    <w:uiPriority w:val="99"/>
    <w:rsid w:val="00C3636E"/>
    <w:pPr>
      <w:numPr>
        <w:numId w:val="5"/>
      </w:numPr>
      <w:spacing w:after="240" w:line="240" w:lineRule="auto"/>
    </w:pPr>
    <w:rPr>
      <w:rFonts w:eastAsia="Times New Roman"/>
    </w:rPr>
  </w:style>
  <w:style w:type="paragraph" w:customStyle="1" w:styleId="ListNumberLevel2">
    <w:name w:val="List Number (Level 2)"/>
    <w:basedOn w:val="Normal"/>
    <w:uiPriority w:val="99"/>
    <w:rsid w:val="00C3636E"/>
    <w:pPr>
      <w:numPr>
        <w:ilvl w:val="1"/>
        <w:numId w:val="5"/>
      </w:numPr>
      <w:spacing w:after="240" w:line="240" w:lineRule="auto"/>
    </w:pPr>
    <w:rPr>
      <w:rFonts w:eastAsia="Times New Roman"/>
    </w:rPr>
  </w:style>
  <w:style w:type="paragraph" w:customStyle="1" w:styleId="ListNumberLevel3">
    <w:name w:val="List Number (Level 3)"/>
    <w:basedOn w:val="Normal"/>
    <w:uiPriority w:val="99"/>
    <w:rsid w:val="00C3636E"/>
    <w:pPr>
      <w:numPr>
        <w:ilvl w:val="2"/>
        <w:numId w:val="5"/>
      </w:numPr>
      <w:spacing w:after="240" w:line="240" w:lineRule="auto"/>
    </w:pPr>
    <w:rPr>
      <w:rFonts w:eastAsia="Times New Roman"/>
    </w:rPr>
  </w:style>
  <w:style w:type="paragraph" w:customStyle="1" w:styleId="ListNumberLevel4">
    <w:name w:val="List Number (Level 4)"/>
    <w:basedOn w:val="Normal"/>
    <w:uiPriority w:val="99"/>
    <w:rsid w:val="00C3636E"/>
    <w:pPr>
      <w:numPr>
        <w:ilvl w:val="3"/>
        <w:numId w:val="5"/>
      </w:numPr>
      <w:spacing w:after="240" w:line="240" w:lineRule="auto"/>
    </w:pPr>
    <w:rPr>
      <w:rFonts w:eastAsia="Times New Roman"/>
    </w:rPr>
  </w:style>
  <w:style w:type="paragraph" w:customStyle="1" w:styleId="Char1">
    <w:name w:val="Char1"/>
    <w:basedOn w:val="Normal"/>
    <w:uiPriority w:val="99"/>
    <w:rsid w:val="00C3636E"/>
    <w:pPr>
      <w:spacing w:after="160" w:line="240" w:lineRule="exact"/>
      <w:jc w:val="left"/>
    </w:pPr>
    <w:rPr>
      <w:rFonts w:ascii="Verdana" w:eastAsia="Times New Roman" w:hAnsi="Verdana" w:cs="Verdana"/>
      <w:sz w:val="20"/>
      <w:szCs w:val="20"/>
      <w:lang w:val="en-US"/>
    </w:rPr>
  </w:style>
  <w:style w:type="character" w:customStyle="1" w:styleId="CaptionChar">
    <w:name w:val="Caption Char"/>
    <w:basedOn w:val="DefaultParagraphFont"/>
    <w:link w:val="Caption"/>
    <w:uiPriority w:val="99"/>
    <w:locked/>
    <w:rsid w:val="00C3636E"/>
    <w:rPr>
      <w:rFonts w:ascii="Arial" w:eastAsia="Times New Roman" w:hAnsi="Arial" w:cs="Arial"/>
      <w:b/>
      <w:bCs/>
      <w:lang w:val="en-GB" w:eastAsia="es-ES"/>
    </w:rPr>
  </w:style>
  <w:style w:type="character" w:customStyle="1" w:styleId="BodyTextIndentChar">
    <w:name w:val="Body Text Indent Char"/>
    <w:basedOn w:val="DefaultParagraphFont"/>
    <w:link w:val="BodyTextIndent"/>
    <w:uiPriority w:val="99"/>
    <w:locked/>
    <w:rsid w:val="00C3636E"/>
    <w:rPr>
      <w:rFonts w:ascii="Times New Roman" w:eastAsia="Times New Roman" w:hAnsi="Times New Roman"/>
      <w:color w:val="FF0000"/>
      <w:sz w:val="24"/>
      <w:szCs w:val="22"/>
      <w:lang w:val="en-GB" w:eastAsia="en-US"/>
    </w:rPr>
  </w:style>
  <w:style w:type="character" w:customStyle="1" w:styleId="CommentTextChar1">
    <w:name w:val="Comment Text Char1"/>
    <w:basedOn w:val="DefaultParagraphFont"/>
    <w:link w:val="CommentText"/>
    <w:uiPriority w:val="99"/>
    <w:semiHidden/>
    <w:locked/>
    <w:rsid w:val="00C3636E"/>
    <w:rPr>
      <w:rFonts w:ascii="Times New Roman" w:eastAsia="Times New Roman" w:hAnsi="Times New Roman"/>
      <w:lang w:val="en-GB" w:eastAsia="en-US"/>
    </w:rPr>
  </w:style>
  <w:style w:type="character" w:customStyle="1" w:styleId="CommentSubjectChar1">
    <w:name w:val="Comment Subject Char1"/>
    <w:basedOn w:val="CommentTextChar1"/>
    <w:link w:val="CommentSubject"/>
    <w:uiPriority w:val="99"/>
    <w:semiHidden/>
    <w:locked/>
    <w:rsid w:val="00C3636E"/>
    <w:rPr>
      <w:rFonts w:ascii="Times New Roman" w:eastAsia="Times New Roman" w:hAnsi="Times New Roman"/>
      <w:b/>
      <w:bCs/>
      <w:lang w:val="en-GB" w:eastAsia="en-US"/>
    </w:rPr>
  </w:style>
  <w:style w:type="character" w:customStyle="1" w:styleId="BalloonTextChar1">
    <w:name w:val="Balloon Text Char1"/>
    <w:basedOn w:val="DefaultParagraphFont"/>
    <w:link w:val="BalloonText"/>
    <w:uiPriority w:val="99"/>
    <w:locked/>
    <w:rsid w:val="00C3636E"/>
    <w:rPr>
      <w:rFonts w:ascii="Tahoma" w:hAnsi="Tahoma" w:cs="Tahoma"/>
      <w:sz w:val="16"/>
      <w:szCs w:val="16"/>
      <w:lang w:val="en-GB" w:eastAsia="en-US"/>
    </w:rPr>
  </w:style>
  <w:style w:type="paragraph" w:styleId="NormalWeb">
    <w:name w:val="Normal (Web)"/>
    <w:basedOn w:val="Normal"/>
    <w:uiPriority w:val="99"/>
    <w:rsid w:val="00C3636E"/>
    <w:pPr>
      <w:spacing w:before="100" w:beforeAutospacing="1" w:after="100" w:afterAutospacing="1" w:line="240" w:lineRule="auto"/>
      <w:jc w:val="left"/>
    </w:pPr>
    <w:rPr>
      <w:rFonts w:eastAsia="Times New Roman"/>
      <w:lang w:val="en-US"/>
    </w:rPr>
  </w:style>
  <w:style w:type="character" w:styleId="Strong">
    <w:name w:val="Strong"/>
    <w:basedOn w:val="DefaultParagraphFont"/>
    <w:uiPriority w:val="99"/>
    <w:qFormat/>
    <w:rsid w:val="00C3636E"/>
    <w:rPr>
      <w:b/>
      <w:bCs/>
    </w:rPr>
  </w:style>
  <w:style w:type="character" w:customStyle="1" w:styleId="apple-converted-space">
    <w:name w:val="apple-converted-space"/>
    <w:basedOn w:val="DefaultParagraphFont"/>
    <w:uiPriority w:val="99"/>
    <w:rsid w:val="00C3636E"/>
  </w:style>
  <w:style w:type="numbering" w:customStyle="1" w:styleId="StyleNumbered">
    <w:name w:val="Style Numbered"/>
    <w:rsid w:val="00C3636E"/>
    <w:pPr>
      <w:numPr>
        <w:numId w:val="6"/>
      </w:numPr>
    </w:pPr>
  </w:style>
  <w:style w:type="paragraph" w:styleId="NormalIndent">
    <w:name w:val="Normal Indent"/>
    <w:basedOn w:val="Normal"/>
    <w:next w:val="Normal"/>
    <w:autoRedefine/>
    <w:uiPriority w:val="4"/>
    <w:unhideWhenUsed/>
    <w:qFormat/>
    <w:rsid w:val="0051421C"/>
    <w:pPr>
      <w:tabs>
        <w:tab w:val="left" w:pos="13325"/>
      </w:tabs>
      <w:spacing w:after="120" w:line="240" w:lineRule="auto"/>
      <w:ind w:left="100"/>
    </w:pPr>
    <w:rPr>
      <w:rFonts w:eastAsiaTheme="minorHAnsi" w:cs="Arial"/>
      <w:szCs w:val="22"/>
    </w:rPr>
  </w:style>
  <w:style w:type="table" w:customStyle="1" w:styleId="TableGrid1">
    <w:name w:val="Table Grid1"/>
    <w:basedOn w:val="TableNormal"/>
    <w:next w:val="TableGrid"/>
    <w:uiPriority w:val="59"/>
    <w:rsid w:val="00E63B6D"/>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808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835"/>
    <w:rPr>
      <w:rFonts w:ascii="Times New Roman" w:hAnsi="Times New Roman"/>
      <w:lang w:val="en-GB" w:eastAsia="en-US"/>
    </w:rPr>
  </w:style>
  <w:style w:type="character" w:styleId="EndnoteReference">
    <w:name w:val="endnote reference"/>
    <w:basedOn w:val="DefaultParagraphFont"/>
    <w:uiPriority w:val="99"/>
    <w:semiHidden/>
    <w:unhideWhenUsed/>
    <w:rsid w:val="00E80835"/>
    <w:rPr>
      <w:vertAlign w:val="superscript"/>
    </w:rPr>
  </w:style>
  <w:style w:type="paragraph" w:customStyle="1" w:styleId="Style2">
    <w:name w:val="Style2"/>
    <w:basedOn w:val="Normal"/>
    <w:autoRedefine/>
    <w:qFormat/>
    <w:rsid w:val="00717EB6"/>
    <w:pPr>
      <w:tabs>
        <w:tab w:val="left" w:pos="720"/>
      </w:tabs>
    </w:pPr>
    <w:rPr>
      <w:sz w:val="24"/>
      <w:szCs w:val="20"/>
    </w:rPr>
  </w:style>
  <w:style w:type="paragraph" w:customStyle="1" w:styleId="Tabletitlecell">
    <w:name w:val="Table title cell"/>
    <w:basedOn w:val="Normal"/>
    <w:autoRedefine/>
    <w:uiPriority w:val="99"/>
    <w:rsid w:val="00717EB6"/>
    <w:pPr>
      <w:keepNext/>
      <w:keepLines/>
      <w:tabs>
        <w:tab w:val="left" w:pos="567"/>
      </w:tabs>
      <w:spacing w:before="20" w:after="20"/>
      <w:jc w:val="center"/>
    </w:pPr>
    <w:rPr>
      <w:bCs/>
      <w:i/>
      <w:iCs/>
      <w:sz w:val="20"/>
      <w:szCs w:val="18"/>
    </w:rPr>
  </w:style>
  <w:style w:type="paragraph" w:customStyle="1" w:styleId="Tit1">
    <w:name w:val="Tit 1"/>
    <w:basedOn w:val="Normal"/>
    <w:next w:val="Normal"/>
    <w:autoRedefine/>
    <w:rsid w:val="00717EB6"/>
    <w:pPr>
      <w:widowControl w:val="0"/>
      <w:numPr>
        <w:numId w:val="27"/>
      </w:numPr>
      <w:spacing w:before="120" w:after="240"/>
    </w:pPr>
    <w:rPr>
      <w:caps/>
      <w:sz w:val="28"/>
      <w:lang w:val="fr-FR"/>
    </w:rPr>
  </w:style>
  <w:style w:type="paragraph" w:customStyle="1" w:styleId="NormalIndent1">
    <w:name w:val="Normal Indent1"/>
    <w:basedOn w:val="Normal"/>
    <w:next w:val="NormalIndent"/>
    <w:uiPriority w:val="4"/>
    <w:unhideWhenUsed/>
    <w:qFormat/>
    <w:rsid w:val="00717EB6"/>
    <w:pPr>
      <w:spacing w:line="300" w:lineRule="exact"/>
      <w:ind w:left="720"/>
    </w:pPr>
    <w:rPr>
      <w:sz w:val="24"/>
    </w:rPr>
  </w:style>
  <w:style w:type="character" w:customStyle="1" w:styleId="BodyText3Char">
    <w:name w:val="Body Text 3 Char"/>
    <w:basedOn w:val="DefaultParagraphFont"/>
    <w:link w:val="BodyText3"/>
    <w:semiHidden/>
    <w:rsid w:val="00717EB6"/>
    <w:rPr>
      <w:rFonts w:ascii="Times New Roman" w:eastAsia="Times New Roman" w:hAnsi="Times New Roman"/>
      <w:color w:val="FF0000"/>
      <w:sz w:val="23"/>
      <w:szCs w:val="22"/>
      <w:lang w:val="en-GB" w:eastAsia="en-US"/>
    </w:rPr>
  </w:style>
</w:styles>
</file>

<file path=word/webSettings.xml><?xml version="1.0" encoding="utf-8"?>
<w:webSettings xmlns:r="http://schemas.openxmlformats.org/officeDocument/2006/relationships" xmlns:w="http://schemas.openxmlformats.org/wordprocessingml/2006/main">
  <w:divs>
    <w:div w:id="603343318">
      <w:bodyDiv w:val="1"/>
      <w:marLeft w:val="0"/>
      <w:marRight w:val="0"/>
      <w:marTop w:val="0"/>
      <w:marBottom w:val="0"/>
      <w:divBdr>
        <w:top w:val="none" w:sz="0" w:space="0" w:color="auto"/>
        <w:left w:val="none" w:sz="0" w:space="0" w:color="auto"/>
        <w:bottom w:val="none" w:sz="0" w:space="0" w:color="auto"/>
        <w:right w:val="none" w:sz="0" w:space="0" w:color="auto"/>
      </w:divBdr>
    </w:div>
    <w:div w:id="614405899">
      <w:bodyDiv w:val="1"/>
      <w:marLeft w:val="0"/>
      <w:marRight w:val="0"/>
      <w:marTop w:val="0"/>
      <w:marBottom w:val="0"/>
      <w:divBdr>
        <w:top w:val="none" w:sz="0" w:space="0" w:color="auto"/>
        <w:left w:val="none" w:sz="0" w:space="0" w:color="auto"/>
        <w:bottom w:val="none" w:sz="0" w:space="0" w:color="auto"/>
        <w:right w:val="none" w:sz="0" w:space="0" w:color="auto"/>
      </w:divBdr>
    </w:div>
    <w:div w:id="637761102">
      <w:bodyDiv w:val="1"/>
      <w:marLeft w:val="0"/>
      <w:marRight w:val="0"/>
      <w:marTop w:val="0"/>
      <w:marBottom w:val="0"/>
      <w:divBdr>
        <w:top w:val="none" w:sz="0" w:space="0" w:color="auto"/>
        <w:left w:val="none" w:sz="0" w:space="0" w:color="auto"/>
        <w:bottom w:val="none" w:sz="0" w:space="0" w:color="auto"/>
        <w:right w:val="none" w:sz="0" w:space="0" w:color="auto"/>
      </w:divBdr>
    </w:div>
    <w:div w:id="1028261823">
      <w:bodyDiv w:val="1"/>
      <w:marLeft w:val="0"/>
      <w:marRight w:val="0"/>
      <w:marTop w:val="0"/>
      <w:marBottom w:val="0"/>
      <w:divBdr>
        <w:top w:val="none" w:sz="0" w:space="0" w:color="auto"/>
        <w:left w:val="none" w:sz="0" w:space="0" w:color="auto"/>
        <w:bottom w:val="none" w:sz="0" w:space="0" w:color="auto"/>
        <w:right w:val="none" w:sz="0" w:space="0" w:color="auto"/>
      </w:divBdr>
    </w:div>
    <w:div w:id="1258488784">
      <w:bodyDiv w:val="1"/>
      <w:marLeft w:val="0"/>
      <w:marRight w:val="0"/>
      <w:marTop w:val="0"/>
      <w:marBottom w:val="0"/>
      <w:divBdr>
        <w:top w:val="none" w:sz="0" w:space="0" w:color="auto"/>
        <w:left w:val="none" w:sz="0" w:space="0" w:color="auto"/>
        <w:bottom w:val="none" w:sz="0" w:space="0" w:color="auto"/>
        <w:right w:val="none" w:sz="0" w:space="0" w:color="auto"/>
      </w:divBdr>
    </w:div>
    <w:div w:id="1526403636">
      <w:bodyDiv w:val="1"/>
      <w:marLeft w:val="0"/>
      <w:marRight w:val="0"/>
      <w:marTop w:val="0"/>
      <w:marBottom w:val="0"/>
      <w:divBdr>
        <w:top w:val="none" w:sz="0" w:space="0" w:color="auto"/>
        <w:left w:val="none" w:sz="0" w:space="0" w:color="auto"/>
        <w:bottom w:val="none" w:sz="0" w:space="0" w:color="auto"/>
        <w:right w:val="none" w:sz="0" w:space="0" w:color="auto"/>
      </w:divBdr>
    </w:div>
    <w:div w:id="1706516138">
      <w:bodyDiv w:val="1"/>
      <w:marLeft w:val="0"/>
      <w:marRight w:val="0"/>
      <w:marTop w:val="0"/>
      <w:marBottom w:val="0"/>
      <w:divBdr>
        <w:top w:val="none" w:sz="0" w:space="0" w:color="auto"/>
        <w:left w:val="none" w:sz="0" w:space="0" w:color="auto"/>
        <w:bottom w:val="none" w:sz="0" w:space="0" w:color="auto"/>
        <w:right w:val="none" w:sz="0" w:space="0" w:color="auto"/>
      </w:divBdr>
    </w:div>
    <w:div w:id="1993213904">
      <w:bodyDiv w:val="1"/>
      <w:marLeft w:val="0"/>
      <w:marRight w:val="0"/>
      <w:marTop w:val="0"/>
      <w:marBottom w:val="0"/>
      <w:divBdr>
        <w:top w:val="none" w:sz="0" w:space="0" w:color="auto"/>
        <w:left w:val="none" w:sz="0" w:space="0" w:color="auto"/>
        <w:bottom w:val="none" w:sz="0" w:space="0" w:color="auto"/>
        <w:right w:val="none" w:sz="0" w:space="0" w:color="auto"/>
      </w:divBdr>
    </w:div>
    <w:div w:id="2018383551">
      <w:bodyDiv w:val="1"/>
      <w:marLeft w:val="0"/>
      <w:marRight w:val="0"/>
      <w:marTop w:val="0"/>
      <w:marBottom w:val="0"/>
      <w:divBdr>
        <w:top w:val="none" w:sz="0" w:space="0" w:color="auto"/>
        <w:left w:val="none" w:sz="0" w:space="0" w:color="auto"/>
        <w:bottom w:val="none" w:sz="0" w:space="0" w:color="auto"/>
        <w:right w:val="none" w:sz="0" w:space="0" w:color="auto"/>
      </w:divBdr>
    </w:div>
    <w:div w:id="20461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image" Target="media/image4.emf"/><Relationship Id="rId16" Type="http://schemas.openxmlformats.org/officeDocument/2006/relationships/image" Target="media/image5.emf"/><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apacity4dev.ec.europa.eu/public-environment-clim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g1\Documents\Reporting\Lot%206_Report%20Format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C3B3-43C9-044F-AE54-60417C97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\Users\ncg1\Documents\Reporting\Lot 6_Report Format4.dotx</Template>
  <TotalTime>162</TotalTime>
  <Pages>53</Pages>
  <Words>23100</Words>
  <Characters>131674</Characters>
  <Application>Microsoft Macintosh Word</Application>
  <DocSecurity>0</DocSecurity>
  <Lines>1097</Lines>
  <Paragraphs>263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161704</CharactersWithSpaces>
  <SharedDoc>false</SharedDoc>
  <HLinks>
    <vt:vector size="150" baseType="variant">
      <vt:variant>
        <vt:i4>1572879</vt:i4>
      </vt:variant>
      <vt:variant>
        <vt:i4>140</vt:i4>
      </vt:variant>
      <vt:variant>
        <vt:i4>0</vt:i4>
      </vt:variant>
      <vt:variant>
        <vt:i4>5</vt:i4>
      </vt:variant>
      <vt:variant>
        <vt:lpwstr/>
      </vt:variant>
      <vt:variant>
        <vt:lpwstr>_Toc399077311</vt:lpwstr>
      </vt:variant>
      <vt:variant>
        <vt:i4>1572878</vt:i4>
      </vt:variant>
      <vt:variant>
        <vt:i4>134</vt:i4>
      </vt:variant>
      <vt:variant>
        <vt:i4>0</vt:i4>
      </vt:variant>
      <vt:variant>
        <vt:i4>5</vt:i4>
      </vt:variant>
      <vt:variant>
        <vt:lpwstr/>
      </vt:variant>
      <vt:variant>
        <vt:lpwstr>_Toc399077310</vt:lpwstr>
      </vt:variant>
      <vt:variant>
        <vt:i4>1638407</vt:i4>
      </vt:variant>
      <vt:variant>
        <vt:i4>128</vt:i4>
      </vt:variant>
      <vt:variant>
        <vt:i4>0</vt:i4>
      </vt:variant>
      <vt:variant>
        <vt:i4>5</vt:i4>
      </vt:variant>
      <vt:variant>
        <vt:lpwstr/>
      </vt:variant>
      <vt:variant>
        <vt:lpwstr>_Toc399077309</vt:lpwstr>
      </vt:variant>
      <vt:variant>
        <vt:i4>1638406</vt:i4>
      </vt:variant>
      <vt:variant>
        <vt:i4>122</vt:i4>
      </vt:variant>
      <vt:variant>
        <vt:i4>0</vt:i4>
      </vt:variant>
      <vt:variant>
        <vt:i4>5</vt:i4>
      </vt:variant>
      <vt:variant>
        <vt:lpwstr/>
      </vt:variant>
      <vt:variant>
        <vt:lpwstr>_Toc399077308</vt:lpwstr>
      </vt:variant>
      <vt:variant>
        <vt:i4>1638409</vt:i4>
      </vt:variant>
      <vt:variant>
        <vt:i4>116</vt:i4>
      </vt:variant>
      <vt:variant>
        <vt:i4>0</vt:i4>
      </vt:variant>
      <vt:variant>
        <vt:i4>5</vt:i4>
      </vt:variant>
      <vt:variant>
        <vt:lpwstr/>
      </vt:variant>
      <vt:variant>
        <vt:lpwstr>_Toc399077307</vt:lpwstr>
      </vt:variant>
      <vt:variant>
        <vt:i4>1638408</vt:i4>
      </vt:variant>
      <vt:variant>
        <vt:i4>110</vt:i4>
      </vt:variant>
      <vt:variant>
        <vt:i4>0</vt:i4>
      </vt:variant>
      <vt:variant>
        <vt:i4>5</vt:i4>
      </vt:variant>
      <vt:variant>
        <vt:lpwstr/>
      </vt:variant>
      <vt:variant>
        <vt:lpwstr>_Toc399077306</vt:lpwstr>
      </vt:variant>
      <vt:variant>
        <vt:i4>1638411</vt:i4>
      </vt:variant>
      <vt:variant>
        <vt:i4>104</vt:i4>
      </vt:variant>
      <vt:variant>
        <vt:i4>0</vt:i4>
      </vt:variant>
      <vt:variant>
        <vt:i4>5</vt:i4>
      </vt:variant>
      <vt:variant>
        <vt:lpwstr/>
      </vt:variant>
      <vt:variant>
        <vt:lpwstr>_Toc399077305</vt:lpwstr>
      </vt:variant>
      <vt:variant>
        <vt:i4>1638410</vt:i4>
      </vt:variant>
      <vt:variant>
        <vt:i4>98</vt:i4>
      </vt:variant>
      <vt:variant>
        <vt:i4>0</vt:i4>
      </vt:variant>
      <vt:variant>
        <vt:i4>5</vt:i4>
      </vt:variant>
      <vt:variant>
        <vt:lpwstr/>
      </vt:variant>
      <vt:variant>
        <vt:lpwstr>_Toc399077304</vt:lpwstr>
      </vt:variant>
      <vt:variant>
        <vt:i4>1638413</vt:i4>
      </vt:variant>
      <vt:variant>
        <vt:i4>92</vt:i4>
      </vt:variant>
      <vt:variant>
        <vt:i4>0</vt:i4>
      </vt:variant>
      <vt:variant>
        <vt:i4>5</vt:i4>
      </vt:variant>
      <vt:variant>
        <vt:lpwstr/>
      </vt:variant>
      <vt:variant>
        <vt:lpwstr>_Toc399077303</vt:lpwstr>
      </vt:variant>
      <vt:variant>
        <vt:i4>1638412</vt:i4>
      </vt:variant>
      <vt:variant>
        <vt:i4>86</vt:i4>
      </vt:variant>
      <vt:variant>
        <vt:i4>0</vt:i4>
      </vt:variant>
      <vt:variant>
        <vt:i4>5</vt:i4>
      </vt:variant>
      <vt:variant>
        <vt:lpwstr/>
      </vt:variant>
      <vt:variant>
        <vt:lpwstr>_Toc399077302</vt:lpwstr>
      </vt:variant>
      <vt:variant>
        <vt:i4>1638415</vt:i4>
      </vt:variant>
      <vt:variant>
        <vt:i4>80</vt:i4>
      </vt:variant>
      <vt:variant>
        <vt:i4>0</vt:i4>
      </vt:variant>
      <vt:variant>
        <vt:i4>5</vt:i4>
      </vt:variant>
      <vt:variant>
        <vt:lpwstr/>
      </vt:variant>
      <vt:variant>
        <vt:lpwstr>_Toc399077301</vt:lpwstr>
      </vt:variant>
      <vt:variant>
        <vt:i4>1638414</vt:i4>
      </vt:variant>
      <vt:variant>
        <vt:i4>74</vt:i4>
      </vt:variant>
      <vt:variant>
        <vt:i4>0</vt:i4>
      </vt:variant>
      <vt:variant>
        <vt:i4>5</vt:i4>
      </vt:variant>
      <vt:variant>
        <vt:lpwstr/>
      </vt:variant>
      <vt:variant>
        <vt:lpwstr>_Toc399077300</vt:lpwstr>
      </vt:variant>
      <vt:variant>
        <vt:i4>1048582</vt:i4>
      </vt:variant>
      <vt:variant>
        <vt:i4>68</vt:i4>
      </vt:variant>
      <vt:variant>
        <vt:i4>0</vt:i4>
      </vt:variant>
      <vt:variant>
        <vt:i4>5</vt:i4>
      </vt:variant>
      <vt:variant>
        <vt:lpwstr/>
      </vt:variant>
      <vt:variant>
        <vt:lpwstr>_Toc399077299</vt:lpwstr>
      </vt:variant>
      <vt:variant>
        <vt:i4>1048583</vt:i4>
      </vt:variant>
      <vt:variant>
        <vt:i4>62</vt:i4>
      </vt:variant>
      <vt:variant>
        <vt:i4>0</vt:i4>
      </vt:variant>
      <vt:variant>
        <vt:i4>5</vt:i4>
      </vt:variant>
      <vt:variant>
        <vt:lpwstr/>
      </vt:variant>
      <vt:variant>
        <vt:lpwstr>_Toc399077298</vt:lpwstr>
      </vt:variant>
      <vt:variant>
        <vt:i4>1048584</vt:i4>
      </vt:variant>
      <vt:variant>
        <vt:i4>56</vt:i4>
      </vt:variant>
      <vt:variant>
        <vt:i4>0</vt:i4>
      </vt:variant>
      <vt:variant>
        <vt:i4>5</vt:i4>
      </vt:variant>
      <vt:variant>
        <vt:lpwstr/>
      </vt:variant>
      <vt:variant>
        <vt:lpwstr>_Toc399077297</vt:lpwstr>
      </vt:variant>
      <vt:variant>
        <vt:i4>1048585</vt:i4>
      </vt:variant>
      <vt:variant>
        <vt:i4>50</vt:i4>
      </vt:variant>
      <vt:variant>
        <vt:i4>0</vt:i4>
      </vt:variant>
      <vt:variant>
        <vt:i4>5</vt:i4>
      </vt:variant>
      <vt:variant>
        <vt:lpwstr/>
      </vt:variant>
      <vt:variant>
        <vt:lpwstr>_Toc399077296</vt:lpwstr>
      </vt:variant>
      <vt:variant>
        <vt:i4>1048586</vt:i4>
      </vt:variant>
      <vt:variant>
        <vt:i4>44</vt:i4>
      </vt:variant>
      <vt:variant>
        <vt:i4>0</vt:i4>
      </vt:variant>
      <vt:variant>
        <vt:i4>5</vt:i4>
      </vt:variant>
      <vt:variant>
        <vt:lpwstr/>
      </vt:variant>
      <vt:variant>
        <vt:lpwstr>_Toc399077295</vt:lpwstr>
      </vt:variant>
      <vt:variant>
        <vt:i4>1048587</vt:i4>
      </vt:variant>
      <vt:variant>
        <vt:i4>38</vt:i4>
      </vt:variant>
      <vt:variant>
        <vt:i4>0</vt:i4>
      </vt:variant>
      <vt:variant>
        <vt:i4>5</vt:i4>
      </vt:variant>
      <vt:variant>
        <vt:lpwstr/>
      </vt:variant>
      <vt:variant>
        <vt:lpwstr>_Toc399077294</vt:lpwstr>
      </vt:variant>
      <vt:variant>
        <vt:i4>1048588</vt:i4>
      </vt:variant>
      <vt:variant>
        <vt:i4>32</vt:i4>
      </vt:variant>
      <vt:variant>
        <vt:i4>0</vt:i4>
      </vt:variant>
      <vt:variant>
        <vt:i4>5</vt:i4>
      </vt:variant>
      <vt:variant>
        <vt:lpwstr/>
      </vt:variant>
      <vt:variant>
        <vt:lpwstr>_Toc399077293</vt:lpwstr>
      </vt:variant>
      <vt:variant>
        <vt:i4>1048589</vt:i4>
      </vt:variant>
      <vt:variant>
        <vt:i4>26</vt:i4>
      </vt:variant>
      <vt:variant>
        <vt:i4>0</vt:i4>
      </vt:variant>
      <vt:variant>
        <vt:i4>5</vt:i4>
      </vt:variant>
      <vt:variant>
        <vt:lpwstr/>
      </vt:variant>
      <vt:variant>
        <vt:lpwstr>_Toc399077292</vt:lpwstr>
      </vt:variant>
      <vt:variant>
        <vt:i4>1048590</vt:i4>
      </vt:variant>
      <vt:variant>
        <vt:i4>20</vt:i4>
      </vt:variant>
      <vt:variant>
        <vt:i4>0</vt:i4>
      </vt:variant>
      <vt:variant>
        <vt:i4>5</vt:i4>
      </vt:variant>
      <vt:variant>
        <vt:lpwstr/>
      </vt:variant>
      <vt:variant>
        <vt:lpwstr>_Toc399077291</vt:lpwstr>
      </vt:variant>
      <vt:variant>
        <vt:i4>1048591</vt:i4>
      </vt:variant>
      <vt:variant>
        <vt:i4>14</vt:i4>
      </vt:variant>
      <vt:variant>
        <vt:i4>0</vt:i4>
      </vt:variant>
      <vt:variant>
        <vt:i4>5</vt:i4>
      </vt:variant>
      <vt:variant>
        <vt:lpwstr/>
      </vt:variant>
      <vt:variant>
        <vt:lpwstr>_Toc399077290</vt:lpwstr>
      </vt:variant>
      <vt:variant>
        <vt:i4>1114118</vt:i4>
      </vt:variant>
      <vt:variant>
        <vt:i4>8</vt:i4>
      </vt:variant>
      <vt:variant>
        <vt:i4>0</vt:i4>
      </vt:variant>
      <vt:variant>
        <vt:i4>5</vt:i4>
      </vt:variant>
      <vt:variant>
        <vt:lpwstr/>
      </vt:variant>
      <vt:variant>
        <vt:lpwstr>_Toc399077289</vt:lpwstr>
      </vt:variant>
      <vt:variant>
        <vt:i4>1114119</vt:i4>
      </vt:variant>
      <vt:variant>
        <vt:i4>2</vt:i4>
      </vt:variant>
      <vt:variant>
        <vt:i4>0</vt:i4>
      </vt:variant>
      <vt:variant>
        <vt:i4>5</vt:i4>
      </vt:variant>
      <vt:variant>
        <vt:lpwstr/>
      </vt:variant>
      <vt:variant>
        <vt:lpwstr>_Toc399077288</vt:lpwstr>
      </vt:variant>
      <vt:variant>
        <vt:i4>6946843</vt:i4>
      </vt:variant>
      <vt:variant>
        <vt:i4>0</vt:i4>
      </vt:variant>
      <vt:variant>
        <vt:i4>0</vt:i4>
      </vt:variant>
      <vt:variant>
        <vt:i4>5</vt:i4>
      </vt:variant>
      <vt:variant>
        <vt:lpwstr>http://capacity4dev.ec.europa.eu/public-environment-climate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Euronet Consulting</dc:creator>
  <cp:lastModifiedBy>Dolf Noppen</cp:lastModifiedBy>
  <cp:revision>29</cp:revision>
  <cp:lastPrinted>2015-02-05T17:59:00Z</cp:lastPrinted>
  <dcterms:created xsi:type="dcterms:W3CDTF">2015-02-05T13:38:00Z</dcterms:created>
  <dcterms:modified xsi:type="dcterms:W3CDTF">2015-04-20T15:54:00Z</dcterms:modified>
</cp:coreProperties>
</file>