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C34995" w:rsidP="00700CEE">
      <w:pPr>
        <w:spacing w:after="60"/>
        <w:jc w:val="center"/>
        <w:rPr>
          <w:b/>
        </w:rPr>
      </w:pPr>
      <w:r>
        <w:rPr>
          <w:b/>
        </w:rPr>
        <w:t>MARCH</w:t>
      </w:r>
      <w:r w:rsidR="00700CEE">
        <w:rPr>
          <w:b/>
        </w:rPr>
        <w:t xml:space="preserve"> - APRIL</w:t>
      </w:r>
      <w:r w:rsidR="00273BAA" w:rsidRPr="00273BAA">
        <w:rPr>
          <w:b/>
        </w:rPr>
        <w:t xml:space="preserve"> </w:t>
      </w:r>
      <w:r w:rsidR="00AE009E">
        <w:rPr>
          <w:b/>
        </w:rPr>
        <w:t>2015</w:t>
      </w:r>
      <w:bookmarkStart w:id="0" w:name="_GoBack"/>
      <w:bookmarkEnd w:id="0"/>
    </w:p>
    <w:p w:rsidR="00C34995" w:rsidRPr="00C34995" w:rsidRDefault="00C34995" w:rsidP="002E4B14">
      <w:pPr>
        <w:pStyle w:val="ListParagraph"/>
        <w:numPr>
          <w:ilvl w:val="0"/>
          <w:numId w:val="10"/>
        </w:numPr>
        <w:spacing w:after="0"/>
        <w:rPr>
          <w:b/>
        </w:rPr>
      </w:pPr>
      <w:r w:rsidRPr="002E4B14">
        <w:rPr>
          <w:b/>
        </w:rPr>
        <w:t>EUROPEAN COMMISSION</w:t>
      </w:r>
      <w:r>
        <w:t xml:space="preserve"> - </w:t>
      </w:r>
      <w:hyperlink r:id="rId9" w:history="1">
        <w:r w:rsidRPr="00C34995">
          <w:rPr>
            <w:rStyle w:val="Hyperlink"/>
          </w:rPr>
          <w:t>Report on equality between women and men</w:t>
        </w:r>
        <w:r w:rsidRPr="00707F97">
          <w:t xml:space="preserve"> </w:t>
        </w:r>
        <w:r w:rsidR="00707F97" w:rsidRPr="00707F97">
          <w:t xml:space="preserve">- </w:t>
        </w:r>
        <w:r w:rsidRPr="00707F97">
          <w:t>2014</w:t>
        </w:r>
      </w:hyperlink>
    </w:p>
    <w:p w:rsidR="00C34995" w:rsidRPr="009E0B74" w:rsidRDefault="00C34995" w:rsidP="00C34995">
      <w:pPr>
        <w:spacing w:after="120"/>
        <w:ind w:left="360"/>
        <w:rPr>
          <w:sz w:val="21"/>
          <w:szCs w:val="21"/>
        </w:rPr>
      </w:pPr>
      <w:r w:rsidRPr="009E0B74">
        <w:rPr>
          <w:sz w:val="21"/>
          <w:szCs w:val="21"/>
        </w:rPr>
        <w:t>The present report outlines the progress achieved in 2014 in the six priority areas of the Commission’s 2010-15 strategy for equality between women and men. It is a way for the Commission to review EU and Member State action on gender equality and identify remaining challenges and gender gaps, on the basis of updated information and statistics</w:t>
      </w:r>
    </w:p>
    <w:p w:rsidR="002E4B14" w:rsidRPr="002E4B14" w:rsidRDefault="002E4B14" w:rsidP="002E4B14">
      <w:pPr>
        <w:pStyle w:val="ListParagraph"/>
        <w:numPr>
          <w:ilvl w:val="0"/>
          <w:numId w:val="10"/>
        </w:numPr>
        <w:spacing w:after="0"/>
        <w:rPr>
          <w:b/>
          <w:sz w:val="20"/>
          <w:szCs w:val="20"/>
        </w:rPr>
      </w:pPr>
      <w:r w:rsidRPr="002E4B14">
        <w:rPr>
          <w:b/>
        </w:rPr>
        <w:t>Human Rights Watch</w:t>
      </w:r>
      <w:r>
        <w:rPr>
          <w:b/>
        </w:rPr>
        <w:t xml:space="preserve"> -</w:t>
      </w:r>
      <w:r>
        <w:t xml:space="preserve"> </w:t>
      </w:r>
      <w:hyperlink r:id="rId10" w:history="1">
        <w:r w:rsidRPr="002E4B14">
          <w:rPr>
            <w:rStyle w:val="Hyperlink"/>
          </w:rPr>
          <w:t>“Work Faster or Get Out” - Labor Rights Abuses in Cambodia’s Garment Industry</w:t>
        </w:r>
      </w:hyperlink>
      <w:r w:rsidR="003A251B">
        <w:rPr>
          <w:rStyle w:val="FootnoteReference"/>
        </w:rPr>
        <w:footnoteReference w:id="1"/>
      </w:r>
      <w:r w:rsidRPr="002E4B14">
        <w:t xml:space="preserve"> </w:t>
      </w:r>
      <w:r>
        <w:t>–</w:t>
      </w:r>
      <w:r w:rsidRPr="002E4B14">
        <w:t xml:space="preserve"> 2015</w:t>
      </w:r>
    </w:p>
    <w:p w:rsidR="002E4B14" w:rsidRPr="009E0B74" w:rsidRDefault="002E4B14" w:rsidP="002E4B14">
      <w:pPr>
        <w:spacing w:after="120"/>
        <w:ind w:left="360"/>
        <w:jc w:val="both"/>
        <w:rPr>
          <w:sz w:val="21"/>
          <w:szCs w:val="21"/>
        </w:rPr>
      </w:pPr>
      <w:r w:rsidRPr="009E0B74">
        <w:rPr>
          <w:sz w:val="21"/>
          <w:szCs w:val="21"/>
        </w:rPr>
        <w:t>The </w:t>
      </w:r>
      <w:hyperlink r:id="rId11" w:history="1">
        <w:r w:rsidRPr="009E0B74">
          <w:rPr>
            <w:sz w:val="21"/>
            <w:szCs w:val="21"/>
          </w:rPr>
          <w:t>Cambodian</w:t>
        </w:r>
      </w:hyperlink>
      <w:r w:rsidRPr="009E0B74">
        <w:rPr>
          <w:sz w:val="21"/>
          <w:szCs w:val="21"/>
        </w:rPr>
        <w:t xml:space="preserve"> government is failing to protect garment workers who are producing for international apparel brands from serious labor rights abuses, Human Rights Watch said in the above report. The predominantly women workers often experience forced overtime, pregnancy-based discrimination, and anti-union practices that neither the government nor major brands have adequately addressed. The report documents lax government enforcement of labor laws and brand actions that hinder monitoring and compliance. </w:t>
      </w:r>
    </w:p>
    <w:p w:rsidR="00707F97" w:rsidRPr="00707F97" w:rsidRDefault="00707F97" w:rsidP="00707F97">
      <w:pPr>
        <w:pStyle w:val="ListParagraph"/>
        <w:numPr>
          <w:ilvl w:val="0"/>
          <w:numId w:val="10"/>
        </w:numPr>
        <w:spacing w:after="0"/>
        <w:jc w:val="both"/>
        <w:rPr>
          <w:color w:val="0000FF" w:themeColor="hyperlink"/>
          <w:u w:val="single"/>
        </w:rPr>
      </w:pPr>
      <w:r w:rsidRPr="00707F97">
        <w:rPr>
          <w:b/>
        </w:rPr>
        <w:t>Vienna Institute for International Dialogue and Cooperation</w:t>
      </w:r>
      <w:r>
        <w:rPr>
          <w:b/>
        </w:rPr>
        <w:t xml:space="preserve"> (VIDC) - </w:t>
      </w:r>
      <w:r w:rsidRPr="00707F97">
        <w:rPr>
          <w:b/>
        </w:rPr>
        <w:t xml:space="preserve"> </w:t>
      </w:r>
      <w:hyperlink r:id="rId12" w:history="1">
        <w:r w:rsidRPr="00707F97">
          <w:rPr>
            <w:rStyle w:val="Hyperlink"/>
          </w:rPr>
          <w:t>Men as Perpetrators and Victims of Armed Conflicts: Innovative Projects Aimed at Overcoming Male Violence</w:t>
        </w:r>
      </w:hyperlink>
      <w:r>
        <w:rPr>
          <w:rStyle w:val="Hyperlink"/>
        </w:rPr>
        <w:t xml:space="preserve"> </w:t>
      </w:r>
      <w:r>
        <w:t>–</w:t>
      </w:r>
      <w:r w:rsidRPr="00707F97">
        <w:t xml:space="preserve"> 2012</w:t>
      </w:r>
    </w:p>
    <w:p w:rsidR="00707F97" w:rsidRPr="009E0B74" w:rsidRDefault="00707F97" w:rsidP="00707F97">
      <w:pPr>
        <w:spacing w:after="120"/>
        <w:ind w:left="360"/>
        <w:jc w:val="both"/>
        <w:rPr>
          <w:sz w:val="21"/>
          <w:szCs w:val="21"/>
        </w:rPr>
      </w:pPr>
      <w:r w:rsidRPr="009E0B74">
        <w:rPr>
          <w:sz w:val="21"/>
          <w:szCs w:val="21"/>
        </w:rPr>
        <w:t xml:space="preserve">This study outlines the formation of the male identity before and after wars, thereby also touching on the problem of child soldiers. On the basis of country studies, projects and programs will be presented that have contributed to changes in behavior and attitudes among boys, adolescents and men after wars or armed conflicts. Moreover, the study examines projects for education and awareness </w:t>
      </w:r>
      <w:proofErr w:type="gramStart"/>
      <w:r w:rsidRPr="009E0B74">
        <w:rPr>
          <w:sz w:val="21"/>
          <w:szCs w:val="21"/>
        </w:rPr>
        <w:t>raising</w:t>
      </w:r>
      <w:proofErr w:type="gramEnd"/>
      <w:r w:rsidRPr="009E0B74">
        <w:rPr>
          <w:sz w:val="21"/>
          <w:szCs w:val="21"/>
        </w:rPr>
        <w:t xml:space="preserve"> on masculine gender identity, sexuality, fatherhood and health. Noteworthy are also the cultural, media and sports programs for community building among youth. The powers of traditional, religious and local authorities are expounded through examples, as they can promote or interfere with change processes. </w:t>
      </w:r>
    </w:p>
    <w:p w:rsidR="001C3EE1" w:rsidRPr="001C3EE1" w:rsidRDefault="001C3EE1" w:rsidP="001C3EE1">
      <w:pPr>
        <w:pStyle w:val="ListParagraph"/>
        <w:numPr>
          <w:ilvl w:val="0"/>
          <w:numId w:val="10"/>
        </w:numPr>
        <w:spacing w:after="0"/>
        <w:jc w:val="both"/>
        <w:rPr>
          <w:sz w:val="20"/>
          <w:szCs w:val="20"/>
        </w:rPr>
      </w:pPr>
      <w:r w:rsidRPr="001C3EE1">
        <w:rPr>
          <w:b/>
        </w:rPr>
        <w:t>UNICEF -</w:t>
      </w:r>
      <w:r>
        <w:rPr>
          <w:sz w:val="20"/>
          <w:szCs w:val="20"/>
        </w:rPr>
        <w:t xml:space="preserve"> </w:t>
      </w:r>
      <w:hyperlink r:id="rId13" w:history="1">
        <w:r w:rsidRPr="001C3EE1">
          <w:rPr>
            <w:rStyle w:val="Hyperlink"/>
          </w:rPr>
          <w:t>Missing Childhoods</w:t>
        </w:r>
        <w:r>
          <w:rPr>
            <w:rStyle w:val="Hyperlink"/>
          </w:rPr>
          <w:t>:</w:t>
        </w:r>
        <w:r w:rsidRPr="001C3EE1">
          <w:rPr>
            <w:rStyle w:val="Hyperlink"/>
          </w:rPr>
          <w:t xml:space="preserve"> The impact of armed conflict on children in Nigeria and beyond</w:t>
        </w:r>
      </w:hyperlink>
      <w:r>
        <w:rPr>
          <w:rStyle w:val="Hyperlink"/>
        </w:rPr>
        <w:t xml:space="preserve"> </w:t>
      </w:r>
      <w:r>
        <w:t>–</w:t>
      </w:r>
      <w:r w:rsidRPr="001C3EE1">
        <w:t xml:space="preserve"> 2015</w:t>
      </w:r>
    </w:p>
    <w:p w:rsidR="001C3EE1" w:rsidRPr="009E0B74" w:rsidRDefault="001C3EE1" w:rsidP="001C3EE1">
      <w:pPr>
        <w:spacing w:after="120"/>
        <w:ind w:left="360"/>
        <w:jc w:val="both"/>
        <w:rPr>
          <w:sz w:val="21"/>
          <w:szCs w:val="21"/>
        </w:rPr>
      </w:pPr>
      <w:r w:rsidRPr="009E0B74">
        <w:rPr>
          <w:sz w:val="21"/>
          <w:szCs w:val="21"/>
        </w:rPr>
        <w:t>Child Alert is a briefing series that presents the core challenges for children in a given crisis location at a given time. This issue focuses on Nigeria, a country that has just made history with its recent peaceful elections, but also a country where brutal acts of violence – many of them targeting women and children – are often in the headlines. As the country starts a new chapter in its history, UNICEF urges the new authorities to put children and their safety at the heart of the national agenda.</w:t>
      </w:r>
    </w:p>
    <w:p w:rsidR="009E0B74" w:rsidRPr="009E0B74" w:rsidRDefault="009E0B74" w:rsidP="009E0B74">
      <w:pPr>
        <w:pStyle w:val="ListParagraph"/>
        <w:numPr>
          <w:ilvl w:val="0"/>
          <w:numId w:val="10"/>
        </w:numPr>
        <w:spacing w:after="0"/>
        <w:jc w:val="both"/>
        <w:rPr>
          <w:sz w:val="20"/>
          <w:szCs w:val="20"/>
        </w:rPr>
      </w:pPr>
      <w:r w:rsidRPr="009E0B74">
        <w:rPr>
          <w:b/>
        </w:rPr>
        <w:t>HELPAGE</w:t>
      </w:r>
      <w:r w:rsidR="00CE7EE0">
        <w:rPr>
          <w:b/>
        </w:rPr>
        <w:t xml:space="preserve"> International</w:t>
      </w:r>
      <w:r w:rsidRPr="009E0B74">
        <w:rPr>
          <w:b/>
        </w:rPr>
        <w:t xml:space="preserve"> </w:t>
      </w:r>
      <w:r>
        <w:rPr>
          <w:sz w:val="20"/>
          <w:szCs w:val="20"/>
        </w:rPr>
        <w:t xml:space="preserve">- </w:t>
      </w:r>
      <w:hyperlink r:id="rId14" w:history="1">
        <w:r w:rsidRPr="009E0B74">
          <w:rPr>
            <w:rStyle w:val="Hyperlink"/>
          </w:rPr>
          <w:t>Disaster Risk and Age Index</w:t>
        </w:r>
      </w:hyperlink>
      <w:r>
        <w:rPr>
          <w:rStyle w:val="Hyperlink"/>
        </w:rPr>
        <w:t xml:space="preserve"> </w:t>
      </w:r>
      <w:r w:rsidRPr="009E0B74">
        <w:t>-2015</w:t>
      </w:r>
    </w:p>
    <w:p w:rsidR="00700CEE" w:rsidRPr="00700CEE" w:rsidRDefault="009E0B74" w:rsidP="00700CEE">
      <w:pPr>
        <w:spacing w:after="0"/>
        <w:ind w:left="360"/>
        <w:jc w:val="both"/>
        <w:rPr>
          <w:sz w:val="21"/>
          <w:szCs w:val="21"/>
        </w:rPr>
      </w:pPr>
      <w:r w:rsidRPr="009E0B74">
        <w:rPr>
          <w:sz w:val="21"/>
          <w:szCs w:val="21"/>
        </w:rPr>
        <w:t>The Disaster Risk and Age Index ranks 190 countries based on the disaster risk faced by older people. This pilot index is based on the INFORM 2015 Index, a global, open-source risk assessment for humanitarian crises and disasters.</w:t>
      </w:r>
      <w:r w:rsidR="00700CEE">
        <w:rPr>
          <w:sz w:val="21"/>
          <w:szCs w:val="21"/>
        </w:rPr>
        <w:t xml:space="preserve"> </w:t>
      </w:r>
      <w:r w:rsidR="00700CEE" w:rsidRPr="00700CEE">
        <w:rPr>
          <w:sz w:val="21"/>
          <w:szCs w:val="21"/>
        </w:rPr>
        <w:tab/>
      </w:r>
    </w:p>
    <w:p w:rsidR="009E0B74" w:rsidRPr="009E0B74" w:rsidRDefault="00700CEE" w:rsidP="00700CEE">
      <w:pPr>
        <w:spacing w:after="120"/>
        <w:ind w:left="360"/>
        <w:jc w:val="both"/>
        <w:rPr>
          <w:sz w:val="21"/>
          <w:szCs w:val="21"/>
        </w:rPr>
      </w:pPr>
      <w:r w:rsidRPr="00700CEE">
        <w:rPr>
          <w:sz w:val="21"/>
          <w:szCs w:val="21"/>
        </w:rPr>
        <w:t xml:space="preserve">The Disaster Risk and Age Index </w:t>
      </w:r>
      <w:proofErr w:type="gramStart"/>
      <w:r w:rsidRPr="00700CEE">
        <w:rPr>
          <w:sz w:val="21"/>
          <w:szCs w:val="21"/>
        </w:rPr>
        <w:t>captures</w:t>
      </w:r>
      <w:proofErr w:type="gramEnd"/>
      <w:r w:rsidRPr="00700CEE">
        <w:rPr>
          <w:sz w:val="21"/>
          <w:szCs w:val="21"/>
        </w:rPr>
        <w:t xml:space="preserve"> the collision of two trends: ageing populations and the acceleration of risk in a world which is increasingly exposed to natural and technological hazards.</w:t>
      </w:r>
      <w:r>
        <w:rPr>
          <w:sz w:val="21"/>
          <w:szCs w:val="21"/>
        </w:rPr>
        <w:t xml:space="preserve"> </w:t>
      </w:r>
      <w:r w:rsidRPr="00700CEE">
        <w:rPr>
          <w:sz w:val="21"/>
          <w:szCs w:val="21"/>
        </w:rPr>
        <w:t>It demonstrates clearly how leaving out older people in approaches to development, including disaster risk management planning, can lead to bad outcomes for them in disasters.</w:t>
      </w:r>
    </w:p>
    <w:p w:rsidR="009E0B74" w:rsidRPr="00700CEE" w:rsidRDefault="00700CEE" w:rsidP="00700CEE">
      <w:pPr>
        <w:pStyle w:val="ListParagraph"/>
        <w:numPr>
          <w:ilvl w:val="0"/>
          <w:numId w:val="10"/>
        </w:numPr>
        <w:spacing w:after="0"/>
        <w:jc w:val="both"/>
        <w:rPr>
          <w:sz w:val="20"/>
          <w:szCs w:val="20"/>
        </w:rPr>
      </w:pPr>
      <w:r w:rsidRPr="00700CEE">
        <w:rPr>
          <w:b/>
        </w:rPr>
        <w:t>BRIDGE</w:t>
      </w:r>
      <w:r>
        <w:t xml:space="preserve"> - </w:t>
      </w:r>
      <w:hyperlink r:id="rId15" w:history="1">
        <w:r w:rsidRPr="00700CEE">
          <w:rPr>
            <w:rStyle w:val="Hyperlink"/>
          </w:rPr>
          <w:t>Gender and Food Secu</w:t>
        </w:r>
        <w:r w:rsidRPr="00700CEE">
          <w:rPr>
            <w:rStyle w:val="Hyperlink"/>
          </w:rPr>
          <w:t>r</w:t>
        </w:r>
        <w:r w:rsidRPr="00700CEE">
          <w:rPr>
            <w:rStyle w:val="Hyperlink"/>
          </w:rPr>
          <w:t>ity</w:t>
        </w:r>
        <w:r>
          <w:rPr>
            <w:rStyle w:val="Hyperlink"/>
          </w:rPr>
          <w:t>:</w:t>
        </w:r>
        <w:r w:rsidRPr="00700CEE">
          <w:rPr>
            <w:rStyle w:val="Hyperlink"/>
          </w:rPr>
          <w:t xml:space="preserve"> TOWARDS GENDER-JUST FOOD AND NUTRITION SECURITY</w:t>
        </w:r>
      </w:hyperlink>
      <w:r>
        <w:t xml:space="preserve"> - 2014</w:t>
      </w:r>
    </w:p>
    <w:p w:rsidR="009E0B74" w:rsidRPr="00700CEE" w:rsidRDefault="00700CEE" w:rsidP="00700CEE">
      <w:pPr>
        <w:spacing w:after="60"/>
        <w:ind w:left="360"/>
        <w:jc w:val="both"/>
        <w:rPr>
          <w:sz w:val="21"/>
          <w:szCs w:val="21"/>
        </w:rPr>
      </w:pPr>
      <w:r w:rsidRPr="00700CEE">
        <w:rPr>
          <w:sz w:val="21"/>
          <w:szCs w:val="21"/>
        </w:rPr>
        <w:t xml:space="preserve">This BRIDGE Cutting Edge Overview Report makes the case for a new, gender-aware understanding of food security, arguing that partial, apolitical and gender-blind diagnoses of the problem of food and nutrition insecurity is leading to insufficient policy responses and the failure to </w:t>
      </w:r>
      <w:proofErr w:type="spellStart"/>
      <w:r w:rsidRPr="00700CEE">
        <w:rPr>
          <w:sz w:val="21"/>
          <w:szCs w:val="21"/>
        </w:rPr>
        <w:t>realise</w:t>
      </w:r>
      <w:proofErr w:type="spellEnd"/>
      <w:r w:rsidRPr="00700CEE">
        <w:rPr>
          <w:sz w:val="21"/>
          <w:szCs w:val="21"/>
        </w:rPr>
        <w:t xml:space="preserve"> the right to food for all people. Showcasing effective and promising existing strategies, the report suggests that in order to truly achieve food security for all in gender equitable ways, responses need to be rights-based, gender-just and environmentally sustainable.</w:t>
      </w:r>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6"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7"/>
      <w:headerReference w:type="default" r:id="rId18"/>
      <w:head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9E" w:rsidRDefault="00F00D9E" w:rsidP="00796ADA">
      <w:pPr>
        <w:spacing w:after="0" w:line="240" w:lineRule="auto"/>
      </w:pPr>
      <w:r>
        <w:separator/>
      </w:r>
    </w:p>
  </w:endnote>
  <w:endnote w:type="continuationSeparator" w:id="0">
    <w:p w:rsidR="00F00D9E" w:rsidRDefault="00F00D9E"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9E" w:rsidRDefault="00F00D9E" w:rsidP="00796ADA">
      <w:pPr>
        <w:spacing w:after="0" w:line="240" w:lineRule="auto"/>
      </w:pPr>
      <w:r>
        <w:separator/>
      </w:r>
    </w:p>
  </w:footnote>
  <w:footnote w:type="continuationSeparator" w:id="0">
    <w:p w:rsidR="00F00D9E" w:rsidRDefault="00F00D9E" w:rsidP="00796ADA">
      <w:pPr>
        <w:spacing w:after="0" w:line="240" w:lineRule="auto"/>
      </w:pPr>
      <w:r>
        <w:continuationSeparator/>
      </w:r>
    </w:p>
  </w:footnote>
  <w:footnote w:id="1">
    <w:p w:rsidR="003A251B" w:rsidRPr="00700CEE" w:rsidRDefault="003A251B">
      <w:pPr>
        <w:pStyle w:val="FootnoteText"/>
        <w:rPr>
          <w:sz w:val="18"/>
        </w:rPr>
      </w:pPr>
      <w:r w:rsidRPr="00700CEE">
        <w:rPr>
          <w:rStyle w:val="FootnoteReference"/>
          <w:sz w:val="18"/>
        </w:rPr>
        <w:footnoteRef/>
      </w:r>
      <w:r w:rsidRPr="00700CEE">
        <w:rPr>
          <w:sz w:val="18"/>
        </w:rPr>
        <w:t xml:space="preserve"> The link refers to the </w:t>
      </w:r>
      <w:r w:rsidR="00287C22" w:rsidRPr="00700CEE">
        <w:rPr>
          <w:sz w:val="18"/>
        </w:rPr>
        <w:t>“</w:t>
      </w:r>
      <w:r w:rsidRPr="00700CEE">
        <w:rPr>
          <w:sz w:val="18"/>
        </w:rPr>
        <w:t xml:space="preserve">Report summary and </w:t>
      </w:r>
      <w:r w:rsidR="00287C22" w:rsidRPr="00700CEE">
        <w:rPr>
          <w:sz w:val="18"/>
        </w:rPr>
        <w:t xml:space="preserve">recommendation”. You can download the full report </w:t>
      </w:r>
      <w:hyperlink r:id="rId1" w:history="1">
        <w:r w:rsidR="00287C22" w:rsidRPr="00700CEE">
          <w:rPr>
            <w:rStyle w:val="Hyperlink"/>
            <w:sz w:val="18"/>
          </w:rPr>
          <w:t>here</w:t>
        </w:r>
      </w:hyperlink>
      <w:r w:rsidR="00287C22" w:rsidRPr="00700CEE">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F00D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F00D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F00D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34C34"/>
    <w:multiLevelType w:val="hybridMultilevel"/>
    <w:tmpl w:val="8B90BF72"/>
    <w:lvl w:ilvl="0" w:tplc="0D1E795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085A31"/>
    <w:rsid w:val="0014651D"/>
    <w:rsid w:val="001B0614"/>
    <w:rsid w:val="001C3EE1"/>
    <w:rsid w:val="00211FB7"/>
    <w:rsid w:val="00225157"/>
    <w:rsid w:val="002575D6"/>
    <w:rsid w:val="00273BAA"/>
    <w:rsid w:val="00282845"/>
    <w:rsid w:val="00287C22"/>
    <w:rsid w:val="002B7F90"/>
    <w:rsid w:val="002D3A20"/>
    <w:rsid w:val="002E4B14"/>
    <w:rsid w:val="003105FB"/>
    <w:rsid w:val="003A251B"/>
    <w:rsid w:val="003B6040"/>
    <w:rsid w:val="00484258"/>
    <w:rsid w:val="004851D8"/>
    <w:rsid w:val="004D3E4C"/>
    <w:rsid w:val="004D760B"/>
    <w:rsid w:val="00540C9B"/>
    <w:rsid w:val="00587ADF"/>
    <w:rsid w:val="005E0045"/>
    <w:rsid w:val="005E277C"/>
    <w:rsid w:val="00625D11"/>
    <w:rsid w:val="00635024"/>
    <w:rsid w:val="00652395"/>
    <w:rsid w:val="006745EE"/>
    <w:rsid w:val="0068536C"/>
    <w:rsid w:val="006B38FF"/>
    <w:rsid w:val="006C5ECB"/>
    <w:rsid w:val="006C61B5"/>
    <w:rsid w:val="00700CEE"/>
    <w:rsid w:val="00707F97"/>
    <w:rsid w:val="00711D00"/>
    <w:rsid w:val="00796ADA"/>
    <w:rsid w:val="008043BD"/>
    <w:rsid w:val="00843A3A"/>
    <w:rsid w:val="008F4B93"/>
    <w:rsid w:val="008F7213"/>
    <w:rsid w:val="009310A8"/>
    <w:rsid w:val="00934558"/>
    <w:rsid w:val="0097306C"/>
    <w:rsid w:val="0098320D"/>
    <w:rsid w:val="009E0B74"/>
    <w:rsid w:val="00A17AF7"/>
    <w:rsid w:val="00AE009E"/>
    <w:rsid w:val="00B15167"/>
    <w:rsid w:val="00BA7EA6"/>
    <w:rsid w:val="00BE47EB"/>
    <w:rsid w:val="00C34995"/>
    <w:rsid w:val="00C73184"/>
    <w:rsid w:val="00CE7EE0"/>
    <w:rsid w:val="00D20E45"/>
    <w:rsid w:val="00D607AC"/>
    <w:rsid w:val="00D65C9E"/>
    <w:rsid w:val="00D861AA"/>
    <w:rsid w:val="00D9620E"/>
    <w:rsid w:val="00DF1B7F"/>
    <w:rsid w:val="00E330CA"/>
    <w:rsid w:val="00F00D9E"/>
    <w:rsid w:val="00F250AA"/>
    <w:rsid w:val="00F44BF7"/>
    <w:rsid w:val="00F86354"/>
    <w:rsid w:val="00FA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270086048">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432632952">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228372622">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88534326">
      <w:bodyDiv w:val="1"/>
      <w:marLeft w:val="0"/>
      <w:marRight w:val="0"/>
      <w:marTop w:val="0"/>
      <w:marBottom w:val="0"/>
      <w:divBdr>
        <w:top w:val="none" w:sz="0" w:space="0" w:color="auto"/>
        <w:left w:val="none" w:sz="0" w:space="0" w:color="auto"/>
        <w:bottom w:val="none" w:sz="0" w:space="0" w:color="auto"/>
        <w:right w:val="none" w:sz="0" w:space="0" w:color="auto"/>
      </w:divBdr>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578440133">
      <w:bodyDiv w:val="1"/>
      <w:marLeft w:val="0"/>
      <w:marRight w:val="0"/>
      <w:marTop w:val="0"/>
      <w:marBottom w:val="0"/>
      <w:divBdr>
        <w:top w:val="none" w:sz="0" w:space="0" w:color="auto"/>
        <w:left w:val="none" w:sz="0" w:space="0" w:color="auto"/>
        <w:bottom w:val="none" w:sz="0" w:space="0" w:color="auto"/>
        <w:right w:val="none" w:sz="0" w:space="0" w:color="auto"/>
      </w:divBdr>
    </w:div>
    <w:div w:id="1747721850">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63067094">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38380292">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cef.org/media/files/Child_Alert_MISSING_CHILDHOODS_Embargo_00_01_GMT_13_Apri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vidc.org/fileadmin/Bibliothek/DP/Nadja/VIDC_Schaefer_E_Lesevers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ana.irato@echofield.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w.org/asia/cambodia" TargetMode="External"/><Relationship Id="rId5" Type="http://schemas.openxmlformats.org/officeDocument/2006/relationships/settings" Target="settings.xml"/><Relationship Id="rId15" Type="http://schemas.openxmlformats.org/officeDocument/2006/relationships/hyperlink" Target="http://opendocs.ids.ac.uk/opendocs/bitstream/handle/123456789/5245/IDS_Bridge_Food_Security_Report_Online.pdf?sequence=3" TargetMode="External"/><Relationship Id="rId10" Type="http://schemas.openxmlformats.org/officeDocument/2006/relationships/hyperlink" Target="http://www.hrw.org/sites/default/files/reports/cambodia0315_brochure_web.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ec.europa.eu/justice/gender-equality/files/annual_reports/150304_annual_report_2014_web_en.pdf" TargetMode="External"/><Relationship Id="rId14" Type="http://schemas.openxmlformats.org/officeDocument/2006/relationships/hyperlink" Target="http://www.helpage.org/what-we-do/climate-change/disaster-risk-and-age-index/?utm_source=MadMimi&amp;utm_medium=email&amp;utm_content=New+Disaster+Risk+and+Ageing+Index&amp;utm_campaign=20150421_m125426401_New+Disaster+Risk+and+Ageing+Index+from+HelpAge+International&amp;utm_term=Disaster+Risk+and+Age+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rw.org/sites/default/files/reports/cambodia0315_ForUplo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7D53-F820-4538-92A2-5412E2B6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14</cp:revision>
  <dcterms:created xsi:type="dcterms:W3CDTF">2015-01-07T07:59:00Z</dcterms:created>
  <dcterms:modified xsi:type="dcterms:W3CDTF">2015-04-26T07:44:00Z</dcterms:modified>
</cp:coreProperties>
</file>