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2E14" w14:textId="0CE359B7" w:rsidR="001D428D" w:rsidRDefault="001D428D" w:rsidP="00BE0A9F">
      <w:pPr>
        <w:jc w:val="both"/>
        <w:rPr>
          <w:rFonts w:cstheme="minorHAnsi"/>
          <w:b/>
          <w:bCs/>
          <w:sz w:val="28"/>
          <w:szCs w:val="28"/>
        </w:rPr>
      </w:pPr>
      <w:r w:rsidRPr="00EA649B">
        <w:rPr>
          <w:rFonts w:cstheme="minorHAnsi"/>
          <w:noProof/>
          <w:sz w:val="24"/>
          <w:szCs w:val="24"/>
          <w:lang w:eastAsia="en-GB"/>
        </w:rPr>
        <w:drawing>
          <wp:inline distT="0" distB="0" distL="0" distR="0" wp14:anchorId="24A11935" wp14:editId="5350C126">
            <wp:extent cx="898498" cy="628153"/>
            <wp:effectExtent l="0" t="0" r="0" b="635"/>
            <wp:docPr id="24" name="Google Shape;24;p4"/>
            <wp:cNvGraphicFramePr/>
            <a:graphic xmlns:a="http://schemas.openxmlformats.org/drawingml/2006/main">
              <a:graphicData uri="http://schemas.openxmlformats.org/drawingml/2006/picture">
                <pic:pic xmlns:pic="http://schemas.openxmlformats.org/drawingml/2006/picture">
                  <pic:nvPicPr>
                    <pic:cNvPr id="24" name="Google Shape;24;p4"/>
                    <pic:cNvPicPr preferRelativeResize="0"/>
                  </pic:nvPicPr>
                  <pic:blipFill>
                    <a:blip r:embed="rId11">
                      <a:alphaModFix/>
                    </a:blip>
                    <a:stretch>
                      <a:fillRect/>
                    </a:stretch>
                  </pic:blipFill>
                  <pic:spPr>
                    <a:xfrm>
                      <a:off x="0" y="0"/>
                      <a:ext cx="966430" cy="675645"/>
                    </a:xfrm>
                    <a:prstGeom prst="rect">
                      <a:avLst/>
                    </a:prstGeom>
                    <a:noFill/>
                    <a:ln>
                      <a:noFill/>
                    </a:ln>
                  </pic:spPr>
                </pic:pic>
              </a:graphicData>
            </a:graphic>
          </wp:inline>
        </w:drawing>
      </w:r>
      <w:r w:rsidR="0075628B">
        <w:rPr>
          <w:rFonts w:cstheme="minorHAnsi"/>
          <w:b/>
          <w:bCs/>
          <w:sz w:val="28"/>
          <w:szCs w:val="28"/>
        </w:rPr>
        <w:t xml:space="preserve"> </w:t>
      </w:r>
      <w:r w:rsidR="0075628B" w:rsidRPr="00EA649B">
        <w:rPr>
          <w:rFonts w:cstheme="minorHAnsi"/>
          <w:noProof/>
          <w:sz w:val="24"/>
          <w:szCs w:val="24"/>
          <w:lang w:eastAsia="en-GB"/>
        </w:rPr>
        <w:drawing>
          <wp:inline distT="0" distB="0" distL="0" distR="0" wp14:anchorId="08F58465" wp14:editId="4DE4D209">
            <wp:extent cx="1455089" cy="413468"/>
            <wp:effectExtent l="0" t="0" r="0" b="5715"/>
            <wp:docPr id="23" name="Google Shape;23;p4"/>
            <wp:cNvGraphicFramePr/>
            <a:graphic xmlns:a="http://schemas.openxmlformats.org/drawingml/2006/main">
              <a:graphicData uri="http://schemas.openxmlformats.org/drawingml/2006/picture">
                <pic:pic xmlns:pic="http://schemas.openxmlformats.org/drawingml/2006/picture">
                  <pic:nvPicPr>
                    <pic:cNvPr id="23" name="Google Shape;23;p4"/>
                    <pic:cNvPicPr preferRelativeResize="0"/>
                  </pic:nvPicPr>
                  <pic:blipFill>
                    <a:blip r:embed="rId12">
                      <a:alphaModFix/>
                    </a:blip>
                    <a:stretch>
                      <a:fillRect/>
                    </a:stretch>
                  </pic:blipFill>
                  <pic:spPr>
                    <a:xfrm>
                      <a:off x="0" y="0"/>
                      <a:ext cx="1672008" cy="475106"/>
                    </a:xfrm>
                    <a:prstGeom prst="rect">
                      <a:avLst/>
                    </a:prstGeom>
                    <a:noFill/>
                    <a:ln>
                      <a:noFill/>
                    </a:ln>
                  </pic:spPr>
                </pic:pic>
              </a:graphicData>
            </a:graphic>
          </wp:inline>
        </w:drawing>
      </w:r>
    </w:p>
    <w:p w14:paraId="30C4B54D" w14:textId="6492092F" w:rsidR="0054553F" w:rsidRDefault="0054553F" w:rsidP="00BE0A9F">
      <w:pPr>
        <w:jc w:val="both"/>
        <w:rPr>
          <w:rFonts w:cstheme="minorHAnsi"/>
          <w:b/>
          <w:bCs/>
          <w:sz w:val="28"/>
          <w:szCs w:val="28"/>
        </w:rPr>
      </w:pPr>
      <w:r w:rsidRPr="0054553F">
        <w:rPr>
          <w:rFonts w:cstheme="minorHAnsi"/>
          <w:b/>
          <w:bCs/>
          <w:sz w:val="36"/>
          <w:szCs w:val="36"/>
        </w:rPr>
        <w:t xml:space="preserve">The new phase of </w:t>
      </w:r>
      <w:proofErr w:type="spellStart"/>
      <w:proofErr w:type="gramStart"/>
      <w:r w:rsidR="00E00D3E" w:rsidRPr="0054553F">
        <w:rPr>
          <w:rFonts w:cstheme="minorHAnsi"/>
          <w:b/>
          <w:bCs/>
          <w:sz w:val="36"/>
          <w:szCs w:val="36"/>
        </w:rPr>
        <w:t>DeSIRA</w:t>
      </w:r>
      <w:proofErr w:type="spellEnd"/>
      <w:r w:rsidRPr="0054553F">
        <w:rPr>
          <w:rFonts w:cstheme="minorHAnsi"/>
          <w:b/>
          <w:bCs/>
          <w:sz w:val="36"/>
          <w:szCs w:val="36"/>
        </w:rPr>
        <w:t xml:space="preserve"> </w:t>
      </w:r>
      <w:r>
        <w:rPr>
          <w:rFonts w:cstheme="minorHAnsi"/>
          <w:b/>
          <w:bCs/>
          <w:sz w:val="36"/>
          <w:szCs w:val="36"/>
        </w:rPr>
        <w:t>:</w:t>
      </w:r>
      <w:proofErr w:type="gramEnd"/>
      <w:r>
        <w:rPr>
          <w:rFonts w:cstheme="minorHAnsi"/>
          <w:b/>
          <w:bCs/>
          <w:sz w:val="36"/>
          <w:szCs w:val="36"/>
        </w:rPr>
        <w:t xml:space="preserve"> </w:t>
      </w:r>
      <w:r>
        <w:rPr>
          <w:rFonts w:cstheme="minorHAnsi"/>
          <w:b/>
          <w:bCs/>
          <w:sz w:val="28"/>
          <w:szCs w:val="28"/>
        </w:rPr>
        <w:t>Agriculture research and innovation to support agroecological transition of food systems in Sub</w:t>
      </w:r>
      <w:r w:rsidR="00E51279">
        <w:rPr>
          <w:rFonts w:cstheme="minorHAnsi"/>
          <w:b/>
          <w:bCs/>
          <w:sz w:val="28"/>
          <w:szCs w:val="28"/>
        </w:rPr>
        <w:t>-</w:t>
      </w:r>
      <w:r>
        <w:rPr>
          <w:rFonts w:cstheme="minorHAnsi"/>
          <w:b/>
          <w:bCs/>
          <w:sz w:val="28"/>
          <w:szCs w:val="28"/>
        </w:rPr>
        <w:t>Saharan Africa</w:t>
      </w:r>
    </w:p>
    <w:p w14:paraId="719D6103" w14:textId="7425058D" w:rsidR="00C47951" w:rsidRPr="00C47951" w:rsidRDefault="00C47951" w:rsidP="00C47951">
      <w:pPr>
        <w:jc w:val="both"/>
        <w:rPr>
          <w:rFonts w:cstheme="minorHAnsi"/>
          <w:b/>
          <w:bCs/>
          <w:sz w:val="28"/>
          <w:szCs w:val="28"/>
          <w:lang w:val="en-IE"/>
        </w:rPr>
      </w:pPr>
      <w:r w:rsidRPr="00C47951">
        <w:rPr>
          <w:rFonts w:cstheme="minorHAnsi"/>
          <w:b/>
          <w:bCs/>
          <w:sz w:val="28"/>
          <w:szCs w:val="28"/>
          <w:u w:val="single"/>
          <w:lang w:val="en-IE"/>
        </w:rPr>
        <w:t>Component 1</w:t>
      </w:r>
      <w:r w:rsidRPr="00C47951">
        <w:rPr>
          <w:rFonts w:cstheme="minorHAnsi"/>
          <w:b/>
          <w:bCs/>
          <w:sz w:val="28"/>
          <w:szCs w:val="28"/>
          <w:lang w:val="en-IE"/>
        </w:rPr>
        <w:t xml:space="preserve">: </w:t>
      </w:r>
      <w:r w:rsidRPr="00C47951">
        <w:rPr>
          <w:rFonts w:cstheme="minorHAnsi"/>
          <w:b/>
          <w:bCs/>
          <w:sz w:val="28"/>
          <w:szCs w:val="28"/>
          <w:lang w:val="en-US"/>
        </w:rPr>
        <w:t xml:space="preserve">innovations </w:t>
      </w:r>
      <w:r w:rsidR="0054553F">
        <w:rPr>
          <w:rFonts w:cstheme="minorHAnsi"/>
          <w:b/>
          <w:bCs/>
          <w:sz w:val="28"/>
          <w:szCs w:val="28"/>
          <w:lang w:val="en-US"/>
        </w:rPr>
        <w:t>at scale for agroecology (</w:t>
      </w:r>
      <w:proofErr w:type="spellStart"/>
      <w:r w:rsidR="0054553F">
        <w:rPr>
          <w:rFonts w:cstheme="minorHAnsi"/>
          <w:b/>
          <w:bCs/>
          <w:sz w:val="28"/>
          <w:szCs w:val="28"/>
          <w:lang w:val="en-US"/>
        </w:rPr>
        <w:t>DeSIRA</w:t>
      </w:r>
      <w:proofErr w:type="spellEnd"/>
      <w:r w:rsidR="0054553F">
        <w:rPr>
          <w:rFonts w:cstheme="minorHAnsi"/>
          <w:b/>
          <w:bCs/>
          <w:sz w:val="28"/>
          <w:szCs w:val="28"/>
          <w:lang w:val="en-US"/>
        </w:rPr>
        <w:t>+)</w:t>
      </w:r>
    </w:p>
    <w:p w14:paraId="3D9F9398" w14:textId="127A3815" w:rsidR="00C47951" w:rsidRPr="00C47951" w:rsidRDefault="00C47951" w:rsidP="00C47951">
      <w:pPr>
        <w:jc w:val="both"/>
        <w:rPr>
          <w:rFonts w:cstheme="minorHAnsi"/>
          <w:b/>
          <w:bCs/>
          <w:sz w:val="28"/>
          <w:szCs w:val="28"/>
          <w:lang w:val="en-IE"/>
        </w:rPr>
      </w:pPr>
      <w:r w:rsidRPr="00C47951">
        <w:rPr>
          <w:rFonts w:cstheme="minorHAnsi"/>
          <w:b/>
          <w:bCs/>
          <w:sz w:val="28"/>
          <w:szCs w:val="28"/>
          <w:u w:val="single"/>
          <w:lang w:val="en-IE"/>
        </w:rPr>
        <w:t>Component 2</w:t>
      </w:r>
      <w:r w:rsidRPr="00C47951">
        <w:rPr>
          <w:rFonts w:cstheme="minorHAnsi"/>
          <w:b/>
          <w:bCs/>
          <w:sz w:val="28"/>
          <w:szCs w:val="28"/>
          <w:lang w:val="en-IE"/>
        </w:rPr>
        <w:t xml:space="preserve">: Regional Multi-actor Research Network in Agroecology </w:t>
      </w:r>
      <w:r w:rsidR="0054553F">
        <w:rPr>
          <w:rFonts w:cstheme="minorHAnsi"/>
          <w:b/>
          <w:bCs/>
          <w:sz w:val="28"/>
          <w:szCs w:val="28"/>
          <w:lang w:val="en-IE"/>
        </w:rPr>
        <w:t>(RMRN- agroecology)</w:t>
      </w:r>
    </w:p>
    <w:p w14:paraId="12A9F72A" w14:textId="44E423AB" w:rsidR="00E35C71" w:rsidRDefault="00D0250C" w:rsidP="00BE0A9F">
      <w:pPr>
        <w:jc w:val="both"/>
        <w:rPr>
          <w:rFonts w:cstheme="minorHAnsi"/>
        </w:rPr>
      </w:pPr>
      <w:r>
        <w:rPr>
          <w:rFonts w:cstheme="minorHAnsi"/>
        </w:rPr>
        <w:t>Ju</w:t>
      </w:r>
      <w:r w:rsidR="0054553F">
        <w:rPr>
          <w:rFonts w:cstheme="minorHAnsi"/>
        </w:rPr>
        <w:t>ly</w:t>
      </w:r>
      <w:r w:rsidR="00E35C71">
        <w:rPr>
          <w:rFonts w:cstheme="minorHAnsi"/>
        </w:rPr>
        <w:t xml:space="preserve"> 202</w:t>
      </w:r>
      <w:r w:rsidR="00C47951">
        <w:rPr>
          <w:rFonts w:cstheme="minorHAnsi"/>
        </w:rPr>
        <w:t>4</w:t>
      </w:r>
    </w:p>
    <w:p w14:paraId="63B842B0" w14:textId="77777777" w:rsidR="001D428D" w:rsidRDefault="001D428D" w:rsidP="00BE0A9F">
      <w:pPr>
        <w:jc w:val="both"/>
        <w:rPr>
          <w:rFonts w:cstheme="minorHAnsi"/>
          <w:b/>
          <w:bCs/>
        </w:rPr>
      </w:pPr>
    </w:p>
    <w:p w14:paraId="28C034F2" w14:textId="6F5431D4" w:rsidR="0043241C" w:rsidRPr="00F007EF" w:rsidRDefault="009E74ED" w:rsidP="00BE0A9F">
      <w:pPr>
        <w:pStyle w:val="ListParagraph"/>
        <w:numPr>
          <w:ilvl w:val="0"/>
          <w:numId w:val="8"/>
        </w:numPr>
        <w:jc w:val="both"/>
        <w:rPr>
          <w:rFonts w:cstheme="minorHAnsi"/>
          <w:b/>
          <w:bCs/>
        </w:rPr>
      </w:pPr>
      <w:r w:rsidRPr="00F007EF">
        <w:rPr>
          <w:rFonts w:cstheme="minorHAnsi"/>
          <w:b/>
          <w:bCs/>
        </w:rPr>
        <w:t>Agroecological food systems transition</w:t>
      </w:r>
    </w:p>
    <w:p w14:paraId="76432A4D" w14:textId="68465E52" w:rsidR="0043241C" w:rsidRDefault="0043241C" w:rsidP="00BE0A9F">
      <w:pPr>
        <w:spacing w:after="60"/>
        <w:jc w:val="both"/>
        <w:rPr>
          <w:rFonts w:cstheme="minorHAnsi"/>
        </w:rPr>
      </w:pPr>
      <w:r w:rsidRPr="0015395F">
        <w:rPr>
          <w:rFonts w:cstheme="minorHAnsi"/>
        </w:rPr>
        <w:t xml:space="preserve">The transition towards agroecological </w:t>
      </w:r>
      <w:r w:rsidR="00E60A23">
        <w:rPr>
          <w:rFonts w:cstheme="minorHAnsi"/>
        </w:rPr>
        <w:t>agri-</w:t>
      </w:r>
      <w:r w:rsidRPr="0015395F">
        <w:rPr>
          <w:rFonts w:cstheme="minorHAnsi"/>
        </w:rPr>
        <w:t xml:space="preserve">food systems </w:t>
      </w:r>
      <w:r w:rsidR="00326973">
        <w:rPr>
          <w:rFonts w:cstheme="minorHAnsi"/>
        </w:rPr>
        <w:t>is a</w:t>
      </w:r>
      <w:r w:rsidR="001D428D">
        <w:rPr>
          <w:rFonts w:cstheme="minorHAnsi"/>
        </w:rPr>
        <w:t xml:space="preserve">n effective </w:t>
      </w:r>
      <w:r w:rsidR="00326973">
        <w:rPr>
          <w:rFonts w:cstheme="minorHAnsi"/>
        </w:rPr>
        <w:t xml:space="preserve">pathway supported by </w:t>
      </w:r>
      <w:r w:rsidR="001D428D">
        <w:rPr>
          <w:rFonts w:cstheme="minorHAnsi"/>
        </w:rPr>
        <w:t xml:space="preserve">a large range of </w:t>
      </w:r>
      <w:r w:rsidR="00326973">
        <w:rPr>
          <w:rFonts w:cstheme="minorHAnsi"/>
        </w:rPr>
        <w:t xml:space="preserve">actors (researchers, policy makers, civil society, </w:t>
      </w:r>
      <w:r w:rsidR="005F5827">
        <w:rPr>
          <w:rFonts w:cstheme="minorHAnsi"/>
        </w:rPr>
        <w:t xml:space="preserve">farmers, </w:t>
      </w:r>
      <w:r w:rsidR="00326973">
        <w:rPr>
          <w:rFonts w:cstheme="minorHAnsi"/>
        </w:rPr>
        <w:t xml:space="preserve">etc.) to develop </w:t>
      </w:r>
      <w:r w:rsidRPr="0015395F">
        <w:rPr>
          <w:rFonts w:cstheme="minorHAnsi"/>
        </w:rPr>
        <w:t xml:space="preserve">productive and resilient farming systems and value chains </w:t>
      </w:r>
      <w:r w:rsidR="00326973">
        <w:rPr>
          <w:rFonts w:cstheme="minorHAnsi"/>
        </w:rPr>
        <w:t>able to address current</w:t>
      </w:r>
      <w:r w:rsidR="00E60A23">
        <w:rPr>
          <w:rFonts w:cstheme="minorHAnsi"/>
        </w:rPr>
        <w:t xml:space="preserve"> mounting</w:t>
      </w:r>
      <w:r w:rsidR="00326973">
        <w:rPr>
          <w:rFonts w:cstheme="minorHAnsi"/>
        </w:rPr>
        <w:t xml:space="preserve"> challenges (food security, climate change, biodiversity loss, land degradation, water scarcity) with </w:t>
      </w:r>
      <w:r w:rsidR="001D428D">
        <w:rPr>
          <w:rFonts w:cstheme="minorHAnsi"/>
        </w:rPr>
        <w:t>a</w:t>
      </w:r>
      <w:r w:rsidR="00326973">
        <w:rPr>
          <w:rFonts w:cstheme="minorHAnsi"/>
        </w:rPr>
        <w:t xml:space="preserve"> holistic perspective.</w:t>
      </w:r>
      <w:r w:rsidR="001E5C25">
        <w:rPr>
          <w:rFonts w:cstheme="minorHAnsi"/>
        </w:rPr>
        <w:t xml:space="preserve"> It </w:t>
      </w:r>
      <w:r w:rsidRPr="0015395F">
        <w:rPr>
          <w:rFonts w:cstheme="minorHAnsi"/>
        </w:rPr>
        <w:t>require</w:t>
      </w:r>
      <w:r w:rsidR="001E5C25">
        <w:rPr>
          <w:rFonts w:cstheme="minorHAnsi"/>
        </w:rPr>
        <w:t>s</w:t>
      </w:r>
      <w:r w:rsidRPr="0015395F">
        <w:rPr>
          <w:rFonts w:cstheme="minorHAnsi"/>
        </w:rPr>
        <w:t xml:space="preserve"> new </w:t>
      </w:r>
      <w:r w:rsidR="00BC0BA9">
        <w:rPr>
          <w:rFonts w:cstheme="minorHAnsi"/>
        </w:rPr>
        <w:t xml:space="preserve">knowledge, </w:t>
      </w:r>
      <w:proofErr w:type="gramStart"/>
      <w:r w:rsidRPr="0015395F">
        <w:rPr>
          <w:rFonts w:cstheme="minorHAnsi"/>
        </w:rPr>
        <w:t>c</w:t>
      </w:r>
      <w:r w:rsidR="0068028A">
        <w:rPr>
          <w:rFonts w:cstheme="minorHAnsi"/>
        </w:rPr>
        <w:t>apacities</w:t>
      </w:r>
      <w:proofErr w:type="gramEnd"/>
      <w:r w:rsidR="0068028A">
        <w:rPr>
          <w:rFonts w:cstheme="minorHAnsi"/>
        </w:rPr>
        <w:t xml:space="preserve"> </w:t>
      </w:r>
      <w:r w:rsidR="00BC0BA9">
        <w:rPr>
          <w:rFonts w:cstheme="minorHAnsi"/>
        </w:rPr>
        <w:t xml:space="preserve">and policies </w:t>
      </w:r>
      <w:r w:rsidRPr="0015395F">
        <w:rPr>
          <w:rFonts w:cstheme="minorHAnsi"/>
        </w:rPr>
        <w:t xml:space="preserve">to address </w:t>
      </w:r>
      <w:r w:rsidR="001D428D">
        <w:rPr>
          <w:rFonts w:cstheme="minorHAnsi"/>
        </w:rPr>
        <w:t>complex problems</w:t>
      </w:r>
      <w:r>
        <w:rPr>
          <w:rFonts w:cstheme="minorHAnsi"/>
        </w:rPr>
        <w:t xml:space="preserve"> </w:t>
      </w:r>
      <w:r w:rsidR="001E5C25">
        <w:rPr>
          <w:rFonts w:cstheme="minorHAnsi"/>
        </w:rPr>
        <w:t>and co-create solution</w:t>
      </w:r>
      <w:r w:rsidR="00E60A23">
        <w:rPr>
          <w:rFonts w:cstheme="minorHAnsi"/>
        </w:rPr>
        <w:t>s</w:t>
      </w:r>
      <w:r w:rsidR="001E5C25">
        <w:rPr>
          <w:rFonts w:cstheme="minorHAnsi"/>
        </w:rPr>
        <w:t xml:space="preserve"> </w:t>
      </w:r>
      <w:r w:rsidR="001E5C25" w:rsidRPr="0015395F">
        <w:rPr>
          <w:rFonts w:cstheme="minorHAnsi"/>
        </w:rPr>
        <w:t>based on agroecological principles</w:t>
      </w:r>
      <w:r w:rsidR="001E5C25">
        <w:rPr>
          <w:rFonts w:cstheme="minorHAnsi"/>
        </w:rPr>
        <w:t xml:space="preserve"> </w:t>
      </w:r>
      <w:r w:rsidR="0068028A">
        <w:rPr>
          <w:rFonts w:cstheme="minorHAnsi"/>
        </w:rPr>
        <w:t xml:space="preserve">with </w:t>
      </w:r>
      <w:r w:rsidR="001E5C25">
        <w:rPr>
          <w:rFonts w:cstheme="minorHAnsi"/>
        </w:rPr>
        <w:t xml:space="preserve">the </w:t>
      </w:r>
      <w:r w:rsidR="001E5C25" w:rsidRPr="0015395F">
        <w:rPr>
          <w:rFonts w:cstheme="minorHAnsi"/>
        </w:rPr>
        <w:t>integration of scientific and local knowledge</w:t>
      </w:r>
      <w:r w:rsidR="001E5C25">
        <w:rPr>
          <w:rFonts w:cstheme="minorHAnsi"/>
        </w:rPr>
        <w:t>.</w:t>
      </w:r>
    </w:p>
    <w:p w14:paraId="0944D417" w14:textId="01C2DC28" w:rsidR="001D088A" w:rsidRDefault="001D088A" w:rsidP="00BE0A9F">
      <w:pPr>
        <w:jc w:val="both"/>
      </w:pPr>
      <w:r w:rsidRPr="007514FA">
        <w:t xml:space="preserve">FAO gives a broad definition of agroecology which encompasses </w:t>
      </w:r>
      <w:r w:rsidR="005F5827">
        <w:t xml:space="preserve">its </w:t>
      </w:r>
      <w:r w:rsidRPr="007514FA">
        <w:t>technical and social dimension</w:t>
      </w:r>
      <w:r w:rsidR="00E60A23">
        <w:t>s</w:t>
      </w:r>
      <w:r w:rsidRPr="007514FA">
        <w:t>: "agroecology is an integrated approach</w:t>
      </w:r>
      <w:r w:rsidR="005F5827">
        <w:t>,</w:t>
      </w:r>
      <w:r w:rsidRPr="007514FA">
        <w:t xml:space="preserve"> which simultaneously applies ecological and social concepts and principles to the design and management of food and agricultural systems. Agroecology aims to optimize the interactions between plants, animals, </w:t>
      </w:r>
      <w:proofErr w:type="gramStart"/>
      <w:r w:rsidRPr="007514FA">
        <w:t>humans</w:t>
      </w:r>
      <w:proofErr w:type="gramEnd"/>
      <w:r w:rsidRPr="007514FA">
        <w:t xml:space="preserve"> and the environment while taking into account the social aspects that must be addressed for a sustainable and equitable food system "</w:t>
      </w:r>
      <w:r>
        <w:rPr>
          <w:rStyle w:val="FootnoteReference"/>
        </w:rPr>
        <w:footnoteReference w:id="1"/>
      </w:r>
      <w:r w:rsidRPr="007514FA">
        <w:t>.</w:t>
      </w:r>
    </w:p>
    <w:p w14:paraId="7F1A60F8" w14:textId="703D92E9" w:rsidR="00EC4C97" w:rsidRDefault="001D088A" w:rsidP="00BE0A9F">
      <w:pPr>
        <w:jc w:val="both"/>
      </w:pPr>
      <w:r w:rsidRPr="007514FA">
        <w:t>Several studies that refer to agroecology prefer to insist on principles t</w:t>
      </w:r>
      <w:r w:rsidR="00BF745B">
        <w:t>o</w:t>
      </w:r>
      <w:r w:rsidRPr="007514FA">
        <w:t xml:space="preserve"> define what agroecology</w:t>
      </w:r>
      <w:r w:rsidR="00BF745B" w:rsidRPr="00BF745B">
        <w:t xml:space="preserve"> </w:t>
      </w:r>
      <w:r w:rsidR="00BF745B">
        <w:t>is</w:t>
      </w:r>
      <w:r w:rsidRPr="007514FA">
        <w:t xml:space="preserve">. </w:t>
      </w:r>
      <w:r w:rsidR="00EC4C97" w:rsidRPr="007514FA">
        <w:t>The FAO propose</w:t>
      </w:r>
      <w:r w:rsidR="00BF745B">
        <w:t>d</w:t>
      </w:r>
      <w:r w:rsidR="00EC4C97" w:rsidRPr="007514FA">
        <w:t xml:space="preserve"> 10 elements to characterize agroecology, identified from a consultation process carried out between 2015 and 2017 and </w:t>
      </w:r>
      <w:r w:rsidR="00EC4C97">
        <w:t>approved by the</w:t>
      </w:r>
      <w:r w:rsidR="001D428D">
        <w:t xml:space="preserve"> FAO</w:t>
      </w:r>
      <w:r w:rsidR="00EC4C97">
        <w:t xml:space="preserve"> member states.</w:t>
      </w:r>
      <w:r w:rsidR="00EC4C97" w:rsidRPr="007514FA">
        <w:t xml:space="preserve"> The CSF HLPE report on agroecology</w:t>
      </w:r>
      <w:r w:rsidR="00EC4C97">
        <w:rPr>
          <w:rStyle w:val="FootnoteReference"/>
        </w:rPr>
        <w:footnoteReference w:id="2"/>
      </w:r>
      <w:r w:rsidR="00EC4C97" w:rsidRPr="007514FA">
        <w:t xml:space="preserve"> </w:t>
      </w:r>
      <w:r w:rsidR="00BF745B">
        <w:t xml:space="preserve">drew on this work and </w:t>
      </w:r>
      <w:r w:rsidR="00EC4C97" w:rsidRPr="007514FA">
        <w:t>present</w:t>
      </w:r>
      <w:r w:rsidR="00BF745B">
        <w:t>ed</w:t>
      </w:r>
      <w:r w:rsidR="00EC4C97" w:rsidRPr="007514FA">
        <w:t xml:space="preserve"> 13 principles </w:t>
      </w:r>
      <w:r w:rsidR="0068028A">
        <w:t>to</w:t>
      </w:r>
      <w:r w:rsidR="00EC4C97" w:rsidRPr="007514FA">
        <w:t xml:space="preserve"> be applied for an agroecological transition. The 10 elements and 13 principles are </w:t>
      </w:r>
      <w:r w:rsidR="00BF745B">
        <w:t>aligned</w:t>
      </w:r>
      <w:r w:rsidR="00EC4C97" w:rsidRPr="007514FA">
        <w:t xml:space="preserve">. </w:t>
      </w:r>
    </w:p>
    <w:p w14:paraId="09BAC7AF" w14:textId="1ECB51DC" w:rsidR="0043241C" w:rsidRDefault="009E74ED" w:rsidP="00BE0A9F">
      <w:pPr>
        <w:spacing w:after="60"/>
        <w:jc w:val="both"/>
        <w:rPr>
          <w:rFonts w:cs="Times New Roman"/>
          <w:szCs w:val="17"/>
        </w:rPr>
      </w:pPr>
      <w:r>
        <w:rPr>
          <w:rFonts w:cstheme="minorHAnsi"/>
        </w:rPr>
        <w:t>Agroecology is no</w:t>
      </w:r>
      <w:r w:rsidR="00820871">
        <w:rPr>
          <w:rFonts w:cstheme="minorHAnsi"/>
        </w:rPr>
        <w:t>t</w:t>
      </w:r>
      <w:r>
        <w:rPr>
          <w:rFonts w:cstheme="minorHAnsi"/>
        </w:rPr>
        <w:t xml:space="preserve"> providing a silver bullet </w:t>
      </w:r>
      <w:r w:rsidR="00BF745B">
        <w:rPr>
          <w:rFonts w:cstheme="minorHAnsi"/>
        </w:rPr>
        <w:t>response</w:t>
      </w:r>
      <w:r>
        <w:rPr>
          <w:rFonts w:cstheme="minorHAnsi"/>
        </w:rPr>
        <w:t xml:space="preserve">. It is </w:t>
      </w:r>
      <w:r w:rsidR="00E60A23">
        <w:rPr>
          <w:rFonts w:cstheme="minorHAnsi"/>
        </w:rPr>
        <w:t xml:space="preserve">a </w:t>
      </w:r>
      <w:r>
        <w:rPr>
          <w:rFonts w:cstheme="minorHAnsi"/>
        </w:rPr>
        <w:t>context specific</w:t>
      </w:r>
      <w:r w:rsidR="001D428D">
        <w:rPr>
          <w:rFonts w:cstheme="minorHAnsi"/>
        </w:rPr>
        <w:t xml:space="preserve"> approach</w:t>
      </w:r>
      <w:r>
        <w:rPr>
          <w:rStyle w:val="FootnoteReference"/>
          <w:rFonts w:cstheme="minorHAnsi"/>
          <w:color w:val="0D0D0D" w:themeColor="text1" w:themeTint="F2"/>
        </w:rPr>
        <w:footnoteReference w:id="3"/>
      </w:r>
      <w:r>
        <w:rPr>
          <w:rFonts w:cstheme="minorHAnsi"/>
        </w:rPr>
        <w:t xml:space="preserve">. </w:t>
      </w:r>
      <w:r w:rsidR="00DA3B6F">
        <w:rPr>
          <w:rFonts w:cstheme="minorHAnsi"/>
        </w:rPr>
        <w:t>To address the specific challenges in Africa</w:t>
      </w:r>
      <w:r w:rsidR="004A31FF">
        <w:rPr>
          <w:rFonts w:cstheme="minorHAnsi"/>
        </w:rPr>
        <w:t xml:space="preserve"> </w:t>
      </w:r>
      <w:r w:rsidR="005F5827">
        <w:rPr>
          <w:rFonts w:cstheme="minorHAnsi"/>
        </w:rPr>
        <w:t>and other regions worldwide</w:t>
      </w:r>
      <w:r w:rsidR="00DA3B6F">
        <w:rPr>
          <w:rFonts w:cstheme="minorHAnsi"/>
        </w:rPr>
        <w:t xml:space="preserve">, agroecology </w:t>
      </w:r>
      <w:r w:rsidR="0068028A">
        <w:rPr>
          <w:rFonts w:cstheme="minorHAnsi"/>
        </w:rPr>
        <w:t xml:space="preserve">is to </w:t>
      </w:r>
      <w:r w:rsidR="00DA3B6F">
        <w:rPr>
          <w:rFonts w:cstheme="minorHAnsi"/>
        </w:rPr>
        <w:t xml:space="preserve">be open to </w:t>
      </w:r>
      <w:r w:rsidR="0073695E">
        <w:rPr>
          <w:rFonts w:cstheme="minorHAnsi"/>
        </w:rPr>
        <w:t>technologi</w:t>
      </w:r>
      <w:r w:rsidR="004F5928">
        <w:rPr>
          <w:rFonts w:cstheme="minorHAnsi"/>
        </w:rPr>
        <w:t>cal innovation</w:t>
      </w:r>
      <w:r w:rsidR="0073695E">
        <w:rPr>
          <w:rFonts w:cstheme="minorHAnsi"/>
        </w:rPr>
        <w:t xml:space="preserve">s </w:t>
      </w:r>
      <w:r w:rsidR="00DA3B6F">
        <w:rPr>
          <w:rFonts w:cstheme="minorHAnsi"/>
        </w:rPr>
        <w:t xml:space="preserve">and to markets. </w:t>
      </w:r>
      <w:r w:rsidR="004A31FF">
        <w:rPr>
          <w:rFonts w:cstheme="minorHAnsi"/>
        </w:rPr>
        <w:t>In Africa</w:t>
      </w:r>
      <w:r w:rsidR="005F5827">
        <w:rPr>
          <w:rFonts w:cstheme="minorHAnsi"/>
        </w:rPr>
        <w:t>,</w:t>
      </w:r>
      <w:r w:rsidR="004A31FF">
        <w:rPr>
          <w:rFonts w:cstheme="minorHAnsi"/>
        </w:rPr>
        <w:t xml:space="preserve"> a</w:t>
      </w:r>
      <w:r>
        <w:rPr>
          <w:rFonts w:cstheme="minorHAnsi"/>
        </w:rPr>
        <w:t xml:space="preserve">groecology is supported </w:t>
      </w:r>
      <w:r w:rsidR="00E60A23">
        <w:rPr>
          <w:rFonts w:cstheme="minorHAnsi"/>
        </w:rPr>
        <w:t xml:space="preserve">by </w:t>
      </w:r>
      <w:r>
        <w:rPr>
          <w:rFonts w:cstheme="minorHAnsi"/>
        </w:rPr>
        <w:t xml:space="preserve">a range of actors </w:t>
      </w:r>
      <w:r>
        <w:rPr>
          <w:rFonts w:cstheme="minorHAnsi"/>
        </w:rPr>
        <w:lastRenderedPageBreak/>
        <w:t xml:space="preserve">including </w:t>
      </w:r>
      <w:r w:rsidR="00326973">
        <w:rPr>
          <w:rFonts w:cstheme="minorHAnsi"/>
        </w:rPr>
        <w:t>civil society (FO, NGO), private sector involved in specific value chains</w:t>
      </w:r>
      <w:r w:rsidR="00E60A23">
        <w:rPr>
          <w:rFonts w:cstheme="minorHAnsi"/>
        </w:rPr>
        <w:t xml:space="preserve"> and</w:t>
      </w:r>
      <w:r w:rsidR="00326973">
        <w:rPr>
          <w:rFonts w:cstheme="minorHAnsi"/>
        </w:rPr>
        <w:t xml:space="preserve"> </w:t>
      </w:r>
      <w:r>
        <w:rPr>
          <w:rFonts w:cstheme="minorHAnsi"/>
        </w:rPr>
        <w:t xml:space="preserve">governments with </w:t>
      </w:r>
      <w:r w:rsidR="00326973">
        <w:rPr>
          <w:rFonts w:cstheme="minorHAnsi"/>
        </w:rPr>
        <w:t xml:space="preserve">dedicated </w:t>
      </w:r>
      <w:r>
        <w:rPr>
          <w:rFonts w:cstheme="minorHAnsi"/>
        </w:rPr>
        <w:t>policies</w:t>
      </w:r>
      <w:r w:rsidR="00DE6AA1">
        <w:rPr>
          <w:rFonts w:cstheme="minorHAnsi"/>
        </w:rPr>
        <w:t xml:space="preserve"> or strategies. </w:t>
      </w:r>
      <w:r w:rsidR="0068028A">
        <w:rPr>
          <w:rFonts w:cstheme="minorHAnsi"/>
        </w:rPr>
        <w:t xml:space="preserve">Several African countries already designed specific programmes or strategies to promote agroecological approaches. </w:t>
      </w:r>
      <w:r w:rsidR="00DE6AA1">
        <w:rPr>
          <w:rFonts w:cstheme="minorHAnsi"/>
        </w:rPr>
        <w:t>At continental level</w:t>
      </w:r>
      <w:r w:rsidR="00911BCD">
        <w:rPr>
          <w:rFonts w:cstheme="minorHAnsi"/>
        </w:rPr>
        <w:t xml:space="preserve"> t</w:t>
      </w:r>
      <w:r>
        <w:rPr>
          <w:rFonts w:cstheme="minorHAnsi"/>
        </w:rPr>
        <w:t xml:space="preserve">he African Union developed the Ecological Organic Agriculture </w:t>
      </w:r>
      <w:r w:rsidR="0073695E">
        <w:rPr>
          <w:rFonts w:cstheme="minorHAnsi"/>
        </w:rPr>
        <w:t>Initiative</w:t>
      </w:r>
      <w:r w:rsidR="00DE6AA1">
        <w:rPr>
          <w:rFonts w:cstheme="minorHAnsi"/>
        </w:rPr>
        <w:t xml:space="preserve">. </w:t>
      </w:r>
      <w:r w:rsidR="00E00D3E">
        <w:rPr>
          <w:rFonts w:cstheme="minorHAnsi"/>
        </w:rPr>
        <w:t xml:space="preserve">ECOWAS is implementing a Programme on Agroecology with the support of several donors. </w:t>
      </w:r>
      <w:r>
        <w:rPr>
          <w:rFonts w:cstheme="minorHAnsi"/>
        </w:rPr>
        <w:t xml:space="preserve">Agroecology </w:t>
      </w:r>
      <w:r w:rsidR="0068028A">
        <w:rPr>
          <w:rFonts w:cstheme="minorHAnsi"/>
        </w:rPr>
        <w:t xml:space="preserve">can </w:t>
      </w:r>
      <w:r w:rsidR="00EF66EE">
        <w:rPr>
          <w:rFonts w:cstheme="minorHAnsi"/>
        </w:rPr>
        <w:t xml:space="preserve">provide relevant contributions </w:t>
      </w:r>
      <w:r w:rsidR="004A31FF">
        <w:rPr>
          <w:rFonts w:cstheme="minorHAnsi"/>
        </w:rPr>
        <w:t xml:space="preserve">to </w:t>
      </w:r>
      <w:r>
        <w:rPr>
          <w:rFonts w:cstheme="minorHAnsi"/>
        </w:rPr>
        <w:t>larger strateg</w:t>
      </w:r>
      <w:r w:rsidR="004A31FF">
        <w:rPr>
          <w:rFonts w:cstheme="minorHAnsi"/>
        </w:rPr>
        <w:t xml:space="preserve">ies </w:t>
      </w:r>
      <w:r>
        <w:rPr>
          <w:rFonts w:cstheme="minorHAnsi"/>
        </w:rPr>
        <w:t xml:space="preserve">such as the Green Recovery </w:t>
      </w:r>
      <w:r w:rsidR="004A31FF">
        <w:rPr>
          <w:rFonts w:cstheme="minorHAnsi"/>
        </w:rPr>
        <w:t xml:space="preserve">Action </w:t>
      </w:r>
      <w:r>
        <w:rPr>
          <w:rFonts w:cstheme="minorHAnsi"/>
        </w:rPr>
        <w:t>Plan</w:t>
      </w:r>
      <w:r w:rsidR="003510C7">
        <w:rPr>
          <w:rFonts w:cstheme="minorHAnsi"/>
        </w:rPr>
        <w:t>,</w:t>
      </w:r>
      <w:r>
        <w:rPr>
          <w:rFonts w:cstheme="minorHAnsi"/>
        </w:rPr>
        <w:t xml:space="preserve"> endorsed by the African Union</w:t>
      </w:r>
      <w:r w:rsidR="003510C7">
        <w:rPr>
          <w:rFonts w:cstheme="minorHAnsi"/>
        </w:rPr>
        <w:t>,</w:t>
      </w:r>
      <w:r w:rsidR="004A31FF">
        <w:rPr>
          <w:rFonts w:cstheme="minorHAnsi"/>
        </w:rPr>
        <w:t xml:space="preserve"> or the Soil Initiative for Africa</w:t>
      </w:r>
      <w:r w:rsidR="003510C7">
        <w:rPr>
          <w:rFonts w:cstheme="minorHAnsi"/>
        </w:rPr>
        <w:t>,</w:t>
      </w:r>
      <w:r w:rsidR="004A31FF">
        <w:rPr>
          <w:rFonts w:cstheme="minorHAnsi"/>
        </w:rPr>
        <w:t xml:space="preserve"> supported by </w:t>
      </w:r>
      <w:r w:rsidR="003510C7">
        <w:rPr>
          <w:rFonts w:cstheme="minorHAnsi"/>
        </w:rPr>
        <w:t xml:space="preserve">the </w:t>
      </w:r>
      <w:r w:rsidR="00E00D3E">
        <w:rPr>
          <w:rFonts w:cstheme="minorHAnsi"/>
        </w:rPr>
        <w:t xml:space="preserve">AU and </w:t>
      </w:r>
      <w:r w:rsidR="004A31FF">
        <w:rPr>
          <w:rFonts w:cstheme="minorHAnsi"/>
        </w:rPr>
        <w:t>FARA</w:t>
      </w:r>
      <w:r w:rsidR="00911BCD">
        <w:rPr>
          <w:rFonts w:cstheme="minorHAnsi"/>
        </w:rPr>
        <w:t xml:space="preserve">. Agroecology </w:t>
      </w:r>
      <w:r w:rsidR="001D428D">
        <w:rPr>
          <w:rFonts w:cstheme="minorHAnsi"/>
        </w:rPr>
        <w:t>is</w:t>
      </w:r>
      <w:r w:rsidR="00911BCD">
        <w:rPr>
          <w:rFonts w:cstheme="minorHAnsi"/>
        </w:rPr>
        <w:t xml:space="preserve"> also </w:t>
      </w:r>
      <w:r w:rsidR="001D428D">
        <w:rPr>
          <w:rFonts w:cstheme="minorHAnsi"/>
        </w:rPr>
        <w:t xml:space="preserve">coherent with </w:t>
      </w:r>
      <w:r w:rsidR="00911BCD">
        <w:rPr>
          <w:rFonts w:cstheme="minorHAnsi"/>
        </w:rPr>
        <w:t xml:space="preserve">the </w:t>
      </w:r>
      <w:r w:rsidR="00911BCD" w:rsidRPr="00911BCD">
        <w:rPr>
          <w:rFonts w:cs="Times New Roman"/>
          <w:szCs w:val="17"/>
        </w:rPr>
        <w:t>CAADP/Malabo commitments.</w:t>
      </w:r>
    </w:p>
    <w:p w14:paraId="4BF5EA6B" w14:textId="77777777" w:rsidR="00B4464E" w:rsidRPr="001E5C25" w:rsidRDefault="00B4464E" w:rsidP="00B4464E">
      <w:pPr>
        <w:jc w:val="both"/>
        <w:rPr>
          <w:rFonts w:cstheme="minorHAnsi"/>
          <w:b/>
          <w:bCs/>
        </w:rPr>
      </w:pPr>
    </w:p>
    <w:p w14:paraId="342EDA12" w14:textId="77777777" w:rsidR="00B4464E" w:rsidRPr="00F007EF" w:rsidRDefault="00B4464E" w:rsidP="00B4464E">
      <w:pPr>
        <w:pStyle w:val="ListParagraph"/>
        <w:numPr>
          <w:ilvl w:val="0"/>
          <w:numId w:val="8"/>
        </w:numPr>
        <w:jc w:val="both"/>
        <w:rPr>
          <w:rFonts w:cstheme="minorHAnsi"/>
          <w:b/>
          <w:bCs/>
        </w:rPr>
      </w:pPr>
      <w:r>
        <w:rPr>
          <w:rFonts w:cstheme="minorHAnsi"/>
          <w:b/>
          <w:bCs/>
        </w:rPr>
        <w:t>How to support agroecological innovations?</w:t>
      </w:r>
    </w:p>
    <w:p w14:paraId="0470BE28" w14:textId="724E8517" w:rsidR="00B4464E" w:rsidRDefault="00B4464E" w:rsidP="00B4464E">
      <w:pPr>
        <w:spacing w:before="120" w:after="120"/>
        <w:jc w:val="both"/>
        <w:rPr>
          <w:rFonts w:cstheme="minorHAnsi"/>
        </w:rPr>
      </w:pPr>
      <w:r w:rsidRPr="0015395F">
        <w:rPr>
          <w:rFonts w:cstheme="minorHAnsi"/>
        </w:rPr>
        <w:t xml:space="preserve">The </w:t>
      </w:r>
      <w:r>
        <w:rPr>
          <w:rFonts w:cstheme="minorHAnsi"/>
        </w:rPr>
        <w:t>co-creation of innovation</w:t>
      </w:r>
      <w:r w:rsidR="0068028A">
        <w:rPr>
          <w:rFonts w:cstheme="minorHAnsi"/>
        </w:rPr>
        <w:t>s</w:t>
      </w:r>
      <w:r>
        <w:rPr>
          <w:rFonts w:cstheme="minorHAnsi"/>
        </w:rPr>
        <w:t xml:space="preserve"> for agroecology and its scaling requires the production </w:t>
      </w:r>
      <w:proofErr w:type="gramStart"/>
      <w:r>
        <w:rPr>
          <w:rFonts w:cstheme="minorHAnsi"/>
        </w:rPr>
        <w:t xml:space="preserve">of  </w:t>
      </w:r>
      <w:r w:rsidRPr="0015395F">
        <w:rPr>
          <w:rFonts w:cstheme="minorHAnsi"/>
        </w:rPr>
        <w:t>knowledge</w:t>
      </w:r>
      <w:proofErr w:type="gramEnd"/>
      <w:r w:rsidRPr="0015395F">
        <w:rPr>
          <w:rFonts w:cstheme="minorHAnsi"/>
        </w:rPr>
        <w:t xml:space="preserve"> </w:t>
      </w:r>
      <w:r>
        <w:rPr>
          <w:rFonts w:cstheme="minorHAnsi"/>
        </w:rPr>
        <w:t xml:space="preserve">for action, the development of new technologies and practices, </w:t>
      </w:r>
      <w:r w:rsidR="0068028A">
        <w:rPr>
          <w:rFonts w:cstheme="minorHAnsi"/>
        </w:rPr>
        <w:t xml:space="preserve">the strengthening of relevant capacities to innovate for a large range of actors </w:t>
      </w:r>
      <w:r>
        <w:rPr>
          <w:rFonts w:cstheme="minorHAnsi"/>
        </w:rPr>
        <w:t xml:space="preserve">and relevant organisational arrangements based on </w:t>
      </w:r>
      <w:r w:rsidRPr="0015395F">
        <w:rPr>
          <w:rFonts w:cstheme="minorHAnsi"/>
        </w:rPr>
        <w:t xml:space="preserve">the mobilisation </w:t>
      </w:r>
      <w:r>
        <w:rPr>
          <w:rFonts w:cstheme="minorHAnsi"/>
        </w:rPr>
        <w:t xml:space="preserve">and engagement </w:t>
      </w:r>
      <w:r w:rsidRPr="0015395F">
        <w:rPr>
          <w:rFonts w:cstheme="minorHAnsi"/>
        </w:rPr>
        <w:t xml:space="preserve">of different stakeholders. </w:t>
      </w:r>
      <w:r>
        <w:rPr>
          <w:rFonts w:cstheme="minorHAnsi"/>
        </w:rPr>
        <w:t>I</w:t>
      </w:r>
      <w:r w:rsidRPr="0015395F">
        <w:rPr>
          <w:rFonts w:cstheme="minorHAnsi"/>
        </w:rPr>
        <w:t xml:space="preserve">nteractions </w:t>
      </w:r>
      <w:r>
        <w:rPr>
          <w:rFonts w:cstheme="minorHAnsi"/>
        </w:rPr>
        <w:t xml:space="preserve">between researchers, </w:t>
      </w:r>
      <w:r w:rsidRPr="0015395F">
        <w:rPr>
          <w:rFonts w:cstheme="minorHAnsi"/>
        </w:rPr>
        <w:t>private sector</w:t>
      </w:r>
      <w:r>
        <w:rPr>
          <w:rFonts w:cstheme="minorHAnsi"/>
        </w:rPr>
        <w:t xml:space="preserve"> actors</w:t>
      </w:r>
      <w:r w:rsidRPr="0015395F">
        <w:rPr>
          <w:rFonts w:cstheme="minorHAnsi"/>
        </w:rPr>
        <w:t>, farmers’ organisation</w:t>
      </w:r>
      <w:r>
        <w:rPr>
          <w:rFonts w:cstheme="minorHAnsi"/>
        </w:rPr>
        <w:t>s</w:t>
      </w:r>
      <w:r w:rsidRPr="0015395F">
        <w:rPr>
          <w:rFonts w:cstheme="minorHAnsi"/>
        </w:rPr>
        <w:t xml:space="preserve"> and civil society </w:t>
      </w:r>
      <w:r>
        <w:rPr>
          <w:rFonts w:cstheme="minorHAnsi"/>
        </w:rPr>
        <w:t>are</w:t>
      </w:r>
      <w:r w:rsidRPr="0015395F">
        <w:rPr>
          <w:rFonts w:cstheme="minorHAnsi"/>
        </w:rPr>
        <w:t xml:space="preserve"> crucial to </w:t>
      </w:r>
      <w:r>
        <w:rPr>
          <w:rFonts w:cstheme="minorHAnsi"/>
        </w:rPr>
        <w:t>produce innovations</w:t>
      </w:r>
      <w:r w:rsidRPr="0015395F">
        <w:rPr>
          <w:rFonts w:cstheme="minorHAnsi"/>
        </w:rPr>
        <w:t xml:space="preserve">. </w:t>
      </w:r>
      <w:r>
        <w:rPr>
          <w:rFonts w:cstheme="minorHAnsi"/>
        </w:rPr>
        <w:t xml:space="preserve"> However, the </w:t>
      </w:r>
      <w:r w:rsidRPr="006A7679">
        <w:rPr>
          <w:rFonts w:cstheme="minorHAnsi"/>
        </w:rPr>
        <w:t xml:space="preserve">type of interventions to </w:t>
      </w:r>
      <w:r>
        <w:rPr>
          <w:rFonts w:cstheme="minorHAnsi"/>
        </w:rPr>
        <w:t xml:space="preserve">co-innovate </w:t>
      </w:r>
      <w:r w:rsidRPr="006A7679">
        <w:rPr>
          <w:rFonts w:cstheme="minorHAnsi"/>
        </w:rPr>
        <w:t>varies depending on the phase of innovation. Four phases or stages may be emphasized: 1) the ideation phase (generation and evaluation of ideas), 2) the prototyping, piloting or testing phase to make necessary improvements, 3) development phase to test and adapt in real conditions the innovation (which includes bringing the innovation to the market), 4) the generalization phase bringing the innovation at scale including ongoing, adaptation, as well as the ‘embedding’ of the innovation</w:t>
      </w:r>
      <w:r>
        <w:rPr>
          <w:rFonts w:cstheme="minorHAnsi"/>
        </w:rPr>
        <w:t>.</w:t>
      </w:r>
    </w:p>
    <w:p w14:paraId="44D68F86" w14:textId="6B2EF27E" w:rsidR="0002387D" w:rsidRDefault="0068028A" w:rsidP="00B4464E">
      <w:pPr>
        <w:spacing w:before="120" w:after="120"/>
        <w:jc w:val="both"/>
        <w:rPr>
          <w:rFonts w:cstheme="minorHAnsi"/>
        </w:rPr>
      </w:pPr>
      <w:r>
        <w:rPr>
          <w:rFonts w:cstheme="minorHAnsi"/>
        </w:rPr>
        <w:t>A</w:t>
      </w:r>
      <w:r w:rsidR="0002387D">
        <w:rPr>
          <w:rFonts w:cstheme="minorHAnsi"/>
        </w:rPr>
        <w:t>n enabling environment is required</w:t>
      </w:r>
      <w:r w:rsidRPr="0068028A">
        <w:rPr>
          <w:rFonts w:cstheme="minorHAnsi"/>
        </w:rPr>
        <w:t xml:space="preserve"> </w:t>
      </w:r>
      <w:r>
        <w:rPr>
          <w:rFonts w:cstheme="minorHAnsi"/>
        </w:rPr>
        <w:t>f</w:t>
      </w:r>
      <w:r>
        <w:rPr>
          <w:rFonts w:cstheme="minorHAnsi"/>
        </w:rPr>
        <w:t>or scaling agroecological innovations</w:t>
      </w:r>
      <w:r w:rsidR="0002387D">
        <w:rPr>
          <w:rFonts w:cstheme="minorHAnsi"/>
        </w:rPr>
        <w:t>. It includes policies for agroecology including re-purposing subsidies, better access to finance and markets, and improved services for agroecology (advisory services, adapted mechanisation, bio-inputs, etc.)</w:t>
      </w:r>
    </w:p>
    <w:p w14:paraId="58CF4792" w14:textId="16A53963" w:rsidR="00B4464E" w:rsidRDefault="00B4464E" w:rsidP="00B4464E">
      <w:pPr>
        <w:spacing w:before="120" w:after="120"/>
        <w:jc w:val="both"/>
        <w:rPr>
          <w:rFonts w:cstheme="minorHAnsi"/>
        </w:rPr>
      </w:pPr>
      <w:r>
        <w:rPr>
          <w:rFonts w:cstheme="minorHAnsi"/>
        </w:rPr>
        <w:t>Research should play a key role for producing scientific knowledge on agroecological processes and innovations</w:t>
      </w:r>
      <w:r w:rsidR="0002387D">
        <w:rPr>
          <w:rFonts w:cstheme="minorHAnsi"/>
        </w:rPr>
        <w:t>, by strengthening capacities</w:t>
      </w:r>
      <w:r w:rsidR="0068028A">
        <w:rPr>
          <w:rFonts w:cstheme="minorHAnsi"/>
        </w:rPr>
        <w:t xml:space="preserve"> and </w:t>
      </w:r>
      <w:r w:rsidR="0002387D">
        <w:rPr>
          <w:rFonts w:cstheme="minorHAnsi"/>
        </w:rPr>
        <w:t>providing evidence for science-based policies</w:t>
      </w:r>
      <w:r>
        <w:rPr>
          <w:rFonts w:cstheme="minorHAnsi"/>
        </w:rPr>
        <w:t xml:space="preserve">. </w:t>
      </w:r>
    </w:p>
    <w:p w14:paraId="080892D7" w14:textId="77777777" w:rsidR="00B4464E" w:rsidRPr="00911BCD" w:rsidRDefault="00B4464E" w:rsidP="00BE0A9F">
      <w:pPr>
        <w:spacing w:after="60"/>
        <w:jc w:val="both"/>
        <w:rPr>
          <w:rFonts w:cstheme="minorHAnsi"/>
        </w:rPr>
      </w:pPr>
    </w:p>
    <w:p w14:paraId="39D5F114" w14:textId="3CC06405" w:rsidR="0095207C" w:rsidRPr="0020076A" w:rsidRDefault="0020076A" w:rsidP="0020076A">
      <w:pPr>
        <w:pStyle w:val="ListParagraph"/>
        <w:numPr>
          <w:ilvl w:val="0"/>
          <w:numId w:val="8"/>
        </w:numPr>
        <w:jc w:val="both"/>
        <w:rPr>
          <w:rFonts w:cstheme="minorHAnsi"/>
          <w:b/>
          <w:bCs/>
        </w:rPr>
      </w:pPr>
      <w:r w:rsidRPr="0020076A">
        <w:rPr>
          <w:rFonts w:cstheme="minorHAnsi"/>
          <w:b/>
          <w:bCs/>
        </w:rPr>
        <w:t>O</w:t>
      </w:r>
      <w:r w:rsidR="0043241C" w:rsidRPr="0020076A">
        <w:rPr>
          <w:rFonts w:cstheme="minorHAnsi"/>
          <w:b/>
          <w:bCs/>
        </w:rPr>
        <w:t>bjective</w:t>
      </w:r>
      <w:r w:rsidRPr="0020076A">
        <w:rPr>
          <w:rFonts w:cstheme="minorHAnsi"/>
          <w:b/>
          <w:bCs/>
        </w:rPr>
        <w:t xml:space="preserve"> </w:t>
      </w:r>
    </w:p>
    <w:p w14:paraId="647F1849" w14:textId="20AD2AA6" w:rsidR="00E00D3E" w:rsidRDefault="00E00D3E" w:rsidP="00E00D3E">
      <w:pPr>
        <w:spacing w:before="120"/>
        <w:jc w:val="both"/>
        <w:textAlignment w:val="baseline"/>
        <w:rPr>
          <w:rFonts w:eastAsia="Times New Roman" w:cs="Times New Roman"/>
          <w:lang w:val="en-US" w:eastAsia="fr-BE"/>
        </w:rPr>
      </w:pPr>
      <w:r w:rsidRPr="00E00D3E">
        <w:rPr>
          <w:rFonts w:eastAsia="Times New Roman" w:cs="Times New Roman"/>
          <w:lang w:val="en-US" w:eastAsia="fr-BE"/>
        </w:rPr>
        <w:t xml:space="preserve">The </w:t>
      </w:r>
      <w:r w:rsidR="00CA0887">
        <w:rPr>
          <w:rFonts w:eastAsia="Times New Roman" w:cs="Times New Roman"/>
          <w:b/>
          <w:bCs/>
          <w:lang w:val="en-US" w:eastAsia="fr-BE"/>
        </w:rPr>
        <w:t>O</w:t>
      </w:r>
      <w:r w:rsidRPr="00E00D3E">
        <w:rPr>
          <w:rFonts w:eastAsia="Times New Roman" w:cs="Times New Roman"/>
          <w:b/>
          <w:bCs/>
          <w:lang w:val="en-US" w:eastAsia="fr-BE"/>
        </w:rPr>
        <w:t>verall Objective</w:t>
      </w:r>
      <w:r w:rsidRPr="00E00D3E">
        <w:rPr>
          <w:rFonts w:eastAsia="Times New Roman" w:cs="Times New Roman"/>
          <w:lang w:val="en-US" w:eastAsia="fr-BE"/>
        </w:rPr>
        <w:t xml:space="preserve"> is to</w:t>
      </w:r>
      <w:r w:rsidRPr="6D35D5D8">
        <w:rPr>
          <w:rFonts w:eastAsia="Times New Roman" w:cs="Times New Roman"/>
          <w:lang w:val="en-US" w:eastAsia="fr-BE"/>
        </w:rPr>
        <w:t xml:space="preserve"> support agroecological, ecosystem</w:t>
      </w:r>
      <w:r w:rsidR="0020076A">
        <w:rPr>
          <w:rFonts w:eastAsia="Times New Roman" w:cs="Times New Roman"/>
          <w:lang w:val="en-US" w:eastAsia="fr-BE"/>
        </w:rPr>
        <w:t>,</w:t>
      </w:r>
      <w:r w:rsidRPr="6D35D5D8">
        <w:rPr>
          <w:rFonts w:eastAsia="Times New Roman" w:cs="Times New Roman"/>
          <w:lang w:val="en-US" w:eastAsia="fr-BE"/>
        </w:rPr>
        <w:t xml:space="preserve"> and nature-based transitions </w:t>
      </w:r>
      <w:r w:rsidR="00CA0887">
        <w:rPr>
          <w:rFonts w:eastAsia="Times New Roman" w:cs="Times New Roman"/>
          <w:lang w:val="en-US" w:eastAsia="fr-BE"/>
        </w:rPr>
        <w:t xml:space="preserve">towards </w:t>
      </w:r>
      <w:r w:rsidR="0057291E">
        <w:rPr>
          <w:rFonts w:eastAsia="Times New Roman" w:cs="Times New Roman"/>
          <w:lang w:val="en-US" w:eastAsia="fr-BE"/>
        </w:rPr>
        <w:t xml:space="preserve">productive, </w:t>
      </w:r>
      <w:proofErr w:type="gramStart"/>
      <w:r w:rsidR="00CA0887">
        <w:rPr>
          <w:rFonts w:eastAsia="Times New Roman" w:cs="Times New Roman"/>
          <w:lang w:val="en-US" w:eastAsia="fr-BE"/>
        </w:rPr>
        <w:t>sustainable</w:t>
      </w:r>
      <w:proofErr w:type="gramEnd"/>
      <w:r w:rsidR="00CA0887">
        <w:rPr>
          <w:rFonts w:eastAsia="Times New Roman" w:cs="Times New Roman"/>
          <w:lang w:val="en-US" w:eastAsia="fr-BE"/>
        </w:rPr>
        <w:t xml:space="preserve"> and resilient</w:t>
      </w:r>
      <w:r w:rsidRPr="6D35D5D8">
        <w:rPr>
          <w:rFonts w:eastAsia="Times New Roman" w:cs="Times New Roman"/>
          <w:lang w:val="en-US" w:eastAsia="fr-BE"/>
        </w:rPr>
        <w:t xml:space="preserve"> food systems through increased investments in research and innovation</w:t>
      </w:r>
      <w:r w:rsidR="00E51279">
        <w:rPr>
          <w:rFonts w:eastAsia="Times New Roman" w:cs="Times New Roman"/>
          <w:lang w:val="en-US" w:eastAsia="fr-BE"/>
        </w:rPr>
        <w:t xml:space="preserve"> in Sub-Saharan Africa</w:t>
      </w:r>
    </w:p>
    <w:p w14:paraId="7AD39DA1" w14:textId="528DCFC6" w:rsidR="00E00D3E" w:rsidRPr="00CC7B00" w:rsidRDefault="00E00D3E" w:rsidP="00E00D3E">
      <w:pPr>
        <w:spacing w:before="120"/>
        <w:jc w:val="both"/>
        <w:textAlignment w:val="baseline"/>
        <w:rPr>
          <w:rFonts w:eastAsia="Times New Roman" w:cs="Times New Roman"/>
          <w:b/>
          <w:bCs/>
          <w:lang w:val="en-US" w:eastAsia="fr-BE"/>
        </w:rPr>
      </w:pPr>
      <w:r w:rsidRPr="00CC7B00">
        <w:rPr>
          <w:rFonts w:eastAsia="Times New Roman" w:cs="Times New Roman"/>
          <w:b/>
          <w:bCs/>
          <w:lang w:val="en-US" w:eastAsia="fr-BE"/>
        </w:rPr>
        <w:t>The specific objectives:</w:t>
      </w:r>
    </w:p>
    <w:p w14:paraId="23532605" w14:textId="636087AE" w:rsidR="00E00D3E" w:rsidRPr="00780322" w:rsidRDefault="00E00D3E" w:rsidP="00780322">
      <w:pPr>
        <w:pStyle w:val="ListParagraph"/>
        <w:numPr>
          <w:ilvl w:val="0"/>
          <w:numId w:val="13"/>
        </w:numPr>
        <w:spacing w:before="120"/>
        <w:contextualSpacing/>
        <w:jc w:val="both"/>
        <w:rPr>
          <w:rFonts w:eastAsia="Times New Roman" w:cs="Times New Roman"/>
          <w:lang w:eastAsia="fr-BE"/>
        </w:rPr>
      </w:pPr>
      <w:r w:rsidRPr="00780322">
        <w:rPr>
          <w:rFonts w:eastAsia="Times New Roman" w:cs="Times New Roman"/>
          <w:lang w:eastAsia="fr-BE"/>
        </w:rPr>
        <w:t xml:space="preserve">Increased </w:t>
      </w:r>
      <w:r w:rsidR="00CA0887">
        <w:rPr>
          <w:rFonts w:eastAsia="Times New Roman" w:cs="Times New Roman"/>
          <w:lang w:eastAsia="fr-BE"/>
        </w:rPr>
        <w:t>co-</w:t>
      </w:r>
      <w:r w:rsidRPr="00780322">
        <w:rPr>
          <w:rFonts w:eastAsia="Times New Roman" w:cs="Times New Roman"/>
          <w:lang w:eastAsia="fr-BE"/>
        </w:rPr>
        <w:t>creation and adoption of agroecological innovations (products, technologies, models and/or services) by small-scale farmers</w:t>
      </w:r>
      <w:r w:rsidR="00780322">
        <w:rPr>
          <w:rFonts w:eastAsia="Times New Roman" w:cs="Times New Roman"/>
          <w:lang w:eastAsia="fr-BE"/>
        </w:rPr>
        <w:t xml:space="preserve"> </w:t>
      </w:r>
      <w:r w:rsidRPr="00780322">
        <w:rPr>
          <w:rFonts w:eastAsia="Times New Roman" w:cs="Times New Roman"/>
          <w:lang w:eastAsia="fr-BE"/>
        </w:rPr>
        <w:t>and SMEs</w:t>
      </w:r>
      <w:r w:rsidR="0073695E">
        <w:rPr>
          <w:rFonts w:eastAsia="Times New Roman" w:cs="Times New Roman"/>
          <w:lang w:eastAsia="fr-BE"/>
        </w:rPr>
        <w:t xml:space="preserve"> of the agri-food sector</w:t>
      </w:r>
      <w:r w:rsidRPr="00780322">
        <w:rPr>
          <w:rFonts w:eastAsia="Times New Roman" w:cs="Times New Roman"/>
          <w:lang w:eastAsia="fr-BE"/>
        </w:rPr>
        <w:t xml:space="preserve">.  </w:t>
      </w:r>
    </w:p>
    <w:p w14:paraId="71CADD3A" w14:textId="19614E3A" w:rsidR="00780322" w:rsidRDefault="00E00D3E" w:rsidP="00780322">
      <w:pPr>
        <w:pStyle w:val="ListParagraph"/>
        <w:numPr>
          <w:ilvl w:val="0"/>
          <w:numId w:val="13"/>
        </w:numPr>
        <w:spacing w:before="120"/>
        <w:contextualSpacing/>
        <w:jc w:val="both"/>
        <w:rPr>
          <w:rFonts w:eastAsia="Times New Roman" w:cs="Times New Roman"/>
          <w:lang w:eastAsia="fr-BE"/>
        </w:rPr>
      </w:pPr>
      <w:r w:rsidRPr="00780322">
        <w:rPr>
          <w:rFonts w:eastAsia="Times New Roman" w:cs="Times New Roman"/>
          <w:lang w:eastAsia="fr-BE"/>
        </w:rPr>
        <w:t xml:space="preserve">Increased capacity of farmers’ organisations, civil </w:t>
      </w:r>
      <w:proofErr w:type="gramStart"/>
      <w:r w:rsidRPr="00780322">
        <w:rPr>
          <w:rFonts w:eastAsia="Times New Roman" w:cs="Times New Roman"/>
          <w:lang w:eastAsia="fr-BE"/>
        </w:rPr>
        <w:t>society</w:t>
      </w:r>
      <w:proofErr w:type="gramEnd"/>
      <w:r w:rsidRPr="00780322">
        <w:rPr>
          <w:rFonts w:eastAsia="Times New Roman" w:cs="Times New Roman"/>
          <w:lang w:eastAsia="fr-BE"/>
        </w:rPr>
        <w:t xml:space="preserve"> and private sector actors (SMEs) to </w:t>
      </w:r>
      <w:r w:rsidR="00FA6E9C">
        <w:rPr>
          <w:rFonts w:eastAsia="Times New Roman" w:cs="Times New Roman"/>
          <w:lang w:eastAsia="fr-BE"/>
        </w:rPr>
        <w:t xml:space="preserve">scale innovation </w:t>
      </w:r>
      <w:r w:rsidR="007C301A">
        <w:rPr>
          <w:rFonts w:eastAsia="Times New Roman" w:cs="Times New Roman"/>
          <w:lang w:eastAsia="fr-BE"/>
        </w:rPr>
        <w:t xml:space="preserve">for agroecology </w:t>
      </w:r>
      <w:r w:rsidR="00FA6E9C">
        <w:rPr>
          <w:rFonts w:eastAsia="Times New Roman" w:cs="Times New Roman"/>
          <w:lang w:eastAsia="fr-BE"/>
        </w:rPr>
        <w:t>by addressing the key barriers and by mobilizing the appropriate levers.</w:t>
      </w:r>
    </w:p>
    <w:p w14:paraId="262A1C4A" w14:textId="3D6D4266" w:rsidR="005B0728" w:rsidRPr="005B0728" w:rsidRDefault="005B0728" w:rsidP="007C301A">
      <w:pPr>
        <w:pStyle w:val="ListParagraph"/>
        <w:numPr>
          <w:ilvl w:val="0"/>
          <w:numId w:val="13"/>
        </w:numPr>
        <w:jc w:val="both"/>
      </w:pPr>
      <w:r w:rsidRPr="007C301A">
        <w:rPr>
          <w:rFonts w:eastAsia="Times New Roman" w:cs="Times New Roman"/>
          <w:lang w:eastAsia="fr-BE"/>
        </w:rPr>
        <w:t xml:space="preserve">Increased capacity of research organisations and universities to </w:t>
      </w:r>
      <w:r w:rsidRPr="0056657C">
        <w:t>contribut</w:t>
      </w:r>
      <w:r>
        <w:t xml:space="preserve">e </w:t>
      </w:r>
      <w:r w:rsidRPr="0056657C">
        <w:t xml:space="preserve">to scientific knowledge generation </w:t>
      </w:r>
      <w:r>
        <w:t xml:space="preserve">and innovation </w:t>
      </w:r>
      <w:r w:rsidRPr="0056657C">
        <w:t>for agroecology</w:t>
      </w:r>
      <w:r>
        <w:t xml:space="preserve"> through</w:t>
      </w:r>
      <w:r w:rsidRPr="0056657C">
        <w:t xml:space="preserve"> transformative quality research</w:t>
      </w:r>
      <w:r w:rsidR="007C301A">
        <w:t xml:space="preserve"> and education on agroecology.</w:t>
      </w:r>
    </w:p>
    <w:p w14:paraId="6333CDE7" w14:textId="6E890930" w:rsidR="00E00D3E" w:rsidRDefault="00E00D3E" w:rsidP="00780322">
      <w:pPr>
        <w:pStyle w:val="ListParagraph"/>
        <w:numPr>
          <w:ilvl w:val="0"/>
          <w:numId w:val="13"/>
        </w:numPr>
        <w:spacing w:before="120"/>
        <w:contextualSpacing/>
        <w:jc w:val="both"/>
        <w:rPr>
          <w:rFonts w:eastAsia="Times New Roman" w:cs="Times New Roman"/>
          <w:lang w:eastAsia="fr-BE"/>
        </w:rPr>
      </w:pPr>
      <w:r w:rsidRPr="00780322">
        <w:rPr>
          <w:rFonts w:eastAsia="Times New Roman" w:cs="Times New Roman"/>
          <w:lang w:eastAsia="fr-BE"/>
        </w:rPr>
        <w:t xml:space="preserve">Improved enabling policy making environment for </w:t>
      </w:r>
      <w:r w:rsidR="0057291E" w:rsidRPr="00780322">
        <w:rPr>
          <w:rFonts w:eastAsia="Times New Roman" w:cs="Times New Roman"/>
          <w:lang w:eastAsia="fr-BE"/>
        </w:rPr>
        <w:t>agroecology</w:t>
      </w:r>
      <w:r w:rsidR="00FA6E9C">
        <w:rPr>
          <w:rFonts w:eastAsia="Times New Roman" w:cs="Times New Roman"/>
          <w:lang w:eastAsia="fr-BE"/>
        </w:rPr>
        <w:t xml:space="preserve"> </w:t>
      </w:r>
      <w:r w:rsidRPr="00780322">
        <w:rPr>
          <w:rFonts w:eastAsia="Times New Roman" w:cs="Times New Roman"/>
          <w:lang w:eastAsia="fr-BE"/>
        </w:rPr>
        <w:t xml:space="preserve">at national, </w:t>
      </w:r>
      <w:proofErr w:type="gramStart"/>
      <w:r w:rsidRPr="00780322">
        <w:rPr>
          <w:rFonts w:eastAsia="Times New Roman" w:cs="Times New Roman"/>
          <w:lang w:eastAsia="fr-BE"/>
        </w:rPr>
        <w:t>regional</w:t>
      </w:r>
      <w:proofErr w:type="gramEnd"/>
      <w:r w:rsidRPr="00780322">
        <w:rPr>
          <w:rFonts w:eastAsia="Times New Roman" w:cs="Times New Roman"/>
          <w:lang w:eastAsia="fr-BE"/>
        </w:rPr>
        <w:t xml:space="preserve"> and continental levels.</w:t>
      </w:r>
    </w:p>
    <w:p w14:paraId="55530629" w14:textId="77777777" w:rsidR="0020076A" w:rsidRDefault="0020076A" w:rsidP="0020076A">
      <w:pPr>
        <w:spacing w:before="120"/>
        <w:ind w:left="360"/>
        <w:contextualSpacing/>
        <w:jc w:val="both"/>
        <w:rPr>
          <w:rFonts w:eastAsia="Times New Roman" w:cs="Times New Roman"/>
          <w:lang w:eastAsia="fr-BE"/>
        </w:rPr>
      </w:pPr>
    </w:p>
    <w:p w14:paraId="23DBE37C" w14:textId="77777777" w:rsidR="002F6ED9" w:rsidRPr="0020076A" w:rsidRDefault="002F6ED9" w:rsidP="0020076A">
      <w:pPr>
        <w:spacing w:before="120"/>
        <w:ind w:left="360"/>
        <w:contextualSpacing/>
        <w:jc w:val="both"/>
        <w:rPr>
          <w:rFonts w:eastAsia="Times New Roman" w:cs="Times New Roman"/>
          <w:lang w:eastAsia="fr-BE"/>
        </w:rPr>
      </w:pPr>
    </w:p>
    <w:p w14:paraId="7BC18EF1" w14:textId="6BB5A06B" w:rsidR="0020076A" w:rsidRPr="0020076A" w:rsidRDefault="002F6ED9" w:rsidP="0020076A">
      <w:pPr>
        <w:pStyle w:val="ListParagraph"/>
        <w:numPr>
          <w:ilvl w:val="0"/>
          <w:numId w:val="8"/>
        </w:numPr>
        <w:spacing w:before="120" w:after="120"/>
        <w:jc w:val="both"/>
        <w:rPr>
          <w:rFonts w:cstheme="minorHAnsi"/>
          <w:b/>
          <w:bCs/>
          <w:color w:val="0D0D0D" w:themeColor="text1" w:themeTint="F2"/>
        </w:rPr>
      </w:pPr>
      <w:r>
        <w:rPr>
          <w:rFonts w:cstheme="minorHAnsi"/>
          <w:b/>
          <w:bCs/>
          <w:color w:val="0D0D0D" w:themeColor="text1" w:themeTint="F2"/>
        </w:rPr>
        <w:lastRenderedPageBreak/>
        <w:t xml:space="preserve">The </w:t>
      </w:r>
      <w:r w:rsidR="0020076A" w:rsidRPr="0020076A">
        <w:rPr>
          <w:rFonts w:cstheme="minorHAnsi"/>
          <w:b/>
          <w:bCs/>
          <w:color w:val="0D0D0D" w:themeColor="text1" w:themeTint="F2"/>
        </w:rPr>
        <w:t xml:space="preserve">components </w:t>
      </w:r>
    </w:p>
    <w:p w14:paraId="14CF98DA" w14:textId="0AC2D175" w:rsidR="0075628B" w:rsidRPr="0075628B" w:rsidRDefault="002F6ED9" w:rsidP="0020076A">
      <w:pPr>
        <w:spacing w:before="120" w:after="120"/>
        <w:jc w:val="both"/>
        <w:rPr>
          <w:rFonts w:cstheme="minorHAnsi"/>
          <w:color w:val="0D0D0D" w:themeColor="text1" w:themeTint="F2"/>
          <w:lang w:val="en-IE"/>
        </w:rPr>
      </w:pPr>
      <w:r>
        <w:rPr>
          <w:rFonts w:cstheme="minorHAnsi"/>
          <w:color w:val="0D0D0D" w:themeColor="text1" w:themeTint="F2"/>
          <w:lang w:val="en-IE"/>
        </w:rPr>
        <w:t xml:space="preserve">The new phase of </w:t>
      </w:r>
      <w:proofErr w:type="spellStart"/>
      <w:r w:rsidR="0075628B" w:rsidRPr="0075628B">
        <w:rPr>
          <w:rFonts w:cstheme="minorHAnsi"/>
          <w:color w:val="0D0D0D" w:themeColor="text1" w:themeTint="F2"/>
          <w:lang w:val="en-IE"/>
        </w:rPr>
        <w:t>DeSIRA</w:t>
      </w:r>
      <w:proofErr w:type="spellEnd"/>
      <w:r w:rsidR="0075628B" w:rsidRPr="0075628B">
        <w:rPr>
          <w:rFonts w:cstheme="minorHAnsi"/>
          <w:color w:val="0D0D0D" w:themeColor="text1" w:themeTint="F2"/>
          <w:lang w:val="en-IE"/>
        </w:rPr>
        <w:t xml:space="preserve"> has two complementary </w:t>
      </w:r>
      <w:r w:rsidRPr="0075628B">
        <w:rPr>
          <w:rFonts w:cstheme="minorHAnsi"/>
          <w:color w:val="0D0D0D" w:themeColor="text1" w:themeTint="F2"/>
          <w:lang w:val="en-IE"/>
        </w:rPr>
        <w:t>components</w:t>
      </w:r>
      <w:r>
        <w:rPr>
          <w:rFonts w:cstheme="minorHAnsi"/>
          <w:color w:val="0D0D0D" w:themeColor="text1" w:themeTint="F2"/>
          <w:lang w:val="en-IE"/>
        </w:rPr>
        <w:t xml:space="preserve">: </w:t>
      </w:r>
      <w:proofErr w:type="spellStart"/>
      <w:r>
        <w:rPr>
          <w:rFonts w:cstheme="minorHAnsi"/>
          <w:color w:val="0D0D0D" w:themeColor="text1" w:themeTint="F2"/>
          <w:lang w:val="en-IE"/>
        </w:rPr>
        <w:t>DeSIRA</w:t>
      </w:r>
      <w:proofErr w:type="spellEnd"/>
      <w:r>
        <w:rPr>
          <w:rFonts w:cstheme="minorHAnsi"/>
          <w:color w:val="0D0D0D" w:themeColor="text1" w:themeTint="F2"/>
          <w:lang w:val="en-IE"/>
        </w:rPr>
        <w:t>+ and RMRN-agroecology.</w:t>
      </w:r>
    </w:p>
    <w:p w14:paraId="6CB06011" w14:textId="60B472AA" w:rsidR="0020076A" w:rsidRPr="0020076A" w:rsidRDefault="0020076A" w:rsidP="0020076A">
      <w:pPr>
        <w:spacing w:before="120" w:after="120"/>
        <w:jc w:val="both"/>
        <w:rPr>
          <w:rFonts w:cstheme="minorHAnsi"/>
          <w:b/>
          <w:bCs/>
          <w:color w:val="0D0D0D" w:themeColor="text1" w:themeTint="F2"/>
          <w:lang w:val="en-IE"/>
        </w:rPr>
      </w:pPr>
      <w:r w:rsidRPr="0020076A">
        <w:rPr>
          <w:rFonts w:cstheme="minorHAnsi"/>
          <w:b/>
          <w:bCs/>
          <w:color w:val="0D0D0D" w:themeColor="text1" w:themeTint="F2"/>
          <w:u w:val="single"/>
          <w:lang w:val="en-IE"/>
        </w:rPr>
        <w:t>Component 1</w:t>
      </w:r>
      <w:r w:rsidRPr="0020076A">
        <w:rPr>
          <w:rFonts w:cstheme="minorHAnsi"/>
          <w:b/>
          <w:bCs/>
          <w:color w:val="0D0D0D" w:themeColor="text1" w:themeTint="F2"/>
          <w:lang w:val="en-IE"/>
        </w:rPr>
        <w:t xml:space="preserve">: </w:t>
      </w:r>
      <w:r w:rsidR="002F6ED9">
        <w:rPr>
          <w:rFonts w:cstheme="minorHAnsi"/>
          <w:b/>
          <w:bCs/>
          <w:color w:val="0D0D0D" w:themeColor="text1" w:themeTint="F2"/>
          <w:lang w:val="en-IE"/>
        </w:rPr>
        <w:t>I</w:t>
      </w:r>
      <w:proofErr w:type="spellStart"/>
      <w:r w:rsidR="002F6ED9" w:rsidRPr="0020076A">
        <w:rPr>
          <w:rFonts w:cstheme="minorHAnsi"/>
          <w:b/>
          <w:bCs/>
          <w:color w:val="0D0D0D" w:themeColor="text1" w:themeTint="F2"/>
          <w:lang w:val="en-US"/>
        </w:rPr>
        <w:t>nnovations</w:t>
      </w:r>
      <w:proofErr w:type="spellEnd"/>
      <w:r w:rsidR="002F6ED9">
        <w:rPr>
          <w:rFonts w:cstheme="minorHAnsi"/>
          <w:b/>
          <w:bCs/>
          <w:color w:val="0D0D0D" w:themeColor="text1" w:themeTint="F2"/>
          <w:lang w:val="en-US"/>
        </w:rPr>
        <w:t xml:space="preserve"> at scale for </w:t>
      </w:r>
      <w:proofErr w:type="gramStart"/>
      <w:r w:rsidR="002F6ED9">
        <w:rPr>
          <w:rFonts w:cstheme="minorHAnsi"/>
          <w:b/>
          <w:bCs/>
          <w:color w:val="0D0D0D" w:themeColor="text1" w:themeTint="F2"/>
          <w:lang w:val="en-US"/>
        </w:rPr>
        <w:t xml:space="preserve">agroecology </w:t>
      </w:r>
      <w:r w:rsidRPr="0020076A">
        <w:rPr>
          <w:rFonts w:cstheme="minorHAnsi"/>
          <w:b/>
          <w:bCs/>
          <w:color w:val="0D0D0D" w:themeColor="text1" w:themeTint="F2"/>
          <w:lang w:val="en-US"/>
        </w:rPr>
        <w:t xml:space="preserve"> in</w:t>
      </w:r>
      <w:proofErr w:type="gramEnd"/>
      <w:r w:rsidRPr="0020076A">
        <w:rPr>
          <w:rFonts w:cstheme="minorHAnsi"/>
          <w:b/>
          <w:bCs/>
          <w:color w:val="0D0D0D" w:themeColor="text1" w:themeTint="F2"/>
          <w:lang w:val="en-US"/>
        </w:rPr>
        <w:t xml:space="preserve"> Sub-Saharan Africa</w:t>
      </w:r>
      <w:r w:rsidR="00847C46">
        <w:rPr>
          <w:rFonts w:cstheme="minorHAnsi"/>
          <w:b/>
          <w:bCs/>
          <w:color w:val="0D0D0D" w:themeColor="text1" w:themeTint="F2"/>
          <w:lang w:val="en-US"/>
        </w:rPr>
        <w:t xml:space="preserve"> (</w:t>
      </w:r>
      <w:proofErr w:type="spellStart"/>
      <w:r w:rsidR="00847C46">
        <w:rPr>
          <w:rFonts w:cstheme="minorHAnsi"/>
          <w:b/>
          <w:bCs/>
          <w:color w:val="0D0D0D" w:themeColor="text1" w:themeTint="F2"/>
          <w:lang w:val="en-US"/>
        </w:rPr>
        <w:t>DeSIRA</w:t>
      </w:r>
      <w:proofErr w:type="spellEnd"/>
      <w:r w:rsidR="00847C46">
        <w:rPr>
          <w:rFonts w:cstheme="minorHAnsi"/>
          <w:b/>
          <w:bCs/>
          <w:color w:val="0D0D0D" w:themeColor="text1" w:themeTint="F2"/>
          <w:lang w:val="en-US"/>
        </w:rPr>
        <w:t>+)</w:t>
      </w:r>
    </w:p>
    <w:p w14:paraId="26EAD4BA" w14:textId="52283FC1" w:rsidR="0020076A" w:rsidRPr="0020076A" w:rsidRDefault="0020076A" w:rsidP="0020076A">
      <w:pPr>
        <w:spacing w:before="120" w:after="120"/>
        <w:jc w:val="both"/>
        <w:rPr>
          <w:rFonts w:cstheme="minorHAnsi"/>
          <w:color w:val="0D0D0D" w:themeColor="text1" w:themeTint="F2"/>
          <w:lang w:val="en-IE"/>
        </w:rPr>
      </w:pPr>
      <w:r w:rsidRPr="0020076A">
        <w:rPr>
          <w:rFonts w:cstheme="minorHAnsi"/>
          <w:color w:val="0D0D0D" w:themeColor="text1" w:themeTint="F2"/>
          <w:lang w:val="en-IE"/>
        </w:rPr>
        <w:t xml:space="preserve">The key elements </w:t>
      </w:r>
      <w:r w:rsidR="0075628B">
        <w:rPr>
          <w:rFonts w:cstheme="minorHAnsi"/>
          <w:color w:val="0D0D0D" w:themeColor="text1" w:themeTint="F2"/>
          <w:lang w:val="en-IE"/>
        </w:rPr>
        <w:t xml:space="preserve">of this component </w:t>
      </w:r>
      <w:r w:rsidR="002F6ED9" w:rsidRPr="0020076A">
        <w:rPr>
          <w:rFonts w:cstheme="minorHAnsi"/>
          <w:color w:val="0D0D0D" w:themeColor="text1" w:themeTint="F2"/>
          <w:lang w:val="en-IE"/>
        </w:rPr>
        <w:t>are:</w:t>
      </w:r>
    </w:p>
    <w:p w14:paraId="54F897D5" w14:textId="36D3C694" w:rsidR="0020076A" w:rsidRPr="0020076A" w:rsidRDefault="0020076A" w:rsidP="0020076A">
      <w:pPr>
        <w:numPr>
          <w:ilvl w:val="0"/>
          <w:numId w:val="19"/>
        </w:numPr>
        <w:spacing w:before="120" w:after="120"/>
        <w:jc w:val="both"/>
        <w:rPr>
          <w:rFonts w:cstheme="minorHAnsi"/>
          <w:color w:val="0D0D0D" w:themeColor="text1" w:themeTint="F2"/>
          <w:lang w:val="en-IE"/>
        </w:rPr>
      </w:pPr>
      <w:r w:rsidRPr="0020076A">
        <w:rPr>
          <w:rFonts w:cstheme="minorHAnsi"/>
          <w:color w:val="0D0D0D" w:themeColor="text1" w:themeTint="F2"/>
          <w:lang w:val="en-US"/>
        </w:rPr>
        <w:t>Intervention</w:t>
      </w:r>
      <w:r w:rsidR="0075628B">
        <w:rPr>
          <w:rFonts w:cstheme="minorHAnsi"/>
          <w:color w:val="0D0D0D" w:themeColor="text1" w:themeTint="F2"/>
          <w:lang w:val="en-US"/>
        </w:rPr>
        <w:t>s</w:t>
      </w:r>
      <w:r w:rsidRPr="0020076A">
        <w:rPr>
          <w:rFonts w:cstheme="minorHAnsi"/>
          <w:color w:val="0D0D0D" w:themeColor="text1" w:themeTint="F2"/>
          <w:lang w:val="en-US"/>
        </w:rPr>
        <w:t xml:space="preserve"> with EU MS </w:t>
      </w:r>
      <w:r>
        <w:rPr>
          <w:rFonts w:cstheme="minorHAnsi"/>
          <w:color w:val="0D0D0D" w:themeColor="text1" w:themeTint="F2"/>
          <w:lang w:val="en-US"/>
        </w:rPr>
        <w:t xml:space="preserve">(France, Germany, Belgium, Italy, etc.) </w:t>
      </w:r>
      <w:r w:rsidR="00847C46">
        <w:rPr>
          <w:rFonts w:cstheme="minorHAnsi"/>
          <w:color w:val="0D0D0D" w:themeColor="text1" w:themeTint="F2"/>
          <w:lang w:val="en-US"/>
        </w:rPr>
        <w:t xml:space="preserve">and </w:t>
      </w:r>
      <w:r w:rsidRPr="0020076A">
        <w:rPr>
          <w:rFonts w:cstheme="minorHAnsi"/>
          <w:color w:val="0D0D0D" w:themeColor="text1" w:themeTint="F2"/>
          <w:lang w:val="en-US"/>
        </w:rPr>
        <w:t xml:space="preserve">international </w:t>
      </w:r>
      <w:r w:rsidR="002F6ED9" w:rsidRPr="0020076A">
        <w:rPr>
          <w:rFonts w:cstheme="minorHAnsi"/>
          <w:color w:val="0D0D0D" w:themeColor="text1" w:themeTint="F2"/>
          <w:lang w:val="en-US"/>
        </w:rPr>
        <w:t>organization</w:t>
      </w:r>
      <w:r w:rsidRPr="0020076A">
        <w:rPr>
          <w:rFonts w:cstheme="minorHAnsi"/>
          <w:color w:val="0D0D0D" w:themeColor="text1" w:themeTint="F2"/>
          <w:lang w:val="en-US"/>
        </w:rPr>
        <w:t xml:space="preserve"> </w:t>
      </w:r>
      <w:r>
        <w:rPr>
          <w:rFonts w:cstheme="minorHAnsi"/>
          <w:color w:val="0D0D0D" w:themeColor="text1" w:themeTint="F2"/>
          <w:lang w:val="en-US"/>
        </w:rPr>
        <w:t xml:space="preserve">(IFAD) </w:t>
      </w:r>
      <w:r w:rsidRPr="0020076A">
        <w:rPr>
          <w:rFonts w:cstheme="minorHAnsi"/>
          <w:color w:val="0D0D0D" w:themeColor="text1" w:themeTint="F2"/>
          <w:lang w:val="en-US"/>
        </w:rPr>
        <w:t>to increase capacities</w:t>
      </w:r>
      <w:r>
        <w:rPr>
          <w:rFonts w:cstheme="minorHAnsi"/>
          <w:color w:val="0D0D0D" w:themeColor="text1" w:themeTint="F2"/>
          <w:lang w:val="en-US"/>
        </w:rPr>
        <w:t xml:space="preserve"> (co-funding, partners</w:t>
      </w:r>
      <w:r w:rsidR="00847C46">
        <w:rPr>
          <w:rFonts w:cstheme="minorHAnsi"/>
          <w:color w:val="0D0D0D" w:themeColor="text1" w:themeTint="F2"/>
          <w:lang w:val="en-US"/>
        </w:rPr>
        <w:t>, policy dialogue</w:t>
      </w:r>
      <w:r>
        <w:rPr>
          <w:rFonts w:cstheme="minorHAnsi"/>
          <w:color w:val="0D0D0D" w:themeColor="text1" w:themeTint="F2"/>
          <w:lang w:val="en-US"/>
        </w:rPr>
        <w:t>). Each organization implement one or several programs in several African regions (East, West, Central, Southern, Indian Ocean)</w:t>
      </w:r>
    </w:p>
    <w:p w14:paraId="5FE5B44C" w14:textId="4DE82771" w:rsidR="0020076A" w:rsidRPr="0020076A" w:rsidRDefault="0020076A" w:rsidP="0020076A">
      <w:pPr>
        <w:numPr>
          <w:ilvl w:val="0"/>
          <w:numId w:val="19"/>
        </w:numPr>
        <w:spacing w:before="120" w:after="120"/>
        <w:jc w:val="both"/>
        <w:rPr>
          <w:rFonts w:cstheme="minorHAnsi"/>
          <w:color w:val="0D0D0D" w:themeColor="text1" w:themeTint="F2"/>
          <w:lang w:val="en-IE"/>
        </w:rPr>
      </w:pPr>
      <w:r>
        <w:rPr>
          <w:rFonts w:cstheme="minorHAnsi"/>
          <w:color w:val="0D0D0D" w:themeColor="text1" w:themeTint="F2"/>
          <w:lang w:val="en-US"/>
        </w:rPr>
        <w:t xml:space="preserve">Each program </w:t>
      </w:r>
      <w:r w:rsidR="00847C46">
        <w:rPr>
          <w:rFonts w:cstheme="minorHAnsi"/>
          <w:color w:val="0D0D0D" w:themeColor="text1" w:themeTint="F2"/>
          <w:lang w:val="en-US"/>
        </w:rPr>
        <w:t xml:space="preserve">will </w:t>
      </w:r>
      <w:r>
        <w:rPr>
          <w:rFonts w:cstheme="minorHAnsi"/>
          <w:color w:val="0D0D0D" w:themeColor="text1" w:themeTint="F2"/>
          <w:lang w:val="en-US"/>
        </w:rPr>
        <w:t>s</w:t>
      </w:r>
      <w:r w:rsidRPr="0020076A">
        <w:rPr>
          <w:rFonts w:cstheme="minorHAnsi"/>
          <w:color w:val="0D0D0D" w:themeColor="text1" w:themeTint="F2"/>
          <w:lang w:val="en-US"/>
        </w:rPr>
        <w:t xml:space="preserve">upport </w:t>
      </w:r>
      <w:r>
        <w:rPr>
          <w:rFonts w:cstheme="minorHAnsi"/>
          <w:color w:val="0D0D0D" w:themeColor="text1" w:themeTint="F2"/>
          <w:lang w:val="en-US"/>
        </w:rPr>
        <w:t xml:space="preserve">several </w:t>
      </w:r>
      <w:r w:rsidRPr="0020076A">
        <w:rPr>
          <w:rFonts w:cstheme="minorHAnsi"/>
          <w:color w:val="0D0D0D" w:themeColor="text1" w:themeTint="F2"/>
          <w:lang w:val="en-US"/>
        </w:rPr>
        <w:t>consortia of actors led by non-research actors (private sector, farmers’, CSO) with support of research</w:t>
      </w:r>
      <w:r w:rsidR="00847C46">
        <w:rPr>
          <w:rFonts w:cstheme="minorHAnsi"/>
          <w:color w:val="0D0D0D" w:themeColor="text1" w:themeTint="F2"/>
          <w:lang w:val="en-US"/>
        </w:rPr>
        <w:t xml:space="preserve"> when relevant</w:t>
      </w:r>
      <w:r>
        <w:rPr>
          <w:rFonts w:cstheme="minorHAnsi"/>
          <w:color w:val="0D0D0D" w:themeColor="text1" w:themeTint="F2"/>
          <w:lang w:val="en-US"/>
        </w:rPr>
        <w:t xml:space="preserve">; the consortia are identified through </w:t>
      </w:r>
      <w:r w:rsidRPr="0020076A">
        <w:rPr>
          <w:rFonts w:cstheme="minorHAnsi"/>
          <w:color w:val="0D0D0D" w:themeColor="text1" w:themeTint="F2"/>
          <w:lang w:val="en-US"/>
        </w:rPr>
        <w:t>calls for proposals</w:t>
      </w:r>
      <w:r>
        <w:rPr>
          <w:rFonts w:cstheme="minorHAnsi"/>
          <w:color w:val="0D0D0D" w:themeColor="text1" w:themeTint="F2"/>
          <w:lang w:val="en-US"/>
        </w:rPr>
        <w:t xml:space="preserve"> to co-design and scale agroecological innovations.</w:t>
      </w:r>
    </w:p>
    <w:p w14:paraId="51E5A7CA" w14:textId="4F0F9DB5" w:rsidR="003878C9" w:rsidRDefault="003878C9" w:rsidP="0020076A">
      <w:pPr>
        <w:numPr>
          <w:ilvl w:val="0"/>
          <w:numId w:val="19"/>
        </w:numPr>
        <w:spacing w:before="120" w:after="120"/>
        <w:jc w:val="both"/>
        <w:rPr>
          <w:rFonts w:cstheme="minorHAnsi"/>
          <w:color w:val="0D0D0D" w:themeColor="text1" w:themeTint="F2"/>
          <w:lang w:val="en-IE"/>
        </w:rPr>
      </w:pPr>
      <w:r>
        <w:rPr>
          <w:rFonts w:cstheme="minorHAnsi"/>
          <w:color w:val="0D0D0D" w:themeColor="text1" w:themeTint="F2"/>
          <w:lang w:val="en-IE"/>
        </w:rPr>
        <w:t xml:space="preserve">Each program includes transversal support to the </w:t>
      </w:r>
      <w:r w:rsidR="00847C46">
        <w:rPr>
          <w:rFonts w:cstheme="minorHAnsi"/>
          <w:color w:val="0D0D0D" w:themeColor="text1" w:themeTint="F2"/>
          <w:lang w:val="en-IE"/>
        </w:rPr>
        <w:t xml:space="preserve">selected </w:t>
      </w:r>
      <w:r>
        <w:rPr>
          <w:rFonts w:cstheme="minorHAnsi"/>
          <w:color w:val="0D0D0D" w:themeColor="text1" w:themeTint="F2"/>
          <w:lang w:val="en-IE"/>
        </w:rPr>
        <w:t>consortia (training, coaching, exchange of experience) or to national or regional organisations (e.g. advisory services). It also includes knowledge management activities.</w:t>
      </w:r>
    </w:p>
    <w:p w14:paraId="0A42B35C" w14:textId="5E3E02A6" w:rsidR="0020076A" w:rsidRPr="0020076A" w:rsidRDefault="0020076A" w:rsidP="0020076A">
      <w:pPr>
        <w:numPr>
          <w:ilvl w:val="0"/>
          <w:numId w:val="19"/>
        </w:numPr>
        <w:spacing w:before="120" w:after="120"/>
        <w:jc w:val="both"/>
        <w:rPr>
          <w:rFonts w:cstheme="minorHAnsi"/>
          <w:color w:val="0D0D0D" w:themeColor="text1" w:themeTint="F2"/>
          <w:lang w:val="en-IE"/>
        </w:rPr>
      </w:pPr>
      <w:r>
        <w:rPr>
          <w:rFonts w:cstheme="minorHAnsi"/>
          <w:color w:val="0D0D0D" w:themeColor="text1" w:themeTint="F2"/>
          <w:lang w:val="en-US"/>
        </w:rPr>
        <w:t>Each program develops s</w:t>
      </w:r>
      <w:r w:rsidRPr="0020076A">
        <w:rPr>
          <w:rFonts w:cstheme="minorHAnsi"/>
          <w:color w:val="0D0D0D" w:themeColor="text1" w:themeTint="F2"/>
          <w:lang w:val="en-US"/>
        </w:rPr>
        <w:t>trong relationships with policies (REC, countries)</w:t>
      </w:r>
      <w:r>
        <w:rPr>
          <w:rFonts w:cstheme="minorHAnsi"/>
          <w:color w:val="0D0D0D" w:themeColor="text1" w:themeTint="F2"/>
          <w:lang w:val="en-US"/>
        </w:rPr>
        <w:t xml:space="preserve"> to foster policies for agroecology</w:t>
      </w:r>
      <w:r w:rsidR="00847C46">
        <w:rPr>
          <w:rFonts w:cstheme="minorHAnsi"/>
          <w:color w:val="0D0D0D" w:themeColor="text1" w:themeTint="F2"/>
          <w:lang w:val="en-US"/>
        </w:rPr>
        <w:t>.</w:t>
      </w:r>
    </w:p>
    <w:p w14:paraId="3BE78B8A" w14:textId="46ED5255" w:rsidR="0020076A" w:rsidRPr="0020076A" w:rsidRDefault="0020076A" w:rsidP="0075628B">
      <w:pPr>
        <w:spacing w:before="120" w:after="120"/>
        <w:jc w:val="both"/>
        <w:rPr>
          <w:rFonts w:cstheme="minorHAnsi"/>
          <w:color w:val="0D0D0D" w:themeColor="text1" w:themeTint="F2"/>
          <w:lang w:val="en-IE"/>
        </w:rPr>
      </w:pPr>
      <w:proofErr w:type="spellStart"/>
      <w:r w:rsidRPr="0020076A">
        <w:rPr>
          <w:rFonts w:cstheme="minorHAnsi"/>
          <w:color w:val="0D0D0D" w:themeColor="text1" w:themeTint="F2"/>
          <w:lang w:val="en-US"/>
        </w:rPr>
        <w:t>DeSIRA</w:t>
      </w:r>
      <w:proofErr w:type="spellEnd"/>
      <w:r w:rsidRPr="0020076A">
        <w:rPr>
          <w:rFonts w:cstheme="minorHAnsi"/>
          <w:color w:val="0D0D0D" w:themeColor="text1" w:themeTint="F2"/>
          <w:lang w:val="en-US"/>
        </w:rPr>
        <w:t xml:space="preserve"> LIFT + and FAO </w:t>
      </w:r>
      <w:r w:rsidR="003878C9">
        <w:rPr>
          <w:rFonts w:cstheme="minorHAnsi"/>
          <w:color w:val="0D0D0D" w:themeColor="text1" w:themeTint="F2"/>
          <w:lang w:val="en-US"/>
        </w:rPr>
        <w:t xml:space="preserve">(project lead by the Office of Innovation, TAPE+) </w:t>
      </w:r>
      <w:r w:rsidR="00847C46">
        <w:rPr>
          <w:rFonts w:cstheme="minorHAnsi"/>
          <w:color w:val="0D0D0D" w:themeColor="text1" w:themeTint="F2"/>
          <w:lang w:val="en-US"/>
        </w:rPr>
        <w:t xml:space="preserve">will </w:t>
      </w:r>
      <w:r w:rsidR="003878C9">
        <w:rPr>
          <w:rFonts w:cstheme="minorHAnsi"/>
          <w:color w:val="0D0D0D" w:themeColor="text1" w:themeTint="F2"/>
          <w:lang w:val="en-US"/>
        </w:rPr>
        <w:t>provide transversal support to the programs (monitoring and evaluation for learning, exchange of experiences, knowledge sharing, strengthening of African capacities to support innovation, development of high-education curricula and vocational training)</w:t>
      </w:r>
    </w:p>
    <w:p w14:paraId="7E28A885" w14:textId="197C6FB5" w:rsidR="0020076A" w:rsidRPr="00FB5440" w:rsidRDefault="00FB5440" w:rsidP="0020076A">
      <w:pPr>
        <w:spacing w:before="120" w:after="120"/>
        <w:jc w:val="both"/>
        <w:rPr>
          <w:rFonts w:cstheme="minorHAnsi"/>
          <w:color w:val="0D0D0D" w:themeColor="text1" w:themeTint="F2"/>
          <w:lang w:val="en-IE"/>
        </w:rPr>
      </w:pPr>
      <w:r w:rsidRPr="0054553F">
        <w:rPr>
          <w:rFonts w:cstheme="minorHAnsi"/>
          <w:b/>
          <w:bCs/>
          <w:color w:val="0D0D0D" w:themeColor="text1" w:themeTint="F2"/>
          <w:lang w:val="fr-BE"/>
        </w:rPr>
        <w:t>Budget</w:t>
      </w:r>
      <w:r w:rsidRPr="0054553F">
        <w:rPr>
          <w:rFonts w:cstheme="minorHAnsi"/>
          <w:color w:val="0D0D0D" w:themeColor="text1" w:themeTint="F2"/>
          <w:lang w:val="fr-BE"/>
        </w:rPr>
        <w:t xml:space="preserve"> (EU </w:t>
      </w:r>
      <w:proofErr w:type="spellStart"/>
      <w:r w:rsidRPr="0054553F">
        <w:rPr>
          <w:rFonts w:cstheme="minorHAnsi"/>
          <w:color w:val="0D0D0D" w:themeColor="text1" w:themeTint="F2"/>
          <w:lang w:val="fr-BE"/>
        </w:rPr>
        <w:t>Africa</w:t>
      </w:r>
      <w:proofErr w:type="spellEnd"/>
      <w:r w:rsidRPr="0054553F">
        <w:rPr>
          <w:rFonts w:cstheme="minorHAnsi"/>
          <w:color w:val="0D0D0D" w:themeColor="text1" w:themeTint="F2"/>
          <w:lang w:val="fr-BE"/>
        </w:rPr>
        <w:t xml:space="preserve"> </w:t>
      </w:r>
      <w:proofErr w:type="spellStart"/>
      <w:r w:rsidRPr="0054553F">
        <w:rPr>
          <w:rFonts w:cstheme="minorHAnsi"/>
          <w:color w:val="0D0D0D" w:themeColor="text1" w:themeTint="F2"/>
          <w:lang w:val="fr-BE"/>
        </w:rPr>
        <w:t>regional</w:t>
      </w:r>
      <w:proofErr w:type="spellEnd"/>
      <w:r w:rsidRPr="0054553F">
        <w:rPr>
          <w:rFonts w:cstheme="minorHAnsi"/>
          <w:color w:val="0D0D0D" w:themeColor="text1" w:themeTint="F2"/>
          <w:lang w:val="fr-BE"/>
        </w:rPr>
        <w:t xml:space="preserve"> programme) : €100 euros + EU Member States contribution. </w:t>
      </w:r>
      <w:r w:rsidRPr="00FB5440">
        <w:rPr>
          <w:rFonts w:cstheme="minorHAnsi"/>
          <w:color w:val="0D0D0D" w:themeColor="text1" w:themeTint="F2"/>
          <w:lang w:val="en-IE"/>
        </w:rPr>
        <w:t>First year of</w:t>
      </w:r>
      <w:r>
        <w:rPr>
          <w:rFonts w:cstheme="minorHAnsi"/>
          <w:color w:val="0D0D0D" w:themeColor="text1" w:themeTint="F2"/>
          <w:lang w:val="en-IE"/>
        </w:rPr>
        <w:t xml:space="preserve"> implementation of programs: 2024, 2025, or 2026</w:t>
      </w:r>
    </w:p>
    <w:p w14:paraId="14252EB9" w14:textId="77777777" w:rsidR="00FB5440" w:rsidRPr="00FB5440" w:rsidRDefault="00FB5440" w:rsidP="0020076A">
      <w:pPr>
        <w:spacing w:before="120" w:after="120"/>
        <w:jc w:val="both"/>
        <w:rPr>
          <w:rFonts w:cstheme="minorHAnsi"/>
          <w:b/>
          <w:bCs/>
          <w:color w:val="0D0D0D" w:themeColor="text1" w:themeTint="F2"/>
          <w:u w:val="single"/>
          <w:lang w:val="en-IE"/>
        </w:rPr>
      </w:pPr>
    </w:p>
    <w:p w14:paraId="456262B6" w14:textId="074EB1B9" w:rsidR="0020076A" w:rsidRPr="0020076A" w:rsidRDefault="0020076A" w:rsidP="0020076A">
      <w:pPr>
        <w:spacing w:before="120" w:after="120"/>
        <w:jc w:val="both"/>
        <w:rPr>
          <w:rFonts w:cstheme="minorHAnsi"/>
          <w:b/>
          <w:bCs/>
          <w:color w:val="0D0D0D" w:themeColor="text1" w:themeTint="F2"/>
          <w:lang w:val="en-IE"/>
        </w:rPr>
      </w:pPr>
      <w:r w:rsidRPr="0020076A">
        <w:rPr>
          <w:rFonts w:cstheme="minorHAnsi"/>
          <w:b/>
          <w:bCs/>
          <w:color w:val="0D0D0D" w:themeColor="text1" w:themeTint="F2"/>
          <w:u w:val="single"/>
          <w:lang w:val="en-IE"/>
        </w:rPr>
        <w:t>Component 2</w:t>
      </w:r>
      <w:r w:rsidRPr="0020076A">
        <w:rPr>
          <w:rFonts w:cstheme="minorHAnsi"/>
          <w:b/>
          <w:bCs/>
          <w:color w:val="0D0D0D" w:themeColor="text1" w:themeTint="F2"/>
          <w:lang w:val="en-IE"/>
        </w:rPr>
        <w:t xml:space="preserve">: Regional Multi-actor Research </w:t>
      </w:r>
      <w:proofErr w:type="gramStart"/>
      <w:r w:rsidRPr="0020076A">
        <w:rPr>
          <w:rFonts w:cstheme="minorHAnsi"/>
          <w:b/>
          <w:bCs/>
          <w:color w:val="0D0D0D" w:themeColor="text1" w:themeTint="F2"/>
          <w:lang w:val="en-IE"/>
        </w:rPr>
        <w:t>Network  in</w:t>
      </w:r>
      <w:proofErr w:type="gramEnd"/>
      <w:r w:rsidRPr="0020076A">
        <w:rPr>
          <w:rFonts w:cstheme="minorHAnsi"/>
          <w:b/>
          <w:bCs/>
          <w:color w:val="0D0D0D" w:themeColor="text1" w:themeTint="F2"/>
          <w:lang w:val="en-IE"/>
        </w:rPr>
        <w:t xml:space="preserve"> Agroecology in Sub-Saharan Africa</w:t>
      </w:r>
      <w:r w:rsidR="00847C46">
        <w:rPr>
          <w:rFonts w:cstheme="minorHAnsi"/>
          <w:b/>
          <w:bCs/>
          <w:color w:val="0D0D0D" w:themeColor="text1" w:themeTint="F2"/>
          <w:lang w:val="en-IE"/>
        </w:rPr>
        <w:t xml:space="preserve"> (RMRN-agroecology)</w:t>
      </w:r>
    </w:p>
    <w:p w14:paraId="5006FE2B" w14:textId="7E35F2F4" w:rsidR="005B0728" w:rsidRDefault="005B0728" w:rsidP="005B0728">
      <w:pPr>
        <w:jc w:val="both"/>
        <w:rPr>
          <w:rFonts w:cstheme="minorHAnsi"/>
        </w:rPr>
      </w:pPr>
      <w:r w:rsidRPr="0015395F">
        <w:rPr>
          <w:rFonts w:cstheme="minorHAnsi"/>
          <w:color w:val="0D0D0D" w:themeColor="text1" w:themeTint="F2"/>
        </w:rPr>
        <w:t xml:space="preserve">The </w:t>
      </w:r>
      <w:r>
        <w:rPr>
          <w:rFonts w:cstheme="minorHAnsi"/>
          <w:color w:val="0D0D0D" w:themeColor="text1" w:themeTint="F2"/>
        </w:rPr>
        <w:t xml:space="preserve">RMRN </w:t>
      </w:r>
      <w:r w:rsidR="00016FB1">
        <w:rPr>
          <w:rFonts w:cstheme="minorHAnsi"/>
          <w:color w:val="0D0D0D" w:themeColor="text1" w:themeTint="F2"/>
        </w:rPr>
        <w:t xml:space="preserve">is </w:t>
      </w:r>
      <w:r w:rsidRPr="0015395F">
        <w:rPr>
          <w:rFonts w:cstheme="minorHAnsi"/>
          <w:color w:val="0D0D0D" w:themeColor="text1" w:themeTint="F2"/>
        </w:rPr>
        <w:t xml:space="preserve">a group of </w:t>
      </w:r>
      <w:r>
        <w:rPr>
          <w:rFonts w:cstheme="minorHAnsi"/>
          <w:color w:val="0D0D0D" w:themeColor="text1" w:themeTint="F2"/>
        </w:rPr>
        <w:t xml:space="preserve">R&amp;I </w:t>
      </w:r>
      <w:r w:rsidRPr="0015395F">
        <w:rPr>
          <w:rFonts w:cstheme="minorHAnsi"/>
          <w:color w:val="0D0D0D" w:themeColor="text1" w:themeTint="F2"/>
        </w:rPr>
        <w:t xml:space="preserve">organisations providing leadership in scientific processes and knowledge creation focusing on agroecological and sustainable agri-food systems. </w:t>
      </w:r>
      <w:r>
        <w:rPr>
          <w:rFonts w:cstheme="minorHAnsi"/>
          <w:color w:val="0D0D0D" w:themeColor="text1" w:themeTint="F2"/>
        </w:rPr>
        <w:t xml:space="preserve">RMRN are led by </w:t>
      </w:r>
      <w:r w:rsidRPr="0015395F">
        <w:rPr>
          <w:rFonts w:cstheme="minorHAnsi"/>
          <w:color w:val="0D0D0D" w:themeColor="text1" w:themeTint="F2"/>
        </w:rPr>
        <w:t>Africa</w:t>
      </w:r>
      <w:r>
        <w:rPr>
          <w:rFonts w:cstheme="minorHAnsi"/>
          <w:color w:val="0D0D0D" w:themeColor="text1" w:themeTint="F2"/>
        </w:rPr>
        <w:t xml:space="preserve">n </w:t>
      </w:r>
      <w:r w:rsidRPr="0015395F">
        <w:rPr>
          <w:rFonts w:cstheme="minorHAnsi"/>
          <w:color w:val="0D0D0D" w:themeColor="text1" w:themeTint="F2"/>
        </w:rPr>
        <w:t xml:space="preserve">research organisations and universities. </w:t>
      </w:r>
      <w:r>
        <w:rPr>
          <w:rFonts w:cstheme="minorHAnsi"/>
          <w:color w:val="0D0D0D" w:themeColor="text1" w:themeTint="F2"/>
        </w:rPr>
        <w:t>RMRN</w:t>
      </w:r>
      <w:r w:rsidRPr="0015395F">
        <w:rPr>
          <w:rFonts w:cstheme="minorHAnsi"/>
          <w:color w:val="0D0D0D" w:themeColor="text1" w:themeTint="F2"/>
        </w:rPr>
        <w:t xml:space="preserve"> include </w:t>
      </w:r>
      <w:r>
        <w:rPr>
          <w:rFonts w:cstheme="minorHAnsi"/>
          <w:color w:val="0D0D0D" w:themeColor="text1" w:themeTint="F2"/>
        </w:rPr>
        <w:t xml:space="preserve">concrete </w:t>
      </w:r>
      <w:r w:rsidRPr="0015395F">
        <w:rPr>
          <w:rFonts w:cstheme="minorHAnsi"/>
        </w:rPr>
        <w:t>partnerships with (</w:t>
      </w:r>
      <w:proofErr w:type="spellStart"/>
      <w:r w:rsidRPr="0015395F">
        <w:rPr>
          <w:rFonts w:cstheme="minorHAnsi"/>
        </w:rPr>
        <w:t>i</w:t>
      </w:r>
      <w:proofErr w:type="spellEnd"/>
      <w:r w:rsidRPr="0015395F">
        <w:rPr>
          <w:rFonts w:cstheme="minorHAnsi"/>
        </w:rPr>
        <w:t>) international organisations and/or European research organisations/universities and (ii) non-research organisations (NGO, private sector, F</w:t>
      </w:r>
      <w:r>
        <w:rPr>
          <w:rFonts w:cstheme="minorHAnsi"/>
        </w:rPr>
        <w:t xml:space="preserve">armer </w:t>
      </w:r>
      <w:r w:rsidRPr="0015395F">
        <w:rPr>
          <w:rFonts w:cstheme="minorHAnsi"/>
        </w:rPr>
        <w:t>O</w:t>
      </w:r>
      <w:r>
        <w:rPr>
          <w:rFonts w:cstheme="minorHAnsi"/>
        </w:rPr>
        <w:t>rganisation</w:t>
      </w:r>
      <w:r w:rsidRPr="0015395F">
        <w:rPr>
          <w:rFonts w:cstheme="minorHAnsi"/>
        </w:rPr>
        <w:t>s, public entities)</w:t>
      </w:r>
      <w:r>
        <w:rPr>
          <w:rFonts w:cstheme="minorHAnsi"/>
        </w:rPr>
        <w:t>.</w:t>
      </w:r>
      <w:r w:rsidRPr="001D428D">
        <w:rPr>
          <w:rFonts w:cstheme="minorHAnsi"/>
          <w:color w:val="0D0D0D" w:themeColor="text1" w:themeTint="F2"/>
        </w:rPr>
        <w:t xml:space="preserve"> </w:t>
      </w:r>
      <w:r w:rsidRPr="0015395F">
        <w:rPr>
          <w:rFonts w:cstheme="minorHAnsi"/>
          <w:color w:val="0D0D0D" w:themeColor="text1" w:themeTint="F2"/>
        </w:rPr>
        <w:t>The group demonstrate scientific expertise with a regional coverage</w:t>
      </w:r>
      <w:r>
        <w:rPr>
          <w:rFonts w:cstheme="minorHAnsi"/>
          <w:color w:val="0D0D0D" w:themeColor="text1" w:themeTint="F2"/>
        </w:rPr>
        <w:t xml:space="preserve"> and </w:t>
      </w:r>
      <w:r w:rsidRPr="0015395F">
        <w:rPr>
          <w:rFonts w:cstheme="minorHAnsi"/>
          <w:color w:val="0D0D0D" w:themeColor="text1" w:themeTint="F2"/>
        </w:rPr>
        <w:t xml:space="preserve">mandate (East Africa, West Africa, </w:t>
      </w:r>
      <w:r>
        <w:rPr>
          <w:rFonts w:cstheme="minorHAnsi"/>
          <w:color w:val="0D0D0D" w:themeColor="text1" w:themeTint="F2"/>
        </w:rPr>
        <w:t>Southern Africa</w:t>
      </w:r>
      <w:r w:rsidRPr="0015395F">
        <w:rPr>
          <w:rFonts w:cstheme="minorHAnsi"/>
          <w:color w:val="0D0D0D" w:themeColor="text1" w:themeTint="F2"/>
        </w:rPr>
        <w:t>).</w:t>
      </w:r>
    </w:p>
    <w:p w14:paraId="22D9CBE6" w14:textId="2E8E18FC" w:rsidR="00016FB1" w:rsidRDefault="00016FB1" w:rsidP="005B0728">
      <w:pPr>
        <w:jc w:val="both"/>
        <w:rPr>
          <w:rFonts w:cstheme="minorHAnsi"/>
        </w:rPr>
      </w:pPr>
      <w:r>
        <w:rPr>
          <w:rFonts w:cstheme="minorHAnsi"/>
        </w:rPr>
        <w:t xml:space="preserve">The RMRN address specific topics related to agroecology, strengthen research networks on agroecology, carry-out </w:t>
      </w:r>
      <w:r w:rsidR="0075628B">
        <w:rPr>
          <w:rFonts w:cstheme="minorHAnsi"/>
        </w:rPr>
        <w:t>some research activities, foster high-education curricula, and inform policies.</w:t>
      </w:r>
    </w:p>
    <w:p w14:paraId="0C176408" w14:textId="04A0AB57" w:rsidR="005B0728" w:rsidRDefault="005B0728" w:rsidP="005B0728">
      <w:pPr>
        <w:jc w:val="both"/>
        <w:rPr>
          <w:rFonts w:cstheme="minorHAnsi"/>
        </w:rPr>
      </w:pPr>
      <w:r>
        <w:rPr>
          <w:rFonts w:cstheme="minorHAnsi"/>
        </w:rPr>
        <w:t xml:space="preserve">There </w:t>
      </w:r>
      <w:r w:rsidR="00016FB1">
        <w:rPr>
          <w:rFonts w:cstheme="minorHAnsi"/>
        </w:rPr>
        <w:t xml:space="preserve">is </w:t>
      </w:r>
      <w:r>
        <w:rPr>
          <w:rFonts w:cstheme="minorHAnsi"/>
        </w:rPr>
        <w:t xml:space="preserve">one RMRN per region </w:t>
      </w:r>
      <w:r w:rsidR="00016FB1">
        <w:rPr>
          <w:rFonts w:cstheme="minorHAnsi"/>
        </w:rPr>
        <w:t xml:space="preserve">(West, East, Southern) </w:t>
      </w:r>
      <w:r>
        <w:rPr>
          <w:rFonts w:cstheme="minorHAnsi"/>
        </w:rPr>
        <w:t xml:space="preserve">involving organisations from different African countries from the specific region. </w:t>
      </w:r>
    </w:p>
    <w:p w14:paraId="533CF5C9" w14:textId="466506DF" w:rsidR="005B0728" w:rsidRDefault="005B0728" w:rsidP="00016FB1">
      <w:pPr>
        <w:spacing w:before="120" w:after="120"/>
        <w:jc w:val="both"/>
        <w:rPr>
          <w:rFonts w:cstheme="minorHAnsi"/>
        </w:rPr>
      </w:pPr>
      <w:r>
        <w:rPr>
          <w:rFonts w:cstheme="minorHAnsi"/>
        </w:rPr>
        <w:t>The RMRN</w:t>
      </w:r>
      <w:r w:rsidRPr="00263495">
        <w:rPr>
          <w:rFonts w:cstheme="minorHAnsi"/>
        </w:rPr>
        <w:t xml:space="preserve"> </w:t>
      </w:r>
      <w:r w:rsidR="00016FB1">
        <w:rPr>
          <w:rFonts w:cstheme="minorHAnsi"/>
        </w:rPr>
        <w:t xml:space="preserve">are </w:t>
      </w:r>
      <w:r>
        <w:rPr>
          <w:rFonts w:cstheme="minorHAnsi"/>
        </w:rPr>
        <w:t xml:space="preserve">identified based on a call for Expressions of Interest launched and managed by </w:t>
      </w:r>
      <w:r w:rsidR="00016FB1">
        <w:rPr>
          <w:rFonts w:cstheme="minorHAnsi"/>
        </w:rPr>
        <w:t>S</w:t>
      </w:r>
      <w:r w:rsidR="00861DB4">
        <w:rPr>
          <w:rFonts w:cstheme="minorHAnsi"/>
        </w:rPr>
        <w:t>ub Regional Organisations (SRO) which are fora of National Agricultural Research Systems</w:t>
      </w:r>
      <w:r w:rsidR="00861DB4">
        <w:rPr>
          <w:rStyle w:val="FootnoteReference"/>
          <w:rFonts w:cstheme="minorHAnsi"/>
        </w:rPr>
        <w:footnoteReference w:id="4"/>
      </w:r>
      <w:r w:rsidR="00861DB4">
        <w:rPr>
          <w:rFonts w:cstheme="minorHAnsi"/>
        </w:rPr>
        <w:t>.</w:t>
      </w:r>
      <w:r w:rsidR="00016FB1">
        <w:rPr>
          <w:rFonts w:cstheme="minorHAnsi"/>
        </w:rPr>
        <w:t xml:space="preserve">  </w:t>
      </w:r>
      <w:r>
        <w:rPr>
          <w:rFonts w:cstheme="minorHAnsi"/>
        </w:rPr>
        <w:t>SRO</w:t>
      </w:r>
      <w:r w:rsidR="00861DB4">
        <w:rPr>
          <w:rFonts w:cstheme="minorHAnsi"/>
        </w:rPr>
        <w:t>s</w:t>
      </w:r>
      <w:r>
        <w:rPr>
          <w:rFonts w:cstheme="minorHAnsi"/>
        </w:rPr>
        <w:t xml:space="preserve"> </w:t>
      </w:r>
      <w:r w:rsidR="00016FB1">
        <w:rPr>
          <w:rFonts w:cstheme="minorHAnsi"/>
        </w:rPr>
        <w:t xml:space="preserve">are </w:t>
      </w:r>
      <w:r>
        <w:rPr>
          <w:rFonts w:cstheme="minorHAnsi"/>
        </w:rPr>
        <w:t>not part of the RMRN</w:t>
      </w:r>
      <w:r w:rsidR="00016FB1">
        <w:rPr>
          <w:rFonts w:cstheme="minorHAnsi"/>
        </w:rPr>
        <w:t>. However, t</w:t>
      </w:r>
      <w:r>
        <w:rPr>
          <w:rFonts w:cstheme="minorHAnsi"/>
        </w:rPr>
        <w:t>he</w:t>
      </w:r>
      <w:r w:rsidR="00861DB4">
        <w:rPr>
          <w:rFonts w:cstheme="minorHAnsi"/>
        </w:rPr>
        <w:t xml:space="preserve">y </w:t>
      </w:r>
      <w:r>
        <w:rPr>
          <w:rFonts w:cstheme="minorHAnsi"/>
        </w:rPr>
        <w:t xml:space="preserve">provide guidance and support to the RMRN members, facilitate communication, supervise the management of resources, and link the RMRN with Regional </w:t>
      </w:r>
      <w:r>
        <w:rPr>
          <w:rFonts w:cstheme="minorHAnsi"/>
        </w:rPr>
        <w:lastRenderedPageBreak/>
        <w:t xml:space="preserve">economic Communities policies and priorities. There </w:t>
      </w:r>
      <w:r w:rsidR="00016FB1">
        <w:rPr>
          <w:rFonts w:cstheme="minorHAnsi"/>
        </w:rPr>
        <w:t xml:space="preserve">is </w:t>
      </w:r>
      <w:r>
        <w:rPr>
          <w:rFonts w:cstheme="minorHAnsi"/>
        </w:rPr>
        <w:t xml:space="preserve">a memorandum of understanding between the SRO and the members of the RMRN. There </w:t>
      </w:r>
      <w:r w:rsidR="00016FB1">
        <w:rPr>
          <w:rFonts w:cstheme="minorHAnsi"/>
        </w:rPr>
        <w:t xml:space="preserve">is </w:t>
      </w:r>
      <w:r>
        <w:rPr>
          <w:rFonts w:cstheme="minorHAnsi"/>
        </w:rPr>
        <w:t>a contract between one EU delegation and the SRO including the selected RMRN.</w:t>
      </w:r>
    </w:p>
    <w:p w14:paraId="46AB32AC" w14:textId="0526BCFB" w:rsidR="00066AD9" w:rsidRDefault="00066AD9" w:rsidP="00016FB1">
      <w:pPr>
        <w:spacing w:before="120" w:after="120"/>
        <w:jc w:val="both"/>
        <w:rPr>
          <w:rFonts w:cstheme="minorHAnsi"/>
        </w:rPr>
      </w:pPr>
      <w:r>
        <w:rPr>
          <w:rFonts w:cstheme="minorHAnsi"/>
        </w:rPr>
        <w:t xml:space="preserve">The RMRN </w:t>
      </w:r>
      <w:r w:rsidR="00861DB4">
        <w:rPr>
          <w:rFonts w:cstheme="minorHAnsi"/>
        </w:rPr>
        <w:t xml:space="preserve">and the relevant SROs </w:t>
      </w:r>
      <w:r>
        <w:rPr>
          <w:rFonts w:cstheme="minorHAnsi"/>
        </w:rPr>
        <w:t xml:space="preserve">are supported by FARA and RUFORUM (exchange of knowledge and experiences between regions, monitoring). </w:t>
      </w:r>
      <w:r w:rsidR="00861DB4">
        <w:rPr>
          <w:rFonts w:cstheme="minorHAnsi"/>
        </w:rPr>
        <w:t>The European Commission Joint Research Centre (</w:t>
      </w:r>
      <w:r>
        <w:rPr>
          <w:rFonts w:cstheme="minorHAnsi"/>
        </w:rPr>
        <w:t>JRC</w:t>
      </w:r>
      <w:r w:rsidR="00861DB4">
        <w:rPr>
          <w:rFonts w:cstheme="minorHAnsi"/>
        </w:rPr>
        <w:t>)</w:t>
      </w:r>
      <w:r>
        <w:rPr>
          <w:rFonts w:cstheme="minorHAnsi"/>
        </w:rPr>
        <w:t xml:space="preserve"> provides technical support to FARA and RUFORUM.</w:t>
      </w:r>
    </w:p>
    <w:p w14:paraId="64AE0D43" w14:textId="1A9797D2" w:rsidR="005B0728" w:rsidRDefault="0075628B" w:rsidP="005B0728">
      <w:pPr>
        <w:jc w:val="both"/>
        <w:rPr>
          <w:rFonts w:cstheme="minorHAnsi"/>
          <w:lang w:val="en-IE"/>
        </w:rPr>
      </w:pPr>
      <w:r>
        <w:rPr>
          <w:rFonts w:cstheme="minorHAnsi"/>
          <w:b/>
          <w:bCs/>
          <w:lang w:val="en-IE"/>
        </w:rPr>
        <w:t xml:space="preserve">Budget </w:t>
      </w:r>
      <w:r w:rsidRPr="0075628B">
        <w:rPr>
          <w:rFonts w:cstheme="minorHAnsi"/>
          <w:lang w:val="en-IE"/>
        </w:rPr>
        <w:t>(EU Africa regional programme</w:t>
      </w:r>
      <w:proofErr w:type="gramStart"/>
      <w:r w:rsidRPr="0075628B">
        <w:rPr>
          <w:rFonts w:cstheme="minorHAnsi"/>
          <w:lang w:val="en-IE"/>
        </w:rPr>
        <w:t>)</w:t>
      </w:r>
      <w:r>
        <w:rPr>
          <w:rFonts w:cstheme="minorHAnsi"/>
          <w:b/>
          <w:bCs/>
          <w:lang w:val="en-IE"/>
        </w:rPr>
        <w:t xml:space="preserve"> :</w:t>
      </w:r>
      <w:proofErr w:type="gramEnd"/>
      <w:r>
        <w:rPr>
          <w:rFonts w:cstheme="minorHAnsi"/>
          <w:b/>
          <w:bCs/>
          <w:lang w:val="en-IE"/>
        </w:rPr>
        <w:t xml:space="preserve"> </w:t>
      </w:r>
      <w:r w:rsidRPr="0075628B">
        <w:rPr>
          <w:rFonts w:cstheme="minorHAnsi"/>
          <w:lang w:val="en-IE"/>
        </w:rPr>
        <w:t>about 4.5M€ per region including RMRN and support to SRO</w:t>
      </w:r>
    </w:p>
    <w:p w14:paraId="7F5AB894" w14:textId="77777777" w:rsidR="004C0E7D" w:rsidRPr="0075628B" w:rsidRDefault="004C0E7D" w:rsidP="005B0728">
      <w:pPr>
        <w:jc w:val="both"/>
        <w:rPr>
          <w:rFonts w:cstheme="minorHAnsi"/>
          <w:lang w:val="en-IE"/>
        </w:rPr>
      </w:pPr>
    </w:p>
    <w:p w14:paraId="09AB39E9" w14:textId="62DC144B" w:rsidR="0075628B" w:rsidRDefault="00861DB4" w:rsidP="0075628B">
      <w:pPr>
        <w:pStyle w:val="ListParagraph"/>
        <w:numPr>
          <w:ilvl w:val="0"/>
          <w:numId w:val="8"/>
        </w:numPr>
        <w:jc w:val="both"/>
        <w:rPr>
          <w:rFonts w:cstheme="minorHAnsi"/>
          <w:b/>
          <w:bCs/>
        </w:rPr>
      </w:pPr>
      <w:proofErr w:type="gramStart"/>
      <w:r>
        <w:rPr>
          <w:rFonts w:cstheme="minorHAnsi"/>
          <w:b/>
          <w:bCs/>
        </w:rPr>
        <w:t>Over all</w:t>
      </w:r>
      <w:proofErr w:type="gramEnd"/>
      <w:r>
        <w:rPr>
          <w:rFonts w:cstheme="minorHAnsi"/>
          <w:b/>
          <w:bCs/>
        </w:rPr>
        <w:t xml:space="preserve"> g</w:t>
      </w:r>
      <w:r w:rsidR="0075628B" w:rsidRPr="0075628B">
        <w:rPr>
          <w:rFonts w:cstheme="minorHAnsi"/>
          <w:b/>
          <w:bCs/>
        </w:rPr>
        <w:t>overnance</w:t>
      </w:r>
    </w:p>
    <w:p w14:paraId="196D47CD" w14:textId="77777777" w:rsidR="004C0E7D" w:rsidRDefault="004C0E7D" w:rsidP="0075628B">
      <w:pPr>
        <w:jc w:val="both"/>
        <w:rPr>
          <w:rFonts w:cstheme="minorHAnsi"/>
        </w:rPr>
      </w:pPr>
    </w:p>
    <w:p w14:paraId="35EFF3A5" w14:textId="0ED8421F" w:rsidR="0075628B" w:rsidRPr="004C0E7D" w:rsidRDefault="00861DB4" w:rsidP="0075628B">
      <w:pPr>
        <w:jc w:val="both"/>
        <w:rPr>
          <w:rFonts w:cstheme="minorHAnsi"/>
        </w:rPr>
      </w:pPr>
      <w:r w:rsidRPr="004C0E7D">
        <w:rPr>
          <w:rFonts w:cstheme="minorHAnsi"/>
        </w:rPr>
        <w:t xml:space="preserve">Several mechanisms are put in place to </w:t>
      </w:r>
      <w:r w:rsidR="004C0E7D" w:rsidRPr="004C0E7D">
        <w:rPr>
          <w:rFonts w:cstheme="minorHAnsi"/>
        </w:rPr>
        <w:t xml:space="preserve">monitor this new phase of </w:t>
      </w:r>
      <w:proofErr w:type="spellStart"/>
      <w:proofErr w:type="gramStart"/>
      <w:r w:rsidR="004C0E7D" w:rsidRPr="004C0E7D">
        <w:rPr>
          <w:rFonts w:cstheme="minorHAnsi"/>
        </w:rPr>
        <w:t>DeSIRA</w:t>
      </w:r>
      <w:proofErr w:type="spellEnd"/>
      <w:proofErr w:type="gramEnd"/>
    </w:p>
    <w:p w14:paraId="20D9CC73" w14:textId="0D53F00F" w:rsidR="0075628B" w:rsidRPr="0075628B" w:rsidRDefault="0075628B" w:rsidP="0075628B">
      <w:pPr>
        <w:pStyle w:val="ListParagraph"/>
        <w:numPr>
          <w:ilvl w:val="0"/>
          <w:numId w:val="20"/>
        </w:numPr>
        <w:jc w:val="both"/>
        <w:rPr>
          <w:rFonts w:cstheme="minorHAnsi"/>
        </w:rPr>
      </w:pPr>
      <w:r w:rsidRPr="0075628B">
        <w:rPr>
          <w:rFonts w:cstheme="minorHAnsi"/>
        </w:rPr>
        <w:t xml:space="preserve">Advisory committee composed of partners </w:t>
      </w:r>
      <w:r w:rsidR="004C0E7D">
        <w:rPr>
          <w:rFonts w:cstheme="minorHAnsi"/>
        </w:rPr>
        <w:t xml:space="preserve">meeting </w:t>
      </w:r>
      <w:r w:rsidRPr="0075628B">
        <w:rPr>
          <w:rFonts w:cstheme="minorHAnsi"/>
        </w:rPr>
        <w:t>twice a year</w:t>
      </w:r>
      <w:r w:rsidR="004C0E7D">
        <w:rPr>
          <w:rFonts w:cstheme="minorHAnsi"/>
        </w:rPr>
        <w:t xml:space="preserve"> and</w:t>
      </w:r>
      <w:r w:rsidRPr="0075628B">
        <w:rPr>
          <w:rFonts w:cstheme="minorHAnsi"/>
        </w:rPr>
        <w:t xml:space="preserve"> providing feed-</w:t>
      </w:r>
      <w:proofErr w:type="gramStart"/>
      <w:r w:rsidRPr="0075628B">
        <w:rPr>
          <w:rFonts w:cstheme="minorHAnsi"/>
        </w:rPr>
        <w:t>backs</w:t>
      </w:r>
      <w:proofErr w:type="gramEnd"/>
    </w:p>
    <w:p w14:paraId="612FFA6F" w14:textId="5C5E61E2" w:rsidR="0075628B" w:rsidRPr="0075628B" w:rsidRDefault="0075628B" w:rsidP="0075628B">
      <w:pPr>
        <w:pStyle w:val="ListParagraph"/>
        <w:numPr>
          <w:ilvl w:val="0"/>
          <w:numId w:val="20"/>
        </w:numPr>
        <w:jc w:val="both"/>
        <w:rPr>
          <w:rFonts w:cstheme="minorHAnsi"/>
        </w:rPr>
      </w:pPr>
      <w:proofErr w:type="spellStart"/>
      <w:r w:rsidRPr="0075628B">
        <w:rPr>
          <w:rFonts w:cstheme="minorHAnsi"/>
        </w:rPr>
        <w:t>DeSIRA</w:t>
      </w:r>
      <w:proofErr w:type="spellEnd"/>
      <w:r w:rsidRPr="0075628B">
        <w:rPr>
          <w:rFonts w:cstheme="minorHAnsi"/>
        </w:rPr>
        <w:t xml:space="preserve"> platform with EU member states and IFAD to share information</w:t>
      </w:r>
      <w:r w:rsidR="004C0E7D">
        <w:rPr>
          <w:rFonts w:cstheme="minorHAnsi"/>
        </w:rPr>
        <w:t xml:space="preserve"> and provide recommendations.</w:t>
      </w:r>
    </w:p>
    <w:p w14:paraId="2DBCD130" w14:textId="3EC56D1B" w:rsidR="0075628B" w:rsidRPr="0075628B" w:rsidRDefault="0075628B" w:rsidP="0075628B">
      <w:pPr>
        <w:pStyle w:val="ListParagraph"/>
        <w:numPr>
          <w:ilvl w:val="0"/>
          <w:numId w:val="20"/>
        </w:numPr>
        <w:jc w:val="both"/>
        <w:rPr>
          <w:rFonts w:cstheme="minorHAnsi"/>
        </w:rPr>
      </w:pPr>
      <w:r w:rsidRPr="0075628B">
        <w:rPr>
          <w:rFonts w:cstheme="minorHAnsi"/>
        </w:rPr>
        <w:t>Global Monitoring and evaluation Framework to monitor progresses</w:t>
      </w:r>
      <w:r>
        <w:rPr>
          <w:rFonts w:cstheme="minorHAnsi"/>
        </w:rPr>
        <w:t xml:space="preserve"> (see : </w:t>
      </w:r>
      <w:hyperlink r:id="rId13" w:history="1">
        <w:proofErr w:type="spellStart"/>
        <w:r>
          <w:rPr>
            <w:rStyle w:val="Hyperlink"/>
          </w:rPr>
          <w:t>DeSIRA</w:t>
        </w:r>
        <w:proofErr w:type="spellEnd"/>
        <w:r>
          <w:rPr>
            <w:rStyle w:val="Hyperlink"/>
          </w:rPr>
          <w:t xml:space="preserve"> Global Monitoring and Evaluation Framework | Capacity4dev (europa.eu)</w:t>
        </w:r>
      </w:hyperlink>
    </w:p>
    <w:p w14:paraId="1D9C0D68" w14:textId="77777777" w:rsidR="0075628B" w:rsidRDefault="0075628B">
      <w:pPr>
        <w:rPr>
          <w:rFonts w:cstheme="minorHAnsi"/>
          <w:b/>
          <w:bCs/>
          <w:u w:val="single"/>
          <w:lang w:val="en-IE"/>
        </w:rPr>
      </w:pPr>
      <w:r>
        <w:rPr>
          <w:rFonts w:cstheme="minorHAnsi"/>
          <w:b/>
          <w:bCs/>
          <w:u w:val="single"/>
          <w:lang w:val="en-IE"/>
        </w:rPr>
        <w:br w:type="page"/>
      </w:r>
    </w:p>
    <w:p w14:paraId="04C62D6D" w14:textId="29702407" w:rsidR="00F007EF" w:rsidRPr="00F007EF" w:rsidRDefault="00016FB1" w:rsidP="00BE0A9F">
      <w:pPr>
        <w:spacing w:before="120" w:after="120"/>
        <w:jc w:val="both"/>
        <w:rPr>
          <w:rFonts w:cstheme="minorHAnsi"/>
          <w:u w:val="single"/>
        </w:rPr>
      </w:pPr>
      <w:r w:rsidRPr="00016FB1">
        <w:rPr>
          <w:rFonts w:cstheme="minorHAnsi"/>
          <w:b/>
          <w:bCs/>
          <w:u w:val="single"/>
          <w:lang w:val="en-IE"/>
        </w:rPr>
        <w:lastRenderedPageBreak/>
        <w:t>ANNEX</w:t>
      </w:r>
      <w:r w:rsidR="00BA3D61">
        <w:rPr>
          <w:rFonts w:cstheme="minorHAnsi"/>
          <w:b/>
          <w:bCs/>
          <w:u w:val="single"/>
          <w:lang w:val="en-IE"/>
        </w:rPr>
        <w:t xml:space="preserve"> </w:t>
      </w:r>
      <w:proofErr w:type="gramStart"/>
      <w:r w:rsidR="00BA3D61">
        <w:rPr>
          <w:rFonts w:cstheme="minorHAnsi"/>
          <w:b/>
          <w:bCs/>
          <w:u w:val="single"/>
          <w:lang w:val="en-IE"/>
        </w:rPr>
        <w:t>1 :</w:t>
      </w:r>
      <w:proofErr w:type="gramEnd"/>
      <w:r w:rsidR="00BA3D61">
        <w:rPr>
          <w:rFonts w:cstheme="minorHAnsi"/>
          <w:b/>
          <w:bCs/>
          <w:u w:val="single"/>
          <w:lang w:val="en-IE"/>
        </w:rPr>
        <w:t xml:space="preserve"> </w:t>
      </w:r>
      <w:r w:rsidR="009D4272">
        <w:rPr>
          <w:rFonts w:cstheme="minorHAnsi"/>
          <w:u w:val="single"/>
        </w:rPr>
        <w:t>Proposition of</w:t>
      </w:r>
      <w:r w:rsidR="00A21A75">
        <w:rPr>
          <w:rFonts w:cstheme="minorHAnsi"/>
          <w:u w:val="single"/>
        </w:rPr>
        <w:t xml:space="preserve"> t</w:t>
      </w:r>
      <w:r w:rsidR="00F007EF" w:rsidRPr="00F007EF">
        <w:rPr>
          <w:rFonts w:cstheme="minorHAnsi"/>
          <w:u w:val="single"/>
        </w:rPr>
        <w:t>opics</w:t>
      </w:r>
      <w:r w:rsidR="00C60DAC">
        <w:rPr>
          <w:rFonts w:cstheme="minorHAnsi"/>
          <w:u w:val="single"/>
        </w:rPr>
        <w:t xml:space="preserve"> </w:t>
      </w:r>
      <w:r>
        <w:rPr>
          <w:rFonts w:cstheme="minorHAnsi"/>
          <w:u w:val="single"/>
        </w:rPr>
        <w:t xml:space="preserve">related to agroecology for the two components </w:t>
      </w:r>
      <w:r w:rsidR="00C60DAC">
        <w:rPr>
          <w:rFonts w:cstheme="minorHAnsi"/>
          <w:u w:val="single"/>
        </w:rPr>
        <w:t>(not comprehensive)</w:t>
      </w:r>
    </w:p>
    <w:p w14:paraId="6439B55D" w14:textId="6FD8A37B" w:rsidR="00820871" w:rsidRPr="009D4272" w:rsidRDefault="00820871" w:rsidP="00BE0A9F">
      <w:pPr>
        <w:pStyle w:val="ListParagraph"/>
        <w:numPr>
          <w:ilvl w:val="0"/>
          <w:numId w:val="2"/>
        </w:numPr>
        <w:spacing w:before="120" w:after="120"/>
        <w:jc w:val="both"/>
        <w:rPr>
          <w:rFonts w:asciiTheme="minorHAnsi" w:hAnsiTheme="minorHAnsi" w:cstheme="minorHAnsi"/>
          <w:b/>
          <w:bCs/>
        </w:rPr>
      </w:pPr>
      <w:r w:rsidRPr="009D4272">
        <w:rPr>
          <w:rFonts w:asciiTheme="minorHAnsi" w:hAnsiTheme="minorHAnsi" w:cstheme="minorHAnsi"/>
          <w:b/>
          <w:bCs/>
        </w:rPr>
        <w:t>Agrobiodiversity to support agroecological processes</w:t>
      </w:r>
    </w:p>
    <w:p w14:paraId="4EDC4541" w14:textId="484CA17F" w:rsidR="00B85B15" w:rsidRPr="0015395F" w:rsidRDefault="00F5246B" w:rsidP="00BE0A9F">
      <w:pPr>
        <w:pStyle w:val="ListParagraph"/>
        <w:numPr>
          <w:ilvl w:val="1"/>
          <w:numId w:val="2"/>
        </w:numPr>
        <w:spacing w:before="120" w:after="120"/>
        <w:jc w:val="both"/>
        <w:rPr>
          <w:rFonts w:asciiTheme="minorHAnsi" w:hAnsiTheme="minorHAnsi" w:cstheme="minorHAnsi"/>
        </w:rPr>
      </w:pPr>
      <w:r>
        <w:rPr>
          <w:rFonts w:asciiTheme="minorHAnsi" w:hAnsiTheme="minorHAnsi" w:cstheme="minorHAnsi"/>
        </w:rPr>
        <w:t>Agrobiodiversity (</w:t>
      </w:r>
      <w:r w:rsidRPr="0015395F">
        <w:rPr>
          <w:rFonts w:asciiTheme="minorHAnsi" w:hAnsiTheme="minorHAnsi" w:cstheme="minorHAnsi"/>
        </w:rPr>
        <w:t>crops, animals, mycorrhiza/bacteria</w:t>
      </w:r>
      <w:r>
        <w:rPr>
          <w:rFonts w:asciiTheme="minorHAnsi" w:hAnsiTheme="minorHAnsi" w:cstheme="minorHAnsi"/>
        </w:rPr>
        <w:t xml:space="preserve">) is key to support ecological processes </w:t>
      </w:r>
      <w:r w:rsidR="00AB7665">
        <w:rPr>
          <w:rFonts w:asciiTheme="minorHAnsi" w:hAnsiTheme="minorHAnsi" w:cstheme="minorHAnsi"/>
        </w:rPr>
        <w:t>towards</w:t>
      </w:r>
      <w:r>
        <w:rPr>
          <w:rFonts w:asciiTheme="minorHAnsi" w:hAnsiTheme="minorHAnsi" w:cstheme="minorHAnsi"/>
        </w:rPr>
        <w:t xml:space="preserve"> healthy soils, diversified cropping and farming systems for better production and resilience, diversified landscapes to provide eco-systemic services. </w:t>
      </w:r>
      <w:r w:rsidR="00041D42">
        <w:rPr>
          <w:rFonts w:asciiTheme="minorHAnsi" w:hAnsiTheme="minorHAnsi" w:cstheme="minorHAnsi"/>
        </w:rPr>
        <w:t>By addressing technical, economic, social and policy dimensions, s</w:t>
      </w:r>
      <w:r>
        <w:rPr>
          <w:rFonts w:asciiTheme="minorHAnsi" w:hAnsiTheme="minorHAnsi" w:cstheme="minorHAnsi"/>
        </w:rPr>
        <w:t xml:space="preserve">pecific emphasis could be </w:t>
      </w:r>
      <w:r w:rsidR="00090DD3">
        <w:rPr>
          <w:rFonts w:asciiTheme="minorHAnsi" w:hAnsiTheme="minorHAnsi" w:cstheme="minorHAnsi"/>
        </w:rPr>
        <w:t xml:space="preserve">put on </w:t>
      </w:r>
      <w:r w:rsidR="000F7826">
        <w:rPr>
          <w:rFonts w:asciiTheme="minorHAnsi" w:hAnsiTheme="minorHAnsi" w:cstheme="minorHAnsi"/>
        </w:rPr>
        <w:t>(</w:t>
      </w:r>
      <w:proofErr w:type="spellStart"/>
      <w:r w:rsidR="000F7826">
        <w:rPr>
          <w:rFonts w:asciiTheme="minorHAnsi" w:hAnsiTheme="minorHAnsi" w:cstheme="minorHAnsi"/>
        </w:rPr>
        <w:t>i</w:t>
      </w:r>
      <w:proofErr w:type="spellEnd"/>
      <w:r w:rsidR="000F7826">
        <w:rPr>
          <w:rFonts w:asciiTheme="minorHAnsi" w:hAnsiTheme="minorHAnsi" w:cstheme="minorHAnsi"/>
        </w:rPr>
        <w:t xml:space="preserve">) </w:t>
      </w:r>
      <w:r w:rsidR="00090DD3">
        <w:rPr>
          <w:rFonts w:asciiTheme="minorHAnsi" w:hAnsiTheme="minorHAnsi" w:cstheme="minorHAnsi"/>
        </w:rPr>
        <w:t>neglected and under-utilized crops</w:t>
      </w:r>
      <w:r w:rsidR="00D4065A">
        <w:rPr>
          <w:rFonts w:asciiTheme="minorHAnsi" w:hAnsiTheme="minorHAnsi" w:cstheme="minorHAnsi"/>
        </w:rPr>
        <w:t xml:space="preserve"> including evolutionary breeding and seed systems management, </w:t>
      </w:r>
      <w:r w:rsidR="000F7826">
        <w:rPr>
          <w:rFonts w:asciiTheme="minorHAnsi" w:hAnsiTheme="minorHAnsi" w:cstheme="minorHAnsi"/>
        </w:rPr>
        <w:t>(ii) the diversity of animal landraces</w:t>
      </w:r>
      <w:r w:rsidR="00752601">
        <w:rPr>
          <w:rFonts w:asciiTheme="minorHAnsi" w:hAnsiTheme="minorHAnsi" w:cstheme="minorHAnsi"/>
        </w:rPr>
        <w:t xml:space="preserve"> to enhance the resilience of the livestock system and to strengthen mixed-farming systems, (iii) agroforestry </w:t>
      </w:r>
      <w:r w:rsidR="00DA562B">
        <w:rPr>
          <w:rFonts w:asciiTheme="minorHAnsi" w:hAnsiTheme="minorHAnsi" w:cstheme="minorHAnsi"/>
        </w:rPr>
        <w:t xml:space="preserve">(selection and association of trees, interactions with crops) </w:t>
      </w:r>
      <w:r w:rsidR="00752601">
        <w:rPr>
          <w:rFonts w:asciiTheme="minorHAnsi" w:hAnsiTheme="minorHAnsi" w:cstheme="minorHAnsi"/>
        </w:rPr>
        <w:t>with specific challenges depending on the agroecological area (humid, dry, irrigated)</w:t>
      </w:r>
      <w:r w:rsidR="00AB7665">
        <w:rPr>
          <w:rFonts w:asciiTheme="minorHAnsi" w:hAnsiTheme="minorHAnsi" w:cstheme="minorHAnsi"/>
        </w:rPr>
        <w:t>.</w:t>
      </w:r>
    </w:p>
    <w:p w14:paraId="4D0C17C3" w14:textId="4B134434" w:rsidR="00D4065A" w:rsidRPr="009D4272" w:rsidRDefault="00D4065A"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 xml:space="preserve">Soil health </w:t>
      </w:r>
      <w:r w:rsidR="00AB7665" w:rsidRPr="009D4272">
        <w:rPr>
          <w:rFonts w:asciiTheme="minorHAnsi" w:hAnsiTheme="minorHAnsi" w:cstheme="minorHAnsi"/>
          <w:b/>
          <w:bCs/>
          <w:color w:val="0D0D0D" w:themeColor="text1" w:themeTint="F2"/>
        </w:rPr>
        <w:t>t</w:t>
      </w:r>
      <w:r w:rsidRPr="009D4272">
        <w:rPr>
          <w:rFonts w:asciiTheme="minorHAnsi" w:hAnsiTheme="minorHAnsi" w:cstheme="minorHAnsi"/>
          <w:b/>
          <w:bCs/>
          <w:color w:val="0D0D0D" w:themeColor="text1" w:themeTint="F2"/>
        </w:rPr>
        <w:t>o improv</w:t>
      </w:r>
      <w:r w:rsidR="00AB7665" w:rsidRPr="009D4272">
        <w:rPr>
          <w:rFonts w:asciiTheme="minorHAnsi" w:hAnsiTheme="minorHAnsi" w:cstheme="minorHAnsi"/>
          <w:b/>
          <w:bCs/>
          <w:color w:val="0D0D0D" w:themeColor="text1" w:themeTint="F2"/>
        </w:rPr>
        <w:t>e</w:t>
      </w:r>
      <w:r w:rsidRPr="009D4272">
        <w:rPr>
          <w:rFonts w:asciiTheme="minorHAnsi" w:hAnsiTheme="minorHAnsi" w:cstheme="minorHAnsi"/>
          <w:b/>
          <w:bCs/>
          <w:color w:val="0D0D0D" w:themeColor="text1" w:themeTint="F2"/>
        </w:rPr>
        <w:t xml:space="preserve"> </w:t>
      </w:r>
      <w:r w:rsidR="00291251" w:rsidRPr="009D4272">
        <w:rPr>
          <w:rFonts w:asciiTheme="minorHAnsi" w:hAnsiTheme="minorHAnsi" w:cstheme="minorHAnsi"/>
          <w:b/>
          <w:bCs/>
          <w:color w:val="0D0D0D" w:themeColor="text1" w:themeTint="F2"/>
        </w:rPr>
        <w:t xml:space="preserve">production and eco-systemic </w:t>
      </w:r>
      <w:proofErr w:type="gramStart"/>
      <w:r w:rsidR="00291251" w:rsidRPr="009D4272">
        <w:rPr>
          <w:rFonts w:asciiTheme="minorHAnsi" w:hAnsiTheme="minorHAnsi" w:cstheme="minorHAnsi"/>
          <w:b/>
          <w:bCs/>
          <w:color w:val="0D0D0D" w:themeColor="text1" w:themeTint="F2"/>
        </w:rPr>
        <w:t>services</w:t>
      </w:r>
      <w:proofErr w:type="gramEnd"/>
      <w:r w:rsidRPr="009D4272">
        <w:rPr>
          <w:rFonts w:asciiTheme="minorHAnsi" w:hAnsiTheme="minorHAnsi" w:cstheme="minorHAnsi"/>
          <w:b/>
          <w:bCs/>
          <w:color w:val="0D0D0D" w:themeColor="text1" w:themeTint="F2"/>
        </w:rPr>
        <w:t xml:space="preserve"> </w:t>
      </w:r>
    </w:p>
    <w:p w14:paraId="7A82D37E" w14:textId="79D05BE7" w:rsidR="000F7826" w:rsidRDefault="000F7826"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Soils are the basis of food and non-food production and generate eco-system services (water cycle, carbon storage, etc.). There is a need </w:t>
      </w:r>
      <w:r>
        <w:rPr>
          <w:rFonts w:asciiTheme="minorHAnsi" w:hAnsiTheme="minorHAnsi" w:cstheme="minorHAnsi"/>
        </w:rPr>
        <w:t xml:space="preserve">to address knowledge gaps regarding </w:t>
      </w:r>
      <w:r w:rsidR="00713222">
        <w:rPr>
          <w:rFonts w:asciiTheme="minorHAnsi" w:hAnsiTheme="minorHAnsi" w:cstheme="minorHAnsi"/>
        </w:rPr>
        <w:t>eco</w:t>
      </w:r>
      <w:r>
        <w:rPr>
          <w:rFonts w:asciiTheme="minorHAnsi" w:hAnsiTheme="minorHAnsi" w:cstheme="minorHAnsi"/>
        </w:rPr>
        <w:t xml:space="preserve">logical processes and the development of solutions based on </w:t>
      </w:r>
      <w:r w:rsidR="00713222">
        <w:rPr>
          <w:rFonts w:asciiTheme="minorHAnsi" w:hAnsiTheme="minorHAnsi" w:cstheme="minorHAnsi"/>
        </w:rPr>
        <w:t>ecol</w:t>
      </w:r>
      <w:r>
        <w:rPr>
          <w:rFonts w:asciiTheme="minorHAnsi" w:hAnsiTheme="minorHAnsi" w:cstheme="minorHAnsi"/>
        </w:rPr>
        <w:t>ogical processes (</w:t>
      </w:r>
      <w:r w:rsidR="00DA562B">
        <w:rPr>
          <w:rFonts w:asciiTheme="minorHAnsi" w:hAnsiTheme="minorHAnsi" w:cstheme="minorHAnsi"/>
        </w:rPr>
        <w:t xml:space="preserve">including </w:t>
      </w:r>
      <w:r>
        <w:rPr>
          <w:rFonts w:asciiTheme="minorHAnsi" w:hAnsiTheme="minorHAnsi" w:cstheme="minorHAnsi"/>
        </w:rPr>
        <w:t>bio- and organic fertilisers</w:t>
      </w:r>
      <w:r w:rsidR="00DA562B">
        <w:rPr>
          <w:rFonts w:asciiTheme="minorHAnsi" w:hAnsiTheme="minorHAnsi" w:cstheme="minorHAnsi"/>
        </w:rPr>
        <w:t>)</w:t>
      </w:r>
      <w:r>
        <w:rPr>
          <w:rFonts w:asciiTheme="minorHAnsi" w:hAnsiTheme="minorHAnsi" w:cstheme="minorHAnsi"/>
        </w:rPr>
        <w:t xml:space="preserve">. </w:t>
      </w:r>
      <w:r w:rsidR="00DA562B">
        <w:rPr>
          <w:rFonts w:asciiTheme="minorHAnsi" w:hAnsiTheme="minorHAnsi" w:cstheme="minorHAnsi"/>
        </w:rPr>
        <w:t>Fo</w:t>
      </w:r>
      <w:r w:rsidR="00166053">
        <w:rPr>
          <w:rFonts w:asciiTheme="minorHAnsi" w:hAnsiTheme="minorHAnsi" w:cstheme="minorHAnsi"/>
        </w:rPr>
        <w:t>r</w:t>
      </w:r>
      <w:r w:rsidR="00DA562B">
        <w:rPr>
          <w:rFonts w:asciiTheme="minorHAnsi" w:hAnsiTheme="minorHAnsi" w:cstheme="minorHAnsi"/>
        </w:rPr>
        <w:t xml:space="preserve"> economic and environmental purposes, practitioners and farmers require support </w:t>
      </w:r>
      <w:r w:rsidR="00DD29D6">
        <w:rPr>
          <w:rFonts w:asciiTheme="minorHAnsi" w:hAnsiTheme="minorHAnsi" w:cstheme="minorHAnsi"/>
        </w:rPr>
        <w:t>(tools</w:t>
      </w:r>
      <w:r w:rsidR="00041D42">
        <w:rPr>
          <w:rFonts w:asciiTheme="minorHAnsi" w:hAnsiTheme="minorHAnsi" w:cstheme="minorHAnsi"/>
        </w:rPr>
        <w:t xml:space="preserve">, </w:t>
      </w:r>
      <w:r w:rsidR="00DD29D6">
        <w:rPr>
          <w:rFonts w:asciiTheme="minorHAnsi" w:hAnsiTheme="minorHAnsi" w:cstheme="minorHAnsi"/>
        </w:rPr>
        <w:t xml:space="preserve">models, advisory services) </w:t>
      </w:r>
      <w:r w:rsidR="00DA562B">
        <w:rPr>
          <w:rFonts w:asciiTheme="minorHAnsi" w:hAnsiTheme="minorHAnsi" w:cstheme="minorHAnsi"/>
        </w:rPr>
        <w:t xml:space="preserve">with an holistic perspective to manage soil health </w:t>
      </w:r>
      <w:r w:rsidR="00041D42">
        <w:rPr>
          <w:rFonts w:asciiTheme="minorHAnsi" w:hAnsiTheme="minorHAnsi" w:cstheme="minorHAnsi"/>
        </w:rPr>
        <w:t xml:space="preserve">including </w:t>
      </w:r>
      <w:r w:rsidR="00DA562B">
        <w:rPr>
          <w:rFonts w:asciiTheme="minorHAnsi" w:hAnsiTheme="minorHAnsi" w:cstheme="minorHAnsi"/>
        </w:rPr>
        <w:t>the cycle of the main nutrients (</w:t>
      </w:r>
      <w:proofErr w:type="gramStart"/>
      <w:r w:rsidR="00DA562B">
        <w:rPr>
          <w:rFonts w:asciiTheme="minorHAnsi" w:hAnsiTheme="minorHAnsi" w:cstheme="minorHAnsi"/>
        </w:rPr>
        <w:t>N,P</w:t>
      </w:r>
      <w:proofErr w:type="gramEnd"/>
      <w:r w:rsidR="00DA562B">
        <w:rPr>
          <w:rFonts w:asciiTheme="minorHAnsi" w:hAnsiTheme="minorHAnsi" w:cstheme="minorHAnsi"/>
        </w:rPr>
        <w:t>, K) with different sources (on and off-farm organic fertiliser, inorganic fertiliser, legumes, agroforestry, etc.)</w:t>
      </w:r>
      <w:r w:rsidR="00041D42">
        <w:rPr>
          <w:rFonts w:asciiTheme="minorHAnsi" w:hAnsiTheme="minorHAnsi" w:cstheme="minorHAnsi"/>
        </w:rPr>
        <w:t xml:space="preserve">. The effective and inclusive management and governance of agricultural and </w:t>
      </w:r>
      <w:proofErr w:type="gramStart"/>
      <w:r w:rsidR="00041D42">
        <w:rPr>
          <w:rFonts w:asciiTheme="minorHAnsi" w:hAnsiTheme="minorHAnsi" w:cstheme="minorHAnsi"/>
        </w:rPr>
        <w:t>pasture land</w:t>
      </w:r>
      <w:proofErr w:type="gramEnd"/>
      <w:r w:rsidR="00041D42">
        <w:rPr>
          <w:rFonts w:asciiTheme="minorHAnsi" w:hAnsiTheme="minorHAnsi" w:cstheme="minorHAnsi"/>
        </w:rPr>
        <w:t xml:space="preserve"> </w:t>
      </w:r>
      <w:r w:rsidR="00AB7665">
        <w:rPr>
          <w:rFonts w:asciiTheme="minorHAnsi" w:hAnsiTheme="minorHAnsi" w:cstheme="minorHAnsi"/>
        </w:rPr>
        <w:t>are</w:t>
      </w:r>
      <w:r w:rsidR="00041D42">
        <w:rPr>
          <w:rFonts w:asciiTheme="minorHAnsi" w:hAnsiTheme="minorHAnsi" w:cstheme="minorHAnsi"/>
        </w:rPr>
        <w:t xml:space="preserve"> key to ensure</w:t>
      </w:r>
      <w:r w:rsidR="00AB7665">
        <w:rPr>
          <w:rFonts w:asciiTheme="minorHAnsi" w:hAnsiTheme="minorHAnsi" w:cstheme="minorHAnsi"/>
        </w:rPr>
        <w:t xml:space="preserve"> that</w:t>
      </w:r>
      <w:r w:rsidR="00041D42">
        <w:rPr>
          <w:rFonts w:asciiTheme="minorHAnsi" w:hAnsiTheme="minorHAnsi" w:cstheme="minorHAnsi"/>
        </w:rPr>
        <w:t xml:space="preserve"> soil </w:t>
      </w:r>
      <w:r w:rsidR="00AB7665">
        <w:rPr>
          <w:rFonts w:asciiTheme="minorHAnsi" w:hAnsiTheme="minorHAnsi" w:cstheme="minorHAnsi"/>
        </w:rPr>
        <w:t xml:space="preserve">is </w:t>
      </w:r>
      <w:r w:rsidR="00041D42">
        <w:rPr>
          <w:rFonts w:asciiTheme="minorHAnsi" w:hAnsiTheme="minorHAnsi" w:cstheme="minorHAnsi"/>
        </w:rPr>
        <w:t>able to provide eco-system services.</w:t>
      </w:r>
    </w:p>
    <w:p w14:paraId="14EF8C6D" w14:textId="642F56A0" w:rsidR="00820871" w:rsidRPr="009D4272" w:rsidRDefault="00D4065A"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I</w:t>
      </w:r>
      <w:r w:rsidR="00820871" w:rsidRPr="009D4272">
        <w:rPr>
          <w:rFonts w:asciiTheme="minorHAnsi" w:hAnsiTheme="minorHAnsi" w:cstheme="minorHAnsi"/>
          <w:b/>
          <w:bCs/>
          <w:color w:val="0D0D0D" w:themeColor="text1" w:themeTint="F2"/>
        </w:rPr>
        <w:t>ntegrated pest</w:t>
      </w:r>
      <w:r w:rsidR="00291251" w:rsidRPr="009D4272">
        <w:rPr>
          <w:rFonts w:asciiTheme="minorHAnsi" w:hAnsiTheme="minorHAnsi" w:cstheme="minorHAnsi"/>
          <w:b/>
          <w:bCs/>
          <w:color w:val="0D0D0D" w:themeColor="text1" w:themeTint="F2"/>
        </w:rPr>
        <w:t xml:space="preserve"> </w:t>
      </w:r>
      <w:r w:rsidR="00820871" w:rsidRPr="009D4272">
        <w:rPr>
          <w:rFonts w:asciiTheme="minorHAnsi" w:hAnsiTheme="minorHAnsi" w:cstheme="minorHAnsi"/>
          <w:b/>
          <w:bCs/>
          <w:color w:val="0D0D0D" w:themeColor="text1" w:themeTint="F2"/>
        </w:rPr>
        <w:t>management</w:t>
      </w:r>
      <w:r w:rsidRPr="009D4272">
        <w:rPr>
          <w:rFonts w:asciiTheme="minorHAnsi" w:hAnsiTheme="minorHAnsi" w:cstheme="minorHAnsi"/>
          <w:b/>
          <w:bCs/>
          <w:color w:val="0D0D0D" w:themeColor="text1" w:themeTint="F2"/>
        </w:rPr>
        <w:t xml:space="preserve"> bas</w:t>
      </w:r>
      <w:r w:rsidR="00291251" w:rsidRPr="009D4272">
        <w:rPr>
          <w:rFonts w:asciiTheme="minorHAnsi" w:hAnsiTheme="minorHAnsi" w:cstheme="minorHAnsi"/>
          <w:b/>
          <w:bCs/>
          <w:color w:val="0D0D0D" w:themeColor="text1" w:themeTint="F2"/>
        </w:rPr>
        <w:t>e</w:t>
      </w:r>
      <w:r w:rsidRPr="009D4272">
        <w:rPr>
          <w:rFonts w:asciiTheme="minorHAnsi" w:hAnsiTheme="minorHAnsi" w:cstheme="minorHAnsi"/>
          <w:b/>
          <w:bCs/>
          <w:color w:val="0D0D0D" w:themeColor="text1" w:themeTint="F2"/>
        </w:rPr>
        <w:t xml:space="preserve">d on agroecological </w:t>
      </w:r>
      <w:proofErr w:type="gramStart"/>
      <w:r w:rsidRPr="009D4272">
        <w:rPr>
          <w:rFonts w:asciiTheme="minorHAnsi" w:hAnsiTheme="minorHAnsi" w:cstheme="minorHAnsi"/>
          <w:b/>
          <w:bCs/>
          <w:color w:val="0D0D0D" w:themeColor="text1" w:themeTint="F2"/>
        </w:rPr>
        <w:t>processes</w:t>
      </w:r>
      <w:proofErr w:type="gramEnd"/>
    </w:p>
    <w:p w14:paraId="2177EFD1" w14:textId="52E2E1D1" w:rsidR="00DA562B" w:rsidRPr="00041D42" w:rsidRDefault="00090DD3"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Pest and diseases are challenging production in Africa. </w:t>
      </w:r>
      <w:r w:rsidR="00D4065A">
        <w:rPr>
          <w:rFonts w:asciiTheme="minorHAnsi" w:hAnsiTheme="minorHAnsi" w:cstheme="minorHAnsi"/>
          <w:color w:val="0D0D0D" w:themeColor="text1" w:themeTint="F2"/>
        </w:rPr>
        <w:t xml:space="preserve">Developing new solutions based on ecological processes is a priority to avoid an overwhelming dependence </w:t>
      </w:r>
      <w:r w:rsidR="00111EA9">
        <w:rPr>
          <w:rFonts w:asciiTheme="minorHAnsi" w:hAnsiTheme="minorHAnsi" w:cstheme="minorHAnsi"/>
          <w:color w:val="0D0D0D" w:themeColor="text1" w:themeTint="F2"/>
        </w:rPr>
        <w:t>on</w:t>
      </w:r>
      <w:r w:rsidR="00D4065A">
        <w:rPr>
          <w:rFonts w:asciiTheme="minorHAnsi" w:hAnsiTheme="minorHAnsi" w:cstheme="minorHAnsi"/>
          <w:color w:val="0D0D0D" w:themeColor="text1" w:themeTint="F2"/>
        </w:rPr>
        <w:t xml:space="preserve"> chemical pesticides. Specific emphasis </w:t>
      </w:r>
      <w:r w:rsidR="00291251">
        <w:rPr>
          <w:rFonts w:asciiTheme="minorHAnsi" w:hAnsiTheme="minorHAnsi" w:cstheme="minorHAnsi"/>
          <w:color w:val="0D0D0D" w:themeColor="text1" w:themeTint="F2"/>
        </w:rPr>
        <w:t xml:space="preserve">should </w:t>
      </w:r>
      <w:r w:rsidR="00D4065A">
        <w:rPr>
          <w:rFonts w:asciiTheme="minorHAnsi" w:hAnsiTheme="minorHAnsi" w:cstheme="minorHAnsi"/>
          <w:color w:val="0D0D0D" w:themeColor="text1" w:themeTint="F2"/>
        </w:rPr>
        <w:t xml:space="preserve">be put on </w:t>
      </w:r>
      <w:r w:rsidR="00291251">
        <w:rPr>
          <w:rFonts w:asciiTheme="minorHAnsi" w:hAnsiTheme="minorHAnsi" w:cstheme="minorHAnsi"/>
          <w:color w:val="0D0D0D" w:themeColor="text1" w:themeTint="F2"/>
        </w:rPr>
        <w:t xml:space="preserve">the </w:t>
      </w:r>
      <w:r w:rsidR="000F7826">
        <w:rPr>
          <w:rFonts w:asciiTheme="minorHAnsi" w:hAnsiTheme="minorHAnsi" w:cstheme="minorHAnsi"/>
          <w:color w:val="0D0D0D" w:themeColor="text1" w:themeTint="F2"/>
        </w:rPr>
        <w:t xml:space="preserve">development of </w:t>
      </w:r>
      <w:r w:rsidR="00713222">
        <w:rPr>
          <w:rFonts w:asciiTheme="minorHAnsi" w:hAnsiTheme="minorHAnsi" w:cstheme="minorHAnsi"/>
          <w:color w:val="0D0D0D" w:themeColor="text1" w:themeTint="F2"/>
        </w:rPr>
        <w:t xml:space="preserve">effective and reliable </w:t>
      </w:r>
      <w:r w:rsidR="00291251">
        <w:rPr>
          <w:rFonts w:asciiTheme="minorHAnsi" w:hAnsiTheme="minorHAnsi" w:cstheme="minorHAnsi"/>
          <w:color w:val="0D0D0D" w:themeColor="text1" w:themeTint="F2"/>
        </w:rPr>
        <w:t>solutions making use of natural enemies monitored and stimulated within and around the plots or produced and disseminated. An alternative solution is the development of bio-inputs by addressing technological, regulat</w:t>
      </w:r>
      <w:r w:rsidR="00111EA9">
        <w:rPr>
          <w:rFonts w:asciiTheme="minorHAnsi" w:hAnsiTheme="minorHAnsi" w:cstheme="minorHAnsi"/>
          <w:color w:val="0D0D0D" w:themeColor="text1" w:themeTint="F2"/>
        </w:rPr>
        <w:t>ory</w:t>
      </w:r>
      <w:r w:rsidR="00291251">
        <w:rPr>
          <w:rFonts w:asciiTheme="minorHAnsi" w:hAnsiTheme="minorHAnsi" w:cstheme="minorHAnsi"/>
          <w:color w:val="0D0D0D" w:themeColor="text1" w:themeTint="F2"/>
        </w:rPr>
        <w:t xml:space="preserve"> and market issues with specific attention to potential risk</w:t>
      </w:r>
      <w:r w:rsidR="00DD29D6">
        <w:rPr>
          <w:rFonts w:asciiTheme="minorHAnsi" w:hAnsiTheme="minorHAnsi" w:cstheme="minorHAnsi"/>
          <w:color w:val="0D0D0D" w:themeColor="text1" w:themeTint="F2"/>
        </w:rPr>
        <w:t>s</w:t>
      </w:r>
      <w:r w:rsidR="00291251">
        <w:rPr>
          <w:rFonts w:asciiTheme="minorHAnsi" w:hAnsiTheme="minorHAnsi" w:cstheme="minorHAnsi"/>
          <w:color w:val="0D0D0D" w:themeColor="text1" w:themeTint="F2"/>
        </w:rPr>
        <w:t xml:space="preserve"> on human and ecosystem health.</w:t>
      </w:r>
    </w:p>
    <w:p w14:paraId="01C8631A" w14:textId="17D4D99E" w:rsidR="00DA562B" w:rsidRPr="009D4272" w:rsidRDefault="00DA562B"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Water management</w:t>
      </w:r>
      <w:r w:rsidR="00551DC7" w:rsidRPr="009D4272">
        <w:rPr>
          <w:rFonts w:asciiTheme="minorHAnsi" w:hAnsiTheme="minorHAnsi" w:cstheme="minorHAnsi"/>
          <w:b/>
          <w:bCs/>
          <w:color w:val="0D0D0D" w:themeColor="text1" w:themeTint="F2"/>
        </w:rPr>
        <w:t xml:space="preserve"> to address climate </w:t>
      </w:r>
      <w:proofErr w:type="gramStart"/>
      <w:r w:rsidR="00551DC7" w:rsidRPr="009D4272">
        <w:rPr>
          <w:rFonts w:asciiTheme="minorHAnsi" w:hAnsiTheme="minorHAnsi" w:cstheme="minorHAnsi"/>
          <w:b/>
          <w:bCs/>
          <w:color w:val="0D0D0D" w:themeColor="text1" w:themeTint="F2"/>
        </w:rPr>
        <w:t>change</w:t>
      </w:r>
      <w:proofErr w:type="gramEnd"/>
    </w:p>
    <w:p w14:paraId="28EE3621" w14:textId="3FEFF4DC" w:rsidR="00DA562B" w:rsidRDefault="00CF0739"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In the context of increasing</w:t>
      </w:r>
      <w:r w:rsidR="00DA562B">
        <w:rPr>
          <w:rFonts w:asciiTheme="minorHAnsi" w:hAnsiTheme="minorHAnsi" w:cstheme="minorHAnsi"/>
          <w:color w:val="0D0D0D" w:themeColor="text1" w:themeTint="F2"/>
        </w:rPr>
        <w:t xml:space="preserve"> climate change</w:t>
      </w:r>
      <w:r>
        <w:rPr>
          <w:rFonts w:asciiTheme="minorHAnsi" w:hAnsiTheme="minorHAnsi" w:cstheme="minorHAnsi"/>
          <w:color w:val="0D0D0D" w:themeColor="text1" w:themeTint="F2"/>
        </w:rPr>
        <w:t>,</w:t>
      </w:r>
      <w:r w:rsidR="00DA562B">
        <w:rPr>
          <w:rFonts w:asciiTheme="minorHAnsi" w:hAnsiTheme="minorHAnsi" w:cstheme="minorHAnsi"/>
          <w:color w:val="0D0D0D" w:themeColor="text1" w:themeTint="F2"/>
        </w:rPr>
        <w:t xml:space="preserve"> the need for </w:t>
      </w:r>
      <w:r w:rsidR="008F528C">
        <w:rPr>
          <w:rFonts w:asciiTheme="minorHAnsi" w:hAnsiTheme="minorHAnsi" w:cstheme="minorHAnsi"/>
          <w:color w:val="0D0D0D" w:themeColor="text1" w:themeTint="F2"/>
        </w:rPr>
        <w:t xml:space="preserve">better monitoring and </w:t>
      </w:r>
      <w:r>
        <w:rPr>
          <w:rFonts w:asciiTheme="minorHAnsi" w:hAnsiTheme="minorHAnsi" w:cstheme="minorHAnsi"/>
          <w:color w:val="0D0D0D" w:themeColor="text1" w:themeTint="F2"/>
        </w:rPr>
        <w:t>innovative</w:t>
      </w:r>
      <w:r w:rsidR="00DA562B">
        <w:rPr>
          <w:rFonts w:asciiTheme="minorHAnsi" w:hAnsiTheme="minorHAnsi" w:cstheme="minorHAnsi"/>
          <w:color w:val="0D0D0D" w:themeColor="text1" w:themeTint="F2"/>
        </w:rPr>
        <w:t xml:space="preserve"> solutions </w:t>
      </w:r>
      <w:r w:rsidR="007A1225">
        <w:rPr>
          <w:rFonts w:asciiTheme="minorHAnsi" w:hAnsiTheme="minorHAnsi" w:cstheme="minorHAnsi"/>
          <w:color w:val="0D0D0D" w:themeColor="text1" w:themeTint="F2"/>
        </w:rPr>
        <w:t>is more and more important to deal with risks (drought and flood) and to manage water for agricultural production</w:t>
      </w:r>
      <w:r w:rsidR="00DA562B">
        <w:rPr>
          <w:rFonts w:asciiTheme="minorHAnsi" w:hAnsiTheme="minorHAnsi" w:cstheme="minorHAnsi"/>
          <w:color w:val="0D0D0D" w:themeColor="text1" w:themeTint="F2"/>
        </w:rPr>
        <w:t xml:space="preserve">. Beyond </w:t>
      </w:r>
      <w:proofErr w:type="gramStart"/>
      <w:r w:rsidR="00DA562B">
        <w:rPr>
          <w:rFonts w:asciiTheme="minorHAnsi" w:hAnsiTheme="minorHAnsi" w:cstheme="minorHAnsi"/>
          <w:color w:val="0D0D0D" w:themeColor="text1" w:themeTint="F2"/>
        </w:rPr>
        <w:t>large irrigated</w:t>
      </w:r>
      <w:proofErr w:type="gramEnd"/>
      <w:r w:rsidR="00DA562B">
        <w:rPr>
          <w:rFonts w:asciiTheme="minorHAnsi" w:hAnsiTheme="minorHAnsi" w:cstheme="minorHAnsi"/>
          <w:color w:val="0D0D0D" w:themeColor="text1" w:themeTint="F2"/>
        </w:rPr>
        <w:t xml:space="preserve"> schemes, the R&amp;I </w:t>
      </w:r>
      <w:r w:rsidR="008F528C">
        <w:rPr>
          <w:rFonts w:asciiTheme="minorHAnsi" w:hAnsiTheme="minorHAnsi" w:cstheme="minorHAnsi"/>
          <w:color w:val="0D0D0D" w:themeColor="text1" w:themeTint="F2"/>
        </w:rPr>
        <w:t xml:space="preserve">should </w:t>
      </w:r>
      <w:r w:rsidR="00551DC7">
        <w:rPr>
          <w:rFonts w:asciiTheme="minorHAnsi" w:hAnsiTheme="minorHAnsi" w:cstheme="minorHAnsi"/>
          <w:color w:val="0D0D0D" w:themeColor="text1" w:themeTint="F2"/>
        </w:rPr>
        <w:t xml:space="preserve">help actors </w:t>
      </w:r>
      <w:r w:rsidR="00DA562B">
        <w:rPr>
          <w:rFonts w:asciiTheme="minorHAnsi" w:hAnsiTheme="minorHAnsi" w:cstheme="minorHAnsi"/>
          <w:color w:val="0D0D0D" w:themeColor="text1" w:themeTint="F2"/>
        </w:rPr>
        <w:t xml:space="preserve">develop </w:t>
      </w:r>
      <w:r w:rsidR="008F528C">
        <w:rPr>
          <w:rFonts w:asciiTheme="minorHAnsi" w:hAnsiTheme="minorHAnsi" w:cstheme="minorHAnsi"/>
          <w:color w:val="0D0D0D" w:themeColor="text1" w:themeTint="F2"/>
        </w:rPr>
        <w:t xml:space="preserve">new practices (soil management, </w:t>
      </w:r>
      <w:r w:rsidR="00166053">
        <w:rPr>
          <w:rFonts w:asciiTheme="minorHAnsi" w:hAnsiTheme="minorHAnsi" w:cstheme="minorHAnsi"/>
          <w:color w:val="0D0D0D" w:themeColor="text1" w:themeTint="F2"/>
        </w:rPr>
        <w:t xml:space="preserve">identification </w:t>
      </w:r>
      <w:r w:rsidR="008F528C">
        <w:rPr>
          <w:rFonts w:asciiTheme="minorHAnsi" w:hAnsiTheme="minorHAnsi" w:cstheme="minorHAnsi"/>
          <w:color w:val="0D0D0D" w:themeColor="text1" w:themeTint="F2"/>
        </w:rPr>
        <w:t xml:space="preserve">of </w:t>
      </w:r>
      <w:r w:rsidR="00166053">
        <w:rPr>
          <w:rFonts w:asciiTheme="minorHAnsi" w:hAnsiTheme="minorHAnsi" w:cstheme="minorHAnsi"/>
          <w:color w:val="0D0D0D" w:themeColor="text1" w:themeTint="F2"/>
        </w:rPr>
        <w:t xml:space="preserve">adapted </w:t>
      </w:r>
      <w:r w:rsidR="008F528C">
        <w:rPr>
          <w:rFonts w:asciiTheme="minorHAnsi" w:hAnsiTheme="minorHAnsi" w:cstheme="minorHAnsi"/>
          <w:color w:val="0D0D0D" w:themeColor="text1" w:themeTint="F2"/>
        </w:rPr>
        <w:t>crops</w:t>
      </w:r>
      <w:r w:rsidR="00166053">
        <w:rPr>
          <w:rFonts w:asciiTheme="minorHAnsi" w:hAnsiTheme="minorHAnsi" w:cstheme="minorHAnsi"/>
          <w:color w:val="0D0D0D" w:themeColor="text1" w:themeTint="F2"/>
        </w:rPr>
        <w:t xml:space="preserve"> and cropping systems</w:t>
      </w:r>
      <w:r w:rsidR="008F528C">
        <w:rPr>
          <w:rFonts w:asciiTheme="minorHAnsi" w:hAnsiTheme="minorHAnsi" w:cstheme="minorHAnsi"/>
          <w:color w:val="0D0D0D" w:themeColor="text1" w:themeTint="F2"/>
        </w:rPr>
        <w:t>, adapted agroforestry</w:t>
      </w:r>
      <w:r w:rsidR="00166053">
        <w:rPr>
          <w:rFonts w:asciiTheme="minorHAnsi" w:hAnsiTheme="minorHAnsi" w:cstheme="minorHAnsi"/>
          <w:color w:val="0D0D0D" w:themeColor="text1" w:themeTint="F2"/>
        </w:rPr>
        <w:t xml:space="preserve"> systems</w:t>
      </w:r>
      <w:r>
        <w:rPr>
          <w:rFonts w:asciiTheme="minorHAnsi" w:hAnsiTheme="minorHAnsi" w:cstheme="minorHAnsi"/>
          <w:color w:val="0D0D0D" w:themeColor="text1" w:themeTint="F2"/>
        </w:rPr>
        <w:t>, etc</w:t>
      </w:r>
      <w:r w:rsidR="00DD29D6">
        <w:rPr>
          <w:rFonts w:asciiTheme="minorHAnsi" w:hAnsiTheme="minorHAnsi" w:cstheme="minorHAnsi"/>
          <w:color w:val="0D0D0D" w:themeColor="text1" w:themeTint="F2"/>
        </w:rPr>
        <w:t>)</w:t>
      </w:r>
      <w:r>
        <w:rPr>
          <w:rFonts w:asciiTheme="minorHAnsi" w:hAnsiTheme="minorHAnsi" w:cstheme="minorHAnsi"/>
          <w:color w:val="0D0D0D" w:themeColor="text1" w:themeTint="F2"/>
        </w:rPr>
        <w:t xml:space="preserve"> and</w:t>
      </w:r>
      <w:r w:rsidR="00DD29D6">
        <w:rPr>
          <w:rFonts w:asciiTheme="minorHAnsi" w:hAnsiTheme="minorHAnsi" w:cstheme="minorHAnsi"/>
          <w:color w:val="0D0D0D" w:themeColor="text1" w:themeTint="F2"/>
        </w:rPr>
        <w:t xml:space="preserve"> technologies including drip-irrigation and the mobilisation of renewable energy, </w:t>
      </w:r>
      <w:r w:rsidR="00551DC7">
        <w:rPr>
          <w:rFonts w:asciiTheme="minorHAnsi" w:hAnsiTheme="minorHAnsi" w:cstheme="minorHAnsi"/>
          <w:color w:val="0D0D0D" w:themeColor="text1" w:themeTint="F2"/>
        </w:rPr>
        <w:t xml:space="preserve">new participatory </w:t>
      </w:r>
      <w:r w:rsidR="00DD29D6">
        <w:rPr>
          <w:rFonts w:asciiTheme="minorHAnsi" w:hAnsiTheme="minorHAnsi" w:cstheme="minorHAnsi"/>
          <w:color w:val="0D0D0D" w:themeColor="text1" w:themeTint="F2"/>
        </w:rPr>
        <w:t xml:space="preserve">water management </w:t>
      </w:r>
      <w:r w:rsidR="00551DC7">
        <w:rPr>
          <w:rFonts w:asciiTheme="minorHAnsi" w:hAnsiTheme="minorHAnsi" w:cstheme="minorHAnsi"/>
          <w:color w:val="0D0D0D" w:themeColor="text1" w:themeTint="F2"/>
        </w:rPr>
        <w:t>processes</w:t>
      </w:r>
      <w:r>
        <w:rPr>
          <w:rFonts w:asciiTheme="minorHAnsi" w:hAnsiTheme="minorHAnsi" w:cstheme="minorHAnsi"/>
          <w:color w:val="0D0D0D" w:themeColor="text1" w:themeTint="F2"/>
        </w:rPr>
        <w:t>, etc</w:t>
      </w:r>
      <w:r w:rsidR="00DD29D6">
        <w:rPr>
          <w:rFonts w:asciiTheme="minorHAnsi" w:hAnsiTheme="minorHAnsi" w:cstheme="minorHAnsi"/>
          <w:color w:val="0D0D0D" w:themeColor="text1" w:themeTint="F2"/>
        </w:rPr>
        <w:t>.</w:t>
      </w:r>
    </w:p>
    <w:p w14:paraId="44EAEAB1" w14:textId="4F58191E" w:rsidR="00820871" w:rsidRPr="009D4272" w:rsidRDefault="00820871"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 xml:space="preserve">Adapted mechanisation for small-scale farmers to increase productivity </w:t>
      </w:r>
      <w:r w:rsidR="00090DD3" w:rsidRPr="009D4272">
        <w:rPr>
          <w:rFonts w:asciiTheme="minorHAnsi" w:hAnsiTheme="minorHAnsi" w:cstheme="minorHAnsi"/>
          <w:b/>
          <w:bCs/>
          <w:color w:val="0D0D0D" w:themeColor="text1" w:themeTint="F2"/>
        </w:rPr>
        <w:t xml:space="preserve">and farmers’ </w:t>
      </w:r>
      <w:proofErr w:type="gramStart"/>
      <w:r w:rsidR="00090DD3" w:rsidRPr="009D4272">
        <w:rPr>
          <w:rFonts w:asciiTheme="minorHAnsi" w:hAnsiTheme="minorHAnsi" w:cstheme="minorHAnsi"/>
          <w:b/>
          <w:bCs/>
          <w:color w:val="0D0D0D" w:themeColor="text1" w:themeTint="F2"/>
        </w:rPr>
        <w:t>incomes</w:t>
      </w:r>
      <w:proofErr w:type="gramEnd"/>
    </w:p>
    <w:p w14:paraId="38D5739E" w14:textId="307E5B80" w:rsidR="00090DD3" w:rsidRPr="0015395F" w:rsidRDefault="00090DD3"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Low labour productivity is a key issue to</w:t>
      </w:r>
      <w:r w:rsidR="00AD59C4">
        <w:rPr>
          <w:rFonts w:asciiTheme="minorHAnsi" w:hAnsiTheme="minorHAnsi" w:cstheme="minorHAnsi"/>
          <w:color w:val="0D0D0D" w:themeColor="text1" w:themeTint="F2"/>
        </w:rPr>
        <w:t xml:space="preserve"> be addressed to</w:t>
      </w:r>
      <w:r>
        <w:rPr>
          <w:rFonts w:asciiTheme="minorHAnsi" w:hAnsiTheme="minorHAnsi" w:cstheme="minorHAnsi"/>
          <w:color w:val="0D0D0D" w:themeColor="text1" w:themeTint="F2"/>
        </w:rPr>
        <w:t xml:space="preserve"> improve production and </w:t>
      </w:r>
      <w:r w:rsidR="00DD29D6">
        <w:rPr>
          <w:rFonts w:asciiTheme="minorHAnsi" w:hAnsiTheme="minorHAnsi" w:cstheme="minorHAnsi"/>
          <w:color w:val="0D0D0D" w:themeColor="text1" w:themeTint="F2"/>
        </w:rPr>
        <w:t xml:space="preserve">make farmers activities </w:t>
      </w:r>
      <w:r w:rsidR="00AD59C4">
        <w:rPr>
          <w:rFonts w:asciiTheme="minorHAnsi" w:hAnsiTheme="minorHAnsi" w:cstheme="minorHAnsi"/>
          <w:color w:val="0D0D0D" w:themeColor="text1" w:themeTint="F2"/>
        </w:rPr>
        <w:t xml:space="preserve">more attractive </w:t>
      </w:r>
      <w:r w:rsidR="007A1225">
        <w:rPr>
          <w:rFonts w:asciiTheme="minorHAnsi" w:hAnsiTheme="minorHAnsi" w:cstheme="minorHAnsi"/>
          <w:color w:val="0D0D0D" w:themeColor="text1" w:themeTint="F2"/>
        </w:rPr>
        <w:t xml:space="preserve">and less painful especially </w:t>
      </w:r>
      <w:r w:rsidR="00DD29D6">
        <w:rPr>
          <w:rFonts w:asciiTheme="minorHAnsi" w:hAnsiTheme="minorHAnsi" w:cstheme="minorHAnsi"/>
          <w:color w:val="0D0D0D" w:themeColor="text1" w:themeTint="F2"/>
        </w:rPr>
        <w:t>for youth</w:t>
      </w:r>
      <w:r w:rsidR="007A1225">
        <w:rPr>
          <w:rFonts w:asciiTheme="minorHAnsi" w:hAnsiTheme="minorHAnsi" w:cstheme="minorHAnsi"/>
          <w:color w:val="0D0D0D" w:themeColor="text1" w:themeTint="F2"/>
        </w:rPr>
        <w:t xml:space="preserve"> and women</w:t>
      </w:r>
      <w:r w:rsidR="00551DC7">
        <w:rPr>
          <w:rFonts w:asciiTheme="minorHAnsi" w:hAnsiTheme="minorHAnsi" w:cstheme="minorHAnsi"/>
          <w:color w:val="0D0D0D" w:themeColor="text1" w:themeTint="F2"/>
        </w:rPr>
        <w:t xml:space="preserve">. </w:t>
      </w:r>
      <w:r w:rsidR="00F77F9C">
        <w:rPr>
          <w:rFonts w:asciiTheme="minorHAnsi" w:hAnsiTheme="minorHAnsi" w:cstheme="minorHAnsi"/>
          <w:color w:val="0D0D0D" w:themeColor="text1" w:themeTint="F2"/>
        </w:rPr>
        <w:t>Agricultural p</w:t>
      </w:r>
      <w:r w:rsidR="00551DC7">
        <w:rPr>
          <w:rFonts w:asciiTheme="minorHAnsi" w:hAnsiTheme="minorHAnsi" w:cstheme="minorHAnsi"/>
          <w:color w:val="0D0D0D" w:themeColor="text1" w:themeTint="F2"/>
        </w:rPr>
        <w:t xml:space="preserve">roduction and processing </w:t>
      </w:r>
      <w:r w:rsidR="00AD59C4">
        <w:rPr>
          <w:rFonts w:asciiTheme="minorHAnsi" w:hAnsiTheme="minorHAnsi" w:cstheme="minorHAnsi"/>
          <w:color w:val="0D0D0D" w:themeColor="text1" w:themeTint="F2"/>
        </w:rPr>
        <w:t>require</w:t>
      </w:r>
      <w:r w:rsidR="00551DC7">
        <w:rPr>
          <w:rFonts w:asciiTheme="minorHAnsi" w:hAnsiTheme="minorHAnsi" w:cstheme="minorHAnsi"/>
          <w:color w:val="0D0D0D" w:themeColor="text1" w:themeTint="F2"/>
        </w:rPr>
        <w:t xml:space="preserve"> adapted mechanisation for small</w:t>
      </w:r>
      <w:r w:rsidR="007A1225">
        <w:rPr>
          <w:rFonts w:asciiTheme="minorHAnsi" w:hAnsiTheme="minorHAnsi" w:cstheme="minorHAnsi"/>
          <w:color w:val="0D0D0D" w:themeColor="text1" w:themeTint="F2"/>
        </w:rPr>
        <w:t>-</w:t>
      </w:r>
      <w:proofErr w:type="gramStart"/>
      <w:r w:rsidR="007A1225">
        <w:rPr>
          <w:rFonts w:asciiTheme="minorHAnsi" w:hAnsiTheme="minorHAnsi" w:cstheme="minorHAnsi"/>
          <w:color w:val="0D0D0D" w:themeColor="text1" w:themeTint="F2"/>
        </w:rPr>
        <w:t xml:space="preserve">scale </w:t>
      </w:r>
      <w:r w:rsidR="00551DC7">
        <w:rPr>
          <w:rFonts w:asciiTheme="minorHAnsi" w:hAnsiTheme="minorHAnsi" w:cstheme="minorHAnsi"/>
          <w:color w:val="0D0D0D" w:themeColor="text1" w:themeTint="F2"/>
        </w:rPr>
        <w:t xml:space="preserve"> farmers</w:t>
      </w:r>
      <w:proofErr w:type="gramEnd"/>
      <w:r w:rsidR="007A1225">
        <w:rPr>
          <w:rFonts w:asciiTheme="minorHAnsi" w:hAnsiTheme="minorHAnsi" w:cstheme="minorHAnsi"/>
          <w:color w:val="0D0D0D" w:themeColor="text1" w:themeTint="F2"/>
        </w:rPr>
        <w:t xml:space="preserve"> and processors</w:t>
      </w:r>
      <w:r w:rsidR="00551DC7">
        <w:rPr>
          <w:rFonts w:asciiTheme="minorHAnsi" w:hAnsiTheme="minorHAnsi" w:cstheme="minorHAnsi"/>
          <w:color w:val="0D0D0D" w:themeColor="text1" w:themeTint="F2"/>
        </w:rPr>
        <w:t xml:space="preserve">. Animal traction is still the most effective option in many African </w:t>
      </w:r>
      <w:proofErr w:type="gramStart"/>
      <w:r w:rsidR="00551DC7">
        <w:rPr>
          <w:rFonts w:asciiTheme="minorHAnsi" w:hAnsiTheme="minorHAnsi" w:cstheme="minorHAnsi"/>
          <w:color w:val="0D0D0D" w:themeColor="text1" w:themeTint="F2"/>
        </w:rPr>
        <w:t>countries</w:t>
      </w:r>
      <w:proofErr w:type="gramEnd"/>
      <w:r w:rsidR="00E935BB">
        <w:rPr>
          <w:rFonts w:asciiTheme="minorHAnsi" w:hAnsiTheme="minorHAnsi" w:cstheme="minorHAnsi"/>
          <w:color w:val="0D0D0D" w:themeColor="text1" w:themeTint="F2"/>
        </w:rPr>
        <w:t xml:space="preserve"> but a few R&amp;I </w:t>
      </w:r>
      <w:r w:rsidR="00D93C0A">
        <w:rPr>
          <w:rFonts w:asciiTheme="minorHAnsi" w:hAnsiTheme="minorHAnsi" w:cstheme="minorHAnsi"/>
          <w:color w:val="0D0D0D" w:themeColor="text1" w:themeTint="F2"/>
        </w:rPr>
        <w:t xml:space="preserve">programmes are </w:t>
      </w:r>
      <w:r w:rsidR="00AD59C4">
        <w:rPr>
          <w:rFonts w:asciiTheme="minorHAnsi" w:hAnsiTheme="minorHAnsi" w:cstheme="minorHAnsi"/>
          <w:color w:val="0D0D0D" w:themeColor="text1" w:themeTint="F2"/>
        </w:rPr>
        <w:t xml:space="preserve">working on developing </w:t>
      </w:r>
      <w:r w:rsidR="00AD59C4">
        <w:rPr>
          <w:rFonts w:asciiTheme="minorHAnsi" w:hAnsiTheme="minorHAnsi" w:cstheme="minorHAnsi"/>
          <w:color w:val="0D0D0D" w:themeColor="text1" w:themeTint="F2"/>
        </w:rPr>
        <w:lastRenderedPageBreak/>
        <w:t>alternative solutions</w:t>
      </w:r>
      <w:r w:rsidR="00551DC7">
        <w:rPr>
          <w:rFonts w:asciiTheme="minorHAnsi" w:hAnsiTheme="minorHAnsi" w:cstheme="minorHAnsi"/>
          <w:color w:val="0D0D0D" w:themeColor="text1" w:themeTint="F2"/>
        </w:rPr>
        <w:t xml:space="preserve">. </w:t>
      </w:r>
      <w:r w:rsidR="00D93C0A">
        <w:rPr>
          <w:rFonts w:asciiTheme="minorHAnsi" w:hAnsiTheme="minorHAnsi" w:cstheme="minorHAnsi"/>
          <w:color w:val="0D0D0D" w:themeColor="text1" w:themeTint="F2"/>
        </w:rPr>
        <w:t>S</w:t>
      </w:r>
      <w:r w:rsidR="00551DC7">
        <w:rPr>
          <w:rFonts w:asciiTheme="minorHAnsi" w:hAnsiTheme="minorHAnsi" w:cstheme="minorHAnsi"/>
          <w:color w:val="0D0D0D" w:themeColor="text1" w:themeTint="F2"/>
        </w:rPr>
        <w:t xml:space="preserve">mall tractors and adapted implements are </w:t>
      </w:r>
      <w:r w:rsidR="00D93C0A">
        <w:rPr>
          <w:rFonts w:asciiTheme="minorHAnsi" w:hAnsiTheme="minorHAnsi" w:cstheme="minorHAnsi"/>
          <w:color w:val="0D0D0D" w:themeColor="text1" w:themeTint="F2"/>
        </w:rPr>
        <w:t xml:space="preserve">also </w:t>
      </w:r>
      <w:r w:rsidR="00551DC7">
        <w:rPr>
          <w:rFonts w:asciiTheme="minorHAnsi" w:hAnsiTheme="minorHAnsi" w:cstheme="minorHAnsi"/>
          <w:color w:val="0D0D0D" w:themeColor="text1" w:themeTint="F2"/>
        </w:rPr>
        <w:t xml:space="preserve">needed </w:t>
      </w:r>
      <w:r w:rsidR="00F77F9C">
        <w:rPr>
          <w:rFonts w:asciiTheme="minorHAnsi" w:hAnsiTheme="minorHAnsi" w:cstheme="minorHAnsi"/>
          <w:color w:val="0D0D0D" w:themeColor="text1" w:themeTint="F2"/>
        </w:rPr>
        <w:t xml:space="preserve">to support agroecological systems </w:t>
      </w:r>
      <w:r w:rsidR="00551DC7">
        <w:rPr>
          <w:rFonts w:asciiTheme="minorHAnsi" w:hAnsiTheme="minorHAnsi" w:cstheme="minorHAnsi"/>
          <w:color w:val="0D0D0D" w:themeColor="text1" w:themeTint="F2"/>
        </w:rPr>
        <w:t xml:space="preserve">with local capacities </w:t>
      </w:r>
      <w:r w:rsidR="00E935BB">
        <w:rPr>
          <w:rFonts w:asciiTheme="minorHAnsi" w:hAnsiTheme="minorHAnsi" w:cstheme="minorHAnsi"/>
          <w:color w:val="0D0D0D" w:themeColor="text1" w:themeTint="F2"/>
        </w:rPr>
        <w:t xml:space="preserve">for </w:t>
      </w:r>
      <w:r w:rsidR="00551DC7">
        <w:rPr>
          <w:rFonts w:asciiTheme="minorHAnsi" w:hAnsiTheme="minorHAnsi" w:cstheme="minorHAnsi"/>
          <w:color w:val="0D0D0D" w:themeColor="text1" w:themeTint="F2"/>
        </w:rPr>
        <w:t>produc</w:t>
      </w:r>
      <w:r w:rsidR="00E935BB">
        <w:rPr>
          <w:rFonts w:asciiTheme="minorHAnsi" w:hAnsiTheme="minorHAnsi" w:cstheme="minorHAnsi"/>
          <w:color w:val="0D0D0D" w:themeColor="text1" w:themeTint="F2"/>
        </w:rPr>
        <w:t xml:space="preserve">tion </w:t>
      </w:r>
      <w:r w:rsidR="00551DC7">
        <w:rPr>
          <w:rFonts w:asciiTheme="minorHAnsi" w:hAnsiTheme="minorHAnsi" w:cstheme="minorHAnsi"/>
          <w:color w:val="0D0D0D" w:themeColor="text1" w:themeTint="F2"/>
        </w:rPr>
        <w:t>and maint</w:t>
      </w:r>
      <w:r w:rsidR="00E935BB">
        <w:rPr>
          <w:rFonts w:asciiTheme="minorHAnsi" w:hAnsiTheme="minorHAnsi" w:cstheme="minorHAnsi"/>
          <w:color w:val="0D0D0D" w:themeColor="text1" w:themeTint="F2"/>
        </w:rPr>
        <w:t>enance.</w:t>
      </w:r>
      <w:r w:rsidR="00D93C0A">
        <w:rPr>
          <w:rFonts w:asciiTheme="minorHAnsi" w:hAnsiTheme="minorHAnsi" w:cstheme="minorHAnsi"/>
          <w:color w:val="0D0D0D" w:themeColor="text1" w:themeTint="F2"/>
        </w:rPr>
        <w:t xml:space="preserve"> </w:t>
      </w:r>
      <w:r w:rsidR="00AD59C4">
        <w:rPr>
          <w:rFonts w:asciiTheme="minorHAnsi" w:hAnsiTheme="minorHAnsi" w:cstheme="minorHAnsi"/>
          <w:color w:val="0D0D0D" w:themeColor="text1" w:themeTint="F2"/>
        </w:rPr>
        <w:t xml:space="preserve">This </w:t>
      </w:r>
      <w:r w:rsidR="00F77F9C">
        <w:rPr>
          <w:rFonts w:asciiTheme="minorHAnsi" w:hAnsiTheme="minorHAnsi" w:cstheme="minorHAnsi"/>
          <w:color w:val="0D0D0D" w:themeColor="text1" w:themeTint="F2"/>
        </w:rPr>
        <w:t>raises issues</w:t>
      </w:r>
      <w:r w:rsidR="00611BC6">
        <w:rPr>
          <w:rFonts w:asciiTheme="minorHAnsi" w:hAnsiTheme="minorHAnsi" w:cstheme="minorHAnsi"/>
          <w:color w:val="0D0D0D" w:themeColor="text1" w:themeTint="F2"/>
        </w:rPr>
        <w:t xml:space="preserve"> </w:t>
      </w:r>
      <w:r w:rsidR="00AD59C4">
        <w:rPr>
          <w:rFonts w:asciiTheme="minorHAnsi" w:hAnsiTheme="minorHAnsi" w:cstheme="minorHAnsi"/>
          <w:color w:val="0D0D0D" w:themeColor="text1" w:themeTint="F2"/>
        </w:rPr>
        <w:t>of</w:t>
      </w:r>
      <w:r w:rsidR="00F77F9C">
        <w:rPr>
          <w:rFonts w:asciiTheme="minorHAnsi" w:hAnsiTheme="minorHAnsi" w:cstheme="minorHAnsi"/>
          <w:color w:val="0D0D0D" w:themeColor="text1" w:themeTint="F2"/>
        </w:rPr>
        <w:t xml:space="preserve"> technologies, </w:t>
      </w:r>
      <w:proofErr w:type="gramStart"/>
      <w:r w:rsidR="00F77F9C">
        <w:rPr>
          <w:rFonts w:asciiTheme="minorHAnsi" w:hAnsiTheme="minorHAnsi" w:cstheme="minorHAnsi"/>
          <w:color w:val="0D0D0D" w:themeColor="text1" w:themeTint="F2"/>
        </w:rPr>
        <w:t>institutions</w:t>
      </w:r>
      <w:proofErr w:type="gramEnd"/>
      <w:r w:rsidR="00F77F9C">
        <w:rPr>
          <w:rFonts w:asciiTheme="minorHAnsi" w:hAnsiTheme="minorHAnsi" w:cstheme="minorHAnsi"/>
          <w:color w:val="0D0D0D" w:themeColor="text1" w:themeTint="F2"/>
        </w:rPr>
        <w:t xml:space="preserve"> and policies.</w:t>
      </w:r>
    </w:p>
    <w:p w14:paraId="53E7B5A5" w14:textId="21692F0F" w:rsidR="00DD29D6" w:rsidRPr="009D4272" w:rsidRDefault="00DD29D6"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Digital</w:t>
      </w:r>
      <w:r w:rsidR="00EC4BC7" w:rsidRPr="009D4272">
        <w:rPr>
          <w:rFonts w:asciiTheme="minorHAnsi" w:hAnsiTheme="minorHAnsi" w:cstheme="minorHAnsi"/>
          <w:b/>
          <w:bCs/>
          <w:color w:val="0D0D0D" w:themeColor="text1" w:themeTint="F2"/>
        </w:rPr>
        <w:t xml:space="preserve">isation </w:t>
      </w:r>
      <w:r w:rsidR="00551DC7" w:rsidRPr="009D4272">
        <w:rPr>
          <w:rFonts w:asciiTheme="minorHAnsi" w:hAnsiTheme="minorHAnsi" w:cstheme="minorHAnsi"/>
          <w:b/>
          <w:bCs/>
          <w:color w:val="0D0D0D" w:themeColor="text1" w:themeTint="F2"/>
        </w:rPr>
        <w:t>for agroecology</w:t>
      </w:r>
    </w:p>
    <w:p w14:paraId="59256D70" w14:textId="253C0413" w:rsidR="00E935BB" w:rsidRDefault="00E935BB"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Digital tools are developed and more and more used in the agricultural sector in Africa to monitor crops and </w:t>
      </w:r>
      <w:r w:rsidR="00AD59C4">
        <w:rPr>
          <w:rFonts w:asciiTheme="minorHAnsi" w:hAnsiTheme="minorHAnsi" w:cstheme="minorHAnsi"/>
          <w:color w:val="0D0D0D" w:themeColor="text1" w:themeTint="F2"/>
        </w:rPr>
        <w:t xml:space="preserve">manage </w:t>
      </w:r>
      <w:r>
        <w:rPr>
          <w:rFonts w:asciiTheme="minorHAnsi" w:hAnsiTheme="minorHAnsi" w:cstheme="minorHAnsi"/>
          <w:color w:val="0D0D0D" w:themeColor="text1" w:themeTint="F2"/>
        </w:rPr>
        <w:t xml:space="preserve">resources such as pasture or water, to facilitate access to markets (price information, traceability, etc.) and services (inputs, advisory services, etc.). </w:t>
      </w:r>
      <w:r w:rsidR="00AD59C4">
        <w:rPr>
          <w:rFonts w:asciiTheme="minorHAnsi" w:hAnsiTheme="minorHAnsi" w:cstheme="minorHAnsi"/>
          <w:color w:val="0D0D0D" w:themeColor="text1" w:themeTint="F2"/>
        </w:rPr>
        <w:t>T</w:t>
      </w:r>
      <w:r>
        <w:rPr>
          <w:rFonts w:asciiTheme="minorHAnsi" w:hAnsiTheme="minorHAnsi" w:cstheme="minorHAnsi"/>
          <w:color w:val="0D0D0D" w:themeColor="text1" w:themeTint="F2"/>
        </w:rPr>
        <w:t>hey are used by farmers and more often by practitioners. However</w:t>
      </w:r>
      <w:r w:rsidR="00F77F9C">
        <w:rPr>
          <w:rFonts w:asciiTheme="minorHAnsi" w:hAnsiTheme="minorHAnsi" w:cstheme="minorHAnsi"/>
          <w:color w:val="0D0D0D" w:themeColor="text1" w:themeTint="F2"/>
        </w:rPr>
        <w:t>,</w:t>
      </w:r>
      <w:r>
        <w:rPr>
          <w:rFonts w:asciiTheme="minorHAnsi" w:hAnsiTheme="minorHAnsi" w:cstheme="minorHAnsi"/>
          <w:color w:val="0D0D0D" w:themeColor="text1" w:themeTint="F2"/>
        </w:rPr>
        <w:t xml:space="preserve"> there is a lack of attention </w:t>
      </w:r>
      <w:r w:rsidR="00AD59C4">
        <w:rPr>
          <w:rFonts w:asciiTheme="minorHAnsi" w:hAnsiTheme="minorHAnsi" w:cstheme="minorHAnsi"/>
          <w:color w:val="0D0D0D" w:themeColor="text1" w:themeTint="F2"/>
        </w:rPr>
        <w:t>paid to</w:t>
      </w:r>
      <w:r>
        <w:rPr>
          <w:rFonts w:asciiTheme="minorHAnsi" w:hAnsiTheme="minorHAnsi" w:cstheme="minorHAnsi"/>
          <w:color w:val="0D0D0D" w:themeColor="text1" w:themeTint="F2"/>
        </w:rPr>
        <w:t xml:space="preserve"> digital tools for agroecology </w:t>
      </w:r>
      <w:r w:rsidR="00AD59C4">
        <w:rPr>
          <w:rFonts w:asciiTheme="minorHAnsi" w:hAnsiTheme="minorHAnsi" w:cstheme="minorHAnsi"/>
          <w:color w:val="0D0D0D" w:themeColor="text1" w:themeTint="F2"/>
        </w:rPr>
        <w:t xml:space="preserve">no matter how critical they are </w:t>
      </w:r>
      <w:r>
        <w:rPr>
          <w:rFonts w:asciiTheme="minorHAnsi" w:hAnsiTheme="minorHAnsi" w:cstheme="minorHAnsi"/>
          <w:color w:val="0D0D0D" w:themeColor="text1" w:themeTint="F2"/>
        </w:rPr>
        <w:t xml:space="preserve">to co-create and share knowledge </w:t>
      </w:r>
      <w:r w:rsidR="00D93C0A">
        <w:rPr>
          <w:rFonts w:asciiTheme="minorHAnsi" w:hAnsiTheme="minorHAnsi" w:cstheme="minorHAnsi"/>
          <w:color w:val="0D0D0D" w:themeColor="text1" w:themeTint="F2"/>
        </w:rPr>
        <w:t>(</w:t>
      </w:r>
      <w:r w:rsidR="00EC4BC7">
        <w:rPr>
          <w:rFonts w:asciiTheme="minorHAnsi" w:hAnsiTheme="minorHAnsi" w:cstheme="minorHAnsi"/>
          <w:color w:val="0D0D0D" w:themeColor="text1" w:themeTint="F2"/>
        </w:rPr>
        <w:t xml:space="preserve">agroecological </w:t>
      </w:r>
      <w:r w:rsidR="00D93C0A">
        <w:rPr>
          <w:rFonts w:asciiTheme="minorHAnsi" w:hAnsiTheme="minorHAnsi" w:cstheme="minorHAnsi"/>
          <w:color w:val="0D0D0D" w:themeColor="text1" w:themeTint="F2"/>
        </w:rPr>
        <w:t>practices</w:t>
      </w:r>
      <w:r w:rsidR="00EC4BC7">
        <w:rPr>
          <w:rFonts w:asciiTheme="minorHAnsi" w:hAnsiTheme="minorHAnsi" w:cstheme="minorHAnsi"/>
          <w:color w:val="0D0D0D" w:themeColor="text1" w:themeTint="F2"/>
        </w:rPr>
        <w:t xml:space="preserve"> and farm management</w:t>
      </w:r>
      <w:r w:rsidR="00D93C0A">
        <w:rPr>
          <w:rFonts w:asciiTheme="minorHAnsi" w:hAnsiTheme="minorHAnsi" w:cstheme="minorHAnsi"/>
          <w:color w:val="0D0D0D" w:themeColor="text1" w:themeTint="F2"/>
        </w:rPr>
        <w:t xml:space="preserve">, access to inputs for agroecology, development of economic and social services) </w:t>
      </w:r>
      <w:r>
        <w:rPr>
          <w:rFonts w:asciiTheme="minorHAnsi" w:hAnsiTheme="minorHAnsi" w:cstheme="minorHAnsi"/>
          <w:color w:val="0D0D0D" w:themeColor="text1" w:themeTint="F2"/>
        </w:rPr>
        <w:t>adapted to local contexts and based on local and scientific knowledge</w:t>
      </w:r>
      <w:r w:rsidR="00F77F9C">
        <w:rPr>
          <w:rFonts w:asciiTheme="minorHAnsi" w:hAnsiTheme="minorHAnsi" w:cstheme="minorHAnsi"/>
          <w:color w:val="0D0D0D" w:themeColor="text1" w:themeTint="F2"/>
        </w:rPr>
        <w:t>. Beyond technology development</w:t>
      </w:r>
      <w:r w:rsidR="00AD59C4">
        <w:rPr>
          <w:rFonts w:asciiTheme="minorHAnsi" w:hAnsiTheme="minorHAnsi" w:cstheme="minorHAnsi"/>
          <w:color w:val="0D0D0D" w:themeColor="text1" w:themeTint="F2"/>
        </w:rPr>
        <w:t xml:space="preserve">, </w:t>
      </w:r>
      <w:r w:rsidR="00F77F9C">
        <w:rPr>
          <w:rFonts w:asciiTheme="minorHAnsi" w:hAnsiTheme="minorHAnsi" w:cstheme="minorHAnsi"/>
          <w:color w:val="0D0D0D" w:themeColor="text1" w:themeTint="F2"/>
        </w:rPr>
        <w:t xml:space="preserve">issues </w:t>
      </w:r>
      <w:r w:rsidR="00AD59C4">
        <w:rPr>
          <w:rFonts w:asciiTheme="minorHAnsi" w:hAnsiTheme="minorHAnsi" w:cstheme="minorHAnsi"/>
          <w:color w:val="0D0D0D" w:themeColor="text1" w:themeTint="F2"/>
        </w:rPr>
        <w:t xml:space="preserve">at stake </w:t>
      </w:r>
      <w:r w:rsidR="00F77F9C">
        <w:rPr>
          <w:rFonts w:asciiTheme="minorHAnsi" w:hAnsiTheme="minorHAnsi" w:cstheme="minorHAnsi"/>
          <w:color w:val="0D0D0D" w:themeColor="text1" w:themeTint="F2"/>
        </w:rPr>
        <w:t>relate to capacities (farmers, advisers) at individual and organisation level</w:t>
      </w:r>
      <w:r w:rsidR="00AD59C4">
        <w:rPr>
          <w:rFonts w:asciiTheme="minorHAnsi" w:hAnsiTheme="minorHAnsi" w:cstheme="minorHAnsi"/>
          <w:color w:val="0D0D0D" w:themeColor="text1" w:themeTint="F2"/>
        </w:rPr>
        <w:t>s</w:t>
      </w:r>
      <w:r w:rsidR="00F77F9C">
        <w:rPr>
          <w:rFonts w:asciiTheme="minorHAnsi" w:hAnsiTheme="minorHAnsi" w:cstheme="minorHAnsi"/>
          <w:color w:val="0D0D0D" w:themeColor="text1" w:themeTint="F2"/>
        </w:rPr>
        <w:t xml:space="preserve"> and to governance of data (privacy, sharing of property rights, etc.)</w:t>
      </w:r>
    </w:p>
    <w:p w14:paraId="0C1A7567" w14:textId="61819023" w:rsidR="00EC4BC7" w:rsidRPr="009D4272" w:rsidRDefault="00857D69"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V</w:t>
      </w:r>
      <w:r w:rsidR="00EC4BC7" w:rsidRPr="009D4272">
        <w:rPr>
          <w:rFonts w:asciiTheme="minorHAnsi" w:hAnsiTheme="minorHAnsi" w:cstheme="minorHAnsi"/>
          <w:b/>
          <w:bCs/>
          <w:color w:val="0D0D0D" w:themeColor="text1" w:themeTint="F2"/>
        </w:rPr>
        <w:t>alue chains to scale agroecology</w:t>
      </w:r>
    </w:p>
    <w:p w14:paraId="3D916D18" w14:textId="08DC300C" w:rsidR="00EC4BC7" w:rsidRDefault="00EC4BC7"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It is a priority to scale agroecology through value chains able to valorise agricultural product</w:t>
      </w:r>
      <w:r w:rsidR="00F77F9C">
        <w:rPr>
          <w:rFonts w:asciiTheme="minorHAnsi" w:hAnsiTheme="minorHAnsi" w:cstheme="minorHAnsi"/>
          <w:color w:val="0D0D0D" w:themeColor="text1" w:themeTint="F2"/>
        </w:rPr>
        <w:t xml:space="preserve">ion based on </w:t>
      </w:r>
      <w:r w:rsidR="006950B9">
        <w:rPr>
          <w:rFonts w:asciiTheme="minorHAnsi" w:hAnsiTheme="minorHAnsi" w:cstheme="minorHAnsi"/>
          <w:color w:val="0D0D0D" w:themeColor="text1" w:themeTint="F2"/>
        </w:rPr>
        <w:t xml:space="preserve">agroecological principles </w:t>
      </w:r>
      <w:proofErr w:type="gramStart"/>
      <w:r w:rsidR="006950B9">
        <w:rPr>
          <w:rFonts w:asciiTheme="minorHAnsi" w:hAnsiTheme="minorHAnsi" w:cstheme="minorHAnsi"/>
          <w:color w:val="0D0D0D" w:themeColor="text1" w:themeTint="F2"/>
        </w:rPr>
        <w:t>in order to</w:t>
      </w:r>
      <w:proofErr w:type="gramEnd"/>
      <w:r w:rsidR="006950B9">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increase farmers’ incomes. Several options </w:t>
      </w:r>
      <w:r w:rsidR="00F77F9C">
        <w:rPr>
          <w:rFonts w:asciiTheme="minorHAnsi" w:hAnsiTheme="minorHAnsi" w:cstheme="minorHAnsi"/>
          <w:color w:val="0D0D0D" w:themeColor="text1" w:themeTint="F2"/>
        </w:rPr>
        <w:t xml:space="preserve">should </w:t>
      </w:r>
      <w:r>
        <w:rPr>
          <w:rFonts w:asciiTheme="minorHAnsi" w:hAnsiTheme="minorHAnsi" w:cstheme="minorHAnsi"/>
          <w:color w:val="0D0D0D" w:themeColor="text1" w:themeTint="F2"/>
        </w:rPr>
        <w:t xml:space="preserve">be envisaged. </w:t>
      </w:r>
      <w:r w:rsidR="00793D2A">
        <w:rPr>
          <w:rFonts w:asciiTheme="minorHAnsi" w:hAnsiTheme="minorHAnsi" w:cstheme="minorHAnsi"/>
          <w:color w:val="0D0D0D" w:themeColor="text1" w:themeTint="F2"/>
        </w:rPr>
        <w:t xml:space="preserve">First, </w:t>
      </w:r>
      <w:proofErr w:type="spellStart"/>
      <w:r w:rsidR="00793D2A">
        <w:rPr>
          <w:rFonts w:asciiTheme="minorHAnsi" w:hAnsiTheme="minorHAnsi" w:cstheme="minorHAnsi"/>
          <w:color w:val="0D0D0D" w:themeColor="text1" w:themeTint="F2"/>
        </w:rPr>
        <w:t>v</w:t>
      </w:r>
      <w:r>
        <w:rPr>
          <w:rFonts w:asciiTheme="minorHAnsi" w:hAnsiTheme="minorHAnsi" w:cstheme="minorHAnsi"/>
          <w:color w:val="0D0D0D" w:themeColor="text1" w:themeTint="F2"/>
        </w:rPr>
        <w:t>alorizing</w:t>
      </w:r>
      <w:proofErr w:type="spellEnd"/>
      <w:r>
        <w:rPr>
          <w:rFonts w:asciiTheme="minorHAnsi" w:hAnsiTheme="minorHAnsi" w:cstheme="minorHAnsi"/>
          <w:color w:val="0D0D0D" w:themeColor="text1" w:themeTint="F2"/>
        </w:rPr>
        <w:t xml:space="preserve"> agricultural products with different mechanisms to be assessed and improved (organisational set-up, policies, capacities) such as urban markets for short value chains</w:t>
      </w:r>
      <w:r w:rsidR="00793D2A">
        <w:rPr>
          <w:rFonts w:asciiTheme="minorHAnsi" w:hAnsiTheme="minorHAnsi" w:cstheme="minorHAnsi"/>
          <w:color w:val="0D0D0D" w:themeColor="text1" w:themeTint="F2"/>
        </w:rPr>
        <w:t xml:space="preserve"> or </w:t>
      </w:r>
      <w:r>
        <w:rPr>
          <w:rFonts w:asciiTheme="minorHAnsi" w:hAnsiTheme="minorHAnsi" w:cstheme="minorHAnsi"/>
          <w:color w:val="0D0D0D" w:themeColor="text1" w:themeTint="F2"/>
        </w:rPr>
        <w:t xml:space="preserve">certification </w:t>
      </w:r>
      <w:r w:rsidR="00F77F9C">
        <w:rPr>
          <w:rFonts w:asciiTheme="minorHAnsi" w:hAnsiTheme="minorHAnsi" w:cstheme="minorHAnsi"/>
          <w:color w:val="0D0D0D" w:themeColor="text1" w:themeTint="F2"/>
        </w:rPr>
        <w:t xml:space="preserve">schemes </w:t>
      </w:r>
      <w:r>
        <w:rPr>
          <w:rFonts w:asciiTheme="minorHAnsi" w:hAnsiTheme="minorHAnsi" w:cstheme="minorHAnsi"/>
          <w:color w:val="0D0D0D" w:themeColor="text1" w:themeTint="F2"/>
        </w:rPr>
        <w:t>including participatory ones</w:t>
      </w:r>
      <w:r w:rsidR="00793D2A">
        <w:rPr>
          <w:rFonts w:asciiTheme="minorHAnsi" w:hAnsiTheme="minorHAnsi" w:cstheme="minorHAnsi"/>
          <w:color w:val="0D0D0D" w:themeColor="text1" w:themeTint="F2"/>
        </w:rPr>
        <w:t xml:space="preserve">. </w:t>
      </w:r>
      <w:r w:rsidR="0047358D">
        <w:rPr>
          <w:rFonts w:asciiTheme="minorHAnsi" w:hAnsiTheme="minorHAnsi" w:cstheme="minorHAnsi"/>
          <w:color w:val="0D0D0D" w:themeColor="text1" w:themeTint="F2"/>
        </w:rPr>
        <w:t>Second</w:t>
      </w:r>
      <w:r w:rsidR="00AD59C4">
        <w:rPr>
          <w:rFonts w:asciiTheme="minorHAnsi" w:hAnsiTheme="minorHAnsi" w:cstheme="minorHAnsi"/>
          <w:color w:val="0D0D0D" w:themeColor="text1" w:themeTint="F2"/>
        </w:rPr>
        <w:t>ly</w:t>
      </w:r>
      <w:r w:rsidR="0047358D">
        <w:rPr>
          <w:rFonts w:asciiTheme="minorHAnsi" w:hAnsiTheme="minorHAnsi" w:cstheme="minorHAnsi"/>
          <w:color w:val="0D0D0D" w:themeColor="text1" w:themeTint="F2"/>
        </w:rPr>
        <w:t>, improving processing and trading based on circular economy and renewable energy</w:t>
      </w:r>
      <w:r w:rsidR="00AD59C4">
        <w:rPr>
          <w:rFonts w:asciiTheme="minorHAnsi" w:hAnsiTheme="minorHAnsi" w:cstheme="minorHAnsi"/>
          <w:color w:val="0D0D0D" w:themeColor="text1" w:themeTint="F2"/>
        </w:rPr>
        <w:t>,</w:t>
      </w:r>
      <w:r w:rsidR="0047358D">
        <w:rPr>
          <w:rFonts w:asciiTheme="minorHAnsi" w:hAnsiTheme="minorHAnsi" w:cstheme="minorHAnsi"/>
          <w:color w:val="0D0D0D" w:themeColor="text1" w:themeTint="F2"/>
        </w:rPr>
        <w:t xml:space="preserve"> aligned with a green </w:t>
      </w:r>
      <w:proofErr w:type="gramStart"/>
      <w:r w:rsidR="0047358D">
        <w:rPr>
          <w:rFonts w:asciiTheme="minorHAnsi" w:hAnsiTheme="minorHAnsi" w:cstheme="minorHAnsi"/>
          <w:color w:val="0D0D0D" w:themeColor="text1" w:themeTint="F2"/>
        </w:rPr>
        <w:t>transition</w:t>
      </w:r>
      <w:proofErr w:type="gramEnd"/>
      <w:r w:rsidR="0047358D">
        <w:rPr>
          <w:rFonts w:asciiTheme="minorHAnsi" w:hAnsiTheme="minorHAnsi" w:cstheme="minorHAnsi"/>
          <w:color w:val="0D0D0D" w:themeColor="text1" w:themeTint="F2"/>
        </w:rPr>
        <w:t xml:space="preserve"> and addressing technological, economic and institutional challenges. Third</w:t>
      </w:r>
      <w:r w:rsidR="00AD59C4">
        <w:rPr>
          <w:rFonts w:asciiTheme="minorHAnsi" w:hAnsiTheme="minorHAnsi" w:cstheme="minorHAnsi"/>
          <w:color w:val="0D0D0D" w:themeColor="text1" w:themeTint="F2"/>
        </w:rPr>
        <w:t>ly</w:t>
      </w:r>
      <w:r w:rsidR="0047358D">
        <w:rPr>
          <w:rFonts w:asciiTheme="minorHAnsi" w:hAnsiTheme="minorHAnsi" w:cstheme="minorHAnsi"/>
          <w:color w:val="0D0D0D" w:themeColor="text1" w:themeTint="F2"/>
        </w:rPr>
        <w:t xml:space="preserve">, strengthening specific value chains with high ecological and economic potential </w:t>
      </w:r>
      <w:r w:rsidR="00F77F9C">
        <w:rPr>
          <w:rFonts w:asciiTheme="minorHAnsi" w:hAnsiTheme="minorHAnsi" w:cstheme="minorHAnsi"/>
          <w:color w:val="0D0D0D" w:themeColor="text1" w:themeTint="F2"/>
        </w:rPr>
        <w:t xml:space="preserve">such as legumes (soybean, beans, forage trees, etc.) or agroforestry products (shea, cocoa, etc.) at different steps of the value chain: </w:t>
      </w:r>
      <w:r w:rsidR="0047358D">
        <w:rPr>
          <w:rFonts w:asciiTheme="minorHAnsi" w:hAnsiTheme="minorHAnsi" w:cstheme="minorHAnsi"/>
          <w:color w:val="0D0D0D" w:themeColor="text1" w:themeTint="F2"/>
        </w:rPr>
        <w:t xml:space="preserve">production </w:t>
      </w:r>
      <w:r w:rsidR="00F77F9C">
        <w:rPr>
          <w:rFonts w:asciiTheme="minorHAnsi" w:hAnsiTheme="minorHAnsi" w:cstheme="minorHAnsi"/>
          <w:color w:val="0D0D0D" w:themeColor="text1" w:themeTint="F2"/>
        </w:rPr>
        <w:t xml:space="preserve">in </w:t>
      </w:r>
      <w:r w:rsidR="0047358D">
        <w:rPr>
          <w:rFonts w:asciiTheme="minorHAnsi" w:hAnsiTheme="minorHAnsi" w:cstheme="minorHAnsi"/>
          <w:color w:val="0D0D0D" w:themeColor="text1" w:themeTint="F2"/>
        </w:rPr>
        <w:t xml:space="preserve">integrated </w:t>
      </w:r>
      <w:r w:rsidR="00F77F9C">
        <w:rPr>
          <w:rFonts w:asciiTheme="minorHAnsi" w:hAnsiTheme="minorHAnsi" w:cstheme="minorHAnsi"/>
          <w:color w:val="0D0D0D" w:themeColor="text1" w:themeTint="F2"/>
        </w:rPr>
        <w:t xml:space="preserve">and </w:t>
      </w:r>
      <w:r w:rsidR="0047358D">
        <w:rPr>
          <w:rFonts w:asciiTheme="minorHAnsi" w:hAnsiTheme="minorHAnsi" w:cstheme="minorHAnsi"/>
          <w:color w:val="0D0D0D" w:themeColor="text1" w:themeTint="F2"/>
        </w:rPr>
        <w:t xml:space="preserve">diversified </w:t>
      </w:r>
      <w:r w:rsidR="006950B9">
        <w:rPr>
          <w:rFonts w:asciiTheme="minorHAnsi" w:hAnsiTheme="minorHAnsi" w:cstheme="minorHAnsi"/>
          <w:color w:val="0D0D0D" w:themeColor="text1" w:themeTint="F2"/>
        </w:rPr>
        <w:t>farming</w:t>
      </w:r>
      <w:r w:rsidR="0047358D">
        <w:rPr>
          <w:rFonts w:asciiTheme="minorHAnsi" w:hAnsiTheme="minorHAnsi" w:cstheme="minorHAnsi"/>
          <w:color w:val="0D0D0D" w:themeColor="text1" w:themeTint="F2"/>
        </w:rPr>
        <w:t xml:space="preserve"> systems, processing to adapt to market needs, and </w:t>
      </w:r>
      <w:proofErr w:type="gramStart"/>
      <w:r w:rsidR="0047358D">
        <w:rPr>
          <w:rFonts w:asciiTheme="minorHAnsi" w:hAnsiTheme="minorHAnsi" w:cstheme="minorHAnsi"/>
          <w:color w:val="0D0D0D" w:themeColor="text1" w:themeTint="F2"/>
        </w:rPr>
        <w:t>consumption</w:t>
      </w:r>
      <w:proofErr w:type="gramEnd"/>
      <w:r w:rsidR="0047358D">
        <w:rPr>
          <w:rFonts w:asciiTheme="minorHAnsi" w:hAnsiTheme="minorHAnsi" w:cstheme="minorHAnsi"/>
          <w:color w:val="0D0D0D" w:themeColor="text1" w:themeTint="F2"/>
        </w:rPr>
        <w:t xml:space="preserve"> </w:t>
      </w:r>
    </w:p>
    <w:p w14:paraId="6B09EEAF" w14:textId="77777777" w:rsidR="00857D69" w:rsidRPr="009D4272" w:rsidRDefault="00857D69"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 xml:space="preserve">Innovation service </w:t>
      </w:r>
      <w:proofErr w:type="gramStart"/>
      <w:r w:rsidRPr="009D4272">
        <w:rPr>
          <w:rFonts w:asciiTheme="minorHAnsi" w:hAnsiTheme="minorHAnsi" w:cstheme="minorHAnsi"/>
          <w:b/>
          <w:bCs/>
          <w:color w:val="0D0D0D" w:themeColor="text1" w:themeTint="F2"/>
        </w:rPr>
        <w:t>supports</w:t>
      </w:r>
      <w:proofErr w:type="gramEnd"/>
    </w:p>
    <w:p w14:paraId="3B90608E" w14:textId="3FF9B890" w:rsidR="00857D69" w:rsidRDefault="006950B9" w:rsidP="00BE0A9F">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Farmers need support to develop </w:t>
      </w:r>
      <w:r w:rsidR="007A1225">
        <w:rPr>
          <w:rFonts w:asciiTheme="minorHAnsi" w:hAnsiTheme="minorHAnsi" w:cstheme="minorHAnsi"/>
          <w:color w:val="0D0D0D" w:themeColor="text1" w:themeTint="F2"/>
        </w:rPr>
        <w:t xml:space="preserve">and improve </w:t>
      </w:r>
      <w:r>
        <w:rPr>
          <w:rFonts w:asciiTheme="minorHAnsi" w:hAnsiTheme="minorHAnsi" w:cstheme="minorHAnsi"/>
          <w:color w:val="0D0D0D" w:themeColor="text1" w:themeTint="F2"/>
        </w:rPr>
        <w:t>agroecological farming systems</w:t>
      </w:r>
      <w:r w:rsidR="007A1225">
        <w:rPr>
          <w:rFonts w:asciiTheme="minorHAnsi" w:hAnsiTheme="minorHAnsi" w:cstheme="minorHAnsi"/>
          <w:color w:val="0D0D0D" w:themeColor="text1" w:themeTint="F2"/>
        </w:rPr>
        <w:t xml:space="preserve"> in a changing context</w:t>
      </w:r>
      <w:r>
        <w:rPr>
          <w:rFonts w:asciiTheme="minorHAnsi" w:hAnsiTheme="minorHAnsi" w:cstheme="minorHAnsi"/>
          <w:color w:val="0D0D0D" w:themeColor="text1" w:themeTint="F2"/>
        </w:rPr>
        <w:t>. However</w:t>
      </w:r>
      <w:r w:rsidR="00871B95">
        <w:rPr>
          <w:rFonts w:asciiTheme="minorHAnsi" w:hAnsiTheme="minorHAnsi" w:cstheme="minorHAnsi"/>
          <w:color w:val="0D0D0D" w:themeColor="text1" w:themeTint="F2"/>
        </w:rPr>
        <w:t>,</w:t>
      </w:r>
      <w:r>
        <w:rPr>
          <w:rFonts w:asciiTheme="minorHAnsi" w:hAnsiTheme="minorHAnsi" w:cstheme="minorHAnsi"/>
          <w:color w:val="0D0D0D" w:themeColor="text1" w:themeTint="F2"/>
        </w:rPr>
        <w:t xml:space="preserve"> advisory services and other innovation support services (incubators, innovation platforms, etc.) are to be adapted or strengthen</w:t>
      </w:r>
      <w:r w:rsidR="00871B95">
        <w:rPr>
          <w:rFonts w:asciiTheme="minorHAnsi" w:hAnsiTheme="minorHAnsi" w:cstheme="minorHAnsi"/>
          <w:color w:val="0D0D0D" w:themeColor="text1" w:themeTint="F2"/>
        </w:rPr>
        <w:t>ed</w:t>
      </w:r>
      <w:r>
        <w:rPr>
          <w:rFonts w:asciiTheme="minorHAnsi" w:hAnsiTheme="minorHAnsi" w:cstheme="minorHAnsi"/>
          <w:color w:val="0D0D0D" w:themeColor="text1" w:themeTint="F2"/>
        </w:rPr>
        <w:t xml:space="preserve"> to provide relevant and effective services with a holistic farm approach, based on the principles of agroecology</w:t>
      </w:r>
      <w:r w:rsidR="00871B95">
        <w:rPr>
          <w:rFonts w:asciiTheme="minorHAnsi" w:hAnsiTheme="minorHAnsi" w:cstheme="minorHAnsi"/>
          <w:color w:val="0D0D0D" w:themeColor="text1" w:themeTint="F2"/>
        </w:rPr>
        <w:t xml:space="preserve"> and</w:t>
      </w:r>
      <w:r>
        <w:rPr>
          <w:rFonts w:asciiTheme="minorHAnsi" w:hAnsiTheme="minorHAnsi" w:cstheme="minorHAnsi"/>
          <w:color w:val="0D0D0D" w:themeColor="text1" w:themeTint="F2"/>
        </w:rPr>
        <w:t xml:space="preserve"> aim</w:t>
      </w:r>
      <w:r w:rsidR="00871B95">
        <w:rPr>
          <w:rFonts w:asciiTheme="minorHAnsi" w:hAnsiTheme="minorHAnsi" w:cstheme="minorHAnsi"/>
          <w:color w:val="0D0D0D" w:themeColor="text1" w:themeTint="F2"/>
        </w:rPr>
        <w:t>ed</w:t>
      </w:r>
      <w:r>
        <w:rPr>
          <w:rFonts w:asciiTheme="minorHAnsi" w:hAnsiTheme="minorHAnsi" w:cstheme="minorHAnsi"/>
          <w:color w:val="0D0D0D" w:themeColor="text1" w:themeTint="F2"/>
        </w:rPr>
        <w:t xml:space="preserve"> at strengthening capacities and valorising local knowledge. There are </w:t>
      </w:r>
      <w:r w:rsidR="00871B95">
        <w:rPr>
          <w:rFonts w:asciiTheme="minorHAnsi" w:hAnsiTheme="minorHAnsi" w:cstheme="minorHAnsi"/>
          <w:color w:val="0D0D0D" w:themeColor="text1" w:themeTint="F2"/>
        </w:rPr>
        <w:t xml:space="preserve">open </w:t>
      </w:r>
      <w:r>
        <w:rPr>
          <w:rFonts w:asciiTheme="minorHAnsi" w:hAnsiTheme="minorHAnsi" w:cstheme="minorHAnsi"/>
          <w:color w:val="0D0D0D" w:themeColor="text1" w:themeTint="F2"/>
        </w:rPr>
        <w:t xml:space="preserve">questions about the methods </w:t>
      </w:r>
      <w:r w:rsidR="00871B95">
        <w:rPr>
          <w:rFonts w:asciiTheme="minorHAnsi" w:hAnsiTheme="minorHAnsi" w:cstheme="minorHAnsi"/>
          <w:color w:val="0D0D0D" w:themeColor="text1" w:themeTint="F2"/>
        </w:rPr>
        <w:t xml:space="preserve">to be used </w:t>
      </w:r>
      <w:r>
        <w:rPr>
          <w:rFonts w:asciiTheme="minorHAnsi" w:hAnsiTheme="minorHAnsi" w:cstheme="minorHAnsi"/>
          <w:color w:val="0D0D0D" w:themeColor="text1" w:themeTint="F2"/>
        </w:rPr>
        <w:t xml:space="preserve">and the capacities </w:t>
      </w:r>
      <w:r w:rsidR="00871B95">
        <w:rPr>
          <w:rFonts w:asciiTheme="minorHAnsi" w:hAnsiTheme="minorHAnsi" w:cstheme="minorHAnsi"/>
          <w:color w:val="0D0D0D" w:themeColor="text1" w:themeTint="F2"/>
        </w:rPr>
        <w:t xml:space="preserve">required </w:t>
      </w:r>
      <w:r>
        <w:rPr>
          <w:rFonts w:asciiTheme="minorHAnsi" w:hAnsiTheme="minorHAnsi" w:cstheme="minorHAnsi"/>
          <w:color w:val="0D0D0D" w:themeColor="text1" w:themeTint="F2"/>
        </w:rPr>
        <w:t xml:space="preserve">to provide services, about the governance and funding mechanisms </w:t>
      </w:r>
      <w:r w:rsidR="00871B95">
        <w:rPr>
          <w:rFonts w:asciiTheme="minorHAnsi" w:hAnsiTheme="minorHAnsi" w:cstheme="minorHAnsi"/>
          <w:color w:val="0D0D0D" w:themeColor="text1" w:themeTint="F2"/>
        </w:rPr>
        <w:t xml:space="preserve">that should be in place </w:t>
      </w:r>
      <w:r>
        <w:rPr>
          <w:rFonts w:asciiTheme="minorHAnsi" w:hAnsiTheme="minorHAnsi" w:cstheme="minorHAnsi"/>
          <w:color w:val="0D0D0D" w:themeColor="text1" w:themeTint="F2"/>
        </w:rPr>
        <w:t>and finally about the performance of the agricultural innovation systems at local, service and policy level.</w:t>
      </w:r>
    </w:p>
    <w:p w14:paraId="742F7597" w14:textId="6E01A8C0" w:rsidR="00820871" w:rsidRPr="009D4272" w:rsidRDefault="00BA4928" w:rsidP="00BE0A9F">
      <w:pPr>
        <w:pStyle w:val="ListParagraph"/>
        <w:numPr>
          <w:ilvl w:val="0"/>
          <w:numId w:val="1"/>
        </w:numPr>
        <w:spacing w:before="120" w:after="120"/>
        <w:jc w:val="both"/>
        <w:rPr>
          <w:rFonts w:asciiTheme="minorHAnsi" w:hAnsiTheme="minorHAnsi" w:cstheme="minorHAnsi"/>
          <w:b/>
          <w:bCs/>
          <w:color w:val="0D0D0D" w:themeColor="text1" w:themeTint="F2"/>
        </w:rPr>
      </w:pPr>
      <w:r w:rsidRPr="009D4272">
        <w:rPr>
          <w:rFonts w:asciiTheme="minorHAnsi" w:hAnsiTheme="minorHAnsi" w:cstheme="minorHAnsi"/>
          <w:b/>
          <w:bCs/>
          <w:color w:val="0D0D0D" w:themeColor="text1" w:themeTint="F2"/>
        </w:rPr>
        <w:t>I</w:t>
      </w:r>
      <w:r w:rsidR="00820871" w:rsidRPr="009D4272">
        <w:rPr>
          <w:rFonts w:asciiTheme="minorHAnsi" w:hAnsiTheme="minorHAnsi" w:cstheme="minorHAnsi"/>
          <w:b/>
          <w:bCs/>
          <w:color w:val="0D0D0D" w:themeColor="text1" w:themeTint="F2"/>
        </w:rPr>
        <w:t>nstitution</w:t>
      </w:r>
      <w:r w:rsidRPr="009D4272">
        <w:rPr>
          <w:rFonts w:asciiTheme="minorHAnsi" w:hAnsiTheme="minorHAnsi" w:cstheme="minorHAnsi"/>
          <w:b/>
          <w:bCs/>
          <w:color w:val="0D0D0D" w:themeColor="text1" w:themeTint="F2"/>
        </w:rPr>
        <w:t xml:space="preserve">s and policies as </w:t>
      </w:r>
      <w:r w:rsidR="00820871" w:rsidRPr="009D4272">
        <w:rPr>
          <w:rFonts w:asciiTheme="minorHAnsi" w:hAnsiTheme="minorHAnsi" w:cstheme="minorHAnsi"/>
          <w:b/>
          <w:bCs/>
          <w:color w:val="0D0D0D" w:themeColor="text1" w:themeTint="F2"/>
        </w:rPr>
        <w:t>drivers for agroecological transitions</w:t>
      </w:r>
    </w:p>
    <w:p w14:paraId="7712346B" w14:textId="122A3C39" w:rsidR="00BA4928" w:rsidRPr="00675326" w:rsidRDefault="00BA4928" w:rsidP="00675326">
      <w:pPr>
        <w:pStyle w:val="ListParagraph"/>
        <w:numPr>
          <w:ilvl w:val="1"/>
          <w:numId w:val="1"/>
        </w:numPr>
        <w:spacing w:before="120" w:after="120"/>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The food system transition depend</w:t>
      </w:r>
      <w:r w:rsidR="006B7AD6">
        <w:rPr>
          <w:rFonts w:asciiTheme="minorHAnsi" w:hAnsiTheme="minorHAnsi" w:cstheme="minorHAnsi"/>
          <w:color w:val="0D0D0D" w:themeColor="text1" w:themeTint="F2"/>
        </w:rPr>
        <w:t>s</w:t>
      </w:r>
      <w:r>
        <w:rPr>
          <w:rFonts w:asciiTheme="minorHAnsi" w:hAnsiTheme="minorHAnsi" w:cstheme="minorHAnsi"/>
          <w:color w:val="0D0D0D" w:themeColor="text1" w:themeTint="F2"/>
        </w:rPr>
        <w:t xml:space="preserve"> on the institutional and policy landscape. Global, </w:t>
      </w:r>
      <w:r w:rsidR="006B7AD6">
        <w:rPr>
          <w:rFonts w:asciiTheme="minorHAnsi" w:hAnsiTheme="minorHAnsi" w:cstheme="minorHAnsi"/>
          <w:color w:val="0D0D0D" w:themeColor="text1" w:themeTint="F2"/>
        </w:rPr>
        <w:t>continental,</w:t>
      </w:r>
      <w:r>
        <w:rPr>
          <w:rFonts w:asciiTheme="minorHAnsi" w:hAnsiTheme="minorHAnsi" w:cstheme="minorHAnsi"/>
          <w:color w:val="0D0D0D" w:themeColor="text1" w:themeTint="F2"/>
        </w:rPr>
        <w:t xml:space="preserve"> and national policies drive the food systems transition and may shape </w:t>
      </w:r>
      <w:r w:rsidR="00871B95">
        <w:rPr>
          <w:rFonts w:asciiTheme="minorHAnsi" w:hAnsiTheme="minorHAnsi" w:cstheme="minorHAnsi"/>
          <w:color w:val="0D0D0D" w:themeColor="text1" w:themeTint="F2"/>
        </w:rPr>
        <w:t>an</w:t>
      </w:r>
      <w:r>
        <w:rPr>
          <w:rFonts w:asciiTheme="minorHAnsi" w:hAnsiTheme="minorHAnsi" w:cstheme="minorHAnsi"/>
          <w:color w:val="0D0D0D" w:themeColor="text1" w:themeTint="F2"/>
        </w:rPr>
        <w:t xml:space="preserve"> enabling environment to scale agroecology. </w:t>
      </w:r>
      <w:r w:rsidR="006B7AD6">
        <w:rPr>
          <w:rFonts w:asciiTheme="minorHAnsi" w:hAnsiTheme="minorHAnsi" w:cstheme="minorHAnsi"/>
          <w:color w:val="0D0D0D" w:themeColor="text1" w:themeTint="F2"/>
        </w:rPr>
        <w:t>However,</w:t>
      </w:r>
      <w:r>
        <w:rPr>
          <w:rFonts w:asciiTheme="minorHAnsi" w:hAnsiTheme="minorHAnsi" w:cstheme="minorHAnsi"/>
          <w:color w:val="0D0D0D" w:themeColor="text1" w:themeTint="F2"/>
        </w:rPr>
        <w:t xml:space="preserve"> there is a need to assess and support these policies to effectively contribute to changes. </w:t>
      </w:r>
      <w:r w:rsidR="006950B9">
        <w:rPr>
          <w:rFonts w:asciiTheme="minorHAnsi" w:hAnsiTheme="minorHAnsi" w:cstheme="minorHAnsi"/>
          <w:color w:val="0D0D0D" w:themeColor="text1" w:themeTint="F2"/>
        </w:rPr>
        <w:t xml:space="preserve">The agroecological transition requires new indicators </w:t>
      </w:r>
      <w:r w:rsidR="00E4224C">
        <w:rPr>
          <w:rFonts w:asciiTheme="minorHAnsi" w:hAnsiTheme="minorHAnsi" w:cstheme="minorHAnsi"/>
          <w:color w:val="0D0D0D" w:themeColor="text1" w:themeTint="F2"/>
        </w:rPr>
        <w:t xml:space="preserve">(economic, </w:t>
      </w:r>
      <w:proofErr w:type="gramStart"/>
      <w:r w:rsidR="00E4224C">
        <w:rPr>
          <w:rFonts w:asciiTheme="minorHAnsi" w:hAnsiTheme="minorHAnsi" w:cstheme="minorHAnsi"/>
          <w:color w:val="0D0D0D" w:themeColor="text1" w:themeTint="F2"/>
        </w:rPr>
        <w:t>social</w:t>
      </w:r>
      <w:proofErr w:type="gramEnd"/>
      <w:r w:rsidR="00E4224C">
        <w:rPr>
          <w:rFonts w:asciiTheme="minorHAnsi" w:hAnsiTheme="minorHAnsi" w:cstheme="minorHAnsi"/>
          <w:color w:val="0D0D0D" w:themeColor="text1" w:themeTint="F2"/>
        </w:rPr>
        <w:t xml:space="preserve"> and environmental) </w:t>
      </w:r>
      <w:r w:rsidR="006950B9">
        <w:rPr>
          <w:rFonts w:asciiTheme="minorHAnsi" w:hAnsiTheme="minorHAnsi" w:cstheme="minorHAnsi"/>
          <w:color w:val="0D0D0D" w:themeColor="text1" w:themeTint="F2"/>
        </w:rPr>
        <w:t xml:space="preserve">and </w:t>
      </w:r>
      <w:r w:rsidR="00E4224C">
        <w:rPr>
          <w:rFonts w:asciiTheme="minorHAnsi" w:hAnsiTheme="minorHAnsi" w:cstheme="minorHAnsi"/>
          <w:color w:val="0D0D0D" w:themeColor="text1" w:themeTint="F2"/>
        </w:rPr>
        <w:t xml:space="preserve">adapted </w:t>
      </w:r>
      <w:r w:rsidR="006950B9">
        <w:rPr>
          <w:rFonts w:asciiTheme="minorHAnsi" w:hAnsiTheme="minorHAnsi" w:cstheme="minorHAnsi"/>
          <w:color w:val="0D0D0D" w:themeColor="text1" w:themeTint="F2"/>
        </w:rPr>
        <w:t xml:space="preserve">monitoring systems to assess the performance of food systems </w:t>
      </w:r>
      <w:r w:rsidR="00E4224C">
        <w:rPr>
          <w:rFonts w:asciiTheme="minorHAnsi" w:hAnsiTheme="minorHAnsi" w:cstheme="minorHAnsi"/>
          <w:color w:val="0D0D0D" w:themeColor="text1" w:themeTint="F2"/>
        </w:rPr>
        <w:t>based on agroecological principles</w:t>
      </w:r>
      <w:r w:rsidR="006950B9">
        <w:rPr>
          <w:rFonts w:asciiTheme="minorHAnsi" w:hAnsiTheme="minorHAnsi" w:cstheme="minorHAnsi"/>
          <w:color w:val="0D0D0D" w:themeColor="text1" w:themeTint="F2"/>
        </w:rPr>
        <w:t>.</w:t>
      </w:r>
      <w:r w:rsidR="00E4224C">
        <w:rPr>
          <w:rFonts w:asciiTheme="minorHAnsi" w:hAnsiTheme="minorHAnsi" w:cstheme="minorHAnsi"/>
          <w:color w:val="0D0D0D" w:themeColor="text1" w:themeTint="F2"/>
        </w:rPr>
        <w:t xml:space="preserve"> Modelling tools at farm or country level</w:t>
      </w:r>
      <w:r w:rsidR="00871B95">
        <w:rPr>
          <w:rFonts w:asciiTheme="minorHAnsi" w:hAnsiTheme="minorHAnsi" w:cstheme="minorHAnsi"/>
          <w:color w:val="0D0D0D" w:themeColor="text1" w:themeTint="F2"/>
        </w:rPr>
        <w:t>s</w:t>
      </w:r>
      <w:r w:rsidR="00E4224C">
        <w:rPr>
          <w:rFonts w:asciiTheme="minorHAnsi" w:hAnsiTheme="minorHAnsi" w:cstheme="minorHAnsi"/>
          <w:color w:val="0D0D0D" w:themeColor="text1" w:themeTint="F2"/>
        </w:rPr>
        <w:t xml:space="preserve"> are also useful to assess to wh</w:t>
      </w:r>
      <w:r w:rsidR="00871B95">
        <w:rPr>
          <w:rFonts w:asciiTheme="minorHAnsi" w:hAnsiTheme="minorHAnsi" w:cstheme="minorHAnsi"/>
          <w:color w:val="0D0D0D" w:themeColor="text1" w:themeTint="F2"/>
        </w:rPr>
        <w:t>at</w:t>
      </w:r>
      <w:r w:rsidR="00E4224C">
        <w:rPr>
          <w:rFonts w:asciiTheme="minorHAnsi" w:hAnsiTheme="minorHAnsi" w:cstheme="minorHAnsi"/>
          <w:color w:val="0D0D0D" w:themeColor="text1" w:themeTint="F2"/>
        </w:rPr>
        <w:t xml:space="preserve"> extent and under which conditions agroecology can address current challenges (food security, climate change, biodiversity loss, etc.). </w:t>
      </w:r>
      <w:r w:rsidR="00E4224C">
        <w:rPr>
          <w:rFonts w:asciiTheme="minorHAnsi" w:hAnsiTheme="minorHAnsi" w:cstheme="minorHAnsi"/>
          <w:color w:val="0D0D0D" w:themeColor="text1" w:themeTint="F2"/>
        </w:rPr>
        <w:lastRenderedPageBreak/>
        <w:t xml:space="preserve">Dialogue with key stakeholders (farmers, civil society, private sector, policy makers) is a key step to </w:t>
      </w:r>
      <w:r>
        <w:rPr>
          <w:rFonts w:asciiTheme="minorHAnsi" w:hAnsiTheme="minorHAnsi" w:cstheme="minorHAnsi"/>
          <w:color w:val="0D0D0D" w:themeColor="text1" w:themeTint="F2"/>
        </w:rPr>
        <w:t xml:space="preserve">define relevant questions, </w:t>
      </w:r>
      <w:r w:rsidR="00E4224C">
        <w:rPr>
          <w:rFonts w:asciiTheme="minorHAnsi" w:hAnsiTheme="minorHAnsi" w:cstheme="minorHAnsi"/>
          <w:color w:val="0D0D0D" w:themeColor="text1" w:themeTint="F2"/>
        </w:rPr>
        <w:t xml:space="preserve">shape the analytical framework, discuss the </w:t>
      </w:r>
      <w:r w:rsidR="006B7AD6">
        <w:rPr>
          <w:rFonts w:asciiTheme="minorHAnsi" w:hAnsiTheme="minorHAnsi" w:cstheme="minorHAnsi"/>
          <w:color w:val="0D0D0D" w:themeColor="text1" w:themeTint="F2"/>
        </w:rPr>
        <w:t>results,</w:t>
      </w:r>
      <w:r w:rsidR="00E4224C">
        <w:rPr>
          <w:rFonts w:asciiTheme="minorHAnsi" w:hAnsiTheme="minorHAnsi" w:cstheme="minorHAnsi"/>
          <w:color w:val="0D0D0D" w:themeColor="text1" w:themeTint="F2"/>
        </w:rPr>
        <w:t xml:space="preserve"> and propose </w:t>
      </w:r>
      <w:r>
        <w:rPr>
          <w:rFonts w:asciiTheme="minorHAnsi" w:hAnsiTheme="minorHAnsi" w:cstheme="minorHAnsi"/>
          <w:color w:val="0D0D0D" w:themeColor="text1" w:themeTint="F2"/>
        </w:rPr>
        <w:t>solutions.</w:t>
      </w:r>
    </w:p>
    <w:p w14:paraId="06571B17" w14:textId="0DDF24EF" w:rsidR="00860476" w:rsidRDefault="00860476" w:rsidP="00BE0A9F">
      <w:pPr>
        <w:jc w:val="both"/>
      </w:pPr>
    </w:p>
    <w:p w14:paraId="1B416C93" w14:textId="77777777" w:rsidR="009D4272" w:rsidRPr="0056657C" w:rsidRDefault="009D4272" w:rsidP="00BE0A9F">
      <w:pPr>
        <w:jc w:val="both"/>
      </w:pPr>
    </w:p>
    <w:p w14:paraId="2252EB77" w14:textId="5C04AA3C" w:rsidR="0043241C" w:rsidRPr="00BA3D61" w:rsidRDefault="00BA3D61" w:rsidP="00BA3D61">
      <w:pPr>
        <w:jc w:val="both"/>
        <w:rPr>
          <w:rFonts w:cstheme="minorHAnsi"/>
          <w:b/>
          <w:bCs/>
        </w:rPr>
      </w:pPr>
      <w:r>
        <w:rPr>
          <w:rFonts w:cstheme="minorHAnsi"/>
          <w:b/>
          <w:bCs/>
        </w:rPr>
        <w:t xml:space="preserve">ANNEX </w:t>
      </w:r>
      <w:proofErr w:type="gramStart"/>
      <w:r>
        <w:rPr>
          <w:rFonts w:cstheme="minorHAnsi"/>
          <w:b/>
          <w:bCs/>
        </w:rPr>
        <w:t>2 :</w:t>
      </w:r>
      <w:proofErr w:type="gramEnd"/>
      <w:r>
        <w:rPr>
          <w:rFonts w:cstheme="minorHAnsi"/>
          <w:b/>
          <w:bCs/>
        </w:rPr>
        <w:t xml:space="preserve"> </w:t>
      </w:r>
      <w:r w:rsidR="008F528C" w:rsidRPr="00BA3D61">
        <w:rPr>
          <w:rFonts w:cstheme="minorHAnsi"/>
          <w:b/>
          <w:bCs/>
        </w:rPr>
        <w:t>Criteria</w:t>
      </w:r>
      <w:r w:rsidR="00EC4C97" w:rsidRPr="00BA3D61">
        <w:rPr>
          <w:rFonts w:cstheme="minorHAnsi"/>
          <w:b/>
          <w:bCs/>
        </w:rPr>
        <w:t xml:space="preserve"> to assess the </w:t>
      </w:r>
      <w:r w:rsidR="00675326" w:rsidRPr="00BA3D61">
        <w:rPr>
          <w:rFonts w:cstheme="minorHAnsi"/>
          <w:b/>
          <w:bCs/>
        </w:rPr>
        <w:t>RM</w:t>
      </w:r>
      <w:r w:rsidRPr="00BA3D61">
        <w:rPr>
          <w:rFonts w:cstheme="minorHAnsi"/>
          <w:b/>
          <w:bCs/>
        </w:rPr>
        <w:t>RN</w:t>
      </w:r>
    </w:p>
    <w:p w14:paraId="12B0224A" w14:textId="542FBEF7" w:rsidR="00E87ED9" w:rsidRPr="00E87ED9" w:rsidRDefault="00637AC2" w:rsidP="00BE0A9F">
      <w:pPr>
        <w:jc w:val="both"/>
        <w:rPr>
          <w:rFonts w:cstheme="minorHAnsi"/>
          <w:u w:val="single"/>
          <w:lang w:val="en-IE"/>
        </w:rPr>
      </w:pPr>
      <w:r>
        <w:rPr>
          <w:rFonts w:cstheme="minorHAnsi"/>
          <w:u w:val="single"/>
          <w:lang w:val="en-IE"/>
        </w:rPr>
        <w:t>Technical c</w:t>
      </w:r>
      <w:r w:rsidR="009D4272">
        <w:rPr>
          <w:rFonts w:cstheme="minorHAnsi"/>
          <w:u w:val="single"/>
          <w:lang w:val="en-IE"/>
        </w:rPr>
        <w:t>riteria for the</w:t>
      </w:r>
      <w:r w:rsidR="00675326">
        <w:rPr>
          <w:rFonts w:cstheme="minorHAnsi"/>
          <w:u w:val="single"/>
          <w:lang w:val="en-IE"/>
        </w:rPr>
        <w:t xml:space="preserve"> </w:t>
      </w:r>
      <w:r w:rsidR="00E87ED9" w:rsidRPr="00E87ED9">
        <w:rPr>
          <w:rFonts w:cstheme="minorHAnsi"/>
          <w:u w:val="single"/>
          <w:lang w:val="en-IE"/>
        </w:rPr>
        <w:t>proposal</w:t>
      </w:r>
    </w:p>
    <w:p w14:paraId="3C591FAF" w14:textId="10C24CAA" w:rsidR="008F528C" w:rsidRPr="00E87ED9" w:rsidRDefault="00637AC2" w:rsidP="00BE0A9F">
      <w:pPr>
        <w:pStyle w:val="ListParagraph"/>
        <w:numPr>
          <w:ilvl w:val="0"/>
          <w:numId w:val="1"/>
        </w:numPr>
        <w:jc w:val="both"/>
        <w:rPr>
          <w:rFonts w:cstheme="minorHAnsi"/>
        </w:rPr>
      </w:pPr>
      <w:r>
        <w:rPr>
          <w:rFonts w:cstheme="minorHAnsi"/>
          <w:b/>
          <w:bCs/>
        </w:rPr>
        <w:t>C</w:t>
      </w:r>
      <w:r w:rsidR="003E74E4" w:rsidRPr="00675326">
        <w:rPr>
          <w:rFonts w:cstheme="minorHAnsi"/>
          <w:b/>
          <w:bCs/>
        </w:rPr>
        <w:t>ontribut</w:t>
      </w:r>
      <w:r>
        <w:rPr>
          <w:rFonts w:cstheme="minorHAnsi"/>
          <w:b/>
          <w:bCs/>
        </w:rPr>
        <w:t xml:space="preserve">ion </w:t>
      </w:r>
      <w:r w:rsidR="003E74E4" w:rsidRPr="00675326">
        <w:rPr>
          <w:rFonts w:cstheme="minorHAnsi"/>
          <w:b/>
          <w:bCs/>
        </w:rPr>
        <w:t xml:space="preserve">to </w:t>
      </w:r>
      <w:r w:rsidR="003550C7" w:rsidRPr="00675326">
        <w:rPr>
          <w:rFonts w:cstheme="minorHAnsi"/>
          <w:b/>
          <w:bCs/>
        </w:rPr>
        <w:t xml:space="preserve">the 13 </w:t>
      </w:r>
      <w:r w:rsidR="003550C7" w:rsidRPr="00637AC2">
        <w:rPr>
          <w:rFonts w:cstheme="minorHAnsi"/>
          <w:b/>
          <w:bCs/>
        </w:rPr>
        <w:t>principle</w:t>
      </w:r>
      <w:r w:rsidR="00675326" w:rsidRPr="00637AC2">
        <w:rPr>
          <w:rFonts w:cstheme="minorHAnsi"/>
          <w:b/>
          <w:bCs/>
        </w:rPr>
        <w:t>s of agroecology</w:t>
      </w:r>
      <w:r w:rsidR="003550C7" w:rsidRPr="00E87ED9">
        <w:rPr>
          <w:rFonts w:cstheme="minorHAnsi"/>
        </w:rPr>
        <w:t xml:space="preserve"> (three blocks</w:t>
      </w:r>
      <w:r w:rsidR="00675326">
        <w:rPr>
          <w:rFonts w:cstheme="minorHAnsi"/>
        </w:rPr>
        <w:t xml:space="preserve">, see the </w:t>
      </w:r>
      <w:r w:rsidR="003E74E4">
        <w:rPr>
          <w:rFonts w:cstheme="minorHAnsi"/>
        </w:rPr>
        <w:t xml:space="preserve">HLPE </w:t>
      </w:r>
      <w:r w:rsidR="00675326">
        <w:rPr>
          <w:rFonts w:cstheme="minorHAnsi"/>
        </w:rPr>
        <w:t xml:space="preserve">report </w:t>
      </w:r>
      <w:r w:rsidR="003E74E4">
        <w:rPr>
          <w:rFonts w:cstheme="minorHAnsi"/>
        </w:rPr>
        <w:t>on “AE and other innovati</w:t>
      </w:r>
      <w:r w:rsidR="00675326">
        <w:rPr>
          <w:rFonts w:cstheme="minorHAnsi"/>
        </w:rPr>
        <w:t>ve approaches, 2019):</w:t>
      </w:r>
    </w:p>
    <w:p w14:paraId="22385115" w14:textId="56BB7DA9" w:rsidR="003550C7" w:rsidRPr="003550C7" w:rsidRDefault="003550C7" w:rsidP="00BE0A9F">
      <w:pPr>
        <w:pStyle w:val="ListParagraph"/>
        <w:numPr>
          <w:ilvl w:val="1"/>
          <w:numId w:val="1"/>
        </w:numPr>
        <w:spacing w:before="120" w:after="120"/>
        <w:jc w:val="both"/>
        <w:rPr>
          <w:rFonts w:asciiTheme="minorHAnsi" w:hAnsiTheme="minorHAnsi" w:cstheme="minorHAnsi"/>
          <w:color w:val="0D0D0D" w:themeColor="text1" w:themeTint="F2"/>
        </w:rPr>
      </w:pPr>
      <w:r w:rsidRPr="003550C7">
        <w:rPr>
          <w:rFonts w:asciiTheme="minorHAnsi" w:hAnsiTheme="minorHAnsi" w:cstheme="minorHAnsi"/>
          <w:color w:val="0D0D0D" w:themeColor="text1" w:themeTint="F2"/>
        </w:rPr>
        <w:t>Improve the efficiency of resource use: 1</w:t>
      </w:r>
      <w:proofErr w:type="gramStart"/>
      <w:r w:rsidRPr="003550C7">
        <w:rPr>
          <w:rFonts w:asciiTheme="minorHAnsi" w:hAnsiTheme="minorHAnsi" w:cstheme="minorHAnsi"/>
          <w:color w:val="0D0D0D" w:themeColor="text1" w:themeTint="F2"/>
        </w:rPr>
        <w:t>)  Recycling</w:t>
      </w:r>
      <w:proofErr w:type="gramEnd"/>
      <w:r w:rsidRPr="003550C7">
        <w:rPr>
          <w:rFonts w:asciiTheme="minorHAnsi" w:hAnsiTheme="minorHAnsi" w:cstheme="minorHAnsi"/>
          <w:color w:val="0D0D0D" w:themeColor="text1" w:themeTint="F2"/>
        </w:rPr>
        <w:t xml:space="preserve"> of renewable resources and closure of the cycles of nutrient and biomass resources, 2) Reduction of external inputs. </w:t>
      </w:r>
    </w:p>
    <w:p w14:paraId="113742CA" w14:textId="71D0B1F4" w:rsidR="003550C7" w:rsidRPr="003550C7" w:rsidRDefault="003550C7" w:rsidP="00BE0A9F">
      <w:pPr>
        <w:pStyle w:val="ListParagraph"/>
        <w:numPr>
          <w:ilvl w:val="1"/>
          <w:numId w:val="1"/>
        </w:numPr>
        <w:spacing w:before="120" w:after="120"/>
        <w:jc w:val="both"/>
        <w:rPr>
          <w:rFonts w:asciiTheme="minorHAnsi" w:hAnsiTheme="minorHAnsi" w:cstheme="minorHAnsi"/>
          <w:color w:val="0D0D0D" w:themeColor="text1" w:themeTint="F2"/>
        </w:rPr>
      </w:pPr>
      <w:r w:rsidRPr="003550C7">
        <w:rPr>
          <w:rFonts w:asciiTheme="minorHAnsi" w:hAnsiTheme="minorHAnsi" w:cstheme="minorHAnsi"/>
          <w:color w:val="0D0D0D" w:themeColor="text1" w:themeTint="F2"/>
        </w:rPr>
        <w:t xml:space="preserve">Building resilience: 3) Soil health, 4) Animal health, 5) Biodiversity at different levels, 6) Synergies to foster positive ecological interactions, 7) Economic diversification. </w:t>
      </w:r>
    </w:p>
    <w:p w14:paraId="2B965BC8" w14:textId="6E47DD9E" w:rsidR="003550C7" w:rsidRPr="003550C7" w:rsidRDefault="003550C7" w:rsidP="00BE0A9F">
      <w:pPr>
        <w:pStyle w:val="ListParagraph"/>
        <w:numPr>
          <w:ilvl w:val="1"/>
          <w:numId w:val="1"/>
        </w:numPr>
        <w:spacing w:before="120" w:after="120"/>
        <w:jc w:val="both"/>
        <w:rPr>
          <w:rFonts w:asciiTheme="minorHAnsi" w:hAnsiTheme="minorHAnsi" w:cstheme="minorHAnsi"/>
          <w:color w:val="0D0D0D" w:themeColor="text1" w:themeTint="F2"/>
        </w:rPr>
      </w:pPr>
      <w:r w:rsidRPr="003550C7">
        <w:rPr>
          <w:rFonts w:asciiTheme="minorHAnsi" w:hAnsiTheme="minorHAnsi" w:cstheme="minorHAnsi"/>
          <w:color w:val="0D0D0D" w:themeColor="text1" w:themeTint="F2"/>
        </w:rPr>
        <w:t xml:space="preserve">Ensure equity / social responsibility: 8) Co-creation of knowledge, 9) Social values and types of diet, 10) Fairness to ensure dignified and reliable livelihoods, 11) Connectivity to guarantee proximity and trust between producers and consumers, 12) Governance of land and natural resources, 13) Participation. </w:t>
      </w:r>
    </w:p>
    <w:p w14:paraId="2EECBFFA" w14:textId="2E3D89A8" w:rsidR="002E4D19" w:rsidRPr="00E87ED9" w:rsidRDefault="00BA3D61" w:rsidP="002E4D19">
      <w:pPr>
        <w:pStyle w:val="ListParagraph"/>
        <w:numPr>
          <w:ilvl w:val="0"/>
          <w:numId w:val="1"/>
        </w:numPr>
        <w:jc w:val="both"/>
        <w:rPr>
          <w:rFonts w:cstheme="minorHAnsi"/>
        </w:rPr>
      </w:pPr>
      <w:r>
        <w:rPr>
          <w:rFonts w:cstheme="minorHAnsi"/>
          <w:b/>
          <w:bCs/>
        </w:rPr>
        <w:t>Multidisciplinary and m</w:t>
      </w:r>
      <w:r w:rsidR="002E4D19" w:rsidRPr="00637AC2">
        <w:rPr>
          <w:rFonts w:cstheme="minorHAnsi"/>
          <w:b/>
          <w:bCs/>
        </w:rPr>
        <w:t>ultistakeholder approach</w:t>
      </w:r>
      <w:r w:rsidR="002E4D19">
        <w:rPr>
          <w:rFonts w:cstheme="minorHAnsi"/>
        </w:rPr>
        <w:t xml:space="preserve"> with a participation of non-research organisations and clear methodology for participation</w:t>
      </w:r>
    </w:p>
    <w:p w14:paraId="3C9960C9" w14:textId="57CDBFA0" w:rsidR="00A61FB0" w:rsidRPr="00A61FB0" w:rsidRDefault="00A953FC" w:rsidP="00BE0A9F">
      <w:pPr>
        <w:pStyle w:val="ListParagraph"/>
        <w:numPr>
          <w:ilvl w:val="0"/>
          <w:numId w:val="1"/>
        </w:numPr>
        <w:jc w:val="both"/>
        <w:rPr>
          <w:rFonts w:cstheme="minorHAnsi"/>
          <w:b/>
          <w:bCs/>
        </w:rPr>
      </w:pPr>
      <w:r w:rsidRPr="00637AC2">
        <w:rPr>
          <w:rFonts w:cstheme="minorHAnsi"/>
          <w:b/>
          <w:bCs/>
        </w:rPr>
        <w:t>H</w:t>
      </w:r>
      <w:r w:rsidR="00E87ED9" w:rsidRPr="00637AC2">
        <w:rPr>
          <w:rFonts w:cstheme="minorHAnsi"/>
          <w:b/>
          <w:bCs/>
        </w:rPr>
        <w:t>olistic approach</w:t>
      </w:r>
      <w:r w:rsidR="00E87ED9" w:rsidRPr="00E87ED9">
        <w:rPr>
          <w:rFonts w:cstheme="minorHAnsi"/>
        </w:rPr>
        <w:t xml:space="preserve"> (</w:t>
      </w:r>
      <w:r w:rsidR="006B7AD6">
        <w:rPr>
          <w:rFonts w:cstheme="minorHAnsi"/>
        </w:rPr>
        <w:t xml:space="preserve">different components and interactions, </w:t>
      </w:r>
      <w:r w:rsidR="00E87ED9" w:rsidRPr="00E87ED9">
        <w:rPr>
          <w:rFonts w:cstheme="minorHAnsi"/>
        </w:rPr>
        <w:t>different levels of analysis/intervention</w:t>
      </w:r>
      <w:r w:rsidR="007A1225">
        <w:rPr>
          <w:rFonts w:cstheme="minorHAnsi"/>
        </w:rPr>
        <w:t>, different dimensions such as technology, capacities, institutions, and policies</w:t>
      </w:r>
      <w:r w:rsidR="006B7AD6">
        <w:rPr>
          <w:rFonts w:cstheme="minorHAnsi"/>
        </w:rPr>
        <w:t>)</w:t>
      </w:r>
    </w:p>
    <w:p w14:paraId="45560F08" w14:textId="1C3B00D5" w:rsidR="00A1033E" w:rsidRPr="00A1033E" w:rsidRDefault="00A953FC" w:rsidP="00BE0A9F">
      <w:pPr>
        <w:pStyle w:val="ListParagraph"/>
        <w:numPr>
          <w:ilvl w:val="0"/>
          <w:numId w:val="1"/>
        </w:numPr>
        <w:jc w:val="both"/>
        <w:rPr>
          <w:rFonts w:cstheme="minorHAnsi"/>
          <w:b/>
          <w:bCs/>
        </w:rPr>
      </w:pPr>
      <w:r w:rsidRPr="00637AC2">
        <w:rPr>
          <w:rFonts w:cstheme="minorHAnsi"/>
          <w:b/>
          <w:bCs/>
        </w:rPr>
        <w:t>C</w:t>
      </w:r>
      <w:r w:rsidR="00A61FB0" w:rsidRPr="00637AC2">
        <w:rPr>
          <w:rFonts w:cstheme="minorHAnsi"/>
          <w:b/>
          <w:bCs/>
        </w:rPr>
        <w:t>apacity strengthening</w:t>
      </w:r>
      <w:r w:rsidR="00A61FB0">
        <w:rPr>
          <w:rFonts w:cstheme="minorHAnsi"/>
        </w:rPr>
        <w:t xml:space="preserve"> </w:t>
      </w:r>
      <w:r w:rsidR="006B7AD6">
        <w:rPr>
          <w:rFonts w:cstheme="minorHAnsi"/>
        </w:rPr>
        <w:t xml:space="preserve">objectives/activities for practitioners, policy </w:t>
      </w:r>
      <w:proofErr w:type="gramStart"/>
      <w:r w:rsidR="006B7AD6">
        <w:rPr>
          <w:rFonts w:cstheme="minorHAnsi"/>
        </w:rPr>
        <w:t>makers</w:t>
      </w:r>
      <w:proofErr w:type="gramEnd"/>
    </w:p>
    <w:p w14:paraId="14114832" w14:textId="11C13348" w:rsidR="008F528C" w:rsidRPr="00A61FB0" w:rsidRDefault="006B7AD6" w:rsidP="00BE0A9F">
      <w:pPr>
        <w:pStyle w:val="ListParagraph"/>
        <w:numPr>
          <w:ilvl w:val="0"/>
          <w:numId w:val="1"/>
        </w:numPr>
        <w:jc w:val="both"/>
        <w:rPr>
          <w:rFonts w:cstheme="minorHAnsi"/>
          <w:b/>
          <w:bCs/>
        </w:rPr>
      </w:pPr>
      <w:r w:rsidRPr="00637AC2">
        <w:rPr>
          <w:rFonts w:cstheme="minorHAnsi"/>
          <w:b/>
          <w:bCs/>
        </w:rPr>
        <w:t>Effective l</w:t>
      </w:r>
      <w:r w:rsidR="00A1033E" w:rsidRPr="00637AC2">
        <w:rPr>
          <w:rFonts w:cstheme="minorHAnsi"/>
          <w:b/>
          <w:bCs/>
        </w:rPr>
        <w:t xml:space="preserve">ink with </w:t>
      </w:r>
      <w:r w:rsidR="002E4D19" w:rsidRPr="00637AC2">
        <w:rPr>
          <w:rFonts w:cstheme="minorHAnsi"/>
          <w:b/>
          <w:bCs/>
        </w:rPr>
        <w:t xml:space="preserve">policy makers </w:t>
      </w:r>
      <w:r w:rsidR="002E4D19">
        <w:rPr>
          <w:rFonts w:cstheme="minorHAnsi"/>
        </w:rPr>
        <w:t>at national, regional, continental level</w:t>
      </w:r>
      <w:r w:rsidR="008F528C" w:rsidRPr="00A61FB0">
        <w:rPr>
          <w:rFonts w:cstheme="minorHAnsi"/>
          <w:b/>
          <w:bCs/>
        </w:rPr>
        <w:tab/>
      </w:r>
    </w:p>
    <w:p w14:paraId="432E75FD" w14:textId="77777777" w:rsidR="00E87ED9" w:rsidRDefault="00E87ED9" w:rsidP="00BE0A9F">
      <w:pPr>
        <w:jc w:val="both"/>
        <w:rPr>
          <w:rFonts w:cstheme="minorHAnsi"/>
          <w:b/>
          <w:bCs/>
          <w:lang w:val="en-IE"/>
        </w:rPr>
      </w:pPr>
    </w:p>
    <w:p w14:paraId="31F01F46" w14:textId="77777777" w:rsidR="00637AC2" w:rsidRDefault="009D4272" w:rsidP="00637AC2">
      <w:pPr>
        <w:jc w:val="both"/>
        <w:rPr>
          <w:rFonts w:cstheme="minorHAnsi"/>
          <w:u w:val="single"/>
          <w:lang w:val="en-IE"/>
        </w:rPr>
      </w:pPr>
      <w:r>
        <w:rPr>
          <w:rFonts w:cstheme="minorHAnsi"/>
          <w:u w:val="single"/>
          <w:lang w:val="en-IE"/>
        </w:rPr>
        <w:t>I</w:t>
      </w:r>
      <w:r w:rsidR="0043241C" w:rsidRPr="00E87ED9">
        <w:rPr>
          <w:rFonts w:cstheme="minorHAnsi"/>
          <w:u w:val="single"/>
          <w:lang w:val="en-IE"/>
        </w:rPr>
        <w:t xml:space="preserve">nstitutional criteria </w:t>
      </w:r>
    </w:p>
    <w:p w14:paraId="0B8ECF89" w14:textId="179FCC10" w:rsidR="0043241C" w:rsidRDefault="0043241C" w:rsidP="00637AC2">
      <w:pPr>
        <w:pStyle w:val="ListParagraph"/>
        <w:numPr>
          <w:ilvl w:val="0"/>
          <w:numId w:val="1"/>
        </w:numPr>
        <w:jc w:val="both"/>
      </w:pPr>
      <w:r w:rsidRPr="00637AC2">
        <w:rPr>
          <w:b/>
        </w:rPr>
        <w:t>Thematic expertise</w:t>
      </w:r>
      <w:r>
        <w:t xml:space="preserve"> </w:t>
      </w:r>
      <w:r w:rsidR="00BA088D">
        <w:t>–</w:t>
      </w:r>
      <w:r>
        <w:t xml:space="preserve"> </w:t>
      </w:r>
      <w:r w:rsidR="00BA088D">
        <w:t xml:space="preserve">together </w:t>
      </w:r>
      <w:r>
        <w:t>t</w:t>
      </w:r>
      <w:r w:rsidRPr="009D59E0">
        <w:t xml:space="preserve">he </w:t>
      </w:r>
      <w:r>
        <w:t xml:space="preserve">members of the </w:t>
      </w:r>
      <w:r w:rsidR="00675326">
        <w:t>RM</w:t>
      </w:r>
      <w:r w:rsidR="00BA3D61">
        <w:t xml:space="preserve">RN </w:t>
      </w:r>
      <w:r>
        <w:t xml:space="preserve">have proven expertise and experience </w:t>
      </w:r>
      <w:r w:rsidRPr="009D59E0">
        <w:t xml:space="preserve">in </w:t>
      </w:r>
      <w:r>
        <w:t xml:space="preserve">fields related to </w:t>
      </w:r>
      <w:r w:rsidR="002E4D19">
        <w:t xml:space="preserve">the R&amp;I proposal and </w:t>
      </w:r>
      <w:r>
        <w:t>agroecology</w:t>
      </w:r>
      <w:r w:rsidR="00BA088D">
        <w:t xml:space="preserve">. </w:t>
      </w:r>
    </w:p>
    <w:p w14:paraId="0F9AA385" w14:textId="77777777" w:rsidR="00BA3D61" w:rsidRDefault="00675326" w:rsidP="003B02E6">
      <w:pPr>
        <w:pStyle w:val="ListParagraph"/>
        <w:numPr>
          <w:ilvl w:val="0"/>
          <w:numId w:val="1"/>
        </w:numPr>
        <w:spacing w:after="240"/>
        <w:jc w:val="both"/>
      </w:pPr>
      <w:proofErr w:type="gramStart"/>
      <w:r w:rsidRPr="00BA3D61">
        <w:rPr>
          <w:b/>
        </w:rPr>
        <w:t xml:space="preserve">Location </w:t>
      </w:r>
      <w:r w:rsidRPr="00675326">
        <w:t>:</w:t>
      </w:r>
      <w:proofErr w:type="gramEnd"/>
      <w:r>
        <w:t xml:space="preserve"> the RMNA is composed of organisations based in different countries of the same region.</w:t>
      </w:r>
    </w:p>
    <w:p w14:paraId="55ADB1C7" w14:textId="70DCA901" w:rsidR="0043241C" w:rsidRDefault="0043241C" w:rsidP="003B02E6">
      <w:pPr>
        <w:pStyle w:val="ListParagraph"/>
        <w:numPr>
          <w:ilvl w:val="0"/>
          <w:numId w:val="1"/>
        </w:numPr>
        <w:spacing w:after="240"/>
        <w:jc w:val="both"/>
      </w:pPr>
      <w:r w:rsidRPr="00BA3D61">
        <w:rPr>
          <w:b/>
        </w:rPr>
        <w:t>Governance structure</w:t>
      </w:r>
      <w:r>
        <w:t xml:space="preserve"> - t</w:t>
      </w:r>
      <w:r w:rsidRPr="009D59E0">
        <w:t xml:space="preserve">he </w:t>
      </w:r>
      <w:r w:rsidR="00D0250C">
        <w:t>RM</w:t>
      </w:r>
      <w:r w:rsidR="00BA3D61">
        <w:t>RN</w:t>
      </w:r>
      <w:r w:rsidR="002E4D19">
        <w:t xml:space="preserve"> </w:t>
      </w:r>
      <w:r>
        <w:t>comes up with an operational governance structure with well-defined mechanism(s) and hierarchy for decision-making.</w:t>
      </w:r>
    </w:p>
    <w:p w14:paraId="0389F6AA" w14:textId="6B1AFBAC" w:rsidR="0043241C" w:rsidRDefault="0043241C" w:rsidP="00675326">
      <w:pPr>
        <w:pStyle w:val="ListParagraph"/>
        <w:numPr>
          <w:ilvl w:val="0"/>
          <w:numId w:val="1"/>
        </w:numPr>
        <w:spacing w:after="240"/>
        <w:jc w:val="both"/>
      </w:pPr>
      <w:r w:rsidRPr="00675326">
        <w:rPr>
          <w:b/>
        </w:rPr>
        <w:t xml:space="preserve">Management </w:t>
      </w:r>
      <w:r w:rsidR="00675326" w:rsidRPr="00675326">
        <w:rPr>
          <w:b/>
        </w:rPr>
        <w:t xml:space="preserve">and financial </w:t>
      </w:r>
      <w:r w:rsidRPr="00675326">
        <w:rPr>
          <w:b/>
        </w:rPr>
        <w:t>capacity</w:t>
      </w:r>
      <w:r>
        <w:t xml:space="preserve"> - t</w:t>
      </w:r>
      <w:r w:rsidRPr="009D59E0">
        <w:t xml:space="preserve">he </w:t>
      </w:r>
      <w:r w:rsidR="00E87ED9">
        <w:t xml:space="preserve">members of the </w:t>
      </w:r>
      <w:r w:rsidR="00D0250C">
        <w:t>RM</w:t>
      </w:r>
      <w:r w:rsidR="00BA3D61">
        <w:t xml:space="preserve">RN </w:t>
      </w:r>
      <w:r w:rsidR="00694F41">
        <w:t>have</w:t>
      </w:r>
      <w:r>
        <w:t xml:space="preserve"> appropriate technical and scientific human resources as well as organisational and administrative capacity conducive to stable operating conditions over the period of engagement.</w:t>
      </w:r>
    </w:p>
    <w:p w14:paraId="0002D7B5" w14:textId="1C72BA96" w:rsidR="001D6717" w:rsidRPr="00BA3D61" w:rsidRDefault="0043241C" w:rsidP="00DF531B">
      <w:pPr>
        <w:pStyle w:val="ListParagraph"/>
        <w:numPr>
          <w:ilvl w:val="0"/>
          <w:numId w:val="1"/>
        </w:numPr>
        <w:spacing w:after="240"/>
        <w:jc w:val="both"/>
        <w:rPr>
          <w:rFonts w:cstheme="minorHAnsi"/>
          <w:b/>
          <w:bCs/>
        </w:rPr>
      </w:pPr>
      <w:r w:rsidRPr="00BA3D61">
        <w:rPr>
          <w:b/>
        </w:rPr>
        <w:t>Gender-balance sensitivity</w:t>
      </w:r>
      <w:r>
        <w:t xml:space="preserve"> - The </w:t>
      </w:r>
      <w:r w:rsidR="00D0250C">
        <w:t>RM</w:t>
      </w:r>
      <w:r w:rsidR="00BA3D61">
        <w:t xml:space="preserve">RN </w:t>
      </w:r>
      <w:r w:rsidRPr="00575796">
        <w:t>provides opportuniti</w:t>
      </w:r>
      <w:r>
        <w:t xml:space="preserve">es to practitioners, </w:t>
      </w:r>
      <w:proofErr w:type="gramStart"/>
      <w:r>
        <w:t>scientists</w:t>
      </w:r>
      <w:proofErr w:type="gramEnd"/>
      <w:r>
        <w:t xml:space="preserve"> and</w:t>
      </w:r>
      <w:r w:rsidRPr="00575796">
        <w:t xml:space="preserve"> policy makers thro</w:t>
      </w:r>
      <w:r>
        <w:t>ugh a gender-sensitive approach and promotes the role of women</w:t>
      </w:r>
      <w:r w:rsidR="003E74E4">
        <w:t>/gender equality</w:t>
      </w:r>
      <w:r>
        <w:t xml:space="preserve"> in STI.</w:t>
      </w:r>
    </w:p>
    <w:sectPr w:rsidR="001D6717" w:rsidRPr="00BA3D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09F0" w14:textId="77777777" w:rsidR="005457B9" w:rsidRDefault="005457B9" w:rsidP="0043241C">
      <w:pPr>
        <w:spacing w:after="0" w:line="240" w:lineRule="auto"/>
      </w:pPr>
      <w:r>
        <w:separator/>
      </w:r>
    </w:p>
  </w:endnote>
  <w:endnote w:type="continuationSeparator" w:id="0">
    <w:p w14:paraId="3D9F1619" w14:textId="77777777" w:rsidR="005457B9" w:rsidRDefault="005457B9" w:rsidP="0043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7232" w14:textId="77777777" w:rsidR="00FB06B1" w:rsidRDefault="00FB0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458302"/>
      <w:docPartObj>
        <w:docPartGallery w:val="Page Numbers (Bottom of Page)"/>
        <w:docPartUnique/>
      </w:docPartObj>
    </w:sdtPr>
    <w:sdtEndPr>
      <w:rPr>
        <w:color w:val="7F7F7F" w:themeColor="background1" w:themeShade="7F"/>
        <w:spacing w:val="60"/>
      </w:rPr>
    </w:sdtEndPr>
    <w:sdtContent>
      <w:p w14:paraId="17889BDB" w14:textId="2ECBB302" w:rsidR="00FB06B1" w:rsidRDefault="00FB06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5910">
          <w:rPr>
            <w:noProof/>
          </w:rPr>
          <w:t>8</w:t>
        </w:r>
        <w:r>
          <w:rPr>
            <w:noProof/>
          </w:rPr>
          <w:fldChar w:fldCharType="end"/>
        </w:r>
        <w:r>
          <w:t xml:space="preserve"> | </w:t>
        </w:r>
        <w:r>
          <w:rPr>
            <w:color w:val="7F7F7F" w:themeColor="background1" w:themeShade="7F"/>
            <w:spacing w:val="60"/>
          </w:rPr>
          <w:t>Page</w:t>
        </w:r>
      </w:p>
    </w:sdtContent>
  </w:sdt>
  <w:p w14:paraId="7DD3BA91" w14:textId="77777777" w:rsidR="00FB06B1" w:rsidRDefault="00FB0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7600" w14:textId="77777777" w:rsidR="00FB06B1" w:rsidRDefault="00FB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D5CE" w14:textId="77777777" w:rsidR="005457B9" w:rsidRDefault="005457B9" w:rsidP="0043241C">
      <w:pPr>
        <w:spacing w:after="0" w:line="240" w:lineRule="auto"/>
      </w:pPr>
      <w:r>
        <w:separator/>
      </w:r>
    </w:p>
  </w:footnote>
  <w:footnote w:type="continuationSeparator" w:id="0">
    <w:p w14:paraId="329B7728" w14:textId="77777777" w:rsidR="005457B9" w:rsidRDefault="005457B9" w:rsidP="0043241C">
      <w:pPr>
        <w:spacing w:after="0" w:line="240" w:lineRule="auto"/>
      </w:pPr>
      <w:r>
        <w:continuationSeparator/>
      </w:r>
    </w:p>
  </w:footnote>
  <w:footnote w:id="1">
    <w:p w14:paraId="174AB6BF" w14:textId="4FE1788F" w:rsidR="001D088A" w:rsidRPr="007514FA" w:rsidRDefault="001D088A" w:rsidP="001D088A">
      <w:pPr>
        <w:pStyle w:val="EndnoteText"/>
        <w:jc w:val="both"/>
      </w:pPr>
      <w:r>
        <w:rPr>
          <w:rStyle w:val="FootnoteReference"/>
        </w:rPr>
        <w:footnoteRef/>
      </w:r>
      <w:r>
        <w:t xml:space="preserve"> </w:t>
      </w:r>
      <w:r w:rsidRPr="00745A8D">
        <w:rPr>
          <w:sz w:val="18"/>
          <w:szCs w:val="18"/>
          <w:lang w:val="en-GB"/>
        </w:rPr>
        <w:t>FAO. The 10 elements of agroecology guiding the transition to sustainable food and agricultural systems, http://www.fao.org/3/I9037EN/i9037en.pdf</w:t>
      </w:r>
    </w:p>
  </w:footnote>
  <w:footnote w:id="2">
    <w:p w14:paraId="7D559E31" w14:textId="416413E2" w:rsidR="00EC4C97" w:rsidRPr="00EC4C97" w:rsidRDefault="00EC4C97" w:rsidP="00EC4C97">
      <w:pPr>
        <w:pStyle w:val="EndnoteText"/>
        <w:jc w:val="both"/>
        <w:rPr>
          <w:bCs/>
          <w:sz w:val="18"/>
          <w:szCs w:val="18"/>
        </w:rPr>
      </w:pPr>
      <w:r>
        <w:rPr>
          <w:rStyle w:val="FootnoteReference"/>
        </w:rPr>
        <w:footnoteRef/>
      </w:r>
      <w:r>
        <w:t xml:space="preserve"> </w:t>
      </w:r>
      <w:r w:rsidRPr="00745A8D">
        <w:rPr>
          <w:bCs/>
          <w:sz w:val="18"/>
          <w:szCs w:val="18"/>
          <w:lang w:val="en-GB"/>
        </w:rPr>
        <w:t xml:space="preserve">HLPE 2019. </w:t>
      </w:r>
      <w:r w:rsidRPr="00745A8D">
        <w:rPr>
          <w:bCs/>
          <w:sz w:val="18"/>
          <w:szCs w:val="18"/>
        </w:rPr>
        <w:t xml:space="preserve">Agroecological and other innovative approaches for sustainable agriculture and food systems that enhance food security and nutrition. A report by the </w:t>
      </w:r>
      <w:proofErr w:type="gramStart"/>
      <w:r w:rsidRPr="00745A8D">
        <w:rPr>
          <w:bCs/>
          <w:sz w:val="18"/>
          <w:szCs w:val="18"/>
        </w:rPr>
        <w:t>High Level</w:t>
      </w:r>
      <w:proofErr w:type="gramEnd"/>
      <w:r w:rsidRPr="00745A8D">
        <w:rPr>
          <w:bCs/>
          <w:sz w:val="18"/>
          <w:szCs w:val="18"/>
        </w:rPr>
        <w:t xml:space="preserve"> Panel of Experts on Food Security and Nutrition of the Committee on World Food Security, Rome </w:t>
      </w:r>
      <w:hyperlink r:id="rId1" w:history="1">
        <w:r w:rsidRPr="00745A8D">
          <w:rPr>
            <w:rStyle w:val="Hyperlink"/>
            <w:bCs/>
            <w:sz w:val="18"/>
            <w:szCs w:val="18"/>
          </w:rPr>
          <w:t>http://www.fao.org/3/ca5602en/ca5602en.pdf</w:t>
        </w:r>
      </w:hyperlink>
    </w:p>
  </w:footnote>
  <w:footnote w:id="3">
    <w:p w14:paraId="06C92C53" w14:textId="3A856D84" w:rsidR="009E74ED" w:rsidRPr="00AE271A" w:rsidRDefault="009E74ED" w:rsidP="003510C7">
      <w:pPr>
        <w:pStyle w:val="CommentText"/>
        <w:jc w:val="both"/>
      </w:pPr>
      <w:r>
        <w:rPr>
          <w:rStyle w:val="FootnoteReference"/>
        </w:rPr>
        <w:footnoteRef/>
      </w:r>
      <w:r>
        <w:t xml:space="preserve"> </w:t>
      </w:r>
      <w:r w:rsidR="00EC4C97">
        <w:t>For example, i</w:t>
      </w:r>
      <w:r w:rsidRPr="009E74ED">
        <w:rPr>
          <w:sz w:val="18"/>
          <w:szCs w:val="18"/>
        </w:rPr>
        <w:t xml:space="preserve">n Europe “agroecology” could </w:t>
      </w:r>
      <w:r w:rsidR="003510C7">
        <w:rPr>
          <w:sz w:val="18"/>
          <w:szCs w:val="18"/>
        </w:rPr>
        <w:t xml:space="preserve">most appropriately focus on </w:t>
      </w:r>
      <w:r w:rsidRPr="009E74ED">
        <w:rPr>
          <w:sz w:val="18"/>
          <w:szCs w:val="18"/>
        </w:rPr>
        <w:t xml:space="preserve">climate change mitigation (lowering of GHG emissions), reducing inputs, reduce environmental externalities (pollution of air, water and soil), improving soil health, use of renewable energy, boosting agroecological processes, increasing agrobiodiversity, etc. In Africa it </w:t>
      </w:r>
      <w:r w:rsidR="003510C7">
        <w:rPr>
          <w:sz w:val="18"/>
          <w:szCs w:val="18"/>
        </w:rPr>
        <w:t>would rather aim at</w:t>
      </w:r>
      <w:r w:rsidRPr="009E74ED">
        <w:rPr>
          <w:sz w:val="18"/>
          <w:szCs w:val="18"/>
        </w:rPr>
        <w:t xml:space="preserve"> improving production and productivity with a holistic approach including soil health, climate change adaptation, integrated management of natural resources (water, land, forest), agroforestry, boosting productivity of indigenous crops, leveraging ecological processes for productivity increase, maintaining agrobiodiversity, etc. </w:t>
      </w:r>
    </w:p>
  </w:footnote>
  <w:footnote w:id="4">
    <w:p w14:paraId="77B7C060" w14:textId="6A28C7BF" w:rsidR="00861DB4" w:rsidRPr="00861DB4" w:rsidRDefault="00861DB4">
      <w:pPr>
        <w:pStyle w:val="FootnoteText"/>
        <w:rPr>
          <w:lang w:val="en-IE"/>
        </w:rPr>
      </w:pPr>
      <w:r>
        <w:rPr>
          <w:rStyle w:val="FootnoteReference"/>
        </w:rPr>
        <w:footnoteRef/>
      </w:r>
      <w:r>
        <w:t xml:space="preserve"> </w:t>
      </w:r>
      <w:r>
        <w:rPr>
          <w:rFonts w:cstheme="minorHAnsi"/>
        </w:rPr>
        <w:t xml:space="preserve">In East Africa </w:t>
      </w:r>
      <w:r>
        <w:rPr>
          <w:rFonts w:cstheme="minorHAnsi"/>
        </w:rPr>
        <w:t>the selection of RMRN followed a different path</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3FAE" w14:textId="77777777" w:rsidR="00FB06B1" w:rsidRDefault="00FB0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29DD" w14:textId="77777777" w:rsidR="00FB06B1" w:rsidRDefault="00FB0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2051" w14:textId="77777777" w:rsidR="00FB06B1" w:rsidRDefault="00FB0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7F3"/>
    <w:multiLevelType w:val="hybridMultilevel"/>
    <w:tmpl w:val="5718A64C"/>
    <w:lvl w:ilvl="0" w:tplc="48E86540">
      <w:start w:val="1"/>
      <w:numFmt w:val="bullet"/>
      <w:lvlText w:val="•"/>
      <w:lvlJc w:val="left"/>
      <w:pPr>
        <w:tabs>
          <w:tab w:val="num" w:pos="720"/>
        </w:tabs>
        <w:ind w:left="720" w:hanging="360"/>
      </w:pPr>
      <w:rPr>
        <w:rFonts w:ascii="Arial" w:hAnsi="Arial" w:hint="default"/>
      </w:rPr>
    </w:lvl>
    <w:lvl w:ilvl="1" w:tplc="A4C6C8D8" w:tentative="1">
      <w:start w:val="1"/>
      <w:numFmt w:val="bullet"/>
      <w:lvlText w:val="•"/>
      <w:lvlJc w:val="left"/>
      <w:pPr>
        <w:tabs>
          <w:tab w:val="num" w:pos="1440"/>
        </w:tabs>
        <w:ind w:left="1440" w:hanging="360"/>
      </w:pPr>
      <w:rPr>
        <w:rFonts w:ascii="Arial" w:hAnsi="Arial" w:hint="default"/>
      </w:rPr>
    </w:lvl>
    <w:lvl w:ilvl="2" w:tplc="B3DA4882" w:tentative="1">
      <w:start w:val="1"/>
      <w:numFmt w:val="bullet"/>
      <w:lvlText w:val="•"/>
      <w:lvlJc w:val="left"/>
      <w:pPr>
        <w:tabs>
          <w:tab w:val="num" w:pos="2160"/>
        </w:tabs>
        <w:ind w:left="2160" w:hanging="360"/>
      </w:pPr>
      <w:rPr>
        <w:rFonts w:ascii="Arial" w:hAnsi="Arial" w:hint="default"/>
      </w:rPr>
    </w:lvl>
    <w:lvl w:ilvl="3" w:tplc="225CA35E" w:tentative="1">
      <w:start w:val="1"/>
      <w:numFmt w:val="bullet"/>
      <w:lvlText w:val="•"/>
      <w:lvlJc w:val="left"/>
      <w:pPr>
        <w:tabs>
          <w:tab w:val="num" w:pos="2880"/>
        </w:tabs>
        <w:ind w:left="2880" w:hanging="360"/>
      </w:pPr>
      <w:rPr>
        <w:rFonts w:ascii="Arial" w:hAnsi="Arial" w:hint="default"/>
      </w:rPr>
    </w:lvl>
    <w:lvl w:ilvl="4" w:tplc="D7706572" w:tentative="1">
      <w:start w:val="1"/>
      <w:numFmt w:val="bullet"/>
      <w:lvlText w:val="•"/>
      <w:lvlJc w:val="left"/>
      <w:pPr>
        <w:tabs>
          <w:tab w:val="num" w:pos="3600"/>
        </w:tabs>
        <w:ind w:left="3600" w:hanging="360"/>
      </w:pPr>
      <w:rPr>
        <w:rFonts w:ascii="Arial" w:hAnsi="Arial" w:hint="default"/>
      </w:rPr>
    </w:lvl>
    <w:lvl w:ilvl="5" w:tplc="4FC8FAD0" w:tentative="1">
      <w:start w:val="1"/>
      <w:numFmt w:val="bullet"/>
      <w:lvlText w:val="•"/>
      <w:lvlJc w:val="left"/>
      <w:pPr>
        <w:tabs>
          <w:tab w:val="num" w:pos="4320"/>
        </w:tabs>
        <w:ind w:left="4320" w:hanging="360"/>
      </w:pPr>
      <w:rPr>
        <w:rFonts w:ascii="Arial" w:hAnsi="Arial" w:hint="default"/>
      </w:rPr>
    </w:lvl>
    <w:lvl w:ilvl="6" w:tplc="9E607770" w:tentative="1">
      <w:start w:val="1"/>
      <w:numFmt w:val="bullet"/>
      <w:lvlText w:val="•"/>
      <w:lvlJc w:val="left"/>
      <w:pPr>
        <w:tabs>
          <w:tab w:val="num" w:pos="5040"/>
        </w:tabs>
        <w:ind w:left="5040" w:hanging="360"/>
      </w:pPr>
      <w:rPr>
        <w:rFonts w:ascii="Arial" w:hAnsi="Arial" w:hint="default"/>
      </w:rPr>
    </w:lvl>
    <w:lvl w:ilvl="7" w:tplc="9C3A084A" w:tentative="1">
      <w:start w:val="1"/>
      <w:numFmt w:val="bullet"/>
      <w:lvlText w:val="•"/>
      <w:lvlJc w:val="left"/>
      <w:pPr>
        <w:tabs>
          <w:tab w:val="num" w:pos="5760"/>
        </w:tabs>
        <w:ind w:left="5760" w:hanging="360"/>
      </w:pPr>
      <w:rPr>
        <w:rFonts w:ascii="Arial" w:hAnsi="Arial" w:hint="default"/>
      </w:rPr>
    </w:lvl>
    <w:lvl w:ilvl="8" w:tplc="4CF0FD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F3D7C"/>
    <w:multiLevelType w:val="hybridMultilevel"/>
    <w:tmpl w:val="063A1ED8"/>
    <w:lvl w:ilvl="0" w:tplc="28B074B6">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7C50CFC"/>
    <w:multiLevelType w:val="hybridMultilevel"/>
    <w:tmpl w:val="6A4ECF00"/>
    <w:lvl w:ilvl="0" w:tplc="D2CE9FF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E75D7F"/>
    <w:multiLevelType w:val="hybridMultilevel"/>
    <w:tmpl w:val="1D3C0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E5CDE"/>
    <w:multiLevelType w:val="hybridMultilevel"/>
    <w:tmpl w:val="761684AA"/>
    <w:lvl w:ilvl="0" w:tplc="FC445078">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781113"/>
    <w:multiLevelType w:val="hybridMultilevel"/>
    <w:tmpl w:val="734E126A"/>
    <w:lvl w:ilvl="0" w:tplc="C72A4C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50204"/>
    <w:multiLevelType w:val="hybridMultilevel"/>
    <w:tmpl w:val="950C6B4A"/>
    <w:lvl w:ilvl="0" w:tplc="C72A4C30">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B44C5"/>
    <w:multiLevelType w:val="hybridMultilevel"/>
    <w:tmpl w:val="99C45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907C2A"/>
    <w:multiLevelType w:val="multilevel"/>
    <w:tmpl w:val="769807F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9" w15:restartNumberingAfterBreak="0">
    <w:nsid w:val="4BC62AB2"/>
    <w:multiLevelType w:val="hybridMultilevel"/>
    <w:tmpl w:val="D4B6D996"/>
    <w:lvl w:ilvl="0" w:tplc="9552F5A2">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8A3417"/>
    <w:multiLevelType w:val="hybridMultilevel"/>
    <w:tmpl w:val="4AFE582E"/>
    <w:lvl w:ilvl="0" w:tplc="DCF2BAA8">
      <w:numFmt w:val="bullet"/>
      <w:lvlText w:val="-"/>
      <w:lvlJc w:val="left"/>
      <w:pPr>
        <w:ind w:left="720" w:hanging="360"/>
      </w:pPr>
      <w:rPr>
        <w:rFonts w:ascii="Verdana" w:eastAsia="Calibri"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6B5EA0"/>
    <w:multiLevelType w:val="hybridMultilevel"/>
    <w:tmpl w:val="79E00D0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55F7197"/>
    <w:multiLevelType w:val="hybridMultilevel"/>
    <w:tmpl w:val="011036A2"/>
    <w:lvl w:ilvl="0" w:tplc="880EF7C0">
      <w:numFmt w:val="bullet"/>
      <w:lvlText w:val="-"/>
      <w:lvlJc w:val="left"/>
      <w:pPr>
        <w:ind w:left="720" w:hanging="360"/>
      </w:pPr>
      <w:rPr>
        <w:rFonts w:ascii="Verdana" w:eastAsia="Calibri" w:hAnsi="Verdana"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A2226AB"/>
    <w:multiLevelType w:val="hybridMultilevel"/>
    <w:tmpl w:val="99C45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D7F42D"/>
    <w:multiLevelType w:val="multilevel"/>
    <w:tmpl w:val="975E9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D503E4"/>
    <w:multiLevelType w:val="hybridMultilevel"/>
    <w:tmpl w:val="99C45D4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948488A"/>
    <w:multiLevelType w:val="hybridMultilevel"/>
    <w:tmpl w:val="4B56B9F2"/>
    <w:lvl w:ilvl="0" w:tplc="880EF7C0">
      <w:numFmt w:val="bullet"/>
      <w:lvlText w:val="-"/>
      <w:lvlJc w:val="left"/>
      <w:pPr>
        <w:ind w:left="720" w:hanging="360"/>
      </w:pPr>
      <w:rPr>
        <w:rFonts w:ascii="Verdana" w:eastAsia="Calibri" w:hAnsi="Verdana" w:cs="Times New Roman"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3F3D3C"/>
    <w:multiLevelType w:val="multilevel"/>
    <w:tmpl w:val="DD2C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F12544"/>
    <w:multiLevelType w:val="hybridMultilevel"/>
    <w:tmpl w:val="297613B2"/>
    <w:lvl w:ilvl="0" w:tplc="0809001B">
      <w:start w:val="1"/>
      <w:numFmt w:val="lowerRoman"/>
      <w:lvlText w:val="%1."/>
      <w:lvlJc w:val="righ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B0EDE18"/>
    <w:multiLevelType w:val="multilevel"/>
    <w:tmpl w:val="679EB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60571765">
    <w:abstractNumId w:val="16"/>
  </w:num>
  <w:num w:numId="2" w16cid:durableId="2080251870">
    <w:abstractNumId w:val="10"/>
  </w:num>
  <w:num w:numId="3" w16cid:durableId="2082210718">
    <w:abstractNumId w:val="11"/>
  </w:num>
  <w:num w:numId="4" w16cid:durableId="1512798100">
    <w:abstractNumId w:val="3"/>
  </w:num>
  <w:num w:numId="5" w16cid:durableId="1489789384">
    <w:abstractNumId w:val="18"/>
  </w:num>
  <w:num w:numId="6" w16cid:durableId="716858260">
    <w:abstractNumId w:val="1"/>
  </w:num>
  <w:num w:numId="7" w16cid:durableId="144053253">
    <w:abstractNumId w:val="12"/>
  </w:num>
  <w:num w:numId="8" w16cid:durableId="1432050248">
    <w:abstractNumId w:val="15"/>
  </w:num>
  <w:num w:numId="9" w16cid:durableId="1383557007">
    <w:abstractNumId w:val="17"/>
  </w:num>
  <w:num w:numId="10" w16cid:durableId="1030881302">
    <w:abstractNumId w:val="19"/>
  </w:num>
  <w:num w:numId="11" w16cid:durableId="2091348235">
    <w:abstractNumId w:val="14"/>
  </w:num>
  <w:num w:numId="12" w16cid:durableId="1566840803">
    <w:abstractNumId w:val="8"/>
  </w:num>
  <w:num w:numId="13" w16cid:durableId="1647776882">
    <w:abstractNumId w:val="2"/>
  </w:num>
  <w:num w:numId="14" w16cid:durableId="124469474">
    <w:abstractNumId w:val="4"/>
  </w:num>
  <w:num w:numId="15" w16cid:durableId="1547176771">
    <w:abstractNumId w:val="6"/>
  </w:num>
  <w:num w:numId="16" w16cid:durableId="1348755592">
    <w:abstractNumId w:val="5"/>
  </w:num>
  <w:num w:numId="17" w16cid:durableId="1994486967">
    <w:abstractNumId w:val="7"/>
  </w:num>
  <w:num w:numId="18" w16cid:durableId="581840890">
    <w:abstractNumId w:val="13"/>
  </w:num>
  <w:num w:numId="19" w16cid:durableId="1985155745">
    <w:abstractNumId w:val="0"/>
  </w:num>
  <w:num w:numId="20" w16cid:durableId="2094161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1C"/>
    <w:rsid w:val="00016FB1"/>
    <w:rsid w:val="0002387D"/>
    <w:rsid w:val="00041D42"/>
    <w:rsid w:val="00042897"/>
    <w:rsid w:val="0006556D"/>
    <w:rsid w:val="00066AD9"/>
    <w:rsid w:val="00071D45"/>
    <w:rsid w:val="00090DD3"/>
    <w:rsid w:val="00095FB0"/>
    <w:rsid w:val="000E56A6"/>
    <w:rsid w:val="000F7826"/>
    <w:rsid w:val="00111562"/>
    <w:rsid w:val="00111EA9"/>
    <w:rsid w:val="00143391"/>
    <w:rsid w:val="00166053"/>
    <w:rsid w:val="001C5910"/>
    <w:rsid w:val="001D088A"/>
    <w:rsid w:val="001D428D"/>
    <w:rsid w:val="001D6717"/>
    <w:rsid w:val="001E5C25"/>
    <w:rsid w:val="001F03D8"/>
    <w:rsid w:val="0020076A"/>
    <w:rsid w:val="00202E98"/>
    <w:rsid w:val="0020785D"/>
    <w:rsid w:val="00263286"/>
    <w:rsid w:val="00263495"/>
    <w:rsid w:val="00263F48"/>
    <w:rsid w:val="00291251"/>
    <w:rsid w:val="002936BB"/>
    <w:rsid w:val="002B44F8"/>
    <w:rsid w:val="002B67CB"/>
    <w:rsid w:val="002E4D19"/>
    <w:rsid w:val="002F6ED9"/>
    <w:rsid w:val="003053C6"/>
    <w:rsid w:val="00326973"/>
    <w:rsid w:val="003510C7"/>
    <w:rsid w:val="003550C7"/>
    <w:rsid w:val="003832D4"/>
    <w:rsid w:val="00385AF8"/>
    <w:rsid w:val="003878C9"/>
    <w:rsid w:val="003E02C4"/>
    <w:rsid w:val="003E74E4"/>
    <w:rsid w:val="00417770"/>
    <w:rsid w:val="0042102D"/>
    <w:rsid w:val="00421266"/>
    <w:rsid w:val="0042727F"/>
    <w:rsid w:val="0043241C"/>
    <w:rsid w:val="00450E5E"/>
    <w:rsid w:val="0047358D"/>
    <w:rsid w:val="0049459D"/>
    <w:rsid w:val="004A31FF"/>
    <w:rsid w:val="004B734C"/>
    <w:rsid w:val="004C0E7D"/>
    <w:rsid w:val="004C4F90"/>
    <w:rsid w:val="004F5928"/>
    <w:rsid w:val="005016B2"/>
    <w:rsid w:val="0054553F"/>
    <w:rsid w:val="005457B9"/>
    <w:rsid w:val="00551DC7"/>
    <w:rsid w:val="0057291E"/>
    <w:rsid w:val="00575800"/>
    <w:rsid w:val="005973BC"/>
    <w:rsid w:val="005A2BCE"/>
    <w:rsid w:val="005B0728"/>
    <w:rsid w:val="005F5827"/>
    <w:rsid w:val="006011DF"/>
    <w:rsid w:val="006068AB"/>
    <w:rsid w:val="0061118B"/>
    <w:rsid w:val="00611BC6"/>
    <w:rsid w:val="00637AC2"/>
    <w:rsid w:val="00675326"/>
    <w:rsid w:val="006754B7"/>
    <w:rsid w:val="0068028A"/>
    <w:rsid w:val="00694F41"/>
    <w:rsid w:val="006950B9"/>
    <w:rsid w:val="006A0AC7"/>
    <w:rsid w:val="006A10AC"/>
    <w:rsid w:val="006A7679"/>
    <w:rsid w:val="006B79F5"/>
    <w:rsid w:val="006B7AD6"/>
    <w:rsid w:val="006C29AB"/>
    <w:rsid w:val="006D5C8B"/>
    <w:rsid w:val="006E4DEB"/>
    <w:rsid w:val="006E670A"/>
    <w:rsid w:val="00706B93"/>
    <w:rsid w:val="00710762"/>
    <w:rsid w:val="00713222"/>
    <w:rsid w:val="00723D2E"/>
    <w:rsid w:val="00725BE6"/>
    <w:rsid w:val="0073695E"/>
    <w:rsid w:val="0074718C"/>
    <w:rsid w:val="00752601"/>
    <w:rsid w:val="0075628B"/>
    <w:rsid w:val="00765040"/>
    <w:rsid w:val="00780322"/>
    <w:rsid w:val="00793D2A"/>
    <w:rsid w:val="007A0DF3"/>
    <w:rsid w:val="007A1225"/>
    <w:rsid w:val="007C301A"/>
    <w:rsid w:val="007D178E"/>
    <w:rsid w:val="007F6E3D"/>
    <w:rsid w:val="00820871"/>
    <w:rsid w:val="0082754B"/>
    <w:rsid w:val="00847C46"/>
    <w:rsid w:val="00857D69"/>
    <w:rsid w:val="00860476"/>
    <w:rsid w:val="00861DB4"/>
    <w:rsid w:val="00867EB2"/>
    <w:rsid w:val="00870B08"/>
    <w:rsid w:val="00871B95"/>
    <w:rsid w:val="008861D3"/>
    <w:rsid w:val="008A3463"/>
    <w:rsid w:val="008B0CDC"/>
    <w:rsid w:val="008B6443"/>
    <w:rsid w:val="008B76BD"/>
    <w:rsid w:val="008C6E2D"/>
    <w:rsid w:val="008F528C"/>
    <w:rsid w:val="00911BCD"/>
    <w:rsid w:val="00932E45"/>
    <w:rsid w:val="009374E4"/>
    <w:rsid w:val="0095207C"/>
    <w:rsid w:val="009B4436"/>
    <w:rsid w:val="009C5E14"/>
    <w:rsid w:val="009D4272"/>
    <w:rsid w:val="009E74ED"/>
    <w:rsid w:val="00A1033E"/>
    <w:rsid w:val="00A21A75"/>
    <w:rsid w:val="00A3792B"/>
    <w:rsid w:val="00A61FB0"/>
    <w:rsid w:val="00A82DA1"/>
    <w:rsid w:val="00A953FC"/>
    <w:rsid w:val="00AB7665"/>
    <w:rsid w:val="00AD59C4"/>
    <w:rsid w:val="00AD5E43"/>
    <w:rsid w:val="00AE271A"/>
    <w:rsid w:val="00AE3E5A"/>
    <w:rsid w:val="00B13A40"/>
    <w:rsid w:val="00B1608C"/>
    <w:rsid w:val="00B43E9A"/>
    <w:rsid w:val="00B4464E"/>
    <w:rsid w:val="00B85B15"/>
    <w:rsid w:val="00B86CB3"/>
    <w:rsid w:val="00BA088D"/>
    <w:rsid w:val="00BA3D61"/>
    <w:rsid w:val="00BA4928"/>
    <w:rsid w:val="00BB305D"/>
    <w:rsid w:val="00BC0BA9"/>
    <w:rsid w:val="00BD4C05"/>
    <w:rsid w:val="00BE0A9F"/>
    <w:rsid w:val="00BF571E"/>
    <w:rsid w:val="00BF745B"/>
    <w:rsid w:val="00C1455E"/>
    <w:rsid w:val="00C47951"/>
    <w:rsid w:val="00C60DAC"/>
    <w:rsid w:val="00CA0887"/>
    <w:rsid w:val="00CB0F39"/>
    <w:rsid w:val="00CB558F"/>
    <w:rsid w:val="00CC7B00"/>
    <w:rsid w:val="00CD6C17"/>
    <w:rsid w:val="00CF0739"/>
    <w:rsid w:val="00D0250C"/>
    <w:rsid w:val="00D22BB1"/>
    <w:rsid w:val="00D4065A"/>
    <w:rsid w:val="00D41A5D"/>
    <w:rsid w:val="00D42FC0"/>
    <w:rsid w:val="00D44000"/>
    <w:rsid w:val="00D93C0A"/>
    <w:rsid w:val="00DA3B6F"/>
    <w:rsid w:val="00DA562B"/>
    <w:rsid w:val="00DD29D6"/>
    <w:rsid w:val="00DD55D9"/>
    <w:rsid w:val="00DE085E"/>
    <w:rsid w:val="00DE2508"/>
    <w:rsid w:val="00DE6AA1"/>
    <w:rsid w:val="00E00D3E"/>
    <w:rsid w:val="00E35C71"/>
    <w:rsid w:val="00E4224C"/>
    <w:rsid w:val="00E51279"/>
    <w:rsid w:val="00E537B9"/>
    <w:rsid w:val="00E60A23"/>
    <w:rsid w:val="00E66E56"/>
    <w:rsid w:val="00E87ED9"/>
    <w:rsid w:val="00E935BB"/>
    <w:rsid w:val="00E93F51"/>
    <w:rsid w:val="00EA1D3D"/>
    <w:rsid w:val="00EA339C"/>
    <w:rsid w:val="00EB7105"/>
    <w:rsid w:val="00EC4BC7"/>
    <w:rsid w:val="00EC4C97"/>
    <w:rsid w:val="00ED0993"/>
    <w:rsid w:val="00ED26A8"/>
    <w:rsid w:val="00ED6BB9"/>
    <w:rsid w:val="00EF52A9"/>
    <w:rsid w:val="00EF66EE"/>
    <w:rsid w:val="00F007EF"/>
    <w:rsid w:val="00F0438F"/>
    <w:rsid w:val="00F5246B"/>
    <w:rsid w:val="00F77F9C"/>
    <w:rsid w:val="00F8614F"/>
    <w:rsid w:val="00F92631"/>
    <w:rsid w:val="00FA6E9C"/>
    <w:rsid w:val="00FB06B1"/>
    <w:rsid w:val="00FB5440"/>
    <w:rsid w:val="00FC3514"/>
    <w:rsid w:val="00FC64C9"/>
    <w:rsid w:val="00FD138F"/>
    <w:rsid w:val="00FE36FB"/>
    <w:rsid w:val="00FE4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AC40"/>
  <w15:chartTrackingRefBased/>
  <w15:docId w15:val="{16D477E4-E272-4DD1-8289-4D6C570D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43241C"/>
    <w:pPr>
      <w:spacing w:after="0" w:line="240" w:lineRule="auto"/>
      <w:ind w:left="720"/>
    </w:pPr>
    <w:rPr>
      <w:rFonts w:ascii="Calibri" w:hAnsi="Calibri" w:cs="Calibri"/>
      <w:lang w:val="en-IE"/>
    </w:rPr>
  </w:style>
  <w:style w:type="paragraph" w:styleId="FootnoteText">
    <w:name w:val="footnote text"/>
    <w:basedOn w:val="Normal"/>
    <w:link w:val="FootnoteTextChar"/>
    <w:uiPriority w:val="99"/>
    <w:semiHidden/>
    <w:unhideWhenUsed/>
    <w:rsid w:val="00AE2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71A"/>
    <w:rPr>
      <w:sz w:val="20"/>
      <w:szCs w:val="20"/>
    </w:rPr>
  </w:style>
  <w:style w:type="character" w:styleId="FootnoteReference">
    <w:name w:val="footnote reference"/>
    <w:basedOn w:val="DefaultParagraphFont"/>
    <w:uiPriority w:val="99"/>
    <w:semiHidden/>
    <w:unhideWhenUsed/>
    <w:rsid w:val="00AE271A"/>
    <w:rPr>
      <w:vertAlign w:val="superscript"/>
    </w:rPr>
  </w:style>
  <w:style w:type="paragraph" w:styleId="CommentText">
    <w:name w:val="annotation text"/>
    <w:basedOn w:val="Normal"/>
    <w:link w:val="CommentTextChar"/>
    <w:uiPriority w:val="99"/>
    <w:unhideWhenUsed/>
    <w:rsid w:val="00AE271A"/>
    <w:pPr>
      <w:spacing w:line="240" w:lineRule="auto"/>
    </w:pPr>
    <w:rPr>
      <w:sz w:val="20"/>
      <w:szCs w:val="20"/>
    </w:rPr>
  </w:style>
  <w:style w:type="character" w:customStyle="1" w:styleId="CommentTextChar">
    <w:name w:val="Comment Text Char"/>
    <w:basedOn w:val="DefaultParagraphFont"/>
    <w:link w:val="CommentText"/>
    <w:uiPriority w:val="99"/>
    <w:rsid w:val="00AE271A"/>
    <w:rPr>
      <w:sz w:val="20"/>
      <w:szCs w:val="20"/>
    </w:rPr>
  </w:style>
  <w:style w:type="character" w:styleId="CommentReference">
    <w:name w:val="annotation reference"/>
    <w:basedOn w:val="DefaultParagraphFont"/>
    <w:uiPriority w:val="99"/>
    <w:semiHidden/>
    <w:unhideWhenUsed/>
    <w:rsid w:val="00E35C71"/>
    <w:rPr>
      <w:sz w:val="16"/>
      <w:szCs w:val="16"/>
    </w:rPr>
  </w:style>
  <w:style w:type="paragraph" w:styleId="CommentSubject">
    <w:name w:val="annotation subject"/>
    <w:basedOn w:val="CommentText"/>
    <w:next w:val="CommentText"/>
    <w:link w:val="CommentSubjectChar"/>
    <w:uiPriority w:val="99"/>
    <w:semiHidden/>
    <w:unhideWhenUsed/>
    <w:rsid w:val="00E35C71"/>
    <w:rPr>
      <w:b/>
      <w:bCs/>
    </w:rPr>
  </w:style>
  <w:style w:type="character" w:customStyle="1" w:styleId="CommentSubjectChar">
    <w:name w:val="Comment Subject Char"/>
    <w:basedOn w:val="CommentTextChar"/>
    <w:link w:val="CommentSubject"/>
    <w:uiPriority w:val="99"/>
    <w:semiHidden/>
    <w:rsid w:val="00E35C71"/>
    <w:rPr>
      <w:b/>
      <w:bCs/>
      <w:sz w:val="20"/>
      <w:szCs w:val="20"/>
    </w:rPr>
  </w:style>
  <w:style w:type="character" w:styleId="Hyperlink">
    <w:name w:val="Hyperlink"/>
    <w:basedOn w:val="DefaultParagraphFont"/>
    <w:uiPriority w:val="99"/>
    <w:unhideWhenUsed/>
    <w:rsid w:val="001D088A"/>
    <w:rPr>
      <w:color w:val="0000FF"/>
      <w:u w:val="single"/>
    </w:rPr>
  </w:style>
  <w:style w:type="paragraph" w:styleId="EndnoteText">
    <w:name w:val="endnote text"/>
    <w:basedOn w:val="Normal"/>
    <w:link w:val="EndnoteTextChar"/>
    <w:uiPriority w:val="99"/>
    <w:unhideWhenUsed/>
    <w:rsid w:val="001D088A"/>
    <w:pPr>
      <w:spacing w:after="0" w:line="240" w:lineRule="auto"/>
    </w:pPr>
    <w:rPr>
      <w:sz w:val="20"/>
      <w:szCs w:val="20"/>
      <w:lang w:val="en-US"/>
    </w:rPr>
  </w:style>
  <w:style w:type="character" w:customStyle="1" w:styleId="EndnoteTextChar">
    <w:name w:val="Endnote Text Char"/>
    <w:basedOn w:val="DefaultParagraphFont"/>
    <w:link w:val="EndnoteText"/>
    <w:uiPriority w:val="99"/>
    <w:rsid w:val="001D088A"/>
    <w:rPr>
      <w:sz w:val="20"/>
      <w:szCs w:val="20"/>
      <w:lang w:val="en-US"/>
    </w:rPr>
  </w:style>
  <w:style w:type="paragraph" w:styleId="Revision">
    <w:name w:val="Revision"/>
    <w:hidden/>
    <w:uiPriority w:val="99"/>
    <w:semiHidden/>
    <w:rsid w:val="00E60A23"/>
    <w:pPr>
      <w:spacing w:after="0" w:line="240" w:lineRule="auto"/>
    </w:pPr>
  </w:style>
  <w:style w:type="paragraph" w:styleId="BalloonText">
    <w:name w:val="Balloon Text"/>
    <w:basedOn w:val="Normal"/>
    <w:link w:val="BalloonTextChar"/>
    <w:uiPriority w:val="99"/>
    <w:semiHidden/>
    <w:unhideWhenUsed/>
    <w:rsid w:val="00736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95E"/>
    <w:rPr>
      <w:rFonts w:ascii="Segoe UI" w:hAnsi="Segoe UI" w:cs="Segoe UI"/>
      <w:sz w:val="18"/>
      <w:szCs w:val="18"/>
    </w:rPr>
  </w:style>
  <w:style w:type="paragraph" w:styleId="Header">
    <w:name w:val="header"/>
    <w:basedOn w:val="Normal"/>
    <w:link w:val="HeaderChar"/>
    <w:uiPriority w:val="99"/>
    <w:unhideWhenUsed/>
    <w:rsid w:val="00FB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6B1"/>
  </w:style>
  <w:style w:type="paragraph" w:styleId="Footer">
    <w:name w:val="footer"/>
    <w:basedOn w:val="Normal"/>
    <w:link w:val="FooterChar"/>
    <w:uiPriority w:val="99"/>
    <w:unhideWhenUsed/>
    <w:rsid w:val="00FB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6B1"/>
  </w:style>
  <w:style w:type="table" w:styleId="TableGrid">
    <w:name w:val="Table Grid"/>
    <w:basedOn w:val="TableNormal"/>
    <w:uiPriority w:val="39"/>
    <w:rsid w:val="0045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10934">
      <w:bodyDiv w:val="1"/>
      <w:marLeft w:val="0"/>
      <w:marRight w:val="0"/>
      <w:marTop w:val="0"/>
      <w:marBottom w:val="0"/>
      <w:divBdr>
        <w:top w:val="none" w:sz="0" w:space="0" w:color="auto"/>
        <w:left w:val="none" w:sz="0" w:space="0" w:color="auto"/>
        <w:bottom w:val="none" w:sz="0" w:space="0" w:color="auto"/>
        <w:right w:val="none" w:sz="0" w:space="0" w:color="auto"/>
      </w:divBdr>
    </w:div>
    <w:div w:id="1867523715">
      <w:bodyDiv w:val="1"/>
      <w:marLeft w:val="0"/>
      <w:marRight w:val="0"/>
      <w:marTop w:val="0"/>
      <w:marBottom w:val="0"/>
      <w:divBdr>
        <w:top w:val="none" w:sz="0" w:space="0" w:color="auto"/>
        <w:left w:val="none" w:sz="0" w:space="0" w:color="auto"/>
        <w:bottom w:val="none" w:sz="0" w:space="0" w:color="auto"/>
        <w:right w:val="none" w:sz="0" w:space="0" w:color="auto"/>
      </w:divBdr>
    </w:div>
    <w:div w:id="1906449672">
      <w:bodyDiv w:val="1"/>
      <w:marLeft w:val="0"/>
      <w:marRight w:val="0"/>
      <w:marTop w:val="0"/>
      <w:marBottom w:val="0"/>
      <w:divBdr>
        <w:top w:val="none" w:sz="0" w:space="0" w:color="auto"/>
        <w:left w:val="none" w:sz="0" w:space="0" w:color="auto"/>
        <w:bottom w:val="none" w:sz="0" w:space="0" w:color="auto"/>
        <w:right w:val="none" w:sz="0" w:space="0" w:color="auto"/>
      </w:divBdr>
      <w:divsChild>
        <w:div w:id="269246481">
          <w:marLeft w:val="360"/>
          <w:marRight w:val="0"/>
          <w:marTop w:val="0"/>
          <w:marBottom w:val="0"/>
          <w:divBdr>
            <w:top w:val="none" w:sz="0" w:space="0" w:color="auto"/>
            <w:left w:val="none" w:sz="0" w:space="0" w:color="auto"/>
            <w:bottom w:val="none" w:sz="0" w:space="0" w:color="auto"/>
            <w:right w:val="none" w:sz="0" w:space="0" w:color="auto"/>
          </w:divBdr>
        </w:div>
        <w:div w:id="219293792">
          <w:marLeft w:val="360"/>
          <w:marRight w:val="0"/>
          <w:marTop w:val="0"/>
          <w:marBottom w:val="0"/>
          <w:divBdr>
            <w:top w:val="none" w:sz="0" w:space="0" w:color="auto"/>
            <w:left w:val="none" w:sz="0" w:space="0" w:color="auto"/>
            <w:bottom w:val="none" w:sz="0" w:space="0" w:color="auto"/>
            <w:right w:val="none" w:sz="0" w:space="0" w:color="auto"/>
          </w:divBdr>
        </w:div>
        <w:div w:id="325207386">
          <w:marLeft w:val="360"/>
          <w:marRight w:val="0"/>
          <w:marTop w:val="0"/>
          <w:marBottom w:val="0"/>
          <w:divBdr>
            <w:top w:val="none" w:sz="0" w:space="0" w:color="auto"/>
            <w:left w:val="none" w:sz="0" w:space="0" w:color="auto"/>
            <w:bottom w:val="none" w:sz="0" w:space="0" w:color="auto"/>
            <w:right w:val="none" w:sz="0" w:space="0" w:color="auto"/>
          </w:divBdr>
        </w:div>
        <w:div w:id="881787553">
          <w:marLeft w:val="360"/>
          <w:marRight w:val="0"/>
          <w:marTop w:val="0"/>
          <w:marBottom w:val="0"/>
          <w:divBdr>
            <w:top w:val="none" w:sz="0" w:space="0" w:color="auto"/>
            <w:left w:val="none" w:sz="0" w:space="0" w:color="auto"/>
            <w:bottom w:val="none" w:sz="0" w:space="0" w:color="auto"/>
            <w:right w:val="none" w:sz="0" w:space="0" w:color="auto"/>
          </w:divBdr>
        </w:div>
      </w:divsChild>
    </w:div>
    <w:div w:id="21299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acity4dev.europa.eu/info/desira-global-monitoring-and-evaluation-framework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3/ca5602en/ca560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5027AD15A9614AA353FC739833AD53" ma:contentTypeVersion="16" ma:contentTypeDescription="Een nieuw document maken." ma:contentTypeScope="" ma:versionID="e766a4ef52ec54ec830e12ce2d941e48">
  <xsd:schema xmlns:xsd="http://www.w3.org/2001/XMLSchema" xmlns:xs="http://www.w3.org/2001/XMLSchema" xmlns:p="http://schemas.microsoft.com/office/2006/metadata/properties" xmlns:ns2="de07bb89-f6e9-4ae5-bd29-c8eebcaef0dd" xmlns:ns3="5bb7467a-dfe4-42da-aece-a0de2b0417d3" targetNamespace="http://schemas.microsoft.com/office/2006/metadata/properties" ma:root="true" ma:fieldsID="e26bf1169be23367452d485c23948cd5" ns2:_="" ns3:_="">
    <xsd:import namespace="de07bb89-f6e9-4ae5-bd29-c8eebcaef0dd"/>
    <xsd:import namespace="5bb7467a-dfe4-42da-aece-a0de2b0417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Na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bb89-f6e9-4ae5-bd29-c8eebcaef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Names" ma:index="23" nillable="true" ma:displayName="Names" ma:format="Dropdown" ma:internalName="Nam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7467a-dfe4-42da-aece-a0de2b0417d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5702bcd-ebc7-47d6-bc09-e5ccf1a18ff3}" ma:internalName="TaxCatchAll" ma:showField="CatchAllData" ma:web="5bb7467a-dfe4-42da-aece-a0de2b041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07bb89-f6e9-4ae5-bd29-c8eebcaef0d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Names xmlns="de07bb89-f6e9-4ae5-bd29-c8eebcaef0dd" xsi:nil="true"/>
    <TaxCatchAll xmlns="5bb7467a-dfe4-42da-aece-a0de2b0417d3"/>
  </documentManagement>
</p:properties>
</file>

<file path=customXml/itemProps1.xml><?xml version="1.0" encoding="utf-8"?>
<ds:datastoreItem xmlns:ds="http://schemas.openxmlformats.org/officeDocument/2006/customXml" ds:itemID="{680F8161-324D-45A6-84C9-C6B85CCE2557}">
  <ds:schemaRefs>
    <ds:schemaRef ds:uri="http://schemas.openxmlformats.org/officeDocument/2006/bibliography"/>
  </ds:schemaRefs>
</ds:datastoreItem>
</file>

<file path=customXml/itemProps2.xml><?xml version="1.0" encoding="utf-8"?>
<ds:datastoreItem xmlns:ds="http://schemas.openxmlformats.org/officeDocument/2006/customXml" ds:itemID="{F03DB630-2EFF-49D5-9FE4-B41B85551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bb89-f6e9-4ae5-bd29-c8eebcaef0dd"/>
    <ds:schemaRef ds:uri="5bb7467a-dfe4-42da-aece-a0de2b041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FD95E-3F3E-4885-870B-28B490DABB6B}">
  <ds:schemaRefs>
    <ds:schemaRef ds:uri="http://schemas.microsoft.com/sharepoint/v3/contenttype/forms"/>
  </ds:schemaRefs>
</ds:datastoreItem>
</file>

<file path=customXml/itemProps4.xml><?xml version="1.0" encoding="utf-8"?>
<ds:datastoreItem xmlns:ds="http://schemas.openxmlformats.org/officeDocument/2006/customXml" ds:itemID="{1D9DCB5F-C96A-4822-A2C9-53F7D0296480}">
  <ds:schemaRefs>
    <ds:schemaRef ds:uri="http://purl.org/dc/terms/"/>
    <ds:schemaRef ds:uri="de07bb89-f6e9-4ae5-bd29-c8eebcaef0dd"/>
    <ds:schemaRef ds:uri="http://schemas.microsoft.com/office/2006/documentManagement/types"/>
    <ds:schemaRef ds:uri="5bb7467a-dfe4-42da-aece-a0de2b0417d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2649</Words>
  <Characters>16351</Characters>
  <Application>Microsoft Office Word</Application>
  <DocSecurity>0</DocSecurity>
  <Lines>263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Guy (INTPA)</dc:creator>
  <cp:keywords/>
  <dc:description/>
  <cp:lastModifiedBy>FAURE Guy (INTPA)</cp:lastModifiedBy>
  <cp:revision>6</cp:revision>
  <dcterms:created xsi:type="dcterms:W3CDTF">2024-07-15T10:03:00Z</dcterms:created>
  <dcterms:modified xsi:type="dcterms:W3CDTF">2024-07-15T10:49:00Z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2022-10-22T15:46:51Z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5a5ef0bd-ba08-4e83-ad60-cc7aee964492</vt:lpwstr>
  </property>
  <property fmtid="{D5CDD505-2E9C-101B-9397-08002B2CF9AE}" pid="8" name="MSIP_Label_6bd9ddd1-4d20-43f6-abfa-fc3c07406f94_ContentBits">
    <vt:lpwstr>0</vt:lpwstr>
  </property>
  <property fmtid="{D5CDD505-2E9C-101B-9397-08002B2CF9AE}" pid="9" name="ContentTypeId">
    <vt:lpwstr>0x010100C05027AD15A9614AA353FC739833AD53</vt:lpwstr>
  </property>
</Properties>
</file>