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6CFFE" w14:textId="77777777" w:rsidR="00701A39" w:rsidRPr="00251E5F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Helvetica"/>
          <w:lang w:val="es-ES_tradnl"/>
        </w:rPr>
      </w:pPr>
    </w:p>
    <w:p w14:paraId="2A960643" w14:textId="77777777" w:rsidR="00701A39" w:rsidRPr="00251E5F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Helvetica"/>
          <w:lang w:val="es-ES_tradnl"/>
        </w:rPr>
      </w:pPr>
    </w:p>
    <w:p w14:paraId="790EA79F" w14:textId="77777777" w:rsidR="004E0785" w:rsidRPr="00251E5F" w:rsidRDefault="004E0785" w:rsidP="004E0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Helvetica"/>
          <w:lang w:val="es-ES_tradnl"/>
        </w:rPr>
      </w:pPr>
    </w:p>
    <w:p w14:paraId="2D5DDC56" w14:textId="77777777" w:rsidR="004E0785" w:rsidRPr="00251E5F" w:rsidRDefault="004E0785" w:rsidP="004E07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lang w:val="es-ES_tradnl"/>
        </w:rPr>
      </w:pPr>
    </w:p>
    <w:p w14:paraId="0E9F5970" w14:textId="77777777" w:rsidR="004E0785" w:rsidRPr="00251E5F" w:rsidRDefault="004E0785" w:rsidP="004E07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  <w:lang w:val="es-ES_tradnl"/>
        </w:rPr>
      </w:pPr>
    </w:p>
    <w:p w14:paraId="04DA8EA3" w14:textId="77777777" w:rsidR="004E0785" w:rsidRPr="00251E5F" w:rsidRDefault="004E0785" w:rsidP="004E07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  <w:lang w:val="es-ES_tradnl"/>
        </w:rPr>
      </w:pPr>
    </w:p>
    <w:p w14:paraId="4F9EA9F4" w14:textId="77777777" w:rsidR="004E0785" w:rsidRPr="00251E5F" w:rsidRDefault="004E0785" w:rsidP="004E07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lang w:val="es-ES_tradnl"/>
        </w:rPr>
      </w:pPr>
    </w:p>
    <w:p w14:paraId="14EACBF6" w14:textId="77777777" w:rsidR="004E0785" w:rsidRPr="00251E5F" w:rsidRDefault="004E0785" w:rsidP="004E07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lang w:val="es-ES_tradnl"/>
        </w:rPr>
      </w:pPr>
    </w:p>
    <w:p w14:paraId="513B482F" w14:textId="77777777" w:rsidR="00701A39" w:rsidRPr="00251E5F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lang w:val="es-ES_tradnl"/>
        </w:rPr>
      </w:pPr>
    </w:p>
    <w:p w14:paraId="6A4D04D2" w14:textId="7C908B26" w:rsidR="00701A39" w:rsidRPr="00251E5F" w:rsidRDefault="00D976C4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1F497D" w:themeColor="text2"/>
          <w:sz w:val="40"/>
          <w:szCs w:val="40"/>
          <w:lang w:val="es-ES_tradnl" w:eastAsia="ja-JP"/>
        </w:rPr>
      </w:pPr>
      <w:r w:rsidRPr="00251E5F">
        <w:rPr>
          <w:rFonts w:ascii="Verdana" w:eastAsia="MS Mincho" w:hAnsi="Verdana"/>
          <w:color w:val="1F497D" w:themeColor="text2"/>
          <w:sz w:val="40"/>
          <w:szCs w:val="40"/>
          <w:lang w:val="es-ES_tradnl" w:eastAsia="ja-JP"/>
        </w:rPr>
        <w:t xml:space="preserve">SEMINARIO </w:t>
      </w:r>
    </w:p>
    <w:p w14:paraId="27BECCA6" w14:textId="77777777" w:rsidR="00701A39" w:rsidRPr="00251E5F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009DDC"/>
          <w:sz w:val="16"/>
          <w:szCs w:val="16"/>
          <w:lang w:val="es-ES_tradnl" w:eastAsia="ja-JP"/>
        </w:rPr>
      </w:pPr>
    </w:p>
    <w:p w14:paraId="5DBDC668" w14:textId="77777777" w:rsidR="00CA5953" w:rsidRPr="00251E5F" w:rsidRDefault="00CA5953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009DDC"/>
          <w:sz w:val="16"/>
          <w:szCs w:val="16"/>
          <w:lang w:val="es-ES_tradnl" w:eastAsia="ja-JP"/>
        </w:rPr>
      </w:pPr>
    </w:p>
    <w:p w14:paraId="54717645" w14:textId="77777777" w:rsidR="00CA5953" w:rsidRPr="00251E5F" w:rsidRDefault="00CA5953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009DDC"/>
          <w:sz w:val="16"/>
          <w:szCs w:val="16"/>
          <w:lang w:val="es-ES_tradnl" w:eastAsia="ja-JP"/>
        </w:rPr>
      </w:pPr>
    </w:p>
    <w:p w14:paraId="356CF400" w14:textId="505E73AB" w:rsidR="00DA20EF" w:rsidRPr="00251E5F" w:rsidRDefault="005C7676" w:rsidP="00D976C4">
      <w:pPr>
        <w:spacing w:after="60"/>
        <w:jc w:val="center"/>
        <w:rPr>
          <w:rFonts w:ascii="Verdana" w:hAnsi="Verdana"/>
          <w:color w:val="1F497D" w:themeColor="text2"/>
          <w:sz w:val="52"/>
          <w:szCs w:val="52"/>
          <w:lang w:val="es-ES_tradnl"/>
        </w:rPr>
      </w:pPr>
      <w:r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>Enfoque</w:t>
      </w:r>
      <w:r w:rsidR="003C147E"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 xml:space="preserve"> </w:t>
      </w:r>
      <w:r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>Territorial</w:t>
      </w:r>
      <w:r w:rsidR="00D976C4"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 xml:space="preserve"> para</w:t>
      </w:r>
      <w:r w:rsidR="00FC769B"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 xml:space="preserve"> </w:t>
      </w:r>
    </w:p>
    <w:p w14:paraId="345BFCC9" w14:textId="2FD9681C" w:rsidR="00D976C4" w:rsidRPr="00251E5F" w:rsidRDefault="00D976C4" w:rsidP="00D976C4">
      <w:pPr>
        <w:spacing w:after="60"/>
        <w:jc w:val="center"/>
        <w:rPr>
          <w:rFonts w:ascii="Verdana" w:hAnsi="Verdana"/>
          <w:color w:val="1F497D" w:themeColor="text2"/>
          <w:sz w:val="52"/>
          <w:szCs w:val="52"/>
          <w:lang w:val="es-ES_tradnl"/>
        </w:rPr>
      </w:pPr>
      <w:r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>el</w:t>
      </w:r>
      <w:r w:rsidR="00FC769B"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 xml:space="preserve"> </w:t>
      </w:r>
      <w:r w:rsidRPr="00251E5F">
        <w:rPr>
          <w:rFonts w:ascii="Verdana" w:hAnsi="Verdana"/>
          <w:color w:val="1F497D" w:themeColor="text2"/>
          <w:sz w:val="52"/>
          <w:szCs w:val="52"/>
          <w:lang w:val="es-ES_tradnl"/>
        </w:rPr>
        <w:t>Desarrollo Local</w:t>
      </w:r>
    </w:p>
    <w:p w14:paraId="52885437" w14:textId="77777777" w:rsidR="00251E5F" w:rsidRDefault="00D976C4" w:rsidP="003C147E">
      <w:pPr>
        <w:spacing w:after="60"/>
        <w:jc w:val="center"/>
        <w:rPr>
          <w:rFonts w:ascii="Verdana" w:hAnsi="Verdana"/>
          <w:color w:val="1F497D" w:themeColor="text2"/>
          <w:sz w:val="32"/>
          <w:szCs w:val="32"/>
          <w:lang w:val="es-ES_tradnl"/>
        </w:rPr>
      </w:pPr>
      <w:r w:rsidRPr="00251E5F">
        <w:rPr>
          <w:rFonts w:ascii="Verdana" w:hAnsi="Verdana"/>
          <w:color w:val="1F497D" w:themeColor="text2"/>
          <w:sz w:val="32"/>
          <w:szCs w:val="32"/>
          <w:lang w:val="es-ES_tradnl"/>
        </w:rPr>
        <w:t>¿Qué imp</w:t>
      </w:r>
      <w:r w:rsidR="002659C2" w:rsidRPr="00251E5F">
        <w:rPr>
          <w:rFonts w:ascii="Verdana" w:hAnsi="Verdana"/>
          <w:color w:val="1F497D" w:themeColor="text2"/>
          <w:sz w:val="32"/>
          <w:szCs w:val="32"/>
          <w:lang w:val="es-ES_tradnl"/>
        </w:rPr>
        <w:t xml:space="preserve">lica y cómo puede ser fomentado en </w:t>
      </w:r>
    </w:p>
    <w:p w14:paraId="021487BF" w14:textId="5313ADCD" w:rsidR="003C147E" w:rsidRPr="00251E5F" w:rsidRDefault="002659C2" w:rsidP="003C147E">
      <w:pPr>
        <w:spacing w:after="60"/>
        <w:jc w:val="center"/>
        <w:rPr>
          <w:rFonts w:ascii="Verdana" w:hAnsi="Verdana"/>
          <w:color w:val="1F497D" w:themeColor="text2"/>
          <w:sz w:val="32"/>
          <w:szCs w:val="32"/>
          <w:lang w:val="es-ES_tradnl"/>
        </w:rPr>
      </w:pPr>
      <w:r w:rsidRPr="00251E5F">
        <w:rPr>
          <w:rFonts w:ascii="Verdana" w:hAnsi="Verdana"/>
          <w:color w:val="1F497D" w:themeColor="text2"/>
          <w:sz w:val="32"/>
          <w:szCs w:val="32"/>
          <w:lang w:val="es-ES_tradnl"/>
        </w:rPr>
        <w:t>Amé</w:t>
      </w:r>
      <w:r w:rsidR="00D976C4" w:rsidRPr="00251E5F">
        <w:rPr>
          <w:rFonts w:ascii="Verdana" w:hAnsi="Verdana"/>
          <w:color w:val="1F497D" w:themeColor="text2"/>
          <w:sz w:val="32"/>
          <w:szCs w:val="32"/>
          <w:lang w:val="es-ES_tradnl"/>
        </w:rPr>
        <w:t>rica Latina y Central?</w:t>
      </w:r>
      <w:r w:rsidR="003C147E" w:rsidRPr="00251E5F">
        <w:rPr>
          <w:rFonts w:ascii="Verdana" w:hAnsi="Verdana"/>
          <w:color w:val="1F497D" w:themeColor="text2"/>
          <w:sz w:val="32"/>
          <w:szCs w:val="32"/>
          <w:lang w:val="es-ES_tradnl"/>
        </w:rPr>
        <w:t xml:space="preserve"> </w:t>
      </w:r>
    </w:p>
    <w:p w14:paraId="65808201" w14:textId="77777777" w:rsidR="00FD5543" w:rsidRPr="00251E5F" w:rsidRDefault="00FD5543" w:rsidP="00701A39">
      <w:pPr>
        <w:pStyle w:val="ECDPMnormal"/>
        <w:rPr>
          <w:lang w:val="es-ES_tradnl"/>
        </w:rPr>
      </w:pPr>
    </w:p>
    <w:p w14:paraId="0E083D5A" w14:textId="77777777" w:rsidR="00FD5543" w:rsidRPr="00251E5F" w:rsidRDefault="00FD5543" w:rsidP="00701A39">
      <w:pPr>
        <w:pStyle w:val="ECDPMnormal"/>
        <w:rPr>
          <w:lang w:val="es-ES_tradnl"/>
        </w:rPr>
      </w:pPr>
    </w:p>
    <w:p w14:paraId="6D266921" w14:textId="77777777" w:rsidR="00FD5543" w:rsidRPr="00251E5F" w:rsidRDefault="00FD5543" w:rsidP="00701A39">
      <w:pPr>
        <w:pStyle w:val="ECDPMnormal"/>
        <w:rPr>
          <w:lang w:val="es-ES_tradnl"/>
        </w:rPr>
      </w:pPr>
    </w:p>
    <w:p w14:paraId="759C031B" w14:textId="77777777" w:rsidR="00FD5543" w:rsidRPr="00251E5F" w:rsidRDefault="00FD5543" w:rsidP="00701A39">
      <w:pPr>
        <w:pStyle w:val="ECDPMnormal"/>
        <w:rPr>
          <w:lang w:val="es-ES_tradnl"/>
        </w:rPr>
      </w:pPr>
    </w:p>
    <w:p w14:paraId="7D302734" w14:textId="77777777" w:rsidR="00FD5543" w:rsidRPr="00251E5F" w:rsidRDefault="00FD5543" w:rsidP="00701A39">
      <w:pPr>
        <w:pStyle w:val="ECDPMnormal"/>
        <w:rPr>
          <w:lang w:val="es-ES_tradnl"/>
        </w:rPr>
      </w:pPr>
    </w:p>
    <w:p w14:paraId="001542B3" w14:textId="24ABF5D2" w:rsidR="00FC769B" w:rsidRPr="00251E5F" w:rsidRDefault="00DA20EF" w:rsidP="00DA20EF">
      <w:pPr>
        <w:tabs>
          <w:tab w:val="left" w:pos="2980"/>
          <w:tab w:val="center" w:pos="5528"/>
        </w:tabs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</w:pPr>
      <w:r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ab/>
      </w:r>
      <w:r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ab/>
      </w:r>
      <w:r w:rsidR="00D976C4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 Bogotá</w:t>
      </w:r>
      <w:r w:rsidR="00FC769B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, 1-3 </w:t>
      </w:r>
      <w:r w:rsidR="00D976C4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>Junio</w:t>
      </w:r>
      <w:r w:rsidR="00FC769B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 2015</w:t>
      </w:r>
    </w:p>
    <w:p w14:paraId="1BBFD2A8" w14:textId="77777777" w:rsidR="00FC769B" w:rsidRPr="00251E5F" w:rsidRDefault="00FC769B" w:rsidP="00701A39">
      <w:pPr>
        <w:spacing w:after="0" w:line="240" w:lineRule="auto"/>
        <w:jc w:val="center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3B5CF498" w14:textId="355B320F" w:rsidR="00701A39" w:rsidRPr="00251E5F" w:rsidRDefault="00DA20EF" w:rsidP="00DA20EF">
      <w:pPr>
        <w:tabs>
          <w:tab w:val="left" w:pos="2180"/>
          <w:tab w:val="center" w:pos="5528"/>
        </w:tabs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</w:pPr>
      <w:r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ab/>
      </w:r>
      <w:r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ab/>
      </w:r>
      <w:r w:rsidR="00D976C4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>Organizado por</w:t>
      </w:r>
      <w:r w:rsidR="00701A39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 </w:t>
      </w:r>
      <w:r w:rsidR="00CA5953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DG DEVCO </w:t>
      </w:r>
      <w:r w:rsidR="00450AEA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>Unidad</w:t>
      </w:r>
      <w:r w:rsidR="00701A39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 </w:t>
      </w:r>
      <w:r w:rsidR="00CA5953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>B</w:t>
      </w:r>
      <w:r w:rsidR="00701A39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>2</w:t>
      </w:r>
    </w:p>
    <w:p w14:paraId="78204B0D" w14:textId="20838BD6" w:rsidR="00701A39" w:rsidRPr="00251E5F" w:rsidRDefault="00D976C4" w:rsidP="00DA20EF">
      <w:pPr>
        <w:tabs>
          <w:tab w:val="center" w:pos="5528"/>
        </w:tabs>
        <w:spacing w:after="0" w:line="240" w:lineRule="auto"/>
        <w:ind w:firstLine="2880"/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</w:pPr>
      <w:r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Sociedad Civil y Autoridades Locales</w:t>
      </w:r>
    </w:p>
    <w:p w14:paraId="09EC17C7" w14:textId="77777777" w:rsidR="00B922C2" w:rsidRPr="00251E5F" w:rsidRDefault="00B922C2" w:rsidP="00701A39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4158F00E" w14:textId="77777777" w:rsidR="00B922C2" w:rsidRPr="00251E5F" w:rsidRDefault="00B922C2" w:rsidP="00701A39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78D29324" w14:textId="77777777" w:rsidR="00DA20EF" w:rsidRPr="00251E5F" w:rsidRDefault="00DA20EF" w:rsidP="00DA20EF">
      <w:pPr>
        <w:spacing w:after="0" w:line="240" w:lineRule="auto"/>
        <w:jc w:val="center"/>
        <w:rPr>
          <w:rFonts w:ascii="Verdana" w:eastAsia="MS Mincho" w:hAnsi="Verdana"/>
          <w:b/>
          <w:color w:val="1F497D" w:themeColor="text2"/>
          <w:sz w:val="36"/>
          <w:szCs w:val="24"/>
          <w:lang w:val="es-ES_tradnl" w:eastAsia="ja-JP"/>
        </w:rPr>
      </w:pPr>
      <w:r w:rsidRPr="00251E5F">
        <w:rPr>
          <w:rFonts w:ascii="Verdana" w:eastAsia="MS Mincho" w:hAnsi="Verdana"/>
          <w:b/>
          <w:color w:val="1F497D" w:themeColor="text2"/>
          <w:sz w:val="36"/>
          <w:szCs w:val="24"/>
          <w:lang w:val="es-ES_tradnl" w:eastAsia="ja-JP"/>
        </w:rPr>
        <w:t>Agenda</w:t>
      </w:r>
    </w:p>
    <w:p w14:paraId="2EA5DA3F" w14:textId="77777777" w:rsidR="00701A39" w:rsidRPr="00251E5F" w:rsidRDefault="00701A39" w:rsidP="00CA5953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4163B188" w14:textId="77777777" w:rsidR="00DA20EF" w:rsidRPr="00251E5F" w:rsidRDefault="00DA20EF" w:rsidP="00CA5953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289E8626" w14:textId="77777777" w:rsidR="00DA20EF" w:rsidRPr="00251E5F" w:rsidRDefault="00DA20EF" w:rsidP="00CA5953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648D2E2E" w14:textId="77777777" w:rsidR="00DA20EF" w:rsidRPr="00251E5F" w:rsidRDefault="00DA20EF" w:rsidP="00CA5953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17317467" w14:textId="77777777" w:rsidR="00DA20EF" w:rsidRPr="00251E5F" w:rsidRDefault="00DA20EF" w:rsidP="00CA5953">
      <w:pPr>
        <w:spacing w:after="0" w:line="240" w:lineRule="auto"/>
        <w:rPr>
          <w:rFonts w:ascii="Verdana" w:eastAsia="MS Mincho" w:hAnsi="Verdana"/>
          <w:color w:val="333399"/>
          <w:sz w:val="36"/>
          <w:szCs w:val="24"/>
          <w:lang w:val="es-ES_tradnl" w:eastAsia="ja-JP"/>
        </w:rPr>
      </w:pPr>
    </w:p>
    <w:p w14:paraId="2BB270D0" w14:textId="3142ADE8" w:rsidR="00701A39" w:rsidRPr="00251E5F" w:rsidRDefault="00D976C4" w:rsidP="00701A39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</w:pPr>
      <w:r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>Facilitado por</w:t>
      </w:r>
      <w:r w:rsidR="00CA5953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 </w:t>
      </w:r>
      <w:r w:rsidR="00701A39" w:rsidRPr="00251E5F">
        <w:rPr>
          <w:rFonts w:ascii="Verdana" w:eastAsia="MS Mincho" w:hAnsi="Verdana"/>
          <w:color w:val="1F497D" w:themeColor="text2"/>
          <w:sz w:val="36"/>
          <w:szCs w:val="24"/>
          <w:lang w:val="es-ES_tradnl" w:eastAsia="ja-JP"/>
        </w:rPr>
        <w:t xml:space="preserve">ECDPM </w:t>
      </w:r>
    </w:p>
    <w:p w14:paraId="779EB1CD" w14:textId="2513C282" w:rsidR="00701A39" w:rsidRPr="00251E5F" w:rsidRDefault="00DA20EF" w:rsidP="00DA20EF">
      <w:pPr>
        <w:tabs>
          <w:tab w:val="center" w:pos="5528"/>
        </w:tabs>
        <w:spacing w:after="0" w:line="240" w:lineRule="auto"/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</w:pPr>
      <w:r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ab/>
      </w:r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(</w:t>
      </w:r>
      <w:proofErr w:type="spellStart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European</w:t>
      </w:r>
      <w:proofErr w:type="spellEnd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 xml:space="preserve"> Cent</w:t>
      </w:r>
      <w:r w:rsidR="00CA5953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re</w:t>
      </w:r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 xml:space="preserve"> </w:t>
      </w:r>
      <w:proofErr w:type="spellStart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for</w:t>
      </w:r>
      <w:proofErr w:type="spellEnd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 xml:space="preserve"> </w:t>
      </w:r>
      <w:proofErr w:type="spellStart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Development</w:t>
      </w:r>
      <w:proofErr w:type="spellEnd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 xml:space="preserve"> </w:t>
      </w:r>
      <w:proofErr w:type="spellStart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>Policy</w:t>
      </w:r>
      <w:proofErr w:type="spellEnd"/>
      <w:r w:rsidR="00701A39" w:rsidRPr="00251E5F">
        <w:rPr>
          <w:rFonts w:ascii="Verdana" w:eastAsia="MS Mincho" w:hAnsi="Verdana"/>
          <w:color w:val="1F497D" w:themeColor="text2"/>
          <w:sz w:val="32"/>
          <w:szCs w:val="32"/>
          <w:lang w:val="es-ES_tradnl" w:eastAsia="ja-JP"/>
        </w:rPr>
        <w:t xml:space="preserve"> Management)</w:t>
      </w:r>
    </w:p>
    <w:p w14:paraId="1E18084D" w14:textId="77777777" w:rsidR="00701A39" w:rsidRPr="00251E5F" w:rsidRDefault="00701A39" w:rsidP="00701A39">
      <w:pPr>
        <w:pStyle w:val="ECDPMnormal"/>
        <w:rPr>
          <w:lang w:val="es-ES_tradnl"/>
        </w:rPr>
      </w:pPr>
    </w:p>
    <w:p w14:paraId="1B032B25" w14:textId="77777777" w:rsidR="00B922C2" w:rsidRPr="00251E5F" w:rsidRDefault="00B14EF1" w:rsidP="00701A39">
      <w:pPr>
        <w:pStyle w:val="ECDPMnormal"/>
        <w:jc w:val="center"/>
        <w:rPr>
          <w:lang w:val="es-ES_tradnl"/>
        </w:rPr>
      </w:pPr>
      <w:r w:rsidRPr="00251E5F">
        <w:rPr>
          <w:noProof/>
          <w:lang w:val="en-US" w:eastAsia="en-US"/>
        </w:rPr>
        <w:drawing>
          <wp:inline distT="0" distB="0" distL="0" distR="0" wp14:anchorId="67CD79C1" wp14:editId="50C4D0E8">
            <wp:extent cx="1219200" cy="609600"/>
            <wp:effectExtent l="0" t="0" r="0" b="0"/>
            <wp:docPr id="1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F49E" w14:textId="77777777" w:rsidR="003C147E" w:rsidRPr="00251E5F" w:rsidRDefault="003C147E" w:rsidP="00B922C2">
      <w:pPr>
        <w:pStyle w:val="ECDPMnormal"/>
        <w:jc w:val="center"/>
        <w:rPr>
          <w:lang w:val="es-ES_tradnl"/>
        </w:rPr>
      </w:pPr>
      <w:r w:rsidRPr="00251E5F">
        <w:rPr>
          <w:lang w:val="es-ES_tradnl"/>
        </w:rPr>
        <w:br w:type="page"/>
      </w:r>
    </w:p>
    <w:p w14:paraId="4E36677E" w14:textId="77777777" w:rsidR="0026662F" w:rsidRPr="00251E5F" w:rsidRDefault="0026662F" w:rsidP="0026662F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 w:themeColor="text2"/>
          <w:sz w:val="32"/>
          <w:szCs w:val="22"/>
          <w:lang w:val="es-ES_tradnl"/>
        </w:rPr>
      </w:pPr>
      <w:r w:rsidRPr="00251E5F">
        <w:rPr>
          <w:rFonts w:ascii="Verdana" w:hAnsi="Verdana" w:cs="Arial"/>
          <w:b/>
          <w:color w:val="1F497D" w:themeColor="text2"/>
          <w:sz w:val="32"/>
          <w:szCs w:val="22"/>
          <w:lang w:val="es-ES_tradnl"/>
        </w:rPr>
        <w:lastRenderedPageBreak/>
        <w:t>Lunes 1 Junio</w:t>
      </w:r>
    </w:p>
    <w:p w14:paraId="325B2747" w14:textId="77777777" w:rsidR="0026662F" w:rsidRPr="00251E5F" w:rsidRDefault="0026662F" w:rsidP="0026662F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 w:themeColor="text2"/>
          <w:sz w:val="32"/>
          <w:szCs w:val="22"/>
          <w:lang w:val="es-ES_tradnl"/>
        </w:rPr>
      </w:pPr>
    </w:p>
    <w:p w14:paraId="544BF15C" w14:textId="4DC3F110" w:rsidR="003C147E" w:rsidRPr="00251E5F" w:rsidRDefault="0026662F" w:rsidP="00251E5F">
      <w:pPr>
        <w:spacing w:before="80" w:after="120" w:line="240" w:lineRule="auto"/>
        <w:ind w:right="1276"/>
        <w:rPr>
          <w:rFonts w:ascii="Verdana" w:eastAsia="MS Mincho" w:hAnsi="Verdana" w:cs="Arial"/>
          <w:b/>
          <w:sz w:val="32"/>
          <w:szCs w:val="32"/>
          <w:lang w:val="es-ES_tradnl" w:eastAsia="ja-JP"/>
        </w:rPr>
      </w:pP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Parte I: Clarificación del concepto "Enfoque Territorial del Desarrollo Local" en el contexto de América Latina y Central</w:t>
      </w:r>
    </w:p>
    <w:p w14:paraId="7103DD82" w14:textId="77777777" w:rsidR="0026662F" w:rsidRPr="00251E5F" w:rsidRDefault="0026662F" w:rsidP="0026662F">
      <w:pPr>
        <w:spacing w:before="80" w:after="120" w:line="240" w:lineRule="auto"/>
        <w:rPr>
          <w:rFonts w:ascii="Verdana" w:eastAsia="MS Mincho" w:hAnsi="Verdana" w:cs="Arial"/>
          <w:b/>
          <w:sz w:val="32"/>
          <w:szCs w:val="32"/>
          <w:lang w:val="es-ES_tradnl" w:eastAsia="ja-JP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2450"/>
        <w:gridCol w:w="108"/>
        <w:gridCol w:w="7321"/>
        <w:gridCol w:w="9"/>
      </w:tblGrid>
      <w:tr w:rsidR="0026662F" w:rsidRPr="00DC4F6C" w14:paraId="57952724" w14:textId="77777777" w:rsidTr="00251E5F">
        <w:trPr>
          <w:gridAfter w:val="1"/>
          <w:wAfter w:w="9" w:type="dxa"/>
          <w:trHeight w:val="430"/>
        </w:trPr>
        <w:tc>
          <w:tcPr>
            <w:tcW w:w="2450" w:type="dxa"/>
            <w:shd w:val="clear" w:color="auto" w:fill="BFBFBF"/>
            <w:noWrap/>
          </w:tcPr>
          <w:p w14:paraId="0E7CA67B" w14:textId="77777777" w:rsidR="0026662F" w:rsidRPr="00251E5F" w:rsidRDefault="0026662F" w:rsidP="0026662F">
            <w:pPr>
              <w:spacing w:before="80" w:after="120"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09.00 - 09.30</w:t>
            </w:r>
          </w:p>
        </w:tc>
        <w:tc>
          <w:tcPr>
            <w:tcW w:w="7429" w:type="dxa"/>
            <w:gridSpan w:val="2"/>
            <w:shd w:val="clear" w:color="auto" w:fill="BFBFBF"/>
            <w:noWrap/>
          </w:tcPr>
          <w:p w14:paraId="5F0B825E" w14:textId="77777777" w:rsidR="0026662F" w:rsidRPr="00251E5F" w:rsidRDefault="0026662F" w:rsidP="0026662F">
            <w:pPr>
              <w:spacing w:before="80" w:after="120"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Inscripción y registro con café/té</w:t>
            </w:r>
          </w:p>
        </w:tc>
      </w:tr>
      <w:tr w:rsidR="0026662F" w:rsidRPr="00DC4F6C" w14:paraId="0F17CDD7" w14:textId="77777777" w:rsidTr="00251E5F">
        <w:trPr>
          <w:gridAfter w:val="1"/>
          <w:wAfter w:w="9" w:type="dxa"/>
          <w:trHeight w:val="471"/>
        </w:trPr>
        <w:tc>
          <w:tcPr>
            <w:tcW w:w="2450" w:type="dxa"/>
            <w:shd w:val="clear" w:color="auto" w:fill="auto"/>
            <w:noWrap/>
          </w:tcPr>
          <w:p w14:paraId="100B6580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09.30 - 09.40</w:t>
            </w:r>
          </w:p>
        </w:tc>
        <w:tc>
          <w:tcPr>
            <w:tcW w:w="7429" w:type="dxa"/>
            <w:gridSpan w:val="2"/>
            <w:shd w:val="clear" w:color="auto" w:fill="auto"/>
            <w:noWrap/>
          </w:tcPr>
          <w:p w14:paraId="204195AD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Apertura de bienvenida al seminario por la Delegación de la UE en Colombia  </w:t>
            </w:r>
          </w:p>
        </w:tc>
      </w:tr>
      <w:tr w:rsidR="0026662F" w:rsidRPr="00DC4F6C" w14:paraId="704E0714" w14:textId="77777777" w:rsidTr="00251E5F">
        <w:trPr>
          <w:gridAfter w:val="1"/>
          <w:wAfter w:w="9" w:type="dxa"/>
          <w:trHeight w:val="701"/>
        </w:trPr>
        <w:tc>
          <w:tcPr>
            <w:tcW w:w="2450" w:type="dxa"/>
            <w:shd w:val="clear" w:color="auto" w:fill="auto"/>
            <w:noWrap/>
          </w:tcPr>
          <w:p w14:paraId="1F40693B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09.40 – 10.00</w:t>
            </w:r>
          </w:p>
        </w:tc>
        <w:tc>
          <w:tcPr>
            <w:tcW w:w="7429" w:type="dxa"/>
            <w:gridSpan w:val="2"/>
            <w:shd w:val="clear" w:color="auto" w:fill="auto"/>
            <w:noWrap/>
          </w:tcPr>
          <w:p w14:paraId="0511B1C9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Contextualización del seminario regional (Presentación de Jorge Rodriguez)</w:t>
            </w:r>
          </w:p>
          <w:p w14:paraId="12DE2C16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Introducción individual de los participantes al seminario</w:t>
            </w:r>
          </w:p>
        </w:tc>
      </w:tr>
      <w:tr w:rsidR="0026662F" w:rsidRPr="00DC4F6C" w14:paraId="5497967A" w14:textId="77777777" w:rsidTr="00251E5F">
        <w:trPr>
          <w:gridAfter w:val="1"/>
          <w:wAfter w:w="9" w:type="dxa"/>
          <w:trHeight w:val="821"/>
        </w:trPr>
        <w:tc>
          <w:tcPr>
            <w:tcW w:w="2450" w:type="dxa"/>
            <w:shd w:val="clear" w:color="auto" w:fill="auto"/>
            <w:noWrap/>
          </w:tcPr>
          <w:p w14:paraId="7C728837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10.00 – 10.45</w:t>
            </w:r>
          </w:p>
        </w:tc>
        <w:tc>
          <w:tcPr>
            <w:tcW w:w="7429" w:type="dxa"/>
            <w:gridSpan w:val="2"/>
            <w:shd w:val="clear" w:color="auto" w:fill="auto"/>
            <w:noWrap/>
          </w:tcPr>
          <w:p w14:paraId="50E0B338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b/>
                <w:sz w:val="20"/>
                <w:szCs w:val="20"/>
                <w:lang w:val="es-ES_tradnl"/>
              </w:rPr>
              <w:t>Sesión 1.1.  El cambio de paradigma hacia el “Enfoque Territorial para el Desarrollo Local” (ETDL)- Implicaciones y respuestas de la UE</w:t>
            </w:r>
          </w:p>
          <w:p w14:paraId="57485451" w14:textId="77777777" w:rsidR="0026662F" w:rsidRPr="00DC4F6C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pt-PT"/>
              </w:rPr>
            </w:pPr>
            <w:r w:rsidRPr="00DC4F6C">
              <w:rPr>
                <w:rFonts w:cs="Arial"/>
                <w:sz w:val="20"/>
                <w:szCs w:val="20"/>
                <w:lang w:val="pt-PT"/>
              </w:rPr>
              <w:t>(por Jorge Rodriguez, DEVCO B2)</w:t>
            </w:r>
          </w:p>
          <w:p w14:paraId="45471FB1" w14:textId="66880C9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Preguntas y respuestas en sesión plenaria </w:t>
            </w:r>
          </w:p>
        </w:tc>
      </w:tr>
      <w:tr w:rsidR="0026662F" w:rsidRPr="00251E5F" w14:paraId="2FFE9CB5" w14:textId="77777777" w:rsidTr="00251E5F">
        <w:trPr>
          <w:gridAfter w:val="1"/>
          <w:wAfter w:w="9" w:type="dxa"/>
          <w:trHeight w:val="430"/>
        </w:trPr>
        <w:tc>
          <w:tcPr>
            <w:tcW w:w="2558" w:type="dxa"/>
            <w:gridSpan w:val="2"/>
            <w:shd w:val="clear" w:color="auto" w:fill="BFBFBF"/>
            <w:noWrap/>
          </w:tcPr>
          <w:p w14:paraId="08A9694A" w14:textId="7AF407B0" w:rsidR="0026662F" w:rsidRPr="00251E5F" w:rsidRDefault="00CD746D" w:rsidP="0026662F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10.45 – 11.00</w:t>
            </w:r>
          </w:p>
        </w:tc>
        <w:tc>
          <w:tcPr>
            <w:tcW w:w="7321" w:type="dxa"/>
            <w:shd w:val="clear" w:color="auto" w:fill="BFBFBF"/>
            <w:noWrap/>
          </w:tcPr>
          <w:p w14:paraId="6638E6E4" w14:textId="40861685" w:rsidR="0026662F" w:rsidRPr="00251E5F" w:rsidRDefault="00CD746D" w:rsidP="002666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Pausa café/té</w:t>
            </w:r>
            <w:r w:rsidR="0026662F"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6662F" w:rsidRPr="00DC4F6C" w14:paraId="1E849369" w14:textId="77777777" w:rsidTr="00251E5F">
        <w:trPr>
          <w:gridAfter w:val="1"/>
          <w:wAfter w:w="9" w:type="dxa"/>
          <w:trHeight w:val="821"/>
        </w:trPr>
        <w:tc>
          <w:tcPr>
            <w:tcW w:w="2450" w:type="dxa"/>
            <w:shd w:val="clear" w:color="auto" w:fill="auto"/>
            <w:noWrap/>
          </w:tcPr>
          <w:p w14:paraId="44B5F54B" w14:textId="77777777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11.00 – 12.45</w:t>
            </w:r>
          </w:p>
        </w:tc>
        <w:tc>
          <w:tcPr>
            <w:tcW w:w="7429" w:type="dxa"/>
            <w:gridSpan w:val="2"/>
            <w:shd w:val="clear" w:color="auto" w:fill="auto"/>
            <w:noWrap/>
          </w:tcPr>
          <w:p w14:paraId="1565B35E" w14:textId="1DDA9B64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b/>
                <w:sz w:val="20"/>
                <w:szCs w:val="20"/>
                <w:lang w:val="es-ES_tradnl"/>
              </w:rPr>
              <w:t>Sesión 1.2. El concepto “Enfoque Territorial para el Desarrollo Local (ETDL)” y sus principales ingredientes (“DNA”)</w:t>
            </w:r>
          </w:p>
          <w:p w14:paraId="799EEA19" w14:textId="123E1C42" w:rsidR="0026662F" w:rsidRPr="00251E5F" w:rsidRDefault="0026662F" w:rsidP="0026662F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/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Introducción </w:t>
            </w:r>
            <w:r w:rsidR="00C620C0">
              <w:rPr>
                <w:rFonts w:cs="Arial"/>
                <w:sz w:val="20"/>
                <w:szCs w:val="20"/>
                <w:lang w:val="es-ES_tradnl"/>
              </w:rPr>
              <w:t>por Alfonso García (experto</w:t>
            </w: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 externo)</w:t>
            </w:r>
          </w:p>
          <w:p w14:paraId="23A238DD" w14:textId="77777777" w:rsidR="00B61C5E" w:rsidRDefault="00ED3CA9" w:rsidP="00ED3CA9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Tres reacciones breves de perspectivas diferentes</w:t>
            </w:r>
            <w:r w:rsidR="00B61C5E">
              <w:rPr>
                <w:rFonts w:cs="Arial"/>
                <w:sz w:val="20"/>
                <w:szCs w:val="20"/>
                <w:lang w:val="es-ES_tradnl"/>
              </w:rPr>
              <w:t>:</w:t>
            </w:r>
          </w:p>
          <w:p w14:paraId="6C7D09B7" w14:textId="2C33E965" w:rsidR="00B61C5E" w:rsidRDefault="00B61C5E" w:rsidP="00B61C5E">
            <w:pPr>
              <w:pStyle w:val="ECDPMnormal"/>
              <w:numPr>
                <w:ilvl w:val="0"/>
                <w:numId w:val="22"/>
              </w:numPr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Daniel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Garcia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ED3CA9">
              <w:rPr>
                <w:rFonts w:cs="Arial"/>
                <w:sz w:val="20"/>
                <w:szCs w:val="20"/>
                <w:lang w:val="es-ES_tradnl"/>
              </w:rPr>
              <w:t>(asociación de autoridades locales</w:t>
            </w:r>
            <w:r>
              <w:rPr>
                <w:rFonts w:cs="Arial"/>
                <w:sz w:val="20"/>
                <w:szCs w:val="20"/>
                <w:lang w:val="es-ES_tradnl"/>
              </w:rPr>
              <w:t>)</w:t>
            </w:r>
          </w:p>
          <w:p w14:paraId="4A4D280D" w14:textId="231E7617" w:rsidR="0026662F" w:rsidRDefault="00B61C5E" w:rsidP="00B61C5E">
            <w:pPr>
              <w:pStyle w:val="ECDPMnormal"/>
              <w:numPr>
                <w:ilvl w:val="0"/>
                <w:numId w:val="22"/>
              </w:numPr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Marco Venegas (</w:t>
            </w:r>
            <w:r w:rsidR="00ED3CA9">
              <w:rPr>
                <w:rFonts w:cs="Arial"/>
                <w:sz w:val="20"/>
                <w:szCs w:val="20"/>
                <w:lang w:val="es-ES_tradnl"/>
              </w:rPr>
              <w:t>Delegación UE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 Ecuador</w:t>
            </w:r>
            <w:r w:rsidR="00ED3CA9">
              <w:rPr>
                <w:rFonts w:cs="Arial"/>
                <w:sz w:val="20"/>
                <w:szCs w:val="20"/>
                <w:lang w:val="es-ES_tradnl"/>
              </w:rPr>
              <w:t>)</w:t>
            </w:r>
          </w:p>
          <w:p w14:paraId="62A5173C" w14:textId="20B4E00E" w:rsidR="00B61C5E" w:rsidRDefault="00B61C5E" w:rsidP="00B61C5E">
            <w:pPr>
              <w:pStyle w:val="ECDPMnormal"/>
              <w:numPr>
                <w:ilvl w:val="0"/>
                <w:numId w:val="22"/>
              </w:numPr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Anna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Paulena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(Sociedad Civil, República Dominicana)</w:t>
            </w:r>
          </w:p>
          <w:p w14:paraId="50711D79" w14:textId="1EC6C3AB" w:rsidR="00ED3CA9" w:rsidRPr="00251E5F" w:rsidRDefault="00ED3CA9" w:rsidP="00ED3CA9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6662F" w:rsidRPr="00251E5F" w14:paraId="73C28478" w14:textId="77777777" w:rsidTr="00251E5F">
        <w:trPr>
          <w:trHeight w:val="430"/>
        </w:trPr>
        <w:tc>
          <w:tcPr>
            <w:tcW w:w="2558" w:type="dxa"/>
            <w:gridSpan w:val="2"/>
            <w:shd w:val="clear" w:color="auto" w:fill="BFBFBF"/>
            <w:noWrap/>
          </w:tcPr>
          <w:p w14:paraId="4C0BCE6F" w14:textId="13EAA7CC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12.45 – 14.00</w:t>
            </w:r>
          </w:p>
        </w:tc>
        <w:tc>
          <w:tcPr>
            <w:tcW w:w="7330" w:type="dxa"/>
            <w:gridSpan w:val="2"/>
            <w:shd w:val="clear" w:color="auto" w:fill="BFBFBF"/>
            <w:noWrap/>
          </w:tcPr>
          <w:p w14:paraId="7BFB5395" w14:textId="77777777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Almuerzo </w:t>
            </w:r>
          </w:p>
        </w:tc>
      </w:tr>
    </w:tbl>
    <w:p w14:paraId="0860EDDA" w14:textId="77777777" w:rsidR="0026662F" w:rsidRPr="00251E5F" w:rsidRDefault="0026662F" w:rsidP="00320493">
      <w:pPr>
        <w:spacing w:after="0" w:line="240" w:lineRule="auto"/>
        <w:ind w:firstLine="720"/>
        <w:rPr>
          <w:rFonts w:ascii="Arial" w:eastAsia="MS Mincho" w:hAnsi="Arial" w:cs="Arial"/>
          <w:b/>
          <w:color w:val="1F497D"/>
          <w:sz w:val="2"/>
          <w:szCs w:val="2"/>
          <w:lang w:val="es-ES_tradnl" w:eastAsia="ja-JP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85"/>
        <w:gridCol w:w="108"/>
        <w:gridCol w:w="7321"/>
      </w:tblGrid>
      <w:tr w:rsidR="0026662F" w:rsidRPr="00DC4F6C" w14:paraId="2D66F20F" w14:textId="77777777" w:rsidTr="00251E5F">
        <w:trPr>
          <w:trHeight w:val="961"/>
        </w:trPr>
        <w:tc>
          <w:tcPr>
            <w:tcW w:w="2485" w:type="dxa"/>
            <w:shd w:val="clear" w:color="auto" w:fill="auto"/>
          </w:tcPr>
          <w:p w14:paraId="09917A39" w14:textId="77777777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14.00 – 15.30</w:t>
            </w:r>
          </w:p>
        </w:tc>
        <w:tc>
          <w:tcPr>
            <w:tcW w:w="7429" w:type="dxa"/>
            <w:gridSpan w:val="2"/>
            <w:shd w:val="clear" w:color="auto" w:fill="auto"/>
          </w:tcPr>
          <w:p w14:paraId="2D0A8EC3" w14:textId="77777777" w:rsidR="0026662F" w:rsidRPr="00251E5F" w:rsidRDefault="0026662F" w:rsidP="0026662F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1.3.  ¿En qué medida las reformas de descentralización en América Latina proporcionan un entorno propicio para el “Enfoque Territorial para el Desarrollo Local”?</w:t>
            </w:r>
          </w:p>
          <w:p w14:paraId="09138F35" w14:textId="77777777" w:rsidR="0026662F" w:rsidRPr="00251E5F" w:rsidRDefault="0026662F" w:rsidP="0026662F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Análisis de las reformas de descentralización en cuatro países de América Latina desde la perspectiva ETDL</w:t>
            </w: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(por Tulia </w:t>
            </w:r>
            <w:proofErr w:type="spellStart"/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Falleti</w:t>
            </w:r>
            <w:proofErr w:type="spellEnd"/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, especialista externo)</w:t>
            </w:r>
          </w:p>
          <w:p w14:paraId="6AEEF1B1" w14:textId="79176304" w:rsidR="0026662F" w:rsidRDefault="00ED3CA9" w:rsidP="0026662F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Dos reacciones breves </w:t>
            </w:r>
            <w:r w:rsidR="00DC4F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</w:t>
            </w:r>
            <w:r w:rsidR="00DC4F6C" w:rsidRPr="00B61C5E">
              <w:rPr>
                <w:rFonts w:ascii="Arial" w:hAnsi="Arial" w:cs="Arial"/>
                <w:sz w:val="20"/>
                <w:szCs w:val="20"/>
                <w:lang w:val="es-ES_tradnl"/>
              </w:rPr>
              <w:t>expertos/investigadores  procedentes de diferentes áreas</w:t>
            </w:r>
            <w:r w:rsidR="00B61C5E" w:rsidRPr="00B61C5E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  <w:p w14:paraId="113E8AD0" w14:textId="14E748F6" w:rsidR="00B61C5E" w:rsidRPr="00B61C5E" w:rsidRDefault="00B61C5E" w:rsidP="00B61C5E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1C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Carlos </w:t>
            </w:r>
            <w:proofErr w:type="spellStart"/>
            <w:r w:rsidRPr="00B61C5E">
              <w:rPr>
                <w:rFonts w:ascii="Arial" w:hAnsi="Arial" w:cs="Arial"/>
                <w:sz w:val="20"/>
                <w:szCs w:val="20"/>
                <w:lang w:val="es-ES_tradnl"/>
              </w:rPr>
              <w:t>Toranzo</w:t>
            </w:r>
            <w:proofErr w:type="spellEnd"/>
            <w:r w:rsidRPr="00B61C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(Bolivia)</w:t>
            </w:r>
          </w:p>
          <w:p w14:paraId="276018DE" w14:textId="3C581444" w:rsidR="00B61C5E" w:rsidRPr="00B61C5E" w:rsidRDefault="00B61C5E" w:rsidP="00B61C5E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Raul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Molina (Perú)</w:t>
            </w:r>
          </w:p>
          <w:p w14:paraId="4419D0AA" w14:textId="44AAE3B8" w:rsidR="00ED3CA9" w:rsidRPr="00251E5F" w:rsidRDefault="00ED3CA9" w:rsidP="0026662F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662F" w:rsidRPr="00251E5F" w14:paraId="5AA2ACB9" w14:textId="77777777" w:rsidTr="00251E5F">
        <w:trPr>
          <w:trHeight w:val="430"/>
        </w:trPr>
        <w:tc>
          <w:tcPr>
            <w:tcW w:w="2485" w:type="dxa"/>
            <w:shd w:val="clear" w:color="auto" w:fill="BFBFBF"/>
          </w:tcPr>
          <w:p w14:paraId="6160FD4B" w14:textId="2CA6C52E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15.30 – 15.45</w:t>
            </w:r>
          </w:p>
        </w:tc>
        <w:tc>
          <w:tcPr>
            <w:tcW w:w="7429" w:type="dxa"/>
            <w:gridSpan w:val="2"/>
            <w:shd w:val="clear" w:color="auto" w:fill="BFBFBF"/>
          </w:tcPr>
          <w:p w14:paraId="60E209E6" w14:textId="77777777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Pausa café/té</w:t>
            </w:r>
          </w:p>
        </w:tc>
      </w:tr>
      <w:tr w:rsidR="0026662F" w:rsidRPr="00DC4F6C" w14:paraId="6AE2E791" w14:textId="77777777" w:rsidTr="00251E5F">
        <w:trPr>
          <w:trHeight w:val="1361"/>
        </w:trPr>
        <w:tc>
          <w:tcPr>
            <w:tcW w:w="2485" w:type="dxa"/>
            <w:shd w:val="clear" w:color="auto" w:fill="auto"/>
          </w:tcPr>
          <w:p w14:paraId="2DC90BD3" w14:textId="77777777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15.45 – 17.15</w:t>
            </w:r>
          </w:p>
        </w:tc>
        <w:tc>
          <w:tcPr>
            <w:tcW w:w="7429" w:type="dxa"/>
            <w:gridSpan w:val="2"/>
            <w:shd w:val="clear" w:color="auto" w:fill="auto"/>
          </w:tcPr>
          <w:p w14:paraId="14D77698" w14:textId="77777777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Sesión 1.4. “Enfoque Territorial para el Desarrollo Local” desde una perspectiva </w:t>
            </w:r>
            <w:proofErr w:type="spellStart"/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multi-actorial</w:t>
            </w:r>
            <w:proofErr w:type="spellEnd"/>
          </w:p>
          <w:p w14:paraId="28ED7000" w14:textId="77777777" w:rsidR="0026662F" w:rsidRPr="00251E5F" w:rsidRDefault="0026662F" w:rsidP="002666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Mesa redonda:</w:t>
            </w:r>
          </w:p>
          <w:p w14:paraId="48970FF5" w14:textId="7E2EA590" w:rsidR="00D02FD4" w:rsidRDefault="0026662F" w:rsidP="00D02FD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¿Cómo valoran los diferentes actores el potencial del ETDL en </w:t>
            </w:r>
            <w:r w:rsidR="00450AEA"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América</w:t>
            </w:r>
            <w:r w:rsidR="00D02FD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Latina y Central</w:t>
            </w:r>
          </w:p>
          <w:p w14:paraId="1044643A" w14:textId="77777777" w:rsidR="00D02FD4" w:rsidRDefault="00D02FD4" w:rsidP="00D02FD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14:paraId="51033EA1" w14:textId="5B7C71E9" w:rsidR="0026662F" w:rsidRPr="00D02FD4" w:rsidRDefault="0026662F" w:rsidP="00D02FD4">
            <w:pPr>
              <w:pStyle w:val="ListParagraph"/>
              <w:numPr>
                <w:ilvl w:val="0"/>
                <w:numId w:val="22"/>
              </w:num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Un representante del Gobierno Central (</w:t>
            </w:r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Colombia, </w:t>
            </w: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por confirmar)</w:t>
            </w:r>
          </w:p>
          <w:p w14:paraId="31D5FDB1" w14:textId="77777777" w:rsidR="00D02FD4" w:rsidRDefault="00D02FD4" w:rsidP="00D02FD4">
            <w:pPr>
              <w:pStyle w:val="ListParagraph"/>
              <w:numPr>
                <w:ilvl w:val="0"/>
                <w:numId w:val="22"/>
              </w:num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Ju</w:t>
            </w: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an Luis Pimentel </w:t>
            </w:r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(Asociación nacional de</w:t>
            </w:r>
            <w:r w:rsidR="0026662F" w:rsidRPr="00D02F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municipios, República Dominicana</w:t>
            </w: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14:paraId="09B04CB5" w14:textId="77777777" w:rsidR="00D02FD4" w:rsidRDefault="00B61C5E" w:rsidP="00D02FD4">
            <w:pPr>
              <w:pStyle w:val="ListParagraph"/>
              <w:numPr>
                <w:ilvl w:val="0"/>
                <w:numId w:val="22"/>
              </w:num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Renata Hoffman</w:t>
            </w:r>
            <w:r w:rsidR="0026662F" w:rsidRPr="00D02F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(S</w:t>
            </w:r>
            <w:r w:rsidR="0026662F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ociedad civil</w:t>
            </w: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, Bolivia)</w:t>
            </w:r>
          </w:p>
          <w:p w14:paraId="44014679" w14:textId="77777777" w:rsidR="00D02FD4" w:rsidRDefault="00B61C5E" w:rsidP="00D02FD4">
            <w:pPr>
              <w:pStyle w:val="ListParagraph"/>
              <w:numPr>
                <w:ilvl w:val="0"/>
                <w:numId w:val="22"/>
              </w:num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Carlos Callejas (Sociedad civil, Perú</w:t>
            </w:r>
            <w:r w:rsidR="00D02FD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)</w:t>
            </w:r>
          </w:p>
          <w:p w14:paraId="5A0B6093" w14:textId="77777777" w:rsidR="00D02FD4" w:rsidRDefault="00D02FD4" w:rsidP="00D02FD4">
            <w:pPr>
              <w:pStyle w:val="ListParagraph"/>
              <w:numPr>
                <w:ilvl w:val="0"/>
                <w:numId w:val="22"/>
              </w:num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D02FD4">
              <w:rPr>
                <w:rFonts w:ascii="Arial" w:hAnsi="Arial" w:cs="Arial"/>
                <w:sz w:val="20"/>
                <w:szCs w:val="20"/>
                <w:lang w:val="es-ES_tradnl"/>
              </w:rPr>
              <w:t>Marcel</w:t>
            </w:r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</w:t>
            </w:r>
            <w:proofErr w:type="spellStart"/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Renjel</w:t>
            </w:r>
            <w:proofErr w:type="spellEnd"/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(experto/investigador)</w:t>
            </w:r>
          </w:p>
          <w:p w14:paraId="6D50962D" w14:textId="77777777" w:rsidR="00D02FD4" w:rsidRDefault="00C620C0" w:rsidP="00C620C0">
            <w:pPr>
              <w:pStyle w:val="ListParagraph"/>
              <w:numPr>
                <w:ilvl w:val="0"/>
                <w:numId w:val="22"/>
              </w:num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C620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José Luis Arteaga </w:t>
            </w:r>
            <w:proofErr w:type="spellStart"/>
            <w:r w:rsidR="00D02FD4" w:rsidRPr="00C620C0">
              <w:rPr>
                <w:rFonts w:ascii="Arial" w:hAnsi="Arial" w:cs="Arial"/>
                <w:sz w:val="20"/>
                <w:szCs w:val="20"/>
                <w:lang w:val="es-ES_tradnl"/>
              </w:rPr>
              <w:t>Cespedes</w:t>
            </w:r>
            <w:proofErr w:type="spellEnd"/>
            <w:r w:rsidR="00D02FD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(</w:t>
            </w:r>
            <w:r w:rsidR="00ED3CA9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D</w:t>
            </w:r>
            <w:r w:rsidR="0026662F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elegación de la UE</w:t>
            </w:r>
            <w:r w:rsidR="00B61C5E" w:rsidRPr="00D02FD4">
              <w:rPr>
                <w:rFonts w:ascii="Arial" w:hAnsi="Arial" w:cs="Arial"/>
                <w:sz w:val="20"/>
                <w:szCs w:val="20"/>
                <w:lang w:val="es-ES_tradnl"/>
              </w:rPr>
              <w:t>, Perú)</w:t>
            </w:r>
          </w:p>
          <w:p w14:paraId="262F2DB8" w14:textId="77777777" w:rsidR="00C620C0" w:rsidRDefault="00C620C0" w:rsidP="00C620C0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14:paraId="7ED27517" w14:textId="51CAD4BF" w:rsidR="00C620C0" w:rsidRPr="00C620C0" w:rsidRDefault="00C620C0" w:rsidP="00C620C0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CD746D" w:rsidRPr="00DC4F6C" w14:paraId="19B2A3D7" w14:textId="77777777" w:rsidTr="00251E5F">
        <w:trPr>
          <w:trHeight w:val="430"/>
        </w:trPr>
        <w:tc>
          <w:tcPr>
            <w:tcW w:w="2593" w:type="dxa"/>
            <w:gridSpan w:val="2"/>
            <w:shd w:val="clear" w:color="auto" w:fill="BFBFBF"/>
            <w:noWrap/>
          </w:tcPr>
          <w:p w14:paraId="44024DE8" w14:textId="7FF96D50" w:rsidR="00CD746D" w:rsidRPr="00251E5F" w:rsidRDefault="00CD746D" w:rsidP="00CD746D">
            <w:pPr>
              <w:spacing w:before="80" w:after="120" w:line="240" w:lineRule="auto"/>
              <w:ind w:firstLine="720"/>
              <w:rPr>
                <w:rFonts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lastRenderedPageBreak/>
              <w:t>18.30 – 20.30</w:t>
            </w:r>
          </w:p>
        </w:tc>
        <w:tc>
          <w:tcPr>
            <w:tcW w:w="7321" w:type="dxa"/>
            <w:shd w:val="clear" w:color="auto" w:fill="BFBFBF"/>
            <w:noWrap/>
          </w:tcPr>
          <w:p w14:paraId="27739F4A" w14:textId="15BB0926" w:rsidR="00CD746D" w:rsidRPr="00251E5F" w:rsidRDefault="00CD746D" w:rsidP="00CD746D">
            <w:pPr>
              <w:spacing w:before="80" w:after="120"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Evento social (más información disponible próximamente)</w:t>
            </w:r>
          </w:p>
        </w:tc>
      </w:tr>
    </w:tbl>
    <w:p w14:paraId="38967168" w14:textId="77777777" w:rsidR="00CD746D" w:rsidRPr="00251E5F" w:rsidRDefault="00CD746D" w:rsidP="008F6166">
      <w:pPr>
        <w:spacing w:before="240"/>
        <w:rPr>
          <w:rFonts w:ascii="Arial" w:hAnsi="Arial" w:cs="Arial"/>
          <w:lang w:val="es-ES_tradnl"/>
        </w:rPr>
      </w:pPr>
    </w:p>
    <w:p w14:paraId="2647A23E" w14:textId="77777777" w:rsidR="00320493" w:rsidRPr="00251E5F" w:rsidRDefault="00320493" w:rsidP="008F6166">
      <w:pPr>
        <w:spacing w:before="240"/>
        <w:rPr>
          <w:rFonts w:ascii="Arial" w:hAnsi="Arial" w:cs="Arial"/>
          <w:lang w:val="es-ES_tradnl"/>
        </w:rPr>
      </w:pPr>
    </w:p>
    <w:p w14:paraId="2EAC1833" w14:textId="03D06EA1" w:rsidR="00CD746D" w:rsidRPr="00251E5F" w:rsidRDefault="00D51B2F" w:rsidP="00D51B2F">
      <w:pPr>
        <w:pStyle w:val="ECDPMnormal"/>
        <w:tabs>
          <w:tab w:val="left" w:pos="1985"/>
          <w:tab w:val="center" w:pos="4948"/>
        </w:tabs>
        <w:spacing w:before="120" w:after="120"/>
        <w:jc w:val="left"/>
        <w:rPr>
          <w:rFonts w:ascii="Verdana" w:hAnsi="Verdana" w:cs="Arial"/>
          <w:b/>
          <w:color w:val="1F497D"/>
          <w:sz w:val="32"/>
          <w:szCs w:val="22"/>
          <w:lang w:val="es-ES_tradnl"/>
        </w:rPr>
      </w:pPr>
      <w:r w:rsidRPr="00251E5F">
        <w:rPr>
          <w:rFonts w:ascii="Verdana" w:hAnsi="Verdana" w:cs="Arial"/>
          <w:b/>
          <w:color w:val="1F497D"/>
          <w:sz w:val="32"/>
          <w:szCs w:val="22"/>
          <w:lang w:val="es-ES_tradnl"/>
        </w:rPr>
        <w:tab/>
      </w:r>
      <w:r w:rsidRPr="00251E5F">
        <w:rPr>
          <w:rFonts w:ascii="Verdana" w:hAnsi="Verdana" w:cs="Arial"/>
          <w:b/>
          <w:color w:val="1F497D"/>
          <w:sz w:val="32"/>
          <w:szCs w:val="22"/>
          <w:lang w:val="es-ES_tradnl"/>
        </w:rPr>
        <w:tab/>
      </w:r>
      <w:r w:rsidR="00CD746D" w:rsidRPr="00251E5F">
        <w:rPr>
          <w:rFonts w:ascii="Verdana" w:hAnsi="Verdana" w:cs="Arial"/>
          <w:b/>
          <w:color w:val="1F497D"/>
          <w:sz w:val="32"/>
          <w:szCs w:val="22"/>
          <w:lang w:val="es-ES_tradnl"/>
        </w:rPr>
        <w:t xml:space="preserve">Martes 2 Junio </w:t>
      </w:r>
    </w:p>
    <w:p w14:paraId="61831B3C" w14:textId="77777777" w:rsidR="00D51B2F" w:rsidRPr="00251E5F" w:rsidRDefault="00D51B2F" w:rsidP="00D51B2F">
      <w:pPr>
        <w:pStyle w:val="ECDPMnormal"/>
        <w:tabs>
          <w:tab w:val="left" w:pos="1985"/>
          <w:tab w:val="center" w:pos="4948"/>
        </w:tabs>
        <w:spacing w:before="120" w:after="120"/>
        <w:jc w:val="left"/>
        <w:rPr>
          <w:rFonts w:ascii="Verdana" w:hAnsi="Verdana" w:cs="Arial"/>
          <w:b/>
          <w:color w:val="1F497D"/>
          <w:sz w:val="32"/>
          <w:szCs w:val="22"/>
          <w:lang w:val="es-ES_tradnl"/>
        </w:rPr>
      </w:pPr>
    </w:p>
    <w:p w14:paraId="3867CD32" w14:textId="1D89423B" w:rsidR="00CD746D" w:rsidRDefault="00CD746D" w:rsidP="00251E5F">
      <w:pPr>
        <w:spacing w:before="80" w:after="120" w:line="240" w:lineRule="auto"/>
        <w:ind w:right="1418"/>
        <w:jc w:val="both"/>
        <w:rPr>
          <w:rFonts w:ascii="Verdana" w:eastAsia="MS Mincho" w:hAnsi="Verdana" w:cs="Arial"/>
          <w:b/>
          <w:sz w:val="32"/>
          <w:szCs w:val="32"/>
          <w:lang w:val="es-ES_tradnl" w:eastAsia="ja-JP"/>
        </w:rPr>
      </w:pP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Parte II: ¿Cómo poner el Enfoque Territorial del Desarrollo Local en práctica?</w:t>
      </w:r>
      <w:r w:rsidR="00D51B2F"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 xml:space="preserve"> </w:t>
      </w: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¿Cómo utilizar los diferentes instrumentos de una manera creativa?</w:t>
      </w:r>
    </w:p>
    <w:p w14:paraId="7AF9A277" w14:textId="77777777" w:rsidR="00C620C0" w:rsidRPr="00251E5F" w:rsidRDefault="00C620C0" w:rsidP="00251E5F">
      <w:pPr>
        <w:spacing w:before="80" w:after="120" w:line="240" w:lineRule="auto"/>
        <w:ind w:right="1418"/>
        <w:jc w:val="both"/>
        <w:rPr>
          <w:rFonts w:ascii="Verdana" w:eastAsia="MS Mincho" w:hAnsi="Verdana" w:cs="Arial"/>
          <w:b/>
          <w:sz w:val="32"/>
          <w:szCs w:val="32"/>
          <w:lang w:val="es-ES_tradnl" w:eastAsia="ja-JP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CD746D" w:rsidRPr="00251E5F" w14:paraId="58B909AF" w14:textId="77777777" w:rsidTr="00CD746D">
        <w:trPr>
          <w:trHeight w:val="561"/>
        </w:trPr>
        <w:tc>
          <w:tcPr>
            <w:tcW w:w="2450" w:type="dxa"/>
            <w:shd w:val="clear" w:color="auto" w:fill="auto"/>
          </w:tcPr>
          <w:p w14:paraId="47720729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9.30-11.15</w:t>
            </w:r>
          </w:p>
        </w:tc>
        <w:tc>
          <w:tcPr>
            <w:tcW w:w="7429" w:type="dxa"/>
            <w:shd w:val="clear" w:color="auto" w:fill="auto"/>
          </w:tcPr>
          <w:p w14:paraId="24947C5B" w14:textId="4C3A832C" w:rsidR="00ED3CA9" w:rsidRPr="00ED3CA9" w:rsidRDefault="00CD746D" w:rsidP="00CD746D">
            <w:pPr>
              <w:pStyle w:val="ECDPMnormal"/>
              <w:tabs>
                <w:tab w:val="left" w:pos="0"/>
              </w:tabs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</w:pPr>
            <w:r w:rsidRPr="00251E5F">
              <w:rPr>
                <w:rFonts w:cs="Arial"/>
                <w:b/>
                <w:sz w:val="20"/>
                <w:szCs w:val="20"/>
                <w:lang w:val="es-ES_tradnl"/>
              </w:rPr>
              <w:t xml:space="preserve">Sesión </w:t>
            </w:r>
            <w:r w:rsidRPr="00251E5F"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  <w:t xml:space="preserve">2.1. </w:t>
            </w:r>
            <w:r w:rsidRPr="00251E5F">
              <w:rPr>
                <w:rFonts w:cs="Arial"/>
                <w:bCs/>
                <w:iCs/>
                <w:sz w:val="20"/>
                <w:szCs w:val="20"/>
                <w:lang w:val="es-ES_tradnl" w:eastAsia="en-US"/>
              </w:rPr>
              <w:t xml:space="preserve">– </w:t>
            </w:r>
            <w:r w:rsidR="00ED3CA9">
              <w:rPr>
                <w:rFonts w:cs="Arial"/>
                <w:bCs/>
                <w:iCs/>
                <w:sz w:val="20"/>
                <w:szCs w:val="20"/>
                <w:lang w:val="es-ES_tradnl" w:eastAsia="en-US"/>
              </w:rPr>
              <w:t xml:space="preserve"> </w:t>
            </w:r>
            <w:r w:rsidR="00ED3CA9" w:rsidRPr="00B61C5E"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  <w:t xml:space="preserve">El uso estratégico de instrumentos de cooperación en apoyo a enfoques territoriales de desarrollo local – Introducción por Jorge Rodriguez </w:t>
            </w:r>
            <w:r w:rsidR="00ED3CA9" w:rsidRPr="00B61C5E">
              <w:rPr>
                <w:rFonts w:cs="Arial"/>
                <w:bCs/>
                <w:iCs/>
                <w:sz w:val="20"/>
                <w:szCs w:val="20"/>
                <w:lang w:val="es-ES_tradnl" w:eastAsia="en-US"/>
              </w:rPr>
              <w:t>(15 min)</w:t>
            </w:r>
          </w:p>
          <w:p w14:paraId="73447E08" w14:textId="77777777" w:rsidR="00ED3CA9" w:rsidRDefault="00ED3CA9" w:rsidP="00CD746D">
            <w:pPr>
              <w:pStyle w:val="ECDPMnormal"/>
              <w:tabs>
                <w:tab w:val="left" w:pos="0"/>
              </w:tabs>
              <w:rPr>
                <w:rFonts w:cs="Arial"/>
                <w:bCs/>
                <w:iCs/>
                <w:sz w:val="20"/>
                <w:szCs w:val="20"/>
                <w:lang w:val="es-ES_tradnl" w:eastAsia="en-US"/>
              </w:rPr>
            </w:pPr>
          </w:p>
          <w:p w14:paraId="7C899ABD" w14:textId="726A4E19" w:rsidR="00CD746D" w:rsidRPr="00251E5F" w:rsidRDefault="00ED3CA9" w:rsidP="00CD746D">
            <w:pPr>
              <w:pStyle w:val="ECDPMnormal"/>
              <w:tabs>
                <w:tab w:val="left" w:pos="0"/>
              </w:tabs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  <w:t xml:space="preserve">Sesión 2.2. - </w:t>
            </w:r>
            <w:r w:rsidR="00C61DCF">
              <w:rPr>
                <w:rFonts w:cs="Arial"/>
                <w:b/>
                <w:sz w:val="20"/>
                <w:szCs w:val="20"/>
                <w:lang w:val="es-ES_tradnl"/>
              </w:rPr>
              <w:t>¿</w:t>
            </w:r>
            <w:r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  <w:t>C</w:t>
            </w:r>
            <w:r w:rsidR="00CD746D" w:rsidRPr="00251E5F"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  <w:t>ómo fomentar el ETDL a través de la línea temática “Organizaciones de la sociedad civil y Autoridades locales”</w:t>
            </w:r>
          </w:p>
          <w:p w14:paraId="4602459D" w14:textId="77777777" w:rsidR="00CD746D" w:rsidRPr="00251E5F" w:rsidRDefault="00CD746D" w:rsidP="00CD746D">
            <w:pPr>
              <w:pStyle w:val="ECDPMnormal"/>
              <w:tabs>
                <w:tab w:val="left" w:pos="0"/>
              </w:tabs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</w:pPr>
          </w:p>
          <w:p w14:paraId="7B19CA2B" w14:textId="1F7185E8" w:rsidR="00CD746D" w:rsidRPr="00251E5F" w:rsidRDefault="00CD746D" w:rsidP="00D51B2F">
            <w:pPr>
              <w:pStyle w:val="ECDPMnormal"/>
              <w:numPr>
                <w:ilvl w:val="0"/>
                <w:numId w:val="20"/>
              </w:numPr>
              <w:tabs>
                <w:tab w:val="left" w:pos="0"/>
              </w:tabs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Las claves para desatar el potencial del ETDL a través del instrumento temático </w:t>
            </w:r>
            <w:r w:rsidRPr="00251E5F">
              <w:rPr>
                <w:rFonts w:cs="Arial"/>
                <w:bCs/>
                <w:iCs/>
                <w:sz w:val="20"/>
                <w:szCs w:val="20"/>
                <w:lang w:val="es-ES_tradnl"/>
              </w:rPr>
              <w:t>“Organizaciones de la sociedad civil y autoridades locales”</w:t>
            </w: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 (Presentación de Jorge Rodriguez)</w:t>
            </w:r>
          </w:p>
          <w:p w14:paraId="39982C18" w14:textId="55DA9907" w:rsidR="00CD746D" w:rsidRPr="00251E5F" w:rsidRDefault="00CD746D" w:rsidP="00CD746D">
            <w:pPr>
              <w:pStyle w:val="ECDPMnormal"/>
              <w:numPr>
                <w:ilvl w:val="0"/>
                <w:numId w:val="20"/>
              </w:numPr>
              <w:tabs>
                <w:tab w:val="left" w:pos="0"/>
              </w:tabs>
              <w:rPr>
                <w:rFonts w:cs="Arial"/>
                <w:sz w:val="20"/>
                <w:szCs w:val="20"/>
                <w:lang w:val="es-ES_tradnl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 xml:space="preserve">Uso eficaz y estratégico de la convocatoria de propuestas y las medidas complementarias: Experiencias concretas de las delegaciones de Brasil </w:t>
            </w:r>
            <w:r w:rsidR="00C620C0">
              <w:rPr>
                <w:rFonts w:cs="Arial"/>
                <w:sz w:val="20"/>
                <w:szCs w:val="20"/>
                <w:lang w:val="es-ES_tradnl"/>
              </w:rPr>
              <w:t>(</w:t>
            </w:r>
            <w:r w:rsidR="00D02FD4">
              <w:rPr>
                <w:rFonts w:cs="Arial"/>
                <w:sz w:val="20"/>
                <w:szCs w:val="20"/>
                <w:lang w:val="es-ES_tradnl"/>
              </w:rPr>
              <w:t xml:space="preserve">por </w:t>
            </w:r>
            <w:proofErr w:type="spellStart"/>
            <w:r w:rsidR="00D02FD4">
              <w:rPr>
                <w:rFonts w:cs="Arial"/>
                <w:sz w:val="20"/>
                <w:szCs w:val="20"/>
                <w:lang w:val="es-ES_tradnl"/>
              </w:rPr>
              <w:t>Asier</w:t>
            </w:r>
            <w:proofErr w:type="spellEnd"/>
            <w:r w:rsidR="00D02FD4">
              <w:rPr>
                <w:rFonts w:cs="Arial"/>
                <w:sz w:val="20"/>
                <w:szCs w:val="20"/>
                <w:lang w:val="es-ES_tradnl"/>
              </w:rPr>
              <w:t xml:space="preserve"> Santillana) </w:t>
            </w:r>
            <w:r w:rsidRPr="00251E5F">
              <w:rPr>
                <w:rFonts w:cs="Arial"/>
                <w:sz w:val="20"/>
                <w:szCs w:val="20"/>
                <w:lang w:val="es-ES_tradnl"/>
              </w:rPr>
              <w:t>y Ecuador</w:t>
            </w:r>
            <w:r w:rsidR="00D02FD4">
              <w:rPr>
                <w:rFonts w:cs="Arial"/>
                <w:sz w:val="20"/>
                <w:szCs w:val="20"/>
                <w:lang w:val="es-ES_tradnl"/>
              </w:rPr>
              <w:t xml:space="preserve"> (por Marco Venegas)</w:t>
            </w:r>
          </w:p>
          <w:p w14:paraId="509CDA39" w14:textId="77777777" w:rsidR="00CD746D" w:rsidRPr="00ED3CA9" w:rsidRDefault="00CD746D" w:rsidP="00D51B2F">
            <w:pPr>
              <w:pStyle w:val="ECDPMnormal"/>
              <w:numPr>
                <w:ilvl w:val="0"/>
                <w:numId w:val="20"/>
              </w:numPr>
              <w:tabs>
                <w:tab w:val="left" w:pos="0"/>
              </w:tabs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</w:pPr>
            <w:r w:rsidRPr="00251E5F">
              <w:rPr>
                <w:rFonts w:cs="Arial"/>
                <w:sz w:val="20"/>
                <w:szCs w:val="20"/>
                <w:lang w:val="es-ES_tradnl"/>
              </w:rPr>
              <w:t>Debate plenario</w:t>
            </w:r>
          </w:p>
          <w:p w14:paraId="0BDDD820" w14:textId="72A9B9A0" w:rsidR="00ED3CA9" w:rsidRPr="00251E5F" w:rsidRDefault="00ED3CA9" w:rsidP="00ED3CA9">
            <w:pPr>
              <w:pStyle w:val="ECDPMnormal"/>
              <w:tabs>
                <w:tab w:val="left" w:pos="0"/>
              </w:tabs>
              <w:ind w:left="360"/>
              <w:rPr>
                <w:rFonts w:cs="Arial"/>
                <w:b/>
                <w:bCs/>
                <w:iCs/>
                <w:sz w:val="20"/>
                <w:szCs w:val="20"/>
                <w:lang w:val="es-ES_tradnl" w:eastAsia="en-US"/>
              </w:rPr>
            </w:pPr>
          </w:p>
        </w:tc>
      </w:tr>
      <w:tr w:rsidR="00CD746D" w:rsidRPr="00251E5F" w14:paraId="27321165" w14:textId="77777777" w:rsidTr="00CD746D">
        <w:trPr>
          <w:trHeight w:val="430"/>
        </w:trPr>
        <w:tc>
          <w:tcPr>
            <w:tcW w:w="2450" w:type="dxa"/>
            <w:shd w:val="clear" w:color="auto" w:fill="BFBFBF"/>
            <w:vAlign w:val="center"/>
          </w:tcPr>
          <w:p w14:paraId="4DB5520B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11.00 – 11.15</w:t>
            </w:r>
          </w:p>
        </w:tc>
        <w:tc>
          <w:tcPr>
            <w:tcW w:w="7429" w:type="dxa"/>
            <w:shd w:val="clear" w:color="auto" w:fill="BFBFBF"/>
            <w:vAlign w:val="center"/>
          </w:tcPr>
          <w:p w14:paraId="4019572C" w14:textId="77777777" w:rsidR="00CD746D" w:rsidRPr="00251E5F" w:rsidRDefault="00CD746D" w:rsidP="00CD746D">
            <w:pPr>
              <w:spacing w:after="6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Pausa café/té</w:t>
            </w:r>
          </w:p>
        </w:tc>
      </w:tr>
      <w:tr w:rsidR="00CD746D" w:rsidRPr="00251E5F" w14:paraId="1A3C8C2D" w14:textId="77777777" w:rsidTr="00CD746D">
        <w:trPr>
          <w:trHeight w:val="891"/>
        </w:trPr>
        <w:tc>
          <w:tcPr>
            <w:tcW w:w="2450" w:type="dxa"/>
            <w:shd w:val="clear" w:color="auto" w:fill="auto"/>
          </w:tcPr>
          <w:p w14:paraId="46D2246F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11.15 – 12.45</w:t>
            </w:r>
          </w:p>
        </w:tc>
        <w:tc>
          <w:tcPr>
            <w:tcW w:w="7429" w:type="dxa"/>
            <w:shd w:val="clear" w:color="auto" w:fill="auto"/>
          </w:tcPr>
          <w:p w14:paraId="06CCA0E0" w14:textId="3C297C48" w:rsidR="00CD746D" w:rsidRPr="00251E5F" w:rsidRDefault="00ED3CA9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2.3</w:t>
            </w:r>
            <w:r w:rsidR="00C61D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 ¿Cómo integrar las autoridades locales como actores en </w:t>
            </w:r>
            <w:r w:rsidR="0073641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los programas financiados en </w:t>
            </w:r>
            <w:r w:rsidR="00C61D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el marco de</w:t>
            </w:r>
            <w:r w:rsidR="0073641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cooperación bilateral</w:t>
            </w:r>
            <w:r w:rsidR="00C61D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?</w:t>
            </w:r>
          </w:p>
          <w:p w14:paraId="1AD60D74" w14:textId="27470B1A" w:rsidR="007256FC" w:rsidRPr="00B61C5E" w:rsidRDefault="007256FC" w:rsidP="00C620C0">
            <w:pPr>
              <w:pStyle w:val="ListParagraph"/>
              <w:numPr>
                <w:ilvl w:val="0"/>
                <w:numId w:val="21"/>
              </w:numPr>
              <w:spacing w:before="80" w:after="120" w:line="280" w:lineRule="atLeast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1C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Oportunidades y dilemas para apoyar el enfoque territorial desde la cooperación bilateral (Jorge </w:t>
            </w:r>
            <w:proofErr w:type="spellStart"/>
            <w:r w:rsidRPr="00B61C5E">
              <w:rPr>
                <w:rFonts w:ascii="Arial" w:hAnsi="Arial" w:cs="Arial"/>
                <w:sz w:val="20"/>
                <w:szCs w:val="20"/>
                <w:lang w:val="es-ES_tradnl"/>
              </w:rPr>
              <w:t>Rodriguez</w:t>
            </w:r>
            <w:proofErr w:type="spellEnd"/>
            <w:r w:rsidRPr="00B61C5E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14:paraId="73447016" w14:textId="290360FB" w:rsidR="00CD746D" w:rsidRPr="00251E5F" w:rsidRDefault="00CD746D" w:rsidP="00C620C0">
            <w:pPr>
              <w:pStyle w:val="ListParagraph"/>
              <w:numPr>
                <w:ilvl w:val="0"/>
                <w:numId w:val="21"/>
              </w:numPr>
              <w:spacing w:before="80" w:after="120" w:line="280" w:lineRule="atLeast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Uso creativo de apoyo presupuestario: breve presentación del programa PASCAL en la República Dominicana (</w:t>
            </w:r>
            <w:r w:rsidR="00C620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Diana Sainz y Luca Lo </w:t>
            </w:r>
            <w:proofErr w:type="spellStart"/>
            <w:r w:rsidR="00C620C0">
              <w:rPr>
                <w:rFonts w:ascii="Arial" w:hAnsi="Arial" w:cs="Arial"/>
                <w:sz w:val="20"/>
                <w:szCs w:val="20"/>
                <w:lang w:val="es-ES_tradnl"/>
              </w:rPr>
              <w:t>Conte</w:t>
            </w:r>
            <w:proofErr w:type="spellEnd"/>
            <w:r w:rsidR="00C620C0">
              <w:rPr>
                <w:rFonts w:ascii="Arial" w:hAnsi="Arial" w:cs="Arial"/>
                <w:sz w:val="20"/>
                <w:szCs w:val="20"/>
                <w:lang w:val="es-ES_tradnl"/>
              </w:rPr>
              <w:t>, D</w:t>
            </w: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elegación UE)</w:t>
            </w:r>
          </w:p>
          <w:p w14:paraId="238CFD78" w14:textId="77777777" w:rsidR="00CD746D" w:rsidRPr="00251E5F" w:rsidRDefault="00CD746D" w:rsidP="00C620C0">
            <w:pPr>
              <w:pStyle w:val="ListParagraph"/>
              <w:numPr>
                <w:ilvl w:val="0"/>
                <w:numId w:val="21"/>
              </w:numPr>
              <w:spacing w:before="80" w:after="120" w:line="280" w:lineRule="atLeast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Breve respuesta de distintos actores involucrados en PASCAL</w:t>
            </w:r>
          </w:p>
          <w:p w14:paraId="4BB28246" w14:textId="150B6EE3" w:rsidR="00CD746D" w:rsidRPr="00251E5F" w:rsidRDefault="00CD746D" w:rsidP="00C620C0">
            <w:pPr>
              <w:pStyle w:val="ListParagraph"/>
              <w:numPr>
                <w:ilvl w:val="0"/>
                <w:numId w:val="21"/>
              </w:numPr>
              <w:spacing w:before="80" w:after="120" w:line="280" w:lineRule="atLeast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¿Cuales son las lecciones más valiosas que pueden extraerse de la experiencia PASCAL, teniendo en cuenta la perspectiva ETDL? (por Jorge Rodriguez)</w:t>
            </w:r>
            <w:r w:rsidR="00D51B2F"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CD746D" w:rsidRPr="00251E5F" w14:paraId="4273AC29" w14:textId="77777777" w:rsidTr="00CD746D">
        <w:trPr>
          <w:trHeight w:val="430"/>
        </w:trPr>
        <w:tc>
          <w:tcPr>
            <w:tcW w:w="2450" w:type="dxa"/>
            <w:shd w:val="clear" w:color="auto" w:fill="BFBFBF"/>
          </w:tcPr>
          <w:p w14:paraId="1FDA5E89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lastRenderedPageBreak/>
              <w:t>12.45 – 14.00</w:t>
            </w:r>
          </w:p>
        </w:tc>
        <w:tc>
          <w:tcPr>
            <w:tcW w:w="7429" w:type="dxa"/>
            <w:shd w:val="clear" w:color="auto" w:fill="BFBFBF"/>
          </w:tcPr>
          <w:p w14:paraId="17696C7D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Almuerzo</w:t>
            </w:r>
          </w:p>
        </w:tc>
      </w:tr>
      <w:tr w:rsidR="00CD746D" w:rsidRPr="00DC4F6C" w14:paraId="7112744B" w14:textId="77777777" w:rsidTr="00D51B2F">
        <w:trPr>
          <w:trHeight w:val="1110"/>
        </w:trPr>
        <w:tc>
          <w:tcPr>
            <w:tcW w:w="2450" w:type="dxa"/>
            <w:shd w:val="clear" w:color="auto" w:fill="auto"/>
          </w:tcPr>
          <w:p w14:paraId="2A10A963" w14:textId="77777777" w:rsidR="00C620C0" w:rsidRDefault="00C620C0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AA075F0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14.00 – 15.00</w:t>
            </w:r>
          </w:p>
        </w:tc>
        <w:tc>
          <w:tcPr>
            <w:tcW w:w="7429" w:type="dxa"/>
            <w:shd w:val="clear" w:color="auto" w:fill="auto"/>
          </w:tcPr>
          <w:p w14:paraId="5C3EF495" w14:textId="77777777" w:rsidR="00C620C0" w:rsidRDefault="00C620C0" w:rsidP="00CD746D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28D9583F" w14:textId="4DF884FF" w:rsidR="00CD746D" w:rsidRPr="00C620C0" w:rsidRDefault="00450AEA" w:rsidP="00CD746D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620C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Continuación</w:t>
            </w:r>
            <w:r w:rsidR="0006121A" w:rsidRPr="00C620C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la sesión 2.3</w:t>
            </w:r>
            <w:r w:rsidR="00CD746D" w:rsidRPr="00C620C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</w:p>
          <w:p w14:paraId="7639EC1D" w14:textId="77777777" w:rsidR="00CD746D" w:rsidRDefault="00CD746D" w:rsidP="00C620C0">
            <w:pPr>
              <w:spacing w:before="80" w:after="120" w:line="280" w:lineRule="atLeast"/>
              <w:rPr>
                <w:rFonts w:ascii="Arial" w:hAnsi="Arial" w:cs="Arial"/>
                <w:bCs/>
                <w:iCs/>
                <w:sz w:val="20"/>
                <w:szCs w:val="20"/>
                <w:lang w:val="es-ES_tradnl" w:eastAsia="en-GB"/>
              </w:rPr>
            </w:pPr>
            <w:r w:rsidRPr="00C620C0">
              <w:rPr>
                <w:rFonts w:ascii="Arial" w:hAnsi="Arial" w:cs="Arial"/>
                <w:bCs/>
                <w:iCs/>
                <w:sz w:val="20"/>
                <w:szCs w:val="20"/>
                <w:lang w:val="es-ES_tradnl" w:eastAsia="en-GB"/>
              </w:rPr>
              <w:t>Panel interactivo con las EUD de Ecuador, Colombia y Perú sobre sus estrategias de apoyo al desarrollo loca</w:t>
            </w:r>
            <w:r w:rsidR="00D67009" w:rsidRPr="00C620C0">
              <w:rPr>
                <w:rFonts w:ascii="Arial" w:hAnsi="Arial" w:cs="Arial"/>
                <w:bCs/>
                <w:iCs/>
                <w:sz w:val="20"/>
                <w:szCs w:val="20"/>
                <w:lang w:val="es-ES_tradnl" w:eastAsia="en-GB"/>
              </w:rPr>
              <w:t>l</w:t>
            </w:r>
          </w:p>
          <w:p w14:paraId="351B3D7B" w14:textId="25F8F363" w:rsidR="00C620C0" w:rsidRPr="00251E5F" w:rsidRDefault="00C620C0" w:rsidP="00CD746D">
            <w:pPr>
              <w:spacing w:before="80" w:after="120" w:line="240" w:lineRule="auto"/>
              <w:rPr>
                <w:bCs/>
                <w:iCs/>
                <w:szCs w:val="20"/>
                <w:lang w:val="es-ES_tradnl" w:eastAsia="en-GB"/>
              </w:rPr>
            </w:pPr>
          </w:p>
        </w:tc>
      </w:tr>
      <w:tr w:rsidR="00CD746D" w:rsidRPr="00251E5F" w14:paraId="47B69AAA" w14:textId="77777777" w:rsidTr="00CD746D">
        <w:trPr>
          <w:trHeight w:val="430"/>
        </w:trPr>
        <w:tc>
          <w:tcPr>
            <w:tcW w:w="2450" w:type="dxa"/>
            <w:shd w:val="clear" w:color="auto" w:fill="BFBFBF"/>
            <w:vAlign w:val="center"/>
          </w:tcPr>
          <w:p w14:paraId="6C044E90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15.15 – 15.30</w:t>
            </w:r>
          </w:p>
        </w:tc>
        <w:tc>
          <w:tcPr>
            <w:tcW w:w="7429" w:type="dxa"/>
            <w:shd w:val="clear" w:color="auto" w:fill="BFBFBF"/>
            <w:vAlign w:val="center"/>
          </w:tcPr>
          <w:p w14:paraId="7C46EB1C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Pausa café/té</w:t>
            </w:r>
          </w:p>
        </w:tc>
      </w:tr>
    </w:tbl>
    <w:p w14:paraId="3A352DAA" w14:textId="77777777" w:rsidR="00D51B2F" w:rsidRPr="00251E5F" w:rsidRDefault="00D51B2F" w:rsidP="00D51B2F">
      <w:pPr>
        <w:spacing w:before="80" w:after="120" w:line="240" w:lineRule="auto"/>
        <w:rPr>
          <w:rFonts w:ascii="Arial" w:hAnsi="Arial" w:cs="Arial"/>
          <w:sz w:val="20"/>
          <w:szCs w:val="20"/>
          <w:lang w:val="es-ES_tradnl"/>
        </w:rPr>
        <w:sectPr w:rsidR="00D51B2F" w:rsidRPr="00251E5F" w:rsidSect="00251E5F">
          <w:headerReference w:type="first" r:id="rId10"/>
          <w:footerReference w:type="first" r:id="rId11"/>
          <w:pgSz w:w="11899" w:h="16838"/>
          <w:pgMar w:top="1134" w:right="275" w:bottom="426" w:left="567" w:header="567" w:footer="567" w:gutter="0"/>
          <w:cols w:space="708"/>
          <w:titlePg/>
          <w:docGrid w:linePitch="360"/>
        </w:sect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D51B2F" w:rsidRPr="00DC4F6C" w14:paraId="1E4A1F95" w14:textId="77777777" w:rsidTr="00D51B2F">
        <w:trPr>
          <w:trHeight w:val="1972"/>
        </w:trPr>
        <w:tc>
          <w:tcPr>
            <w:tcW w:w="2450" w:type="dxa"/>
            <w:shd w:val="clear" w:color="auto" w:fill="auto"/>
          </w:tcPr>
          <w:p w14:paraId="265E5979" w14:textId="77777777" w:rsidR="00B61C5E" w:rsidRDefault="00B61C5E" w:rsidP="00D51B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54589F1" w14:textId="77777777" w:rsidR="00B61C5E" w:rsidRDefault="00B61C5E" w:rsidP="00D51B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2360689" w14:textId="3A07041A" w:rsidR="00D51B2F" w:rsidRPr="00251E5F" w:rsidRDefault="00D51B2F" w:rsidP="00D51B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15.30 – 17.15</w:t>
            </w:r>
          </w:p>
        </w:tc>
        <w:tc>
          <w:tcPr>
            <w:tcW w:w="7429" w:type="dxa"/>
            <w:shd w:val="clear" w:color="auto" w:fill="auto"/>
          </w:tcPr>
          <w:p w14:paraId="0C9B3E71" w14:textId="77777777" w:rsidR="00B61C5E" w:rsidRDefault="00B61C5E" w:rsidP="00D51B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AB73377" w14:textId="77777777" w:rsidR="00B61C5E" w:rsidRDefault="00B61C5E" w:rsidP="00D51B2F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DA59440" w14:textId="77777777" w:rsidR="00D51B2F" w:rsidRPr="00251E5F" w:rsidRDefault="00D51B2F" w:rsidP="00C620C0">
            <w:pPr>
              <w:spacing w:before="80" w:after="120" w:line="280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Organización de pequeños grupos de trabajo sobre cuestiones operativas específicas de acuerdo a los intereses de los participantes</w:t>
            </w:r>
          </w:p>
          <w:p w14:paraId="2525B2E5" w14:textId="77777777" w:rsidR="00D51B2F" w:rsidRPr="00251E5F" w:rsidRDefault="00D51B2F" w:rsidP="00D51B2F">
            <w:pPr>
              <w:spacing w:before="80" w:after="120" w:line="240" w:lineRule="auto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  <w:p w14:paraId="54355D53" w14:textId="77777777" w:rsidR="00D51B2F" w:rsidRPr="00251E5F" w:rsidRDefault="00D51B2F" w:rsidP="00D51B2F">
            <w:pPr>
              <w:spacing w:before="80" w:after="120" w:line="240" w:lineRule="auto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4DC69599" w14:textId="1CAA5639" w:rsidR="00CD746D" w:rsidRPr="00251E5F" w:rsidRDefault="00D51B2F" w:rsidP="00CD746D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  <w:lang w:val="es-ES_tradnl"/>
        </w:rPr>
      </w:pPr>
      <w:r w:rsidRPr="00251E5F">
        <w:rPr>
          <w:rFonts w:ascii="Verdana" w:hAnsi="Verdana" w:cs="Arial"/>
          <w:b/>
          <w:color w:val="1F497D"/>
          <w:sz w:val="32"/>
          <w:szCs w:val="32"/>
          <w:lang w:val="es-ES_tradnl"/>
        </w:rPr>
        <w:t xml:space="preserve"> </w:t>
      </w:r>
      <w:r w:rsidR="00CD746D" w:rsidRPr="00251E5F">
        <w:rPr>
          <w:rFonts w:ascii="Verdana" w:hAnsi="Verdana" w:cs="Arial"/>
          <w:b/>
          <w:color w:val="1F497D"/>
          <w:sz w:val="32"/>
          <w:szCs w:val="32"/>
          <w:lang w:val="es-ES_tradnl"/>
        </w:rPr>
        <w:t>Miércoles 3 Junio</w:t>
      </w:r>
    </w:p>
    <w:p w14:paraId="7B3237D7" w14:textId="77777777" w:rsidR="00320493" w:rsidRPr="00251E5F" w:rsidRDefault="00320493" w:rsidP="00CD746D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  <w:lang w:val="es-ES_tradnl"/>
        </w:rPr>
      </w:pPr>
    </w:p>
    <w:p w14:paraId="3C51CD65" w14:textId="68CEB94F" w:rsidR="00CD746D" w:rsidRPr="00251E5F" w:rsidRDefault="00CD746D" w:rsidP="00251E5F">
      <w:pPr>
        <w:spacing w:after="0" w:line="240" w:lineRule="auto"/>
        <w:ind w:right="1559"/>
        <w:jc w:val="both"/>
        <w:rPr>
          <w:rFonts w:ascii="Verdana" w:eastAsia="MS Mincho" w:hAnsi="Verdana" w:cs="Arial"/>
          <w:b/>
          <w:sz w:val="32"/>
          <w:szCs w:val="32"/>
          <w:lang w:val="es-ES_tradnl" w:eastAsia="ja-JP"/>
        </w:rPr>
      </w:pP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 xml:space="preserve">Parte III: ¿Cómo equipar a las delegaciones para apoyar a </w:t>
      </w:r>
      <w:r w:rsidR="00D67009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largo plazo los procesos de desarrollo local/territorial</w:t>
      </w: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?</w:t>
      </w:r>
      <w:r w:rsid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 xml:space="preserve">  </w:t>
      </w: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Repercusiones en términos de conocimientos, métodos de trabajo, roles y capacidades</w:t>
      </w:r>
    </w:p>
    <w:p w14:paraId="6639EBAE" w14:textId="77777777" w:rsidR="00D51B2F" w:rsidRPr="00251E5F" w:rsidRDefault="00D51B2F" w:rsidP="00D51B2F">
      <w:pPr>
        <w:spacing w:after="0" w:line="240" w:lineRule="auto"/>
        <w:jc w:val="both"/>
        <w:rPr>
          <w:rFonts w:ascii="Verdana" w:eastAsia="MS Mincho" w:hAnsi="Verdana" w:cs="Arial"/>
          <w:b/>
          <w:sz w:val="16"/>
          <w:szCs w:val="16"/>
          <w:lang w:val="es-ES_tradnl" w:eastAsia="ja-JP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CD746D" w:rsidRPr="00251E5F" w14:paraId="4ED87490" w14:textId="77777777" w:rsidTr="00CD746D">
        <w:trPr>
          <w:trHeight w:val="144"/>
        </w:trPr>
        <w:tc>
          <w:tcPr>
            <w:tcW w:w="2450" w:type="dxa"/>
            <w:shd w:val="clear" w:color="auto" w:fill="auto"/>
          </w:tcPr>
          <w:p w14:paraId="2F44DC83" w14:textId="77777777" w:rsidR="00C620C0" w:rsidRDefault="00C620C0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94162CD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09.30 – 10.00 </w:t>
            </w:r>
          </w:p>
        </w:tc>
        <w:tc>
          <w:tcPr>
            <w:tcW w:w="7429" w:type="dxa"/>
            <w:shd w:val="clear" w:color="auto" w:fill="auto"/>
          </w:tcPr>
          <w:p w14:paraId="7FCC4C14" w14:textId="77777777" w:rsidR="00C620C0" w:rsidRDefault="00C620C0" w:rsidP="00CD746D">
            <w:pPr>
              <w:pStyle w:val="ECDPMnormal"/>
              <w:spacing w:line="240" w:lineRule="auto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5B8F87D6" w14:textId="77777777" w:rsidR="00C620C0" w:rsidRDefault="00C620C0" w:rsidP="00CD746D">
            <w:pPr>
              <w:pStyle w:val="ECDPMnormal"/>
              <w:spacing w:line="240" w:lineRule="auto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4C781469" w14:textId="2297AD27" w:rsidR="00CD746D" w:rsidRPr="00251E5F" w:rsidRDefault="00CD746D" w:rsidP="00CD746D">
            <w:pPr>
              <w:pStyle w:val="ECDPMnormal"/>
              <w:spacing w:line="240" w:lineRule="auto"/>
              <w:rPr>
                <w:rFonts w:eastAsia="Calibri" w:cs="Arial"/>
                <w:sz w:val="20"/>
                <w:szCs w:val="20"/>
                <w:lang w:val="es-ES_tradnl" w:eastAsia="en-US" w:bidi="en-US"/>
              </w:rPr>
            </w:pPr>
            <w:r w:rsidRPr="00251E5F">
              <w:rPr>
                <w:rFonts w:cs="Arial"/>
                <w:b/>
                <w:sz w:val="20"/>
                <w:szCs w:val="20"/>
                <w:lang w:val="es-ES_tradnl"/>
              </w:rPr>
              <w:t xml:space="preserve">Sesión </w:t>
            </w:r>
            <w:r w:rsidRPr="00251E5F">
              <w:rPr>
                <w:rFonts w:eastAsia="Calibri" w:cs="Arial"/>
                <w:b/>
                <w:sz w:val="20"/>
                <w:szCs w:val="20"/>
                <w:lang w:val="es-ES_tradnl" w:eastAsia="en-US" w:bidi="en-US"/>
              </w:rPr>
              <w:t xml:space="preserve">3.1.  Formulación de los retos y </w:t>
            </w:r>
            <w:r w:rsidR="00450AEA" w:rsidRPr="00251E5F">
              <w:rPr>
                <w:rFonts w:eastAsia="Calibri" w:cs="Arial"/>
                <w:b/>
                <w:sz w:val="20"/>
                <w:szCs w:val="20"/>
                <w:lang w:val="es-ES_tradnl" w:eastAsia="en-US" w:bidi="en-US"/>
              </w:rPr>
              <w:t>desafíos</w:t>
            </w:r>
            <w:r w:rsidRPr="00251E5F">
              <w:rPr>
                <w:rFonts w:eastAsia="Calibri" w:cs="Arial"/>
                <w:b/>
                <w:sz w:val="20"/>
                <w:szCs w:val="20"/>
                <w:lang w:val="es-ES_tradnl" w:eastAsia="en-US" w:bidi="en-US"/>
              </w:rPr>
              <w:t xml:space="preserve"> de las delegaciones que participan en los procesos ETDL teniendo en cuenta el contexto institucional de la UE y sus limitaciones</w:t>
            </w:r>
            <w:r w:rsidRPr="00251E5F">
              <w:rPr>
                <w:rFonts w:eastAsia="Calibri" w:cs="Arial"/>
                <w:sz w:val="20"/>
                <w:szCs w:val="20"/>
                <w:lang w:val="es-ES_tradnl" w:eastAsia="en-US" w:bidi="en-US"/>
              </w:rPr>
              <w:t>. (Presentación de Jorge Rodriguez)</w:t>
            </w:r>
          </w:p>
          <w:p w14:paraId="35B3D3FE" w14:textId="77777777" w:rsidR="00CD746D" w:rsidRPr="00251E5F" w:rsidRDefault="00CD746D" w:rsidP="00CD746D">
            <w:pPr>
              <w:pStyle w:val="ECDPMnormal"/>
              <w:spacing w:line="240" w:lineRule="auto"/>
              <w:rPr>
                <w:rFonts w:eastAsia="Calibri" w:cs="Arial"/>
                <w:sz w:val="20"/>
                <w:szCs w:val="20"/>
                <w:lang w:val="es-ES_tradnl" w:eastAsia="en-US" w:bidi="en-US"/>
              </w:rPr>
            </w:pPr>
          </w:p>
        </w:tc>
      </w:tr>
      <w:tr w:rsidR="00CD746D" w:rsidRPr="00DC4F6C" w14:paraId="24F00580" w14:textId="77777777" w:rsidTr="00CD746D">
        <w:trPr>
          <w:trHeight w:val="144"/>
        </w:trPr>
        <w:tc>
          <w:tcPr>
            <w:tcW w:w="2450" w:type="dxa"/>
            <w:shd w:val="clear" w:color="auto" w:fill="auto"/>
          </w:tcPr>
          <w:p w14:paraId="60FCA87A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10.00 – 11.15</w:t>
            </w:r>
          </w:p>
        </w:tc>
        <w:tc>
          <w:tcPr>
            <w:tcW w:w="7429" w:type="dxa"/>
            <w:shd w:val="clear" w:color="auto" w:fill="auto"/>
          </w:tcPr>
          <w:p w14:paraId="57D84D4D" w14:textId="7AFA9C71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3.2.   Desempeñar el papel de “facilitador de pr</w:t>
            </w:r>
            <w:r w:rsidR="00D670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ocesos” o “mediador imparcial”: Cómo llevarlo a cabo?</w:t>
            </w:r>
          </w:p>
          <w:p w14:paraId="201A5BEA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Elementos principales de la “facilitación de procesos” en la práctica (por Jean Bossuyt, ECDPM)</w:t>
            </w:r>
          </w:p>
          <w:p w14:paraId="2E44EACA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Experiencias concretas de las delegaciones de la UE </w:t>
            </w:r>
          </w:p>
        </w:tc>
      </w:tr>
      <w:tr w:rsidR="00CD746D" w:rsidRPr="00251E5F" w14:paraId="72817EB0" w14:textId="77777777" w:rsidTr="00CD746D">
        <w:trPr>
          <w:trHeight w:val="144"/>
        </w:trPr>
        <w:tc>
          <w:tcPr>
            <w:tcW w:w="2450" w:type="dxa"/>
            <w:shd w:val="clear" w:color="auto" w:fill="BFBFBF"/>
          </w:tcPr>
          <w:p w14:paraId="270FC93B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11.15 – 11.30</w:t>
            </w:r>
          </w:p>
        </w:tc>
        <w:tc>
          <w:tcPr>
            <w:tcW w:w="7429" w:type="dxa"/>
            <w:shd w:val="clear" w:color="auto" w:fill="BFBFBF"/>
          </w:tcPr>
          <w:p w14:paraId="23A7AC16" w14:textId="77777777" w:rsidR="00CD746D" w:rsidRPr="00251E5F" w:rsidRDefault="00CD746D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Pausa café/té</w:t>
            </w:r>
          </w:p>
        </w:tc>
      </w:tr>
    </w:tbl>
    <w:p w14:paraId="09DA814F" w14:textId="77777777" w:rsidR="00CD746D" w:rsidRPr="00251E5F" w:rsidRDefault="00CD746D" w:rsidP="00D51B2F">
      <w:pPr>
        <w:spacing w:after="0"/>
        <w:rPr>
          <w:rFonts w:cs="Arial"/>
          <w:b/>
          <w:color w:val="3366FF"/>
          <w:sz w:val="2"/>
          <w:szCs w:val="2"/>
          <w:lang w:val="es-ES_tradnl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D51B2F" w:rsidRPr="00251E5F" w14:paraId="28217923" w14:textId="77777777" w:rsidTr="00CD746D">
        <w:trPr>
          <w:trHeight w:val="144"/>
        </w:trPr>
        <w:tc>
          <w:tcPr>
            <w:tcW w:w="2450" w:type="dxa"/>
            <w:shd w:val="clear" w:color="auto" w:fill="auto"/>
          </w:tcPr>
          <w:p w14:paraId="1CC5E8D1" w14:textId="451ED7C3" w:rsidR="00D51B2F" w:rsidRPr="00251E5F" w:rsidRDefault="00D51B2F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11.30 – 12.45</w:t>
            </w:r>
          </w:p>
        </w:tc>
        <w:tc>
          <w:tcPr>
            <w:tcW w:w="7429" w:type="dxa"/>
            <w:shd w:val="clear" w:color="auto" w:fill="auto"/>
          </w:tcPr>
          <w:p w14:paraId="4B4822F7" w14:textId="77777777" w:rsidR="00D51B2F" w:rsidRPr="00251E5F" w:rsidRDefault="00D51B2F" w:rsidP="00D51B2F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3.3.</w:t>
            </w: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Garantizar el “seguimiento y evaluación” y gestionar resultados de los procesos ETDL</w:t>
            </w:r>
          </w:p>
          <w:p w14:paraId="29723061" w14:textId="77777777" w:rsidR="00D51B2F" w:rsidRPr="00251E5F" w:rsidRDefault="00D51B2F" w:rsidP="00D51B2F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Introducción </w:t>
            </w:r>
          </w:p>
          <w:p w14:paraId="692917C2" w14:textId="77777777" w:rsidR="00D51B2F" w:rsidRDefault="00D51B2F" w:rsidP="00D51B2F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Estudio de caso</w:t>
            </w:r>
          </w:p>
          <w:p w14:paraId="25577B49" w14:textId="1CB6BA21" w:rsidR="00B61C5E" w:rsidRPr="00251E5F" w:rsidRDefault="00B61C5E" w:rsidP="00D51B2F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51B2F" w:rsidRPr="00251E5F" w14:paraId="129389CB" w14:textId="77777777" w:rsidTr="00CD746D">
        <w:trPr>
          <w:trHeight w:val="144"/>
        </w:trPr>
        <w:tc>
          <w:tcPr>
            <w:tcW w:w="2450" w:type="dxa"/>
            <w:shd w:val="clear" w:color="auto" w:fill="BFBFBF"/>
          </w:tcPr>
          <w:p w14:paraId="2730F07C" w14:textId="77777777" w:rsidR="00D51B2F" w:rsidRPr="00251E5F" w:rsidRDefault="00D51B2F" w:rsidP="00CD746D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12.45– 14.00</w:t>
            </w:r>
          </w:p>
        </w:tc>
        <w:tc>
          <w:tcPr>
            <w:tcW w:w="7429" w:type="dxa"/>
            <w:shd w:val="clear" w:color="auto" w:fill="BFBFBF"/>
          </w:tcPr>
          <w:p w14:paraId="1B868470" w14:textId="77777777" w:rsidR="00D51B2F" w:rsidRPr="00251E5F" w:rsidRDefault="00D51B2F" w:rsidP="00CD746D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Almuerzo </w:t>
            </w:r>
          </w:p>
        </w:tc>
      </w:tr>
    </w:tbl>
    <w:p w14:paraId="1E9F6335" w14:textId="77777777" w:rsidR="00CD746D" w:rsidRDefault="00CD746D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2C5AFE3A" w14:textId="77777777" w:rsidR="00C620C0" w:rsidRDefault="00C620C0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39D7B69C" w14:textId="77777777" w:rsidR="00C620C0" w:rsidRPr="00251E5F" w:rsidRDefault="00C620C0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63ADA1DF" w14:textId="5C3B7953" w:rsidR="00CD746D" w:rsidRPr="00251E5F" w:rsidRDefault="00CD746D" w:rsidP="00320493">
      <w:pPr>
        <w:spacing w:before="80" w:after="120" w:line="240" w:lineRule="auto"/>
        <w:jc w:val="both"/>
        <w:rPr>
          <w:rFonts w:ascii="Verdana" w:eastAsia="MS Mincho" w:hAnsi="Verdana" w:cs="Arial"/>
          <w:b/>
          <w:sz w:val="32"/>
          <w:szCs w:val="32"/>
          <w:lang w:val="es-ES_tradnl" w:eastAsia="ja-JP"/>
        </w:rPr>
      </w:pP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lastRenderedPageBreak/>
        <w:t>Parte IV</w:t>
      </w:r>
      <w:r w:rsidR="00320493"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 xml:space="preserve">: </w:t>
      </w:r>
      <w:r w:rsidRPr="00251E5F">
        <w:rPr>
          <w:rFonts w:ascii="Verdana" w:eastAsia="MS Mincho" w:hAnsi="Verdana" w:cs="Arial"/>
          <w:b/>
          <w:sz w:val="32"/>
          <w:szCs w:val="32"/>
          <w:lang w:val="es-ES_tradnl" w:eastAsia="ja-JP"/>
        </w:rPr>
        <w:t>Conclusiones y medidas de seguimiento</w:t>
      </w:r>
    </w:p>
    <w:tbl>
      <w:tblPr>
        <w:tblW w:w="0" w:type="auto"/>
        <w:tblInd w:w="1" w:type="dxa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50"/>
        <w:gridCol w:w="7429"/>
      </w:tblGrid>
      <w:tr w:rsidR="00CD746D" w:rsidRPr="00DC4F6C" w14:paraId="75FF8AA0" w14:textId="77777777" w:rsidTr="00251E5F">
        <w:trPr>
          <w:trHeight w:val="689"/>
        </w:trPr>
        <w:tc>
          <w:tcPr>
            <w:tcW w:w="2450" w:type="dxa"/>
            <w:shd w:val="clear" w:color="auto" w:fill="auto"/>
          </w:tcPr>
          <w:p w14:paraId="0A635275" w14:textId="228E765B" w:rsidR="00CD746D" w:rsidRPr="00251E5F" w:rsidRDefault="00CD746D" w:rsidP="00CD746D">
            <w:pPr>
              <w:spacing w:before="80" w:after="120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14.00 – 14.45</w:t>
            </w:r>
          </w:p>
        </w:tc>
        <w:tc>
          <w:tcPr>
            <w:tcW w:w="7429" w:type="dxa"/>
            <w:shd w:val="clear" w:color="auto" w:fill="auto"/>
          </w:tcPr>
          <w:p w14:paraId="5E802B07" w14:textId="2641FC1D" w:rsidR="00CD746D" w:rsidRPr="00251E5F" w:rsidRDefault="00CD746D" w:rsidP="00CD746D">
            <w:pPr>
              <w:spacing w:before="80" w:after="1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Sesión 4.1.    Resumen del seminario y conclusiones finales </w:t>
            </w:r>
          </w:p>
        </w:tc>
      </w:tr>
      <w:tr w:rsidR="00251E5F" w:rsidRPr="00DC4F6C" w14:paraId="2153E12E" w14:textId="77777777" w:rsidTr="00251E5F">
        <w:trPr>
          <w:trHeight w:val="680"/>
        </w:trPr>
        <w:tc>
          <w:tcPr>
            <w:tcW w:w="2450" w:type="dxa"/>
            <w:shd w:val="clear" w:color="auto" w:fill="auto"/>
          </w:tcPr>
          <w:p w14:paraId="478C27F7" w14:textId="4964293A" w:rsidR="00251E5F" w:rsidRPr="00251E5F" w:rsidRDefault="00251E5F" w:rsidP="00CD746D">
            <w:pPr>
              <w:spacing w:before="80" w:after="1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sz w:val="20"/>
                <w:szCs w:val="20"/>
                <w:lang w:val="es-ES_tradnl"/>
              </w:rPr>
              <w:t>14.45-15h30</w:t>
            </w:r>
          </w:p>
        </w:tc>
        <w:tc>
          <w:tcPr>
            <w:tcW w:w="7429" w:type="dxa"/>
            <w:shd w:val="clear" w:color="auto" w:fill="auto"/>
          </w:tcPr>
          <w:p w14:paraId="66E604D2" w14:textId="57C98611" w:rsidR="00251E5F" w:rsidRPr="00251E5F" w:rsidRDefault="00251E5F" w:rsidP="00B61C5E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51E5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Sesión 4.2.    Seguimiento y cierre del seminario </w:t>
            </w:r>
          </w:p>
        </w:tc>
      </w:tr>
    </w:tbl>
    <w:p w14:paraId="1727DC01" w14:textId="77777777" w:rsidR="00CD746D" w:rsidRPr="00251E5F" w:rsidRDefault="00CD746D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6F2FCCBB" w14:textId="7E8A835B" w:rsidR="00CD746D" w:rsidRPr="00251E5F" w:rsidRDefault="00320493" w:rsidP="00320493">
      <w:pPr>
        <w:tabs>
          <w:tab w:val="left" w:pos="3300"/>
        </w:tabs>
        <w:spacing w:before="240"/>
        <w:rPr>
          <w:rFonts w:cs="Arial"/>
          <w:b/>
          <w:color w:val="3366FF"/>
          <w:lang w:val="es-ES_tradnl"/>
        </w:rPr>
      </w:pPr>
      <w:r w:rsidRPr="00251E5F">
        <w:rPr>
          <w:rFonts w:cs="Arial"/>
          <w:b/>
          <w:color w:val="3366FF"/>
          <w:lang w:val="es-ES_tradnl"/>
        </w:rPr>
        <w:tab/>
      </w:r>
    </w:p>
    <w:p w14:paraId="17CE0EE2" w14:textId="77777777" w:rsidR="00CD746D" w:rsidRPr="00251E5F" w:rsidRDefault="00CD746D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571DABC6" w14:textId="77777777" w:rsidR="00CD746D" w:rsidRPr="00251E5F" w:rsidRDefault="00CD746D" w:rsidP="00CD746D">
      <w:pPr>
        <w:spacing w:before="240"/>
        <w:rPr>
          <w:rFonts w:cs="Arial"/>
          <w:b/>
          <w:color w:val="3366FF"/>
          <w:lang w:val="es-ES_tradnl"/>
        </w:rPr>
      </w:pPr>
      <w:bookmarkStart w:id="0" w:name="_GoBack"/>
      <w:bookmarkEnd w:id="0"/>
    </w:p>
    <w:p w14:paraId="2853A332" w14:textId="77777777" w:rsidR="00CD746D" w:rsidRPr="00251E5F" w:rsidRDefault="00CD746D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2BA88DF5" w14:textId="77777777" w:rsidR="00CD746D" w:rsidRPr="00251E5F" w:rsidRDefault="00CD746D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7C5AACD8" w14:textId="77777777" w:rsidR="00CD746D" w:rsidRPr="00251E5F" w:rsidRDefault="00CD746D" w:rsidP="00CD746D">
      <w:pPr>
        <w:spacing w:before="240"/>
        <w:rPr>
          <w:rFonts w:cs="Arial"/>
          <w:b/>
          <w:color w:val="3366FF"/>
          <w:lang w:val="es-ES_tradnl"/>
        </w:rPr>
      </w:pPr>
    </w:p>
    <w:p w14:paraId="3DA5C731" w14:textId="77777777" w:rsidR="00CD746D" w:rsidRPr="00251E5F" w:rsidRDefault="00CD746D" w:rsidP="00CD746D">
      <w:pPr>
        <w:spacing w:before="240"/>
        <w:rPr>
          <w:rFonts w:ascii="Arial" w:hAnsi="Arial" w:cs="Arial"/>
          <w:lang w:val="es-ES_tradnl"/>
        </w:rPr>
      </w:pPr>
    </w:p>
    <w:sectPr w:rsidR="00CD746D" w:rsidRPr="00251E5F" w:rsidSect="00D51B2F">
      <w:type w:val="continuous"/>
      <w:pgSz w:w="11899" w:h="16838"/>
      <w:pgMar w:top="1134" w:right="275" w:bottom="426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20A2C" w14:textId="77777777" w:rsidR="00736417" w:rsidRDefault="00736417" w:rsidP="00701A39">
      <w:pPr>
        <w:spacing w:after="0" w:line="240" w:lineRule="auto"/>
      </w:pPr>
      <w:r>
        <w:separator/>
      </w:r>
    </w:p>
  </w:endnote>
  <w:endnote w:type="continuationSeparator" w:id="0">
    <w:p w14:paraId="41E831E9" w14:textId="77777777" w:rsidR="00736417" w:rsidRDefault="00736417" w:rsidP="007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DEB9" w14:textId="77777777" w:rsidR="00736417" w:rsidRDefault="00736417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258DB8C" wp14:editId="65EB6FD6">
          <wp:simplePos x="0" y="0"/>
          <wp:positionH relativeFrom="column">
            <wp:posOffset>3056255</wp:posOffset>
          </wp:positionH>
          <wp:positionV relativeFrom="paragraph">
            <wp:posOffset>160020</wp:posOffset>
          </wp:positionV>
          <wp:extent cx="723900" cy="236855"/>
          <wp:effectExtent l="0" t="0" r="12700" b="0"/>
          <wp:wrapNone/>
          <wp:docPr id="5" name="Picture 5" descr="footer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4DC6" w14:textId="77777777" w:rsidR="00736417" w:rsidRDefault="00736417" w:rsidP="00701A39">
      <w:pPr>
        <w:spacing w:after="0" w:line="240" w:lineRule="auto"/>
      </w:pPr>
      <w:r>
        <w:separator/>
      </w:r>
    </w:p>
  </w:footnote>
  <w:footnote w:type="continuationSeparator" w:id="0">
    <w:p w14:paraId="7FADAC59" w14:textId="77777777" w:rsidR="00736417" w:rsidRDefault="00736417" w:rsidP="0070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A8ADE" w14:textId="77777777" w:rsidR="00736417" w:rsidRDefault="00736417">
    <w:pPr>
      <w:pStyle w:val="Header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6704" behindDoc="1" locked="0" layoutInCell="0" allowOverlap="1" wp14:anchorId="757FEB77" wp14:editId="4779316F">
          <wp:simplePos x="0" y="0"/>
          <wp:positionH relativeFrom="margin">
            <wp:posOffset>-628650</wp:posOffset>
          </wp:positionH>
          <wp:positionV relativeFrom="margin">
            <wp:posOffset>2514600</wp:posOffset>
          </wp:positionV>
          <wp:extent cx="7345045" cy="7423785"/>
          <wp:effectExtent l="0" t="0" r="0" b="0"/>
          <wp:wrapNone/>
          <wp:docPr id="2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0F6A5D3F" wp14:editId="7E87FF44">
          <wp:simplePos x="0" y="0"/>
          <wp:positionH relativeFrom="column">
            <wp:posOffset>2711450</wp:posOffset>
          </wp:positionH>
          <wp:positionV relativeFrom="paragraph">
            <wp:posOffset>6985</wp:posOffset>
          </wp:positionV>
          <wp:extent cx="1689100" cy="1168400"/>
          <wp:effectExtent l="0" t="0" r="12700" b="0"/>
          <wp:wrapNone/>
          <wp:docPr id="4" name="Picture 4" descr="LOGO CE_Vertical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E_Vertical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D8B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0A15"/>
    <w:multiLevelType w:val="hybridMultilevel"/>
    <w:tmpl w:val="CB7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5A95"/>
    <w:multiLevelType w:val="hybridMultilevel"/>
    <w:tmpl w:val="97147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E2B16"/>
    <w:multiLevelType w:val="hybridMultilevel"/>
    <w:tmpl w:val="42BEFBE8"/>
    <w:lvl w:ilvl="0" w:tplc="7E5895CC">
      <w:start w:val="1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 Blac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D59D2"/>
    <w:multiLevelType w:val="hybridMultilevel"/>
    <w:tmpl w:val="E5CA1292"/>
    <w:lvl w:ilvl="0" w:tplc="E6A2967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6B6"/>
    <w:multiLevelType w:val="hybridMultilevel"/>
    <w:tmpl w:val="D1125B42"/>
    <w:lvl w:ilvl="0" w:tplc="8B44564A">
      <w:start w:val="1"/>
      <w:numFmt w:val="decimal"/>
      <w:pStyle w:val="ECDPM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277755"/>
    <w:multiLevelType w:val="hybridMultilevel"/>
    <w:tmpl w:val="EF60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A0C53"/>
    <w:multiLevelType w:val="hybridMultilevel"/>
    <w:tmpl w:val="01462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61929"/>
    <w:multiLevelType w:val="hybridMultilevel"/>
    <w:tmpl w:val="D45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15240"/>
    <w:multiLevelType w:val="hybridMultilevel"/>
    <w:tmpl w:val="5FE8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6580A"/>
    <w:multiLevelType w:val="hybridMultilevel"/>
    <w:tmpl w:val="02F0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133A7"/>
    <w:multiLevelType w:val="hybridMultilevel"/>
    <w:tmpl w:val="6CDA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2D28B4"/>
    <w:multiLevelType w:val="hybridMultilevel"/>
    <w:tmpl w:val="71CE67D0"/>
    <w:lvl w:ilvl="0" w:tplc="5CEC248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E26AD8"/>
    <w:multiLevelType w:val="hybridMultilevel"/>
    <w:tmpl w:val="01768A3A"/>
    <w:lvl w:ilvl="0" w:tplc="7A98ABCE">
      <w:start w:val="1"/>
      <w:numFmt w:val="bullet"/>
      <w:pStyle w:val="ECDPMLis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31AAE"/>
    <w:multiLevelType w:val="hybridMultilevel"/>
    <w:tmpl w:val="8C5669FC"/>
    <w:lvl w:ilvl="0" w:tplc="17C2D298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C76BC"/>
    <w:multiLevelType w:val="hybridMultilevel"/>
    <w:tmpl w:val="59207206"/>
    <w:lvl w:ilvl="0" w:tplc="C7721D0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62CC5"/>
    <w:multiLevelType w:val="multilevel"/>
    <w:tmpl w:val="6D62B254"/>
    <w:lvl w:ilvl="0">
      <w:start w:val="1"/>
      <w:numFmt w:val="decimal"/>
      <w:pStyle w:val="ECDPMHeading1numbered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92D2"/>
        <w:sz w:val="32"/>
        <w:vertAlign w:val="baseline"/>
      </w:rPr>
    </w:lvl>
    <w:lvl w:ilvl="1">
      <w:start w:val="1"/>
      <w:numFmt w:val="decimal"/>
      <w:pStyle w:val="ECDPMHeading2numbered"/>
      <w:lvlText w:val="%1.%2."/>
      <w:lvlJc w:val="left"/>
      <w:pPr>
        <w:ind w:left="432" w:hanging="432"/>
      </w:pPr>
      <w:rPr>
        <w:rFonts w:ascii="Verdana" w:hAnsi="Verdana" w:hint="default"/>
        <w:b w:val="0"/>
        <w:i w:val="0"/>
        <w:color w:val="0092D2"/>
        <w:sz w:val="24"/>
      </w:rPr>
    </w:lvl>
    <w:lvl w:ilvl="2">
      <w:start w:val="1"/>
      <w:numFmt w:val="decimal"/>
      <w:pStyle w:val="ECDPMHeading3numbered"/>
      <w:lvlText w:val="%1.%2.%3."/>
      <w:lvlJc w:val="left"/>
      <w:pPr>
        <w:tabs>
          <w:tab w:val="num" w:pos="862"/>
        </w:tabs>
        <w:ind w:left="864" w:hanging="864"/>
      </w:pPr>
      <w:rPr>
        <w:rFonts w:ascii="Verdana" w:hAnsi="Verdana" w:hint="default"/>
        <w:b/>
        <w:i w:val="0"/>
        <w:color w:val="7C892B"/>
        <w:sz w:val="2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>
    <w:nsid w:val="69DB4FEC"/>
    <w:multiLevelType w:val="hybridMultilevel"/>
    <w:tmpl w:val="D1C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67469"/>
    <w:multiLevelType w:val="multilevel"/>
    <w:tmpl w:val="3F7E1FE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BB82630"/>
    <w:multiLevelType w:val="hybridMultilevel"/>
    <w:tmpl w:val="517C6DA0"/>
    <w:lvl w:ilvl="0" w:tplc="037618EA">
      <w:start w:val="1"/>
      <w:numFmt w:val="bullet"/>
      <w:pStyle w:val="ECDPMListsubbullets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6"/>
  </w:num>
  <w:num w:numId="12">
    <w:abstractNumId w:val="16"/>
  </w:num>
  <w:num w:numId="13">
    <w:abstractNumId w:val="13"/>
  </w:num>
  <w:num w:numId="14">
    <w:abstractNumId w:val="19"/>
  </w:num>
  <w:num w:numId="15">
    <w:abstractNumId w:val="5"/>
  </w:num>
  <w:num w:numId="16">
    <w:abstractNumId w:val="5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  <w:num w:numId="21">
    <w:abstractNumId w:val="17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#d8d8d8" stroke="f">
      <v:fill color="#d8d8d8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TEMPLATE_SPP NEWS AHEAD NEGATIVE BLANK_V3"/>
  </w:docVars>
  <w:rsids>
    <w:rsidRoot w:val="00166193"/>
    <w:rsid w:val="00012FCD"/>
    <w:rsid w:val="00014E9E"/>
    <w:rsid w:val="00044FAB"/>
    <w:rsid w:val="000548E4"/>
    <w:rsid w:val="0006121A"/>
    <w:rsid w:val="000672B6"/>
    <w:rsid w:val="00071844"/>
    <w:rsid w:val="00083DFA"/>
    <w:rsid w:val="000953A6"/>
    <w:rsid w:val="00095E21"/>
    <w:rsid w:val="000C62D7"/>
    <w:rsid w:val="000C6BB8"/>
    <w:rsid w:val="000E2EDD"/>
    <w:rsid w:val="000F330E"/>
    <w:rsid w:val="000F79F8"/>
    <w:rsid w:val="0010238A"/>
    <w:rsid w:val="0011164C"/>
    <w:rsid w:val="00130F29"/>
    <w:rsid w:val="00166193"/>
    <w:rsid w:val="00173AA5"/>
    <w:rsid w:val="001A5E90"/>
    <w:rsid w:val="001A7DD8"/>
    <w:rsid w:val="001C4052"/>
    <w:rsid w:val="001C7CA5"/>
    <w:rsid w:val="001F14E1"/>
    <w:rsid w:val="0020221E"/>
    <w:rsid w:val="00206BD1"/>
    <w:rsid w:val="002216A0"/>
    <w:rsid w:val="00251E5F"/>
    <w:rsid w:val="002659C2"/>
    <w:rsid w:val="0026662F"/>
    <w:rsid w:val="00270869"/>
    <w:rsid w:val="00272C82"/>
    <w:rsid w:val="0028559F"/>
    <w:rsid w:val="002E2D95"/>
    <w:rsid w:val="00320493"/>
    <w:rsid w:val="003431F2"/>
    <w:rsid w:val="003457B7"/>
    <w:rsid w:val="003457DD"/>
    <w:rsid w:val="00377527"/>
    <w:rsid w:val="0038686A"/>
    <w:rsid w:val="003B4030"/>
    <w:rsid w:val="003B503C"/>
    <w:rsid w:val="003B6BE4"/>
    <w:rsid w:val="003C147E"/>
    <w:rsid w:val="003E08A8"/>
    <w:rsid w:val="003E6388"/>
    <w:rsid w:val="003E7394"/>
    <w:rsid w:val="00404DC2"/>
    <w:rsid w:val="004135CD"/>
    <w:rsid w:val="00437E1D"/>
    <w:rsid w:val="00450AEA"/>
    <w:rsid w:val="004559DE"/>
    <w:rsid w:val="004A7780"/>
    <w:rsid w:val="004D055A"/>
    <w:rsid w:val="004E0785"/>
    <w:rsid w:val="004E3A0B"/>
    <w:rsid w:val="004F3B07"/>
    <w:rsid w:val="004F4693"/>
    <w:rsid w:val="00502C72"/>
    <w:rsid w:val="0052029F"/>
    <w:rsid w:val="00523FF2"/>
    <w:rsid w:val="00535964"/>
    <w:rsid w:val="00550D7D"/>
    <w:rsid w:val="005665C7"/>
    <w:rsid w:val="00587946"/>
    <w:rsid w:val="005B29D3"/>
    <w:rsid w:val="005C7676"/>
    <w:rsid w:val="0061187E"/>
    <w:rsid w:val="0064360E"/>
    <w:rsid w:val="0065728D"/>
    <w:rsid w:val="00662906"/>
    <w:rsid w:val="00667868"/>
    <w:rsid w:val="00693B6D"/>
    <w:rsid w:val="006D0445"/>
    <w:rsid w:val="006F5F93"/>
    <w:rsid w:val="00701A39"/>
    <w:rsid w:val="007057EB"/>
    <w:rsid w:val="007256FC"/>
    <w:rsid w:val="00725D59"/>
    <w:rsid w:val="00733D96"/>
    <w:rsid w:val="00736417"/>
    <w:rsid w:val="0075031B"/>
    <w:rsid w:val="00755600"/>
    <w:rsid w:val="00757D9B"/>
    <w:rsid w:val="00767480"/>
    <w:rsid w:val="00767F39"/>
    <w:rsid w:val="00794A3F"/>
    <w:rsid w:val="007C69D7"/>
    <w:rsid w:val="007D465D"/>
    <w:rsid w:val="007E02F4"/>
    <w:rsid w:val="007E0763"/>
    <w:rsid w:val="007E682C"/>
    <w:rsid w:val="0080690B"/>
    <w:rsid w:val="00807301"/>
    <w:rsid w:val="00810708"/>
    <w:rsid w:val="00812DED"/>
    <w:rsid w:val="00851972"/>
    <w:rsid w:val="00855C84"/>
    <w:rsid w:val="00877DC8"/>
    <w:rsid w:val="0089633D"/>
    <w:rsid w:val="00896EDF"/>
    <w:rsid w:val="008A582A"/>
    <w:rsid w:val="008C2CAE"/>
    <w:rsid w:val="008D1C45"/>
    <w:rsid w:val="008E5E96"/>
    <w:rsid w:val="008F6166"/>
    <w:rsid w:val="00921789"/>
    <w:rsid w:val="00922899"/>
    <w:rsid w:val="0093248C"/>
    <w:rsid w:val="009327D5"/>
    <w:rsid w:val="0094065B"/>
    <w:rsid w:val="00954A90"/>
    <w:rsid w:val="0096201F"/>
    <w:rsid w:val="00985424"/>
    <w:rsid w:val="009875A7"/>
    <w:rsid w:val="00993903"/>
    <w:rsid w:val="009B436F"/>
    <w:rsid w:val="009D24D2"/>
    <w:rsid w:val="009E21C0"/>
    <w:rsid w:val="00A072C6"/>
    <w:rsid w:val="00A67A24"/>
    <w:rsid w:val="00A76C10"/>
    <w:rsid w:val="00A76E18"/>
    <w:rsid w:val="00A82328"/>
    <w:rsid w:val="00AA3D3E"/>
    <w:rsid w:val="00AB14A7"/>
    <w:rsid w:val="00AB3B85"/>
    <w:rsid w:val="00AB4CFC"/>
    <w:rsid w:val="00AE256E"/>
    <w:rsid w:val="00AF0925"/>
    <w:rsid w:val="00B10E05"/>
    <w:rsid w:val="00B14EF1"/>
    <w:rsid w:val="00B3417F"/>
    <w:rsid w:val="00B43666"/>
    <w:rsid w:val="00B43B2B"/>
    <w:rsid w:val="00B61C5E"/>
    <w:rsid w:val="00B77670"/>
    <w:rsid w:val="00B922C2"/>
    <w:rsid w:val="00BA0A07"/>
    <w:rsid w:val="00BB3BEC"/>
    <w:rsid w:val="00BE7ABF"/>
    <w:rsid w:val="00C06EA9"/>
    <w:rsid w:val="00C1277E"/>
    <w:rsid w:val="00C2233F"/>
    <w:rsid w:val="00C61DCF"/>
    <w:rsid w:val="00C620C0"/>
    <w:rsid w:val="00C74840"/>
    <w:rsid w:val="00CA5953"/>
    <w:rsid w:val="00CB5808"/>
    <w:rsid w:val="00CD746D"/>
    <w:rsid w:val="00D02FD4"/>
    <w:rsid w:val="00D2244F"/>
    <w:rsid w:val="00D51B2F"/>
    <w:rsid w:val="00D67009"/>
    <w:rsid w:val="00D726C2"/>
    <w:rsid w:val="00D73D8D"/>
    <w:rsid w:val="00D93E8D"/>
    <w:rsid w:val="00D976C4"/>
    <w:rsid w:val="00DA20EF"/>
    <w:rsid w:val="00DA5187"/>
    <w:rsid w:val="00DA75A9"/>
    <w:rsid w:val="00DC4F6C"/>
    <w:rsid w:val="00E51D11"/>
    <w:rsid w:val="00E52C0C"/>
    <w:rsid w:val="00E66046"/>
    <w:rsid w:val="00E92058"/>
    <w:rsid w:val="00EB1D93"/>
    <w:rsid w:val="00EB46A0"/>
    <w:rsid w:val="00EC35FF"/>
    <w:rsid w:val="00ED390D"/>
    <w:rsid w:val="00ED3CA9"/>
    <w:rsid w:val="00ED3F6F"/>
    <w:rsid w:val="00EF4893"/>
    <w:rsid w:val="00F36F62"/>
    <w:rsid w:val="00F42159"/>
    <w:rsid w:val="00F440AE"/>
    <w:rsid w:val="00F669E1"/>
    <w:rsid w:val="00F773D1"/>
    <w:rsid w:val="00F82009"/>
    <w:rsid w:val="00FB79E5"/>
    <w:rsid w:val="00FC769B"/>
    <w:rsid w:val="00FD5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#d8d8d8" stroke="f">
      <v:fill color="#d8d8d8" on="f"/>
      <v:stroke on="f"/>
    </o:shapedefaults>
    <o:shapelayout v:ext="edit">
      <o:idmap v:ext="edit" data="1"/>
    </o:shapelayout>
  </w:shapeDefaults>
  <w:decimalSymbol w:val="."/>
  <w:listSeparator w:val=","/>
  <w14:docId w14:val="4E5CFD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0D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57F1E"/>
    <w:pPr>
      <w:widowControl w:val="0"/>
      <w:autoSpaceDE w:val="0"/>
      <w:autoSpaceDN w:val="0"/>
      <w:spacing w:before="240" w:after="120" w:line="240" w:lineRule="auto"/>
      <w:jc w:val="both"/>
      <w:outlineLvl w:val="2"/>
    </w:pPr>
    <w:rPr>
      <w:rFonts w:ascii="Arial Bold" w:eastAsia="MS Mincho" w:hAnsi="Arial Bold"/>
      <w:b/>
      <w:bCs/>
      <w:color w:val="687819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link w:val="Heading3"/>
    <w:locked/>
    <w:rsid w:val="00357F1E"/>
    <w:rPr>
      <w:rFonts w:ascii="Arial Bold" w:eastAsia="MS Mincho" w:hAnsi="Arial Bold"/>
      <w:b/>
      <w:bCs/>
      <w:color w:val="687819"/>
      <w:lang w:val="en-GB" w:eastAsia="en-GB" w:bidi="ar-SA"/>
    </w:rPr>
  </w:style>
  <w:style w:type="paragraph" w:customStyle="1" w:styleId="ECDPMnormal">
    <w:name w:val="ECDPM normal"/>
    <w:basedOn w:val="Normal"/>
    <w:qFormat/>
    <w:rsid w:val="00357F1E"/>
    <w:pPr>
      <w:autoSpaceDE w:val="0"/>
      <w:autoSpaceDN w:val="0"/>
      <w:spacing w:after="0" w:line="280" w:lineRule="atLeast"/>
      <w:jc w:val="both"/>
    </w:pPr>
    <w:rPr>
      <w:rFonts w:ascii="Arial" w:eastAsia="MS Mincho" w:hAnsi="Arial" w:cs="Arial Black"/>
      <w:sz w:val="24"/>
      <w:szCs w:val="24"/>
      <w:lang w:val="en-GB" w:eastAsia="ja-JP"/>
    </w:rPr>
  </w:style>
  <w:style w:type="character" w:styleId="Hyperlink">
    <w:name w:val="Hyperlink"/>
    <w:rsid w:val="00357F1E"/>
    <w:rPr>
      <w:color w:val="0000FF"/>
      <w:u w:val="single"/>
    </w:rPr>
  </w:style>
  <w:style w:type="paragraph" w:customStyle="1" w:styleId="ECDPMreportsubtitl">
    <w:name w:val="ECDPM report subtitl"/>
    <w:basedOn w:val="Normal"/>
    <w:next w:val="ECDPMnormal"/>
    <w:qFormat/>
    <w:rsid w:val="00357F1E"/>
    <w:pPr>
      <w:spacing w:after="480" w:line="240" w:lineRule="auto"/>
    </w:pPr>
    <w:rPr>
      <w:rFonts w:ascii="Verdana" w:eastAsia="MS Mincho" w:hAnsi="Verdana"/>
      <w:color w:val="009DDC"/>
      <w:sz w:val="36"/>
      <w:szCs w:val="24"/>
      <w:lang w:val="en-GB" w:eastAsia="ja-JP"/>
    </w:rPr>
  </w:style>
  <w:style w:type="character" w:styleId="FollowedHyperlink">
    <w:name w:val="FollowedHyperlink"/>
    <w:rsid w:val="00357F1E"/>
    <w:rPr>
      <w:color w:val="800080"/>
      <w:u w:val="single"/>
    </w:rPr>
  </w:style>
  <w:style w:type="character" w:styleId="PageNumber">
    <w:name w:val="page number"/>
    <w:basedOn w:val="DefaultParagraphFont"/>
    <w:rsid w:val="00896932"/>
  </w:style>
  <w:style w:type="paragraph" w:styleId="DocumentMap">
    <w:name w:val="Document Map"/>
    <w:basedOn w:val="Normal"/>
    <w:semiHidden/>
    <w:rsid w:val="00D44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C147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3C147E"/>
    <w:rPr>
      <w:rFonts w:ascii="Arial" w:hAnsi="Arial"/>
      <w:lang w:val="en-GB"/>
    </w:rPr>
  </w:style>
  <w:style w:type="paragraph" w:styleId="CommentText">
    <w:name w:val="annotation text"/>
    <w:basedOn w:val="Normal"/>
    <w:link w:val="CommentTextChar"/>
    <w:unhideWhenUsed/>
    <w:rsid w:val="003C147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3C147E"/>
    <w:rPr>
      <w:rFonts w:ascii="Arial" w:hAnsi="Arial"/>
      <w:lang w:val="en-GB"/>
    </w:rPr>
  </w:style>
  <w:style w:type="character" w:customStyle="1" w:styleId="Listecouleur-Accent1Car">
    <w:name w:val="Liste couleur - Accent 1 Car"/>
    <w:link w:val="ColorfulList-Accent11"/>
    <w:uiPriority w:val="34"/>
    <w:locked/>
    <w:rsid w:val="003C147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Listecouleur-Accent1Car"/>
    <w:uiPriority w:val="34"/>
    <w:qFormat/>
    <w:rsid w:val="003C147E"/>
    <w:pPr>
      <w:spacing w:after="0" w:line="240" w:lineRule="auto"/>
      <w:ind w:left="720"/>
      <w:contextualSpacing/>
    </w:pPr>
    <w:rPr>
      <w:sz w:val="24"/>
      <w:szCs w:val="24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3C147E"/>
    <w:pPr>
      <w:ind w:left="720"/>
      <w:contextualSpacing/>
    </w:pPr>
    <w:rPr>
      <w:rFonts w:eastAsia="Calibri"/>
      <w:lang w:bidi="en-US"/>
    </w:rPr>
  </w:style>
  <w:style w:type="table" w:styleId="TableGrid">
    <w:name w:val="Table Grid"/>
    <w:basedOn w:val="TableNormal"/>
    <w:rsid w:val="0005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96ED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896EDF"/>
    <w:pPr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rsid w:val="00896EDF"/>
    <w:rPr>
      <w:rFonts w:ascii="Arial" w:hAnsi="Arial"/>
      <w:b/>
      <w:bCs/>
      <w:lang w:val="en-GB"/>
    </w:rPr>
  </w:style>
  <w:style w:type="paragraph" w:customStyle="1" w:styleId="ECDPMbibliography">
    <w:name w:val="ECDPM bibliography"/>
    <w:basedOn w:val="ECDPMnormal"/>
    <w:autoRedefine/>
    <w:qFormat/>
    <w:rsid w:val="00B43666"/>
    <w:pPr>
      <w:spacing w:after="60"/>
      <w:ind w:left="284" w:hanging="284"/>
    </w:pPr>
    <w:rPr>
      <w:rFonts w:eastAsia="Cambria" w:cs="Times New Roman"/>
      <w:sz w:val="20"/>
    </w:rPr>
  </w:style>
  <w:style w:type="paragraph" w:customStyle="1" w:styleId="ECDPMboxheading">
    <w:name w:val="ECDPM box heading"/>
    <w:basedOn w:val="ECDPMnormal"/>
    <w:next w:val="ECDPMnormal"/>
    <w:autoRedefine/>
    <w:qFormat/>
    <w:rsid w:val="00B43666"/>
    <w:pPr>
      <w:spacing w:line="240" w:lineRule="auto"/>
    </w:pPr>
    <w:rPr>
      <w:rFonts w:ascii="Arial Bold" w:eastAsia="Times New Roman" w:hAnsi="Arial Bold"/>
      <w:sz w:val="18"/>
    </w:rPr>
  </w:style>
  <w:style w:type="paragraph" w:customStyle="1" w:styleId="ECDPMboxtext">
    <w:name w:val="ECDPM box text"/>
    <w:basedOn w:val="ECDPMnormal"/>
    <w:autoRedefine/>
    <w:qFormat/>
    <w:rsid w:val="00B43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6"/>
    </w:pPr>
    <w:rPr>
      <w:rFonts w:eastAsia="Times New Roman"/>
      <w:sz w:val="18"/>
    </w:rPr>
  </w:style>
  <w:style w:type="paragraph" w:customStyle="1" w:styleId="ECDPMfootnotetext">
    <w:name w:val="ECDPM footnote text"/>
    <w:basedOn w:val="ECDPMnormal"/>
    <w:next w:val="ECDPMnormal"/>
    <w:qFormat/>
    <w:rsid w:val="00B43666"/>
    <w:pPr>
      <w:tabs>
        <w:tab w:val="left" w:pos="284"/>
      </w:tabs>
      <w:spacing w:line="240" w:lineRule="auto"/>
      <w:ind w:left="284" w:hanging="284"/>
    </w:pPr>
    <w:rPr>
      <w:rFonts w:eastAsia="Times New Roman"/>
      <w:sz w:val="18"/>
    </w:rPr>
  </w:style>
  <w:style w:type="paragraph" w:customStyle="1" w:styleId="ECDPMHeading1">
    <w:name w:val="ECDPM Heading 1"/>
    <w:basedOn w:val="ECDPMnormal"/>
    <w:next w:val="ECDPMnormal"/>
    <w:qFormat/>
    <w:rsid w:val="00B43666"/>
    <w:pPr>
      <w:spacing w:after="240" w:line="240" w:lineRule="auto"/>
    </w:pPr>
    <w:rPr>
      <w:rFonts w:ascii="Verdana" w:eastAsia="Times New Roman" w:hAnsi="Verdana"/>
      <w:color w:val="009DDC"/>
      <w:sz w:val="32"/>
    </w:rPr>
  </w:style>
  <w:style w:type="paragraph" w:customStyle="1" w:styleId="ECDPMHeading1numbered">
    <w:name w:val="ECDPM Heading 1 numbered"/>
    <w:basedOn w:val="ECDPMHeading1"/>
    <w:next w:val="ECDPMnormal"/>
    <w:qFormat/>
    <w:rsid w:val="00B43666"/>
    <w:pPr>
      <w:numPr>
        <w:numId w:val="12"/>
      </w:numPr>
    </w:pPr>
  </w:style>
  <w:style w:type="paragraph" w:customStyle="1" w:styleId="ECDPMHeading2">
    <w:name w:val="ECDPM Heading 2"/>
    <w:basedOn w:val="ECDPMnormal"/>
    <w:next w:val="ECDPMnormal"/>
    <w:qFormat/>
    <w:rsid w:val="00B43666"/>
    <w:pPr>
      <w:spacing w:before="360" w:after="240" w:line="240" w:lineRule="auto"/>
    </w:pPr>
    <w:rPr>
      <w:rFonts w:ascii="Verdana" w:eastAsia="Times New Roman" w:hAnsi="Verdana"/>
      <w:color w:val="009DDC"/>
    </w:rPr>
  </w:style>
  <w:style w:type="paragraph" w:customStyle="1" w:styleId="ECDPMHeading2numbered">
    <w:name w:val="ECDPM Heading 2 numbered"/>
    <w:basedOn w:val="ECDPMHeading2"/>
    <w:next w:val="ECDPMnormal"/>
    <w:qFormat/>
    <w:rsid w:val="00B43666"/>
    <w:pPr>
      <w:widowControl w:val="0"/>
      <w:numPr>
        <w:ilvl w:val="1"/>
        <w:numId w:val="12"/>
      </w:numPr>
      <w:tabs>
        <w:tab w:val="left" w:pos="794"/>
      </w:tabs>
      <w:autoSpaceDE/>
      <w:autoSpaceDN/>
      <w:outlineLvl w:val="1"/>
    </w:pPr>
  </w:style>
  <w:style w:type="paragraph" w:customStyle="1" w:styleId="ECDPMHeading3">
    <w:name w:val="ECDPM Heading 3"/>
    <w:basedOn w:val="ECDPMnormal"/>
    <w:next w:val="ECDPMnormal"/>
    <w:autoRedefine/>
    <w:qFormat/>
    <w:rsid w:val="00B43666"/>
    <w:pPr>
      <w:spacing w:before="240" w:after="120" w:line="240" w:lineRule="auto"/>
    </w:pPr>
    <w:rPr>
      <w:rFonts w:ascii="Verdana" w:eastAsia="Times New Roman" w:hAnsi="Verdana"/>
      <w:b/>
      <w:color w:val="687819"/>
      <w:sz w:val="20"/>
    </w:rPr>
  </w:style>
  <w:style w:type="paragraph" w:customStyle="1" w:styleId="ECDPMHeading3numbered">
    <w:name w:val="ECDPM Heading 3 numbered"/>
    <w:basedOn w:val="ECDPMHeading3"/>
    <w:next w:val="ECDPMnormal"/>
    <w:qFormat/>
    <w:rsid w:val="00B43666"/>
    <w:pPr>
      <w:numPr>
        <w:ilvl w:val="2"/>
        <w:numId w:val="12"/>
      </w:numPr>
    </w:pPr>
  </w:style>
  <w:style w:type="paragraph" w:customStyle="1" w:styleId="ECDPMListbullets">
    <w:name w:val="ECDPM List bullets"/>
    <w:basedOn w:val="MediumGrid1-Accent21"/>
    <w:autoRedefine/>
    <w:qFormat/>
    <w:rsid w:val="00B43666"/>
    <w:pPr>
      <w:numPr>
        <w:numId w:val="13"/>
      </w:numPr>
      <w:spacing w:after="0" w:line="280" w:lineRule="atLeast"/>
      <w:jc w:val="both"/>
    </w:pPr>
    <w:rPr>
      <w:rFonts w:ascii="Arial" w:eastAsia="MS Mincho" w:hAnsi="Arial"/>
      <w:sz w:val="20"/>
      <w:szCs w:val="24"/>
      <w:lang w:val="en-GB" w:eastAsia="ja-JP" w:bidi="ar-SA"/>
    </w:rPr>
  </w:style>
  <w:style w:type="paragraph" w:customStyle="1" w:styleId="ECDPMListsubbullets">
    <w:name w:val="ECDPM List sub bullets"/>
    <w:basedOn w:val="ECDPMListbullets"/>
    <w:qFormat/>
    <w:rsid w:val="00B43666"/>
    <w:pPr>
      <w:numPr>
        <w:numId w:val="14"/>
      </w:numPr>
      <w:tabs>
        <w:tab w:val="left" w:pos="851"/>
      </w:tabs>
    </w:pPr>
  </w:style>
  <w:style w:type="paragraph" w:customStyle="1" w:styleId="ECDPMnumbering">
    <w:name w:val="ECDPM numbering"/>
    <w:basedOn w:val="MediumGrid1-Accent21"/>
    <w:qFormat/>
    <w:rsid w:val="00B43666"/>
    <w:pPr>
      <w:numPr>
        <w:numId w:val="16"/>
      </w:numPr>
      <w:spacing w:after="0" w:line="280" w:lineRule="atLeast"/>
      <w:jc w:val="both"/>
    </w:pPr>
    <w:rPr>
      <w:rFonts w:ascii="Arial" w:eastAsia="MS Mincho" w:hAnsi="Arial"/>
      <w:sz w:val="20"/>
      <w:szCs w:val="24"/>
      <w:lang w:val="en-GB" w:eastAsia="ja-JP" w:bidi="ar-SA"/>
    </w:rPr>
  </w:style>
  <w:style w:type="paragraph" w:customStyle="1" w:styleId="ECDPMreporttitle">
    <w:name w:val="ECDPM report title"/>
    <w:basedOn w:val="Normal"/>
    <w:next w:val="ECDPMnormal"/>
    <w:qFormat/>
    <w:rsid w:val="00B43666"/>
    <w:pPr>
      <w:spacing w:after="600" w:line="240" w:lineRule="auto"/>
    </w:pPr>
    <w:rPr>
      <w:rFonts w:ascii="Verdana" w:eastAsia="MS Mincho" w:hAnsi="Verdana"/>
      <w:color w:val="009DDC"/>
      <w:sz w:val="48"/>
      <w:szCs w:val="24"/>
      <w:lang w:val="en-GB" w:eastAsia="ja-JP"/>
    </w:rPr>
  </w:style>
  <w:style w:type="paragraph" w:customStyle="1" w:styleId="ECDPMsubnumbering">
    <w:name w:val="ECDPM sub numbering"/>
    <w:basedOn w:val="ECDPMnumbering"/>
    <w:autoRedefine/>
    <w:qFormat/>
    <w:rsid w:val="00B4366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404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0D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57F1E"/>
    <w:pPr>
      <w:widowControl w:val="0"/>
      <w:autoSpaceDE w:val="0"/>
      <w:autoSpaceDN w:val="0"/>
      <w:spacing w:before="240" w:after="120" w:line="240" w:lineRule="auto"/>
      <w:jc w:val="both"/>
      <w:outlineLvl w:val="2"/>
    </w:pPr>
    <w:rPr>
      <w:rFonts w:ascii="Arial Bold" w:eastAsia="MS Mincho" w:hAnsi="Arial Bold"/>
      <w:b/>
      <w:bCs/>
      <w:color w:val="687819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link w:val="Heading3"/>
    <w:locked/>
    <w:rsid w:val="00357F1E"/>
    <w:rPr>
      <w:rFonts w:ascii="Arial Bold" w:eastAsia="MS Mincho" w:hAnsi="Arial Bold"/>
      <w:b/>
      <w:bCs/>
      <w:color w:val="687819"/>
      <w:lang w:val="en-GB" w:eastAsia="en-GB" w:bidi="ar-SA"/>
    </w:rPr>
  </w:style>
  <w:style w:type="paragraph" w:customStyle="1" w:styleId="ECDPMnormal">
    <w:name w:val="ECDPM normal"/>
    <w:basedOn w:val="Normal"/>
    <w:qFormat/>
    <w:rsid w:val="00357F1E"/>
    <w:pPr>
      <w:autoSpaceDE w:val="0"/>
      <w:autoSpaceDN w:val="0"/>
      <w:spacing w:after="0" w:line="280" w:lineRule="atLeast"/>
      <w:jc w:val="both"/>
    </w:pPr>
    <w:rPr>
      <w:rFonts w:ascii="Arial" w:eastAsia="MS Mincho" w:hAnsi="Arial" w:cs="Arial Black"/>
      <w:sz w:val="24"/>
      <w:szCs w:val="24"/>
      <w:lang w:val="en-GB" w:eastAsia="ja-JP"/>
    </w:rPr>
  </w:style>
  <w:style w:type="character" w:styleId="Hyperlink">
    <w:name w:val="Hyperlink"/>
    <w:rsid w:val="00357F1E"/>
    <w:rPr>
      <w:color w:val="0000FF"/>
      <w:u w:val="single"/>
    </w:rPr>
  </w:style>
  <w:style w:type="paragraph" w:customStyle="1" w:styleId="ECDPMreportsubtitl">
    <w:name w:val="ECDPM report subtitl"/>
    <w:basedOn w:val="Normal"/>
    <w:next w:val="ECDPMnormal"/>
    <w:qFormat/>
    <w:rsid w:val="00357F1E"/>
    <w:pPr>
      <w:spacing w:after="480" w:line="240" w:lineRule="auto"/>
    </w:pPr>
    <w:rPr>
      <w:rFonts w:ascii="Verdana" w:eastAsia="MS Mincho" w:hAnsi="Verdana"/>
      <w:color w:val="009DDC"/>
      <w:sz w:val="36"/>
      <w:szCs w:val="24"/>
      <w:lang w:val="en-GB" w:eastAsia="ja-JP"/>
    </w:rPr>
  </w:style>
  <w:style w:type="character" w:styleId="FollowedHyperlink">
    <w:name w:val="FollowedHyperlink"/>
    <w:rsid w:val="00357F1E"/>
    <w:rPr>
      <w:color w:val="800080"/>
      <w:u w:val="single"/>
    </w:rPr>
  </w:style>
  <w:style w:type="character" w:styleId="PageNumber">
    <w:name w:val="page number"/>
    <w:basedOn w:val="DefaultParagraphFont"/>
    <w:rsid w:val="00896932"/>
  </w:style>
  <w:style w:type="paragraph" w:styleId="DocumentMap">
    <w:name w:val="Document Map"/>
    <w:basedOn w:val="Normal"/>
    <w:semiHidden/>
    <w:rsid w:val="00D44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C147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3C147E"/>
    <w:rPr>
      <w:rFonts w:ascii="Arial" w:hAnsi="Arial"/>
      <w:lang w:val="en-GB"/>
    </w:rPr>
  </w:style>
  <w:style w:type="paragraph" w:styleId="CommentText">
    <w:name w:val="annotation text"/>
    <w:basedOn w:val="Normal"/>
    <w:link w:val="CommentTextChar"/>
    <w:unhideWhenUsed/>
    <w:rsid w:val="003C147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3C147E"/>
    <w:rPr>
      <w:rFonts w:ascii="Arial" w:hAnsi="Arial"/>
      <w:lang w:val="en-GB"/>
    </w:rPr>
  </w:style>
  <w:style w:type="character" w:customStyle="1" w:styleId="Listecouleur-Accent1Car">
    <w:name w:val="Liste couleur - Accent 1 Car"/>
    <w:link w:val="ColorfulList-Accent11"/>
    <w:uiPriority w:val="34"/>
    <w:locked/>
    <w:rsid w:val="003C147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Listecouleur-Accent1Car"/>
    <w:uiPriority w:val="34"/>
    <w:qFormat/>
    <w:rsid w:val="003C147E"/>
    <w:pPr>
      <w:spacing w:after="0" w:line="240" w:lineRule="auto"/>
      <w:ind w:left="720"/>
      <w:contextualSpacing/>
    </w:pPr>
    <w:rPr>
      <w:sz w:val="24"/>
      <w:szCs w:val="24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3C147E"/>
    <w:pPr>
      <w:ind w:left="720"/>
      <w:contextualSpacing/>
    </w:pPr>
    <w:rPr>
      <w:rFonts w:eastAsia="Calibri"/>
      <w:lang w:bidi="en-US"/>
    </w:rPr>
  </w:style>
  <w:style w:type="table" w:styleId="TableGrid">
    <w:name w:val="Table Grid"/>
    <w:basedOn w:val="TableNormal"/>
    <w:rsid w:val="0005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96ED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896EDF"/>
    <w:pPr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rsid w:val="00896EDF"/>
    <w:rPr>
      <w:rFonts w:ascii="Arial" w:hAnsi="Arial"/>
      <w:b/>
      <w:bCs/>
      <w:lang w:val="en-GB"/>
    </w:rPr>
  </w:style>
  <w:style w:type="paragraph" w:customStyle="1" w:styleId="ECDPMbibliography">
    <w:name w:val="ECDPM bibliography"/>
    <w:basedOn w:val="ECDPMnormal"/>
    <w:autoRedefine/>
    <w:qFormat/>
    <w:rsid w:val="00B43666"/>
    <w:pPr>
      <w:spacing w:after="60"/>
      <w:ind w:left="284" w:hanging="284"/>
    </w:pPr>
    <w:rPr>
      <w:rFonts w:eastAsia="Cambria" w:cs="Times New Roman"/>
      <w:sz w:val="20"/>
    </w:rPr>
  </w:style>
  <w:style w:type="paragraph" w:customStyle="1" w:styleId="ECDPMboxheading">
    <w:name w:val="ECDPM box heading"/>
    <w:basedOn w:val="ECDPMnormal"/>
    <w:next w:val="ECDPMnormal"/>
    <w:autoRedefine/>
    <w:qFormat/>
    <w:rsid w:val="00B43666"/>
    <w:pPr>
      <w:spacing w:line="240" w:lineRule="auto"/>
    </w:pPr>
    <w:rPr>
      <w:rFonts w:ascii="Arial Bold" w:eastAsia="Times New Roman" w:hAnsi="Arial Bold"/>
      <w:sz w:val="18"/>
    </w:rPr>
  </w:style>
  <w:style w:type="paragraph" w:customStyle="1" w:styleId="ECDPMboxtext">
    <w:name w:val="ECDPM box text"/>
    <w:basedOn w:val="ECDPMnormal"/>
    <w:autoRedefine/>
    <w:qFormat/>
    <w:rsid w:val="00B43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6"/>
    </w:pPr>
    <w:rPr>
      <w:rFonts w:eastAsia="Times New Roman"/>
      <w:sz w:val="18"/>
    </w:rPr>
  </w:style>
  <w:style w:type="paragraph" w:customStyle="1" w:styleId="ECDPMfootnotetext">
    <w:name w:val="ECDPM footnote text"/>
    <w:basedOn w:val="ECDPMnormal"/>
    <w:next w:val="ECDPMnormal"/>
    <w:qFormat/>
    <w:rsid w:val="00B43666"/>
    <w:pPr>
      <w:tabs>
        <w:tab w:val="left" w:pos="284"/>
      </w:tabs>
      <w:spacing w:line="240" w:lineRule="auto"/>
      <w:ind w:left="284" w:hanging="284"/>
    </w:pPr>
    <w:rPr>
      <w:rFonts w:eastAsia="Times New Roman"/>
      <w:sz w:val="18"/>
    </w:rPr>
  </w:style>
  <w:style w:type="paragraph" w:customStyle="1" w:styleId="ECDPMHeading1">
    <w:name w:val="ECDPM Heading 1"/>
    <w:basedOn w:val="ECDPMnormal"/>
    <w:next w:val="ECDPMnormal"/>
    <w:qFormat/>
    <w:rsid w:val="00B43666"/>
    <w:pPr>
      <w:spacing w:after="240" w:line="240" w:lineRule="auto"/>
    </w:pPr>
    <w:rPr>
      <w:rFonts w:ascii="Verdana" w:eastAsia="Times New Roman" w:hAnsi="Verdana"/>
      <w:color w:val="009DDC"/>
      <w:sz w:val="32"/>
    </w:rPr>
  </w:style>
  <w:style w:type="paragraph" w:customStyle="1" w:styleId="ECDPMHeading1numbered">
    <w:name w:val="ECDPM Heading 1 numbered"/>
    <w:basedOn w:val="ECDPMHeading1"/>
    <w:next w:val="ECDPMnormal"/>
    <w:qFormat/>
    <w:rsid w:val="00B43666"/>
    <w:pPr>
      <w:numPr>
        <w:numId w:val="12"/>
      </w:numPr>
    </w:pPr>
  </w:style>
  <w:style w:type="paragraph" w:customStyle="1" w:styleId="ECDPMHeading2">
    <w:name w:val="ECDPM Heading 2"/>
    <w:basedOn w:val="ECDPMnormal"/>
    <w:next w:val="ECDPMnormal"/>
    <w:qFormat/>
    <w:rsid w:val="00B43666"/>
    <w:pPr>
      <w:spacing w:before="360" w:after="240" w:line="240" w:lineRule="auto"/>
    </w:pPr>
    <w:rPr>
      <w:rFonts w:ascii="Verdana" w:eastAsia="Times New Roman" w:hAnsi="Verdana"/>
      <w:color w:val="009DDC"/>
    </w:rPr>
  </w:style>
  <w:style w:type="paragraph" w:customStyle="1" w:styleId="ECDPMHeading2numbered">
    <w:name w:val="ECDPM Heading 2 numbered"/>
    <w:basedOn w:val="ECDPMHeading2"/>
    <w:next w:val="ECDPMnormal"/>
    <w:qFormat/>
    <w:rsid w:val="00B43666"/>
    <w:pPr>
      <w:widowControl w:val="0"/>
      <w:numPr>
        <w:ilvl w:val="1"/>
        <w:numId w:val="12"/>
      </w:numPr>
      <w:tabs>
        <w:tab w:val="left" w:pos="794"/>
      </w:tabs>
      <w:autoSpaceDE/>
      <w:autoSpaceDN/>
      <w:outlineLvl w:val="1"/>
    </w:pPr>
  </w:style>
  <w:style w:type="paragraph" w:customStyle="1" w:styleId="ECDPMHeading3">
    <w:name w:val="ECDPM Heading 3"/>
    <w:basedOn w:val="ECDPMnormal"/>
    <w:next w:val="ECDPMnormal"/>
    <w:autoRedefine/>
    <w:qFormat/>
    <w:rsid w:val="00B43666"/>
    <w:pPr>
      <w:spacing w:before="240" w:after="120" w:line="240" w:lineRule="auto"/>
    </w:pPr>
    <w:rPr>
      <w:rFonts w:ascii="Verdana" w:eastAsia="Times New Roman" w:hAnsi="Verdana"/>
      <w:b/>
      <w:color w:val="687819"/>
      <w:sz w:val="20"/>
    </w:rPr>
  </w:style>
  <w:style w:type="paragraph" w:customStyle="1" w:styleId="ECDPMHeading3numbered">
    <w:name w:val="ECDPM Heading 3 numbered"/>
    <w:basedOn w:val="ECDPMHeading3"/>
    <w:next w:val="ECDPMnormal"/>
    <w:qFormat/>
    <w:rsid w:val="00B43666"/>
    <w:pPr>
      <w:numPr>
        <w:ilvl w:val="2"/>
        <w:numId w:val="12"/>
      </w:numPr>
    </w:pPr>
  </w:style>
  <w:style w:type="paragraph" w:customStyle="1" w:styleId="ECDPMListbullets">
    <w:name w:val="ECDPM List bullets"/>
    <w:basedOn w:val="MediumGrid1-Accent21"/>
    <w:autoRedefine/>
    <w:qFormat/>
    <w:rsid w:val="00B43666"/>
    <w:pPr>
      <w:numPr>
        <w:numId w:val="13"/>
      </w:numPr>
      <w:spacing w:after="0" w:line="280" w:lineRule="atLeast"/>
      <w:jc w:val="both"/>
    </w:pPr>
    <w:rPr>
      <w:rFonts w:ascii="Arial" w:eastAsia="MS Mincho" w:hAnsi="Arial"/>
      <w:sz w:val="20"/>
      <w:szCs w:val="24"/>
      <w:lang w:val="en-GB" w:eastAsia="ja-JP" w:bidi="ar-SA"/>
    </w:rPr>
  </w:style>
  <w:style w:type="paragraph" w:customStyle="1" w:styleId="ECDPMListsubbullets">
    <w:name w:val="ECDPM List sub bullets"/>
    <w:basedOn w:val="ECDPMListbullets"/>
    <w:qFormat/>
    <w:rsid w:val="00B43666"/>
    <w:pPr>
      <w:numPr>
        <w:numId w:val="14"/>
      </w:numPr>
      <w:tabs>
        <w:tab w:val="left" w:pos="851"/>
      </w:tabs>
    </w:pPr>
  </w:style>
  <w:style w:type="paragraph" w:customStyle="1" w:styleId="ECDPMnumbering">
    <w:name w:val="ECDPM numbering"/>
    <w:basedOn w:val="MediumGrid1-Accent21"/>
    <w:qFormat/>
    <w:rsid w:val="00B43666"/>
    <w:pPr>
      <w:numPr>
        <w:numId w:val="16"/>
      </w:numPr>
      <w:spacing w:after="0" w:line="280" w:lineRule="atLeast"/>
      <w:jc w:val="both"/>
    </w:pPr>
    <w:rPr>
      <w:rFonts w:ascii="Arial" w:eastAsia="MS Mincho" w:hAnsi="Arial"/>
      <w:sz w:val="20"/>
      <w:szCs w:val="24"/>
      <w:lang w:val="en-GB" w:eastAsia="ja-JP" w:bidi="ar-SA"/>
    </w:rPr>
  </w:style>
  <w:style w:type="paragraph" w:customStyle="1" w:styleId="ECDPMreporttitle">
    <w:name w:val="ECDPM report title"/>
    <w:basedOn w:val="Normal"/>
    <w:next w:val="ECDPMnormal"/>
    <w:qFormat/>
    <w:rsid w:val="00B43666"/>
    <w:pPr>
      <w:spacing w:after="600" w:line="240" w:lineRule="auto"/>
    </w:pPr>
    <w:rPr>
      <w:rFonts w:ascii="Verdana" w:eastAsia="MS Mincho" w:hAnsi="Verdana"/>
      <w:color w:val="009DDC"/>
      <w:sz w:val="48"/>
      <w:szCs w:val="24"/>
      <w:lang w:val="en-GB" w:eastAsia="ja-JP"/>
    </w:rPr>
  </w:style>
  <w:style w:type="paragraph" w:customStyle="1" w:styleId="ECDPMsubnumbering">
    <w:name w:val="ECDPM sub numbering"/>
    <w:basedOn w:val="ECDPMnumbering"/>
    <w:autoRedefine/>
    <w:qFormat/>
    <w:rsid w:val="00B4366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40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BCC47-0EBE-2B46-8CF0-48062FB4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Settings\bodarve\Desktop\Template_SPP News Ahead Negative blank_V3.0.dot</Template>
  <TotalTime>17</TotalTime>
  <Pages>5</Pages>
  <Words>821</Words>
  <Characters>4684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Name, Surname</vt:lpstr>
    </vt:vector>
  </TitlesOfParts>
  <Company>Tipik S.A.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Jean Bossuyt</cp:lastModifiedBy>
  <cp:revision>5</cp:revision>
  <cp:lastPrinted>2015-05-07T08:39:00Z</cp:lastPrinted>
  <dcterms:created xsi:type="dcterms:W3CDTF">2015-05-25T21:39:00Z</dcterms:created>
  <dcterms:modified xsi:type="dcterms:W3CDTF">2015-05-28T13:07:00Z</dcterms:modified>
</cp:coreProperties>
</file>