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0A879" w14:textId="77777777" w:rsidR="00A11C7B" w:rsidRDefault="00A11C7B" w:rsidP="00A11C7B">
      <w:pPr>
        <w:pStyle w:val="Heading1"/>
        <w:keepNext w:val="0"/>
        <w:keepLines w:val="0"/>
        <w:spacing w:before="100" w:beforeAutospacing="1"/>
        <w:ind w:left="0" w:firstLine="0"/>
        <w:rPr>
          <w:rFonts w:ascii="Arial" w:eastAsia="Times New Roman" w:hAnsi="Arial" w:cs="Arial"/>
          <w:snapToGrid/>
          <w:color w:val="000066"/>
          <w:kern w:val="36"/>
          <w:sz w:val="28"/>
          <w:szCs w:val="28"/>
          <w:lang w:val="en-GB" w:eastAsia="en-US"/>
        </w:rPr>
      </w:pPr>
      <w:r w:rsidRPr="00A11C7B">
        <w:rPr>
          <w:rFonts w:ascii="Arial" w:eastAsia="Times New Roman" w:hAnsi="Arial" w:cs="Arial"/>
          <w:snapToGrid/>
          <w:color w:val="000066"/>
          <w:kern w:val="36"/>
          <w:sz w:val="28"/>
          <w:szCs w:val="28"/>
          <w:lang w:val="en-GB" w:eastAsia="en-US"/>
        </w:rPr>
        <w:t>Writing a Policy: Structure and Components</w:t>
      </w:r>
      <w:r w:rsidR="00BD7CC4">
        <w:rPr>
          <w:rFonts w:ascii="Arial" w:eastAsia="Times New Roman" w:hAnsi="Arial" w:cs="Arial"/>
          <w:snapToGrid/>
          <w:color w:val="000066"/>
          <w:kern w:val="36"/>
          <w:sz w:val="28"/>
          <w:szCs w:val="28"/>
          <w:lang w:val="en-GB" w:eastAsia="en-US"/>
        </w:rPr>
        <w:t>- adapted from</w:t>
      </w:r>
    </w:p>
    <w:p w14:paraId="73FC04EB" w14:textId="77777777" w:rsidR="00BD7CC4" w:rsidRDefault="00AC0CEE" w:rsidP="00BD7CC4">
      <w:pPr>
        <w:rPr>
          <w:lang w:eastAsia="en-US"/>
        </w:rPr>
      </w:pPr>
      <w:hyperlink r:id="rId6" w:history="1">
        <w:r w:rsidR="00BD7CC4" w:rsidRPr="002C46EE">
          <w:rPr>
            <w:rStyle w:val="Hyperlink"/>
            <w:lang w:eastAsia="en-US"/>
          </w:rPr>
          <w:t>http://www.leoisaac.com/policy/top125.htm</w:t>
        </w:r>
      </w:hyperlink>
    </w:p>
    <w:p w14:paraId="265598D8" w14:textId="77777777" w:rsidR="00BD7CC4" w:rsidRPr="00BD7CC4" w:rsidRDefault="00BD7CC4" w:rsidP="00BD7CC4">
      <w:pPr>
        <w:rPr>
          <w:lang w:eastAsia="en-US"/>
        </w:rPr>
      </w:pPr>
    </w:p>
    <w:p w14:paraId="3CD5587B"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Trebuchet MS" w:hAnsi="Trebuchet MS" w:cs="Times New Roman"/>
          <w:color w:val="000066"/>
          <w:sz w:val="20"/>
          <w:szCs w:val="20"/>
          <w:lang w:eastAsia="en-US"/>
        </w:rPr>
        <w:t>The following information is provided as a template to assist learners draft a policy. However it must be remembered that policies are written to address specific issues, and therefore the structure and components of a policy will differ considerably according to the need. A policy document may be many pages or it may be a single page with just a few simple statements.</w:t>
      </w:r>
    </w:p>
    <w:p w14:paraId="5FB0417F" w14:textId="2ED3E51B"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Trebuchet MS" w:hAnsi="Trebuchet MS" w:cs="Times New Roman"/>
          <w:color w:val="000066"/>
          <w:sz w:val="20"/>
          <w:szCs w:val="20"/>
          <w:lang w:eastAsia="en-US"/>
        </w:rPr>
        <w:t>It is suggested that there are nine components. The example given at the right of the table should not be construed as a complete policy.</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CC99"/>
        <w:tblCellMar>
          <w:top w:w="120" w:type="dxa"/>
          <w:left w:w="120" w:type="dxa"/>
          <w:bottom w:w="120" w:type="dxa"/>
          <w:right w:w="120" w:type="dxa"/>
        </w:tblCellMar>
        <w:tblLook w:val="04A0" w:firstRow="1" w:lastRow="0" w:firstColumn="1" w:lastColumn="0" w:noHBand="0" w:noVBand="1"/>
      </w:tblPr>
      <w:tblGrid>
        <w:gridCol w:w="535"/>
        <w:gridCol w:w="3564"/>
        <w:gridCol w:w="4811"/>
      </w:tblGrid>
      <w:tr w:rsidR="00A11C7B" w:rsidRPr="00A11C7B" w14:paraId="6319D5F7" w14:textId="77777777" w:rsidTr="00A11C7B">
        <w:trPr>
          <w:tblCellSpacing w:w="0" w:type="dxa"/>
        </w:trPr>
        <w:tc>
          <w:tcPr>
            <w:tcW w:w="300" w:type="pct"/>
            <w:tcBorders>
              <w:top w:val="outset" w:sz="6" w:space="0" w:color="auto"/>
              <w:left w:val="outset" w:sz="6" w:space="0" w:color="auto"/>
              <w:bottom w:val="outset" w:sz="6" w:space="0" w:color="auto"/>
              <w:right w:val="outset" w:sz="6" w:space="0" w:color="auto"/>
            </w:tcBorders>
            <w:shd w:val="clear" w:color="auto" w:fill="FF9966"/>
            <w:vAlign w:val="center"/>
            <w:hideMark/>
          </w:tcPr>
          <w:p w14:paraId="07CD84AD"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 </w:t>
            </w:r>
          </w:p>
        </w:tc>
        <w:tc>
          <w:tcPr>
            <w:tcW w:w="2000" w:type="pct"/>
            <w:tcBorders>
              <w:top w:val="outset" w:sz="6" w:space="0" w:color="auto"/>
              <w:left w:val="outset" w:sz="6" w:space="0" w:color="auto"/>
              <w:bottom w:val="outset" w:sz="6" w:space="0" w:color="auto"/>
              <w:right w:val="outset" w:sz="6" w:space="0" w:color="auto"/>
            </w:tcBorders>
            <w:shd w:val="clear" w:color="auto" w:fill="FF9966"/>
            <w:vAlign w:val="center"/>
            <w:hideMark/>
          </w:tcPr>
          <w:p w14:paraId="726784A9"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Arial" w:eastAsia="Times New Roman" w:hAnsi="Arial" w:cs="Arial"/>
                <w:b/>
                <w:bCs/>
                <w:color w:val="000066"/>
                <w:sz w:val="20"/>
                <w:szCs w:val="20"/>
                <w:lang w:eastAsia="en-US"/>
              </w:rPr>
              <w:t>Component</w:t>
            </w:r>
          </w:p>
        </w:tc>
        <w:tc>
          <w:tcPr>
            <w:tcW w:w="2700" w:type="pct"/>
            <w:tcBorders>
              <w:top w:val="outset" w:sz="6" w:space="0" w:color="auto"/>
              <w:left w:val="outset" w:sz="6" w:space="0" w:color="auto"/>
              <w:bottom w:val="outset" w:sz="6" w:space="0" w:color="auto"/>
              <w:right w:val="outset" w:sz="6" w:space="0" w:color="auto"/>
            </w:tcBorders>
            <w:shd w:val="clear" w:color="auto" w:fill="FF9966"/>
            <w:vAlign w:val="center"/>
            <w:hideMark/>
          </w:tcPr>
          <w:p w14:paraId="085940DB"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Arial" w:eastAsia="Times New Roman" w:hAnsi="Arial" w:cs="Arial"/>
                <w:b/>
                <w:bCs/>
                <w:color w:val="000066"/>
                <w:sz w:val="20"/>
                <w:szCs w:val="20"/>
                <w:lang w:eastAsia="en-US"/>
              </w:rPr>
              <w:t>Brief Example</w:t>
            </w:r>
          </w:p>
        </w:tc>
      </w:tr>
      <w:tr w:rsidR="00A11C7B" w:rsidRPr="00A11C7B" w14:paraId="3E45CB4F" w14:textId="77777777" w:rsidTr="00A11C7B">
        <w:trPr>
          <w:tblCellSpacing w:w="0" w:type="dxa"/>
        </w:trPr>
        <w:tc>
          <w:tcPr>
            <w:tcW w:w="300" w:type="pct"/>
            <w:tcBorders>
              <w:top w:val="outset" w:sz="6" w:space="0" w:color="auto"/>
              <w:left w:val="outset" w:sz="6" w:space="0" w:color="auto"/>
              <w:bottom w:val="outset" w:sz="6" w:space="0" w:color="auto"/>
              <w:right w:val="outset" w:sz="6" w:space="0" w:color="auto"/>
            </w:tcBorders>
            <w:shd w:val="clear" w:color="auto" w:fill="FFCC99"/>
            <w:hideMark/>
          </w:tcPr>
          <w:p w14:paraId="71325EB6"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Arial" w:hAnsi="Arial" w:cs="Arial"/>
                <w:b/>
                <w:bCs/>
                <w:color w:val="000066"/>
                <w:sz w:val="20"/>
                <w:szCs w:val="20"/>
                <w:lang w:eastAsia="en-US"/>
              </w:rPr>
              <w:t>1</w:t>
            </w:r>
          </w:p>
        </w:tc>
        <w:tc>
          <w:tcPr>
            <w:tcW w:w="2000" w:type="pct"/>
            <w:tcBorders>
              <w:top w:val="outset" w:sz="6" w:space="0" w:color="auto"/>
              <w:left w:val="outset" w:sz="6" w:space="0" w:color="auto"/>
              <w:bottom w:val="outset" w:sz="6" w:space="0" w:color="auto"/>
              <w:right w:val="outset" w:sz="6" w:space="0" w:color="auto"/>
            </w:tcBorders>
            <w:shd w:val="clear" w:color="auto" w:fill="FFCC99"/>
            <w:hideMark/>
          </w:tcPr>
          <w:p w14:paraId="3468613B" w14:textId="3A387A61" w:rsidR="00A11C7B" w:rsidRPr="00A11C7B" w:rsidRDefault="00A11C7B" w:rsidP="003B5DDB">
            <w:pPr>
              <w:spacing w:line="360" w:lineRule="atLeast"/>
              <w:rPr>
                <w:rFonts w:ascii="Trebuchet MS" w:eastAsia="Times New Roman" w:hAnsi="Trebuchet MS" w:cs="Times New Roman"/>
                <w:color w:val="000066"/>
                <w:sz w:val="20"/>
                <w:szCs w:val="20"/>
                <w:lang w:eastAsia="en-US"/>
              </w:rPr>
            </w:pPr>
            <w:r w:rsidRPr="00A11C7B">
              <w:rPr>
                <w:rFonts w:ascii="Arial" w:eastAsia="Times New Roman" w:hAnsi="Arial" w:cs="Arial"/>
                <w:color w:val="000066"/>
                <w:sz w:val="20"/>
                <w:szCs w:val="20"/>
                <w:lang w:eastAsia="en-US"/>
              </w:rPr>
              <w:t>A </w:t>
            </w:r>
            <w:r w:rsidRPr="00A11C7B">
              <w:rPr>
                <w:rFonts w:ascii="Trebuchet MS" w:eastAsia="Times New Roman" w:hAnsi="Trebuchet MS" w:cs="Times New Roman"/>
                <w:b/>
                <w:bCs/>
                <w:color w:val="000066"/>
                <w:sz w:val="20"/>
                <w:szCs w:val="20"/>
                <w:lang w:eastAsia="en-US"/>
              </w:rPr>
              <w:t>statement</w:t>
            </w:r>
            <w:r w:rsidRPr="00A11C7B">
              <w:rPr>
                <w:rFonts w:ascii="Trebuchet MS" w:eastAsia="Times New Roman" w:hAnsi="Trebuchet MS" w:cs="Times New Roman"/>
                <w:color w:val="000066"/>
                <w:sz w:val="20"/>
                <w:szCs w:val="20"/>
                <w:lang w:eastAsia="en-US"/>
              </w:rPr>
              <w:t xml:space="preserve"> of what the organisation seeks to achieve </w:t>
            </w:r>
          </w:p>
        </w:tc>
        <w:tc>
          <w:tcPr>
            <w:tcW w:w="2700" w:type="pct"/>
            <w:tcBorders>
              <w:top w:val="outset" w:sz="6" w:space="0" w:color="auto"/>
              <w:left w:val="outset" w:sz="6" w:space="0" w:color="auto"/>
              <w:bottom w:val="outset" w:sz="6" w:space="0" w:color="auto"/>
              <w:right w:val="outset" w:sz="6" w:space="0" w:color="auto"/>
            </w:tcBorders>
            <w:shd w:val="clear" w:color="auto" w:fill="FFCC99"/>
            <w:hideMark/>
          </w:tcPr>
          <w:p w14:paraId="2366EAAE" w14:textId="4B120241" w:rsidR="00A11C7B" w:rsidRPr="00A11C7B" w:rsidRDefault="00A11C7B" w:rsidP="00DA56B2">
            <w:pPr>
              <w:spacing w:line="36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 xml:space="preserve">The following policy aims to ensure that XYZ </w:t>
            </w:r>
            <w:proofErr w:type="spellStart"/>
            <w:r w:rsidR="00DA56B2">
              <w:rPr>
                <w:rFonts w:ascii="Trebuchet MS" w:eastAsia="Times New Roman" w:hAnsi="Trebuchet MS" w:cs="Times New Roman"/>
                <w:color w:val="000066"/>
                <w:sz w:val="20"/>
                <w:szCs w:val="20"/>
                <w:lang w:eastAsia="en-US"/>
              </w:rPr>
              <w:t>fulfills</w:t>
            </w:r>
            <w:proofErr w:type="spellEnd"/>
            <w:r w:rsidR="00DA56B2">
              <w:rPr>
                <w:rFonts w:ascii="Trebuchet MS" w:eastAsia="Times New Roman" w:hAnsi="Trebuchet MS" w:cs="Times New Roman"/>
                <w:color w:val="000066"/>
                <w:sz w:val="20"/>
                <w:szCs w:val="20"/>
                <w:lang w:eastAsia="en-US"/>
              </w:rPr>
              <w:t xml:space="preserve"> the expectation that…</w:t>
            </w:r>
          </w:p>
        </w:tc>
      </w:tr>
      <w:tr w:rsidR="00A11C7B" w:rsidRPr="00A11C7B" w14:paraId="61096860" w14:textId="77777777" w:rsidTr="00A11C7B">
        <w:trPr>
          <w:tblCellSpacing w:w="0" w:type="dxa"/>
        </w:trPr>
        <w:tc>
          <w:tcPr>
            <w:tcW w:w="300" w:type="pct"/>
            <w:tcBorders>
              <w:top w:val="outset" w:sz="6" w:space="0" w:color="auto"/>
              <w:left w:val="outset" w:sz="6" w:space="0" w:color="auto"/>
              <w:bottom w:val="outset" w:sz="6" w:space="0" w:color="auto"/>
              <w:right w:val="outset" w:sz="6" w:space="0" w:color="auto"/>
            </w:tcBorders>
            <w:shd w:val="clear" w:color="auto" w:fill="FFCC99"/>
            <w:hideMark/>
          </w:tcPr>
          <w:p w14:paraId="16957516"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Arial" w:hAnsi="Arial" w:cs="Arial"/>
                <w:b/>
                <w:bCs/>
                <w:color w:val="000066"/>
                <w:sz w:val="20"/>
                <w:szCs w:val="20"/>
                <w:lang w:eastAsia="en-US"/>
              </w:rPr>
              <w:t>2</w:t>
            </w:r>
          </w:p>
        </w:tc>
        <w:tc>
          <w:tcPr>
            <w:tcW w:w="2000" w:type="pct"/>
            <w:tcBorders>
              <w:top w:val="outset" w:sz="6" w:space="0" w:color="auto"/>
              <w:left w:val="outset" w:sz="6" w:space="0" w:color="auto"/>
              <w:bottom w:val="outset" w:sz="6" w:space="0" w:color="auto"/>
              <w:right w:val="outset" w:sz="6" w:space="0" w:color="auto"/>
            </w:tcBorders>
            <w:shd w:val="clear" w:color="auto" w:fill="FFCC99"/>
            <w:hideMark/>
          </w:tcPr>
          <w:p w14:paraId="7EB9893B"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Underpinning </w:t>
            </w:r>
            <w:r w:rsidRPr="00A11C7B">
              <w:rPr>
                <w:rFonts w:ascii="Trebuchet MS" w:eastAsia="Times New Roman" w:hAnsi="Trebuchet MS" w:cs="Times New Roman"/>
                <w:b/>
                <w:bCs/>
                <w:color w:val="000066"/>
                <w:sz w:val="20"/>
                <w:szCs w:val="20"/>
                <w:lang w:eastAsia="en-US"/>
              </w:rPr>
              <w:t>principles, values and philosophies</w:t>
            </w:r>
          </w:p>
        </w:tc>
        <w:tc>
          <w:tcPr>
            <w:tcW w:w="2700" w:type="pct"/>
            <w:tcBorders>
              <w:top w:val="outset" w:sz="6" w:space="0" w:color="auto"/>
              <w:left w:val="outset" w:sz="6" w:space="0" w:color="auto"/>
              <w:bottom w:val="outset" w:sz="6" w:space="0" w:color="auto"/>
              <w:right w:val="outset" w:sz="6" w:space="0" w:color="auto"/>
            </w:tcBorders>
            <w:shd w:val="clear" w:color="auto" w:fill="FFCC99"/>
            <w:hideMark/>
          </w:tcPr>
          <w:p w14:paraId="2ED29E23"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The underpinning principle of this policy is that the provision of quality services is of the utmost importance in building membership and participation. Satisfied members are more likely to continue participation, contribute to the organisation and renew the memberships each year.</w:t>
            </w:r>
          </w:p>
        </w:tc>
      </w:tr>
      <w:tr w:rsidR="00A11C7B" w:rsidRPr="00A11C7B" w14:paraId="7F9CF334" w14:textId="77777777" w:rsidTr="00A11C7B">
        <w:trPr>
          <w:tblCellSpacing w:w="0" w:type="dxa"/>
        </w:trPr>
        <w:tc>
          <w:tcPr>
            <w:tcW w:w="300" w:type="pct"/>
            <w:tcBorders>
              <w:top w:val="outset" w:sz="6" w:space="0" w:color="auto"/>
              <w:left w:val="outset" w:sz="6" w:space="0" w:color="auto"/>
              <w:bottom w:val="outset" w:sz="6" w:space="0" w:color="auto"/>
              <w:right w:val="outset" w:sz="6" w:space="0" w:color="auto"/>
            </w:tcBorders>
            <w:shd w:val="clear" w:color="auto" w:fill="FFCC99"/>
            <w:hideMark/>
          </w:tcPr>
          <w:p w14:paraId="40F6058A"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Arial" w:hAnsi="Arial" w:cs="Arial"/>
                <w:b/>
                <w:bCs/>
                <w:color w:val="000066"/>
                <w:sz w:val="20"/>
                <w:szCs w:val="20"/>
                <w:lang w:eastAsia="en-US"/>
              </w:rPr>
              <w:t>3</w:t>
            </w:r>
          </w:p>
        </w:tc>
        <w:tc>
          <w:tcPr>
            <w:tcW w:w="2000" w:type="pct"/>
            <w:tcBorders>
              <w:top w:val="outset" w:sz="6" w:space="0" w:color="auto"/>
              <w:left w:val="outset" w:sz="6" w:space="0" w:color="auto"/>
              <w:bottom w:val="outset" w:sz="6" w:space="0" w:color="auto"/>
              <w:right w:val="outset" w:sz="6" w:space="0" w:color="auto"/>
            </w:tcBorders>
            <w:shd w:val="clear" w:color="auto" w:fill="FFCC99"/>
            <w:hideMark/>
          </w:tcPr>
          <w:p w14:paraId="393F50BB"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Broad service </w:t>
            </w:r>
            <w:r w:rsidRPr="00A11C7B">
              <w:rPr>
                <w:rFonts w:ascii="Trebuchet MS" w:eastAsia="Times New Roman" w:hAnsi="Trebuchet MS" w:cs="Times New Roman"/>
                <w:b/>
                <w:bCs/>
                <w:color w:val="000066"/>
                <w:sz w:val="20"/>
                <w:szCs w:val="20"/>
                <w:lang w:eastAsia="en-US"/>
              </w:rPr>
              <w:t>objectives</w:t>
            </w:r>
            <w:r w:rsidRPr="00A11C7B">
              <w:rPr>
                <w:rFonts w:ascii="Trebuchet MS" w:eastAsia="Times New Roman" w:hAnsi="Trebuchet MS" w:cs="Times New Roman"/>
                <w:color w:val="000066"/>
                <w:sz w:val="20"/>
                <w:szCs w:val="20"/>
                <w:lang w:eastAsia="en-US"/>
              </w:rPr>
              <w:t> which explain the areas in which the organisation will be dealing</w:t>
            </w:r>
          </w:p>
        </w:tc>
        <w:tc>
          <w:tcPr>
            <w:tcW w:w="2700" w:type="pct"/>
            <w:tcBorders>
              <w:top w:val="outset" w:sz="6" w:space="0" w:color="auto"/>
              <w:left w:val="outset" w:sz="6" w:space="0" w:color="auto"/>
              <w:bottom w:val="outset" w:sz="6" w:space="0" w:color="auto"/>
              <w:right w:val="outset" w:sz="6" w:space="0" w:color="auto"/>
            </w:tcBorders>
            <w:shd w:val="clear" w:color="auto" w:fill="FFCC99"/>
            <w:hideMark/>
          </w:tcPr>
          <w:p w14:paraId="4D08E85B"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Trebuchet MS" w:hAnsi="Trebuchet MS" w:cs="Times New Roman"/>
                <w:color w:val="000066"/>
                <w:sz w:val="20"/>
                <w:szCs w:val="20"/>
                <w:lang w:eastAsia="en-US"/>
              </w:rPr>
              <w:t>This policy aims to improve the quality of services provided XYZ Assoc. Inc.:</w:t>
            </w:r>
          </w:p>
          <w:p w14:paraId="69C6BD67" w14:textId="77777777" w:rsidR="00A11C7B" w:rsidRPr="00A11C7B" w:rsidRDefault="00A11C7B" w:rsidP="00A11C7B">
            <w:pPr>
              <w:numPr>
                <w:ilvl w:val="0"/>
                <w:numId w:val="29"/>
              </w:numPr>
              <w:spacing w:before="100" w:beforeAutospacing="1" w:after="100" w:afterAutospacing="1" w:line="400" w:lineRule="atLeast"/>
              <w:rPr>
                <w:rFonts w:ascii="Trebuchet MS" w:eastAsia="Times New Roman" w:hAnsi="Trebuchet MS" w:cs="Arial"/>
                <w:color w:val="000066"/>
                <w:sz w:val="20"/>
                <w:szCs w:val="20"/>
                <w:lang w:eastAsia="en-US"/>
              </w:rPr>
            </w:pPr>
            <w:r w:rsidRPr="00A11C7B">
              <w:rPr>
                <w:rFonts w:ascii="Trebuchet MS" w:eastAsia="Times New Roman" w:hAnsi="Trebuchet MS" w:cs="Arial"/>
                <w:color w:val="000066"/>
                <w:sz w:val="20"/>
                <w:szCs w:val="20"/>
                <w:lang w:eastAsia="en-US"/>
              </w:rPr>
              <w:t>The organisation and management of programs and services</w:t>
            </w:r>
          </w:p>
          <w:p w14:paraId="085D0A2A" w14:textId="77777777" w:rsidR="00A11C7B" w:rsidRPr="00A11C7B" w:rsidRDefault="00A11C7B" w:rsidP="00A11C7B">
            <w:pPr>
              <w:numPr>
                <w:ilvl w:val="0"/>
                <w:numId w:val="29"/>
              </w:numPr>
              <w:spacing w:before="100" w:beforeAutospacing="1" w:after="100" w:afterAutospacing="1" w:line="400" w:lineRule="atLeast"/>
              <w:rPr>
                <w:rFonts w:ascii="Trebuchet MS" w:eastAsia="Times New Roman" w:hAnsi="Trebuchet MS" w:cs="Arial"/>
                <w:color w:val="000066"/>
                <w:sz w:val="20"/>
                <w:szCs w:val="20"/>
                <w:lang w:eastAsia="en-US"/>
              </w:rPr>
            </w:pPr>
            <w:r w:rsidRPr="00A11C7B">
              <w:rPr>
                <w:rFonts w:ascii="Trebuchet MS" w:eastAsia="Times New Roman" w:hAnsi="Trebuchet MS" w:cs="Arial"/>
                <w:color w:val="000066"/>
                <w:sz w:val="20"/>
                <w:szCs w:val="20"/>
                <w:lang w:eastAsia="en-US"/>
              </w:rPr>
              <w:t>The management of association resources</w:t>
            </w:r>
          </w:p>
          <w:p w14:paraId="745B9664"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Trebuchet MS" w:hAnsi="Trebuchet MS" w:cs="Times New Roman"/>
                <w:color w:val="000066"/>
                <w:sz w:val="20"/>
                <w:szCs w:val="20"/>
                <w:lang w:eastAsia="en-US"/>
              </w:rPr>
              <w:t> </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990000"/>
              <w:tblCellMar>
                <w:top w:w="15" w:type="dxa"/>
                <w:left w:w="15" w:type="dxa"/>
                <w:bottom w:w="15" w:type="dxa"/>
                <w:right w:w="15" w:type="dxa"/>
              </w:tblCellMar>
              <w:tblLook w:val="04A0" w:firstRow="1" w:lastRow="0" w:firstColumn="1" w:lastColumn="0" w:noHBand="0" w:noVBand="1"/>
            </w:tblPr>
            <w:tblGrid>
              <w:gridCol w:w="4525"/>
            </w:tblGrid>
            <w:tr w:rsidR="00A11C7B" w:rsidRPr="00A11C7B" w14:paraId="7DBF7791" w14:textId="77777777">
              <w:trP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990000"/>
                  <w:vAlign w:val="center"/>
                  <w:hideMark/>
                </w:tcPr>
                <w:p w14:paraId="78A56FD0"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Arial" w:eastAsia="Times New Roman" w:hAnsi="Arial" w:cs="Arial"/>
                      <w:b/>
                      <w:bCs/>
                      <w:color w:val="FFFFFF"/>
                      <w:sz w:val="20"/>
                      <w:szCs w:val="20"/>
                      <w:lang w:eastAsia="en-US"/>
                    </w:rPr>
                    <w:t>These hypothetical examples are for illustration. There is no substitute for research and consultation in the development of effective policies.</w:t>
                  </w:r>
                </w:p>
              </w:tc>
            </w:tr>
          </w:tbl>
          <w:p w14:paraId="355B035E"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p>
        </w:tc>
      </w:tr>
      <w:tr w:rsidR="00A11C7B" w:rsidRPr="00A11C7B" w14:paraId="1FF96B93" w14:textId="77777777" w:rsidTr="00A11C7B">
        <w:trPr>
          <w:tblCellSpacing w:w="0" w:type="dxa"/>
        </w:trPr>
        <w:tc>
          <w:tcPr>
            <w:tcW w:w="300" w:type="pct"/>
            <w:tcBorders>
              <w:top w:val="outset" w:sz="6" w:space="0" w:color="auto"/>
              <w:left w:val="outset" w:sz="6" w:space="0" w:color="auto"/>
              <w:bottom w:val="outset" w:sz="6" w:space="0" w:color="auto"/>
              <w:right w:val="outset" w:sz="6" w:space="0" w:color="auto"/>
            </w:tcBorders>
            <w:shd w:val="clear" w:color="auto" w:fill="FFCC99"/>
            <w:hideMark/>
          </w:tcPr>
          <w:p w14:paraId="432B0BB9"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Arial" w:hAnsi="Arial" w:cs="Arial"/>
                <w:b/>
                <w:bCs/>
                <w:color w:val="000066"/>
                <w:sz w:val="20"/>
                <w:szCs w:val="20"/>
                <w:lang w:eastAsia="en-US"/>
              </w:rPr>
              <w:lastRenderedPageBreak/>
              <w:t>4</w:t>
            </w:r>
          </w:p>
        </w:tc>
        <w:tc>
          <w:tcPr>
            <w:tcW w:w="2000" w:type="pct"/>
            <w:tcBorders>
              <w:top w:val="outset" w:sz="6" w:space="0" w:color="auto"/>
              <w:left w:val="outset" w:sz="6" w:space="0" w:color="auto"/>
              <w:bottom w:val="outset" w:sz="6" w:space="0" w:color="auto"/>
              <w:right w:val="outset" w:sz="6" w:space="0" w:color="auto"/>
            </w:tcBorders>
            <w:shd w:val="clear" w:color="auto" w:fill="FFCC99"/>
            <w:hideMark/>
          </w:tcPr>
          <w:p w14:paraId="656D9F88"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Arial" w:eastAsia="Times New Roman" w:hAnsi="Arial" w:cs="Arial"/>
                <w:b/>
                <w:bCs/>
                <w:color w:val="000066"/>
                <w:sz w:val="20"/>
                <w:szCs w:val="20"/>
                <w:highlight w:val="green"/>
                <w:lang w:eastAsia="en-US"/>
              </w:rPr>
              <w:t>Strategies</w:t>
            </w:r>
            <w:r w:rsidRPr="00DA56B2">
              <w:rPr>
                <w:rFonts w:ascii="Trebuchet MS" w:eastAsia="Times New Roman" w:hAnsi="Trebuchet MS" w:cs="Times New Roman"/>
                <w:color w:val="000066"/>
                <w:sz w:val="20"/>
                <w:szCs w:val="20"/>
                <w:highlight w:val="green"/>
                <w:lang w:eastAsia="en-US"/>
              </w:rPr>
              <w:t> </w:t>
            </w:r>
            <w:r w:rsidRPr="00A11C7B">
              <w:rPr>
                <w:rFonts w:ascii="Trebuchet MS" w:eastAsia="Times New Roman" w:hAnsi="Trebuchet MS" w:cs="Times New Roman"/>
                <w:color w:val="000066"/>
                <w:sz w:val="20"/>
                <w:szCs w:val="20"/>
                <w:highlight w:val="green"/>
                <w:lang w:eastAsia="en-US"/>
              </w:rPr>
              <w:t>to achieve each objective</w:t>
            </w:r>
          </w:p>
        </w:tc>
        <w:tc>
          <w:tcPr>
            <w:tcW w:w="2700" w:type="pct"/>
            <w:tcBorders>
              <w:top w:val="outset" w:sz="6" w:space="0" w:color="auto"/>
              <w:left w:val="outset" w:sz="6" w:space="0" w:color="auto"/>
              <w:bottom w:val="outset" w:sz="6" w:space="0" w:color="auto"/>
              <w:right w:val="outset" w:sz="6" w:space="0" w:color="auto"/>
            </w:tcBorders>
            <w:shd w:val="clear" w:color="auto" w:fill="FFCC99"/>
            <w:hideMark/>
          </w:tcPr>
          <w:p w14:paraId="398E10C1"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Trebuchet MS" w:hAnsi="Trebuchet MS" w:cs="Times New Roman"/>
                <w:color w:val="000066"/>
                <w:sz w:val="20"/>
                <w:szCs w:val="20"/>
                <w:lang w:eastAsia="en-US"/>
              </w:rPr>
              <w:t>Strategies to improve the quality of services in program and event management include:</w:t>
            </w:r>
          </w:p>
          <w:p w14:paraId="1A25889E" w14:textId="77777777" w:rsidR="00A11C7B" w:rsidRPr="00A11C7B" w:rsidRDefault="00A11C7B" w:rsidP="00A11C7B">
            <w:pPr>
              <w:numPr>
                <w:ilvl w:val="0"/>
                <w:numId w:val="30"/>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Arial" w:eastAsia="Times New Roman" w:hAnsi="Arial" w:cs="Arial"/>
                <w:color w:val="000066"/>
                <w:sz w:val="20"/>
                <w:szCs w:val="20"/>
                <w:lang w:eastAsia="en-US"/>
              </w:rPr>
              <w:t>Pr</w:t>
            </w:r>
            <w:r w:rsidRPr="00A11C7B">
              <w:rPr>
                <w:rFonts w:ascii="Trebuchet MS" w:eastAsia="Times New Roman" w:hAnsi="Trebuchet MS" w:cs="Times New Roman"/>
                <w:color w:val="000066"/>
                <w:sz w:val="20"/>
                <w:szCs w:val="20"/>
                <w:lang w:eastAsia="en-US"/>
              </w:rPr>
              <w:t>ovision of training for event officials</w:t>
            </w:r>
          </w:p>
          <w:p w14:paraId="2CF6DA55" w14:textId="77777777" w:rsidR="00A11C7B" w:rsidRPr="00A11C7B" w:rsidRDefault="00A11C7B" w:rsidP="00A11C7B">
            <w:pPr>
              <w:numPr>
                <w:ilvl w:val="0"/>
                <w:numId w:val="30"/>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Implementing a participant survey</w:t>
            </w:r>
          </w:p>
          <w:p w14:paraId="1522CCEB" w14:textId="77777777" w:rsidR="00A11C7B" w:rsidRPr="00A11C7B" w:rsidRDefault="00A11C7B" w:rsidP="00A11C7B">
            <w:pPr>
              <w:numPr>
                <w:ilvl w:val="0"/>
                <w:numId w:val="30"/>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Fostering a culture of continuous improvement</w:t>
            </w:r>
          </w:p>
          <w:p w14:paraId="731C0545"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Trebuchet MS" w:hAnsi="Trebuchet MS" w:cs="Times New Roman"/>
                <w:color w:val="000066"/>
                <w:sz w:val="20"/>
                <w:szCs w:val="20"/>
                <w:lang w:eastAsia="en-US"/>
              </w:rPr>
              <w:t>Strategies to improve the quality of services through the better management of resources through:</w:t>
            </w:r>
          </w:p>
          <w:p w14:paraId="15032739" w14:textId="77777777" w:rsidR="00A11C7B" w:rsidRPr="00A11C7B" w:rsidRDefault="00A11C7B" w:rsidP="00A11C7B">
            <w:pPr>
              <w:numPr>
                <w:ilvl w:val="0"/>
                <w:numId w:val="31"/>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Implementation of best practice consultation and planning processes</w:t>
            </w:r>
          </w:p>
          <w:p w14:paraId="350472A0" w14:textId="77777777" w:rsidR="00A11C7B" w:rsidRPr="00A11C7B" w:rsidRDefault="00A11C7B" w:rsidP="00A11C7B">
            <w:pPr>
              <w:numPr>
                <w:ilvl w:val="0"/>
                <w:numId w:val="31"/>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Professional development opportunities for the human resources of the organisation</w:t>
            </w:r>
          </w:p>
          <w:p w14:paraId="06AE3174" w14:textId="77777777" w:rsidR="00A11C7B" w:rsidRPr="00A11C7B" w:rsidRDefault="00A11C7B" w:rsidP="00A11C7B">
            <w:pPr>
              <w:numPr>
                <w:ilvl w:val="0"/>
                <w:numId w:val="31"/>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Instituting a risk management program</w:t>
            </w:r>
          </w:p>
          <w:p w14:paraId="63ABF3FF" w14:textId="77777777" w:rsidR="00A11C7B" w:rsidRPr="00A11C7B" w:rsidRDefault="00A11C7B" w:rsidP="00A11C7B">
            <w:pPr>
              <w:numPr>
                <w:ilvl w:val="0"/>
                <w:numId w:val="31"/>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The maintenance of records and databases to assist in the management process.</w:t>
            </w:r>
          </w:p>
          <w:p w14:paraId="56BC7B11"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Trebuchet MS" w:hAnsi="Trebuchet MS" w:cs="Times New Roman"/>
                <w:color w:val="000066"/>
                <w:sz w:val="20"/>
                <w:szCs w:val="20"/>
                <w:lang w:eastAsia="en-US"/>
              </w:rPr>
              <w:t> </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990000"/>
              <w:tblCellMar>
                <w:top w:w="15" w:type="dxa"/>
                <w:left w:w="15" w:type="dxa"/>
                <w:bottom w:w="15" w:type="dxa"/>
                <w:right w:w="15" w:type="dxa"/>
              </w:tblCellMar>
              <w:tblLook w:val="04A0" w:firstRow="1" w:lastRow="0" w:firstColumn="1" w:lastColumn="0" w:noHBand="0" w:noVBand="1"/>
            </w:tblPr>
            <w:tblGrid>
              <w:gridCol w:w="4525"/>
            </w:tblGrid>
            <w:tr w:rsidR="00A11C7B" w:rsidRPr="00A11C7B" w14:paraId="3EF6C7BA" w14:textId="77777777">
              <w:trP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990000"/>
                  <w:vAlign w:val="center"/>
                  <w:hideMark/>
                </w:tcPr>
                <w:p w14:paraId="17CA1791"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Arial" w:eastAsia="Times New Roman" w:hAnsi="Arial" w:cs="Arial"/>
                      <w:b/>
                      <w:bCs/>
                      <w:color w:val="FFFFFF"/>
                      <w:sz w:val="20"/>
                      <w:szCs w:val="20"/>
                      <w:lang w:eastAsia="en-US"/>
                    </w:rPr>
                    <w:t>These hypothetical examples are for illustration. There is no substitute for research and consultation in the development of effective policies.</w:t>
                  </w:r>
                </w:p>
              </w:tc>
            </w:tr>
          </w:tbl>
          <w:p w14:paraId="1C59114D"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p>
        </w:tc>
      </w:tr>
      <w:tr w:rsidR="00A11C7B" w:rsidRPr="00A11C7B" w14:paraId="16D5B2D2" w14:textId="77777777" w:rsidTr="00A11C7B">
        <w:trPr>
          <w:tblCellSpacing w:w="0" w:type="dxa"/>
        </w:trPr>
        <w:tc>
          <w:tcPr>
            <w:tcW w:w="300" w:type="pct"/>
            <w:tcBorders>
              <w:top w:val="outset" w:sz="6" w:space="0" w:color="auto"/>
              <w:left w:val="outset" w:sz="6" w:space="0" w:color="auto"/>
              <w:bottom w:val="outset" w:sz="6" w:space="0" w:color="auto"/>
              <w:right w:val="outset" w:sz="6" w:space="0" w:color="auto"/>
            </w:tcBorders>
            <w:shd w:val="clear" w:color="auto" w:fill="FFCC99"/>
            <w:hideMark/>
          </w:tcPr>
          <w:p w14:paraId="3EA0AD82"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Arial" w:hAnsi="Arial" w:cs="Arial"/>
                <w:b/>
                <w:bCs/>
                <w:color w:val="000066"/>
                <w:sz w:val="20"/>
                <w:szCs w:val="20"/>
                <w:lang w:eastAsia="en-US"/>
              </w:rPr>
              <w:t>5</w:t>
            </w:r>
          </w:p>
        </w:tc>
        <w:tc>
          <w:tcPr>
            <w:tcW w:w="2000" w:type="pct"/>
            <w:tcBorders>
              <w:top w:val="outset" w:sz="6" w:space="0" w:color="auto"/>
              <w:left w:val="outset" w:sz="6" w:space="0" w:color="auto"/>
              <w:bottom w:val="outset" w:sz="6" w:space="0" w:color="auto"/>
              <w:right w:val="outset" w:sz="6" w:space="0" w:color="auto"/>
            </w:tcBorders>
            <w:shd w:val="clear" w:color="auto" w:fill="FFCC99"/>
            <w:hideMark/>
          </w:tcPr>
          <w:p w14:paraId="352D3C87"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Specific </w:t>
            </w:r>
            <w:r w:rsidRPr="00A11C7B">
              <w:rPr>
                <w:rFonts w:ascii="Trebuchet MS" w:eastAsia="Times New Roman" w:hAnsi="Trebuchet MS" w:cs="Times New Roman"/>
                <w:b/>
                <w:bCs/>
                <w:color w:val="000066"/>
                <w:sz w:val="20"/>
                <w:szCs w:val="20"/>
                <w:lang w:eastAsia="en-US"/>
              </w:rPr>
              <w:t>actions</w:t>
            </w:r>
            <w:r w:rsidRPr="00A11C7B">
              <w:rPr>
                <w:rFonts w:ascii="Trebuchet MS" w:eastAsia="Times New Roman" w:hAnsi="Trebuchet MS" w:cs="Times New Roman"/>
                <w:color w:val="000066"/>
                <w:sz w:val="20"/>
                <w:szCs w:val="20"/>
                <w:lang w:eastAsia="en-US"/>
              </w:rPr>
              <w:t> to be taken</w:t>
            </w:r>
          </w:p>
        </w:tc>
        <w:tc>
          <w:tcPr>
            <w:tcW w:w="2700" w:type="pct"/>
            <w:tcBorders>
              <w:top w:val="outset" w:sz="6" w:space="0" w:color="auto"/>
              <w:left w:val="outset" w:sz="6" w:space="0" w:color="auto"/>
              <w:bottom w:val="outset" w:sz="6" w:space="0" w:color="auto"/>
              <w:right w:val="outset" w:sz="6" w:space="0" w:color="auto"/>
            </w:tcBorders>
            <w:shd w:val="clear" w:color="auto" w:fill="FFCC99"/>
            <w:hideMark/>
          </w:tcPr>
          <w:p w14:paraId="2377DAE4"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Trebuchet MS" w:hAnsi="Trebuchet MS" w:cs="Times New Roman"/>
                <w:color w:val="000066"/>
                <w:sz w:val="20"/>
                <w:szCs w:val="20"/>
                <w:lang w:eastAsia="en-US"/>
              </w:rPr>
              <w:t>This policy recommends the following actions:</w:t>
            </w:r>
          </w:p>
          <w:p w14:paraId="48151A1F" w14:textId="77777777" w:rsidR="00A11C7B" w:rsidRPr="00A11C7B" w:rsidRDefault="00A11C7B" w:rsidP="00A11C7B">
            <w:pPr>
              <w:numPr>
                <w:ilvl w:val="0"/>
                <w:numId w:val="32"/>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Participants are surveyed on a once-year basis for satisfaction with programs and services</w:t>
            </w:r>
          </w:p>
          <w:p w14:paraId="6C97E110" w14:textId="77777777" w:rsidR="00A11C7B" w:rsidRPr="00A11C7B" w:rsidRDefault="00A11C7B" w:rsidP="00A11C7B">
            <w:pPr>
              <w:numPr>
                <w:ilvl w:val="0"/>
                <w:numId w:val="32"/>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The quality of services to participants is reviewed annually as part of the strategic planning process</w:t>
            </w:r>
          </w:p>
          <w:p w14:paraId="19A21FCC" w14:textId="77777777" w:rsidR="00A11C7B" w:rsidRPr="00A11C7B" w:rsidRDefault="00A11C7B" w:rsidP="00A11C7B">
            <w:pPr>
              <w:numPr>
                <w:ilvl w:val="0"/>
                <w:numId w:val="32"/>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The operational planning process include scheduling events for the professional development of staff</w:t>
            </w:r>
          </w:p>
          <w:p w14:paraId="002D921D" w14:textId="549B21C6" w:rsidR="00A11C7B" w:rsidRPr="00A11C7B" w:rsidRDefault="00A11C7B" w:rsidP="007A142F">
            <w:pPr>
              <w:numPr>
                <w:ilvl w:val="0"/>
                <w:numId w:val="32"/>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The risk management program should be reviewed on a yearly basis, and that this review should invol</w:t>
            </w:r>
            <w:r w:rsidR="007A142F">
              <w:rPr>
                <w:rFonts w:ascii="Trebuchet MS" w:eastAsia="Times New Roman" w:hAnsi="Trebuchet MS" w:cs="Times New Roman"/>
                <w:color w:val="000066"/>
                <w:sz w:val="20"/>
                <w:szCs w:val="20"/>
                <w:lang w:eastAsia="en-US"/>
              </w:rPr>
              <w:t xml:space="preserve">ve risk management </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990000"/>
              <w:tblCellMar>
                <w:top w:w="15" w:type="dxa"/>
                <w:left w:w="15" w:type="dxa"/>
                <w:bottom w:w="15" w:type="dxa"/>
                <w:right w:w="15" w:type="dxa"/>
              </w:tblCellMar>
              <w:tblLook w:val="04A0" w:firstRow="1" w:lastRow="0" w:firstColumn="1" w:lastColumn="0" w:noHBand="0" w:noVBand="1"/>
            </w:tblPr>
            <w:tblGrid>
              <w:gridCol w:w="4525"/>
            </w:tblGrid>
            <w:tr w:rsidR="00A11C7B" w:rsidRPr="00A11C7B" w14:paraId="2E44E684" w14:textId="77777777">
              <w:trP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990000"/>
                  <w:vAlign w:val="center"/>
                  <w:hideMark/>
                </w:tcPr>
                <w:p w14:paraId="6F4B13D6"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Arial" w:eastAsia="Times New Roman" w:hAnsi="Arial" w:cs="Arial"/>
                      <w:b/>
                      <w:bCs/>
                      <w:color w:val="FFFFFF"/>
                      <w:sz w:val="20"/>
                      <w:szCs w:val="20"/>
                      <w:lang w:eastAsia="en-US"/>
                    </w:rPr>
                    <w:t>These hypothetical examples are for illustration. There is no substitute for research and consultation in the development of effective policies.</w:t>
                  </w:r>
                </w:p>
              </w:tc>
            </w:tr>
          </w:tbl>
          <w:p w14:paraId="244C1BDD"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p>
        </w:tc>
      </w:tr>
      <w:tr w:rsidR="00A11C7B" w:rsidRPr="00A11C7B" w14:paraId="6C5454DE" w14:textId="77777777" w:rsidTr="00A11C7B">
        <w:trPr>
          <w:tblCellSpacing w:w="0" w:type="dxa"/>
        </w:trPr>
        <w:tc>
          <w:tcPr>
            <w:tcW w:w="300" w:type="pct"/>
            <w:tcBorders>
              <w:top w:val="outset" w:sz="6" w:space="0" w:color="auto"/>
              <w:left w:val="outset" w:sz="6" w:space="0" w:color="auto"/>
              <w:bottom w:val="outset" w:sz="6" w:space="0" w:color="auto"/>
              <w:right w:val="outset" w:sz="6" w:space="0" w:color="auto"/>
            </w:tcBorders>
            <w:shd w:val="clear" w:color="auto" w:fill="FFCC99"/>
            <w:hideMark/>
          </w:tcPr>
          <w:p w14:paraId="1F39EB59"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Arial" w:hAnsi="Arial" w:cs="Arial"/>
                <w:b/>
                <w:bCs/>
                <w:color w:val="000066"/>
                <w:sz w:val="20"/>
                <w:szCs w:val="20"/>
                <w:lang w:eastAsia="en-US"/>
              </w:rPr>
              <w:t>6</w:t>
            </w:r>
          </w:p>
        </w:tc>
        <w:tc>
          <w:tcPr>
            <w:tcW w:w="2000" w:type="pct"/>
            <w:tcBorders>
              <w:top w:val="outset" w:sz="6" w:space="0" w:color="auto"/>
              <w:left w:val="outset" w:sz="6" w:space="0" w:color="auto"/>
              <w:bottom w:val="outset" w:sz="6" w:space="0" w:color="auto"/>
              <w:right w:val="outset" w:sz="6" w:space="0" w:color="auto"/>
            </w:tcBorders>
            <w:shd w:val="clear" w:color="auto" w:fill="FFCC99"/>
            <w:hideMark/>
          </w:tcPr>
          <w:p w14:paraId="0C066CA2"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Desired </w:t>
            </w:r>
            <w:r w:rsidRPr="00A11C7B">
              <w:rPr>
                <w:rFonts w:ascii="Trebuchet MS" w:eastAsia="Times New Roman" w:hAnsi="Trebuchet MS" w:cs="Times New Roman"/>
                <w:b/>
                <w:bCs/>
                <w:color w:val="000066"/>
                <w:sz w:val="20"/>
                <w:szCs w:val="20"/>
                <w:lang w:eastAsia="en-US"/>
              </w:rPr>
              <w:t>outcomes</w:t>
            </w:r>
            <w:r w:rsidRPr="00A11C7B">
              <w:rPr>
                <w:rFonts w:ascii="Trebuchet MS" w:eastAsia="Times New Roman" w:hAnsi="Trebuchet MS" w:cs="Times New Roman"/>
                <w:color w:val="000066"/>
                <w:sz w:val="20"/>
                <w:szCs w:val="20"/>
                <w:lang w:eastAsia="en-US"/>
              </w:rPr>
              <w:t> of specific actions</w:t>
            </w:r>
          </w:p>
        </w:tc>
        <w:tc>
          <w:tcPr>
            <w:tcW w:w="2700" w:type="pct"/>
            <w:tcBorders>
              <w:top w:val="outset" w:sz="6" w:space="0" w:color="auto"/>
              <w:left w:val="outset" w:sz="6" w:space="0" w:color="auto"/>
              <w:bottom w:val="outset" w:sz="6" w:space="0" w:color="auto"/>
              <w:right w:val="outset" w:sz="6" w:space="0" w:color="auto"/>
            </w:tcBorders>
            <w:shd w:val="clear" w:color="auto" w:fill="FFCC99"/>
            <w:hideMark/>
          </w:tcPr>
          <w:p w14:paraId="6D823846"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Trebuchet MS" w:hAnsi="Trebuchet MS" w:cs="Times New Roman"/>
                <w:color w:val="000066"/>
                <w:sz w:val="20"/>
                <w:szCs w:val="20"/>
                <w:lang w:eastAsia="en-US"/>
              </w:rPr>
              <w:t>The desired outcomes of this policy are as follows:</w:t>
            </w:r>
          </w:p>
          <w:p w14:paraId="37B5C2D3" w14:textId="77777777" w:rsidR="00A11C7B" w:rsidRPr="00A11C7B" w:rsidRDefault="00A11C7B" w:rsidP="00A11C7B">
            <w:pPr>
              <w:numPr>
                <w:ilvl w:val="0"/>
                <w:numId w:val="33"/>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Increased satisfaction of participants with the association's events and programs</w:t>
            </w:r>
          </w:p>
          <w:p w14:paraId="52FFF9FC" w14:textId="77777777" w:rsidR="00A11C7B" w:rsidRPr="00A11C7B" w:rsidRDefault="00A11C7B" w:rsidP="00A11C7B">
            <w:pPr>
              <w:numPr>
                <w:ilvl w:val="0"/>
                <w:numId w:val="33"/>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The best utilisation of then association's resources in line with the expectations of members</w:t>
            </w:r>
          </w:p>
          <w:p w14:paraId="41261083" w14:textId="77777777" w:rsidR="00A11C7B" w:rsidRPr="00A11C7B" w:rsidRDefault="00A11C7B" w:rsidP="00A11C7B">
            <w:pPr>
              <w:numPr>
                <w:ilvl w:val="0"/>
                <w:numId w:val="33"/>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The better management of risks associated with services delivery</w:t>
            </w:r>
          </w:p>
        </w:tc>
      </w:tr>
      <w:tr w:rsidR="00A11C7B" w:rsidRPr="00A11C7B" w14:paraId="0D79431D" w14:textId="77777777" w:rsidTr="00A11C7B">
        <w:trPr>
          <w:tblCellSpacing w:w="0" w:type="dxa"/>
        </w:trPr>
        <w:tc>
          <w:tcPr>
            <w:tcW w:w="300" w:type="pct"/>
            <w:tcBorders>
              <w:top w:val="outset" w:sz="6" w:space="0" w:color="auto"/>
              <w:left w:val="outset" w:sz="6" w:space="0" w:color="auto"/>
              <w:bottom w:val="outset" w:sz="6" w:space="0" w:color="auto"/>
              <w:right w:val="outset" w:sz="6" w:space="0" w:color="auto"/>
            </w:tcBorders>
            <w:shd w:val="clear" w:color="auto" w:fill="FFCC99"/>
            <w:hideMark/>
          </w:tcPr>
          <w:p w14:paraId="7A48BC56"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Arial" w:hAnsi="Arial" w:cs="Arial"/>
                <w:b/>
                <w:bCs/>
                <w:color w:val="000066"/>
                <w:sz w:val="20"/>
                <w:szCs w:val="20"/>
                <w:lang w:eastAsia="en-US"/>
              </w:rPr>
              <w:t>7</w:t>
            </w:r>
          </w:p>
        </w:tc>
        <w:tc>
          <w:tcPr>
            <w:tcW w:w="2000" w:type="pct"/>
            <w:tcBorders>
              <w:top w:val="outset" w:sz="6" w:space="0" w:color="auto"/>
              <w:left w:val="outset" w:sz="6" w:space="0" w:color="auto"/>
              <w:bottom w:val="outset" w:sz="6" w:space="0" w:color="auto"/>
              <w:right w:val="outset" w:sz="6" w:space="0" w:color="auto"/>
            </w:tcBorders>
            <w:shd w:val="clear" w:color="auto" w:fill="FFCC99"/>
            <w:hideMark/>
          </w:tcPr>
          <w:p w14:paraId="536E1A77"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b/>
                <w:bCs/>
                <w:color w:val="000066"/>
                <w:sz w:val="20"/>
                <w:szCs w:val="20"/>
                <w:lang w:eastAsia="en-US"/>
              </w:rPr>
              <w:t>Performance indicators</w:t>
            </w:r>
          </w:p>
        </w:tc>
        <w:tc>
          <w:tcPr>
            <w:tcW w:w="2700" w:type="pct"/>
            <w:tcBorders>
              <w:top w:val="outset" w:sz="6" w:space="0" w:color="auto"/>
              <w:left w:val="outset" w:sz="6" w:space="0" w:color="auto"/>
              <w:bottom w:val="outset" w:sz="6" w:space="0" w:color="auto"/>
              <w:right w:val="outset" w:sz="6" w:space="0" w:color="auto"/>
            </w:tcBorders>
            <w:shd w:val="clear" w:color="auto" w:fill="FFCC99"/>
            <w:hideMark/>
          </w:tcPr>
          <w:p w14:paraId="41FA1E5F"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Trebuchet MS" w:hAnsi="Trebuchet MS" w:cs="Times New Roman"/>
                <w:color w:val="000066"/>
                <w:sz w:val="20"/>
                <w:szCs w:val="20"/>
                <w:lang w:eastAsia="en-US"/>
              </w:rPr>
              <w:t>The success of this policy may be measured in terms of:</w:t>
            </w:r>
          </w:p>
          <w:p w14:paraId="336C05DE" w14:textId="77777777" w:rsidR="00A11C7B" w:rsidRPr="00A11C7B" w:rsidRDefault="00A11C7B" w:rsidP="00A11C7B">
            <w:pPr>
              <w:numPr>
                <w:ilvl w:val="0"/>
                <w:numId w:val="34"/>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An increase in the average membership duration An increase in the participation of association events</w:t>
            </w:r>
          </w:p>
          <w:p w14:paraId="5229E9F1" w14:textId="77777777" w:rsidR="00A11C7B" w:rsidRPr="00A11C7B" w:rsidRDefault="00A11C7B" w:rsidP="00A11C7B">
            <w:pPr>
              <w:numPr>
                <w:ilvl w:val="0"/>
                <w:numId w:val="34"/>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An increase in the number of volunteer officials</w:t>
            </w:r>
          </w:p>
          <w:p w14:paraId="2D00A9A7" w14:textId="77777777" w:rsidR="00A11C7B" w:rsidRPr="00A11C7B" w:rsidRDefault="00A11C7B" w:rsidP="00A11C7B">
            <w:pPr>
              <w:numPr>
                <w:ilvl w:val="0"/>
                <w:numId w:val="34"/>
              </w:numPr>
              <w:spacing w:before="100" w:beforeAutospacing="1" w:after="100" w:afterAutospacing="1" w:line="40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A reduction in injuries</w:t>
            </w:r>
          </w:p>
        </w:tc>
      </w:tr>
      <w:tr w:rsidR="00A11C7B" w:rsidRPr="00A11C7B" w14:paraId="38727DAE" w14:textId="77777777" w:rsidTr="00A11C7B">
        <w:trPr>
          <w:tblCellSpacing w:w="0" w:type="dxa"/>
        </w:trPr>
        <w:tc>
          <w:tcPr>
            <w:tcW w:w="300" w:type="pct"/>
            <w:tcBorders>
              <w:top w:val="outset" w:sz="6" w:space="0" w:color="auto"/>
              <w:left w:val="outset" w:sz="6" w:space="0" w:color="auto"/>
              <w:bottom w:val="outset" w:sz="6" w:space="0" w:color="auto"/>
              <w:right w:val="outset" w:sz="6" w:space="0" w:color="auto"/>
            </w:tcBorders>
            <w:shd w:val="clear" w:color="auto" w:fill="FFCC99"/>
            <w:hideMark/>
          </w:tcPr>
          <w:p w14:paraId="0010620B"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Arial" w:hAnsi="Arial" w:cs="Arial"/>
                <w:b/>
                <w:bCs/>
                <w:color w:val="000066"/>
                <w:sz w:val="20"/>
                <w:szCs w:val="20"/>
                <w:lang w:eastAsia="en-US"/>
              </w:rPr>
              <w:t>8</w:t>
            </w:r>
          </w:p>
        </w:tc>
        <w:tc>
          <w:tcPr>
            <w:tcW w:w="2000" w:type="pct"/>
            <w:tcBorders>
              <w:top w:val="outset" w:sz="6" w:space="0" w:color="auto"/>
              <w:left w:val="outset" w:sz="6" w:space="0" w:color="auto"/>
              <w:bottom w:val="outset" w:sz="6" w:space="0" w:color="auto"/>
              <w:right w:val="outset" w:sz="6" w:space="0" w:color="auto"/>
            </w:tcBorders>
            <w:shd w:val="clear" w:color="auto" w:fill="FFCC99"/>
            <w:hideMark/>
          </w:tcPr>
          <w:p w14:paraId="0F8DDD72"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b/>
                <w:bCs/>
                <w:color w:val="000066"/>
                <w:sz w:val="20"/>
                <w:szCs w:val="20"/>
                <w:lang w:eastAsia="en-US"/>
              </w:rPr>
              <w:t>Management plans</w:t>
            </w:r>
            <w:r w:rsidRPr="00A11C7B">
              <w:rPr>
                <w:rFonts w:ascii="Trebuchet MS" w:eastAsia="Times New Roman" w:hAnsi="Trebuchet MS" w:cs="Times New Roman"/>
                <w:color w:val="000066"/>
                <w:sz w:val="20"/>
                <w:szCs w:val="20"/>
                <w:lang w:eastAsia="en-US"/>
              </w:rPr>
              <w:t> and day to day operational rules covering all aspects of services delivery</w:t>
            </w:r>
          </w:p>
        </w:tc>
        <w:tc>
          <w:tcPr>
            <w:tcW w:w="2700" w:type="pct"/>
            <w:tcBorders>
              <w:top w:val="outset" w:sz="6" w:space="0" w:color="auto"/>
              <w:left w:val="outset" w:sz="6" w:space="0" w:color="auto"/>
              <w:bottom w:val="outset" w:sz="6" w:space="0" w:color="auto"/>
              <w:right w:val="outset" w:sz="6" w:space="0" w:color="auto"/>
            </w:tcBorders>
            <w:shd w:val="clear" w:color="auto" w:fill="FFCC99"/>
            <w:hideMark/>
          </w:tcPr>
          <w:p w14:paraId="507520A7"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This section of the policy provides further information and detail on how the policy is to be implemented and observed on a day-to-day basis.</w:t>
            </w:r>
          </w:p>
        </w:tc>
      </w:tr>
      <w:tr w:rsidR="00A11C7B" w:rsidRPr="00A11C7B" w14:paraId="6DB8B099" w14:textId="77777777" w:rsidTr="00A11C7B">
        <w:trPr>
          <w:tblCellSpacing w:w="0" w:type="dxa"/>
        </w:trPr>
        <w:tc>
          <w:tcPr>
            <w:tcW w:w="300" w:type="pct"/>
            <w:tcBorders>
              <w:top w:val="outset" w:sz="6" w:space="0" w:color="auto"/>
              <w:left w:val="outset" w:sz="6" w:space="0" w:color="auto"/>
              <w:bottom w:val="outset" w:sz="6" w:space="0" w:color="auto"/>
              <w:right w:val="outset" w:sz="6" w:space="0" w:color="auto"/>
            </w:tcBorders>
            <w:shd w:val="clear" w:color="auto" w:fill="FFCC99"/>
            <w:hideMark/>
          </w:tcPr>
          <w:p w14:paraId="1B4C49C4" w14:textId="77777777" w:rsidR="00A11C7B" w:rsidRPr="00A11C7B" w:rsidRDefault="00A11C7B" w:rsidP="00A11C7B">
            <w:pPr>
              <w:spacing w:before="100" w:beforeAutospacing="1" w:after="100" w:afterAutospacing="1" w:line="300" w:lineRule="atLeast"/>
              <w:jc w:val="both"/>
              <w:rPr>
                <w:rFonts w:ascii="Trebuchet MS" w:hAnsi="Trebuchet MS" w:cs="Times New Roman"/>
                <w:color w:val="000066"/>
                <w:sz w:val="20"/>
                <w:szCs w:val="20"/>
                <w:lang w:eastAsia="en-US"/>
              </w:rPr>
            </w:pPr>
            <w:r w:rsidRPr="00A11C7B">
              <w:rPr>
                <w:rFonts w:ascii="Arial" w:hAnsi="Arial" w:cs="Arial"/>
                <w:b/>
                <w:bCs/>
                <w:color w:val="000066"/>
                <w:sz w:val="20"/>
                <w:szCs w:val="20"/>
                <w:lang w:eastAsia="en-US"/>
              </w:rPr>
              <w:t>9</w:t>
            </w:r>
          </w:p>
        </w:tc>
        <w:tc>
          <w:tcPr>
            <w:tcW w:w="2000" w:type="pct"/>
            <w:tcBorders>
              <w:top w:val="outset" w:sz="6" w:space="0" w:color="auto"/>
              <w:left w:val="outset" w:sz="6" w:space="0" w:color="auto"/>
              <w:bottom w:val="outset" w:sz="6" w:space="0" w:color="auto"/>
              <w:right w:val="outset" w:sz="6" w:space="0" w:color="auto"/>
            </w:tcBorders>
            <w:shd w:val="clear" w:color="auto" w:fill="FFCC99"/>
            <w:hideMark/>
          </w:tcPr>
          <w:p w14:paraId="58B6979A" w14:textId="15E588F4"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A </w:t>
            </w:r>
            <w:r w:rsidRPr="00A11C7B">
              <w:rPr>
                <w:rFonts w:ascii="Trebuchet MS" w:eastAsia="Times New Roman" w:hAnsi="Trebuchet MS" w:cs="Times New Roman"/>
                <w:b/>
                <w:bCs/>
                <w:color w:val="000066"/>
                <w:sz w:val="20"/>
                <w:szCs w:val="20"/>
                <w:lang w:eastAsia="en-US"/>
              </w:rPr>
              <w:t xml:space="preserve">review </w:t>
            </w:r>
            <w:r w:rsidR="00AC0CEE">
              <w:rPr>
                <w:rFonts w:ascii="Trebuchet MS" w:eastAsia="Times New Roman" w:hAnsi="Trebuchet MS" w:cs="Times New Roman"/>
                <w:b/>
                <w:bCs/>
                <w:color w:val="000066"/>
                <w:sz w:val="20"/>
                <w:szCs w:val="20"/>
                <w:lang w:eastAsia="en-US"/>
              </w:rPr>
              <w:t xml:space="preserve">and evaluation </w:t>
            </w:r>
            <w:bookmarkStart w:id="0" w:name="_GoBack"/>
            <w:bookmarkEnd w:id="0"/>
            <w:r w:rsidRPr="00A11C7B">
              <w:rPr>
                <w:rFonts w:ascii="Trebuchet MS" w:eastAsia="Times New Roman" w:hAnsi="Trebuchet MS" w:cs="Times New Roman"/>
                <w:b/>
                <w:bCs/>
                <w:color w:val="000066"/>
                <w:sz w:val="20"/>
                <w:szCs w:val="20"/>
                <w:lang w:eastAsia="en-US"/>
              </w:rPr>
              <w:t>program</w:t>
            </w:r>
          </w:p>
        </w:tc>
        <w:tc>
          <w:tcPr>
            <w:tcW w:w="2700" w:type="pct"/>
            <w:tcBorders>
              <w:top w:val="outset" w:sz="6" w:space="0" w:color="auto"/>
              <w:left w:val="outset" w:sz="6" w:space="0" w:color="auto"/>
              <w:bottom w:val="outset" w:sz="6" w:space="0" w:color="auto"/>
              <w:right w:val="outset" w:sz="6" w:space="0" w:color="auto"/>
            </w:tcBorders>
            <w:shd w:val="clear" w:color="auto" w:fill="FFCC99"/>
            <w:hideMark/>
          </w:tcPr>
          <w:p w14:paraId="6FE2E002" w14:textId="77777777" w:rsidR="00A11C7B" w:rsidRPr="00A11C7B" w:rsidRDefault="00A11C7B" w:rsidP="00A11C7B">
            <w:pPr>
              <w:spacing w:line="360" w:lineRule="atLeast"/>
              <w:rPr>
                <w:rFonts w:ascii="Trebuchet MS" w:eastAsia="Times New Roman" w:hAnsi="Trebuchet MS" w:cs="Times New Roman"/>
                <w:color w:val="000066"/>
                <w:sz w:val="20"/>
                <w:szCs w:val="20"/>
                <w:lang w:eastAsia="en-US"/>
              </w:rPr>
            </w:pPr>
            <w:r w:rsidRPr="00A11C7B">
              <w:rPr>
                <w:rFonts w:ascii="Trebuchet MS" w:eastAsia="Times New Roman" w:hAnsi="Trebuchet MS" w:cs="Times New Roman"/>
                <w:color w:val="000066"/>
                <w:sz w:val="20"/>
                <w:szCs w:val="20"/>
                <w:lang w:eastAsia="en-US"/>
              </w:rPr>
              <w:t xml:space="preserve">This policy should be review annually. The review process should include an examination of the performance indicators, consultation with members of the association, and a </w:t>
            </w:r>
            <w:proofErr w:type="spellStart"/>
            <w:r w:rsidRPr="00A11C7B">
              <w:rPr>
                <w:rFonts w:ascii="Trebuchet MS" w:eastAsia="Times New Roman" w:hAnsi="Trebuchet MS" w:cs="Times New Roman"/>
                <w:color w:val="000066"/>
                <w:sz w:val="20"/>
                <w:szCs w:val="20"/>
                <w:lang w:eastAsia="en-US"/>
              </w:rPr>
              <w:t>discussion</w:t>
            </w:r>
            <w:hyperlink r:id="rId7" w:tooltip="Open Planning Forum" w:history="1">
              <w:r w:rsidRPr="00A11C7B">
                <w:rPr>
                  <w:rFonts w:ascii="Trebuchet MS" w:eastAsia="Times New Roman" w:hAnsi="Trebuchet MS" w:cs="Times New Roman"/>
                  <w:color w:val="0000FF"/>
                  <w:sz w:val="20"/>
                  <w:szCs w:val="20"/>
                  <w:u w:val="single"/>
                  <w:lang w:eastAsia="en-US"/>
                </w:rPr>
                <w:t>forum</w:t>
              </w:r>
              <w:proofErr w:type="spellEnd"/>
            </w:hyperlink>
            <w:r w:rsidRPr="00A11C7B">
              <w:rPr>
                <w:rFonts w:ascii="Trebuchet MS" w:eastAsia="Times New Roman" w:hAnsi="Trebuchet MS" w:cs="Times New Roman"/>
                <w:color w:val="000066"/>
                <w:sz w:val="20"/>
                <w:szCs w:val="20"/>
                <w:lang w:eastAsia="en-US"/>
              </w:rPr>
              <w:t> involving the management committee and risk management professionals.</w:t>
            </w:r>
          </w:p>
        </w:tc>
      </w:tr>
    </w:tbl>
    <w:p w14:paraId="615BD1CB" w14:textId="77777777" w:rsidR="00A00950" w:rsidRDefault="00A00950"/>
    <w:sectPr w:rsidR="00A00950" w:rsidSect="003E0A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B0EFF70"/>
    <w:lvl w:ilvl="0">
      <w:start w:val="1"/>
      <w:numFmt w:val="bullet"/>
      <w:pStyle w:val="ListBullet3"/>
      <w:lvlText w:val="-"/>
      <w:lvlJc w:val="left"/>
      <w:pPr>
        <w:ind w:left="926" w:hanging="360"/>
      </w:pPr>
      <w:rPr>
        <w:rFonts w:ascii="Times New Roman" w:eastAsia="Times New Roman" w:hAnsi="Times New Roman" w:cs="Times New Roman" w:hint="default"/>
      </w:rPr>
    </w:lvl>
  </w:abstractNum>
  <w:abstractNum w:abstractNumId="1">
    <w:nsid w:val="083A4D30"/>
    <w:multiLevelType w:val="multilevel"/>
    <w:tmpl w:val="9AE259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8721CFE"/>
    <w:multiLevelType w:val="multilevel"/>
    <w:tmpl w:val="67D6EF02"/>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3C5709"/>
    <w:multiLevelType w:val="multilevel"/>
    <w:tmpl w:val="04090025"/>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82A7EBD"/>
    <w:multiLevelType w:val="hybridMultilevel"/>
    <w:tmpl w:val="61D6C692"/>
    <w:lvl w:ilvl="0" w:tplc="4E1E51C6">
      <w:start w:val="1"/>
      <w:numFmt w:val="bullet"/>
      <w:pStyle w:val="Style5"/>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7D3C5A"/>
    <w:multiLevelType w:val="multilevel"/>
    <w:tmpl w:val="DE54D5A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7934DB"/>
    <w:multiLevelType w:val="multilevel"/>
    <w:tmpl w:val="4D529C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195A75"/>
    <w:multiLevelType w:val="multilevel"/>
    <w:tmpl w:val="1D7C634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nsid w:val="3D762099"/>
    <w:multiLevelType w:val="multilevel"/>
    <w:tmpl w:val="6E30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E05AA5"/>
    <w:multiLevelType w:val="multilevel"/>
    <w:tmpl w:val="7728D5A2"/>
    <w:lvl w:ilvl="0">
      <w:start w:val="1"/>
      <w:numFmt w:val="decimal"/>
      <w:pStyle w:val="Heading1"/>
      <w:lvlText w:val="%1."/>
      <w:lvlJc w:val="left"/>
      <w:pPr>
        <w:ind w:left="360" w:hanging="360"/>
      </w:pPr>
      <w:rPr>
        <w:rFonts w:asciiTheme="majorHAnsi" w:hAnsiTheme="majorHAnsi" w:hint="default"/>
        <w:b/>
        <w:bCs/>
        <w:i w:val="0"/>
        <w:iCs w:val="0"/>
        <w:caps w:val="0"/>
        <w:smallCaps w:val="0"/>
        <w:strike w:val="0"/>
        <w:dstrike w:val="0"/>
        <w:outline w:val="0"/>
        <w:shadow w:val="0"/>
        <w:emboss w:val="0"/>
        <w:imprint w:val="0"/>
        <w:noProof w:val="0"/>
        <w:snapToGrid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D1850DB"/>
    <w:multiLevelType w:val="hybridMultilevel"/>
    <w:tmpl w:val="782A78CA"/>
    <w:lvl w:ilvl="0" w:tplc="52EEDCA2">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C23345"/>
    <w:multiLevelType w:val="multilevel"/>
    <w:tmpl w:val="FF48F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A3F590A"/>
    <w:multiLevelType w:val="hybridMultilevel"/>
    <w:tmpl w:val="82FEF03A"/>
    <w:lvl w:ilvl="0" w:tplc="728E1FDC">
      <w:start w:val="1"/>
      <w:numFmt w:val="decimal"/>
      <w:pStyle w:val="Style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F76939"/>
    <w:multiLevelType w:val="multilevel"/>
    <w:tmpl w:val="01F0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1D0BE7"/>
    <w:multiLevelType w:val="multilevel"/>
    <w:tmpl w:val="2BB0808C"/>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nsid w:val="6A836F59"/>
    <w:multiLevelType w:val="multilevel"/>
    <w:tmpl w:val="D716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607EA8"/>
    <w:multiLevelType w:val="multilevel"/>
    <w:tmpl w:val="00E258A4"/>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nsid w:val="6D0358BE"/>
    <w:multiLevelType w:val="multilevel"/>
    <w:tmpl w:val="6FAA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57716E"/>
    <w:multiLevelType w:val="multilevel"/>
    <w:tmpl w:val="ADDE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B571BB"/>
    <w:multiLevelType w:val="multilevel"/>
    <w:tmpl w:val="15DC11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A06EAF"/>
    <w:multiLevelType w:val="hybridMultilevel"/>
    <w:tmpl w:val="9B6C034C"/>
    <w:lvl w:ilvl="0" w:tplc="DF741246">
      <w:start w:val="1"/>
      <w:numFmt w:val="decimal"/>
      <w:pStyle w:val="Style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823231"/>
    <w:multiLevelType w:val="multilevel"/>
    <w:tmpl w:val="9BC8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9"/>
  </w:num>
  <w:num w:numId="3">
    <w:abstractNumId w:val="14"/>
  </w:num>
  <w:num w:numId="4">
    <w:abstractNumId w:val="14"/>
  </w:num>
  <w:num w:numId="5">
    <w:abstractNumId w:val="14"/>
  </w:num>
  <w:num w:numId="6">
    <w:abstractNumId w:val="16"/>
  </w:num>
  <w:num w:numId="7">
    <w:abstractNumId w:val="7"/>
  </w:num>
  <w:num w:numId="8">
    <w:abstractNumId w:val="5"/>
  </w:num>
  <w:num w:numId="9">
    <w:abstractNumId w:val="5"/>
  </w:num>
  <w:num w:numId="10">
    <w:abstractNumId w:val="6"/>
  </w:num>
  <w:num w:numId="11">
    <w:abstractNumId w:val="11"/>
  </w:num>
  <w:num w:numId="12">
    <w:abstractNumId w:val="11"/>
  </w:num>
  <w:num w:numId="13">
    <w:abstractNumId w:val="6"/>
  </w:num>
  <w:num w:numId="14">
    <w:abstractNumId w:val="6"/>
  </w:num>
  <w:num w:numId="15">
    <w:abstractNumId w:val="9"/>
  </w:num>
  <w:num w:numId="16">
    <w:abstractNumId w:val="9"/>
  </w:num>
  <w:num w:numId="17">
    <w:abstractNumId w:val="2"/>
  </w:num>
  <w:num w:numId="18">
    <w:abstractNumId w:val="1"/>
  </w:num>
  <w:num w:numId="19">
    <w:abstractNumId w:val="1"/>
  </w:num>
  <w:num w:numId="20">
    <w:abstractNumId w:val="3"/>
  </w:num>
  <w:num w:numId="21">
    <w:abstractNumId w:val="3"/>
  </w:num>
  <w:num w:numId="22">
    <w:abstractNumId w:val="0"/>
  </w:num>
  <w:num w:numId="23">
    <w:abstractNumId w:val="0"/>
  </w:num>
  <w:num w:numId="24">
    <w:abstractNumId w:val="0"/>
  </w:num>
  <w:num w:numId="25">
    <w:abstractNumId w:val="10"/>
  </w:num>
  <w:num w:numId="26">
    <w:abstractNumId w:val="4"/>
  </w:num>
  <w:num w:numId="27">
    <w:abstractNumId w:val="12"/>
  </w:num>
  <w:num w:numId="28">
    <w:abstractNumId w:val="20"/>
  </w:num>
  <w:num w:numId="29">
    <w:abstractNumId w:val="8"/>
  </w:num>
  <w:num w:numId="30">
    <w:abstractNumId w:val="13"/>
  </w:num>
  <w:num w:numId="31">
    <w:abstractNumId w:val="21"/>
  </w:num>
  <w:num w:numId="32">
    <w:abstractNumId w:val="18"/>
  </w:num>
  <w:num w:numId="33">
    <w:abstractNumId w:val="1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C7B"/>
    <w:rsid w:val="00021FCA"/>
    <w:rsid w:val="00163602"/>
    <w:rsid w:val="002034FE"/>
    <w:rsid w:val="003B5DDB"/>
    <w:rsid w:val="003E0A73"/>
    <w:rsid w:val="0043751D"/>
    <w:rsid w:val="0045435A"/>
    <w:rsid w:val="007A142F"/>
    <w:rsid w:val="00815396"/>
    <w:rsid w:val="00847780"/>
    <w:rsid w:val="009F2E86"/>
    <w:rsid w:val="00A00950"/>
    <w:rsid w:val="00A11C7B"/>
    <w:rsid w:val="00AC0CEE"/>
    <w:rsid w:val="00BD7CC4"/>
    <w:rsid w:val="00DA56B2"/>
    <w:rsid w:val="00E73719"/>
    <w:rsid w:val="00EB2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AAC6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396"/>
    <w:rPr>
      <w:rFonts w:ascii="Calibri" w:hAnsi="Calibri"/>
      <w:sz w:val="22"/>
      <w:lang w:val="en-GB"/>
    </w:rPr>
  </w:style>
  <w:style w:type="paragraph" w:styleId="Heading1">
    <w:name w:val="heading 1"/>
    <w:basedOn w:val="Normal"/>
    <w:next w:val="Normal"/>
    <w:link w:val="Heading1Char"/>
    <w:autoRedefine/>
    <w:uiPriority w:val="9"/>
    <w:qFormat/>
    <w:rsid w:val="00E73719"/>
    <w:pPr>
      <w:keepNext/>
      <w:keepLines/>
      <w:numPr>
        <w:numId w:val="2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nhideWhenUsed/>
    <w:qFormat/>
    <w:rsid w:val="00E73719"/>
    <w:pPr>
      <w:keepNext/>
      <w:keepLines/>
      <w:numPr>
        <w:ilvl w:val="2"/>
        <w:numId w:val="2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2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color w:val="4F81BD" w:themeColor="accent1"/>
      <w:sz w:val="22"/>
      <w:szCs w:val="26"/>
      <w:lang w:val="en-GB"/>
    </w:rPr>
  </w:style>
  <w:style w:type="character" w:customStyle="1" w:styleId="Heading1Char">
    <w:name w:val="Heading 1 Char"/>
    <w:basedOn w:val="DefaultParagraphFont"/>
    <w:link w:val="Heading1"/>
    <w:uiPriority w:val="9"/>
    <w:rsid w:val="00163602"/>
    <w:rPr>
      <w:rFonts w:asciiTheme="majorHAnsi" w:eastAsia="Arial Unicode MS" w:hAnsiTheme="majorHAnsi" w:cstheme="minorHAnsi"/>
      <w:b/>
      <w:bCs/>
      <w:color w:val="4F81BD" w:themeColor="accent1"/>
      <w:sz w:val="22"/>
      <w:szCs w:val="22"/>
    </w:rPr>
  </w:style>
  <w:style w:type="character" w:customStyle="1" w:styleId="Heading3Char">
    <w:name w:val="Heading 3 Char"/>
    <w:basedOn w:val="DefaultParagraphFont"/>
    <w:link w:val="Heading3"/>
    <w:rsid w:val="00E73719"/>
    <w:rPr>
      <w:rFonts w:eastAsiaTheme="majorEastAsia" w:cstheme="majorBidi"/>
      <w:b/>
      <w:bCs/>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Theme="majorHAnsi" w:eastAsiaTheme="majorEastAsia" w:hAnsiTheme="majorHAnsi" w:cstheme="majorBidi"/>
      <w:b/>
      <w:bCs/>
      <w:iCs/>
      <w:snapToGrid w:val="0"/>
      <w:sz w:val="22"/>
      <w:lang w:val="en-GB"/>
    </w:rPr>
  </w:style>
  <w:style w:type="paragraph" w:styleId="NoSpacing">
    <w:name w:val="No Spacing"/>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numPr>
        <w:numId w:val="24"/>
      </w:numPr>
      <w:contextualSpacing/>
    </w:pPr>
    <w:rPr>
      <w:rFonts w:eastAsia="Calibri"/>
      <w:lang w:eastAsia="en-GB"/>
    </w:rPr>
  </w:style>
  <w:style w:type="paragraph" w:customStyle="1" w:styleId="Style3">
    <w:name w:val="Style3"/>
    <w:basedOn w:val="ListParagraph"/>
    <w:autoRedefine/>
    <w:qFormat/>
    <w:rsid w:val="0043751D"/>
    <w:pPr>
      <w:numPr>
        <w:numId w:val="25"/>
      </w:numPr>
    </w:pPr>
    <w:rPr>
      <w:rFonts w:asciiTheme="majorHAnsi" w:hAnsiTheme="majorHAnsi"/>
    </w:rPr>
  </w:style>
  <w:style w:type="paragraph" w:styleId="ListParagraph">
    <w:name w:val="List Paragraph"/>
    <w:basedOn w:val="Normal"/>
    <w:uiPriority w:val="34"/>
    <w:qFormat/>
    <w:rsid w:val="0043751D"/>
    <w:pPr>
      <w:ind w:left="720"/>
      <w:contextualSpacing/>
    </w:pPr>
  </w:style>
  <w:style w:type="paragraph" w:customStyle="1" w:styleId="Style5">
    <w:name w:val="Style5"/>
    <w:basedOn w:val="ListParagraph"/>
    <w:autoRedefine/>
    <w:qFormat/>
    <w:rsid w:val="002034FE"/>
    <w:pPr>
      <w:numPr>
        <w:numId w:val="26"/>
      </w:numPr>
    </w:pPr>
    <w:rPr>
      <w:rFonts w:asciiTheme="majorHAnsi" w:hAnsiTheme="majorHAnsi"/>
      <w:szCs w:val="22"/>
    </w:rPr>
  </w:style>
  <w:style w:type="paragraph" w:customStyle="1" w:styleId="Style2">
    <w:name w:val="Style2"/>
    <w:basedOn w:val="ListParagraph"/>
    <w:autoRedefine/>
    <w:qFormat/>
    <w:rsid w:val="009F2E86"/>
    <w:pPr>
      <w:numPr>
        <w:numId w:val="27"/>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28"/>
      </w:numPr>
      <w:shd w:val="clear" w:color="auto" w:fill="FFFFFF"/>
    </w:pPr>
    <w:rPr>
      <w:rFonts w:asciiTheme="majorHAnsi" w:hAnsiTheme="majorHAnsi" w:cs="Lucida Grande"/>
      <w:bCs/>
      <w:color w:val="000000"/>
      <w:szCs w:val="22"/>
      <w:lang w:eastAsia="en-US"/>
    </w:rPr>
  </w:style>
  <w:style w:type="paragraph" w:styleId="NormalWeb">
    <w:name w:val="Normal (Web)"/>
    <w:basedOn w:val="Normal"/>
    <w:uiPriority w:val="99"/>
    <w:unhideWhenUsed/>
    <w:rsid w:val="00A11C7B"/>
    <w:pPr>
      <w:spacing w:before="100" w:beforeAutospacing="1" w:after="100" w:afterAutospacing="1"/>
    </w:pPr>
    <w:rPr>
      <w:rFonts w:ascii="Times" w:hAnsi="Times" w:cs="Times New Roman"/>
      <w:sz w:val="20"/>
      <w:szCs w:val="20"/>
      <w:lang w:eastAsia="en-US"/>
    </w:rPr>
  </w:style>
  <w:style w:type="character" w:customStyle="1" w:styleId="apple-converted-space">
    <w:name w:val="apple-converted-space"/>
    <w:basedOn w:val="DefaultParagraphFont"/>
    <w:rsid w:val="00A11C7B"/>
  </w:style>
  <w:style w:type="character" w:customStyle="1" w:styleId="normal1">
    <w:name w:val="normal1"/>
    <w:basedOn w:val="DefaultParagraphFont"/>
    <w:rsid w:val="00A11C7B"/>
  </w:style>
  <w:style w:type="character" w:styleId="Hyperlink">
    <w:name w:val="Hyperlink"/>
    <w:basedOn w:val="DefaultParagraphFont"/>
    <w:uiPriority w:val="99"/>
    <w:unhideWhenUsed/>
    <w:rsid w:val="00A11C7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396"/>
    <w:rPr>
      <w:rFonts w:ascii="Calibri" w:hAnsi="Calibri"/>
      <w:sz w:val="22"/>
      <w:lang w:val="en-GB"/>
    </w:rPr>
  </w:style>
  <w:style w:type="paragraph" w:styleId="Heading1">
    <w:name w:val="heading 1"/>
    <w:basedOn w:val="Normal"/>
    <w:next w:val="Normal"/>
    <w:link w:val="Heading1Char"/>
    <w:autoRedefine/>
    <w:uiPriority w:val="9"/>
    <w:qFormat/>
    <w:rsid w:val="00E73719"/>
    <w:pPr>
      <w:keepNext/>
      <w:keepLines/>
      <w:numPr>
        <w:numId w:val="2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nhideWhenUsed/>
    <w:qFormat/>
    <w:rsid w:val="00E73719"/>
    <w:pPr>
      <w:keepNext/>
      <w:keepLines/>
      <w:numPr>
        <w:ilvl w:val="2"/>
        <w:numId w:val="2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2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color w:val="4F81BD" w:themeColor="accent1"/>
      <w:sz w:val="22"/>
      <w:szCs w:val="26"/>
      <w:lang w:val="en-GB"/>
    </w:rPr>
  </w:style>
  <w:style w:type="character" w:customStyle="1" w:styleId="Heading1Char">
    <w:name w:val="Heading 1 Char"/>
    <w:basedOn w:val="DefaultParagraphFont"/>
    <w:link w:val="Heading1"/>
    <w:uiPriority w:val="9"/>
    <w:rsid w:val="00163602"/>
    <w:rPr>
      <w:rFonts w:asciiTheme="majorHAnsi" w:eastAsia="Arial Unicode MS" w:hAnsiTheme="majorHAnsi" w:cstheme="minorHAnsi"/>
      <w:b/>
      <w:bCs/>
      <w:color w:val="4F81BD" w:themeColor="accent1"/>
      <w:sz w:val="22"/>
      <w:szCs w:val="22"/>
    </w:rPr>
  </w:style>
  <w:style w:type="character" w:customStyle="1" w:styleId="Heading3Char">
    <w:name w:val="Heading 3 Char"/>
    <w:basedOn w:val="DefaultParagraphFont"/>
    <w:link w:val="Heading3"/>
    <w:rsid w:val="00E73719"/>
    <w:rPr>
      <w:rFonts w:eastAsiaTheme="majorEastAsia" w:cstheme="majorBidi"/>
      <w:b/>
      <w:bCs/>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Theme="majorHAnsi" w:eastAsiaTheme="majorEastAsia" w:hAnsiTheme="majorHAnsi" w:cstheme="majorBidi"/>
      <w:b/>
      <w:bCs/>
      <w:iCs/>
      <w:snapToGrid w:val="0"/>
      <w:sz w:val="22"/>
      <w:lang w:val="en-GB"/>
    </w:rPr>
  </w:style>
  <w:style w:type="paragraph" w:styleId="NoSpacing">
    <w:name w:val="No Spacing"/>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numPr>
        <w:numId w:val="24"/>
      </w:numPr>
      <w:contextualSpacing/>
    </w:pPr>
    <w:rPr>
      <w:rFonts w:eastAsia="Calibri"/>
      <w:lang w:eastAsia="en-GB"/>
    </w:rPr>
  </w:style>
  <w:style w:type="paragraph" w:customStyle="1" w:styleId="Style3">
    <w:name w:val="Style3"/>
    <w:basedOn w:val="ListParagraph"/>
    <w:autoRedefine/>
    <w:qFormat/>
    <w:rsid w:val="0043751D"/>
    <w:pPr>
      <w:numPr>
        <w:numId w:val="25"/>
      </w:numPr>
    </w:pPr>
    <w:rPr>
      <w:rFonts w:asciiTheme="majorHAnsi" w:hAnsiTheme="majorHAnsi"/>
    </w:rPr>
  </w:style>
  <w:style w:type="paragraph" w:styleId="ListParagraph">
    <w:name w:val="List Paragraph"/>
    <w:basedOn w:val="Normal"/>
    <w:uiPriority w:val="34"/>
    <w:qFormat/>
    <w:rsid w:val="0043751D"/>
    <w:pPr>
      <w:ind w:left="720"/>
      <w:contextualSpacing/>
    </w:pPr>
  </w:style>
  <w:style w:type="paragraph" w:customStyle="1" w:styleId="Style5">
    <w:name w:val="Style5"/>
    <w:basedOn w:val="ListParagraph"/>
    <w:autoRedefine/>
    <w:qFormat/>
    <w:rsid w:val="002034FE"/>
    <w:pPr>
      <w:numPr>
        <w:numId w:val="26"/>
      </w:numPr>
    </w:pPr>
    <w:rPr>
      <w:rFonts w:asciiTheme="majorHAnsi" w:hAnsiTheme="majorHAnsi"/>
      <w:szCs w:val="22"/>
    </w:rPr>
  </w:style>
  <w:style w:type="paragraph" w:customStyle="1" w:styleId="Style2">
    <w:name w:val="Style2"/>
    <w:basedOn w:val="ListParagraph"/>
    <w:autoRedefine/>
    <w:qFormat/>
    <w:rsid w:val="009F2E86"/>
    <w:pPr>
      <w:numPr>
        <w:numId w:val="27"/>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28"/>
      </w:numPr>
      <w:shd w:val="clear" w:color="auto" w:fill="FFFFFF"/>
    </w:pPr>
    <w:rPr>
      <w:rFonts w:asciiTheme="majorHAnsi" w:hAnsiTheme="majorHAnsi" w:cs="Lucida Grande"/>
      <w:bCs/>
      <w:color w:val="000000"/>
      <w:szCs w:val="22"/>
      <w:lang w:eastAsia="en-US"/>
    </w:rPr>
  </w:style>
  <w:style w:type="paragraph" w:styleId="NormalWeb">
    <w:name w:val="Normal (Web)"/>
    <w:basedOn w:val="Normal"/>
    <w:uiPriority w:val="99"/>
    <w:unhideWhenUsed/>
    <w:rsid w:val="00A11C7B"/>
    <w:pPr>
      <w:spacing w:before="100" w:beforeAutospacing="1" w:after="100" w:afterAutospacing="1"/>
    </w:pPr>
    <w:rPr>
      <w:rFonts w:ascii="Times" w:hAnsi="Times" w:cs="Times New Roman"/>
      <w:sz w:val="20"/>
      <w:szCs w:val="20"/>
      <w:lang w:eastAsia="en-US"/>
    </w:rPr>
  </w:style>
  <w:style w:type="character" w:customStyle="1" w:styleId="apple-converted-space">
    <w:name w:val="apple-converted-space"/>
    <w:basedOn w:val="DefaultParagraphFont"/>
    <w:rsid w:val="00A11C7B"/>
  </w:style>
  <w:style w:type="character" w:customStyle="1" w:styleId="normal1">
    <w:name w:val="normal1"/>
    <w:basedOn w:val="DefaultParagraphFont"/>
    <w:rsid w:val="00A11C7B"/>
  </w:style>
  <w:style w:type="character" w:styleId="Hyperlink">
    <w:name w:val="Hyperlink"/>
    <w:basedOn w:val="DefaultParagraphFont"/>
    <w:uiPriority w:val="99"/>
    <w:unhideWhenUsed/>
    <w:rsid w:val="00A11C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8269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oisaac.com/policy/top125.htm" TargetMode="External"/><Relationship Id="rId7" Type="http://schemas.openxmlformats.org/officeDocument/2006/relationships/hyperlink" Target="http://www.leoisaac.com/planning/strat022.ht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623</Words>
  <Characters>3568</Characters>
  <Application>Microsoft Macintosh Word</Application>
  <DocSecurity>0</DocSecurity>
  <Lines>132</Lines>
  <Paragraphs>63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Writing a Policy: Structure and Components</vt:lpstr>
    </vt:vector>
  </TitlesOfParts>
  <Manager/>
  <Company/>
  <LinksUpToDate>false</LinksUpToDate>
  <CharactersWithSpaces>4128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Zegers</dc:creator>
  <cp:keywords/>
  <dc:description/>
  <cp:lastModifiedBy>Mei Zegers</cp:lastModifiedBy>
  <cp:revision>6</cp:revision>
  <dcterms:created xsi:type="dcterms:W3CDTF">2015-06-05T13:46:00Z</dcterms:created>
  <dcterms:modified xsi:type="dcterms:W3CDTF">2015-06-05T13:58:00Z</dcterms:modified>
  <cp:category/>
</cp:coreProperties>
</file>