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26" w:rsidRPr="00A94D8B" w:rsidRDefault="00C3636E" w:rsidP="00AD1C0A">
      <w:pPr>
        <w:pStyle w:val="Frontpage"/>
        <w:ind w:left="-1418" w:right="-1418"/>
        <w:jc w:val="both"/>
        <w:rPr>
          <w:rFonts w:ascii="Arial" w:hAnsi="Arial" w:cs="Arial"/>
          <w:color w:val="1F497D"/>
        </w:rPr>
      </w:pPr>
      <w:r w:rsidRPr="00A94D8B">
        <w:rPr>
          <w:rFonts w:ascii="Arial" w:hAnsi="Arial" w:cs="Arial"/>
          <w:noProof/>
          <w:color w:val="1F497D"/>
          <w:lang w:val="en-US"/>
        </w:rPr>
        <w:drawing>
          <wp:anchor distT="0" distB="0" distL="114300" distR="114300" simplePos="0" relativeHeight="251657728" behindDoc="1" locked="0" layoutInCell="1" allowOverlap="1">
            <wp:simplePos x="0" y="0"/>
            <wp:positionH relativeFrom="column">
              <wp:posOffset>-895985</wp:posOffset>
            </wp:positionH>
            <wp:positionV relativeFrom="paragraph">
              <wp:posOffset>-617855</wp:posOffset>
            </wp:positionV>
            <wp:extent cx="7729220" cy="1238250"/>
            <wp:effectExtent l="19050" t="0" r="5080" b="0"/>
            <wp:wrapNone/>
            <wp:docPr id="4" name="Bild 4" descr="Header@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2x"/>
                    <pic:cNvPicPr>
                      <a:picLocks noChangeAspect="1" noChangeArrowheads="1"/>
                    </pic:cNvPicPr>
                  </pic:nvPicPr>
                  <pic:blipFill>
                    <a:blip r:embed="rId8" cstate="print"/>
                    <a:srcRect/>
                    <a:stretch>
                      <a:fillRect/>
                    </a:stretch>
                  </pic:blipFill>
                  <pic:spPr bwMode="auto">
                    <a:xfrm>
                      <a:off x="0" y="0"/>
                      <a:ext cx="7729220" cy="1238250"/>
                    </a:xfrm>
                    <a:prstGeom prst="rect">
                      <a:avLst/>
                    </a:prstGeom>
                    <a:noFill/>
                    <a:ln w="9525">
                      <a:noFill/>
                      <a:miter lim="800000"/>
                      <a:headEnd/>
                      <a:tailEnd/>
                    </a:ln>
                  </pic:spPr>
                </pic:pic>
              </a:graphicData>
            </a:graphic>
          </wp:anchor>
        </w:drawing>
      </w: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31849B"/>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0A2726" w:rsidRPr="00A94D8B" w:rsidRDefault="000A2726" w:rsidP="00AD1C0A">
      <w:pPr>
        <w:pStyle w:val="Frontpage"/>
        <w:ind w:left="-142" w:right="-151"/>
        <w:jc w:val="center"/>
        <w:rPr>
          <w:color w:val="17365D"/>
          <w:sz w:val="28"/>
          <w:szCs w:val="28"/>
        </w:rPr>
      </w:pPr>
      <w:r w:rsidRPr="00A94D8B">
        <w:rPr>
          <w:color w:val="17365D"/>
          <w:sz w:val="28"/>
          <w:szCs w:val="28"/>
        </w:rPr>
        <w:t>Framework Contract EuropeAid/127054/C/SER/Multi - Lot 6: Environment</w:t>
      </w:r>
    </w:p>
    <w:p w:rsidR="000A2726" w:rsidRPr="00A94D8B" w:rsidRDefault="000A2726" w:rsidP="00AD1C0A">
      <w:pPr>
        <w:pStyle w:val="Frontpage"/>
        <w:ind w:left="-142" w:right="-151"/>
        <w:jc w:val="center"/>
        <w:rPr>
          <w:color w:val="17365D"/>
          <w:sz w:val="28"/>
          <w:szCs w:val="28"/>
        </w:rPr>
      </w:pPr>
    </w:p>
    <w:p w:rsidR="000A2726" w:rsidRPr="00A94D8B" w:rsidRDefault="000A2726" w:rsidP="00AD1C0A">
      <w:pPr>
        <w:pStyle w:val="Frontpage"/>
        <w:ind w:left="-142" w:right="-151"/>
        <w:jc w:val="center"/>
        <w:rPr>
          <w:color w:val="17365D"/>
          <w:sz w:val="28"/>
          <w:szCs w:val="28"/>
        </w:rPr>
      </w:pPr>
      <w:r w:rsidRPr="00A94D8B">
        <w:rPr>
          <w:color w:val="17365D"/>
          <w:sz w:val="28"/>
          <w:szCs w:val="28"/>
        </w:rPr>
        <w:t>Request for Services No.</w:t>
      </w:r>
      <w:r w:rsidRPr="00A94D8B" w:rsidDel="005C58DE">
        <w:rPr>
          <w:color w:val="17365D"/>
          <w:sz w:val="28"/>
          <w:szCs w:val="28"/>
        </w:rPr>
        <w:t xml:space="preserve"> </w:t>
      </w:r>
      <w:r w:rsidR="00744B04" w:rsidRPr="00A94D8B">
        <w:rPr>
          <w:color w:val="17365D"/>
          <w:sz w:val="28"/>
          <w:szCs w:val="28"/>
        </w:rPr>
        <w:t>2013/331334/1 &amp; 2013/331284/1</w:t>
      </w:r>
    </w:p>
    <w:p w:rsidR="000A2726" w:rsidRPr="00A94D8B" w:rsidRDefault="000A2726" w:rsidP="00AD1C0A">
      <w:pPr>
        <w:pStyle w:val="Frontpage"/>
        <w:jc w:val="center"/>
        <w:rPr>
          <w:color w:val="17365D"/>
          <w:sz w:val="40"/>
        </w:rPr>
      </w:pPr>
    </w:p>
    <w:p w:rsidR="000A2726" w:rsidRPr="00A94D8B" w:rsidRDefault="000A2726" w:rsidP="00AD1C0A">
      <w:pPr>
        <w:pStyle w:val="Frontpage"/>
        <w:jc w:val="center"/>
        <w:rPr>
          <w:color w:val="17365D"/>
          <w:sz w:val="40"/>
        </w:rPr>
      </w:pPr>
    </w:p>
    <w:p w:rsidR="000A2726" w:rsidRPr="00A94D8B" w:rsidRDefault="000A2726" w:rsidP="00AD1C0A">
      <w:pPr>
        <w:pStyle w:val="Frontpage"/>
        <w:jc w:val="center"/>
        <w:rPr>
          <w:color w:val="17365D"/>
          <w:sz w:val="40"/>
        </w:rPr>
      </w:pPr>
    </w:p>
    <w:p w:rsidR="00A64155" w:rsidRPr="00A94D8B" w:rsidRDefault="00744B04" w:rsidP="00AD1C0A">
      <w:pPr>
        <w:pStyle w:val="Frontpage"/>
        <w:ind w:left="-142" w:right="-129"/>
        <w:jc w:val="center"/>
        <w:rPr>
          <w:color w:val="17365D"/>
          <w:sz w:val="40"/>
        </w:rPr>
      </w:pPr>
      <w:r w:rsidRPr="00A94D8B">
        <w:rPr>
          <w:color w:val="17365D"/>
          <w:sz w:val="40"/>
        </w:rPr>
        <w:t xml:space="preserve">Evaluation of the </w:t>
      </w:r>
      <w:r w:rsidR="00A64155" w:rsidRPr="00A94D8B">
        <w:rPr>
          <w:color w:val="17365D"/>
          <w:sz w:val="40"/>
        </w:rPr>
        <w:t>Intra ACP</w:t>
      </w:r>
    </w:p>
    <w:p w:rsidR="000A2726" w:rsidRPr="00A94D8B" w:rsidRDefault="00A64155" w:rsidP="00AD1C0A">
      <w:pPr>
        <w:pStyle w:val="Frontpage"/>
        <w:ind w:left="-142" w:right="-129"/>
        <w:jc w:val="center"/>
        <w:rPr>
          <w:color w:val="17365D"/>
          <w:sz w:val="40"/>
        </w:rPr>
      </w:pPr>
      <w:r w:rsidRPr="00A94D8B">
        <w:rPr>
          <w:color w:val="17365D"/>
          <w:sz w:val="40"/>
        </w:rPr>
        <w:t xml:space="preserve">Global </w:t>
      </w:r>
      <w:r w:rsidR="00744B04" w:rsidRPr="00A94D8B">
        <w:rPr>
          <w:color w:val="17365D"/>
          <w:sz w:val="40"/>
        </w:rPr>
        <w:t>Climate Change Alliance</w:t>
      </w:r>
      <w:r w:rsidR="000411D4" w:rsidRPr="00A94D8B">
        <w:rPr>
          <w:color w:val="17365D"/>
          <w:sz w:val="40"/>
        </w:rPr>
        <w:t xml:space="preserve"> </w:t>
      </w:r>
      <w:r w:rsidR="00744B04" w:rsidRPr="00A94D8B">
        <w:rPr>
          <w:color w:val="17365D"/>
          <w:sz w:val="40"/>
        </w:rPr>
        <w:t>(GCCA)</w:t>
      </w:r>
    </w:p>
    <w:p w:rsidR="00744B04" w:rsidRPr="00A94D8B" w:rsidRDefault="00744B04" w:rsidP="00AD1C0A">
      <w:pPr>
        <w:pStyle w:val="Frontpage"/>
        <w:jc w:val="center"/>
        <w:rPr>
          <w:color w:val="17365D"/>
          <w:sz w:val="40"/>
        </w:rPr>
      </w:pPr>
    </w:p>
    <w:p w:rsidR="000A2726" w:rsidRPr="00A94D8B" w:rsidRDefault="00744B04" w:rsidP="00AD1C0A">
      <w:pPr>
        <w:pStyle w:val="Frontpage"/>
        <w:jc w:val="center"/>
        <w:rPr>
          <w:color w:val="17365D"/>
          <w:sz w:val="40"/>
        </w:rPr>
      </w:pPr>
      <w:r w:rsidRPr="00A94D8B">
        <w:rPr>
          <w:color w:val="17365D"/>
          <w:sz w:val="40"/>
        </w:rPr>
        <w:t>World-Wide</w:t>
      </w:r>
    </w:p>
    <w:p w:rsidR="000A2726" w:rsidRPr="00A94D8B" w:rsidRDefault="000A2726" w:rsidP="00AD1C0A">
      <w:pPr>
        <w:pStyle w:val="Frontpage"/>
        <w:jc w:val="center"/>
        <w:rPr>
          <w:color w:val="17365D"/>
          <w:sz w:val="40"/>
        </w:rPr>
      </w:pPr>
    </w:p>
    <w:p w:rsidR="00744B04" w:rsidRPr="00A94D8B" w:rsidRDefault="00744B04" w:rsidP="00AD1C0A">
      <w:pPr>
        <w:pStyle w:val="Frontpage"/>
        <w:jc w:val="center"/>
        <w:rPr>
          <w:color w:val="17365D"/>
          <w:sz w:val="40"/>
        </w:rPr>
      </w:pPr>
    </w:p>
    <w:p w:rsidR="00744B04" w:rsidRPr="00A94D8B" w:rsidRDefault="00744B04" w:rsidP="00AD1C0A">
      <w:pPr>
        <w:pStyle w:val="Frontpage"/>
        <w:jc w:val="center"/>
        <w:rPr>
          <w:color w:val="17365D"/>
          <w:sz w:val="40"/>
        </w:rPr>
      </w:pPr>
    </w:p>
    <w:p w:rsidR="00744B04" w:rsidRPr="00A94D8B" w:rsidRDefault="00744B04" w:rsidP="00AD1C0A">
      <w:pPr>
        <w:pStyle w:val="Frontpage"/>
        <w:jc w:val="center"/>
        <w:rPr>
          <w:color w:val="17365D"/>
          <w:sz w:val="40"/>
        </w:rPr>
      </w:pPr>
    </w:p>
    <w:p w:rsidR="003551B4" w:rsidRPr="00A94D8B" w:rsidRDefault="00553B17" w:rsidP="00AD1C0A">
      <w:pPr>
        <w:pStyle w:val="Frontpage"/>
        <w:jc w:val="center"/>
        <w:rPr>
          <w:color w:val="17365D"/>
          <w:sz w:val="40"/>
        </w:rPr>
      </w:pPr>
      <w:r w:rsidRPr="00A94D8B">
        <w:rPr>
          <w:color w:val="17365D"/>
          <w:sz w:val="40"/>
        </w:rPr>
        <w:t>Final</w:t>
      </w:r>
      <w:r w:rsidR="009F3948" w:rsidRPr="00A94D8B">
        <w:rPr>
          <w:color w:val="17365D"/>
          <w:sz w:val="40"/>
        </w:rPr>
        <w:t xml:space="preserve"> </w:t>
      </w:r>
      <w:r w:rsidR="003551B4" w:rsidRPr="00A94D8B">
        <w:rPr>
          <w:color w:val="17365D"/>
          <w:sz w:val="40"/>
        </w:rPr>
        <w:t>Report</w:t>
      </w:r>
    </w:p>
    <w:p w:rsidR="002A0D18" w:rsidRDefault="002A0D18" w:rsidP="00AD1C0A">
      <w:pPr>
        <w:pStyle w:val="Frontpage"/>
        <w:jc w:val="center"/>
        <w:rPr>
          <w:color w:val="17365D"/>
          <w:sz w:val="40"/>
        </w:rPr>
      </w:pPr>
      <w:bookmarkStart w:id="0" w:name="_GoBack"/>
      <w:bookmarkEnd w:id="0"/>
    </w:p>
    <w:p w:rsidR="000A2726" w:rsidRPr="00A94D8B" w:rsidRDefault="000A2726" w:rsidP="00AD1C0A">
      <w:pPr>
        <w:pStyle w:val="Frontpage"/>
        <w:jc w:val="center"/>
        <w:rPr>
          <w:color w:val="17365D"/>
          <w:sz w:val="40"/>
        </w:rPr>
      </w:pPr>
    </w:p>
    <w:p w:rsidR="000A2726" w:rsidRPr="00A94D8B" w:rsidRDefault="002A0D18" w:rsidP="00AD1C0A">
      <w:pPr>
        <w:pStyle w:val="Frontpage"/>
        <w:jc w:val="center"/>
        <w:rPr>
          <w:color w:val="17365D"/>
          <w:sz w:val="32"/>
          <w:szCs w:val="32"/>
        </w:rPr>
      </w:pPr>
      <w:r>
        <w:rPr>
          <w:color w:val="17365D"/>
          <w:sz w:val="32"/>
          <w:szCs w:val="32"/>
        </w:rPr>
        <w:t>17</w:t>
      </w:r>
      <w:r w:rsidR="00860B6F" w:rsidRPr="00860B6F">
        <w:rPr>
          <w:color w:val="17365D"/>
          <w:sz w:val="32"/>
          <w:szCs w:val="32"/>
          <w:vertAlign w:val="superscript"/>
        </w:rPr>
        <w:t>th</w:t>
      </w:r>
      <w:r w:rsidR="00860B6F">
        <w:rPr>
          <w:color w:val="17365D"/>
          <w:sz w:val="32"/>
          <w:szCs w:val="32"/>
        </w:rPr>
        <w:t xml:space="preserve"> </w:t>
      </w:r>
      <w:r>
        <w:rPr>
          <w:color w:val="17365D"/>
          <w:sz w:val="32"/>
          <w:szCs w:val="32"/>
        </w:rPr>
        <w:t>Novem</w:t>
      </w:r>
      <w:r w:rsidR="00860B6F">
        <w:rPr>
          <w:color w:val="17365D"/>
          <w:sz w:val="32"/>
          <w:szCs w:val="32"/>
        </w:rPr>
        <w:t>b</w:t>
      </w:r>
      <w:r w:rsidR="008B24E7" w:rsidRPr="00A94D8B">
        <w:rPr>
          <w:color w:val="17365D"/>
          <w:sz w:val="32"/>
          <w:szCs w:val="32"/>
        </w:rPr>
        <w:t>er</w:t>
      </w:r>
      <w:r w:rsidR="00A64155" w:rsidRPr="00A94D8B">
        <w:rPr>
          <w:color w:val="17365D"/>
          <w:sz w:val="32"/>
          <w:szCs w:val="32"/>
        </w:rPr>
        <w:t xml:space="preserve"> </w:t>
      </w:r>
      <w:r w:rsidR="009F4FD1" w:rsidRPr="00A94D8B">
        <w:rPr>
          <w:color w:val="17365D"/>
          <w:sz w:val="32"/>
          <w:szCs w:val="32"/>
        </w:rPr>
        <w:t>2014</w:t>
      </w:r>
    </w:p>
    <w:p w:rsidR="000A2726" w:rsidRPr="00A94D8B" w:rsidRDefault="000A2726" w:rsidP="00AD1C0A">
      <w:pPr>
        <w:pStyle w:val="Frontpage"/>
        <w:jc w:val="center"/>
        <w:rPr>
          <w:rFonts w:ascii="Arial" w:hAnsi="Arial" w:cs="Arial"/>
          <w:color w:val="17365D"/>
        </w:rPr>
      </w:pPr>
    </w:p>
    <w:p w:rsidR="003551B4" w:rsidRPr="00A94D8B" w:rsidRDefault="003551B4" w:rsidP="00AD1C0A">
      <w:pPr>
        <w:pStyle w:val="Frontpage"/>
        <w:jc w:val="center"/>
        <w:rPr>
          <w:rFonts w:ascii="Arial" w:hAnsi="Arial" w:cs="Arial"/>
          <w:color w:val="17365D"/>
        </w:rPr>
      </w:pPr>
    </w:p>
    <w:p w:rsidR="003551B4" w:rsidRPr="00A94D8B" w:rsidRDefault="003551B4" w:rsidP="00AD1C0A">
      <w:pPr>
        <w:pStyle w:val="Frontpage"/>
        <w:jc w:val="center"/>
        <w:rPr>
          <w:rFonts w:ascii="Arial" w:hAnsi="Arial" w:cs="Arial"/>
          <w:color w:val="17365D"/>
        </w:rPr>
      </w:pPr>
    </w:p>
    <w:p w:rsidR="00F95527" w:rsidRPr="00A94D8B" w:rsidRDefault="00F95527" w:rsidP="00AD1C0A">
      <w:pPr>
        <w:pStyle w:val="Frontpage"/>
        <w:jc w:val="center"/>
        <w:rPr>
          <w:rFonts w:ascii="Arial" w:hAnsi="Arial" w:cs="Arial"/>
          <w:b/>
          <w:color w:val="17365D"/>
        </w:rPr>
      </w:pPr>
    </w:p>
    <w:p w:rsidR="000A2726" w:rsidRPr="00A94D8B" w:rsidRDefault="000A2726" w:rsidP="00AD1C0A">
      <w:pPr>
        <w:pStyle w:val="Frontpage"/>
        <w:jc w:val="center"/>
        <w:rPr>
          <w:rFonts w:ascii="Arial" w:hAnsi="Arial" w:cs="Arial"/>
          <w:color w:val="17365D"/>
        </w:rPr>
      </w:pPr>
    </w:p>
    <w:p w:rsidR="000A2726" w:rsidRPr="00A94D8B" w:rsidRDefault="000A2726" w:rsidP="00AD1C0A">
      <w:pPr>
        <w:pStyle w:val="Frontpage"/>
        <w:jc w:val="center"/>
        <w:rPr>
          <w:rFonts w:ascii="Arial" w:hAnsi="Arial" w:cs="Arial"/>
          <w:color w:val="17365D"/>
        </w:rPr>
      </w:pPr>
    </w:p>
    <w:p w:rsidR="000A2726" w:rsidRPr="00A94D8B" w:rsidRDefault="00C3636E" w:rsidP="00AD1C0A">
      <w:pPr>
        <w:pStyle w:val="Frontpage"/>
        <w:jc w:val="center"/>
        <w:rPr>
          <w:rFonts w:ascii="Arial" w:hAnsi="Arial" w:cs="Arial"/>
          <w:color w:val="17365D"/>
          <w:sz w:val="40"/>
        </w:rPr>
      </w:pPr>
      <w:r w:rsidRPr="00A94D8B">
        <w:rPr>
          <w:rFonts w:ascii="Arial" w:hAnsi="Arial" w:cs="Arial"/>
          <w:noProof/>
          <w:color w:val="17365D"/>
          <w:sz w:val="20"/>
          <w:szCs w:val="20"/>
          <w:lang w:val="en-US"/>
        </w:rPr>
        <w:drawing>
          <wp:inline distT="0" distB="0" distL="0" distR="0">
            <wp:extent cx="609600" cy="428625"/>
            <wp:effectExtent l="19050" t="0" r="0" b="0"/>
            <wp:docPr id="1" name="Picture 1" descr="european-commiss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commission-flag"/>
                    <pic:cNvPicPr>
                      <a:picLocks noChangeAspect="1" noChangeArrowheads="1"/>
                    </pic:cNvPicPr>
                  </pic:nvPicPr>
                  <pic:blipFill>
                    <a:blip r:embed="rId9" cstate="print"/>
                    <a:srcRect/>
                    <a:stretch>
                      <a:fillRect/>
                    </a:stretch>
                  </pic:blipFill>
                  <pic:spPr bwMode="auto">
                    <a:xfrm>
                      <a:off x="0" y="0"/>
                      <a:ext cx="609600" cy="428625"/>
                    </a:xfrm>
                    <a:prstGeom prst="rect">
                      <a:avLst/>
                    </a:prstGeom>
                    <a:noFill/>
                    <a:ln w="9525">
                      <a:noFill/>
                      <a:miter lim="800000"/>
                      <a:headEnd/>
                      <a:tailEnd/>
                    </a:ln>
                  </pic:spPr>
                </pic:pic>
              </a:graphicData>
            </a:graphic>
          </wp:inline>
        </w:drawing>
      </w:r>
    </w:p>
    <w:p w:rsidR="000A2726" w:rsidRPr="00A94D8B" w:rsidRDefault="000A2726" w:rsidP="00AD1C0A">
      <w:pPr>
        <w:pStyle w:val="Frontpage"/>
        <w:jc w:val="center"/>
        <w:rPr>
          <w:rFonts w:ascii="Arial" w:hAnsi="Arial" w:cs="Arial"/>
          <w:color w:val="17365D"/>
          <w:sz w:val="20"/>
          <w:szCs w:val="20"/>
        </w:rPr>
      </w:pPr>
      <w:r w:rsidRPr="00A94D8B">
        <w:rPr>
          <w:rFonts w:ascii="Arial" w:hAnsi="Arial" w:cs="Arial"/>
          <w:color w:val="17365D"/>
          <w:sz w:val="20"/>
          <w:szCs w:val="20"/>
        </w:rPr>
        <w:t>A project funded by</w:t>
      </w:r>
    </w:p>
    <w:p w:rsidR="000A2726" w:rsidRPr="00A94D8B" w:rsidRDefault="000A2726" w:rsidP="00AD1C0A">
      <w:pPr>
        <w:pStyle w:val="Frontpage"/>
        <w:jc w:val="center"/>
        <w:rPr>
          <w:rFonts w:ascii="Arial" w:hAnsi="Arial" w:cs="Arial"/>
          <w:color w:val="17365D"/>
          <w:sz w:val="20"/>
          <w:szCs w:val="20"/>
        </w:rPr>
      </w:pPr>
      <w:proofErr w:type="gramStart"/>
      <w:r w:rsidRPr="00A94D8B">
        <w:rPr>
          <w:rFonts w:ascii="Arial" w:hAnsi="Arial" w:cs="Arial"/>
          <w:color w:val="17365D"/>
          <w:sz w:val="20"/>
          <w:szCs w:val="20"/>
        </w:rPr>
        <w:t>the</w:t>
      </w:r>
      <w:proofErr w:type="gramEnd"/>
      <w:r w:rsidRPr="00A94D8B">
        <w:rPr>
          <w:rFonts w:ascii="Arial" w:hAnsi="Arial" w:cs="Arial"/>
          <w:color w:val="17365D"/>
          <w:sz w:val="20"/>
          <w:szCs w:val="20"/>
        </w:rPr>
        <w:t xml:space="preserve"> European Union</w:t>
      </w:r>
    </w:p>
    <w:p w:rsidR="004E7B95" w:rsidRPr="00A94D8B" w:rsidRDefault="004E7B95" w:rsidP="00AD1C0A">
      <w:pPr>
        <w:spacing w:after="0" w:line="240" w:lineRule="auto"/>
        <w:jc w:val="center"/>
        <w:rPr>
          <w:rFonts w:ascii="Arial" w:hAnsi="Arial" w:cs="Arial"/>
          <w:color w:val="17365D"/>
          <w:sz w:val="20"/>
          <w:szCs w:val="20"/>
        </w:rPr>
      </w:pPr>
      <w:r w:rsidRPr="00A94D8B">
        <w:rPr>
          <w:rFonts w:ascii="Arial" w:hAnsi="Arial" w:cs="Arial"/>
          <w:color w:val="17365D"/>
          <w:sz w:val="20"/>
          <w:szCs w:val="20"/>
        </w:rPr>
        <w:br w:type="page"/>
      </w:r>
    </w:p>
    <w:p w:rsidR="003D513A" w:rsidRPr="00A94D8B" w:rsidRDefault="003D513A" w:rsidP="00AD1C0A">
      <w:pPr>
        <w:pStyle w:val="Frontpage"/>
        <w:jc w:val="center"/>
        <w:rPr>
          <w:rFonts w:ascii="Arial" w:hAnsi="Arial" w:cs="Arial"/>
          <w:color w:val="17365D"/>
          <w:sz w:val="20"/>
          <w:szCs w:val="20"/>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4E7B95" w:rsidRPr="00A94D8B" w:rsidRDefault="004E7B95" w:rsidP="00AD1C0A">
      <w:pPr>
        <w:pStyle w:val="Frontpage"/>
        <w:jc w:val="center"/>
        <w:rPr>
          <w:rFonts w:cs="Arial"/>
          <w:color w:val="1F497D"/>
          <w:sz w:val="22"/>
          <w:szCs w:val="22"/>
        </w:rPr>
      </w:pPr>
    </w:p>
    <w:p w:rsidR="004E7B95" w:rsidRPr="00A94D8B" w:rsidRDefault="004E7B95" w:rsidP="00AD1C0A">
      <w:pPr>
        <w:pStyle w:val="Frontpage"/>
        <w:jc w:val="center"/>
        <w:rPr>
          <w:rFonts w:cs="Arial"/>
          <w:color w:val="1F497D"/>
          <w:sz w:val="22"/>
          <w:szCs w:val="22"/>
        </w:rPr>
      </w:pPr>
    </w:p>
    <w:p w:rsidR="004E7B95" w:rsidRPr="00A94D8B" w:rsidRDefault="004E7B95"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D30281" w:rsidRPr="00A94D8B" w:rsidRDefault="002930FB" w:rsidP="00AD1C0A">
      <w:pPr>
        <w:pStyle w:val="Frontpage"/>
        <w:ind w:left="-284" w:right="-142"/>
        <w:jc w:val="center"/>
        <w:rPr>
          <w:rFonts w:cs="Arial"/>
          <w:color w:val="1F497D"/>
          <w:sz w:val="22"/>
          <w:szCs w:val="22"/>
        </w:rPr>
      </w:pPr>
      <w:r w:rsidRPr="00A94D8B">
        <w:rPr>
          <w:rFonts w:cs="Arial"/>
          <w:color w:val="1F497D"/>
          <w:sz w:val="22"/>
          <w:szCs w:val="22"/>
        </w:rPr>
        <w:t>This evaluation is supported and guided by the European Commission and presented by the Euronet</w:t>
      </w:r>
    </w:p>
    <w:p w:rsidR="003D513A" w:rsidRPr="00A94D8B" w:rsidRDefault="002930FB" w:rsidP="00AD1C0A">
      <w:pPr>
        <w:pStyle w:val="Frontpage"/>
        <w:ind w:left="-284" w:right="-142"/>
        <w:jc w:val="center"/>
        <w:rPr>
          <w:rFonts w:cs="Arial"/>
          <w:color w:val="1F497D"/>
          <w:sz w:val="22"/>
          <w:szCs w:val="22"/>
        </w:rPr>
      </w:pPr>
      <w:r w:rsidRPr="00A94D8B">
        <w:rPr>
          <w:rFonts w:cs="Arial"/>
          <w:color w:val="1F497D"/>
          <w:sz w:val="22"/>
          <w:szCs w:val="22"/>
        </w:rPr>
        <w:t>Consortium</w:t>
      </w:r>
      <w:r w:rsidR="00D30281" w:rsidRPr="00A94D8B">
        <w:rPr>
          <w:rFonts w:cs="Arial"/>
          <w:color w:val="1F497D"/>
          <w:sz w:val="22"/>
          <w:szCs w:val="22"/>
        </w:rPr>
        <w:t>.</w:t>
      </w:r>
      <w:r w:rsidRPr="00A94D8B">
        <w:rPr>
          <w:rFonts w:cs="Arial"/>
          <w:color w:val="1F497D"/>
          <w:sz w:val="22"/>
          <w:szCs w:val="22"/>
        </w:rPr>
        <w:t xml:space="preserve"> </w:t>
      </w:r>
      <w:r w:rsidR="00D30281" w:rsidRPr="00A94D8B">
        <w:rPr>
          <w:rFonts w:cs="Arial"/>
          <w:color w:val="1F497D"/>
          <w:sz w:val="22"/>
          <w:szCs w:val="22"/>
        </w:rPr>
        <w:t xml:space="preserve"> </w:t>
      </w:r>
      <w:r w:rsidRPr="00A94D8B">
        <w:rPr>
          <w:rFonts w:cs="Arial"/>
          <w:color w:val="1F497D"/>
          <w:sz w:val="22"/>
          <w:szCs w:val="22"/>
        </w:rPr>
        <w:t>The report does not necessarily reflect the views and opinions of the European Commission</w:t>
      </w:r>
      <w:r w:rsidR="00D30281" w:rsidRPr="00A94D8B">
        <w:rPr>
          <w:rFonts w:cs="Arial"/>
          <w:color w:val="1F497D"/>
          <w:sz w:val="22"/>
          <w:szCs w:val="22"/>
        </w:rPr>
        <w:t>.</w:t>
      </w: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87037A" w:rsidP="00AD1C0A">
      <w:pPr>
        <w:pStyle w:val="Frontpage"/>
        <w:jc w:val="center"/>
        <w:rPr>
          <w:rFonts w:cs="Arial"/>
          <w:color w:val="1F497D"/>
          <w:sz w:val="22"/>
          <w:szCs w:val="22"/>
        </w:rPr>
      </w:pPr>
      <w:r w:rsidRPr="00A94D8B">
        <w:rPr>
          <w:rFonts w:cs="Arial"/>
          <w:color w:val="1F497D"/>
          <w:sz w:val="22"/>
          <w:szCs w:val="22"/>
        </w:rPr>
        <w:t>The mission was</w:t>
      </w:r>
      <w:r w:rsidR="003D513A" w:rsidRPr="00A94D8B">
        <w:rPr>
          <w:rFonts w:cs="Arial"/>
          <w:color w:val="1F497D"/>
          <w:sz w:val="22"/>
          <w:szCs w:val="22"/>
        </w:rPr>
        <w:t xml:space="preserve"> carried out by:</w:t>
      </w:r>
    </w:p>
    <w:p w:rsidR="00A64155" w:rsidRPr="00A94D8B" w:rsidRDefault="00A64155" w:rsidP="00AD1C0A">
      <w:pPr>
        <w:pStyle w:val="Frontpage"/>
        <w:jc w:val="center"/>
        <w:rPr>
          <w:rFonts w:cs="Arial"/>
          <w:color w:val="1F497D"/>
          <w:sz w:val="22"/>
          <w:szCs w:val="22"/>
        </w:rPr>
      </w:pPr>
    </w:p>
    <w:p w:rsidR="00F95527" w:rsidRPr="00A94D8B" w:rsidRDefault="00F95527" w:rsidP="00AD1C0A">
      <w:pPr>
        <w:pStyle w:val="Frontpage"/>
        <w:jc w:val="center"/>
        <w:rPr>
          <w:rFonts w:cs="Arial"/>
          <w:color w:val="1F497D"/>
          <w:sz w:val="22"/>
          <w:szCs w:val="22"/>
        </w:rPr>
      </w:pPr>
      <w:r w:rsidRPr="00A94D8B">
        <w:rPr>
          <w:rFonts w:cs="Arial"/>
          <w:color w:val="1F497D"/>
          <w:sz w:val="22"/>
          <w:szCs w:val="22"/>
        </w:rPr>
        <w:t>Egger TOPPER</w:t>
      </w:r>
    </w:p>
    <w:p w:rsidR="003D513A" w:rsidRPr="00A94D8B" w:rsidRDefault="00553B17" w:rsidP="00AD1C0A">
      <w:pPr>
        <w:pStyle w:val="Frontpage"/>
        <w:jc w:val="center"/>
        <w:rPr>
          <w:rFonts w:cs="Arial"/>
          <w:color w:val="1F497D"/>
          <w:sz w:val="22"/>
          <w:szCs w:val="22"/>
        </w:rPr>
      </w:pPr>
      <w:r w:rsidRPr="00A94D8B">
        <w:rPr>
          <w:rFonts w:cs="Arial"/>
          <w:color w:val="1F497D"/>
          <w:sz w:val="22"/>
          <w:szCs w:val="22"/>
        </w:rPr>
        <w:t>Dean PALLEN</w:t>
      </w:r>
    </w:p>
    <w:p w:rsidR="00F95527" w:rsidRPr="00A94D8B" w:rsidRDefault="00F95527"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r w:rsidRPr="00A94D8B">
        <w:rPr>
          <w:rFonts w:cs="Arial"/>
          <w:color w:val="1F497D"/>
          <w:sz w:val="22"/>
          <w:szCs w:val="22"/>
        </w:rPr>
        <w:t xml:space="preserve">Quality control: </w:t>
      </w:r>
      <w:r w:rsidR="00712E9F" w:rsidRPr="00A94D8B">
        <w:rPr>
          <w:rFonts w:cs="Arial"/>
          <w:color w:val="1F497D"/>
          <w:sz w:val="22"/>
          <w:szCs w:val="22"/>
        </w:rPr>
        <w:t>Dolf Noppen</w:t>
      </w:r>
      <w:r w:rsidR="002C16DB" w:rsidRPr="00A94D8B">
        <w:rPr>
          <w:rFonts w:cs="Arial"/>
          <w:color w:val="1F497D"/>
          <w:sz w:val="22"/>
          <w:szCs w:val="22"/>
        </w:rPr>
        <w:t xml:space="preserve"> &amp; Per Kirkeman</w:t>
      </w: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r w:rsidRPr="00A94D8B">
        <w:rPr>
          <w:rFonts w:cs="Arial"/>
          <w:color w:val="1F497D"/>
          <w:sz w:val="22"/>
          <w:szCs w:val="22"/>
        </w:rPr>
        <w:t>EURONET Consortium is composed of:</w:t>
      </w:r>
    </w:p>
    <w:p w:rsidR="003D513A" w:rsidRPr="0030600F" w:rsidRDefault="003D513A" w:rsidP="00AD1C0A">
      <w:pPr>
        <w:pStyle w:val="Frontpage"/>
        <w:jc w:val="center"/>
        <w:rPr>
          <w:rFonts w:cs="Arial"/>
          <w:color w:val="1F497D"/>
          <w:sz w:val="22"/>
          <w:szCs w:val="22"/>
          <w:lang w:val="it-IT"/>
        </w:rPr>
      </w:pPr>
      <w:r w:rsidRPr="0030600F">
        <w:rPr>
          <w:rFonts w:cs="Arial"/>
          <w:color w:val="1F497D"/>
          <w:sz w:val="22"/>
          <w:szCs w:val="22"/>
          <w:lang w:val="it-IT"/>
        </w:rPr>
        <w:t>Ardanuy, AGEG, ALATEC, Baastel, CERC, DHI, Euronet,</w:t>
      </w:r>
    </w:p>
    <w:p w:rsidR="003D513A" w:rsidRPr="0030600F" w:rsidRDefault="003D513A" w:rsidP="00AD1C0A">
      <w:pPr>
        <w:pStyle w:val="Frontpage"/>
        <w:jc w:val="center"/>
        <w:rPr>
          <w:rFonts w:cs="Arial"/>
          <w:color w:val="1F497D"/>
          <w:sz w:val="22"/>
          <w:szCs w:val="22"/>
          <w:lang w:val="it-IT"/>
        </w:rPr>
      </w:pPr>
      <w:r w:rsidRPr="0030600F">
        <w:rPr>
          <w:rFonts w:cs="Arial"/>
          <w:color w:val="1F497D"/>
          <w:sz w:val="22"/>
          <w:szCs w:val="22"/>
          <w:lang w:val="it-IT"/>
        </w:rPr>
        <w:t>Hydroconseil, Nordeco, NCG, and ORBICON.</w:t>
      </w:r>
    </w:p>
    <w:p w:rsidR="00E21A15" w:rsidRPr="0030600F" w:rsidRDefault="00E21A15" w:rsidP="00AD1C0A">
      <w:pPr>
        <w:pStyle w:val="Frontpage"/>
        <w:jc w:val="center"/>
        <w:rPr>
          <w:rFonts w:cs="Arial"/>
          <w:color w:val="1F497D"/>
          <w:sz w:val="22"/>
          <w:szCs w:val="22"/>
          <w:lang w:val="it-IT"/>
        </w:rPr>
      </w:pPr>
    </w:p>
    <w:p w:rsidR="003D513A" w:rsidRPr="00A94D8B" w:rsidRDefault="003D513A" w:rsidP="00AD1C0A">
      <w:pPr>
        <w:pStyle w:val="Frontpage"/>
        <w:jc w:val="center"/>
        <w:rPr>
          <w:rFonts w:cs="Arial"/>
          <w:color w:val="1F497D"/>
          <w:sz w:val="22"/>
          <w:szCs w:val="22"/>
        </w:rPr>
      </w:pPr>
      <w:r w:rsidRPr="00A94D8B">
        <w:rPr>
          <w:rFonts w:cs="Arial"/>
          <w:noProof/>
          <w:color w:val="1F497D"/>
          <w:sz w:val="22"/>
          <w:szCs w:val="22"/>
          <w:lang w:val="en-US"/>
        </w:rPr>
        <w:drawing>
          <wp:inline distT="0" distB="0" distL="0" distR="0">
            <wp:extent cx="5762625" cy="504825"/>
            <wp:effectExtent l="19050" t="0" r="0" b="0"/>
            <wp:docPr id="3" name="Bild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10" cstate="print"/>
                    <a:srcRect/>
                    <a:stretch>
                      <a:fillRect/>
                    </a:stretch>
                  </pic:blipFill>
                  <pic:spPr bwMode="auto">
                    <a:xfrm>
                      <a:off x="0" y="0"/>
                      <a:ext cx="5762625" cy="504825"/>
                    </a:xfrm>
                    <a:prstGeom prst="rect">
                      <a:avLst/>
                    </a:prstGeom>
                    <a:noFill/>
                    <a:ln w="9525">
                      <a:noFill/>
                      <a:miter lim="800000"/>
                      <a:headEnd/>
                      <a:tailEnd/>
                    </a:ln>
                  </pic:spPr>
                </pic:pic>
              </a:graphicData>
            </a:graphic>
          </wp:inline>
        </w:drawing>
      </w:r>
    </w:p>
    <w:p w:rsidR="003D513A" w:rsidRPr="00A94D8B" w:rsidRDefault="003D513A" w:rsidP="00AD1C0A">
      <w:pPr>
        <w:pStyle w:val="Frontpage"/>
        <w:jc w:val="center"/>
        <w:rPr>
          <w:rFonts w:cs="Arial"/>
          <w:color w:val="1F497D"/>
          <w:sz w:val="22"/>
          <w:szCs w:val="22"/>
        </w:rPr>
      </w:pPr>
    </w:p>
    <w:p w:rsidR="003D513A" w:rsidRPr="00A94D8B" w:rsidRDefault="003D513A" w:rsidP="00AD1C0A">
      <w:pPr>
        <w:ind w:left="-1411"/>
        <w:sectPr w:rsidR="003D513A" w:rsidRPr="00A94D8B">
          <w:headerReference w:type="first" r:id="rId11"/>
          <w:footerReference w:type="first" r:id="rId12"/>
          <w:pgSz w:w="11907" w:h="16839" w:code="9"/>
          <w:pgMar w:top="0" w:right="1275" w:bottom="0" w:left="1276" w:header="706" w:footer="706" w:gutter="0"/>
          <w:pgNumType w:fmt="lowerRoman" w:start="1"/>
          <w:cols w:space="708"/>
          <w:titlePg/>
          <w:docGrid w:linePitch="360"/>
        </w:sectPr>
      </w:pPr>
    </w:p>
    <w:p w:rsidR="00817C1D" w:rsidRPr="00A94D8B" w:rsidRDefault="003D513A" w:rsidP="00AD1C0A">
      <w:pPr>
        <w:pStyle w:val="IntroandAnnexheading"/>
        <w:jc w:val="both"/>
        <w:rPr>
          <w:lang w:val="en-GB"/>
        </w:rPr>
      </w:pPr>
      <w:bookmarkStart w:id="1" w:name="_Toc376936419"/>
      <w:r w:rsidRPr="00A94D8B">
        <w:rPr>
          <w:lang w:val="en-GB"/>
        </w:rPr>
        <w:t>Table of Contents</w:t>
      </w:r>
      <w:bookmarkEnd w:id="1"/>
    </w:p>
    <w:p w:rsidR="00B12CD3" w:rsidRPr="00A94D8B" w:rsidRDefault="00B12CD3" w:rsidP="00AD1C0A">
      <w:pPr>
        <w:pStyle w:val="IntroandAnnexheading"/>
        <w:jc w:val="both"/>
        <w:rPr>
          <w:lang w:val="en-GB"/>
        </w:rPr>
      </w:pPr>
    </w:p>
    <w:p w:rsidR="00281293" w:rsidRDefault="009D654C">
      <w:pPr>
        <w:pStyle w:val="TOC1"/>
        <w:rPr>
          <w:rFonts w:asciiTheme="minorHAnsi" w:eastAsiaTheme="minorEastAsia" w:hAnsiTheme="minorHAnsi" w:cstheme="minorBidi"/>
          <w:sz w:val="22"/>
          <w:szCs w:val="22"/>
          <w:lang w:val="en-US"/>
        </w:rPr>
      </w:pPr>
      <w:r w:rsidRPr="009D654C">
        <w:rPr>
          <w:b/>
          <w:smallCaps/>
        </w:rPr>
        <w:fldChar w:fldCharType="begin"/>
      </w:r>
      <w:r w:rsidR="000563DB" w:rsidRPr="00A94D8B">
        <w:rPr>
          <w:b/>
          <w:smallCaps/>
        </w:rPr>
        <w:instrText xml:space="preserve"> TOC \o "1-3" \h \z \t "Intro and Annex heading;1"  \* MERGEFORMAT </w:instrText>
      </w:r>
      <w:r w:rsidRPr="009D654C">
        <w:rPr>
          <w:b/>
          <w:smallCaps/>
        </w:rPr>
        <w:fldChar w:fldCharType="separate"/>
      </w:r>
      <w:hyperlink w:anchor="_Toc401041549" w:history="1">
        <w:r w:rsidR="00281293" w:rsidRPr="005C73AF">
          <w:rPr>
            <w:rStyle w:val="Hyperlink"/>
          </w:rPr>
          <w:t>ACRONYMS</w:t>
        </w:r>
        <w:r w:rsidR="00281293">
          <w:rPr>
            <w:webHidden/>
          </w:rPr>
          <w:tab/>
        </w:r>
        <w:r>
          <w:rPr>
            <w:webHidden/>
          </w:rPr>
          <w:fldChar w:fldCharType="begin"/>
        </w:r>
        <w:r w:rsidR="00281293">
          <w:rPr>
            <w:webHidden/>
          </w:rPr>
          <w:instrText xml:space="preserve"> PAGEREF _Toc401041549 \h </w:instrText>
        </w:r>
        <w:r>
          <w:rPr>
            <w:webHidden/>
          </w:rPr>
          <w:fldChar w:fldCharType="separate"/>
        </w:r>
        <w:r w:rsidR="00281293">
          <w:rPr>
            <w:webHidden/>
          </w:rPr>
          <w:t>2</w:t>
        </w:r>
        <w:r>
          <w:rPr>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50" w:history="1">
        <w:r w:rsidR="00281293" w:rsidRPr="005C73AF">
          <w:rPr>
            <w:rStyle w:val="Hyperlink"/>
          </w:rPr>
          <w:t>1</w:t>
        </w:r>
        <w:r w:rsidR="00281293">
          <w:rPr>
            <w:rFonts w:asciiTheme="minorHAnsi" w:eastAsiaTheme="minorEastAsia" w:hAnsiTheme="minorHAnsi" w:cstheme="minorBidi"/>
            <w:sz w:val="22"/>
            <w:szCs w:val="22"/>
            <w:lang w:val="en-US"/>
          </w:rPr>
          <w:tab/>
        </w:r>
        <w:r w:rsidR="00281293" w:rsidRPr="005C73AF">
          <w:rPr>
            <w:rStyle w:val="Hyperlink"/>
          </w:rPr>
          <w:t>Executive Summary</w:t>
        </w:r>
        <w:r w:rsidR="00281293">
          <w:rPr>
            <w:webHidden/>
          </w:rPr>
          <w:tab/>
        </w:r>
        <w:r>
          <w:rPr>
            <w:webHidden/>
          </w:rPr>
          <w:fldChar w:fldCharType="begin"/>
        </w:r>
        <w:r w:rsidR="00281293">
          <w:rPr>
            <w:webHidden/>
          </w:rPr>
          <w:instrText xml:space="preserve"> PAGEREF _Toc401041550 \h </w:instrText>
        </w:r>
        <w:r>
          <w:rPr>
            <w:webHidden/>
          </w:rPr>
          <w:fldChar w:fldCharType="separate"/>
        </w:r>
        <w:r w:rsidR="00281293">
          <w:rPr>
            <w:webHidden/>
          </w:rPr>
          <w:t>4</w:t>
        </w:r>
        <w:r>
          <w:rPr>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51" w:history="1">
        <w:r w:rsidR="00281293" w:rsidRPr="005C73AF">
          <w:rPr>
            <w:rStyle w:val="Hyperlink"/>
          </w:rPr>
          <w:t>2</w:t>
        </w:r>
        <w:r w:rsidR="00281293">
          <w:rPr>
            <w:rFonts w:asciiTheme="minorHAnsi" w:eastAsiaTheme="minorEastAsia" w:hAnsiTheme="minorHAnsi" w:cstheme="minorBidi"/>
            <w:sz w:val="22"/>
            <w:szCs w:val="22"/>
            <w:lang w:val="en-US"/>
          </w:rPr>
          <w:tab/>
        </w:r>
        <w:r w:rsidR="00281293" w:rsidRPr="005C73AF">
          <w:rPr>
            <w:rStyle w:val="Hyperlink"/>
          </w:rPr>
          <w:t>Introduction</w:t>
        </w:r>
        <w:r w:rsidR="00281293">
          <w:rPr>
            <w:webHidden/>
          </w:rPr>
          <w:tab/>
        </w:r>
        <w:r>
          <w:rPr>
            <w:webHidden/>
          </w:rPr>
          <w:fldChar w:fldCharType="begin"/>
        </w:r>
        <w:r w:rsidR="00281293">
          <w:rPr>
            <w:webHidden/>
          </w:rPr>
          <w:instrText xml:space="preserve"> PAGEREF _Toc401041551 \h </w:instrText>
        </w:r>
        <w:r>
          <w:rPr>
            <w:webHidden/>
          </w:rPr>
          <w:fldChar w:fldCharType="separate"/>
        </w:r>
        <w:r w:rsidR="00281293">
          <w:rPr>
            <w:webHidden/>
          </w:rPr>
          <w:t>11</w:t>
        </w:r>
        <w:r>
          <w:rPr>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52" w:history="1">
        <w:r w:rsidR="00281293" w:rsidRPr="005C73AF">
          <w:rPr>
            <w:rStyle w:val="Hyperlink"/>
            <w:noProof/>
          </w:rPr>
          <w:t>2.1</w:t>
        </w:r>
        <w:r w:rsidR="00281293">
          <w:rPr>
            <w:rFonts w:asciiTheme="minorHAnsi" w:eastAsiaTheme="minorEastAsia" w:hAnsiTheme="minorHAnsi" w:cstheme="minorBidi"/>
            <w:noProof/>
            <w:sz w:val="22"/>
            <w:szCs w:val="22"/>
            <w:lang w:val="en-US"/>
          </w:rPr>
          <w:tab/>
        </w:r>
        <w:r w:rsidR="00281293" w:rsidRPr="005C73AF">
          <w:rPr>
            <w:rStyle w:val="Hyperlink"/>
            <w:noProof/>
          </w:rPr>
          <w:t>Context of the evaluation</w:t>
        </w:r>
        <w:r w:rsidR="00281293">
          <w:rPr>
            <w:noProof/>
            <w:webHidden/>
          </w:rPr>
          <w:tab/>
        </w:r>
        <w:r>
          <w:rPr>
            <w:noProof/>
            <w:webHidden/>
          </w:rPr>
          <w:fldChar w:fldCharType="begin"/>
        </w:r>
        <w:r w:rsidR="00281293">
          <w:rPr>
            <w:noProof/>
            <w:webHidden/>
          </w:rPr>
          <w:instrText xml:space="preserve"> PAGEREF _Toc401041552 \h </w:instrText>
        </w:r>
        <w:r w:rsidR="00CE029F">
          <w:rPr>
            <w:noProof/>
          </w:rPr>
        </w:r>
        <w:r>
          <w:rPr>
            <w:noProof/>
            <w:webHidden/>
          </w:rPr>
          <w:fldChar w:fldCharType="separate"/>
        </w:r>
        <w:r w:rsidR="00281293">
          <w:rPr>
            <w:noProof/>
            <w:webHidden/>
          </w:rPr>
          <w:t>11</w:t>
        </w:r>
        <w:r>
          <w:rPr>
            <w:noProof/>
            <w:webHidden/>
          </w:rPr>
          <w:fldChar w:fldCharType="end"/>
        </w:r>
      </w:hyperlink>
    </w:p>
    <w:p w:rsidR="00281293" w:rsidRDefault="009D654C">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3" w:history="1">
        <w:r w:rsidR="00281293" w:rsidRPr="005C73AF">
          <w:rPr>
            <w:rStyle w:val="Hyperlink"/>
            <w:noProof/>
          </w:rPr>
          <w:t>2.1.1</w:t>
        </w:r>
        <w:r w:rsidR="00281293">
          <w:rPr>
            <w:rFonts w:asciiTheme="minorHAnsi" w:eastAsiaTheme="minorEastAsia" w:hAnsiTheme="minorHAnsi" w:cstheme="minorBidi"/>
            <w:noProof/>
            <w:sz w:val="22"/>
            <w:szCs w:val="22"/>
            <w:lang w:val="en-US"/>
          </w:rPr>
          <w:tab/>
        </w:r>
        <w:r w:rsidR="00281293" w:rsidRPr="005C73AF">
          <w:rPr>
            <w:rStyle w:val="Hyperlink"/>
            <w:noProof/>
          </w:rPr>
          <w:t>The evaluation assignment</w:t>
        </w:r>
        <w:r w:rsidR="00281293">
          <w:rPr>
            <w:noProof/>
            <w:webHidden/>
          </w:rPr>
          <w:tab/>
        </w:r>
        <w:r>
          <w:rPr>
            <w:noProof/>
            <w:webHidden/>
          </w:rPr>
          <w:fldChar w:fldCharType="begin"/>
        </w:r>
        <w:r w:rsidR="00281293">
          <w:rPr>
            <w:noProof/>
            <w:webHidden/>
          </w:rPr>
          <w:instrText xml:space="preserve"> PAGEREF _Toc401041553 \h </w:instrText>
        </w:r>
        <w:r w:rsidR="00CE029F">
          <w:rPr>
            <w:noProof/>
          </w:rPr>
        </w:r>
        <w:r>
          <w:rPr>
            <w:noProof/>
            <w:webHidden/>
          </w:rPr>
          <w:fldChar w:fldCharType="separate"/>
        </w:r>
        <w:r w:rsidR="00281293">
          <w:rPr>
            <w:noProof/>
            <w:webHidden/>
          </w:rPr>
          <w:t>11</w:t>
        </w:r>
        <w:r>
          <w:rPr>
            <w:noProof/>
            <w:webHidden/>
          </w:rPr>
          <w:fldChar w:fldCharType="end"/>
        </w:r>
      </w:hyperlink>
    </w:p>
    <w:p w:rsidR="00281293" w:rsidRDefault="009D654C">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4" w:history="1">
        <w:r w:rsidR="00281293" w:rsidRPr="005C73AF">
          <w:rPr>
            <w:rStyle w:val="Hyperlink"/>
            <w:noProof/>
          </w:rPr>
          <w:t>2.1.2</w:t>
        </w:r>
        <w:r w:rsidR="00281293">
          <w:rPr>
            <w:rFonts w:asciiTheme="minorHAnsi" w:eastAsiaTheme="minorEastAsia" w:hAnsiTheme="minorHAnsi" w:cstheme="minorBidi"/>
            <w:noProof/>
            <w:sz w:val="22"/>
            <w:szCs w:val="22"/>
            <w:lang w:val="en-US"/>
          </w:rPr>
          <w:tab/>
        </w:r>
        <w:r w:rsidR="00281293" w:rsidRPr="005C73AF">
          <w:rPr>
            <w:rStyle w:val="Hyperlink"/>
            <w:noProof/>
          </w:rPr>
          <w:t>The GCCA</w:t>
        </w:r>
        <w:r w:rsidR="00281293">
          <w:rPr>
            <w:noProof/>
            <w:webHidden/>
          </w:rPr>
          <w:tab/>
        </w:r>
        <w:r>
          <w:rPr>
            <w:noProof/>
            <w:webHidden/>
          </w:rPr>
          <w:fldChar w:fldCharType="begin"/>
        </w:r>
        <w:r w:rsidR="00281293">
          <w:rPr>
            <w:noProof/>
            <w:webHidden/>
          </w:rPr>
          <w:instrText xml:space="preserve"> PAGEREF _Toc401041554 \h </w:instrText>
        </w:r>
        <w:r w:rsidR="00CE029F">
          <w:rPr>
            <w:noProof/>
          </w:rPr>
        </w:r>
        <w:r>
          <w:rPr>
            <w:noProof/>
            <w:webHidden/>
          </w:rPr>
          <w:fldChar w:fldCharType="separate"/>
        </w:r>
        <w:r w:rsidR="00281293">
          <w:rPr>
            <w:noProof/>
            <w:webHidden/>
          </w:rPr>
          <w:t>12</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55" w:history="1">
        <w:r w:rsidR="00281293" w:rsidRPr="005C73AF">
          <w:rPr>
            <w:rStyle w:val="Hyperlink"/>
            <w:noProof/>
          </w:rPr>
          <w:t>2.2</w:t>
        </w:r>
        <w:r w:rsidR="00281293">
          <w:rPr>
            <w:rFonts w:asciiTheme="minorHAnsi" w:eastAsiaTheme="minorEastAsia" w:hAnsiTheme="minorHAnsi" w:cstheme="minorBidi"/>
            <w:noProof/>
            <w:sz w:val="22"/>
            <w:szCs w:val="22"/>
            <w:lang w:val="en-US"/>
          </w:rPr>
          <w:tab/>
        </w:r>
        <w:r w:rsidR="00281293" w:rsidRPr="005C73AF">
          <w:rPr>
            <w:rStyle w:val="Hyperlink"/>
            <w:noProof/>
          </w:rPr>
          <w:t>Methodology</w:t>
        </w:r>
        <w:r w:rsidR="00281293">
          <w:rPr>
            <w:noProof/>
            <w:webHidden/>
          </w:rPr>
          <w:tab/>
        </w:r>
        <w:r>
          <w:rPr>
            <w:noProof/>
            <w:webHidden/>
          </w:rPr>
          <w:fldChar w:fldCharType="begin"/>
        </w:r>
        <w:r w:rsidR="00281293">
          <w:rPr>
            <w:noProof/>
            <w:webHidden/>
          </w:rPr>
          <w:instrText xml:space="preserve"> PAGEREF _Toc401041555 \h </w:instrText>
        </w:r>
        <w:r w:rsidR="00CE029F">
          <w:rPr>
            <w:noProof/>
          </w:rPr>
        </w:r>
        <w:r>
          <w:rPr>
            <w:noProof/>
            <w:webHidden/>
          </w:rPr>
          <w:fldChar w:fldCharType="separate"/>
        </w:r>
        <w:r w:rsidR="00281293">
          <w:rPr>
            <w:noProof/>
            <w:webHidden/>
          </w:rPr>
          <w:t>15</w:t>
        </w:r>
        <w:r>
          <w:rPr>
            <w:noProof/>
            <w:webHidden/>
          </w:rPr>
          <w:fldChar w:fldCharType="end"/>
        </w:r>
      </w:hyperlink>
    </w:p>
    <w:p w:rsidR="00281293" w:rsidRDefault="009D654C">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6" w:history="1">
        <w:r w:rsidR="00281293" w:rsidRPr="005C73AF">
          <w:rPr>
            <w:rStyle w:val="Hyperlink"/>
            <w:noProof/>
          </w:rPr>
          <w:t>2.2.1</w:t>
        </w:r>
        <w:r w:rsidR="00281293">
          <w:rPr>
            <w:rFonts w:asciiTheme="minorHAnsi" w:eastAsiaTheme="minorEastAsia" w:hAnsiTheme="minorHAnsi" w:cstheme="minorBidi"/>
            <w:noProof/>
            <w:sz w:val="22"/>
            <w:szCs w:val="22"/>
            <w:lang w:val="en-US"/>
          </w:rPr>
          <w:tab/>
        </w:r>
        <w:r w:rsidR="00281293" w:rsidRPr="005C73AF">
          <w:rPr>
            <w:rStyle w:val="Hyperlink"/>
            <w:noProof/>
          </w:rPr>
          <w:t>Evaluation questions</w:t>
        </w:r>
        <w:r w:rsidR="00281293">
          <w:rPr>
            <w:noProof/>
            <w:webHidden/>
          </w:rPr>
          <w:tab/>
        </w:r>
        <w:r>
          <w:rPr>
            <w:noProof/>
            <w:webHidden/>
          </w:rPr>
          <w:fldChar w:fldCharType="begin"/>
        </w:r>
        <w:r w:rsidR="00281293">
          <w:rPr>
            <w:noProof/>
            <w:webHidden/>
          </w:rPr>
          <w:instrText xml:space="preserve"> PAGEREF _Toc401041556 \h </w:instrText>
        </w:r>
        <w:r w:rsidR="00CE029F">
          <w:rPr>
            <w:noProof/>
          </w:rPr>
        </w:r>
        <w:r>
          <w:rPr>
            <w:noProof/>
            <w:webHidden/>
          </w:rPr>
          <w:fldChar w:fldCharType="separate"/>
        </w:r>
        <w:r w:rsidR="00281293">
          <w:rPr>
            <w:noProof/>
            <w:webHidden/>
          </w:rPr>
          <w:t>15</w:t>
        </w:r>
        <w:r>
          <w:rPr>
            <w:noProof/>
            <w:webHidden/>
          </w:rPr>
          <w:fldChar w:fldCharType="end"/>
        </w:r>
      </w:hyperlink>
    </w:p>
    <w:p w:rsidR="00281293" w:rsidRDefault="009D654C">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7" w:history="1">
        <w:r w:rsidR="00281293" w:rsidRPr="005C73AF">
          <w:rPr>
            <w:rStyle w:val="Hyperlink"/>
            <w:noProof/>
          </w:rPr>
          <w:t>2.2.2</w:t>
        </w:r>
        <w:r w:rsidR="00281293">
          <w:rPr>
            <w:rFonts w:asciiTheme="minorHAnsi" w:eastAsiaTheme="minorEastAsia" w:hAnsiTheme="minorHAnsi" w:cstheme="minorBidi"/>
            <w:noProof/>
            <w:sz w:val="22"/>
            <w:szCs w:val="22"/>
            <w:lang w:val="en-US"/>
          </w:rPr>
          <w:tab/>
        </w:r>
        <w:r w:rsidR="00281293" w:rsidRPr="005C73AF">
          <w:rPr>
            <w:rStyle w:val="Hyperlink"/>
            <w:noProof/>
          </w:rPr>
          <w:t>Evaluation Matrix</w:t>
        </w:r>
        <w:r w:rsidR="00281293">
          <w:rPr>
            <w:noProof/>
            <w:webHidden/>
          </w:rPr>
          <w:tab/>
        </w:r>
        <w:r>
          <w:rPr>
            <w:noProof/>
            <w:webHidden/>
          </w:rPr>
          <w:fldChar w:fldCharType="begin"/>
        </w:r>
        <w:r w:rsidR="00281293">
          <w:rPr>
            <w:noProof/>
            <w:webHidden/>
          </w:rPr>
          <w:instrText xml:space="preserve"> PAGEREF _Toc401041557 \h </w:instrText>
        </w:r>
        <w:r w:rsidR="00CE029F">
          <w:rPr>
            <w:noProof/>
          </w:rPr>
        </w:r>
        <w:r>
          <w:rPr>
            <w:noProof/>
            <w:webHidden/>
          </w:rPr>
          <w:fldChar w:fldCharType="separate"/>
        </w:r>
        <w:r w:rsidR="00281293">
          <w:rPr>
            <w:noProof/>
            <w:webHidden/>
          </w:rPr>
          <w:t>16</w:t>
        </w:r>
        <w:r>
          <w:rPr>
            <w:noProof/>
            <w:webHidden/>
          </w:rPr>
          <w:fldChar w:fldCharType="end"/>
        </w:r>
      </w:hyperlink>
    </w:p>
    <w:p w:rsidR="00281293" w:rsidRDefault="009D654C">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8" w:history="1">
        <w:r w:rsidR="00281293" w:rsidRPr="005C73AF">
          <w:rPr>
            <w:rStyle w:val="Hyperlink"/>
            <w:noProof/>
          </w:rPr>
          <w:t>2.2.3</w:t>
        </w:r>
        <w:r w:rsidR="00281293">
          <w:rPr>
            <w:rFonts w:asciiTheme="minorHAnsi" w:eastAsiaTheme="minorEastAsia" w:hAnsiTheme="minorHAnsi" w:cstheme="minorBidi"/>
            <w:noProof/>
            <w:sz w:val="22"/>
            <w:szCs w:val="22"/>
            <w:lang w:val="en-US"/>
          </w:rPr>
          <w:tab/>
        </w:r>
        <w:r w:rsidR="00281293" w:rsidRPr="005C73AF">
          <w:rPr>
            <w:rStyle w:val="Hyperlink"/>
            <w:noProof/>
          </w:rPr>
          <w:t>Scoring table</w:t>
        </w:r>
        <w:r w:rsidR="00281293">
          <w:rPr>
            <w:noProof/>
            <w:webHidden/>
          </w:rPr>
          <w:tab/>
        </w:r>
        <w:r>
          <w:rPr>
            <w:noProof/>
            <w:webHidden/>
          </w:rPr>
          <w:fldChar w:fldCharType="begin"/>
        </w:r>
        <w:r w:rsidR="00281293">
          <w:rPr>
            <w:noProof/>
            <w:webHidden/>
          </w:rPr>
          <w:instrText xml:space="preserve"> PAGEREF _Toc401041558 \h </w:instrText>
        </w:r>
        <w:r w:rsidR="00CE029F">
          <w:rPr>
            <w:noProof/>
          </w:rPr>
        </w:r>
        <w:r>
          <w:rPr>
            <w:noProof/>
            <w:webHidden/>
          </w:rPr>
          <w:fldChar w:fldCharType="separate"/>
        </w:r>
        <w:r w:rsidR="00281293">
          <w:rPr>
            <w:noProof/>
            <w:webHidden/>
          </w:rPr>
          <w:t>17</w:t>
        </w:r>
        <w:r>
          <w:rPr>
            <w:noProof/>
            <w:webHidden/>
          </w:rPr>
          <w:fldChar w:fldCharType="end"/>
        </w:r>
      </w:hyperlink>
    </w:p>
    <w:p w:rsidR="00281293" w:rsidRDefault="009D654C">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9" w:history="1">
        <w:r w:rsidR="00281293" w:rsidRPr="005C73AF">
          <w:rPr>
            <w:rStyle w:val="Hyperlink"/>
            <w:noProof/>
          </w:rPr>
          <w:t>2.2.4</w:t>
        </w:r>
        <w:r w:rsidR="00281293">
          <w:rPr>
            <w:rFonts w:asciiTheme="minorHAnsi" w:eastAsiaTheme="minorEastAsia" w:hAnsiTheme="minorHAnsi" w:cstheme="minorBidi"/>
            <w:noProof/>
            <w:sz w:val="22"/>
            <w:szCs w:val="22"/>
            <w:lang w:val="en-US"/>
          </w:rPr>
          <w:tab/>
        </w:r>
        <w:r w:rsidR="00281293" w:rsidRPr="005C73AF">
          <w:rPr>
            <w:rStyle w:val="Hyperlink"/>
            <w:noProof/>
          </w:rPr>
          <w:t>Reflections on the methodology</w:t>
        </w:r>
        <w:r w:rsidR="00281293">
          <w:rPr>
            <w:noProof/>
            <w:webHidden/>
          </w:rPr>
          <w:tab/>
        </w:r>
        <w:r>
          <w:rPr>
            <w:noProof/>
            <w:webHidden/>
          </w:rPr>
          <w:fldChar w:fldCharType="begin"/>
        </w:r>
        <w:r w:rsidR="00281293">
          <w:rPr>
            <w:noProof/>
            <w:webHidden/>
          </w:rPr>
          <w:instrText xml:space="preserve"> PAGEREF _Toc401041559 \h </w:instrText>
        </w:r>
        <w:r w:rsidR="00CE029F">
          <w:rPr>
            <w:noProof/>
          </w:rPr>
        </w:r>
        <w:r>
          <w:rPr>
            <w:noProof/>
            <w:webHidden/>
          </w:rPr>
          <w:fldChar w:fldCharType="separate"/>
        </w:r>
        <w:r w:rsidR="00281293">
          <w:rPr>
            <w:noProof/>
            <w:webHidden/>
          </w:rPr>
          <w:t>17</w:t>
        </w:r>
        <w:r>
          <w:rPr>
            <w:noProof/>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60" w:history="1">
        <w:r w:rsidR="00281293" w:rsidRPr="005C73AF">
          <w:rPr>
            <w:rStyle w:val="Hyperlink"/>
          </w:rPr>
          <w:t>3</w:t>
        </w:r>
        <w:r w:rsidR="00281293">
          <w:rPr>
            <w:rFonts w:asciiTheme="minorHAnsi" w:eastAsiaTheme="minorEastAsia" w:hAnsiTheme="minorHAnsi" w:cstheme="minorBidi"/>
            <w:sz w:val="22"/>
            <w:szCs w:val="22"/>
            <w:lang w:val="en-US"/>
          </w:rPr>
          <w:tab/>
        </w:r>
        <w:r w:rsidR="00281293" w:rsidRPr="005C73AF">
          <w:rPr>
            <w:rStyle w:val="Hyperlink"/>
          </w:rPr>
          <w:t>Main findings</w:t>
        </w:r>
        <w:r w:rsidR="00281293">
          <w:rPr>
            <w:webHidden/>
          </w:rPr>
          <w:tab/>
        </w:r>
        <w:r>
          <w:rPr>
            <w:webHidden/>
          </w:rPr>
          <w:fldChar w:fldCharType="begin"/>
        </w:r>
        <w:r w:rsidR="00281293">
          <w:rPr>
            <w:webHidden/>
          </w:rPr>
          <w:instrText xml:space="preserve"> PAGEREF _Toc401041560 \h </w:instrText>
        </w:r>
        <w:r>
          <w:rPr>
            <w:webHidden/>
          </w:rPr>
          <w:fldChar w:fldCharType="separate"/>
        </w:r>
        <w:r w:rsidR="00281293">
          <w:rPr>
            <w:webHidden/>
          </w:rPr>
          <w:t>19</w:t>
        </w:r>
        <w:r>
          <w:rPr>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1" w:history="1">
        <w:r w:rsidR="00281293" w:rsidRPr="005C73AF">
          <w:rPr>
            <w:rStyle w:val="Hyperlink"/>
            <w:noProof/>
          </w:rPr>
          <w:t>3.1</w:t>
        </w:r>
        <w:r w:rsidR="00281293">
          <w:rPr>
            <w:rFonts w:asciiTheme="minorHAnsi" w:eastAsiaTheme="minorEastAsia" w:hAnsiTheme="minorHAnsi" w:cstheme="minorBidi"/>
            <w:noProof/>
            <w:sz w:val="22"/>
            <w:szCs w:val="22"/>
            <w:lang w:val="en-US"/>
          </w:rPr>
          <w:tab/>
        </w:r>
        <w:r w:rsidR="00281293" w:rsidRPr="005C73AF">
          <w:rPr>
            <w:rStyle w:val="Hyperlink"/>
            <w:noProof/>
          </w:rPr>
          <w:t>On relevance (problems and needs):</w:t>
        </w:r>
        <w:r w:rsidR="00281293">
          <w:rPr>
            <w:noProof/>
            <w:webHidden/>
          </w:rPr>
          <w:tab/>
        </w:r>
        <w:r>
          <w:rPr>
            <w:noProof/>
            <w:webHidden/>
          </w:rPr>
          <w:fldChar w:fldCharType="begin"/>
        </w:r>
        <w:r w:rsidR="00281293">
          <w:rPr>
            <w:noProof/>
            <w:webHidden/>
          </w:rPr>
          <w:instrText xml:space="preserve"> PAGEREF _Toc401041561 \h </w:instrText>
        </w:r>
        <w:r w:rsidR="00CE029F">
          <w:rPr>
            <w:noProof/>
          </w:rPr>
        </w:r>
        <w:r>
          <w:rPr>
            <w:noProof/>
            <w:webHidden/>
          </w:rPr>
          <w:fldChar w:fldCharType="separate"/>
        </w:r>
        <w:r w:rsidR="00281293">
          <w:rPr>
            <w:noProof/>
            <w:webHidden/>
          </w:rPr>
          <w:t>19</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2" w:history="1">
        <w:r w:rsidR="00281293" w:rsidRPr="005C73AF">
          <w:rPr>
            <w:rStyle w:val="Hyperlink"/>
            <w:noProof/>
          </w:rPr>
          <w:t>3.2</w:t>
        </w:r>
        <w:r w:rsidR="00281293">
          <w:rPr>
            <w:rFonts w:asciiTheme="minorHAnsi" w:eastAsiaTheme="minorEastAsia" w:hAnsiTheme="minorHAnsi" w:cstheme="minorBidi"/>
            <w:noProof/>
            <w:sz w:val="22"/>
            <w:szCs w:val="22"/>
            <w:lang w:val="en-US"/>
          </w:rPr>
          <w:tab/>
        </w:r>
        <w:r w:rsidR="00281293" w:rsidRPr="005C73AF">
          <w:rPr>
            <w:rStyle w:val="Hyperlink"/>
            <w:noProof/>
          </w:rPr>
          <w:t>On design:</w:t>
        </w:r>
        <w:r w:rsidR="00281293">
          <w:rPr>
            <w:noProof/>
            <w:webHidden/>
          </w:rPr>
          <w:tab/>
        </w:r>
        <w:r>
          <w:rPr>
            <w:noProof/>
            <w:webHidden/>
          </w:rPr>
          <w:fldChar w:fldCharType="begin"/>
        </w:r>
        <w:r w:rsidR="00281293">
          <w:rPr>
            <w:noProof/>
            <w:webHidden/>
          </w:rPr>
          <w:instrText xml:space="preserve"> PAGEREF _Toc401041562 \h </w:instrText>
        </w:r>
        <w:r w:rsidR="00CE029F">
          <w:rPr>
            <w:noProof/>
          </w:rPr>
        </w:r>
        <w:r>
          <w:rPr>
            <w:noProof/>
            <w:webHidden/>
          </w:rPr>
          <w:fldChar w:fldCharType="separate"/>
        </w:r>
        <w:r w:rsidR="00281293">
          <w:rPr>
            <w:noProof/>
            <w:webHidden/>
          </w:rPr>
          <w:t>23</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3" w:history="1">
        <w:r w:rsidR="00281293" w:rsidRPr="005C73AF">
          <w:rPr>
            <w:rStyle w:val="Hyperlink"/>
            <w:noProof/>
          </w:rPr>
          <w:t>3.3</w:t>
        </w:r>
        <w:r w:rsidR="00281293">
          <w:rPr>
            <w:rFonts w:asciiTheme="minorHAnsi" w:eastAsiaTheme="minorEastAsia" w:hAnsiTheme="minorHAnsi" w:cstheme="minorBidi"/>
            <w:noProof/>
            <w:sz w:val="22"/>
            <w:szCs w:val="22"/>
            <w:lang w:val="en-US"/>
          </w:rPr>
          <w:tab/>
        </w:r>
        <w:r w:rsidR="00281293" w:rsidRPr="005C73AF">
          <w:rPr>
            <w:rStyle w:val="Hyperlink"/>
            <w:noProof/>
          </w:rPr>
          <w:t>On effectiveness (achievement of purpose):</w:t>
        </w:r>
        <w:r w:rsidR="00281293">
          <w:rPr>
            <w:noProof/>
            <w:webHidden/>
          </w:rPr>
          <w:tab/>
        </w:r>
        <w:r>
          <w:rPr>
            <w:noProof/>
            <w:webHidden/>
          </w:rPr>
          <w:fldChar w:fldCharType="begin"/>
        </w:r>
        <w:r w:rsidR="00281293">
          <w:rPr>
            <w:noProof/>
            <w:webHidden/>
          </w:rPr>
          <w:instrText xml:space="preserve"> PAGEREF _Toc401041563 \h </w:instrText>
        </w:r>
        <w:r w:rsidR="00CE029F">
          <w:rPr>
            <w:noProof/>
          </w:rPr>
        </w:r>
        <w:r>
          <w:rPr>
            <w:noProof/>
            <w:webHidden/>
          </w:rPr>
          <w:fldChar w:fldCharType="separate"/>
        </w:r>
        <w:r w:rsidR="00281293">
          <w:rPr>
            <w:noProof/>
            <w:webHidden/>
          </w:rPr>
          <w:t>26</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4" w:history="1">
        <w:r w:rsidR="00281293" w:rsidRPr="005C73AF">
          <w:rPr>
            <w:rStyle w:val="Hyperlink"/>
            <w:noProof/>
          </w:rPr>
          <w:t>3.4</w:t>
        </w:r>
        <w:r w:rsidR="00281293">
          <w:rPr>
            <w:rFonts w:asciiTheme="minorHAnsi" w:eastAsiaTheme="minorEastAsia" w:hAnsiTheme="minorHAnsi" w:cstheme="minorBidi"/>
            <w:noProof/>
            <w:sz w:val="22"/>
            <w:szCs w:val="22"/>
            <w:lang w:val="en-US"/>
          </w:rPr>
          <w:tab/>
        </w:r>
        <w:r w:rsidR="00281293" w:rsidRPr="005C73AF">
          <w:rPr>
            <w:rStyle w:val="Hyperlink"/>
            <w:noProof/>
          </w:rPr>
          <w:t>On efficiency (sound management and value for money):</w:t>
        </w:r>
        <w:r w:rsidR="00281293">
          <w:rPr>
            <w:noProof/>
            <w:webHidden/>
          </w:rPr>
          <w:tab/>
        </w:r>
        <w:r>
          <w:rPr>
            <w:noProof/>
            <w:webHidden/>
          </w:rPr>
          <w:fldChar w:fldCharType="begin"/>
        </w:r>
        <w:r w:rsidR="00281293">
          <w:rPr>
            <w:noProof/>
            <w:webHidden/>
          </w:rPr>
          <w:instrText xml:space="preserve"> PAGEREF _Toc401041564 \h </w:instrText>
        </w:r>
        <w:r w:rsidR="00CE029F">
          <w:rPr>
            <w:noProof/>
          </w:rPr>
        </w:r>
        <w:r>
          <w:rPr>
            <w:noProof/>
            <w:webHidden/>
          </w:rPr>
          <w:fldChar w:fldCharType="separate"/>
        </w:r>
        <w:r w:rsidR="00281293">
          <w:rPr>
            <w:noProof/>
            <w:webHidden/>
          </w:rPr>
          <w:t>32</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5" w:history="1">
        <w:r w:rsidR="00281293" w:rsidRPr="005C73AF">
          <w:rPr>
            <w:rStyle w:val="Hyperlink"/>
            <w:noProof/>
          </w:rPr>
          <w:t>3.5</w:t>
        </w:r>
        <w:r w:rsidR="00281293">
          <w:rPr>
            <w:rFonts w:asciiTheme="minorHAnsi" w:eastAsiaTheme="minorEastAsia" w:hAnsiTheme="minorHAnsi" w:cstheme="minorBidi"/>
            <w:noProof/>
            <w:sz w:val="22"/>
            <w:szCs w:val="22"/>
            <w:lang w:val="en-US"/>
          </w:rPr>
          <w:tab/>
        </w:r>
        <w:r w:rsidR="00281293" w:rsidRPr="005C73AF">
          <w:rPr>
            <w:rStyle w:val="Hyperlink"/>
            <w:noProof/>
          </w:rPr>
          <w:t>On impact (achievement of wider effects):</w:t>
        </w:r>
        <w:r w:rsidR="00281293">
          <w:rPr>
            <w:noProof/>
            <w:webHidden/>
          </w:rPr>
          <w:tab/>
        </w:r>
        <w:r>
          <w:rPr>
            <w:noProof/>
            <w:webHidden/>
          </w:rPr>
          <w:fldChar w:fldCharType="begin"/>
        </w:r>
        <w:r w:rsidR="00281293">
          <w:rPr>
            <w:noProof/>
            <w:webHidden/>
          </w:rPr>
          <w:instrText xml:space="preserve"> PAGEREF _Toc401041565 \h </w:instrText>
        </w:r>
        <w:r w:rsidR="00CE029F">
          <w:rPr>
            <w:noProof/>
          </w:rPr>
        </w:r>
        <w:r>
          <w:rPr>
            <w:noProof/>
            <w:webHidden/>
          </w:rPr>
          <w:fldChar w:fldCharType="separate"/>
        </w:r>
        <w:r w:rsidR="00281293">
          <w:rPr>
            <w:noProof/>
            <w:webHidden/>
          </w:rPr>
          <w:t>39</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6" w:history="1">
        <w:r w:rsidR="00281293" w:rsidRPr="005C73AF">
          <w:rPr>
            <w:rStyle w:val="Hyperlink"/>
            <w:noProof/>
          </w:rPr>
          <w:t>3.6</w:t>
        </w:r>
        <w:r w:rsidR="00281293">
          <w:rPr>
            <w:rFonts w:asciiTheme="minorHAnsi" w:eastAsiaTheme="minorEastAsia" w:hAnsiTheme="minorHAnsi" w:cstheme="minorBidi"/>
            <w:noProof/>
            <w:sz w:val="22"/>
            <w:szCs w:val="22"/>
            <w:lang w:val="en-US"/>
          </w:rPr>
          <w:tab/>
        </w:r>
        <w:r w:rsidR="00281293" w:rsidRPr="005C73AF">
          <w:rPr>
            <w:rStyle w:val="Hyperlink"/>
            <w:noProof/>
          </w:rPr>
          <w:t>On sustainability (likely continuation of achieved results):</w:t>
        </w:r>
        <w:r w:rsidR="00281293">
          <w:rPr>
            <w:noProof/>
            <w:webHidden/>
          </w:rPr>
          <w:tab/>
        </w:r>
        <w:r>
          <w:rPr>
            <w:noProof/>
            <w:webHidden/>
          </w:rPr>
          <w:fldChar w:fldCharType="begin"/>
        </w:r>
        <w:r w:rsidR="00281293">
          <w:rPr>
            <w:noProof/>
            <w:webHidden/>
          </w:rPr>
          <w:instrText xml:space="preserve"> PAGEREF _Toc401041566 \h </w:instrText>
        </w:r>
        <w:r w:rsidR="00CE029F">
          <w:rPr>
            <w:noProof/>
          </w:rPr>
        </w:r>
        <w:r>
          <w:rPr>
            <w:noProof/>
            <w:webHidden/>
          </w:rPr>
          <w:fldChar w:fldCharType="separate"/>
        </w:r>
        <w:r w:rsidR="00281293">
          <w:rPr>
            <w:noProof/>
            <w:webHidden/>
          </w:rPr>
          <w:t>43</w:t>
        </w:r>
        <w:r>
          <w:rPr>
            <w:noProof/>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67" w:history="1">
        <w:r w:rsidR="00281293" w:rsidRPr="005C73AF">
          <w:rPr>
            <w:rStyle w:val="Hyperlink"/>
          </w:rPr>
          <w:t>4</w:t>
        </w:r>
        <w:r w:rsidR="00281293">
          <w:rPr>
            <w:rFonts w:asciiTheme="minorHAnsi" w:eastAsiaTheme="minorEastAsia" w:hAnsiTheme="minorHAnsi" w:cstheme="minorBidi"/>
            <w:sz w:val="22"/>
            <w:szCs w:val="22"/>
            <w:lang w:val="en-US"/>
          </w:rPr>
          <w:tab/>
        </w:r>
        <w:r w:rsidR="00281293" w:rsidRPr="005C73AF">
          <w:rPr>
            <w:rStyle w:val="Hyperlink"/>
          </w:rPr>
          <w:t>Overall Assessment</w:t>
        </w:r>
        <w:r w:rsidR="00281293">
          <w:rPr>
            <w:webHidden/>
          </w:rPr>
          <w:tab/>
        </w:r>
        <w:r>
          <w:rPr>
            <w:webHidden/>
          </w:rPr>
          <w:fldChar w:fldCharType="begin"/>
        </w:r>
        <w:r w:rsidR="00281293">
          <w:rPr>
            <w:webHidden/>
          </w:rPr>
          <w:instrText xml:space="preserve"> PAGEREF _Toc401041567 \h </w:instrText>
        </w:r>
        <w:r>
          <w:rPr>
            <w:webHidden/>
          </w:rPr>
          <w:fldChar w:fldCharType="separate"/>
        </w:r>
        <w:r w:rsidR="00281293">
          <w:rPr>
            <w:webHidden/>
          </w:rPr>
          <w:t>45</w:t>
        </w:r>
        <w:r>
          <w:rPr>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68" w:history="1">
        <w:r w:rsidR="00281293" w:rsidRPr="005C73AF">
          <w:rPr>
            <w:rStyle w:val="Hyperlink"/>
            <w:spacing w:val="-10"/>
          </w:rPr>
          <w:t>5</w:t>
        </w:r>
        <w:r w:rsidR="00281293">
          <w:rPr>
            <w:rFonts w:asciiTheme="minorHAnsi" w:eastAsiaTheme="minorEastAsia" w:hAnsiTheme="minorHAnsi" w:cstheme="minorBidi"/>
            <w:sz w:val="22"/>
            <w:szCs w:val="22"/>
            <w:lang w:val="en-US"/>
          </w:rPr>
          <w:tab/>
        </w:r>
        <w:r w:rsidR="00281293" w:rsidRPr="005C73AF">
          <w:rPr>
            <w:rStyle w:val="Hyperlink"/>
            <w:spacing w:val="-10"/>
          </w:rPr>
          <w:t>Conclusions, Recommendations &amp; Lessons Learned</w:t>
        </w:r>
        <w:r w:rsidR="00281293">
          <w:rPr>
            <w:webHidden/>
          </w:rPr>
          <w:tab/>
        </w:r>
        <w:r>
          <w:rPr>
            <w:webHidden/>
          </w:rPr>
          <w:fldChar w:fldCharType="begin"/>
        </w:r>
        <w:r w:rsidR="00281293">
          <w:rPr>
            <w:webHidden/>
          </w:rPr>
          <w:instrText xml:space="preserve"> PAGEREF _Toc401041568 \h </w:instrText>
        </w:r>
        <w:r>
          <w:rPr>
            <w:webHidden/>
          </w:rPr>
          <w:fldChar w:fldCharType="separate"/>
        </w:r>
        <w:r w:rsidR="00281293">
          <w:rPr>
            <w:webHidden/>
          </w:rPr>
          <w:t>48</w:t>
        </w:r>
        <w:r>
          <w:rPr>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69" w:history="1">
        <w:r w:rsidR="00281293" w:rsidRPr="005C73AF">
          <w:rPr>
            <w:rStyle w:val="Hyperlink"/>
            <w:noProof/>
          </w:rPr>
          <w:t>5.1</w:t>
        </w:r>
        <w:r w:rsidR="00281293">
          <w:rPr>
            <w:rFonts w:asciiTheme="minorHAnsi" w:eastAsiaTheme="minorEastAsia" w:hAnsiTheme="minorHAnsi" w:cstheme="minorBidi"/>
            <w:noProof/>
            <w:sz w:val="22"/>
            <w:szCs w:val="22"/>
            <w:lang w:val="en-US"/>
          </w:rPr>
          <w:tab/>
        </w:r>
        <w:r w:rsidR="00281293" w:rsidRPr="005C73AF">
          <w:rPr>
            <w:rStyle w:val="Hyperlink"/>
            <w:noProof/>
          </w:rPr>
          <w:t>Conclusions and Recommendations</w:t>
        </w:r>
        <w:r w:rsidR="00281293">
          <w:rPr>
            <w:noProof/>
            <w:webHidden/>
          </w:rPr>
          <w:tab/>
        </w:r>
        <w:r>
          <w:rPr>
            <w:noProof/>
            <w:webHidden/>
          </w:rPr>
          <w:fldChar w:fldCharType="begin"/>
        </w:r>
        <w:r w:rsidR="00281293">
          <w:rPr>
            <w:noProof/>
            <w:webHidden/>
          </w:rPr>
          <w:instrText xml:space="preserve"> PAGEREF _Toc401041569 \h </w:instrText>
        </w:r>
        <w:r w:rsidR="00CE029F">
          <w:rPr>
            <w:noProof/>
          </w:rPr>
        </w:r>
        <w:r>
          <w:rPr>
            <w:noProof/>
            <w:webHidden/>
          </w:rPr>
          <w:fldChar w:fldCharType="separate"/>
        </w:r>
        <w:r w:rsidR="00281293">
          <w:rPr>
            <w:noProof/>
            <w:webHidden/>
          </w:rPr>
          <w:t>48</w:t>
        </w:r>
        <w:r>
          <w:rPr>
            <w:noProof/>
            <w:webHidden/>
          </w:rPr>
          <w:fldChar w:fldCharType="end"/>
        </w:r>
      </w:hyperlink>
    </w:p>
    <w:p w:rsidR="00281293" w:rsidRDefault="009D654C">
      <w:pPr>
        <w:pStyle w:val="TOC2"/>
        <w:rPr>
          <w:rFonts w:asciiTheme="minorHAnsi" w:eastAsiaTheme="minorEastAsia" w:hAnsiTheme="minorHAnsi" w:cstheme="minorBidi"/>
          <w:noProof/>
          <w:sz w:val="22"/>
          <w:szCs w:val="22"/>
          <w:lang w:val="en-US"/>
        </w:rPr>
      </w:pPr>
      <w:hyperlink w:anchor="_Toc401041570" w:history="1">
        <w:r w:rsidR="00281293" w:rsidRPr="005C73AF">
          <w:rPr>
            <w:rStyle w:val="Hyperlink"/>
            <w:noProof/>
          </w:rPr>
          <w:t>5.2</w:t>
        </w:r>
        <w:r w:rsidR="00281293">
          <w:rPr>
            <w:rFonts w:asciiTheme="minorHAnsi" w:eastAsiaTheme="minorEastAsia" w:hAnsiTheme="minorHAnsi" w:cstheme="minorBidi"/>
            <w:noProof/>
            <w:sz w:val="22"/>
            <w:szCs w:val="22"/>
            <w:lang w:val="en-US"/>
          </w:rPr>
          <w:tab/>
        </w:r>
        <w:r w:rsidR="00281293" w:rsidRPr="005C73AF">
          <w:rPr>
            <w:rStyle w:val="Hyperlink"/>
            <w:noProof/>
          </w:rPr>
          <w:t>Lessons Learned</w:t>
        </w:r>
        <w:r w:rsidR="00281293">
          <w:rPr>
            <w:noProof/>
            <w:webHidden/>
          </w:rPr>
          <w:tab/>
        </w:r>
        <w:r>
          <w:rPr>
            <w:noProof/>
            <w:webHidden/>
          </w:rPr>
          <w:fldChar w:fldCharType="begin"/>
        </w:r>
        <w:r w:rsidR="00281293">
          <w:rPr>
            <w:noProof/>
            <w:webHidden/>
          </w:rPr>
          <w:instrText xml:space="preserve"> PAGEREF _Toc401041570 \h </w:instrText>
        </w:r>
        <w:r w:rsidR="00CE029F">
          <w:rPr>
            <w:noProof/>
          </w:rPr>
        </w:r>
        <w:r>
          <w:rPr>
            <w:noProof/>
            <w:webHidden/>
          </w:rPr>
          <w:fldChar w:fldCharType="separate"/>
        </w:r>
        <w:r w:rsidR="00281293">
          <w:rPr>
            <w:noProof/>
            <w:webHidden/>
          </w:rPr>
          <w:t>54</w:t>
        </w:r>
        <w:r>
          <w:rPr>
            <w:noProof/>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71" w:history="1">
        <w:r w:rsidR="00281293" w:rsidRPr="005C73AF">
          <w:rPr>
            <w:rStyle w:val="Hyperlink"/>
            <w:spacing w:val="-10"/>
          </w:rPr>
          <w:t>6</w:t>
        </w:r>
        <w:r w:rsidR="00281293">
          <w:rPr>
            <w:rFonts w:asciiTheme="minorHAnsi" w:eastAsiaTheme="minorEastAsia" w:hAnsiTheme="minorHAnsi" w:cstheme="minorBidi"/>
            <w:sz w:val="22"/>
            <w:szCs w:val="22"/>
            <w:lang w:val="en-US"/>
          </w:rPr>
          <w:tab/>
        </w:r>
        <w:r w:rsidR="00281293" w:rsidRPr="005C73AF">
          <w:rPr>
            <w:rStyle w:val="Hyperlink"/>
            <w:spacing w:val="-10"/>
          </w:rPr>
          <w:t>Agreement at completion point, October 2014.</w:t>
        </w:r>
        <w:r w:rsidR="00281293">
          <w:rPr>
            <w:webHidden/>
          </w:rPr>
          <w:tab/>
        </w:r>
        <w:r>
          <w:rPr>
            <w:webHidden/>
          </w:rPr>
          <w:fldChar w:fldCharType="begin"/>
        </w:r>
        <w:r w:rsidR="00281293">
          <w:rPr>
            <w:webHidden/>
          </w:rPr>
          <w:instrText xml:space="preserve"> PAGEREF _Toc401041571 \h </w:instrText>
        </w:r>
        <w:r>
          <w:rPr>
            <w:webHidden/>
          </w:rPr>
          <w:fldChar w:fldCharType="separate"/>
        </w:r>
        <w:r w:rsidR="00281293">
          <w:rPr>
            <w:webHidden/>
          </w:rPr>
          <w:t>55</w:t>
        </w:r>
        <w:r>
          <w:rPr>
            <w:webHidden/>
          </w:rPr>
          <w:fldChar w:fldCharType="end"/>
        </w:r>
      </w:hyperlink>
    </w:p>
    <w:p w:rsidR="00281293" w:rsidRDefault="009D654C">
      <w:pPr>
        <w:pStyle w:val="TOC1"/>
        <w:rPr>
          <w:rFonts w:asciiTheme="minorHAnsi" w:eastAsiaTheme="minorEastAsia" w:hAnsiTheme="minorHAnsi" w:cstheme="minorBidi"/>
          <w:sz w:val="22"/>
          <w:szCs w:val="22"/>
          <w:lang w:val="en-US"/>
        </w:rPr>
      </w:pPr>
      <w:hyperlink w:anchor="_Toc401041572" w:history="1">
        <w:r w:rsidR="00281293" w:rsidRPr="005C73AF">
          <w:rPr>
            <w:rStyle w:val="Hyperlink"/>
            <w:spacing w:val="-10"/>
          </w:rPr>
          <w:t>7</w:t>
        </w:r>
        <w:r w:rsidR="00281293">
          <w:rPr>
            <w:rFonts w:asciiTheme="minorHAnsi" w:eastAsiaTheme="minorEastAsia" w:hAnsiTheme="minorHAnsi" w:cstheme="minorBidi"/>
            <w:sz w:val="22"/>
            <w:szCs w:val="22"/>
            <w:lang w:val="en-US"/>
          </w:rPr>
          <w:tab/>
        </w:r>
        <w:r w:rsidR="00281293" w:rsidRPr="005C73AF">
          <w:rPr>
            <w:rStyle w:val="Hyperlink"/>
            <w:spacing w:val="-10"/>
          </w:rPr>
          <w:t>Annexes</w:t>
        </w:r>
        <w:r w:rsidR="00281293">
          <w:rPr>
            <w:webHidden/>
          </w:rPr>
          <w:tab/>
        </w:r>
        <w:r>
          <w:rPr>
            <w:webHidden/>
          </w:rPr>
          <w:fldChar w:fldCharType="begin"/>
        </w:r>
        <w:r w:rsidR="00281293">
          <w:rPr>
            <w:webHidden/>
          </w:rPr>
          <w:instrText xml:space="preserve"> PAGEREF _Toc401041572 \h </w:instrText>
        </w:r>
        <w:r>
          <w:rPr>
            <w:webHidden/>
          </w:rPr>
          <w:fldChar w:fldCharType="separate"/>
        </w:r>
        <w:r w:rsidR="00281293">
          <w:rPr>
            <w:webHidden/>
          </w:rPr>
          <w:t>60</w:t>
        </w:r>
        <w:r>
          <w:rPr>
            <w:webHidden/>
          </w:rPr>
          <w:fldChar w:fldCharType="end"/>
        </w:r>
      </w:hyperlink>
    </w:p>
    <w:p w:rsidR="003D513A" w:rsidRPr="00A94D8B" w:rsidRDefault="009D654C" w:rsidP="00AD1C0A">
      <w:pPr>
        <w:pStyle w:val="Heading1"/>
        <w:sectPr w:rsidR="003D513A" w:rsidRPr="00A94D8B">
          <w:footerReference w:type="default" r:id="rId13"/>
          <w:pgSz w:w="11907" w:h="16839" w:code="9"/>
          <w:pgMar w:top="1418" w:right="1418" w:bottom="1418" w:left="1418" w:header="708" w:footer="708" w:gutter="0"/>
          <w:pgNumType w:start="1"/>
          <w:cols w:space="708"/>
          <w:docGrid w:linePitch="360"/>
        </w:sectPr>
      </w:pPr>
      <w:r w:rsidRPr="00A94D8B">
        <w:rPr>
          <w:b w:val="0"/>
          <w:smallCaps w:val="0"/>
          <w:noProof/>
          <w:color w:val="auto"/>
          <w:sz w:val="24"/>
          <w:szCs w:val="24"/>
        </w:rPr>
        <w:fldChar w:fldCharType="end"/>
      </w:r>
    </w:p>
    <w:p w:rsidR="00C66C21" w:rsidRPr="00A94D8B" w:rsidRDefault="00C66C21" w:rsidP="00DA1EFC">
      <w:pPr>
        <w:pStyle w:val="Heading1"/>
        <w:ind w:left="357" w:hanging="357"/>
        <w:jc w:val="center"/>
      </w:pPr>
      <w:bookmarkStart w:id="2" w:name="_Toc314509605"/>
      <w:bookmarkStart w:id="3" w:name="_Toc336273430"/>
      <w:bookmarkStart w:id="4" w:name="_Toc392064203"/>
      <w:bookmarkStart w:id="5" w:name="_Toc401041549"/>
      <w:r w:rsidRPr="00A94D8B">
        <w:t>ACRONYMS</w:t>
      </w:r>
      <w:bookmarkEnd w:id="2"/>
      <w:bookmarkEnd w:id="3"/>
      <w:bookmarkEnd w:id="4"/>
      <w:bookmarkEnd w:id="5"/>
    </w:p>
    <w:tbl>
      <w:tblPr>
        <w:tblW w:w="0" w:type="auto"/>
        <w:tblLook w:val="04A0"/>
      </w:tblPr>
      <w:tblGrid>
        <w:gridCol w:w="2093"/>
        <w:gridCol w:w="6763"/>
      </w:tblGrid>
      <w:tr w:rsidR="00C66C21" w:rsidRPr="00A94D8B">
        <w:tc>
          <w:tcPr>
            <w:tcW w:w="2093" w:type="dxa"/>
            <w:shd w:val="clear" w:color="auto" w:fill="auto"/>
          </w:tcPr>
          <w:p w:rsidR="00C66C21" w:rsidRPr="00A94D8B" w:rsidRDefault="00C66C21" w:rsidP="00AD1C0A">
            <w:pPr>
              <w:spacing w:after="40" w:line="252" w:lineRule="auto"/>
              <w:rPr>
                <w:rFonts w:cs="Arial"/>
                <w:sz w:val="20"/>
                <w:szCs w:val="20"/>
              </w:rPr>
            </w:pPr>
            <w:r w:rsidRPr="00A94D8B">
              <w:rPr>
                <w:rFonts w:cs="Arial"/>
                <w:sz w:val="20"/>
                <w:szCs w:val="20"/>
              </w:rPr>
              <w:t>ACP</w:t>
            </w:r>
          </w:p>
        </w:tc>
        <w:tc>
          <w:tcPr>
            <w:tcW w:w="6763" w:type="dxa"/>
            <w:shd w:val="clear" w:color="auto" w:fill="auto"/>
          </w:tcPr>
          <w:p w:rsidR="00C66C21" w:rsidRPr="00A94D8B" w:rsidRDefault="00983279" w:rsidP="00AD1C0A">
            <w:pPr>
              <w:spacing w:after="40" w:line="252" w:lineRule="auto"/>
              <w:rPr>
                <w:rFonts w:cs="Arial"/>
                <w:sz w:val="20"/>
                <w:szCs w:val="20"/>
              </w:rPr>
            </w:pPr>
            <w:r w:rsidRPr="00A94D8B">
              <w:rPr>
                <w:rFonts w:cs="Arial"/>
                <w:sz w:val="20"/>
                <w:szCs w:val="20"/>
              </w:rPr>
              <w:t>African, Caribbean and Pacific Group of S</w:t>
            </w:r>
            <w:r w:rsidR="00C66C21" w:rsidRPr="00A94D8B">
              <w:rPr>
                <w:rFonts w:cs="Arial"/>
                <w:sz w:val="20"/>
                <w:szCs w:val="20"/>
              </w:rPr>
              <w:t>tates</w:t>
            </w:r>
          </w:p>
        </w:tc>
      </w:tr>
      <w:tr w:rsidR="00C66C21" w:rsidRPr="00A94D8B">
        <w:tc>
          <w:tcPr>
            <w:tcW w:w="2093" w:type="dxa"/>
            <w:shd w:val="clear" w:color="auto" w:fill="auto"/>
          </w:tcPr>
          <w:p w:rsidR="00EA2E9C" w:rsidRPr="00A94D8B" w:rsidRDefault="00EA2E9C" w:rsidP="00AD1C0A">
            <w:pPr>
              <w:spacing w:after="40" w:line="252" w:lineRule="auto"/>
              <w:rPr>
                <w:rFonts w:cs="Arial"/>
                <w:sz w:val="20"/>
                <w:szCs w:val="20"/>
              </w:rPr>
            </w:pPr>
            <w:r w:rsidRPr="00A94D8B">
              <w:rPr>
                <w:rFonts w:cs="Arial"/>
                <w:sz w:val="20"/>
                <w:szCs w:val="20"/>
              </w:rPr>
              <w:t>ACPC</w:t>
            </w:r>
          </w:p>
          <w:p w:rsidR="00C46E2E" w:rsidRPr="00A94D8B" w:rsidRDefault="00C46E2E" w:rsidP="00AD1C0A">
            <w:pPr>
              <w:spacing w:after="40" w:line="252" w:lineRule="auto"/>
              <w:rPr>
                <w:rFonts w:cs="Arial"/>
                <w:sz w:val="20"/>
                <w:szCs w:val="20"/>
              </w:rPr>
            </w:pPr>
            <w:r w:rsidRPr="00A94D8B">
              <w:rPr>
                <w:rFonts w:cs="Arial"/>
                <w:sz w:val="20"/>
                <w:szCs w:val="20"/>
              </w:rPr>
              <w:t>AfDB</w:t>
            </w:r>
          </w:p>
          <w:p w:rsidR="00E36EFB" w:rsidRPr="00A94D8B" w:rsidRDefault="00E36EFB" w:rsidP="00AD1C0A">
            <w:pPr>
              <w:spacing w:after="40" w:line="252" w:lineRule="auto"/>
              <w:rPr>
                <w:sz w:val="20"/>
                <w:szCs w:val="20"/>
              </w:rPr>
            </w:pPr>
            <w:r w:rsidRPr="00A94D8B">
              <w:rPr>
                <w:sz w:val="20"/>
                <w:szCs w:val="20"/>
              </w:rPr>
              <w:t>AGN</w:t>
            </w:r>
          </w:p>
          <w:p w:rsidR="00442A0D" w:rsidRPr="00A94D8B" w:rsidRDefault="00442A0D" w:rsidP="00AD1C0A">
            <w:pPr>
              <w:spacing w:after="40" w:line="252" w:lineRule="auto"/>
              <w:rPr>
                <w:sz w:val="20"/>
                <w:szCs w:val="20"/>
              </w:rPr>
            </w:pPr>
            <w:r w:rsidRPr="00A94D8B">
              <w:rPr>
                <w:sz w:val="20"/>
                <w:szCs w:val="20"/>
              </w:rPr>
              <w:t>Agrhymet</w:t>
            </w:r>
          </w:p>
          <w:p w:rsidR="007E6525" w:rsidRPr="00A94D8B" w:rsidRDefault="007E6525" w:rsidP="00AD1C0A">
            <w:pPr>
              <w:spacing w:after="40" w:line="252" w:lineRule="auto"/>
              <w:rPr>
                <w:sz w:val="20"/>
                <w:szCs w:val="20"/>
              </w:rPr>
            </w:pPr>
          </w:p>
          <w:p w:rsidR="00C936F5" w:rsidRPr="00A94D8B" w:rsidRDefault="00C936F5" w:rsidP="00AD1C0A">
            <w:pPr>
              <w:spacing w:after="40" w:line="252" w:lineRule="auto"/>
              <w:rPr>
                <w:sz w:val="20"/>
                <w:szCs w:val="20"/>
              </w:rPr>
            </w:pPr>
            <w:r w:rsidRPr="00A94D8B">
              <w:rPr>
                <w:sz w:val="20"/>
                <w:szCs w:val="20"/>
              </w:rPr>
              <w:t>AIP</w:t>
            </w:r>
          </w:p>
          <w:p w:rsidR="00A44CBA" w:rsidRPr="00A94D8B" w:rsidRDefault="00A44CBA" w:rsidP="00AD1C0A">
            <w:pPr>
              <w:spacing w:after="40" w:line="252" w:lineRule="auto"/>
              <w:rPr>
                <w:rFonts w:cs="Arial"/>
                <w:sz w:val="20"/>
                <w:szCs w:val="20"/>
              </w:rPr>
            </w:pPr>
            <w:r w:rsidRPr="00A94D8B">
              <w:rPr>
                <w:sz w:val="20"/>
                <w:szCs w:val="20"/>
              </w:rPr>
              <w:t>AOSIS</w:t>
            </w:r>
          </w:p>
          <w:p w:rsidR="00AB36D4" w:rsidRPr="0030600F" w:rsidRDefault="00AB36D4" w:rsidP="00AD1C0A">
            <w:pPr>
              <w:spacing w:after="40" w:line="252" w:lineRule="auto"/>
              <w:rPr>
                <w:rFonts w:cs="Arial"/>
                <w:sz w:val="20"/>
                <w:szCs w:val="20"/>
                <w:lang w:val="it-IT"/>
              </w:rPr>
            </w:pPr>
            <w:r w:rsidRPr="0030600F">
              <w:rPr>
                <w:rFonts w:cs="Arial"/>
                <w:sz w:val="20"/>
                <w:szCs w:val="20"/>
                <w:lang w:val="it-IT"/>
              </w:rPr>
              <w:t>AUC</w:t>
            </w:r>
          </w:p>
          <w:p w:rsidR="00143662" w:rsidRPr="0030600F" w:rsidRDefault="00143662" w:rsidP="00AD1C0A">
            <w:pPr>
              <w:spacing w:after="40" w:line="252" w:lineRule="auto"/>
              <w:rPr>
                <w:rFonts w:cs="Arial"/>
                <w:sz w:val="20"/>
                <w:szCs w:val="20"/>
                <w:lang w:val="it-IT"/>
              </w:rPr>
            </w:pPr>
            <w:r w:rsidRPr="0030600F">
              <w:rPr>
                <w:rFonts w:cs="Arial"/>
                <w:sz w:val="20"/>
                <w:szCs w:val="20"/>
                <w:lang w:val="it-IT"/>
              </w:rPr>
              <w:t>CA</w:t>
            </w:r>
          </w:p>
          <w:p w:rsidR="00C936F5" w:rsidRPr="0030600F" w:rsidRDefault="00C936F5" w:rsidP="00AD1C0A">
            <w:pPr>
              <w:spacing w:after="40" w:line="252" w:lineRule="auto"/>
              <w:rPr>
                <w:rFonts w:cs="Arial"/>
                <w:sz w:val="20"/>
                <w:szCs w:val="20"/>
                <w:lang w:val="it-IT"/>
              </w:rPr>
            </w:pPr>
            <w:r w:rsidRPr="0030600F">
              <w:rPr>
                <w:rFonts w:cs="Arial"/>
                <w:sz w:val="20"/>
                <w:szCs w:val="20"/>
                <w:lang w:val="it-IT"/>
              </w:rPr>
              <w:t>CAADP</w:t>
            </w:r>
          </w:p>
          <w:p w:rsidR="008C0676" w:rsidRPr="0030600F" w:rsidRDefault="008C0676" w:rsidP="00AD1C0A">
            <w:pPr>
              <w:spacing w:after="40" w:line="252" w:lineRule="auto"/>
              <w:rPr>
                <w:rFonts w:cs="Arial"/>
                <w:sz w:val="20"/>
                <w:szCs w:val="20"/>
                <w:lang w:val="it-IT"/>
              </w:rPr>
            </w:pPr>
            <w:r w:rsidRPr="0030600F">
              <w:rPr>
                <w:rFonts w:cs="Arial"/>
                <w:sz w:val="20"/>
                <w:szCs w:val="20"/>
                <w:lang w:val="it-IT"/>
              </w:rPr>
              <w:t>CARICOM</w:t>
            </w:r>
          </w:p>
          <w:p w:rsidR="001E77DA" w:rsidRPr="0030600F" w:rsidRDefault="00C936F5" w:rsidP="00AD1C0A">
            <w:pPr>
              <w:spacing w:after="40" w:line="252" w:lineRule="auto"/>
              <w:rPr>
                <w:rFonts w:cs="Arial"/>
                <w:sz w:val="20"/>
                <w:szCs w:val="20"/>
                <w:lang w:val="it-IT"/>
              </w:rPr>
            </w:pPr>
            <w:r w:rsidRPr="0030600F">
              <w:rPr>
                <w:rFonts w:cs="Arial"/>
                <w:sz w:val="20"/>
                <w:szCs w:val="20"/>
                <w:lang w:val="it-IT"/>
              </w:rPr>
              <w:t>CARIFORUM</w:t>
            </w:r>
          </w:p>
          <w:p w:rsidR="00F14A36" w:rsidRPr="0030600F" w:rsidRDefault="00F14A36" w:rsidP="00AD1C0A">
            <w:pPr>
              <w:spacing w:after="40" w:line="252" w:lineRule="auto"/>
              <w:rPr>
                <w:rFonts w:cs="Arial"/>
                <w:sz w:val="20"/>
                <w:szCs w:val="20"/>
                <w:lang w:val="it-IT"/>
              </w:rPr>
            </w:pPr>
            <w:r w:rsidRPr="0030600F">
              <w:rPr>
                <w:rFonts w:cs="Arial"/>
                <w:sz w:val="20"/>
                <w:szCs w:val="20"/>
                <w:lang w:val="it-IT"/>
              </w:rPr>
              <w:t>CCA</w:t>
            </w:r>
          </w:p>
          <w:p w:rsidR="00F14A36" w:rsidRPr="0030600F" w:rsidRDefault="00F14A36" w:rsidP="00AD1C0A">
            <w:pPr>
              <w:spacing w:after="40" w:line="252" w:lineRule="auto"/>
              <w:rPr>
                <w:rFonts w:cs="Arial"/>
                <w:sz w:val="20"/>
                <w:szCs w:val="20"/>
                <w:lang w:val="it-IT"/>
              </w:rPr>
            </w:pPr>
            <w:r w:rsidRPr="0030600F">
              <w:rPr>
                <w:rFonts w:cs="Arial"/>
                <w:sz w:val="20"/>
                <w:szCs w:val="20"/>
                <w:lang w:val="it-IT"/>
              </w:rPr>
              <w:t>CCAP</w:t>
            </w:r>
          </w:p>
          <w:p w:rsidR="00E1247E" w:rsidRPr="0030600F" w:rsidRDefault="00E1247E" w:rsidP="00AD1C0A">
            <w:pPr>
              <w:spacing w:after="40" w:line="252" w:lineRule="auto"/>
              <w:rPr>
                <w:rFonts w:cs="Arial"/>
                <w:sz w:val="20"/>
                <w:szCs w:val="20"/>
                <w:lang w:val="it-IT"/>
              </w:rPr>
            </w:pPr>
            <w:r w:rsidRPr="0030600F">
              <w:rPr>
                <w:rFonts w:cs="Arial"/>
                <w:sz w:val="20"/>
                <w:szCs w:val="20"/>
                <w:lang w:val="it-IT"/>
              </w:rPr>
              <w:t>CCCCC</w:t>
            </w:r>
          </w:p>
          <w:p w:rsidR="000E1909" w:rsidRPr="0030600F" w:rsidRDefault="000E1909" w:rsidP="00AD1C0A">
            <w:pPr>
              <w:spacing w:after="40" w:line="252" w:lineRule="auto"/>
              <w:rPr>
                <w:rFonts w:cs="Arial"/>
                <w:sz w:val="20"/>
                <w:szCs w:val="20"/>
                <w:lang w:val="it-IT"/>
              </w:rPr>
            </w:pPr>
            <w:r w:rsidRPr="0030600F">
              <w:rPr>
                <w:rFonts w:cs="Arial"/>
                <w:sz w:val="20"/>
                <w:szCs w:val="20"/>
                <w:lang w:val="it-IT"/>
              </w:rPr>
              <w:t>CCCPIR</w:t>
            </w:r>
          </w:p>
          <w:p w:rsidR="00E12B5F" w:rsidRPr="0030600F" w:rsidRDefault="00E12B5F" w:rsidP="00AD1C0A">
            <w:pPr>
              <w:spacing w:after="40" w:line="252" w:lineRule="auto"/>
              <w:rPr>
                <w:rFonts w:cs="Arial"/>
                <w:sz w:val="20"/>
                <w:szCs w:val="20"/>
                <w:lang w:val="it-IT"/>
              </w:rPr>
            </w:pPr>
            <w:r w:rsidRPr="0030600F">
              <w:rPr>
                <w:rFonts w:cs="Arial"/>
                <w:sz w:val="20"/>
                <w:szCs w:val="20"/>
                <w:lang w:val="it-IT"/>
              </w:rPr>
              <w:t>CDM</w:t>
            </w:r>
          </w:p>
          <w:p w:rsidR="00D4007B" w:rsidRPr="0030600F" w:rsidRDefault="00D4007B" w:rsidP="00AD1C0A">
            <w:pPr>
              <w:spacing w:after="40" w:line="252" w:lineRule="auto"/>
              <w:rPr>
                <w:rFonts w:cs="Arial"/>
                <w:sz w:val="20"/>
                <w:szCs w:val="20"/>
                <w:lang w:val="it-IT"/>
              </w:rPr>
            </w:pPr>
            <w:r w:rsidRPr="0030600F">
              <w:rPr>
                <w:rFonts w:cs="Arial"/>
                <w:sz w:val="20"/>
                <w:szCs w:val="20"/>
                <w:lang w:val="it-IT"/>
              </w:rPr>
              <w:t>CDP</w:t>
            </w:r>
          </w:p>
          <w:p w:rsidR="00F14A36" w:rsidRPr="0030600F" w:rsidRDefault="00F14A36" w:rsidP="00AD1C0A">
            <w:pPr>
              <w:spacing w:after="40" w:line="252" w:lineRule="auto"/>
              <w:rPr>
                <w:rFonts w:cs="Arial"/>
                <w:sz w:val="20"/>
                <w:szCs w:val="20"/>
                <w:lang w:val="it-IT"/>
              </w:rPr>
            </w:pPr>
            <w:r w:rsidRPr="0030600F">
              <w:rPr>
                <w:rFonts w:cs="Arial"/>
                <w:sz w:val="20"/>
                <w:szCs w:val="20"/>
                <w:lang w:val="it-IT"/>
              </w:rPr>
              <w:t>CDSF</w:t>
            </w:r>
          </w:p>
          <w:p w:rsidR="00957DC7" w:rsidRPr="00A94D8B" w:rsidRDefault="00957DC7" w:rsidP="00AD1C0A">
            <w:pPr>
              <w:spacing w:after="40" w:line="252" w:lineRule="auto"/>
              <w:rPr>
                <w:rFonts w:cs="Arial"/>
                <w:sz w:val="20"/>
                <w:szCs w:val="20"/>
              </w:rPr>
            </w:pPr>
            <w:r w:rsidRPr="00A94D8B">
              <w:rPr>
                <w:rFonts w:cs="Arial"/>
                <w:sz w:val="20"/>
                <w:szCs w:val="20"/>
              </w:rPr>
              <w:t>CILSS</w:t>
            </w:r>
          </w:p>
          <w:p w:rsidR="00264B22" w:rsidRPr="00A94D8B" w:rsidRDefault="00264B22" w:rsidP="00AD1C0A">
            <w:pPr>
              <w:spacing w:after="40" w:line="252" w:lineRule="auto"/>
              <w:rPr>
                <w:rFonts w:cs="Arial"/>
                <w:sz w:val="20"/>
                <w:szCs w:val="20"/>
              </w:rPr>
            </w:pPr>
            <w:r w:rsidRPr="00A94D8B">
              <w:rPr>
                <w:rFonts w:cs="Arial"/>
                <w:sz w:val="20"/>
                <w:szCs w:val="20"/>
              </w:rPr>
              <w:t>CO2</w:t>
            </w:r>
          </w:p>
          <w:p w:rsidR="00957DC7" w:rsidRPr="00A94D8B" w:rsidRDefault="00957DC7" w:rsidP="00AD1C0A">
            <w:pPr>
              <w:spacing w:after="40" w:line="252" w:lineRule="auto"/>
              <w:rPr>
                <w:rFonts w:cs="Arial"/>
                <w:sz w:val="20"/>
                <w:szCs w:val="20"/>
              </w:rPr>
            </w:pPr>
            <w:r w:rsidRPr="00A94D8B">
              <w:rPr>
                <w:rFonts w:cs="Arial"/>
                <w:sz w:val="20"/>
                <w:szCs w:val="20"/>
              </w:rPr>
              <w:t>COMESA</w:t>
            </w:r>
          </w:p>
          <w:p w:rsidR="00957DC7" w:rsidRPr="00A94D8B" w:rsidRDefault="00C66C21" w:rsidP="00AD1C0A">
            <w:pPr>
              <w:spacing w:after="40" w:line="252" w:lineRule="auto"/>
              <w:rPr>
                <w:rFonts w:cs="Arial"/>
                <w:sz w:val="20"/>
                <w:szCs w:val="20"/>
              </w:rPr>
            </w:pPr>
            <w:r w:rsidRPr="00A94D8B">
              <w:rPr>
                <w:rFonts w:cs="Arial"/>
                <w:sz w:val="20"/>
                <w:szCs w:val="20"/>
              </w:rPr>
              <w:t>COP</w:t>
            </w:r>
          </w:p>
        </w:tc>
        <w:tc>
          <w:tcPr>
            <w:tcW w:w="6763" w:type="dxa"/>
            <w:shd w:val="clear" w:color="auto" w:fill="auto"/>
          </w:tcPr>
          <w:p w:rsidR="00EA2E9C" w:rsidRPr="00A94D8B" w:rsidRDefault="00EA2E9C" w:rsidP="00AD1C0A">
            <w:pPr>
              <w:spacing w:after="40" w:line="252" w:lineRule="auto"/>
              <w:rPr>
                <w:rFonts w:cs="Arial"/>
                <w:sz w:val="20"/>
                <w:szCs w:val="20"/>
              </w:rPr>
            </w:pPr>
            <w:r w:rsidRPr="00A94D8B">
              <w:rPr>
                <w:sz w:val="20"/>
                <w:szCs w:val="20"/>
              </w:rPr>
              <w:t>African Climate Policy Centre</w:t>
            </w:r>
          </w:p>
          <w:p w:rsidR="00C46E2E" w:rsidRPr="00A94D8B" w:rsidRDefault="00C46E2E" w:rsidP="00AD1C0A">
            <w:pPr>
              <w:spacing w:after="40" w:line="252" w:lineRule="auto"/>
              <w:rPr>
                <w:rFonts w:cs="Arial"/>
                <w:sz w:val="20"/>
                <w:szCs w:val="20"/>
              </w:rPr>
            </w:pPr>
            <w:r w:rsidRPr="00A94D8B">
              <w:rPr>
                <w:rFonts w:cs="Arial"/>
                <w:sz w:val="20"/>
                <w:szCs w:val="20"/>
              </w:rPr>
              <w:t>African Development Bank</w:t>
            </w:r>
          </w:p>
          <w:p w:rsidR="00E36EFB" w:rsidRPr="00A94D8B" w:rsidRDefault="00E36EFB" w:rsidP="00AD1C0A">
            <w:pPr>
              <w:spacing w:after="40" w:line="252" w:lineRule="auto"/>
              <w:rPr>
                <w:rFonts w:cs="Arial"/>
                <w:sz w:val="20"/>
                <w:szCs w:val="20"/>
              </w:rPr>
            </w:pPr>
            <w:r w:rsidRPr="00A94D8B">
              <w:rPr>
                <w:rFonts w:cs="Arial"/>
                <w:sz w:val="20"/>
                <w:szCs w:val="20"/>
              </w:rPr>
              <w:t>African Group</w:t>
            </w:r>
            <w:r w:rsidR="00BE463C" w:rsidRPr="00A94D8B">
              <w:rPr>
                <w:rFonts w:cs="Arial"/>
                <w:sz w:val="20"/>
                <w:szCs w:val="20"/>
              </w:rPr>
              <w:t xml:space="preserve"> of </w:t>
            </w:r>
            <w:r w:rsidRPr="00A94D8B">
              <w:rPr>
                <w:rFonts w:cs="Arial"/>
                <w:sz w:val="20"/>
                <w:szCs w:val="20"/>
              </w:rPr>
              <w:t xml:space="preserve"> Negotiators </w:t>
            </w:r>
          </w:p>
          <w:p w:rsidR="00442A0D" w:rsidRPr="00A94D8B" w:rsidRDefault="007E6525" w:rsidP="00AD1C0A">
            <w:pPr>
              <w:spacing w:after="40" w:line="252" w:lineRule="auto"/>
              <w:rPr>
                <w:rFonts w:cs="Arial"/>
                <w:sz w:val="20"/>
                <w:szCs w:val="20"/>
              </w:rPr>
            </w:pPr>
            <w:r w:rsidRPr="00A94D8B">
              <w:rPr>
                <w:rFonts w:cs="Arial"/>
                <w:sz w:val="20"/>
                <w:szCs w:val="20"/>
              </w:rPr>
              <w:t>Regional Centre Agrhymet for Training and Application in Agro-Meteorology and Operational Hydrology and their Applications</w:t>
            </w:r>
          </w:p>
          <w:p w:rsidR="00C936F5" w:rsidRPr="00A94D8B" w:rsidRDefault="00C936F5" w:rsidP="00AD1C0A">
            <w:pPr>
              <w:spacing w:after="40" w:line="252" w:lineRule="auto"/>
              <w:rPr>
                <w:rFonts w:cs="Arial"/>
                <w:sz w:val="20"/>
                <w:szCs w:val="20"/>
              </w:rPr>
            </w:pPr>
            <w:r w:rsidRPr="00A94D8B">
              <w:rPr>
                <w:rFonts w:cs="Arial"/>
                <w:sz w:val="20"/>
                <w:szCs w:val="20"/>
              </w:rPr>
              <w:t xml:space="preserve">Annual Investment Plans </w:t>
            </w:r>
          </w:p>
          <w:p w:rsidR="00A44CBA" w:rsidRPr="00A94D8B" w:rsidRDefault="00A44CBA" w:rsidP="00AD1C0A">
            <w:pPr>
              <w:spacing w:after="40" w:line="252" w:lineRule="auto"/>
              <w:rPr>
                <w:rFonts w:cs="Arial"/>
                <w:sz w:val="20"/>
                <w:szCs w:val="20"/>
              </w:rPr>
            </w:pPr>
            <w:r w:rsidRPr="00A94D8B">
              <w:rPr>
                <w:rFonts w:cs="Arial"/>
                <w:sz w:val="20"/>
                <w:szCs w:val="20"/>
              </w:rPr>
              <w:t>Alliance of Small Island States</w:t>
            </w:r>
          </w:p>
          <w:p w:rsidR="00AB36D4" w:rsidRPr="00A94D8B" w:rsidRDefault="00AB36D4" w:rsidP="00AD1C0A">
            <w:pPr>
              <w:spacing w:after="40" w:line="252" w:lineRule="auto"/>
              <w:rPr>
                <w:rFonts w:cs="Arial"/>
                <w:sz w:val="20"/>
                <w:szCs w:val="20"/>
              </w:rPr>
            </w:pPr>
            <w:r w:rsidRPr="00A94D8B">
              <w:rPr>
                <w:rFonts w:cs="Arial"/>
                <w:sz w:val="20"/>
                <w:szCs w:val="20"/>
              </w:rPr>
              <w:t xml:space="preserve">African Union Commission </w:t>
            </w:r>
          </w:p>
          <w:p w:rsidR="007037BC" w:rsidRPr="00A94D8B" w:rsidRDefault="00143662" w:rsidP="00AD1C0A">
            <w:pPr>
              <w:spacing w:after="40" w:line="252" w:lineRule="auto"/>
              <w:rPr>
                <w:rFonts w:cs="Arial"/>
                <w:sz w:val="20"/>
                <w:szCs w:val="20"/>
              </w:rPr>
            </w:pPr>
            <w:r w:rsidRPr="00A94D8B">
              <w:rPr>
                <w:rFonts w:cs="Arial"/>
                <w:sz w:val="20"/>
                <w:szCs w:val="20"/>
              </w:rPr>
              <w:t>Conservation Agriculture</w:t>
            </w:r>
          </w:p>
          <w:p w:rsidR="00C936F5" w:rsidRPr="00A94D8B" w:rsidRDefault="00C936F5" w:rsidP="00AD1C0A">
            <w:pPr>
              <w:spacing w:after="40" w:line="252" w:lineRule="auto"/>
              <w:rPr>
                <w:rFonts w:cs="Arial"/>
                <w:sz w:val="20"/>
                <w:szCs w:val="20"/>
              </w:rPr>
            </w:pPr>
            <w:r w:rsidRPr="00A94D8B">
              <w:rPr>
                <w:rFonts w:cs="Arial"/>
                <w:sz w:val="20"/>
                <w:szCs w:val="20"/>
              </w:rPr>
              <w:t xml:space="preserve">Comprehensive African Agriculture Development Programme </w:t>
            </w:r>
          </w:p>
          <w:p w:rsidR="008C0676" w:rsidRPr="00A94D8B" w:rsidRDefault="008C0676" w:rsidP="00AD1C0A">
            <w:pPr>
              <w:spacing w:after="40" w:line="252" w:lineRule="auto"/>
              <w:rPr>
                <w:rFonts w:cs="Arial"/>
                <w:sz w:val="20"/>
                <w:szCs w:val="20"/>
              </w:rPr>
            </w:pPr>
            <w:r w:rsidRPr="00A94D8B">
              <w:rPr>
                <w:rFonts w:cs="Arial"/>
                <w:sz w:val="20"/>
                <w:szCs w:val="20"/>
              </w:rPr>
              <w:t>Caribbean Community Secretariat</w:t>
            </w:r>
          </w:p>
          <w:p w:rsidR="007037BC" w:rsidRPr="00A94D8B" w:rsidRDefault="00F14A36" w:rsidP="00AD1C0A">
            <w:pPr>
              <w:spacing w:after="40" w:line="252" w:lineRule="auto"/>
              <w:rPr>
                <w:rFonts w:cs="Arial"/>
                <w:sz w:val="20"/>
                <w:szCs w:val="20"/>
              </w:rPr>
            </w:pPr>
            <w:r w:rsidRPr="00A94D8B">
              <w:rPr>
                <w:rFonts w:cs="Arial"/>
                <w:sz w:val="20"/>
                <w:szCs w:val="20"/>
              </w:rPr>
              <w:t>Forum of the Caribbean Group of the ACP States</w:t>
            </w:r>
          </w:p>
          <w:p w:rsidR="00F14A36" w:rsidRPr="00A94D8B" w:rsidRDefault="00F14A36" w:rsidP="00AD1C0A">
            <w:pPr>
              <w:spacing w:after="40" w:line="252" w:lineRule="auto"/>
              <w:rPr>
                <w:rFonts w:cs="Arial"/>
                <w:sz w:val="20"/>
                <w:szCs w:val="20"/>
              </w:rPr>
            </w:pPr>
            <w:r w:rsidRPr="00A94D8B">
              <w:rPr>
                <w:rFonts w:cs="Arial"/>
                <w:sz w:val="20"/>
                <w:szCs w:val="20"/>
              </w:rPr>
              <w:t xml:space="preserve">Climate Change Adaptation </w:t>
            </w:r>
          </w:p>
          <w:p w:rsidR="00F14A36" w:rsidRPr="00A94D8B" w:rsidRDefault="00F14A36" w:rsidP="00AD1C0A">
            <w:pPr>
              <w:spacing w:after="40" w:line="252" w:lineRule="auto"/>
              <w:rPr>
                <w:rFonts w:cs="Arial"/>
                <w:sz w:val="20"/>
                <w:szCs w:val="20"/>
              </w:rPr>
            </w:pPr>
            <w:r w:rsidRPr="00A94D8B">
              <w:rPr>
                <w:rFonts w:cs="Arial"/>
                <w:sz w:val="20"/>
                <w:szCs w:val="20"/>
              </w:rPr>
              <w:t xml:space="preserve">Climate Change Adaptation Project (USAID funded) </w:t>
            </w:r>
          </w:p>
          <w:p w:rsidR="00E1247E" w:rsidRPr="00A94D8B" w:rsidRDefault="00E1247E" w:rsidP="00AD1C0A">
            <w:pPr>
              <w:spacing w:after="40" w:line="252" w:lineRule="auto"/>
              <w:rPr>
                <w:rFonts w:cs="Arial"/>
                <w:sz w:val="20"/>
                <w:szCs w:val="20"/>
              </w:rPr>
            </w:pPr>
            <w:r w:rsidRPr="00A94D8B">
              <w:rPr>
                <w:rFonts w:cs="Arial"/>
                <w:sz w:val="20"/>
                <w:szCs w:val="20"/>
              </w:rPr>
              <w:t>Caribbean Community Climate Change Centre</w:t>
            </w:r>
          </w:p>
          <w:p w:rsidR="000E1909" w:rsidRPr="00A94D8B" w:rsidRDefault="000E1909" w:rsidP="00AD1C0A">
            <w:pPr>
              <w:spacing w:after="40" w:line="252" w:lineRule="auto"/>
              <w:rPr>
                <w:rFonts w:cs="Arial"/>
                <w:sz w:val="20"/>
                <w:szCs w:val="20"/>
              </w:rPr>
            </w:pPr>
            <w:r w:rsidRPr="00A94D8B">
              <w:rPr>
                <w:rFonts w:cs="Arial"/>
                <w:sz w:val="20"/>
                <w:szCs w:val="20"/>
              </w:rPr>
              <w:t>Coping with Climate Change in the Pacific Island Region</w:t>
            </w:r>
          </w:p>
          <w:p w:rsidR="00E12B5F" w:rsidRPr="00A94D8B" w:rsidRDefault="00F32ADA" w:rsidP="00AD1C0A">
            <w:pPr>
              <w:spacing w:after="40" w:line="252" w:lineRule="auto"/>
              <w:rPr>
                <w:rFonts w:cs="Arial"/>
                <w:sz w:val="20"/>
                <w:szCs w:val="20"/>
              </w:rPr>
            </w:pPr>
            <w:r w:rsidRPr="00A94D8B">
              <w:rPr>
                <w:rFonts w:cs="Arial"/>
                <w:sz w:val="20"/>
                <w:szCs w:val="20"/>
              </w:rPr>
              <w:t>Clean D</w:t>
            </w:r>
            <w:r w:rsidR="00E12B5F" w:rsidRPr="00A94D8B">
              <w:rPr>
                <w:rFonts w:cs="Arial"/>
                <w:sz w:val="20"/>
                <w:szCs w:val="20"/>
              </w:rPr>
              <w:t>evelopment Mechanism</w:t>
            </w:r>
          </w:p>
          <w:p w:rsidR="00D4007B" w:rsidRPr="00A94D8B" w:rsidRDefault="00D4007B" w:rsidP="00AD1C0A">
            <w:pPr>
              <w:spacing w:after="40" w:line="252" w:lineRule="auto"/>
              <w:rPr>
                <w:rFonts w:cs="Arial"/>
                <w:sz w:val="20"/>
                <w:szCs w:val="20"/>
              </w:rPr>
            </w:pPr>
            <w:r w:rsidRPr="00A94D8B">
              <w:rPr>
                <w:rFonts w:cs="Arial"/>
                <w:sz w:val="20"/>
                <w:szCs w:val="20"/>
              </w:rPr>
              <w:t xml:space="preserve">Community Development Plans </w:t>
            </w:r>
          </w:p>
          <w:p w:rsidR="00F14A36" w:rsidRPr="00A94D8B" w:rsidRDefault="00F14A36" w:rsidP="00AD1C0A">
            <w:pPr>
              <w:spacing w:after="40" w:line="252" w:lineRule="auto"/>
              <w:rPr>
                <w:rFonts w:cs="Arial"/>
                <w:sz w:val="20"/>
                <w:szCs w:val="20"/>
              </w:rPr>
            </w:pPr>
            <w:r w:rsidRPr="00A94D8B">
              <w:rPr>
                <w:rFonts w:cs="Arial"/>
                <w:sz w:val="20"/>
                <w:szCs w:val="20"/>
              </w:rPr>
              <w:t>ClimDev-Africa Special Fund</w:t>
            </w:r>
          </w:p>
          <w:p w:rsidR="00957DC7" w:rsidRPr="00A94D8B" w:rsidRDefault="000A34D3" w:rsidP="00AD1C0A">
            <w:pPr>
              <w:spacing w:after="40" w:line="252" w:lineRule="auto"/>
              <w:rPr>
                <w:rFonts w:cs="Arial"/>
                <w:sz w:val="20"/>
                <w:szCs w:val="20"/>
              </w:rPr>
            </w:pPr>
            <w:r w:rsidRPr="00A94D8B">
              <w:rPr>
                <w:rFonts w:cs="Arial"/>
                <w:sz w:val="20"/>
                <w:szCs w:val="20"/>
              </w:rPr>
              <w:t>Permanent Interstates Committee for Drought Control in the Sahel</w:t>
            </w:r>
          </w:p>
          <w:p w:rsidR="00264B22" w:rsidRPr="00A94D8B" w:rsidRDefault="00264B22" w:rsidP="00AD1C0A">
            <w:pPr>
              <w:spacing w:after="40" w:line="252" w:lineRule="auto"/>
              <w:rPr>
                <w:rFonts w:cs="Arial"/>
                <w:sz w:val="20"/>
                <w:szCs w:val="20"/>
              </w:rPr>
            </w:pPr>
            <w:r w:rsidRPr="00A94D8B">
              <w:rPr>
                <w:rFonts w:cs="Arial"/>
                <w:sz w:val="20"/>
                <w:szCs w:val="20"/>
              </w:rPr>
              <w:t xml:space="preserve">Carbon Dioxide </w:t>
            </w:r>
          </w:p>
          <w:p w:rsidR="00957DC7" w:rsidRPr="00A94D8B" w:rsidRDefault="000A34D3" w:rsidP="00AD1C0A">
            <w:pPr>
              <w:spacing w:after="40" w:line="252" w:lineRule="auto"/>
              <w:rPr>
                <w:rFonts w:cs="Arial"/>
                <w:sz w:val="20"/>
                <w:szCs w:val="20"/>
              </w:rPr>
            </w:pPr>
            <w:r w:rsidRPr="00A94D8B">
              <w:rPr>
                <w:rFonts w:cs="Arial"/>
                <w:sz w:val="20"/>
                <w:szCs w:val="20"/>
              </w:rPr>
              <w:t>Common Market for Eastern and Southern Africa</w:t>
            </w:r>
          </w:p>
          <w:p w:rsidR="00957DC7" w:rsidRPr="00A94D8B" w:rsidRDefault="00C66C21" w:rsidP="00AD1C0A">
            <w:pPr>
              <w:spacing w:after="40" w:line="252" w:lineRule="auto"/>
              <w:rPr>
                <w:rFonts w:cs="Arial"/>
                <w:sz w:val="20"/>
                <w:szCs w:val="20"/>
              </w:rPr>
            </w:pPr>
            <w:r w:rsidRPr="00A94D8B">
              <w:rPr>
                <w:rFonts w:cs="Arial"/>
                <w:sz w:val="20"/>
                <w:szCs w:val="20"/>
              </w:rPr>
              <w:t xml:space="preserve">Conference of the Parties </w:t>
            </w:r>
          </w:p>
        </w:tc>
      </w:tr>
      <w:tr w:rsidR="00C66C21" w:rsidRPr="00A94D8B">
        <w:tc>
          <w:tcPr>
            <w:tcW w:w="2093" w:type="dxa"/>
            <w:shd w:val="clear" w:color="auto" w:fill="auto"/>
          </w:tcPr>
          <w:p w:rsidR="00F14A36" w:rsidRPr="00A94D8B" w:rsidRDefault="00F14A36" w:rsidP="00AD1C0A">
            <w:pPr>
              <w:spacing w:after="40" w:line="252" w:lineRule="auto"/>
              <w:rPr>
                <w:rFonts w:cs="Arial"/>
                <w:sz w:val="20"/>
                <w:szCs w:val="20"/>
              </w:rPr>
            </w:pPr>
            <w:r w:rsidRPr="00A94D8B">
              <w:rPr>
                <w:rFonts w:cs="Arial"/>
                <w:sz w:val="20"/>
                <w:szCs w:val="20"/>
              </w:rPr>
              <w:t>CREWS</w:t>
            </w:r>
          </w:p>
          <w:p w:rsidR="00E12B5F" w:rsidRPr="00A94D8B" w:rsidRDefault="000E2F80" w:rsidP="00AD1C0A">
            <w:pPr>
              <w:spacing w:after="40" w:line="252" w:lineRule="auto"/>
              <w:rPr>
                <w:rFonts w:cs="Arial"/>
                <w:sz w:val="20"/>
                <w:szCs w:val="20"/>
              </w:rPr>
            </w:pPr>
            <w:r w:rsidRPr="00A94D8B">
              <w:rPr>
                <w:rFonts w:cs="Arial"/>
                <w:sz w:val="20"/>
                <w:szCs w:val="20"/>
              </w:rPr>
              <w:t>CSA</w:t>
            </w:r>
          </w:p>
          <w:p w:rsidR="00C66C21" w:rsidRPr="00A94D8B" w:rsidRDefault="00C66C21" w:rsidP="00AD1C0A">
            <w:pPr>
              <w:spacing w:after="40" w:line="252" w:lineRule="auto"/>
              <w:rPr>
                <w:rFonts w:cs="Arial"/>
                <w:sz w:val="20"/>
                <w:szCs w:val="20"/>
              </w:rPr>
            </w:pPr>
            <w:r w:rsidRPr="00A94D8B">
              <w:rPr>
                <w:rFonts w:cs="Arial"/>
                <w:sz w:val="20"/>
                <w:szCs w:val="20"/>
              </w:rPr>
              <w:t>CSF</w:t>
            </w:r>
          </w:p>
        </w:tc>
        <w:tc>
          <w:tcPr>
            <w:tcW w:w="6763" w:type="dxa"/>
            <w:shd w:val="clear" w:color="auto" w:fill="auto"/>
          </w:tcPr>
          <w:p w:rsidR="00F14A36" w:rsidRPr="00A94D8B" w:rsidRDefault="00F14A36" w:rsidP="00AD1C0A">
            <w:pPr>
              <w:spacing w:after="40" w:line="252" w:lineRule="auto"/>
              <w:rPr>
                <w:rFonts w:cs="Arial"/>
                <w:sz w:val="20"/>
                <w:szCs w:val="20"/>
              </w:rPr>
            </w:pPr>
            <w:r w:rsidRPr="00A94D8B">
              <w:rPr>
                <w:sz w:val="20"/>
                <w:szCs w:val="20"/>
              </w:rPr>
              <w:t>Coral Reef Early Warning System</w:t>
            </w:r>
          </w:p>
          <w:p w:rsidR="00E12B5F" w:rsidRPr="00A94D8B" w:rsidRDefault="000E2F80" w:rsidP="00AD1C0A">
            <w:pPr>
              <w:spacing w:after="40" w:line="252" w:lineRule="auto"/>
              <w:rPr>
                <w:rFonts w:cs="Arial"/>
                <w:sz w:val="20"/>
                <w:szCs w:val="20"/>
              </w:rPr>
            </w:pPr>
            <w:r w:rsidRPr="00A94D8B">
              <w:rPr>
                <w:rFonts w:cs="Arial"/>
                <w:sz w:val="20"/>
                <w:szCs w:val="20"/>
              </w:rPr>
              <w:t>Climate Smart Agriculture</w:t>
            </w:r>
          </w:p>
          <w:p w:rsidR="00C66C21" w:rsidRPr="00A94D8B" w:rsidRDefault="00C66C21" w:rsidP="00AD1C0A">
            <w:pPr>
              <w:spacing w:after="40" w:line="252" w:lineRule="auto"/>
              <w:rPr>
                <w:rFonts w:cs="Arial"/>
                <w:sz w:val="20"/>
                <w:szCs w:val="20"/>
              </w:rPr>
            </w:pPr>
            <w:r w:rsidRPr="00A94D8B">
              <w:rPr>
                <w:rFonts w:cs="Arial"/>
                <w:sz w:val="20"/>
                <w:szCs w:val="20"/>
              </w:rPr>
              <w:t>Climate Support Facility</w:t>
            </w:r>
            <w:r w:rsidR="00F32ADA" w:rsidRPr="00A94D8B">
              <w:rPr>
                <w:rFonts w:cs="Arial"/>
                <w:sz w:val="20"/>
                <w:szCs w:val="20"/>
              </w:rPr>
              <w:t xml:space="preserve"> (component of </w:t>
            </w:r>
            <w:r w:rsidRPr="00A94D8B">
              <w:rPr>
                <w:rFonts w:cs="Arial"/>
                <w:sz w:val="20"/>
                <w:szCs w:val="20"/>
              </w:rPr>
              <w:t>the Intra-ACP Programme of the GCCA</w:t>
            </w:r>
            <w:r w:rsidR="00F32ADA" w:rsidRPr="00A94D8B">
              <w:rPr>
                <w:rFonts w:cs="Arial"/>
                <w:sz w:val="20"/>
                <w:szCs w:val="20"/>
              </w:rPr>
              <w:t>)</w:t>
            </w:r>
          </w:p>
        </w:tc>
      </w:tr>
      <w:tr w:rsidR="00C66C21" w:rsidRPr="00A94D8B">
        <w:tc>
          <w:tcPr>
            <w:tcW w:w="2093" w:type="dxa"/>
            <w:shd w:val="clear" w:color="auto" w:fill="auto"/>
          </w:tcPr>
          <w:p w:rsidR="00425E3E" w:rsidRPr="00A94D8B" w:rsidRDefault="00425E3E" w:rsidP="00AD1C0A">
            <w:pPr>
              <w:spacing w:after="40" w:line="252" w:lineRule="auto"/>
              <w:rPr>
                <w:rFonts w:cs="Arial"/>
                <w:sz w:val="20"/>
                <w:szCs w:val="20"/>
              </w:rPr>
            </w:pPr>
            <w:r w:rsidRPr="00A94D8B">
              <w:rPr>
                <w:rFonts w:cs="Arial"/>
                <w:sz w:val="20"/>
                <w:szCs w:val="20"/>
              </w:rPr>
              <w:t>CSG</w:t>
            </w:r>
          </w:p>
          <w:p w:rsidR="00C66C21" w:rsidRPr="00A94D8B" w:rsidRDefault="00502758" w:rsidP="00AD1C0A">
            <w:pPr>
              <w:spacing w:after="40" w:line="252" w:lineRule="auto"/>
              <w:rPr>
                <w:rFonts w:cs="Arial"/>
                <w:sz w:val="20"/>
                <w:szCs w:val="20"/>
              </w:rPr>
            </w:pPr>
            <w:r w:rsidRPr="00A94D8B">
              <w:rPr>
                <w:rFonts w:cs="Arial"/>
                <w:sz w:val="20"/>
                <w:szCs w:val="20"/>
              </w:rPr>
              <w:t>DAC</w:t>
            </w:r>
          </w:p>
        </w:tc>
        <w:tc>
          <w:tcPr>
            <w:tcW w:w="6763" w:type="dxa"/>
            <w:shd w:val="clear" w:color="auto" w:fill="auto"/>
          </w:tcPr>
          <w:p w:rsidR="00425E3E" w:rsidRPr="00A94D8B" w:rsidRDefault="00425E3E" w:rsidP="00AD1C0A">
            <w:pPr>
              <w:spacing w:after="40" w:line="252" w:lineRule="auto"/>
              <w:rPr>
                <w:sz w:val="20"/>
                <w:szCs w:val="20"/>
              </w:rPr>
            </w:pPr>
            <w:r w:rsidRPr="00A94D8B">
              <w:rPr>
                <w:sz w:val="20"/>
                <w:szCs w:val="20"/>
              </w:rPr>
              <w:t xml:space="preserve">Climate Studies Group of the University of West Indies Jamaica </w:t>
            </w:r>
          </w:p>
          <w:p w:rsidR="00C66C21" w:rsidRPr="00A94D8B" w:rsidRDefault="00957DC7" w:rsidP="00AD1C0A">
            <w:pPr>
              <w:spacing w:after="40" w:line="252" w:lineRule="auto"/>
              <w:rPr>
                <w:rFonts w:cs="Arial"/>
                <w:sz w:val="20"/>
                <w:szCs w:val="20"/>
              </w:rPr>
            </w:pPr>
            <w:r w:rsidRPr="00A94D8B">
              <w:rPr>
                <w:rFonts w:cs="Arial"/>
                <w:sz w:val="20"/>
                <w:szCs w:val="20"/>
              </w:rPr>
              <w:t>Development Assistance Committee (OECD)</w:t>
            </w:r>
          </w:p>
        </w:tc>
      </w:tr>
      <w:tr w:rsidR="00502758" w:rsidRPr="00A94D8B">
        <w:tc>
          <w:tcPr>
            <w:tcW w:w="209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DEVCO</w:t>
            </w:r>
          </w:p>
        </w:tc>
        <w:tc>
          <w:tcPr>
            <w:tcW w:w="676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Directorate General Development and Cooperation of the EC</w:t>
            </w:r>
          </w:p>
        </w:tc>
      </w:tr>
      <w:tr w:rsidR="00502758" w:rsidRPr="00A94D8B">
        <w:tc>
          <w:tcPr>
            <w:tcW w:w="209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DEVCO C2</w:t>
            </w:r>
          </w:p>
        </w:tc>
        <w:tc>
          <w:tcPr>
            <w:tcW w:w="676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w:t>
            </w:r>
            <w:r w:rsidR="00F32ADA" w:rsidRPr="00A94D8B">
              <w:rPr>
                <w:rFonts w:cs="Arial"/>
                <w:sz w:val="20"/>
                <w:szCs w:val="20"/>
              </w:rPr>
              <w:t xml:space="preserve">EVCO </w:t>
            </w:r>
            <w:r w:rsidRPr="00A94D8B">
              <w:rPr>
                <w:rFonts w:cs="Arial"/>
                <w:sz w:val="20"/>
                <w:szCs w:val="20"/>
              </w:rPr>
              <w:t>– Climate change, environment, natural resources and water Unit</w:t>
            </w:r>
          </w:p>
        </w:tc>
      </w:tr>
      <w:tr w:rsidR="00502758" w:rsidRPr="00A94D8B">
        <w:trPr>
          <w:trHeight w:val="264"/>
        </w:trPr>
        <w:tc>
          <w:tcPr>
            <w:tcW w:w="2093" w:type="dxa"/>
            <w:shd w:val="clear" w:color="auto" w:fill="auto"/>
          </w:tcPr>
          <w:p w:rsidR="00502758" w:rsidRPr="00A94D8B" w:rsidRDefault="00502758" w:rsidP="000B33BB">
            <w:pPr>
              <w:spacing w:after="0" w:line="252" w:lineRule="auto"/>
              <w:rPr>
                <w:rFonts w:cs="Arial"/>
                <w:sz w:val="20"/>
                <w:szCs w:val="20"/>
              </w:rPr>
            </w:pPr>
            <w:r w:rsidRPr="00A94D8B">
              <w:rPr>
                <w:rFonts w:cs="Arial"/>
                <w:sz w:val="20"/>
                <w:szCs w:val="20"/>
              </w:rPr>
              <w:t>DEVCO E3</w:t>
            </w:r>
          </w:p>
        </w:tc>
        <w:tc>
          <w:tcPr>
            <w:tcW w:w="6763" w:type="dxa"/>
            <w:shd w:val="clear" w:color="auto" w:fill="auto"/>
          </w:tcPr>
          <w:p w:rsidR="00502758" w:rsidRPr="00A94D8B" w:rsidRDefault="00502758" w:rsidP="000B33BB">
            <w:pPr>
              <w:spacing w:after="0" w:line="252" w:lineRule="auto"/>
              <w:rPr>
                <w:rFonts w:cs="Arial"/>
                <w:sz w:val="20"/>
                <w:szCs w:val="20"/>
              </w:rPr>
            </w:pPr>
            <w:r w:rsidRPr="00A94D8B">
              <w:rPr>
                <w:rFonts w:cs="Arial"/>
                <w:sz w:val="20"/>
                <w:szCs w:val="20"/>
              </w:rPr>
              <w:t>D</w:t>
            </w:r>
            <w:r w:rsidR="00F32ADA" w:rsidRPr="00A94D8B">
              <w:rPr>
                <w:rFonts w:cs="Arial"/>
                <w:sz w:val="20"/>
                <w:szCs w:val="20"/>
              </w:rPr>
              <w:t xml:space="preserve">EVCO </w:t>
            </w:r>
            <w:r w:rsidRPr="00A94D8B">
              <w:rPr>
                <w:rFonts w:cs="Arial"/>
                <w:sz w:val="20"/>
                <w:szCs w:val="20"/>
              </w:rPr>
              <w:t xml:space="preserve">– Regional programmes, </w:t>
            </w:r>
            <w:r w:rsidR="00F32ADA" w:rsidRPr="00A94D8B">
              <w:rPr>
                <w:rFonts w:cs="Arial"/>
                <w:sz w:val="20"/>
                <w:szCs w:val="20"/>
              </w:rPr>
              <w:t>s</w:t>
            </w:r>
            <w:r w:rsidRPr="00A94D8B">
              <w:rPr>
                <w:rFonts w:cs="Arial"/>
                <w:sz w:val="20"/>
                <w:szCs w:val="20"/>
              </w:rPr>
              <w:t>ub-Saharan Africa and ACP-wide Unit</w:t>
            </w:r>
          </w:p>
        </w:tc>
      </w:tr>
      <w:tr w:rsidR="00E12B5F" w:rsidRPr="00A94D8B">
        <w:tc>
          <w:tcPr>
            <w:tcW w:w="2093" w:type="dxa"/>
            <w:shd w:val="clear" w:color="auto" w:fill="auto"/>
          </w:tcPr>
          <w:p w:rsidR="00021A4C" w:rsidRPr="00A94D8B" w:rsidRDefault="00021A4C" w:rsidP="00AD1C0A">
            <w:pPr>
              <w:spacing w:after="40" w:line="252" w:lineRule="auto"/>
              <w:rPr>
                <w:rFonts w:cs="Arial"/>
                <w:sz w:val="20"/>
                <w:szCs w:val="20"/>
              </w:rPr>
            </w:pPr>
            <w:r w:rsidRPr="00A94D8B">
              <w:rPr>
                <w:rFonts w:cs="Arial"/>
                <w:sz w:val="20"/>
                <w:szCs w:val="20"/>
              </w:rPr>
              <w:t>DFID</w:t>
            </w:r>
          </w:p>
          <w:p w:rsidR="005C3F8F" w:rsidRPr="00A94D8B" w:rsidRDefault="005C3F8F" w:rsidP="00AD1C0A">
            <w:pPr>
              <w:spacing w:after="40" w:line="252" w:lineRule="auto"/>
              <w:rPr>
                <w:rFonts w:cs="Arial"/>
                <w:sz w:val="20"/>
                <w:szCs w:val="20"/>
              </w:rPr>
            </w:pPr>
            <w:r w:rsidRPr="00A94D8B">
              <w:rPr>
                <w:rFonts w:cs="Arial"/>
                <w:sz w:val="20"/>
                <w:szCs w:val="20"/>
              </w:rPr>
              <w:t>DNA</w:t>
            </w:r>
          </w:p>
          <w:p w:rsidR="00502758" w:rsidRPr="00A94D8B" w:rsidRDefault="00502758" w:rsidP="00AD1C0A">
            <w:pPr>
              <w:spacing w:after="40" w:line="252" w:lineRule="auto"/>
              <w:rPr>
                <w:rFonts w:cs="Arial"/>
                <w:sz w:val="20"/>
                <w:szCs w:val="20"/>
              </w:rPr>
            </w:pPr>
            <w:r w:rsidRPr="00A94D8B">
              <w:rPr>
                <w:rFonts w:cs="Arial"/>
                <w:sz w:val="20"/>
                <w:szCs w:val="20"/>
              </w:rPr>
              <w:t xml:space="preserve">DRM </w:t>
            </w:r>
          </w:p>
          <w:p w:rsidR="00E12B5F" w:rsidRPr="00A94D8B" w:rsidRDefault="00E12B5F" w:rsidP="00AD1C0A">
            <w:pPr>
              <w:spacing w:after="40" w:line="252" w:lineRule="auto"/>
              <w:rPr>
                <w:rFonts w:cs="Arial"/>
                <w:sz w:val="20"/>
                <w:szCs w:val="20"/>
              </w:rPr>
            </w:pPr>
            <w:r w:rsidRPr="00A94D8B">
              <w:rPr>
                <w:rFonts w:cs="Arial"/>
                <w:sz w:val="20"/>
                <w:szCs w:val="20"/>
              </w:rPr>
              <w:t>DRR</w:t>
            </w:r>
          </w:p>
          <w:p w:rsidR="00264B22" w:rsidRPr="00A94D8B" w:rsidRDefault="00264B22" w:rsidP="00AD1C0A">
            <w:pPr>
              <w:spacing w:after="40" w:line="252" w:lineRule="auto"/>
              <w:rPr>
                <w:rFonts w:cs="Arial"/>
                <w:sz w:val="20"/>
                <w:szCs w:val="20"/>
              </w:rPr>
            </w:pPr>
            <w:r w:rsidRPr="00A94D8B">
              <w:rPr>
                <w:rFonts w:cs="Arial"/>
                <w:sz w:val="20"/>
                <w:szCs w:val="20"/>
              </w:rPr>
              <w:t>EAC</w:t>
            </w:r>
          </w:p>
          <w:p w:rsidR="000E2F80" w:rsidRPr="00A94D8B" w:rsidRDefault="000E2F80" w:rsidP="00AD1C0A">
            <w:pPr>
              <w:spacing w:after="40" w:line="252" w:lineRule="auto"/>
              <w:rPr>
                <w:rFonts w:cs="Arial"/>
                <w:sz w:val="20"/>
                <w:szCs w:val="20"/>
              </w:rPr>
            </w:pPr>
            <w:r w:rsidRPr="00A94D8B">
              <w:rPr>
                <w:rFonts w:cs="Arial"/>
                <w:sz w:val="20"/>
                <w:szCs w:val="20"/>
              </w:rPr>
              <w:t>EALA</w:t>
            </w:r>
          </w:p>
          <w:p w:rsidR="00E12B5F" w:rsidRPr="00A94D8B" w:rsidRDefault="00E12B5F" w:rsidP="00AD1C0A">
            <w:pPr>
              <w:spacing w:after="40" w:line="252" w:lineRule="auto"/>
              <w:rPr>
                <w:rFonts w:cs="Arial"/>
                <w:sz w:val="20"/>
                <w:szCs w:val="20"/>
              </w:rPr>
            </w:pPr>
            <w:r w:rsidRPr="00A94D8B">
              <w:rPr>
                <w:rFonts w:cs="Arial"/>
                <w:sz w:val="20"/>
                <w:szCs w:val="20"/>
              </w:rPr>
              <w:t>EC</w:t>
            </w:r>
          </w:p>
        </w:tc>
        <w:tc>
          <w:tcPr>
            <w:tcW w:w="6763" w:type="dxa"/>
            <w:shd w:val="clear" w:color="auto" w:fill="auto"/>
          </w:tcPr>
          <w:p w:rsidR="00021A4C" w:rsidRPr="00A94D8B" w:rsidRDefault="00021A4C" w:rsidP="00AD1C0A">
            <w:pPr>
              <w:spacing w:after="40" w:line="252" w:lineRule="auto"/>
              <w:rPr>
                <w:rFonts w:cs="Arial"/>
                <w:sz w:val="20"/>
                <w:szCs w:val="20"/>
              </w:rPr>
            </w:pPr>
            <w:r w:rsidRPr="00A94D8B">
              <w:rPr>
                <w:rFonts w:cs="Arial"/>
                <w:sz w:val="20"/>
                <w:szCs w:val="20"/>
              </w:rPr>
              <w:t>Department for International Development</w:t>
            </w:r>
          </w:p>
          <w:p w:rsidR="005C3F8F" w:rsidRPr="00A94D8B" w:rsidRDefault="005C3F8F" w:rsidP="00AD1C0A">
            <w:pPr>
              <w:spacing w:after="40" w:line="252" w:lineRule="auto"/>
              <w:rPr>
                <w:rFonts w:cs="Arial"/>
                <w:sz w:val="20"/>
                <w:szCs w:val="20"/>
              </w:rPr>
            </w:pPr>
            <w:r w:rsidRPr="00A94D8B">
              <w:rPr>
                <w:rFonts w:cs="Arial"/>
                <w:sz w:val="20"/>
                <w:szCs w:val="20"/>
              </w:rPr>
              <w:t xml:space="preserve">Designated National Authorities </w:t>
            </w:r>
          </w:p>
          <w:p w:rsidR="00502758" w:rsidRPr="00A94D8B" w:rsidRDefault="00502758" w:rsidP="00AD1C0A">
            <w:pPr>
              <w:spacing w:after="40" w:line="252" w:lineRule="auto"/>
              <w:rPr>
                <w:rFonts w:cs="Arial"/>
                <w:sz w:val="20"/>
                <w:szCs w:val="20"/>
              </w:rPr>
            </w:pPr>
            <w:r w:rsidRPr="00A94D8B">
              <w:rPr>
                <w:rFonts w:cs="Arial"/>
                <w:sz w:val="20"/>
                <w:szCs w:val="20"/>
              </w:rPr>
              <w:t>Disaster Risk Management</w:t>
            </w:r>
          </w:p>
          <w:p w:rsidR="00E12B5F" w:rsidRPr="00A94D8B" w:rsidRDefault="00E12B5F" w:rsidP="00AD1C0A">
            <w:pPr>
              <w:spacing w:after="40" w:line="252" w:lineRule="auto"/>
              <w:rPr>
                <w:rFonts w:cs="Arial"/>
                <w:sz w:val="20"/>
                <w:szCs w:val="20"/>
              </w:rPr>
            </w:pPr>
            <w:r w:rsidRPr="00A94D8B">
              <w:rPr>
                <w:rFonts w:cs="Arial"/>
                <w:sz w:val="20"/>
                <w:szCs w:val="20"/>
              </w:rPr>
              <w:t>Disaster Risk Reduction</w:t>
            </w:r>
          </w:p>
          <w:p w:rsidR="000E2F80" w:rsidRPr="00A94D8B" w:rsidRDefault="00264B22" w:rsidP="00AD1C0A">
            <w:pPr>
              <w:spacing w:after="40" w:line="252" w:lineRule="auto"/>
              <w:rPr>
                <w:rFonts w:cs="Arial"/>
                <w:sz w:val="20"/>
                <w:szCs w:val="20"/>
              </w:rPr>
            </w:pPr>
            <w:r w:rsidRPr="00A94D8B">
              <w:rPr>
                <w:rFonts w:cs="Arial"/>
                <w:sz w:val="20"/>
                <w:szCs w:val="20"/>
              </w:rPr>
              <w:t>East African Community</w:t>
            </w:r>
          </w:p>
          <w:p w:rsidR="00264B22" w:rsidRPr="00A94D8B" w:rsidRDefault="000E2F80" w:rsidP="00AD1C0A">
            <w:pPr>
              <w:spacing w:after="40" w:line="252" w:lineRule="auto"/>
              <w:rPr>
                <w:rFonts w:cs="Arial"/>
                <w:sz w:val="20"/>
                <w:szCs w:val="20"/>
              </w:rPr>
            </w:pPr>
            <w:r w:rsidRPr="00A94D8B">
              <w:rPr>
                <w:rFonts w:cs="Arial"/>
                <w:sz w:val="20"/>
                <w:szCs w:val="20"/>
              </w:rPr>
              <w:t xml:space="preserve">East African Legislative Assembly </w:t>
            </w:r>
          </w:p>
          <w:p w:rsidR="00E12B5F" w:rsidRPr="00A94D8B" w:rsidRDefault="00E12B5F" w:rsidP="00AD1C0A">
            <w:pPr>
              <w:spacing w:after="40" w:line="252" w:lineRule="auto"/>
              <w:rPr>
                <w:rFonts w:cs="Arial"/>
                <w:sz w:val="20"/>
                <w:szCs w:val="20"/>
              </w:rPr>
            </w:pPr>
            <w:r w:rsidRPr="00A94D8B">
              <w:rPr>
                <w:rFonts w:cs="Arial"/>
                <w:sz w:val="20"/>
                <w:szCs w:val="20"/>
              </w:rPr>
              <w:t>European Commission</w:t>
            </w:r>
          </w:p>
        </w:tc>
      </w:tr>
      <w:tr w:rsidR="00C66C21" w:rsidRPr="00A94D8B">
        <w:tc>
          <w:tcPr>
            <w:tcW w:w="2093" w:type="dxa"/>
            <w:shd w:val="clear" w:color="auto" w:fill="auto"/>
          </w:tcPr>
          <w:p w:rsidR="001E77DA" w:rsidRPr="00A94D8B" w:rsidRDefault="001E77DA" w:rsidP="00AD1C0A">
            <w:pPr>
              <w:spacing w:after="40" w:line="252" w:lineRule="auto"/>
              <w:rPr>
                <w:rFonts w:cs="Arial"/>
                <w:sz w:val="20"/>
                <w:szCs w:val="20"/>
              </w:rPr>
            </w:pPr>
            <w:r w:rsidRPr="00A94D8B">
              <w:rPr>
                <w:rFonts w:cs="Arial"/>
                <w:sz w:val="20"/>
                <w:szCs w:val="20"/>
              </w:rPr>
              <w:t>ECOWAS</w:t>
            </w:r>
          </w:p>
          <w:p w:rsidR="00C66C21" w:rsidRPr="00A94D8B" w:rsidRDefault="00C66C21" w:rsidP="00AD1C0A">
            <w:pPr>
              <w:spacing w:after="40" w:line="252" w:lineRule="auto"/>
              <w:rPr>
                <w:rFonts w:cs="Arial"/>
                <w:sz w:val="20"/>
                <w:szCs w:val="20"/>
              </w:rPr>
            </w:pPr>
            <w:r w:rsidRPr="00A94D8B">
              <w:rPr>
                <w:rFonts w:cs="Arial"/>
                <w:sz w:val="20"/>
                <w:szCs w:val="20"/>
              </w:rPr>
              <w:t>EDF</w:t>
            </w:r>
          </w:p>
        </w:tc>
        <w:tc>
          <w:tcPr>
            <w:tcW w:w="6763" w:type="dxa"/>
            <w:shd w:val="clear" w:color="auto" w:fill="auto"/>
          </w:tcPr>
          <w:p w:rsidR="001E77DA" w:rsidRPr="00A94D8B" w:rsidRDefault="00E45967" w:rsidP="00AD1C0A">
            <w:pPr>
              <w:spacing w:after="40" w:line="252" w:lineRule="auto"/>
              <w:rPr>
                <w:rFonts w:cs="Arial"/>
                <w:sz w:val="20"/>
                <w:szCs w:val="20"/>
              </w:rPr>
            </w:pPr>
            <w:r w:rsidRPr="00A94D8B">
              <w:rPr>
                <w:rFonts w:cs="Arial"/>
                <w:sz w:val="20"/>
                <w:szCs w:val="20"/>
              </w:rPr>
              <w:t>Economic Community o</w:t>
            </w:r>
            <w:r w:rsidR="001E77DA" w:rsidRPr="00A94D8B">
              <w:rPr>
                <w:rFonts w:cs="Arial"/>
                <w:sz w:val="20"/>
                <w:szCs w:val="20"/>
              </w:rPr>
              <w:t>f West African States</w:t>
            </w:r>
          </w:p>
          <w:p w:rsidR="00C66C21" w:rsidRPr="00A94D8B" w:rsidRDefault="00C66C21" w:rsidP="00AD1C0A">
            <w:pPr>
              <w:spacing w:after="40" w:line="252" w:lineRule="auto"/>
              <w:rPr>
                <w:rFonts w:cs="Arial"/>
                <w:sz w:val="20"/>
                <w:szCs w:val="20"/>
              </w:rPr>
            </w:pPr>
            <w:r w:rsidRPr="00A94D8B">
              <w:rPr>
                <w:rFonts w:cs="Arial"/>
                <w:sz w:val="20"/>
                <w:szCs w:val="20"/>
              </w:rPr>
              <w:t>European Development Fund</w:t>
            </w:r>
          </w:p>
        </w:tc>
      </w:tr>
      <w:tr w:rsidR="00C66C21" w:rsidRPr="00A94D8B">
        <w:tc>
          <w:tcPr>
            <w:tcW w:w="209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EQ</w:t>
            </w:r>
          </w:p>
        </w:tc>
        <w:tc>
          <w:tcPr>
            <w:tcW w:w="676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 xml:space="preserve">Evaluation Questions </w:t>
            </w:r>
          </w:p>
        </w:tc>
      </w:tr>
      <w:tr w:rsidR="00C66C21" w:rsidRPr="00A94D8B">
        <w:tc>
          <w:tcPr>
            <w:tcW w:w="209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EU</w:t>
            </w:r>
          </w:p>
        </w:tc>
        <w:tc>
          <w:tcPr>
            <w:tcW w:w="6763" w:type="dxa"/>
            <w:shd w:val="clear" w:color="auto" w:fill="auto"/>
          </w:tcPr>
          <w:p w:rsidR="00C66C21" w:rsidRPr="00A94D8B" w:rsidRDefault="000E2F80" w:rsidP="0023363A">
            <w:pPr>
              <w:spacing w:after="40" w:line="252" w:lineRule="auto"/>
              <w:rPr>
                <w:rFonts w:cs="Arial"/>
                <w:sz w:val="20"/>
                <w:szCs w:val="20"/>
              </w:rPr>
            </w:pPr>
            <w:r w:rsidRPr="00A94D8B">
              <w:rPr>
                <w:rFonts w:cs="Arial"/>
                <w:sz w:val="20"/>
                <w:szCs w:val="20"/>
              </w:rPr>
              <w:t xml:space="preserve">European Union </w:t>
            </w:r>
          </w:p>
        </w:tc>
      </w:tr>
      <w:tr w:rsidR="00C66C21" w:rsidRPr="00A94D8B">
        <w:tc>
          <w:tcPr>
            <w:tcW w:w="209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FAO</w:t>
            </w:r>
          </w:p>
        </w:tc>
        <w:tc>
          <w:tcPr>
            <w:tcW w:w="676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 xml:space="preserve">Food and Agriculture Organisation </w:t>
            </w:r>
          </w:p>
        </w:tc>
      </w:tr>
      <w:tr w:rsidR="00C66C21" w:rsidRPr="00A94D8B">
        <w:tc>
          <w:tcPr>
            <w:tcW w:w="2093" w:type="dxa"/>
            <w:shd w:val="clear" w:color="auto" w:fill="auto"/>
          </w:tcPr>
          <w:p w:rsidR="00873EE5" w:rsidRPr="00A94D8B" w:rsidRDefault="00873EE5" w:rsidP="00AD1C0A">
            <w:pPr>
              <w:spacing w:after="40" w:line="252" w:lineRule="auto"/>
              <w:rPr>
                <w:rFonts w:cs="Arial"/>
                <w:sz w:val="20"/>
                <w:szCs w:val="20"/>
              </w:rPr>
            </w:pPr>
            <w:r w:rsidRPr="00A94D8B">
              <w:rPr>
                <w:rFonts w:cs="Arial"/>
                <w:sz w:val="20"/>
                <w:szCs w:val="20"/>
              </w:rPr>
              <w:t>FFEM-CC</w:t>
            </w:r>
          </w:p>
          <w:p w:rsidR="00581A1D" w:rsidRPr="00A94D8B" w:rsidRDefault="00581A1D" w:rsidP="00AD1C0A">
            <w:pPr>
              <w:spacing w:after="40" w:line="252" w:lineRule="auto"/>
              <w:rPr>
                <w:rFonts w:cs="Arial"/>
                <w:sz w:val="20"/>
                <w:szCs w:val="20"/>
              </w:rPr>
            </w:pPr>
            <w:r w:rsidRPr="00A94D8B">
              <w:rPr>
                <w:rFonts w:cs="Arial"/>
                <w:sz w:val="20"/>
                <w:szCs w:val="20"/>
              </w:rPr>
              <w:t>FSF</w:t>
            </w:r>
          </w:p>
          <w:p w:rsidR="00C66C21" w:rsidRPr="00A94D8B" w:rsidRDefault="00C66C21" w:rsidP="00AD1C0A">
            <w:pPr>
              <w:spacing w:after="40" w:line="252" w:lineRule="auto"/>
              <w:rPr>
                <w:rFonts w:cs="Arial"/>
                <w:sz w:val="20"/>
                <w:szCs w:val="20"/>
              </w:rPr>
            </w:pPr>
            <w:r w:rsidRPr="00A94D8B">
              <w:rPr>
                <w:rFonts w:cs="Arial"/>
                <w:sz w:val="20"/>
                <w:szCs w:val="20"/>
              </w:rPr>
              <w:t>GCCA</w:t>
            </w:r>
          </w:p>
        </w:tc>
        <w:tc>
          <w:tcPr>
            <w:tcW w:w="6763" w:type="dxa"/>
            <w:shd w:val="clear" w:color="auto" w:fill="auto"/>
          </w:tcPr>
          <w:p w:rsidR="00873EE5" w:rsidRPr="00A94D8B" w:rsidRDefault="00873EE5" w:rsidP="00873EE5">
            <w:pPr>
              <w:spacing w:after="40" w:line="252" w:lineRule="auto"/>
              <w:rPr>
                <w:rFonts w:cs="Arial"/>
                <w:sz w:val="20"/>
                <w:szCs w:val="20"/>
              </w:rPr>
            </w:pPr>
            <w:r w:rsidRPr="00A94D8B">
              <w:rPr>
                <w:rFonts w:cs="Arial"/>
                <w:sz w:val="20"/>
                <w:szCs w:val="20"/>
              </w:rPr>
              <w:t>French Global Environment Facility-Climate Change project</w:t>
            </w:r>
          </w:p>
          <w:p w:rsidR="00581A1D" w:rsidRPr="00A94D8B" w:rsidRDefault="00581A1D" w:rsidP="00AD1C0A">
            <w:pPr>
              <w:spacing w:after="40" w:line="252" w:lineRule="auto"/>
              <w:rPr>
                <w:rFonts w:cs="Arial"/>
                <w:sz w:val="20"/>
                <w:szCs w:val="20"/>
              </w:rPr>
            </w:pPr>
            <w:r w:rsidRPr="00A94D8B">
              <w:rPr>
                <w:rFonts w:cs="Arial"/>
                <w:sz w:val="20"/>
                <w:szCs w:val="20"/>
              </w:rPr>
              <w:t>Fast Start Finance</w:t>
            </w:r>
          </w:p>
          <w:p w:rsidR="00C66C21" w:rsidRPr="00A94D8B" w:rsidRDefault="00C66C21" w:rsidP="00AD1C0A">
            <w:pPr>
              <w:spacing w:after="40" w:line="252" w:lineRule="auto"/>
              <w:rPr>
                <w:rFonts w:cs="Arial"/>
                <w:sz w:val="20"/>
                <w:szCs w:val="20"/>
              </w:rPr>
            </w:pPr>
            <w:r w:rsidRPr="00A94D8B">
              <w:rPr>
                <w:rFonts w:cs="Arial"/>
                <w:sz w:val="20"/>
                <w:szCs w:val="20"/>
              </w:rPr>
              <w:t>Global Climate Change Alliance</w:t>
            </w:r>
          </w:p>
        </w:tc>
      </w:tr>
      <w:tr w:rsidR="00C66C21" w:rsidRPr="00A94D8B">
        <w:tc>
          <w:tcPr>
            <w:tcW w:w="2093" w:type="dxa"/>
            <w:shd w:val="clear" w:color="auto" w:fill="auto"/>
          </w:tcPr>
          <w:p w:rsidR="007E3CD1" w:rsidRPr="00A94D8B" w:rsidRDefault="007E3CD1" w:rsidP="00AD1C0A">
            <w:pPr>
              <w:spacing w:after="40" w:line="252" w:lineRule="auto"/>
              <w:rPr>
                <w:rFonts w:cs="Arial"/>
                <w:sz w:val="20"/>
                <w:szCs w:val="20"/>
              </w:rPr>
            </w:pPr>
            <w:r w:rsidRPr="00A94D8B">
              <w:rPr>
                <w:rFonts w:cs="Arial"/>
                <w:sz w:val="20"/>
                <w:szCs w:val="20"/>
              </w:rPr>
              <w:t>GHG</w:t>
            </w:r>
          </w:p>
          <w:p w:rsidR="00C1556C" w:rsidRPr="00A94D8B" w:rsidRDefault="00C1556C" w:rsidP="00AD1C0A">
            <w:pPr>
              <w:spacing w:after="40" w:line="252" w:lineRule="auto"/>
              <w:rPr>
                <w:rFonts w:cs="Arial"/>
                <w:sz w:val="20"/>
                <w:szCs w:val="20"/>
              </w:rPr>
            </w:pPr>
            <w:r w:rsidRPr="00A94D8B">
              <w:rPr>
                <w:rFonts w:cs="Arial"/>
                <w:sz w:val="20"/>
                <w:szCs w:val="20"/>
              </w:rPr>
              <w:t>INSMET</w:t>
            </w:r>
          </w:p>
          <w:p w:rsidR="00F227AA" w:rsidRPr="00A94D8B" w:rsidRDefault="00873EE5" w:rsidP="00AD1C0A">
            <w:pPr>
              <w:spacing w:after="40" w:line="252" w:lineRule="auto"/>
              <w:rPr>
                <w:rFonts w:cs="Arial"/>
                <w:sz w:val="20"/>
                <w:szCs w:val="20"/>
              </w:rPr>
            </w:pPr>
            <w:r w:rsidRPr="00A94D8B">
              <w:rPr>
                <w:rFonts w:cs="Arial"/>
                <w:sz w:val="20"/>
                <w:szCs w:val="20"/>
              </w:rPr>
              <w:t>IPC</w:t>
            </w:r>
            <w:r w:rsidR="00F227AA" w:rsidRPr="00A94D8B">
              <w:rPr>
                <w:rFonts w:cs="Arial"/>
                <w:sz w:val="20"/>
                <w:szCs w:val="20"/>
              </w:rPr>
              <w:t>C</w:t>
            </w:r>
          </w:p>
        </w:tc>
        <w:tc>
          <w:tcPr>
            <w:tcW w:w="6763" w:type="dxa"/>
            <w:shd w:val="clear" w:color="auto" w:fill="auto"/>
          </w:tcPr>
          <w:p w:rsidR="007E3CD1" w:rsidRPr="00A94D8B" w:rsidRDefault="007E3CD1" w:rsidP="00AD1C0A">
            <w:pPr>
              <w:spacing w:after="40" w:line="252" w:lineRule="auto"/>
              <w:rPr>
                <w:rFonts w:cs="Arial"/>
                <w:sz w:val="20"/>
                <w:szCs w:val="20"/>
              </w:rPr>
            </w:pPr>
            <w:r w:rsidRPr="00A94D8B">
              <w:rPr>
                <w:rFonts w:cs="Arial"/>
                <w:sz w:val="20"/>
                <w:szCs w:val="20"/>
              </w:rPr>
              <w:t xml:space="preserve">Green House Gases </w:t>
            </w:r>
          </w:p>
          <w:p w:rsidR="00C1556C" w:rsidRPr="00A94D8B" w:rsidRDefault="00C1556C" w:rsidP="00AD1C0A">
            <w:pPr>
              <w:spacing w:after="40" w:line="252" w:lineRule="auto"/>
              <w:rPr>
                <w:rFonts w:cs="Arial"/>
                <w:sz w:val="20"/>
                <w:szCs w:val="20"/>
              </w:rPr>
            </w:pPr>
            <w:r w:rsidRPr="00A94D8B">
              <w:rPr>
                <w:sz w:val="20"/>
                <w:szCs w:val="20"/>
              </w:rPr>
              <w:t>Institute of Meteorology (INSMET)</w:t>
            </w:r>
          </w:p>
          <w:p w:rsidR="00F227AA" w:rsidRPr="00A94D8B" w:rsidRDefault="00F227AA" w:rsidP="00AD1C0A">
            <w:pPr>
              <w:spacing w:after="40" w:line="252" w:lineRule="auto"/>
              <w:rPr>
                <w:rFonts w:cs="Arial"/>
                <w:sz w:val="20"/>
                <w:szCs w:val="20"/>
              </w:rPr>
            </w:pPr>
            <w:r w:rsidRPr="00A94D8B">
              <w:rPr>
                <w:sz w:val="20"/>
                <w:szCs w:val="20"/>
              </w:rPr>
              <w:t>Intergovernmental Panel on Climate Change</w:t>
            </w:r>
          </w:p>
        </w:tc>
      </w:tr>
      <w:tr w:rsidR="00C66C21" w:rsidRPr="00A94D8B">
        <w:tc>
          <w:tcPr>
            <w:tcW w:w="2093" w:type="dxa"/>
            <w:shd w:val="clear" w:color="auto" w:fill="auto"/>
          </w:tcPr>
          <w:p w:rsidR="00873EE5" w:rsidRPr="0030600F" w:rsidRDefault="00873EE5" w:rsidP="00AD1C0A">
            <w:pPr>
              <w:spacing w:after="40" w:line="252" w:lineRule="auto"/>
              <w:rPr>
                <w:rFonts w:cs="Arial"/>
                <w:sz w:val="20"/>
                <w:szCs w:val="20"/>
                <w:lang w:val="it-IT"/>
              </w:rPr>
            </w:pPr>
            <w:r w:rsidRPr="0030600F">
              <w:rPr>
                <w:rFonts w:cs="Arial"/>
                <w:sz w:val="20"/>
                <w:szCs w:val="20"/>
                <w:lang w:val="it-IT"/>
              </w:rPr>
              <w:t>IRI</w:t>
            </w:r>
          </w:p>
          <w:p w:rsidR="00E12B5F" w:rsidRPr="0030600F" w:rsidRDefault="000A34D3" w:rsidP="00AD1C0A">
            <w:pPr>
              <w:spacing w:after="40" w:line="252" w:lineRule="auto"/>
              <w:rPr>
                <w:rFonts w:cs="Arial"/>
                <w:sz w:val="20"/>
                <w:szCs w:val="20"/>
                <w:lang w:val="it-IT"/>
              </w:rPr>
            </w:pPr>
            <w:r w:rsidRPr="0030600F">
              <w:rPr>
                <w:rFonts w:cs="Arial"/>
                <w:sz w:val="20"/>
                <w:szCs w:val="20"/>
                <w:lang w:val="it-IT"/>
              </w:rPr>
              <w:t>LDC</w:t>
            </w:r>
          </w:p>
          <w:p w:rsidR="00DB50DD" w:rsidRPr="0030600F" w:rsidRDefault="00DB50DD" w:rsidP="00AD1C0A">
            <w:pPr>
              <w:spacing w:after="40" w:line="252" w:lineRule="auto"/>
              <w:rPr>
                <w:rFonts w:cs="Arial"/>
                <w:sz w:val="20"/>
                <w:szCs w:val="20"/>
                <w:lang w:val="it-IT"/>
              </w:rPr>
            </w:pPr>
            <w:r w:rsidRPr="0030600F">
              <w:rPr>
                <w:rFonts w:cs="Arial"/>
                <w:sz w:val="20"/>
                <w:szCs w:val="20"/>
                <w:lang w:val="it-IT"/>
              </w:rPr>
              <w:t>LMCCA</w:t>
            </w:r>
          </w:p>
          <w:p w:rsidR="00A76079" w:rsidRPr="0030600F" w:rsidRDefault="00A76079" w:rsidP="00AD1C0A">
            <w:pPr>
              <w:spacing w:after="40" w:line="252" w:lineRule="auto"/>
              <w:rPr>
                <w:rFonts w:cs="Arial"/>
                <w:sz w:val="20"/>
                <w:szCs w:val="20"/>
                <w:lang w:val="it-IT"/>
              </w:rPr>
            </w:pPr>
            <w:r w:rsidRPr="0030600F">
              <w:rPr>
                <w:rFonts w:cs="Arial"/>
                <w:sz w:val="20"/>
                <w:szCs w:val="20"/>
                <w:lang w:val="it-IT"/>
              </w:rPr>
              <w:t>MACC</w:t>
            </w:r>
          </w:p>
          <w:p w:rsidR="00E12B5F" w:rsidRPr="0030600F" w:rsidRDefault="00E12B5F" w:rsidP="00AD1C0A">
            <w:pPr>
              <w:spacing w:after="40" w:line="252" w:lineRule="auto"/>
              <w:rPr>
                <w:rFonts w:cs="Arial"/>
                <w:sz w:val="20"/>
                <w:szCs w:val="20"/>
                <w:lang w:val="it-IT"/>
              </w:rPr>
            </w:pPr>
            <w:r w:rsidRPr="0030600F">
              <w:rPr>
                <w:rFonts w:cs="Arial"/>
                <w:sz w:val="20"/>
                <w:szCs w:val="20"/>
                <w:lang w:val="it-IT"/>
              </w:rPr>
              <w:t>M&amp;E</w:t>
            </w:r>
          </w:p>
          <w:p w:rsidR="00E14FD8" w:rsidRPr="00AD5369" w:rsidRDefault="00E14FD8" w:rsidP="00AD1C0A">
            <w:pPr>
              <w:spacing w:after="40" w:line="252" w:lineRule="auto"/>
              <w:rPr>
                <w:rFonts w:cs="Arial"/>
                <w:sz w:val="20"/>
                <w:szCs w:val="20"/>
                <w:lang w:val="en-US"/>
              </w:rPr>
            </w:pPr>
            <w:r w:rsidRPr="00AD5369">
              <w:rPr>
                <w:rFonts w:cs="Arial"/>
                <w:sz w:val="20"/>
                <w:szCs w:val="20"/>
                <w:lang w:val="en-US"/>
              </w:rPr>
              <w:t>MDG</w:t>
            </w:r>
          </w:p>
          <w:p w:rsidR="00B35711" w:rsidRPr="00AD5369" w:rsidRDefault="00B35711" w:rsidP="00AD1C0A">
            <w:pPr>
              <w:spacing w:after="40" w:line="252" w:lineRule="auto"/>
              <w:rPr>
                <w:rFonts w:cs="Arial"/>
                <w:sz w:val="20"/>
                <w:szCs w:val="20"/>
                <w:lang w:val="en-US"/>
              </w:rPr>
            </w:pPr>
            <w:r w:rsidRPr="00AD5369">
              <w:rPr>
                <w:rFonts w:cs="Arial"/>
                <w:sz w:val="20"/>
                <w:szCs w:val="20"/>
                <w:lang w:val="en-US"/>
              </w:rPr>
              <w:t>MoU</w:t>
            </w:r>
          </w:p>
          <w:p w:rsidR="006D60E8" w:rsidRPr="00AD5369" w:rsidRDefault="006D60E8" w:rsidP="00AD1C0A">
            <w:pPr>
              <w:spacing w:after="40" w:line="252" w:lineRule="auto"/>
              <w:rPr>
                <w:rFonts w:cs="Arial"/>
                <w:sz w:val="20"/>
                <w:szCs w:val="20"/>
                <w:lang w:val="en-US"/>
              </w:rPr>
            </w:pPr>
            <w:r w:rsidRPr="00AD5369">
              <w:rPr>
                <w:rFonts w:cs="Arial"/>
                <w:sz w:val="20"/>
                <w:szCs w:val="20"/>
                <w:lang w:val="en-US"/>
              </w:rPr>
              <w:t>MS</w:t>
            </w:r>
          </w:p>
          <w:p w:rsidR="00F85DE4" w:rsidRPr="00AD5369" w:rsidRDefault="00F85DE4" w:rsidP="00AD1C0A">
            <w:pPr>
              <w:spacing w:after="40" w:line="252" w:lineRule="auto"/>
              <w:rPr>
                <w:rFonts w:cs="Arial"/>
                <w:sz w:val="20"/>
                <w:szCs w:val="20"/>
                <w:lang w:val="en-US"/>
              </w:rPr>
            </w:pPr>
            <w:r w:rsidRPr="00AD5369">
              <w:rPr>
                <w:rFonts w:cs="Arial"/>
                <w:sz w:val="20"/>
                <w:szCs w:val="20"/>
                <w:lang w:val="en-US"/>
              </w:rPr>
              <w:t>MTG</w:t>
            </w:r>
          </w:p>
          <w:p w:rsidR="00B374CC" w:rsidRPr="00AD5369" w:rsidRDefault="00B374CC" w:rsidP="00AD1C0A">
            <w:pPr>
              <w:spacing w:after="40" w:line="252" w:lineRule="auto"/>
              <w:rPr>
                <w:rFonts w:cs="Arial"/>
                <w:sz w:val="20"/>
                <w:szCs w:val="20"/>
                <w:lang w:val="en-US"/>
              </w:rPr>
            </w:pPr>
            <w:r w:rsidRPr="00AD5369">
              <w:rPr>
                <w:rFonts w:cs="Arial"/>
                <w:sz w:val="20"/>
                <w:szCs w:val="20"/>
                <w:lang w:val="en-US"/>
              </w:rPr>
              <w:t>NAMA</w:t>
            </w:r>
            <w:r w:rsidR="00D92025" w:rsidRPr="00AD5369">
              <w:rPr>
                <w:rFonts w:cs="Arial"/>
                <w:sz w:val="20"/>
                <w:szCs w:val="20"/>
                <w:lang w:val="en-US"/>
              </w:rPr>
              <w:t>s</w:t>
            </w:r>
          </w:p>
          <w:p w:rsidR="006D60E8" w:rsidRPr="00AD5369" w:rsidRDefault="006D60E8" w:rsidP="00AD1C0A">
            <w:pPr>
              <w:spacing w:after="40" w:line="252" w:lineRule="auto"/>
              <w:rPr>
                <w:rFonts w:cs="Arial"/>
                <w:sz w:val="20"/>
                <w:szCs w:val="20"/>
                <w:lang w:val="en-US"/>
              </w:rPr>
            </w:pPr>
            <w:r w:rsidRPr="00AD5369">
              <w:rPr>
                <w:rFonts w:cs="Arial"/>
                <w:sz w:val="20"/>
                <w:szCs w:val="20"/>
                <w:lang w:val="en-US"/>
              </w:rPr>
              <w:t>NAPA</w:t>
            </w:r>
          </w:p>
          <w:p w:rsidR="009C4A3F" w:rsidRPr="00AD5369" w:rsidRDefault="009C4A3F" w:rsidP="00AD1C0A">
            <w:pPr>
              <w:spacing w:after="40" w:line="252" w:lineRule="auto"/>
              <w:rPr>
                <w:sz w:val="20"/>
                <w:szCs w:val="20"/>
                <w:lang w:val="en-US"/>
              </w:rPr>
            </w:pPr>
            <w:r w:rsidRPr="00AD5369">
              <w:rPr>
                <w:sz w:val="20"/>
                <w:szCs w:val="20"/>
                <w:lang w:val="en-US"/>
              </w:rPr>
              <w:t>NASAP</w:t>
            </w:r>
          </w:p>
          <w:p w:rsidR="008E7D0C" w:rsidRPr="00AD5369" w:rsidRDefault="008E7D0C" w:rsidP="00AD1C0A">
            <w:pPr>
              <w:spacing w:after="40" w:line="252" w:lineRule="auto"/>
              <w:rPr>
                <w:sz w:val="20"/>
                <w:szCs w:val="20"/>
                <w:lang w:val="en-US"/>
              </w:rPr>
            </w:pPr>
            <w:r w:rsidRPr="00AD5369">
              <w:rPr>
                <w:sz w:val="20"/>
                <w:szCs w:val="20"/>
                <w:lang w:val="en-US"/>
              </w:rPr>
              <w:t>NCG</w:t>
            </w:r>
          </w:p>
          <w:p w:rsidR="007E12A7" w:rsidRPr="00AD5369" w:rsidRDefault="007E12A7" w:rsidP="00AD1C0A">
            <w:pPr>
              <w:spacing w:after="40" w:line="252" w:lineRule="auto"/>
              <w:rPr>
                <w:rFonts w:cs="Arial"/>
                <w:sz w:val="20"/>
                <w:szCs w:val="20"/>
                <w:lang w:val="en-US"/>
              </w:rPr>
            </w:pPr>
            <w:r w:rsidRPr="00AD5369">
              <w:rPr>
                <w:sz w:val="20"/>
                <w:szCs w:val="20"/>
                <w:lang w:val="en-US"/>
              </w:rPr>
              <w:t>NECJOGHA</w:t>
            </w:r>
          </w:p>
          <w:p w:rsidR="00383A8B" w:rsidRPr="00AD5369" w:rsidRDefault="00383A8B" w:rsidP="00AD1C0A">
            <w:pPr>
              <w:spacing w:after="40" w:line="252" w:lineRule="auto"/>
              <w:rPr>
                <w:rFonts w:cs="Arial"/>
                <w:sz w:val="20"/>
                <w:szCs w:val="20"/>
                <w:lang w:val="en-US"/>
              </w:rPr>
            </w:pPr>
            <w:r w:rsidRPr="00AD5369">
              <w:rPr>
                <w:rFonts w:cs="Arial"/>
                <w:sz w:val="20"/>
                <w:szCs w:val="20"/>
                <w:lang w:val="en-US"/>
              </w:rPr>
              <w:t>NEPAD</w:t>
            </w:r>
          </w:p>
          <w:p w:rsidR="00F44451" w:rsidRPr="00AD5369" w:rsidRDefault="00F44451" w:rsidP="00AD1C0A">
            <w:pPr>
              <w:spacing w:after="40" w:line="252" w:lineRule="auto"/>
              <w:rPr>
                <w:rFonts w:cs="Arial"/>
                <w:sz w:val="20"/>
                <w:szCs w:val="20"/>
                <w:lang w:val="en-US"/>
              </w:rPr>
            </w:pPr>
            <w:r w:rsidRPr="00AD5369">
              <w:rPr>
                <w:rFonts w:cs="Arial"/>
                <w:sz w:val="20"/>
                <w:szCs w:val="20"/>
                <w:lang w:val="en-US"/>
              </w:rPr>
              <w:t>NGOs</w:t>
            </w:r>
          </w:p>
          <w:p w:rsidR="008E7D0C" w:rsidRPr="00AD5369" w:rsidRDefault="008E7D0C" w:rsidP="00AD1C0A">
            <w:pPr>
              <w:spacing w:after="40" w:line="252" w:lineRule="auto"/>
              <w:rPr>
                <w:rFonts w:cs="Arial"/>
                <w:sz w:val="20"/>
                <w:szCs w:val="20"/>
                <w:lang w:val="en-US"/>
              </w:rPr>
            </w:pPr>
            <w:r w:rsidRPr="00AD5369">
              <w:rPr>
                <w:rFonts w:cs="Arial"/>
                <w:sz w:val="20"/>
                <w:szCs w:val="20"/>
                <w:lang w:val="en-US"/>
              </w:rPr>
              <w:t>NOAA</w:t>
            </w:r>
          </w:p>
          <w:p w:rsidR="001E77DA" w:rsidRPr="00AD5369" w:rsidRDefault="008E7D0C" w:rsidP="00AD1C0A">
            <w:pPr>
              <w:spacing w:after="40" w:line="252" w:lineRule="auto"/>
              <w:rPr>
                <w:rFonts w:cs="Arial"/>
                <w:sz w:val="20"/>
                <w:szCs w:val="20"/>
                <w:lang w:val="en-US"/>
              </w:rPr>
            </w:pPr>
            <w:r w:rsidRPr="00AD5369">
              <w:rPr>
                <w:rFonts w:cs="Arial"/>
                <w:sz w:val="20"/>
                <w:szCs w:val="20"/>
                <w:lang w:val="en-US"/>
              </w:rPr>
              <w:t>NPAC</w:t>
            </w:r>
          </w:p>
          <w:p w:rsidR="00E45967" w:rsidRPr="00AD5369" w:rsidRDefault="00E45967" w:rsidP="00AD1C0A">
            <w:pPr>
              <w:spacing w:after="40" w:line="252" w:lineRule="auto"/>
              <w:rPr>
                <w:rFonts w:cs="Arial"/>
                <w:sz w:val="20"/>
                <w:szCs w:val="20"/>
                <w:lang w:val="en-US"/>
              </w:rPr>
            </w:pPr>
            <w:r w:rsidRPr="00AD5369">
              <w:rPr>
                <w:rFonts w:cs="Arial"/>
                <w:sz w:val="20"/>
                <w:szCs w:val="20"/>
                <w:lang w:val="en-US"/>
              </w:rPr>
              <w:t>OECS</w:t>
            </w:r>
          </w:p>
          <w:p w:rsidR="00861F06" w:rsidRPr="00AD5369" w:rsidRDefault="00861F06" w:rsidP="00AD1C0A">
            <w:pPr>
              <w:spacing w:after="40" w:line="252" w:lineRule="auto"/>
              <w:rPr>
                <w:sz w:val="20"/>
                <w:szCs w:val="20"/>
                <w:lang w:val="en-US"/>
              </w:rPr>
            </w:pPr>
            <w:r w:rsidRPr="00AD5369">
              <w:rPr>
                <w:sz w:val="20"/>
                <w:szCs w:val="20"/>
                <w:lang w:val="en-US"/>
              </w:rPr>
              <w:t>PACE-SD</w:t>
            </w:r>
          </w:p>
          <w:p w:rsidR="004B12B8" w:rsidRPr="00AD5369" w:rsidRDefault="004B12B8" w:rsidP="00AD1C0A">
            <w:pPr>
              <w:spacing w:after="40" w:line="252" w:lineRule="auto"/>
              <w:rPr>
                <w:sz w:val="20"/>
                <w:szCs w:val="20"/>
                <w:lang w:val="en-US"/>
              </w:rPr>
            </w:pPr>
            <w:r w:rsidRPr="00AD5369">
              <w:rPr>
                <w:sz w:val="20"/>
                <w:szCs w:val="20"/>
                <w:lang w:val="en-US"/>
              </w:rPr>
              <w:t>PACJA</w:t>
            </w:r>
          </w:p>
          <w:p w:rsidR="009F158E" w:rsidRPr="00AD5369" w:rsidRDefault="009F158E" w:rsidP="00AD1C0A">
            <w:pPr>
              <w:spacing w:after="40" w:line="252" w:lineRule="auto"/>
              <w:rPr>
                <w:sz w:val="20"/>
                <w:szCs w:val="20"/>
                <w:lang w:val="en-US"/>
              </w:rPr>
            </w:pPr>
            <w:r w:rsidRPr="00AD5369">
              <w:rPr>
                <w:sz w:val="20"/>
                <w:szCs w:val="20"/>
                <w:lang w:val="en-US"/>
              </w:rPr>
              <w:t>PACP</w:t>
            </w:r>
          </w:p>
          <w:p w:rsidR="009A16ED" w:rsidRPr="00AD5369" w:rsidRDefault="009A16ED" w:rsidP="00AD1C0A">
            <w:pPr>
              <w:spacing w:after="40" w:line="252" w:lineRule="auto"/>
              <w:rPr>
                <w:rFonts w:cs="Arial"/>
                <w:sz w:val="20"/>
                <w:szCs w:val="20"/>
                <w:lang w:val="en-US"/>
              </w:rPr>
            </w:pPr>
            <w:r w:rsidRPr="00AD5369">
              <w:rPr>
                <w:sz w:val="20"/>
                <w:szCs w:val="20"/>
                <w:lang w:val="en-US"/>
              </w:rPr>
              <w:t>PIFACC</w:t>
            </w:r>
          </w:p>
          <w:p w:rsidR="008E7D0C" w:rsidRPr="004C38FA" w:rsidRDefault="008E7D0C" w:rsidP="00AD1C0A">
            <w:pPr>
              <w:spacing w:after="40" w:line="252" w:lineRule="auto"/>
              <w:rPr>
                <w:rFonts w:cs="Arial"/>
                <w:sz w:val="20"/>
                <w:szCs w:val="20"/>
                <w:lang w:val="it-IT"/>
              </w:rPr>
            </w:pPr>
            <w:r w:rsidRPr="004C38FA">
              <w:rPr>
                <w:rFonts w:cs="Arial"/>
                <w:sz w:val="20"/>
                <w:szCs w:val="20"/>
                <w:lang w:val="it-IT"/>
              </w:rPr>
              <w:t>PISS</w:t>
            </w:r>
          </w:p>
          <w:p w:rsidR="002C116D" w:rsidRPr="004C38FA" w:rsidRDefault="002C116D" w:rsidP="00AD1C0A">
            <w:pPr>
              <w:spacing w:after="40" w:line="252" w:lineRule="auto"/>
              <w:rPr>
                <w:rFonts w:cs="Arial"/>
                <w:sz w:val="20"/>
                <w:szCs w:val="20"/>
                <w:lang w:val="it-IT"/>
              </w:rPr>
            </w:pPr>
            <w:r w:rsidRPr="004C38FA">
              <w:rPr>
                <w:rFonts w:cs="Arial"/>
                <w:sz w:val="20"/>
                <w:szCs w:val="20"/>
                <w:lang w:val="it-IT"/>
              </w:rPr>
              <w:t>RA</w:t>
            </w:r>
          </w:p>
          <w:p w:rsidR="00A34CA7" w:rsidRPr="004C38FA" w:rsidRDefault="00A34CA7" w:rsidP="00AD1C0A">
            <w:pPr>
              <w:spacing w:after="40" w:line="252" w:lineRule="auto"/>
              <w:rPr>
                <w:rFonts w:cs="Arial"/>
                <w:sz w:val="20"/>
                <w:szCs w:val="20"/>
                <w:lang w:val="it-IT"/>
              </w:rPr>
            </w:pPr>
            <w:r w:rsidRPr="004C38FA">
              <w:rPr>
                <w:rFonts w:cs="Arial"/>
                <w:sz w:val="20"/>
                <w:szCs w:val="20"/>
                <w:lang w:val="it-IT"/>
              </w:rPr>
              <w:t>REC</w:t>
            </w:r>
          </w:p>
          <w:p w:rsidR="00C66C21" w:rsidRPr="00A94D8B" w:rsidRDefault="00C66C21" w:rsidP="00AD1C0A">
            <w:pPr>
              <w:spacing w:after="40" w:line="252" w:lineRule="auto"/>
              <w:rPr>
                <w:rFonts w:cs="Arial"/>
                <w:sz w:val="20"/>
                <w:szCs w:val="20"/>
              </w:rPr>
            </w:pPr>
            <w:r w:rsidRPr="00A94D8B">
              <w:rPr>
                <w:rFonts w:cs="Arial"/>
                <w:sz w:val="20"/>
                <w:szCs w:val="20"/>
              </w:rPr>
              <w:t>REDD</w:t>
            </w:r>
          </w:p>
        </w:tc>
        <w:tc>
          <w:tcPr>
            <w:tcW w:w="6763" w:type="dxa"/>
            <w:shd w:val="clear" w:color="auto" w:fill="auto"/>
          </w:tcPr>
          <w:p w:rsidR="00873EE5" w:rsidRPr="00A94D8B" w:rsidRDefault="00873EE5" w:rsidP="00AD1C0A">
            <w:pPr>
              <w:spacing w:after="40" w:line="252" w:lineRule="auto"/>
              <w:rPr>
                <w:rFonts w:cs="Arial"/>
                <w:sz w:val="20"/>
                <w:szCs w:val="20"/>
              </w:rPr>
            </w:pPr>
            <w:r w:rsidRPr="00A94D8B">
              <w:rPr>
                <w:rFonts w:cs="Arial"/>
                <w:sz w:val="20"/>
                <w:szCs w:val="20"/>
              </w:rPr>
              <w:t>International Research Institute for Climate and Society</w:t>
            </w:r>
          </w:p>
          <w:p w:rsidR="00E12B5F" w:rsidRPr="00A94D8B" w:rsidRDefault="000A34D3" w:rsidP="00AD1C0A">
            <w:pPr>
              <w:spacing w:after="40" w:line="252" w:lineRule="auto"/>
              <w:rPr>
                <w:rFonts w:cs="Arial"/>
                <w:sz w:val="20"/>
                <w:szCs w:val="20"/>
              </w:rPr>
            </w:pPr>
            <w:r w:rsidRPr="00A94D8B">
              <w:rPr>
                <w:rFonts w:cs="Arial"/>
                <w:sz w:val="20"/>
                <w:szCs w:val="20"/>
              </w:rPr>
              <w:t>Least Developed Country</w:t>
            </w:r>
          </w:p>
          <w:p w:rsidR="00DB50DD" w:rsidRPr="00A94D8B" w:rsidRDefault="00DB50DD" w:rsidP="00AD1C0A">
            <w:pPr>
              <w:spacing w:after="40" w:line="252" w:lineRule="auto"/>
              <w:rPr>
                <w:rFonts w:cs="Arial"/>
                <w:sz w:val="20"/>
                <w:szCs w:val="20"/>
              </w:rPr>
            </w:pPr>
            <w:r w:rsidRPr="00A94D8B">
              <w:rPr>
                <w:rFonts w:cs="Arial"/>
                <w:sz w:val="20"/>
                <w:szCs w:val="20"/>
              </w:rPr>
              <w:t xml:space="preserve">Locally Managed Climate Change Adaptation </w:t>
            </w:r>
          </w:p>
          <w:p w:rsidR="00A76079" w:rsidRPr="00A94D8B" w:rsidRDefault="00A76079" w:rsidP="00AD1C0A">
            <w:pPr>
              <w:spacing w:after="40" w:line="252" w:lineRule="auto"/>
              <w:rPr>
                <w:rFonts w:cs="Arial"/>
                <w:sz w:val="20"/>
                <w:szCs w:val="20"/>
              </w:rPr>
            </w:pPr>
            <w:r w:rsidRPr="00A94D8B">
              <w:rPr>
                <w:rFonts w:cs="Arial"/>
                <w:sz w:val="20"/>
                <w:szCs w:val="20"/>
              </w:rPr>
              <w:t>Main-streaming Adaptation to Climate Change</w:t>
            </w:r>
          </w:p>
          <w:p w:rsidR="00E12B5F" w:rsidRPr="00A94D8B" w:rsidRDefault="00E12B5F" w:rsidP="00AD1C0A">
            <w:pPr>
              <w:spacing w:after="40" w:line="252" w:lineRule="auto"/>
              <w:rPr>
                <w:rFonts w:cs="Arial"/>
                <w:sz w:val="20"/>
                <w:szCs w:val="20"/>
              </w:rPr>
            </w:pPr>
            <w:r w:rsidRPr="00A94D8B">
              <w:rPr>
                <w:rFonts w:cs="Arial"/>
                <w:sz w:val="20"/>
                <w:szCs w:val="20"/>
              </w:rPr>
              <w:t>Monitoring and Evaluation</w:t>
            </w:r>
          </w:p>
          <w:p w:rsidR="00E14FD8" w:rsidRPr="00A94D8B" w:rsidRDefault="00824E57" w:rsidP="00AD1C0A">
            <w:pPr>
              <w:spacing w:after="40" w:line="252" w:lineRule="auto"/>
              <w:rPr>
                <w:rFonts w:cs="Arial"/>
                <w:sz w:val="20"/>
                <w:szCs w:val="20"/>
              </w:rPr>
            </w:pPr>
            <w:r w:rsidRPr="00A94D8B">
              <w:rPr>
                <w:rFonts w:cs="Arial"/>
                <w:sz w:val="20"/>
                <w:szCs w:val="20"/>
              </w:rPr>
              <w:t>Millennium</w:t>
            </w:r>
            <w:r w:rsidR="00E14FD8" w:rsidRPr="00A94D8B">
              <w:rPr>
                <w:rFonts w:cs="Arial"/>
                <w:sz w:val="20"/>
                <w:szCs w:val="20"/>
              </w:rPr>
              <w:t xml:space="preserve"> Development Goal</w:t>
            </w:r>
          </w:p>
          <w:p w:rsidR="00B35711" w:rsidRPr="00A94D8B" w:rsidRDefault="00B35711" w:rsidP="00AD1C0A">
            <w:pPr>
              <w:spacing w:after="40" w:line="252" w:lineRule="auto"/>
              <w:rPr>
                <w:rFonts w:cs="Arial"/>
                <w:sz w:val="20"/>
                <w:szCs w:val="20"/>
              </w:rPr>
            </w:pPr>
            <w:r w:rsidRPr="00A94D8B">
              <w:rPr>
                <w:rFonts w:cs="Arial"/>
                <w:sz w:val="20"/>
                <w:szCs w:val="20"/>
              </w:rPr>
              <w:t xml:space="preserve">Memorandum of Understanding </w:t>
            </w:r>
          </w:p>
          <w:p w:rsidR="006D60E8" w:rsidRPr="00A94D8B" w:rsidRDefault="006D60E8" w:rsidP="00AD1C0A">
            <w:pPr>
              <w:spacing w:after="40" w:line="252" w:lineRule="auto"/>
              <w:rPr>
                <w:rFonts w:cs="Arial"/>
                <w:sz w:val="20"/>
                <w:szCs w:val="20"/>
              </w:rPr>
            </w:pPr>
            <w:r w:rsidRPr="00A94D8B">
              <w:rPr>
                <w:rFonts w:cs="Arial"/>
                <w:sz w:val="20"/>
                <w:szCs w:val="20"/>
              </w:rPr>
              <w:t>Member State</w:t>
            </w:r>
          </w:p>
          <w:p w:rsidR="00F85DE4" w:rsidRPr="00A94D8B" w:rsidRDefault="00F85DE4" w:rsidP="00AD1C0A">
            <w:pPr>
              <w:spacing w:after="40" w:line="252" w:lineRule="auto"/>
              <w:rPr>
                <w:rFonts w:cs="Arial"/>
                <w:sz w:val="20"/>
                <w:szCs w:val="20"/>
              </w:rPr>
            </w:pPr>
            <w:r w:rsidRPr="00A94D8B">
              <w:rPr>
                <w:rFonts w:cs="Arial"/>
                <w:sz w:val="20"/>
                <w:szCs w:val="20"/>
              </w:rPr>
              <w:t>Modular Turbulence Generators Artificial Reef Structure</w:t>
            </w:r>
          </w:p>
          <w:p w:rsidR="00B374CC" w:rsidRPr="00A94D8B" w:rsidRDefault="00B374CC" w:rsidP="00AD1C0A">
            <w:pPr>
              <w:spacing w:after="40" w:line="252" w:lineRule="auto"/>
              <w:rPr>
                <w:rFonts w:cs="Arial"/>
                <w:sz w:val="20"/>
                <w:szCs w:val="20"/>
              </w:rPr>
            </w:pPr>
            <w:r w:rsidRPr="00A94D8B">
              <w:rPr>
                <w:rFonts w:cs="Arial"/>
                <w:sz w:val="20"/>
                <w:szCs w:val="20"/>
              </w:rPr>
              <w:t xml:space="preserve">Nationally Appropriate Mitigation Actions </w:t>
            </w:r>
          </w:p>
          <w:p w:rsidR="006D60E8" w:rsidRPr="00A94D8B" w:rsidRDefault="006D60E8" w:rsidP="00AD1C0A">
            <w:pPr>
              <w:spacing w:after="40" w:line="252" w:lineRule="auto"/>
              <w:rPr>
                <w:rFonts w:cs="Arial"/>
                <w:sz w:val="20"/>
                <w:szCs w:val="20"/>
              </w:rPr>
            </w:pPr>
            <w:r w:rsidRPr="00A94D8B">
              <w:rPr>
                <w:rFonts w:cs="Arial"/>
                <w:sz w:val="20"/>
                <w:szCs w:val="20"/>
              </w:rPr>
              <w:t>National Adaptation Programme of Action</w:t>
            </w:r>
          </w:p>
          <w:p w:rsidR="009C4A3F" w:rsidRPr="00A94D8B" w:rsidRDefault="009C4A3F" w:rsidP="00AD1C0A">
            <w:pPr>
              <w:spacing w:after="40" w:line="252" w:lineRule="auto"/>
              <w:rPr>
                <w:rFonts w:cs="Arial"/>
                <w:sz w:val="20"/>
                <w:szCs w:val="20"/>
              </w:rPr>
            </w:pPr>
            <w:r w:rsidRPr="00A94D8B">
              <w:rPr>
                <w:rFonts w:cs="Arial"/>
                <w:sz w:val="20"/>
                <w:szCs w:val="20"/>
              </w:rPr>
              <w:t xml:space="preserve">National Adaptation Strategies and Action Plans </w:t>
            </w:r>
          </w:p>
          <w:p w:rsidR="008E7D0C" w:rsidRPr="00A94D8B" w:rsidRDefault="008E7D0C" w:rsidP="00AD1C0A">
            <w:pPr>
              <w:spacing w:after="40" w:line="252" w:lineRule="auto"/>
              <w:rPr>
                <w:rFonts w:cs="Arial"/>
                <w:sz w:val="20"/>
                <w:szCs w:val="20"/>
              </w:rPr>
            </w:pPr>
            <w:r w:rsidRPr="00A94D8B">
              <w:rPr>
                <w:rFonts w:cs="Arial"/>
                <w:sz w:val="20"/>
                <w:szCs w:val="20"/>
              </w:rPr>
              <w:t>Nordic Consulting Group</w:t>
            </w:r>
          </w:p>
          <w:p w:rsidR="007E12A7" w:rsidRPr="00A94D8B" w:rsidRDefault="007E12A7" w:rsidP="00AD1C0A">
            <w:pPr>
              <w:spacing w:after="40" w:line="252" w:lineRule="auto"/>
              <w:rPr>
                <w:rFonts w:cs="Arial"/>
                <w:sz w:val="20"/>
                <w:szCs w:val="20"/>
              </w:rPr>
            </w:pPr>
            <w:r w:rsidRPr="00A94D8B">
              <w:rPr>
                <w:rFonts w:cs="Arial"/>
                <w:sz w:val="20"/>
                <w:szCs w:val="20"/>
              </w:rPr>
              <w:t>Network of Climate Journalists of the Greater Horn of Africa</w:t>
            </w:r>
          </w:p>
          <w:p w:rsidR="005443F7" w:rsidRPr="00A94D8B" w:rsidRDefault="00383A8B" w:rsidP="00AD1C0A">
            <w:pPr>
              <w:spacing w:after="40" w:line="252" w:lineRule="auto"/>
              <w:rPr>
                <w:rFonts w:cs="Arial"/>
                <w:sz w:val="20"/>
                <w:szCs w:val="20"/>
              </w:rPr>
            </w:pPr>
            <w:r w:rsidRPr="00A94D8B">
              <w:rPr>
                <w:rFonts w:cs="Arial"/>
                <w:sz w:val="20"/>
                <w:szCs w:val="20"/>
              </w:rPr>
              <w:t>New Economic Partnership for African Development</w:t>
            </w:r>
          </w:p>
          <w:p w:rsidR="00F44451" w:rsidRPr="00A94D8B" w:rsidRDefault="00F44451" w:rsidP="00AD1C0A">
            <w:pPr>
              <w:spacing w:after="40" w:line="252" w:lineRule="auto"/>
              <w:rPr>
                <w:rFonts w:cs="Arial"/>
                <w:sz w:val="20"/>
                <w:szCs w:val="20"/>
              </w:rPr>
            </w:pPr>
            <w:r w:rsidRPr="00A94D8B">
              <w:rPr>
                <w:rFonts w:cs="Arial"/>
                <w:sz w:val="20"/>
                <w:szCs w:val="20"/>
              </w:rPr>
              <w:t>Non Governmental Organisations</w:t>
            </w:r>
          </w:p>
          <w:p w:rsidR="008E7D0C" w:rsidRPr="00A94D8B" w:rsidRDefault="008E7D0C" w:rsidP="00AD1C0A">
            <w:pPr>
              <w:spacing w:after="40" w:line="252" w:lineRule="auto"/>
              <w:rPr>
                <w:rFonts w:cs="Arial"/>
                <w:sz w:val="20"/>
                <w:szCs w:val="20"/>
              </w:rPr>
            </w:pPr>
            <w:r w:rsidRPr="00A94D8B">
              <w:rPr>
                <w:rFonts w:cs="Arial"/>
                <w:sz w:val="20"/>
                <w:szCs w:val="20"/>
              </w:rPr>
              <w:t>National Oceanic and Atmospheric Administration</w:t>
            </w:r>
          </w:p>
          <w:p w:rsidR="001E77DA" w:rsidRPr="00A94D8B" w:rsidRDefault="008E7D0C" w:rsidP="00AD1C0A">
            <w:pPr>
              <w:spacing w:after="40" w:line="252" w:lineRule="auto"/>
              <w:rPr>
                <w:rFonts w:cs="Arial"/>
                <w:sz w:val="20"/>
                <w:szCs w:val="20"/>
              </w:rPr>
            </w:pPr>
            <w:r w:rsidRPr="00A94D8B">
              <w:rPr>
                <w:rFonts w:cs="Arial"/>
                <w:sz w:val="20"/>
                <w:szCs w:val="20"/>
              </w:rPr>
              <w:t>National Project Advisory Committees</w:t>
            </w:r>
          </w:p>
          <w:p w:rsidR="00E45967" w:rsidRPr="00A94D8B" w:rsidRDefault="00E45967" w:rsidP="00AD1C0A">
            <w:pPr>
              <w:spacing w:after="40" w:line="252" w:lineRule="auto"/>
              <w:rPr>
                <w:rFonts w:cs="Arial"/>
                <w:sz w:val="20"/>
                <w:szCs w:val="20"/>
              </w:rPr>
            </w:pPr>
            <w:r w:rsidRPr="00A94D8B">
              <w:rPr>
                <w:rFonts w:cs="Arial"/>
                <w:sz w:val="20"/>
                <w:szCs w:val="20"/>
              </w:rPr>
              <w:t xml:space="preserve">Organisation of Eastern Caribbean States </w:t>
            </w:r>
          </w:p>
          <w:p w:rsidR="00861F06" w:rsidRPr="00A94D8B" w:rsidRDefault="00861F06" w:rsidP="00AD1C0A">
            <w:pPr>
              <w:spacing w:after="40" w:line="252" w:lineRule="auto"/>
              <w:rPr>
                <w:rFonts w:cs="Arial"/>
                <w:sz w:val="20"/>
                <w:szCs w:val="20"/>
              </w:rPr>
            </w:pPr>
            <w:r w:rsidRPr="00A94D8B">
              <w:rPr>
                <w:rFonts w:cs="Arial"/>
                <w:sz w:val="20"/>
                <w:szCs w:val="20"/>
              </w:rPr>
              <w:t>Pacific Centre for Environment and Sustainable Development</w:t>
            </w:r>
          </w:p>
          <w:p w:rsidR="004B12B8" w:rsidRPr="00A94D8B" w:rsidRDefault="004B12B8" w:rsidP="00AD1C0A">
            <w:pPr>
              <w:spacing w:after="40" w:line="252" w:lineRule="auto"/>
              <w:rPr>
                <w:rFonts w:cs="Arial"/>
                <w:sz w:val="20"/>
                <w:szCs w:val="20"/>
              </w:rPr>
            </w:pPr>
            <w:r w:rsidRPr="00A94D8B">
              <w:rPr>
                <w:rFonts w:cs="Arial"/>
                <w:sz w:val="20"/>
                <w:szCs w:val="20"/>
              </w:rPr>
              <w:t>Pan African Climate Justice Alliance</w:t>
            </w:r>
          </w:p>
          <w:p w:rsidR="009F158E" w:rsidRPr="00A94D8B" w:rsidRDefault="009F158E" w:rsidP="00AD1C0A">
            <w:pPr>
              <w:spacing w:after="40" w:line="252" w:lineRule="auto"/>
              <w:rPr>
                <w:rFonts w:cs="Arial"/>
                <w:sz w:val="20"/>
                <w:szCs w:val="20"/>
              </w:rPr>
            </w:pPr>
            <w:r w:rsidRPr="00A94D8B">
              <w:rPr>
                <w:rFonts w:cs="Arial"/>
                <w:sz w:val="20"/>
                <w:szCs w:val="20"/>
              </w:rPr>
              <w:t xml:space="preserve">Pacific Assistance to the ACP States </w:t>
            </w:r>
          </w:p>
          <w:p w:rsidR="008E7D0C" w:rsidRPr="00A94D8B" w:rsidRDefault="009A16ED" w:rsidP="00AD1C0A">
            <w:pPr>
              <w:spacing w:after="40" w:line="252" w:lineRule="auto"/>
              <w:rPr>
                <w:rFonts w:cs="Arial"/>
                <w:sz w:val="20"/>
                <w:szCs w:val="20"/>
              </w:rPr>
            </w:pPr>
            <w:r w:rsidRPr="00A94D8B">
              <w:rPr>
                <w:rFonts w:cs="Arial"/>
                <w:sz w:val="20"/>
                <w:szCs w:val="20"/>
              </w:rPr>
              <w:t>Pacific Islands Framework for Action on</w:t>
            </w:r>
            <w:r w:rsidR="00542C9F" w:rsidRPr="00A94D8B">
              <w:rPr>
                <w:rFonts w:cs="Arial"/>
                <w:sz w:val="20"/>
                <w:szCs w:val="20"/>
              </w:rPr>
              <w:t xml:space="preserve"> Climate Change</w:t>
            </w:r>
          </w:p>
          <w:p w:rsidR="008E7D0C" w:rsidRPr="00A94D8B" w:rsidRDefault="00542C9F" w:rsidP="008E7D0C">
            <w:pPr>
              <w:spacing w:after="40" w:line="252" w:lineRule="auto"/>
              <w:rPr>
                <w:rFonts w:cs="Arial"/>
                <w:sz w:val="20"/>
                <w:szCs w:val="20"/>
              </w:rPr>
            </w:pPr>
            <w:r w:rsidRPr="00A94D8B">
              <w:rPr>
                <w:rFonts w:cs="Arial"/>
                <w:sz w:val="20"/>
                <w:szCs w:val="20"/>
              </w:rPr>
              <w:t xml:space="preserve"> </w:t>
            </w:r>
            <w:r w:rsidR="008E7D0C" w:rsidRPr="00A94D8B">
              <w:rPr>
                <w:rFonts w:cs="Arial"/>
                <w:sz w:val="20"/>
                <w:szCs w:val="20"/>
              </w:rPr>
              <w:t>Pacific Small Island States</w:t>
            </w:r>
          </w:p>
          <w:p w:rsidR="002C116D" w:rsidRPr="00A94D8B" w:rsidRDefault="002C116D" w:rsidP="00AD1C0A">
            <w:pPr>
              <w:spacing w:after="40" w:line="252" w:lineRule="auto"/>
              <w:rPr>
                <w:rFonts w:cs="Arial"/>
                <w:sz w:val="20"/>
                <w:szCs w:val="20"/>
              </w:rPr>
            </w:pPr>
            <w:r w:rsidRPr="00A94D8B">
              <w:rPr>
                <w:rFonts w:cs="Arial"/>
                <w:sz w:val="20"/>
                <w:szCs w:val="20"/>
              </w:rPr>
              <w:t xml:space="preserve">Rapid Assessment </w:t>
            </w:r>
          </w:p>
          <w:p w:rsidR="00A34CA7" w:rsidRPr="00A94D8B" w:rsidRDefault="00A34CA7" w:rsidP="00AD1C0A">
            <w:pPr>
              <w:spacing w:after="40" w:line="252" w:lineRule="auto"/>
              <w:rPr>
                <w:rFonts w:cs="Arial"/>
                <w:sz w:val="20"/>
                <w:szCs w:val="20"/>
              </w:rPr>
            </w:pPr>
            <w:r w:rsidRPr="00A94D8B">
              <w:rPr>
                <w:rFonts w:cs="Arial"/>
                <w:sz w:val="20"/>
                <w:szCs w:val="20"/>
              </w:rPr>
              <w:t>Regional Economic Commission</w:t>
            </w:r>
          </w:p>
          <w:p w:rsidR="00E12B5F" w:rsidRPr="00A94D8B" w:rsidRDefault="00C66C21" w:rsidP="00AD1C0A">
            <w:pPr>
              <w:spacing w:after="40" w:line="252" w:lineRule="auto"/>
              <w:rPr>
                <w:rFonts w:cs="Arial"/>
                <w:sz w:val="20"/>
                <w:szCs w:val="20"/>
              </w:rPr>
            </w:pPr>
            <w:r w:rsidRPr="00A94D8B">
              <w:rPr>
                <w:rFonts w:cs="Arial"/>
                <w:sz w:val="20"/>
                <w:szCs w:val="20"/>
              </w:rPr>
              <w:t>Reducing Emissions from Deforestation and Forest Degradation</w:t>
            </w:r>
          </w:p>
        </w:tc>
      </w:tr>
      <w:tr w:rsidR="00C66C21" w:rsidRPr="00A94D8B">
        <w:tc>
          <w:tcPr>
            <w:tcW w:w="2093" w:type="dxa"/>
            <w:shd w:val="clear" w:color="auto" w:fill="auto"/>
          </w:tcPr>
          <w:p w:rsidR="00957DC7" w:rsidRPr="00A94D8B" w:rsidRDefault="00957DC7" w:rsidP="00AD1C0A">
            <w:pPr>
              <w:spacing w:after="40" w:line="252" w:lineRule="auto"/>
              <w:rPr>
                <w:rFonts w:cs="Arial"/>
                <w:sz w:val="20"/>
                <w:szCs w:val="20"/>
              </w:rPr>
            </w:pPr>
            <w:r w:rsidRPr="00A94D8B">
              <w:rPr>
                <w:rFonts w:cs="Arial"/>
                <w:sz w:val="20"/>
                <w:szCs w:val="20"/>
              </w:rPr>
              <w:t>ROM</w:t>
            </w:r>
          </w:p>
          <w:p w:rsidR="00264B22" w:rsidRPr="00A94D8B" w:rsidRDefault="00264B22" w:rsidP="00AD1C0A">
            <w:pPr>
              <w:spacing w:after="40" w:line="252" w:lineRule="auto"/>
              <w:rPr>
                <w:rFonts w:cs="Arial"/>
                <w:sz w:val="20"/>
                <w:szCs w:val="20"/>
              </w:rPr>
            </w:pPr>
            <w:r w:rsidRPr="00A94D8B">
              <w:rPr>
                <w:rFonts w:cs="Arial"/>
                <w:sz w:val="20"/>
                <w:szCs w:val="20"/>
              </w:rPr>
              <w:t>SADC</w:t>
            </w:r>
          </w:p>
          <w:p w:rsidR="009F158E" w:rsidRPr="00A94D8B" w:rsidRDefault="009F158E" w:rsidP="00AD1C0A">
            <w:pPr>
              <w:spacing w:after="40" w:line="252" w:lineRule="auto"/>
              <w:rPr>
                <w:rFonts w:cs="Arial"/>
                <w:sz w:val="20"/>
                <w:szCs w:val="20"/>
              </w:rPr>
            </w:pPr>
            <w:r w:rsidRPr="00A94D8B">
              <w:rPr>
                <w:rFonts w:cs="Arial"/>
                <w:sz w:val="20"/>
                <w:szCs w:val="20"/>
              </w:rPr>
              <w:t>SEI</w:t>
            </w:r>
          </w:p>
          <w:p w:rsidR="000A34D3" w:rsidRPr="00A94D8B" w:rsidRDefault="000A34D3" w:rsidP="00AD1C0A">
            <w:pPr>
              <w:spacing w:after="40" w:line="252" w:lineRule="auto"/>
              <w:rPr>
                <w:rFonts w:cs="Arial"/>
                <w:sz w:val="20"/>
                <w:szCs w:val="20"/>
              </w:rPr>
            </w:pPr>
            <w:r w:rsidRPr="00A94D8B">
              <w:rPr>
                <w:rFonts w:cs="Arial"/>
                <w:sz w:val="20"/>
                <w:szCs w:val="20"/>
              </w:rPr>
              <w:t>SIDS</w:t>
            </w:r>
          </w:p>
          <w:p w:rsidR="00A76079" w:rsidRPr="00A94D8B" w:rsidRDefault="00A76079" w:rsidP="00AD1C0A">
            <w:pPr>
              <w:spacing w:after="40" w:line="252" w:lineRule="auto"/>
              <w:rPr>
                <w:rFonts w:cs="Arial"/>
                <w:sz w:val="20"/>
                <w:szCs w:val="20"/>
              </w:rPr>
            </w:pPr>
            <w:r w:rsidRPr="00A94D8B">
              <w:rPr>
                <w:rFonts w:cs="Arial"/>
                <w:sz w:val="20"/>
                <w:szCs w:val="20"/>
              </w:rPr>
              <w:t>SPACC</w:t>
            </w:r>
          </w:p>
          <w:p w:rsidR="002E520B" w:rsidRPr="00A94D8B" w:rsidRDefault="002E520B" w:rsidP="00AD1C0A">
            <w:pPr>
              <w:spacing w:after="40" w:line="252" w:lineRule="auto"/>
              <w:rPr>
                <w:rFonts w:cs="Arial"/>
                <w:sz w:val="20"/>
                <w:szCs w:val="20"/>
              </w:rPr>
            </w:pPr>
            <w:r w:rsidRPr="00A94D8B">
              <w:rPr>
                <w:rFonts w:cs="Arial"/>
                <w:sz w:val="20"/>
                <w:szCs w:val="20"/>
              </w:rPr>
              <w:t>SPC</w:t>
            </w:r>
          </w:p>
          <w:p w:rsidR="00F148B5" w:rsidRPr="004C38FA" w:rsidRDefault="00F148B5" w:rsidP="00AD1C0A">
            <w:pPr>
              <w:spacing w:after="40" w:line="252" w:lineRule="auto"/>
              <w:rPr>
                <w:rFonts w:cs="Arial"/>
                <w:sz w:val="20"/>
                <w:szCs w:val="20"/>
                <w:lang w:val="es-NI"/>
              </w:rPr>
            </w:pPr>
            <w:r w:rsidRPr="004C38FA">
              <w:rPr>
                <w:iCs/>
                <w:sz w:val="20"/>
                <w:szCs w:val="20"/>
                <w:lang w:val="es-NI"/>
              </w:rPr>
              <w:t>SPREP</w:t>
            </w:r>
          </w:p>
          <w:p w:rsidR="00034480" w:rsidRPr="004C38FA" w:rsidRDefault="00034480" w:rsidP="00AD1C0A">
            <w:pPr>
              <w:spacing w:after="40" w:line="252" w:lineRule="auto"/>
              <w:rPr>
                <w:rFonts w:cs="Arial"/>
                <w:sz w:val="20"/>
                <w:szCs w:val="20"/>
                <w:lang w:val="es-NI"/>
              </w:rPr>
            </w:pPr>
            <w:r w:rsidRPr="004C38FA">
              <w:rPr>
                <w:rFonts w:cs="Arial"/>
                <w:sz w:val="20"/>
                <w:szCs w:val="20"/>
                <w:lang w:val="es-NI"/>
              </w:rPr>
              <w:t>SRDP</w:t>
            </w:r>
          </w:p>
          <w:p w:rsidR="00957DC7" w:rsidRPr="004C38FA" w:rsidRDefault="00957DC7" w:rsidP="00AD1C0A">
            <w:pPr>
              <w:spacing w:after="40" w:line="252" w:lineRule="auto"/>
              <w:rPr>
                <w:rFonts w:cs="Arial"/>
                <w:sz w:val="20"/>
                <w:szCs w:val="20"/>
                <w:lang w:val="es-NI"/>
              </w:rPr>
            </w:pPr>
            <w:r w:rsidRPr="004C38FA">
              <w:rPr>
                <w:rFonts w:cs="Arial"/>
                <w:sz w:val="20"/>
                <w:szCs w:val="20"/>
                <w:lang w:val="es-NI"/>
              </w:rPr>
              <w:t>TA</w:t>
            </w:r>
          </w:p>
          <w:p w:rsidR="00957DC7" w:rsidRPr="004C38FA" w:rsidRDefault="00957DC7" w:rsidP="00AD1C0A">
            <w:pPr>
              <w:spacing w:after="40" w:line="252" w:lineRule="auto"/>
              <w:rPr>
                <w:rFonts w:cs="Arial"/>
                <w:sz w:val="20"/>
                <w:szCs w:val="20"/>
                <w:lang w:val="es-NI"/>
              </w:rPr>
            </w:pPr>
            <w:r w:rsidRPr="004C38FA">
              <w:rPr>
                <w:rFonts w:cs="Arial"/>
                <w:sz w:val="20"/>
                <w:szCs w:val="20"/>
                <w:lang w:val="es-NI"/>
              </w:rPr>
              <w:t>ToR</w:t>
            </w:r>
          </w:p>
          <w:p w:rsidR="00BF08A9" w:rsidRPr="004C38FA" w:rsidRDefault="00E32155" w:rsidP="00AD1C0A">
            <w:pPr>
              <w:spacing w:after="40" w:line="252" w:lineRule="auto"/>
              <w:rPr>
                <w:rFonts w:cs="Arial"/>
                <w:sz w:val="20"/>
                <w:szCs w:val="20"/>
                <w:lang w:val="es-NI"/>
              </w:rPr>
            </w:pPr>
            <w:r w:rsidRPr="004C38FA">
              <w:rPr>
                <w:rFonts w:cs="Arial"/>
                <w:sz w:val="20"/>
                <w:szCs w:val="20"/>
                <w:lang w:val="es-NI"/>
              </w:rPr>
              <w:t>UN</w:t>
            </w:r>
          </w:p>
          <w:p w:rsidR="00F44451" w:rsidRPr="004C38FA" w:rsidRDefault="00F44451" w:rsidP="00AD1C0A">
            <w:pPr>
              <w:spacing w:after="40" w:line="252" w:lineRule="auto"/>
              <w:rPr>
                <w:rFonts w:cs="Arial"/>
                <w:sz w:val="20"/>
                <w:szCs w:val="20"/>
                <w:lang w:val="es-NI"/>
              </w:rPr>
            </w:pPr>
            <w:r w:rsidRPr="004C38FA">
              <w:rPr>
                <w:rFonts w:cs="Arial"/>
                <w:sz w:val="20"/>
                <w:szCs w:val="20"/>
                <w:lang w:val="es-NI"/>
              </w:rPr>
              <w:t>UNDP</w:t>
            </w:r>
          </w:p>
          <w:p w:rsidR="000A34D3" w:rsidRPr="004C38FA" w:rsidRDefault="000A34D3" w:rsidP="00AD1C0A">
            <w:pPr>
              <w:spacing w:after="40" w:line="252" w:lineRule="auto"/>
              <w:rPr>
                <w:rFonts w:cs="Arial"/>
                <w:sz w:val="20"/>
                <w:szCs w:val="20"/>
                <w:lang w:val="es-NI"/>
              </w:rPr>
            </w:pPr>
            <w:r w:rsidRPr="004C38FA">
              <w:rPr>
                <w:rFonts w:cs="Arial"/>
                <w:sz w:val="20"/>
                <w:szCs w:val="20"/>
                <w:lang w:val="es-NI"/>
              </w:rPr>
              <w:t>UNECA</w:t>
            </w:r>
          </w:p>
          <w:p w:rsidR="00C66C21" w:rsidRPr="004C38FA" w:rsidRDefault="00C66C21" w:rsidP="00AD1C0A">
            <w:pPr>
              <w:spacing w:after="40" w:line="252" w:lineRule="auto"/>
              <w:rPr>
                <w:rFonts w:cs="Arial"/>
                <w:sz w:val="20"/>
                <w:szCs w:val="20"/>
                <w:lang w:val="es-NI"/>
              </w:rPr>
            </w:pPr>
            <w:r w:rsidRPr="004C38FA">
              <w:rPr>
                <w:rFonts w:cs="Arial"/>
                <w:sz w:val="20"/>
                <w:szCs w:val="20"/>
                <w:lang w:val="es-NI"/>
              </w:rPr>
              <w:t>UNFCCC</w:t>
            </w:r>
          </w:p>
          <w:p w:rsidR="00A34CA7" w:rsidRPr="00860B6F" w:rsidRDefault="00A34CA7" w:rsidP="00AD1C0A">
            <w:pPr>
              <w:spacing w:after="40" w:line="252" w:lineRule="auto"/>
              <w:rPr>
                <w:rFonts w:cs="Arial"/>
                <w:sz w:val="20"/>
                <w:szCs w:val="20"/>
                <w:lang w:val="es-NI"/>
              </w:rPr>
            </w:pPr>
            <w:r w:rsidRPr="00860B6F">
              <w:rPr>
                <w:rFonts w:cs="Arial"/>
                <w:sz w:val="20"/>
                <w:szCs w:val="20"/>
                <w:lang w:val="es-NI"/>
              </w:rPr>
              <w:t>UNICEF</w:t>
            </w:r>
          </w:p>
          <w:p w:rsidR="00A76079" w:rsidRPr="00860B6F" w:rsidRDefault="00A76079" w:rsidP="00AD1C0A">
            <w:pPr>
              <w:spacing w:after="40" w:line="252" w:lineRule="auto"/>
              <w:rPr>
                <w:rFonts w:cs="Arial"/>
                <w:sz w:val="20"/>
                <w:szCs w:val="20"/>
                <w:lang w:val="es-NI"/>
              </w:rPr>
            </w:pPr>
            <w:r w:rsidRPr="00860B6F">
              <w:rPr>
                <w:rFonts w:cs="Arial"/>
                <w:sz w:val="20"/>
                <w:szCs w:val="20"/>
                <w:lang w:val="es-NI"/>
              </w:rPr>
              <w:t>USAID</w:t>
            </w:r>
          </w:p>
          <w:p w:rsidR="004E2C13" w:rsidRPr="0030600F" w:rsidRDefault="004E2C13" w:rsidP="00AD1C0A">
            <w:pPr>
              <w:spacing w:after="40" w:line="252" w:lineRule="auto"/>
              <w:rPr>
                <w:rFonts w:cs="Arial"/>
                <w:sz w:val="20"/>
                <w:szCs w:val="20"/>
                <w:lang w:val="it-IT"/>
              </w:rPr>
            </w:pPr>
            <w:r w:rsidRPr="0030600F">
              <w:rPr>
                <w:rFonts w:cs="Arial"/>
                <w:sz w:val="20"/>
                <w:szCs w:val="20"/>
                <w:lang w:val="it-IT"/>
              </w:rPr>
              <w:t>UWI</w:t>
            </w:r>
          </w:p>
          <w:p w:rsidR="00902320" w:rsidRPr="0030600F" w:rsidRDefault="00902320" w:rsidP="00AD1C0A">
            <w:pPr>
              <w:spacing w:after="40" w:line="252" w:lineRule="auto"/>
              <w:rPr>
                <w:rFonts w:cs="Arial"/>
                <w:sz w:val="20"/>
                <w:szCs w:val="20"/>
                <w:lang w:val="it-IT"/>
              </w:rPr>
            </w:pPr>
            <w:r w:rsidRPr="0030600F">
              <w:rPr>
                <w:rFonts w:cs="Arial"/>
                <w:sz w:val="20"/>
                <w:szCs w:val="20"/>
                <w:lang w:val="it-IT"/>
              </w:rPr>
              <w:t xml:space="preserve">V&amp;A </w:t>
            </w:r>
          </w:p>
          <w:p w:rsidR="009C4A3F" w:rsidRPr="0030600F" w:rsidRDefault="009C4A3F" w:rsidP="00AD1C0A">
            <w:pPr>
              <w:spacing w:after="40" w:line="252" w:lineRule="auto"/>
              <w:rPr>
                <w:rFonts w:cs="Arial"/>
                <w:sz w:val="20"/>
                <w:szCs w:val="20"/>
                <w:lang w:val="it-IT"/>
              </w:rPr>
            </w:pPr>
            <w:r w:rsidRPr="0030600F">
              <w:rPr>
                <w:rFonts w:cs="Arial"/>
                <w:sz w:val="20"/>
                <w:szCs w:val="20"/>
                <w:lang w:val="it-IT"/>
              </w:rPr>
              <w:t>VCA</w:t>
            </w:r>
          </w:p>
          <w:p w:rsidR="00442A0D" w:rsidRPr="0030600F" w:rsidRDefault="00442A0D" w:rsidP="00AD1C0A">
            <w:pPr>
              <w:spacing w:after="40" w:line="252" w:lineRule="auto"/>
              <w:rPr>
                <w:rFonts w:cs="Arial"/>
                <w:sz w:val="20"/>
                <w:szCs w:val="20"/>
                <w:lang w:val="it-IT"/>
              </w:rPr>
            </w:pPr>
            <w:r w:rsidRPr="0030600F">
              <w:rPr>
                <w:rFonts w:cs="Arial"/>
                <w:sz w:val="20"/>
                <w:szCs w:val="20"/>
                <w:lang w:val="it-IT"/>
              </w:rPr>
              <w:t>USP</w:t>
            </w:r>
          </w:p>
          <w:p w:rsidR="008769EE" w:rsidRPr="0030600F" w:rsidRDefault="008769EE" w:rsidP="00AD1C0A">
            <w:pPr>
              <w:spacing w:after="40" w:line="252" w:lineRule="auto"/>
              <w:rPr>
                <w:rFonts w:cs="Arial"/>
                <w:sz w:val="20"/>
                <w:szCs w:val="20"/>
                <w:lang w:val="it-IT"/>
              </w:rPr>
            </w:pPr>
            <w:r w:rsidRPr="0030600F">
              <w:rPr>
                <w:rFonts w:cs="Arial"/>
                <w:sz w:val="20"/>
                <w:szCs w:val="20"/>
                <w:lang w:val="it-IT"/>
              </w:rPr>
              <w:t>WAD</w:t>
            </w:r>
          </w:p>
          <w:p w:rsidR="009F158E" w:rsidRPr="00A94D8B" w:rsidRDefault="009F158E" w:rsidP="00AD1C0A">
            <w:pPr>
              <w:spacing w:after="40" w:line="252" w:lineRule="auto"/>
              <w:rPr>
                <w:rFonts w:cs="Arial"/>
                <w:sz w:val="20"/>
                <w:szCs w:val="20"/>
              </w:rPr>
            </w:pPr>
            <w:r w:rsidRPr="00A94D8B">
              <w:rPr>
                <w:rFonts w:cs="Arial"/>
                <w:sz w:val="20"/>
                <w:szCs w:val="20"/>
              </w:rPr>
              <w:t>WMO</w:t>
            </w:r>
          </w:p>
          <w:p w:rsidR="006D60E8" w:rsidRPr="00A94D8B" w:rsidRDefault="009F158E" w:rsidP="00AD1C0A">
            <w:pPr>
              <w:spacing w:after="40" w:line="252" w:lineRule="auto"/>
              <w:rPr>
                <w:rFonts w:cs="Arial"/>
                <w:sz w:val="20"/>
                <w:szCs w:val="20"/>
              </w:rPr>
            </w:pPr>
            <w:r w:rsidRPr="00A94D8B">
              <w:rPr>
                <w:rFonts w:cs="Arial"/>
                <w:sz w:val="20"/>
                <w:szCs w:val="20"/>
              </w:rPr>
              <w:t>WRI</w:t>
            </w:r>
          </w:p>
        </w:tc>
        <w:tc>
          <w:tcPr>
            <w:tcW w:w="6763" w:type="dxa"/>
            <w:shd w:val="clear" w:color="auto" w:fill="auto"/>
          </w:tcPr>
          <w:p w:rsidR="00957DC7" w:rsidRPr="00A94D8B" w:rsidRDefault="00957DC7" w:rsidP="00AD1C0A">
            <w:pPr>
              <w:spacing w:after="40" w:line="252" w:lineRule="auto"/>
              <w:rPr>
                <w:rFonts w:cs="Arial"/>
                <w:sz w:val="20"/>
                <w:szCs w:val="20"/>
              </w:rPr>
            </w:pPr>
            <w:r w:rsidRPr="00A94D8B">
              <w:rPr>
                <w:rFonts w:cs="Arial"/>
                <w:sz w:val="20"/>
                <w:szCs w:val="20"/>
              </w:rPr>
              <w:t>Result Oriented Monitoring</w:t>
            </w:r>
          </w:p>
          <w:p w:rsidR="00824E57" w:rsidRPr="00A94D8B" w:rsidRDefault="00264B22" w:rsidP="00AD1C0A">
            <w:pPr>
              <w:spacing w:after="40" w:line="252" w:lineRule="auto"/>
              <w:rPr>
                <w:rFonts w:cs="Arial"/>
                <w:sz w:val="20"/>
                <w:szCs w:val="20"/>
              </w:rPr>
            </w:pPr>
            <w:r w:rsidRPr="00A94D8B">
              <w:rPr>
                <w:sz w:val="20"/>
                <w:szCs w:val="20"/>
              </w:rPr>
              <w:t>Southern African Development Community</w:t>
            </w:r>
          </w:p>
          <w:p w:rsidR="009F158E" w:rsidRPr="00A94D8B" w:rsidRDefault="009F158E" w:rsidP="00AD1C0A">
            <w:pPr>
              <w:spacing w:after="40" w:line="252" w:lineRule="auto"/>
              <w:rPr>
                <w:rFonts w:cs="Arial"/>
                <w:sz w:val="20"/>
                <w:szCs w:val="20"/>
              </w:rPr>
            </w:pPr>
            <w:r w:rsidRPr="00A94D8B">
              <w:rPr>
                <w:rFonts w:cs="Arial"/>
                <w:sz w:val="20"/>
                <w:szCs w:val="20"/>
              </w:rPr>
              <w:t>Stockholm Environment Institute</w:t>
            </w:r>
          </w:p>
          <w:p w:rsidR="000A34D3" w:rsidRPr="00A94D8B" w:rsidRDefault="000A34D3" w:rsidP="00AD1C0A">
            <w:pPr>
              <w:spacing w:after="40" w:line="252" w:lineRule="auto"/>
              <w:rPr>
                <w:rFonts w:cs="Arial"/>
                <w:sz w:val="20"/>
                <w:szCs w:val="20"/>
              </w:rPr>
            </w:pPr>
            <w:r w:rsidRPr="00A94D8B">
              <w:rPr>
                <w:rFonts w:cs="Arial"/>
                <w:sz w:val="20"/>
                <w:szCs w:val="20"/>
              </w:rPr>
              <w:t>Small Island Development State</w:t>
            </w:r>
            <w:r w:rsidR="00A44CBA" w:rsidRPr="00A94D8B">
              <w:rPr>
                <w:rFonts w:cs="Arial"/>
                <w:sz w:val="20"/>
                <w:szCs w:val="20"/>
              </w:rPr>
              <w:t xml:space="preserve"> </w:t>
            </w:r>
          </w:p>
          <w:p w:rsidR="00A76079" w:rsidRPr="00A94D8B" w:rsidRDefault="00A76079" w:rsidP="00AD1C0A">
            <w:pPr>
              <w:spacing w:after="40" w:line="252" w:lineRule="auto"/>
              <w:rPr>
                <w:rFonts w:cs="Arial"/>
                <w:sz w:val="20"/>
                <w:szCs w:val="20"/>
              </w:rPr>
            </w:pPr>
            <w:r w:rsidRPr="00A94D8B">
              <w:rPr>
                <w:rFonts w:cs="Arial"/>
                <w:sz w:val="20"/>
                <w:szCs w:val="20"/>
              </w:rPr>
              <w:t>Special Pilot Adaptation to Climate Change</w:t>
            </w:r>
          </w:p>
          <w:p w:rsidR="002E520B" w:rsidRPr="00A94D8B" w:rsidRDefault="002E520B" w:rsidP="00AD1C0A">
            <w:pPr>
              <w:spacing w:after="40" w:line="252" w:lineRule="auto"/>
              <w:rPr>
                <w:rFonts w:cs="Arial"/>
                <w:sz w:val="20"/>
                <w:szCs w:val="20"/>
              </w:rPr>
            </w:pPr>
            <w:r w:rsidRPr="00A94D8B">
              <w:rPr>
                <w:rFonts w:cs="Arial"/>
                <w:sz w:val="20"/>
                <w:szCs w:val="20"/>
              </w:rPr>
              <w:t xml:space="preserve">Secretariat of the Pacific Community </w:t>
            </w:r>
          </w:p>
          <w:p w:rsidR="00F148B5" w:rsidRPr="00A94D8B" w:rsidRDefault="00F148B5" w:rsidP="00AD1C0A">
            <w:pPr>
              <w:spacing w:after="40" w:line="252" w:lineRule="auto"/>
              <w:rPr>
                <w:rFonts w:cs="Arial"/>
                <w:sz w:val="20"/>
                <w:szCs w:val="20"/>
              </w:rPr>
            </w:pPr>
            <w:r w:rsidRPr="00A94D8B">
              <w:rPr>
                <w:sz w:val="20"/>
                <w:szCs w:val="20"/>
              </w:rPr>
              <w:t>Secretariat of the Pacific Regional Environment Programme</w:t>
            </w:r>
          </w:p>
          <w:p w:rsidR="00034480" w:rsidRPr="00A94D8B" w:rsidRDefault="00034480" w:rsidP="00AD1C0A">
            <w:pPr>
              <w:spacing w:after="40" w:line="252" w:lineRule="auto"/>
              <w:rPr>
                <w:rFonts w:cs="Arial"/>
                <w:sz w:val="20"/>
                <w:szCs w:val="20"/>
              </w:rPr>
            </w:pPr>
            <w:r w:rsidRPr="00A94D8B">
              <w:rPr>
                <w:rFonts w:cs="Arial"/>
                <w:sz w:val="20"/>
                <w:szCs w:val="20"/>
              </w:rPr>
              <w:t>Strategy for Climate and Disaster Resilient Development in the Pacific</w:t>
            </w:r>
          </w:p>
          <w:p w:rsidR="00957DC7" w:rsidRPr="00A94D8B" w:rsidRDefault="00957DC7" w:rsidP="00AD1C0A">
            <w:pPr>
              <w:spacing w:after="40" w:line="252" w:lineRule="auto"/>
              <w:rPr>
                <w:rFonts w:cs="Arial"/>
                <w:sz w:val="20"/>
                <w:szCs w:val="20"/>
              </w:rPr>
            </w:pPr>
            <w:r w:rsidRPr="00A94D8B">
              <w:rPr>
                <w:rFonts w:cs="Arial"/>
                <w:sz w:val="20"/>
                <w:szCs w:val="20"/>
              </w:rPr>
              <w:t>Technical Assistance</w:t>
            </w:r>
          </w:p>
          <w:p w:rsidR="00957DC7" w:rsidRPr="00A94D8B" w:rsidRDefault="00957DC7" w:rsidP="00AD1C0A">
            <w:pPr>
              <w:spacing w:after="40" w:line="252" w:lineRule="auto"/>
              <w:rPr>
                <w:rFonts w:cs="Arial"/>
                <w:sz w:val="20"/>
                <w:szCs w:val="20"/>
              </w:rPr>
            </w:pPr>
            <w:r w:rsidRPr="00A94D8B">
              <w:rPr>
                <w:rFonts w:cs="Arial"/>
                <w:sz w:val="20"/>
                <w:szCs w:val="20"/>
              </w:rPr>
              <w:t>Terms of Reference</w:t>
            </w:r>
            <w:r w:rsidR="00E32155" w:rsidRPr="00A94D8B">
              <w:rPr>
                <w:rFonts w:cs="Arial"/>
                <w:sz w:val="20"/>
                <w:szCs w:val="20"/>
              </w:rPr>
              <w:t xml:space="preserve"> </w:t>
            </w:r>
          </w:p>
          <w:p w:rsidR="00F44451" w:rsidRPr="00A94D8B" w:rsidRDefault="00E32155" w:rsidP="00AD1C0A">
            <w:pPr>
              <w:spacing w:after="40" w:line="252" w:lineRule="auto"/>
              <w:rPr>
                <w:rFonts w:cs="Arial"/>
                <w:sz w:val="20"/>
                <w:szCs w:val="20"/>
              </w:rPr>
            </w:pPr>
            <w:r w:rsidRPr="00A94D8B">
              <w:rPr>
                <w:rFonts w:cs="Arial"/>
                <w:sz w:val="20"/>
                <w:szCs w:val="20"/>
              </w:rPr>
              <w:t>United Nations</w:t>
            </w:r>
          </w:p>
          <w:p w:rsidR="00F44451" w:rsidRPr="00A94D8B" w:rsidRDefault="00F44451" w:rsidP="00AD1C0A">
            <w:pPr>
              <w:spacing w:after="40" w:line="252" w:lineRule="auto"/>
              <w:rPr>
                <w:rFonts w:cs="Arial"/>
                <w:sz w:val="20"/>
                <w:szCs w:val="20"/>
              </w:rPr>
            </w:pPr>
            <w:r w:rsidRPr="00A94D8B">
              <w:rPr>
                <w:rFonts w:cs="Arial"/>
                <w:sz w:val="20"/>
                <w:szCs w:val="20"/>
              </w:rPr>
              <w:t>United Nations Development Programme</w:t>
            </w:r>
          </w:p>
          <w:p w:rsidR="000A34D3" w:rsidRPr="00A94D8B" w:rsidRDefault="000A34D3" w:rsidP="00AD1C0A">
            <w:pPr>
              <w:spacing w:after="40" w:line="252" w:lineRule="auto"/>
              <w:rPr>
                <w:rFonts w:cs="Arial"/>
                <w:sz w:val="20"/>
                <w:szCs w:val="20"/>
              </w:rPr>
            </w:pPr>
            <w:r w:rsidRPr="00A94D8B">
              <w:rPr>
                <w:rFonts w:cs="Arial"/>
                <w:sz w:val="20"/>
                <w:szCs w:val="20"/>
              </w:rPr>
              <w:t>United Nations Economic Commission for Africa</w:t>
            </w:r>
          </w:p>
          <w:p w:rsidR="00C66C21" w:rsidRPr="00A94D8B" w:rsidRDefault="00C66C21" w:rsidP="00AD1C0A">
            <w:pPr>
              <w:spacing w:after="40" w:line="252" w:lineRule="auto"/>
              <w:rPr>
                <w:rFonts w:cs="Arial"/>
                <w:sz w:val="20"/>
                <w:szCs w:val="20"/>
              </w:rPr>
            </w:pPr>
            <w:r w:rsidRPr="00A94D8B">
              <w:rPr>
                <w:rFonts w:cs="Arial"/>
                <w:sz w:val="20"/>
                <w:szCs w:val="20"/>
              </w:rPr>
              <w:t>United Nations Framework Convention on Climate Change</w:t>
            </w:r>
          </w:p>
          <w:p w:rsidR="00A34CA7" w:rsidRPr="00A94D8B" w:rsidRDefault="00A34CA7" w:rsidP="00AD1C0A">
            <w:pPr>
              <w:spacing w:after="40" w:line="252" w:lineRule="auto"/>
              <w:rPr>
                <w:rFonts w:cs="Arial"/>
                <w:sz w:val="20"/>
                <w:szCs w:val="20"/>
              </w:rPr>
            </w:pPr>
            <w:r w:rsidRPr="00A94D8B">
              <w:rPr>
                <w:rFonts w:cs="Arial"/>
                <w:sz w:val="20"/>
                <w:szCs w:val="20"/>
              </w:rPr>
              <w:t>United Nations Children’s Fund</w:t>
            </w:r>
          </w:p>
          <w:p w:rsidR="00A76079" w:rsidRPr="00A94D8B" w:rsidRDefault="009F158E" w:rsidP="00AD1C0A">
            <w:pPr>
              <w:spacing w:after="40" w:line="252" w:lineRule="auto"/>
              <w:rPr>
                <w:sz w:val="20"/>
                <w:szCs w:val="20"/>
              </w:rPr>
            </w:pPr>
            <w:r w:rsidRPr="00A94D8B">
              <w:rPr>
                <w:sz w:val="20"/>
                <w:szCs w:val="20"/>
              </w:rPr>
              <w:t>United States Agency for International Development</w:t>
            </w:r>
          </w:p>
          <w:p w:rsidR="00902320" w:rsidRPr="00A94D8B" w:rsidRDefault="004E2C13" w:rsidP="00AD1C0A">
            <w:pPr>
              <w:spacing w:after="40" w:line="252" w:lineRule="auto"/>
              <w:rPr>
                <w:sz w:val="20"/>
                <w:szCs w:val="20"/>
              </w:rPr>
            </w:pPr>
            <w:r w:rsidRPr="00A94D8B">
              <w:rPr>
                <w:sz w:val="20"/>
                <w:szCs w:val="20"/>
              </w:rPr>
              <w:t>University of the West Indies</w:t>
            </w:r>
          </w:p>
          <w:p w:rsidR="004E2C13" w:rsidRPr="00A94D8B" w:rsidRDefault="004E2C13" w:rsidP="00AD1C0A">
            <w:pPr>
              <w:spacing w:after="40" w:line="252" w:lineRule="auto"/>
              <w:rPr>
                <w:rFonts w:cs="Arial"/>
                <w:sz w:val="20"/>
                <w:szCs w:val="20"/>
              </w:rPr>
            </w:pPr>
            <w:r w:rsidRPr="00A94D8B">
              <w:rPr>
                <w:sz w:val="20"/>
                <w:szCs w:val="20"/>
              </w:rPr>
              <w:t xml:space="preserve"> </w:t>
            </w:r>
            <w:r w:rsidR="00902320" w:rsidRPr="00A94D8B">
              <w:rPr>
                <w:sz w:val="20"/>
                <w:szCs w:val="20"/>
              </w:rPr>
              <w:t>Vulnerabil</w:t>
            </w:r>
            <w:r w:rsidR="00943513" w:rsidRPr="00A94D8B">
              <w:rPr>
                <w:sz w:val="20"/>
                <w:szCs w:val="20"/>
              </w:rPr>
              <w:t xml:space="preserve">ity and Adaptation </w:t>
            </w:r>
            <w:r w:rsidR="00902320" w:rsidRPr="00A94D8B">
              <w:rPr>
                <w:sz w:val="20"/>
                <w:szCs w:val="20"/>
              </w:rPr>
              <w:t xml:space="preserve"> </w:t>
            </w:r>
          </w:p>
          <w:p w:rsidR="009C4A3F" w:rsidRPr="00A94D8B" w:rsidRDefault="009C4A3F" w:rsidP="00AD1C0A">
            <w:pPr>
              <w:spacing w:after="40" w:line="252" w:lineRule="auto"/>
              <w:rPr>
                <w:sz w:val="20"/>
                <w:szCs w:val="20"/>
              </w:rPr>
            </w:pPr>
            <w:r w:rsidRPr="00A94D8B">
              <w:rPr>
                <w:sz w:val="20"/>
                <w:szCs w:val="20"/>
              </w:rPr>
              <w:t xml:space="preserve">Vulnerability and Capacity Assessment  </w:t>
            </w:r>
          </w:p>
          <w:p w:rsidR="009F158E" w:rsidRPr="00A94D8B" w:rsidRDefault="00442A0D" w:rsidP="00AD1C0A">
            <w:pPr>
              <w:spacing w:after="40" w:line="252" w:lineRule="auto"/>
              <w:rPr>
                <w:rFonts w:cs="Arial"/>
                <w:sz w:val="20"/>
                <w:szCs w:val="20"/>
              </w:rPr>
            </w:pPr>
            <w:r w:rsidRPr="00A94D8B">
              <w:rPr>
                <w:rFonts w:cs="Arial"/>
                <w:sz w:val="20"/>
                <w:szCs w:val="20"/>
              </w:rPr>
              <w:t xml:space="preserve">University of the South Pacific </w:t>
            </w:r>
          </w:p>
          <w:p w:rsidR="008769EE" w:rsidRPr="00A94D8B" w:rsidRDefault="008769EE" w:rsidP="00AD1C0A">
            <w:pPr>
              <w:spacing w:after="40" w:line="252" w:lineRule="auto"/>
              <w:rPr>
                <w:rFonts w:cs="Arial"/>
                <w:sz w:val="20"/>
                <w:szCs w:val="20"/>
              </w:rPr>
            </w:pPr>
            <w:r w:rsidRPr="00A94D8B">
              <w:rPr>
                <w:rFonts w:cs="Arial"/>
                <w:sz w:val="20"/>
                <w:szCs w:val="20"/>
              </w:rPr>
              <w:t xml:space="preserve">Wave Attenuation Devices </w:t>
            </w:r>
          </w:p>
          <w:p w:rsidR="00003FF4" w:rsidRPr="00A94D8B" w:rsidRDefault="00BF08A9" w:rsidP="00AD1C0A">
            <w:pPr>
              <w:spacing w:after="40" w:line="252" w:lineRule="auto"/>
              <w:rPr>
                <w:rFonts w:cs="Arial"/>
                <w:sz w:val="20"/>
                <w:szCs w:val="20"/>
              </w:rPr>
            </w:pPr>
            <w:r w:rsidRPr="00A94D8B">
              <w:rPr>
                <w:rFonts w:cs="Arial"/>
                <w:sz w:val="20"/>
                <w:szCs w:val="20"/>
              </w:rPr>
              <w:t>World Meteorological Organis</w:t>
            </w:r>
            <w:r w:rsidR="009F158E" w:rsidRPr="00A94D8B">
              <w:rPr>
                <w:rFonts w:cs="Arial"/>
                <w:sz w:val="20"/>
                <w:szCs w:val="20"/>
              </w:rPr>
              <w:t>ation</w:t>
            </w:r>
          </w:p>
          <w:p w:rsidR="005133C4" w:rsidRPr="00A94D8B" w:rsidRDefault="00012087" w:rsidP="00AD1C0A">
            <w:pPr>
              <w:spacing w:after="40" w:line="252" w:lineRule="auto"/>
              <w:rPr>
                <w:rFonts w:cs="Arial"/>
                <w:sz w:val="20"/>
                <w:szCs w:val="20"/>
              </w:rPr>
            </w:pPr>
            <w:r w:rsidRPr="00A94D8B">
              <w:rPr>
                <w:sz w:val="20"/>
                <w:szCs w:val="20"/>
              </w:rPr>
              <w:t xml:space="preserve">World Resource Institute </w:t>
            </w:r>
            <w:r w:rsidR="009F158E" w:rsidRPr="00A94D8B">
              <w:rPr>
                <w:sz w:val="20"/>
                <w:szCs w:val="20"/>
              </w:rPr>
              <w:t xml:space="preserve"> </w:t>
            </w:r>
            <w:r w:rsidRPr="00A94D8B">
              <w:rPr>
                <w:sz w:val="20"/>
                <w:szCs w:val="20"/>
              </w:rPr>
              <w:t xml:space="preserve"> </w:t>
            </w:r>
            <w:r w:rsidR="009F158E" w:rsidRPr="00A94D8B">
              <w:rPr>
                <w:sz w:val="20"/>
                <w:szCs w:val="20"/>
              </w:rPr>
              <w:t xml:space="preserve"> </w:t>
            </w:r>
            <w:r w:rsidRPr="00A94D8B">
              <w:rPr>
                <w:sz w:val="20"/>
                <w:szCs w:val="20"/>
              </w:rPr>
              <w:t xml:space="preserve"> </w:t>
            </w:r>
            <w:r w:rsidR="009F158E" w:rsidRPr="00A94D8B">
              <w:rPr>
                <w:sz w:val="20"/>
                <w:szCs w:val="20"/>
              </w:rPr>
              <w:t xml:space="preserve">   </w:t>
            </w:r>
            <w:r w:rsidR="007323AE" w:rsidRPr="00A94D8B">
              <w:rPr>
                <w:sz w:val="20"/>
                <w:szCs w:val="20"/>
              </w:rPr>
              <w:t xml:space="preserve"> </w:t>
            </w:r>
            <w:r w:rsidR="009F158E" w:rsidRPr="00A94D8B">
              <w:rPr>
                <w:sz w:val="20"/>
                <w:szCs w:val="20"/>
              </w:rPr>
              <w:t xml:space="preserve"> </w:t>
            </w:r>
          </w:p>
        </w:tc>
      </w:tr>
    </w:tbl>
    <w:p w:rsidR="007E12A7" w:rsidRPr="00A94D8B" w:rsidRDefault="007E12A7" w:rsidP="00AD1C0A">
      <w:pPr>
        <w:spacing w:after="0" w:line="240" w:lineRule="auto"/>
        <w:rPr>
          <w:b/>
          <w:smallCaps/>
          <w:color w:val="17365D"/>
          <w:sz w:val="36"/>
          <w:szCs w:val="36"/>
        </w:rPr>
      </w:pPr>
    </w:p>
    <w:p w:rsidR="002930FB" w:rsidRPr="00A94D8B" w:rsidRDefault="002930FB" w:rsidP="00AD1C0A">
      <w:pPr>
        <w:pStyle w:val="Heading1"/>
        <w:keepNext w:val="0"/>
        <w:numPr>
          <w:ilvl w:val="0"/>
          <w:numId w:val="2"/>
        </w:numPr>
        <w:spacing w:line="276" w:lineRule="auto"/>
        <w:contextualSpacing/>
      </w:pPr>
      <w:bookmarkStart w:id="6" w:name="_Toc392064204"/>
      <w:bookmarkStart w:id="7" w:name="_Toc401041550"/>
      <w:r w:rsidRPr="00A94D8B">
        <w:t>Executive Summary</w:t>
      </w:r>
      <w:bookmarkEnd w:id="6"/>
      <w:bookmarkEnd w:id="7"/>
    </w:p>
    <w:p w:rsidR="00AD1C0A" w:rsidRPr="00A94D8B" w:rsidRDefault="00AD1C0A" w:rsidP="001B12C6">
      <w:r w:rsidRPr="00A94D8B">
        <w:t>The Global Climate Change Alliance (</w:t>
      </w:r>
      <w:r w:rsidR="00091C5C">
        <w:t>GCCA) was established in 2007 through</w:t>
      </w:r>
      <w:r w:rsidRPr="00A94D8B">
        <w:t xml:space="preserve"> the Co</w:t>
      </w:r>
      <w:r w:rsidRPr="00A94D8B">
        <w:t>m</w:t>
      </w:r>
      <w:r w:rsidRPr="00A94D8B">
        <w:t>munication from the European Commission</w:t>
      </w:r>
      <w:r w:rsidR="00967E0A" w:rsidRPr="00A94D8B">
        <w:t xml:space="preserve"> (EC)</w:t>
      </w:r>
      <w:r w:rsidR="00660293">
        <w:t xml:space="preserve"> </w:t>
      </w:r>
      <w:r w:rsidRPr="00A94D8B">
        <w:t>“Building a Global Climate Change All</w:t>
      </w:r>
      <w:r w:rsidRPr="00A94D8B">
        <w:t>i</w:t>
      </w:r>
      <w:r w:rsidRPr="00A94D8B">
        <w:t>ance between the European Union</w:t>
      </w:r>
      <w:r w:rsidR="00A13E00" w:rsidRPr="00A94D8B">
        <w:t xml:space="preserve"> (EU)</w:t>
      </w:r>
      <w:r w:rsidRPr="00A94D8B">
        <w:t xml:space="preserve"> and poor develop</w:t>
      </w:r>
      <w:r w:rsidR="00660293">
        <w:t xml:space="preserve">ing countries </w:t>
      </w:r>
      <w:r w:rsidRPr="00A94D8B">
        <w:t xml:space="preserve">vulnerable to climate </w:t>
      </w:r>
      <w:r w:rsidR="004C38FA">
        <w:t>change”. The GCCA intervenes in</w:t>
      </w:r>
      <w:r w:rsidRPr="00A94D8B">
        <w:t xml:space="preserve"> five prior</w:t>
      </w:r>
      <w:r w:rsidR="004C38FA">
        <w:t>ity areas:</w:t>
      </w:r>
      <w:r w:rsidRPr="00A94D8B">
        <w:t xml:space="preserve"> (1) Mainstreaming climate change into poverty reduction and development efforts; (2) Adaptation; (3) </w:t>
      </w:r>
      <w:r w:rsidR="00950F78" w:rsidRPr="00A94D8B">
        <w:t>Disaster Risk R</w:t>
      </w:r>
      <w:r w:rsidRPr="00A94D8B">
        <w:t xml:space="preserve">eduction (DRR); (4) </w:t>
      </w:r>
      <w:r w:rsidR="00950F78" w:rsidRPr="00A94D8B">
        <w:t>Reducing E</w:t>
      </w:r>
      <w:r w:rsidRPr="00A94D8B">
        <w:t>missio</w:t>
      </w:r>
      <w:r w:rsidR="00950F78" w:rsidRPr="00A94D8B">
        <w:t>ns from Deforestation and F</w:t>
      </w:r>
      <w:r w:rsidRPr="00A94D8B">
        <w:t>or</w:t>
      </w:r>
      <w:r w:rsidR="00950F78" w:rsidRPr="00A94D8B">
        <w:t>est D</w:t>
      </w:r>
      <w:r w:rsidRPr="00A94D8B">
        <w:t>egradation (REDD); and (5)</w:t>
      </w:r>
      <w:r w:rsidR="004C38FA">
        <w:t xml:space="preserve"> Enhancing participation in </w:t>
      </w:r>
      <w:r w:rsidRPr="00A94D8B">
        <w:t>global carbon market. As part of the GCCA, a specific programme to address the needs of African Caribbean and Pacific Group of States (ACP) wa</w:t>
      </w:r>
      <w:r w:rsidR="00091C5C">
        <w:t>s created. A f</w:t>
      </w:r>
      <w:r w:rsidRPr="00A94D8B">
        <w:t>inancin</w:t>
      </w:r>
      <w:r w:rsidR="00091C5C">
        <w:t>g a</w:t>
      </w:r>
      <w:r w:rsidR="00967E0A" w:rsidRPr="00A94D8B">
        <w:t xml:space="preserve">greement between the EC </w:t>
      </w:r>
      <w:r w:rsidRPr="00A94D8B">
        <w:t xml:space="preserve">and the </w:t>
      </w:r>
      <w:r w:rsidR="007D62B3" w:rsidRPr="00A94D8B">
        <w:t xml:space="preserve">ACP </w:t>
      </w:r>
      <w:r w:rsidR="00091C5C">
        <w:t xml:space="preserve">was signed on 13/01/2010 </w:t>
      </w:r>
      <w:r w:rsidRPr="00A94D8B">
        <w:t>funded by the 10th European Development F</w:t>
      </w:r>
      <w:r w:rsidR="00BE463C" w:rsidRPr="00A94D8B">
        <w:t>und (EDF) (</w:t>
      </w:r>
      <w:r w:rsidRPr="00A94D8B">
        <w:t>37.5 M</w:t>
      </w:r>
      <w:r w:rsidR="00BE463C" w:rsidRPr="00A94D8B">
        <w:t xml:space="preserve"> Euros</w:t>
      </w:r>
      <w:r w:rsidRPr="00A94D8B">
        <w:t>)</w:t>
      </w:r>
      <w:r w:rsidR="003066F3">
        <w:t>.</w:t>
      </w:r>
      <w:r w:rsidR="00091C5C">
        <w:t xml:space="preserve"> T</w:t>
      </w:r>
      <w:r w:rsidRPr="00A94D8B">
        <w:t>he ACP Secretariat was desi</w:t>
      </w:r>
      <w:r w:rsidRPr="00A94D8B">
        <w:t>g</w:t>
      </w:r>
      <w:r w:rsidRPr="00A94D8B">
        <w:t>nated as the Authoris</w:t>
      </w:r>
      <w:r w:rsidR="004F58F6">
        <w:t xml:space="preserve">ing Officer </w:t>
      </w:r>
      <w:r w:rsidR="00A85977">
        <w:t xml:space="preserve">with the </w:t>
      </w:r>
      <w:r w:rsidRPr="00A94D8B">
        <w:t>end of the implementa</w:t>
      </w:r>
      <w:r w:rsidR="004C38FA">
        <w:t xml:space="preserve">tion </w:t>
      </w:r>
      <w:r w:rsidR="003066F3">
        <w:t xml:space="preserve">period </w:t>
      </w:r>
      <w:r w:rsidR="00A85977">
        <w:t>set for</w:t>
      </w:r>
      <w:r w:rsidRPr="00A94D8B">
        <w:t xml:space="preserve"> 13/02/2015. </w:t>
      </w:r>
    </w:p>
    <w:p w:rsidR="00AD1C0A" w:rsidRPr="00A94D8B" w:rsidRDefault="00AD1C0A" w:rsidP="001B12C6">
      <w:r w:rsidRPr="00A94D8B">
        <w:t>The Intra-ACP Programme covers 48 countries from Sub-Saharan Africa, 16 from the Cari</w:t>
      </w:r>
      <w:r w:rsidRPr="00A94D8B">
        <w:t>b</w:t>
      </w:r>
      <w:r w:rsidRPr="00A94D8B">
        <w:t>bean and 1</w:t>
      </w:r>
      <w:r w:rsidR="00BE463C" w:rsidRPr="00A94D8B">
        <w:t xml:space="preserve">5 from the Pacific. </w:t>
      </w:r>
      <w:r w:rsidR="00F34E32">
        <w:t>M</w:t>
      </w:r>
      <w:r w:rsidRPr="00A94D8B">
        <w:t>any of these countries are considered to be the most vulner</w:t>
      </w:r>
      <w:r w:rsidRPr="00A94D8B">
        <w:t>a</w:t>
      </w:r>
      <w:r w:rsidRPr="00A94D8B">
        <w:t>ble t</w:t>
      </w:r>
      <w:r w:rsidR="00BE463C" w:rsidRPr="00A94D8B">
        <w:t xml:space="preserve">o the impacts of climate change. </w:t>
      </w:r>
      <w:r w:rsidRPr="00A94D8B">
        <w:t>Forty Member States (MS) belong to the group of Least Developed Countries (LDCs) and 37 MS are classi</w:t>
      </w:r>
      <w:r w:rsidR="004F58F6">
        <w:t xml:space="preserve">fied as </w:t>
      </w:r>
      <w:r w:rsidRPr="00A94D8B">
        <w:t>Small Island Developing State (SIDS). Participating African countries are affected by drought, desertification and floods resulting from evolving and unpredictable climate patterns. For the SID</w:t>
      </w:r>
      <w:r w:rsidR="006655C6" w:rsidRPr="00A94D8B">
        <w:t>S</w:t>
      </w:r>
      <w:r w:rsidR="003066F3">
        <w:t>,</w:t>
      </w:r>
      <w:r w:rsidR="006655C6" w:rsidRPr="00A94D8B">
        <w:t xml:space="preserve"> </w:t>
      </w:r>
      <w:r w:rsidRPr="00A94D8B">
        <w:t xml:space="preserve">extreme weather events </w:t>
      </w:r>
      <w:r w:rsidR="00A03059">
        <w:t>and sea level rise can be</w:t>
      </w:r>
      <w:r w:rsidR="004F58F6">
        <w:t xml:space="preserve"> key concerns.   T</w:t>
      </w:r>
      <w:r w:rsidRPr="00A94D8B">
        <w:t>here was an ex</w:t>
      </w:r>
      <w:r w:rsidR="0050685F">
        <w:t xml:space="preserve">pectation that </w:t>
      </w:r>
      <w:r w:rsidRPr="00A94D8B">
        <w:t xml:space="preserve">the Intra-ACP Programme would </w:t>
      </w:r>
      <w:r w:rsidR="004F58F6">
        <w:t xml:space="preserve">also </w:t>
      </w:r>
      <w:r w:rsidRPr="00A94D8B">
        <w:t>con</w:t>
      </w:r>
      <w:r w:rsidR="00F34E32">
        <w:t xml:space="preserve">tribute to </w:t>
      </w:r>
      <w:r w:rsidRPr="00A94D8B">
        <w:t>achiev</w:t>
      </w:r>
      <w:r w:rsidR="0050685F">
        <w:t xml:space="preserve">ing </w:t>
      </w:r>
      <w:r w:rsidRPr="00A94D8B">
        <w:t>the Millennium Development Goals (MDGs).</w:t>
      </w:r>
      <w:r w:rsidR="00F34E32">
        <w:t xml:space="preserve"> The logic</w:t>
      </w:r>
      <w:r w:rsidRPr="00A94D8B">
        <w:t xml:space="preserve"> behind a re</w:t>
      </w:r>
      <w:r w:rsidR="0050685F">
        <w:t xml:space="preserve">gional </w:t>
      </w:r>
      <w:r w:rsidR="00F34E32">
        <w:t xml:space="preserve">approach </w:t>
      </w:r>
      <w:r w:rsidR="00BE463C" w:rsidRPr="00A94D8B">
        <w:t>was that climate change</w:t>
      </w:r>
      <w:r w:rsidRPr="00A94D8B">
        <w:t xml:space="preserve"> is a de</w:t>
      </w:r>
      <w:r w:rsidR="006655C6" w:rsidRPr="00A94D8B">
        <w:t>stabilis</w:t>
      </w:r>
      <w:r w:rsidR="004C38FA">
        <w:t xml:space="preserve">ing force that threatens achieving the MDGs and is </w:t>
      </w:r>
      <w:r w:rsidRPr="00A94D8B">
        <w:t>trans-boundary. At the same time, many partner coun</w:t>
      </w:r>
      <w:r w:rsidRPr="00A94D8B">
        <w:t>t</w:t>
      </w:r>
      <w:r w:rsidRPr="00A94D8B">
        <w:t>ries supported by the GCCA are MS of regional organisations.</w:t>
      </w:r>
      <w:r w:rsidR="00D52A4A">
        <w:rPr>
          <w:rStyle w:val="FootnoteReference"/>
        </w:rPr>
        <w:t xml:space="preserve"> </w:t>
      </w:r>
      <w:r w:rsidR="00F34E32">
        <w:t xml:space="preserve"> </w:t>
      </w:r>
      <w:r w:rsidR="00D52A4A" w:rsidRPr="00A94D8B">
        <w:t>One of the expectations of the Intra-ACP Programme is that it would contribute to the Coto</w:t>
      </w:r>
      <w:r w:rsidR="00BC15D3">
        <w:t>nou Agreement that calls for the eradication of</w:t>
      </w:r>
      <w:r w:rsidR="00D52A4A" w:rsidRPr="00A94D8B">
        <w:t xml:space="preserve"> poverty while contributing to sustainable development.</w:t>
      </w:r>
    </w:p>
    <w:p w:rsidR="00AD1C0A" w:rsidRPr="00A94D8B" w:rsidRDefault="004F58F6" w:rsidP="001B12C6">
      <w:r>
        <w:t>F</w:t>
      </w:r>
      <w:r w:rsidR="00AD1C0A" w:rsidRPr="00A94D8B">
        <w:t xml:space="preserve">ive </w:t>
      </w:r>
      <w:r>
        <w:t>Intra</w:t>
      </w:r>
      <w:r w:rsidR="003066F3">
        <w:t>-</w:t>
      </w:r>
      <w:r>
        <w:t xml:space="preserve">ACP </w:t>
      </w:r>
      <w:r w:rsidR="00AD1C0A" w:rsidRPr="00A94D8B">
        <w:t>regional programmes have been established</w:t>
      </w:r>
      <w:r w:rsidR="0035153B" w:rsidRPr="00A94D8B">
        <w:rPr>
          <w:rStyle w:val="FootnoteReference"/>
        </w:rPr>
        <w:footnoteReference w:id="1"/>
      </w:r>
      <w:r w:rsidR="00AD1C0A" w:rsidRPr="00A94D8B">
        <w:t xml:space="preserve"> including a pan-African comp</w:t>
      </w:r>
      <w:r w:rsidR="00AD1C0A" w:rsidRPr="00A94D8B">
        <w:t>o</w:t>
      </w:r>
      <w:r w:rsidR="00AD1C0A" w:rsidRPr="00A94D8B">
        <w:t xml:space="preserve">nent known as </w:t>
      </w:r>
      <w:r w:rsidR="00471B6D">
        <w:t>“</w:t>
      </w:r>
      <w:r w:rsidR="00471B6D" w:rsidRPr="00471B6D">
        <w:rPr>
          <w:b/>
          <w:i/>
        </w:rPr>
        <w:t>Climate for Development in Africa</w:t>
      </w:r>
      <w:r w:rsidR="00471B6D">
        <w:t xml:space="preserve">” or </w:t>
      </w:r>
      <w:r>
        <w:t>“</w:t>
      </w:r>
      <w:r w:rsidR="00AD1C0A" w:rsidRPr="00471B6D">
        <w:t>ClimDev</w:t>
      </w:r>
      <w:r>
        <w:t>”</w:t>
      </w:r>
      <w:r w:rsidR="00AD1C0A" w:rsidRPr="00A94D8B">
        <w:t xml:space="preserve"> </w:t>
      </w:r>
      <w:r w:rsidR="0035153B" w:rsidRPr="00A94D8B">
        <w:t xml:space="preserve">that is one of three </w:t>
      </w:r>
      <w:r w:rsidR="006655C6" w:rsidRPr="00A94D8B">
        <w:t>pr</w:t>
      </w:r>
      <w:r w:rsidR="006655C6" w:rsidRPr="00A94D8B">
        <w:t>o</w:t>
      </w:r>
      <w:r w:rsidR="006655C6" w:rsidRPr="00A94D8B">
        <w:t xml:space="preserve">grammes </w:t>
      </w:r>
      <w:r w:rsidR="0035153B" w:rsidRPr="00A94D8B">
        <w:t>in Africa</w:t>
      </w:r>
      <w:r w:rsidR="006655C6" w:rsidRPr="00A94D8B">
        <w:t>. T</w:t>
      </w:r>
      <w:r w:rsidR="00AD1C0A" w:rsidRPr="00A94D8B">
        <w:t>he UN Economic Commission for Africa (UNECA) is the project aut</w:t>
      </w:r>
      <w:r w:rsidR="00AD1C0A" w:rsidRPr="00A94D8B">
        <w:t>h</w:t>
      </w:r>
      <w:r w:rsidR="00AD1C0A" w:rsidRPr="00A94D8B">
        <w:t>ority for ClimDev</w:t>
      </w:r>
      <w:r w:rsidR="003066F3">
        <w:t xml:space="preserve">, </w:t>
      </w:r>
      <w:r w:rsidR="00AD1C0A" w:rsidRPr="00A94D8B">
        <w:t>with the African Climate Policy Centre (ACPC) that operates under the auspices of UNECA in collaboration with the African</w:t>
      </w:r>
      <w:r w:rsidR="0050685F">
        <w:t xml:space="preserve"> Union Commission (AUC) and the </w:t>
      </w:r>
      <w:r w:rsidR="00AD1C0A" w:rsidRPr="00A94D8B">
        <w:t>African Development Bank (AfDB) acting as implementing agencies. ClimDev is designed to address weaknesses in both the demand for and supply of climate services a</w:t>
      </w:r>
      <w:r>
        <w:t xml:space="preserve">nd to improve the </w:t>
      </w:r>
      <w:r w:rsidR="00AD1C0A" w:rsidRPr="00A94D8B">
        <w:t>use of climate information</w:t>
      </w:r>
      <w:r>
        <w:t xml:space="preserve">. </w:t>
      </w:r>
      <w:r w:rsidR="00AD1C0A" w:rsidRPr="00A94D8B">
        <w:t>In Southern and Eastern</w:t>
      </w:r>
      <w:r>
        <w:t xml:space="preserve"> </w:t>
      </w:r>
      <w:r w:rsidR="00AD1C0A" w:rsidRPr="00A94D8B">
        <w:t>Africa</w:t>
      </w:r>
      <w:r>
        <w:t>,</w:t>
      </w:r>
      <w:r w:rsidR="00AD1C0A" w:rsidRPr="00A94D8B">
        <w:t xml:space="preserve"> three Regional Economic Co</w:t>
      </w:r>
      <w:r w:rsidR="00AD1C0A" w:rsidRPr="00A94D8B">
        <w:t>m</w:t>
      </w:r>
      <w:r w:rsidR="00AD1C0A" w:rsidRPr="00A94D8B">
        <w:t>missions (RECs) were solic</w:t>
      </w:r>
      <w:r w:rsidR="006B0A05">
        <w:t>ited to oversee the</w:t>
      </w:r>
      <w:r w:rsidR="00146B10" w:rsidRPr="00146B10">
        <w:t xml:space="preserve"> </w:t>
      </w:r>
      <w:r w:rsidR="00146B10">
        <w:t>“</w:t>
      </w:r>
      <w:r w:rsidR="00471B6D">
        <w:rPr>
          <w:b/>
          <w:i/>
        </w:rPr>
        <w:t>Programme on C</w:t>
      </w:r>
      <w:r w:rsidR="00146B10" w:rsidRPr="00146B10">
        <w:rPr>
          <w:b/>
          <w:i/>
        </w:rPr>
        <w:t>li</w:t>
      </w:r>
      <w:r w:rsidR="00471B6D">
        <w:rPr>
          <w:b/>
          <w:i/>
        </w:rPr>
        <w:t>mate Change Adaptation and M</w:t>
      </w:r>
      <w:r w:rsidR="00146B10" w:rsidRPr="00146B10">
        <w:rPr>
          <w:b/>
          <w:i/>
        </w:rPr>
        <w:t>itigation in the COMESA-EAC-SADC Region.</w:t>
      </w:r>
      <w:r w:rsidR="00146B10">
        <w:t xml:space="preserve">” </w:t>
      </w:r>
      <w:r w:rsidR="006B0A05">
        <w:t xml:space="preserve"> </w:t>
      </w:r>
      <w:r w:rsidR="00471B6D" w:rsidRPr="00A94D8B">
        <w:t>The contracting party is the Co</w:t>
      </w:r>
      <w:r w:rsidR="00471B6D" w:rsidRPr="00A94D8B">
        <w:t>m</w:t>
      </w:r>
      <w:r w:rsidR="00471B6D" w:rsidRPr="00A94D8B">
        <w:t>mon Market for Eastern and Southern Africa (COM</w:t>
      </w:r>
      <w:r w:rsidR="00471B6D">
        <w:t xml:space="preserve">ESA) </w:t>
      </w:r>
      <w:r w:rsidR="00471B6D" w:rsidRPr="00A94D8B">
        <w:t>with the</w:t>
      </w:r>
      <w:r w:rsidR="003066F3">
        <w:t xml:space="preserve"> East African Community (EAC)</w:t>
      </w:r>
      <w:r w:rsidR="00471B6D" w:rsidRPr="00A94D8B">
        <w:t xml:space="preserve"> and Southern African Development Community (SADC)</w:t>
      </w:r>
      <w:r w:rsidR="00471B6D">
        <w:t xml:space="preserve"> acting as partners. The Pr</w:t>
      </w:r>
      <w:r w:rsidR="00471B6D">
        <w:t>o</w:t>
      </w:r>
      <w:r w:rsidR="00471B6D">
        <w:t xml:space="preserve">gramme </w:t>
      </w:r>
      <w:r w:rsidR="00471B6D" w:rsidRPr="00A94D8B">
        <w:t>fo</w:t>
      </w:r>
      <w:r w:rsidR="00471B6D">
        <w:t>cus</w:t>
      </w:r>
      <w:r w:rsidR="00471B6D" w:rsidRPr="00A94D8B">
        <w:t xml:space="preserve"> </w:t>
      </w:r>
      <w:r w:rsidR="00471B6D">
        <w:t xml:space="preserve">is </w:t>
      </w:r>
      <w:r w:rsidR="00471B6D" w:rsidRPr="00A94D8B">
        <w:t>on addressing the impacts of climate change through adaptation and mitig</w:t>
      </w:r>
      <w:r w:rsidR="00471B6D" w:rsidRPr="00A94D8B">
        <w:t>a</w:t>
      </w:r>
      <w:r w:rsidR="00471B6D" w:rsidRPr="00A94D8B">
        <w:t>tion meas</w:t>
      </w:r>
      <w:r w:rsidR="00471B6D">
        <w:t xml:space="preserve">ures that </w:t>
      </w:r>
      <w:r w:rsidR="00471B6D" w:rsidRPr="00A94D8B">
        <w:t>build economic and social resilience. In Western Africa, the project aut</w:t>
      </w:r>
      <w:r w:rsidR="00471B6D" w:rsidRPr="00A94D8B">
        <w:t>h</w:t>
      </w:r>
      <w:r w:rsidR="00471B6D" w:rsidRPr="00A94D8B">
        <w:t xml:space="preserve">ority </w:t>
      </w:r>
      <w:r w:rsidR="00471B6D">
        <w:t>for the “</w:t>
      </w:r>
      <w:r w:rsidR="00471B6D" w:rsidRPr="00471B6D">
        <w:rPr>
          <w:b/>
          <w:i/>
        </w:rPr>
        <w:t>GCCA regional programme for Western Africa</w:t>
      </w:r>
      <w:r w:rsidR="00471B6D">
        <w:t xml:space="preserve">” </w:t>
      </w:r>
      <w:r w:rsidR="00471B6D" w:rsidRPr="00A94D8B">
        <w:t>is the Permanent Inter-States Committee for Drought Control in the Sa</w:t>
      </w:r>
      <w:r w:rsidR="00471B6D">
        <w:t xml:space="preserve">hel (CILSS), </w:t>
      </w:r>
      <w:r w:rsidR="00471B6D" w:rsidRPr="00A94D8B">
        <w:t>a technical branch of the Economic Community of West African States (ECOWAS). The implementing partner is the Regional Centre Agrhymet for Training and Application in Agro-Meteorology and Operational H</w:t>
      </w:r>
      <w:r w:rsidR="00471B6D" w:rsidRPr="00A94D8B">
        <w:t>y</w:t>
      </w:r>
      <w:r w:rsidR="00471B6D" w:rsidRPr="00A94D8B">
        <w:t>drology and their Applications (Agrhymet), a specialised institute of CILSS. The programme in West Af</w:t>
      </w:r>
      <w:r w:rsidR="00471B6D">
        <w:t xml:space="preserve">rica is designed </w:t>
      </w:r>
      <w:r w:rsidR="00471B6D" w:rsidRPr="00A94D8B">
        <w:t xml:space="preserve">to tackle climate change so as to achieve the MDGs. </w:t>
      </w:r>
      <w:r w:rsidR="006B0A05">
        <w:t xml:space="preserve">  </w:t>
      </w:r>
      <w:r w:rsidR="00146B10">
        <w:t xml:space="preserve">                          </w:t>
      </w:r>
      <w:r w:rsidR="006B0A05">
        <w:t xml:space="preserve">                                                                                        </w:t>
      </w:r>
      <w:r w:rsidR="00146B10">
        <w:t xml:space="preserve">                                    </w:t>
      </w:r>
      <w:r w:rsidR="00471B6D">
        <w:t xml:space="preserve">               </w:t>
      </w:r>
    </w:p>
    <w:p w:rsidR="00AD1C0A" w:rsidRPr="00A94D8B" w:rsidRDefault="00AD1C0A" w:rsidP="001B12C6">
      <w:r w:rsidRPr="00A94D8B">
        <w:t xml:space="preserve">In the Pacific there are </w:t>
      </w:r>
      <w:r w:rsidR="00643D24">
        <w:t xml:space="preserve">two regional programmes that </w:t>
      </w:r>
      <w:r w:rsidRPr="00A94D8B">
        <w:t>inter</w:t>
      </w:r>
      <w:r w:rsidR="0050685F">
        <w:t>act closely</w:t>
      </w:r>
      <w:r w:rsidR="00643D24">
        <w:t xml:space="preserve">. </w:t>
      </w:r>
      <w:r w:rsidRPr="00A94D8B">
        <w:t>The University of the South Pacific (USP) is the contracting party with the Pacific Centre for Environment and</w:t>
      </w:r>
      <w:r w:rsidRPr="00A94D8B">
        <w:rPr>
          <w:rFonts w:eastAsia="MS Mincho"/>
          <w:lang w:eastAsia="zh-CN"/>
        </w:rPr>
        <w:t xml:space="preserve"> </w:t>
      </w:r>
      <w:r w:rsidRPr="00A94D8B">
        <w:t>Su</w:t>
      </w:r>
      <w:r w:rsidRPr="00A94D8B">
        <w:t>s</w:t>
      </w:r>
      <w:r w:rsidRPr="00A94D8B">
        <w:t>tainable Development (PACE-SD) as Implementing Unit for the “</w:t>
      </w:r>
      <w:r w:rsidR="005F19E3">
        <w:rPr>
          <w:b/>
          <w:i/>
        </w:rPr>
        <w:t>Support to the GCCA through Capacity B</w:t>
      </w:r>
      <w:r w:rsidRPr="0050685F">
        <w:rPr>
          <w:b/>
          <w:i/>
        </w:rPr>
        <w:t>uilding</w:t>
      </w:r>
      <w:r w:rsidR="005F19E3">
        <w:rPr>
          <w:b/>
          <w:i/>
        </w:rPr>
        <w:t>, Community E</w:t>
      </w:r>
      <w:r w:rsidRPr="0050685F">
        <w:rPr>
          <w:b/>
          <w:i/>
        </w:rPr>
        <w:t>n</w:t>
      </w:r>
      <w:r w:rsidR="005F19E3">
        <w:rPr>
          <w:b/>
          <w:i/>
        </w:rPr>
        <w:t>gagement and Applied R</w:t>
      </w:r>
      <w:r w:rsidRPr="0050685F">
        <w:rPr>
          <w:b/>
          <w:i/>
        </w:rPr>
        <w:t>esearch</w:t>
      </w:r>
      <w:r w:rsidR="0050685F">
        <w:t>” P</w:t>
      </w:r>
      <w:r w:rsidR="00422E27">
        <w:t>rogramme</w:t>
      </w:r>
      <w:r w:rsidRPr="00A94D8B">
        <w:t xml:space="preserve"> </w:t>
      </w:r>
      <w:r w:rsidR="00422E27">
        <w:t xml:space="preserve">that </w:t>
      </w:r>
      <w:r w:rsidRPr="00A94D8B">
        <w:t>focuses on capacity building (through formal and informal training), applied research and community engagement and adaptive actions.</w:t>
      </w:r>
      <w:r w:rsidR="00EA0498" w:rsidRPr="00A94D8B">
        <w:t xml:space="preserve"> The second </w:t>
      </w:r>
      <w:r w:rsidR="00630A10">
        <w:t>Pacific P</w:t>
      </w:r>
      <w:r w:rsidR="00EA0498" w:rsidRPr="00A94D8B">
        <w:t>rogramme</w:t>
      </w:r>
      <w:r w:rsidR="00630A10">
        <w:t xml:space="preserve"> </w:t>
      </w:r>
      <w:r w:rsidRPr="00A94D8B">
        <w:t xml:space="preserve">is the </w:t>
      </w:r>
      <w:r w:rsidR="00630A10">
        <w:t>“</w:t>
      </w:r>
      <w:r w:rsidRPr="00630A10">
        <w:rPr>
          <w:b/>
          <w:i/>
        </w:rPr>
        <w:t>Secr</w:t>
      </w:r>
      <w:r w:rsidRPr="00630A10">
        <w:rPr>
          <w:b/>
          <w:i/>
        </w:rPr>
        <w:t>e</w:t>
      </w:r>
      <w:r w:rsidRPr="00630A10">
        <w:rPr>
          <w:b/>
          <w:i/>
        </w:rPr>
        <w:t>tariat of the Pacific Community – GCCA: Pacific Small Island States</w:t>
      </w:r>
      <w:r w:rsidR="00630A10">
        <w:t>”</w:t>
      </w:r>
      <w:r w:rsidRPr="00A94D8B">
        <w:t xml:space="preserve"> (PSIS</w:t>
      </w:r>
      <w:r w:rsidR="00EA0498" w:rsidRPr="00A94D8B">
        <w:t>)</w:t>
      </w:r>
      <w:r w:rsidR="003066F3">
        <w:t xml:space="preserve">, which </w:t>
      </w:r>
      <w:r w:rsidR="00630A10">
        <w:t xml:space="preserve">is </w:t>
      </w:r>
      <w:r w:rsidR="00EA0498" w:rsidRPr="00A94D8B">
        <w:t xml:space="preserve">funded directly from </w:t>
      </w:r>
      <w:r w:rsidRPr="00A94D8B">
        <w:t>Global GCCA funds. It pro</w:t>
      </w:r>
      <w:r w:rsidR="00422E27">
        <w:t xml:space="preserve">motes a long-term </w:t>
      </w:r>
      <w:r w:rsidRPr="00A94D8B">
        <w:t>approach to adaptati</w:t>
      </w:r>
      <w:r w:rsidR="00630A10">
        <w:t xml:space="preserve">on planning </w:t>
      </w:r>
      <w:r w:rsidR="00CA73DC" w:rsidRPr="00A94D8B">
        <w:t xml:space="preserve">and works </w:t>
      </w:r>
      <w:r w:rsidRPr="00A94D8B">
        <w:t>to</w:t>
      </w:r>
      <w:r w:rsidR="00422E27">
        <w:t xml:space="preserve">wards </w:t>
      </w:r>
      <w:r w:rsidRPr="00A94D8B">
        <w:t>effective and coordinated aid delivery modalities at national and regional levels.</w:t>
      </w:r>
      <w:r w:rsidR="00093965" w:rsidRPr="00A94D8B">
        <w:t xml:space="preserve"> </w:t>
      </w:r>
      <w:r w:rsidRPr="00A94D8B">
        <w:t>The PSIS programme is managed by the Secretariat of the Pacific Co</w:t>
      </w:r>
      <w:r w:rsidRPr="00A94D8B">
        <w:t>m</w:t>
      </w:r>
      <w:r w:rsidRPr="00A94D8B">
        <w:t xml:space="preserve">munity (SPC) and the Secretariat of the Pacific Regional Environment Programme (SPREP). </w:t>
      </w:r>
    </w:p>
    <w:p w:rsidR="00AD1C0A" w:rsidRPr="00A94D8B" w:rsidRDefault="00AD1C0A" w:rsidP="001B12C6">
      <w:r w:rsidRPr="00A94D8B">
        <w:t xml:space="preserve">There are two programmes in the Caribbean as well; the </w:t>
      </w:r>
      <w:r w:rsidR="00630A10">
        <w:t>“</w:t>
      </w:r>
      <w:r w:rsidRPr="00630A10">
        <w:rPr>
          <w:b/>
          <w:i/>
        </w:rPr>
        <w:t>GCCA CARIFORUM</w:t>
      </w:r>
      <w:r w:rsidR="00BE375E" w:rsidRPr="00630A10">
        <w:rPr>
          <w:rStyle w:val="FootnoteReference"/>
          <w:b/>
          <w:i/>
        </w:rPr>
        <w:footnoteReference w:id="2"/>
      </w:r>
      <w:r w:rsidRPr="00630A10">
        <w:rPr>
          <w:b/>
          <w:i/>
        </w:rPr>
        <w:t xml:space="preserve"> Support Programme</w:t>
      </w:r>
      <w:r w:rsidR="00630A10">
        <w:t>”</w:t>
      </w:r>
      <w:r w:rsidRPr="00A94D8B">
        <w:t xml:space="preserve"> is implemented by the Caribbean Community Climate Change Cent</w:t>
      </w:r>
      <w:r w:rsidR="004A45FC">
        <w:t>re (CCCCC). It aims to provide</w:t>
      </w:r>
      <w:r w:rsidRPr="00A94D8B">
        <w:t xml:space="preserve"> participating countries with the resources</w:t>
      </w:r>
      <w:r w:rsidR="004A45FC">
        <w:t xml:space="preserve"> and </w:t>
      </w:r>
      <w:r w:rsidRPr="00A94D8B">
        <w:t>technical support to a</w:t>
      </w:r>
      <w:r w:rsidR="004A45FC">
        <w:t xml:space="preserve">ddress climate change issues. The </w:t>
      </w:r>
      <w:r w:rsidR="00630A10">
        <w:t>“</w:t>
      </w:r>
      <w:r w:rsidR="00630A10" w:rsidRPr="00630A10">
        <w:rPr>
          <w:b/>
          <w:i/>
        </w:rPr>
        <w:t>Climate change adaptation and sustainable land management in the Eastern Carib</w:t>
      </w:r>
      <w:r w:rsidR="006A1513">
        <w:rPr>
          <w:b/>
          <w:i/>
        </w:rPr>
        <w:t>bean,</w:t>
      </w:r>
      <w:r w:rsidR="00630A10">
        <w:rPr>
          <w:b/>
          <w:i/>
        </w:rPr>
        <w:t>”</w:t>
      </w:r>
      <w:r w:rsidRPr="00A94D8B">
        <w:t xml:space="preserve"> is implemented by the Organisation of Eastern Caribbean States (OECS</w:t>
      </w:r>
      <w:r w:rsidR="001B12C6">
        <w:t>)</w:t>
      </w:r>
      <w:r w:rsidR="004A45FC">
        <w:t xml:space="preserve"> and </w:t>
      </w:r>
      <w:r w:rsidRPr="00A94D8B">
        <w:t>only became operational to</w:t>
      </w:r>
      <w:r w:rsidR="004A45FC">
        <w:t>wards the end</w:t>
      </w:r>
      <w:r w:rsidRPr="00A94D8B">
        <w:t xml:space="preserve"> of 2013</w:t>
      </w:r>
      <w:r w:rsidR="001B12C6">
        <w:t>. It</w:t>
      </w:r>
      <w:r w:rsidRPr="00A94D8B">
        <w:t xml:space="preserve"> is not a</w:t>
      </w:r>
      <w:r w:rsidR="004A45FC">
        <w:t xml:space="preserve"> focus of this evaluation and </w:t>
      </w:r>
      <w:r w:rsidR="00F35F6D" w:rsidRPr="00A94D8B">
        <w:t xml:space="preserve">is </w:t>
      </w:r>
      <w:r w:rsidR="004A45FC">
        <w:t xml:space="preserve">not </w:t>
      </w:r>
      <w:r w:rsidR="00F35F6D" w:rsidRPr="00A94D8B">
        <w:t>funded by ACP resources</w:t>
      </w:r>
      <w:r w:rsidRPr="00A94D8B">
        <w:t>.</w:t>
      </w:r>
      <w:r w:rsidRPr="00A94D8B">
        <w:rPr>
          <w:rStyle w:val="FootnoteReference"/>
        </w:rPr>
        <w:t xml:space="preserve"> </w:t>
      </w:r>
      <w:r w:rsidRPr="00A94D8B">
        <w:t xml:space="preserve"> Nor is the regional programme in South-East Asia, the </w:t>
      </w:r>
      <w:r w:rsidR="00630A10">
        <w:t>“</w:t>
      </w:r>
      <w:r w:rsidRPr="00630A10">
        <w:rPr>
          <w:b/>
          <w:i/>
        </w:rPr>
        <w:t xml:space="preserve">Mekong River Commission’s Climate Change </w:t>
      </w:r>
      <w:r w:rsidR="00950F78" w:rsidRPr="00630A10">
        <w:rPr>
          <w:b/>
          <w:i/>
        </w:rPr>
        <w:t>and Adaptation I</w:t>
      </w:r>
      <w:r w:rsidR="00950F78" w:rsidRPr="00630A10">
        <w:rPr>
          <w:b/>
          <w:i/>
        </w:rPr>
        <w:t>n</w:t>
      </w:r>
      <w:r w:rsidR="00950F78" w:rsidRPr="00630A10">
        <w:rPr>
          <w:b/>
          <w:i/>
        </w:rPr>
        <w:t>itiative</w:t>
      </w:r>
      <w:r w:rsidR="00630A10">
        <w:t>”</w:t>
      </w:r>
      <w:r w:rsidR="00950F78" w:rsidRPr="00A94D8B">
        <w:t xml:space="preserve"> </w:t>
      </w:r>
      <w:r w:rsidR="004A45FC">
        <w:t>being assessed</w:t>
      </w:r>
      <w:r w:rsidRPr="00A94D8B">
        <w:t xml:space="preserve">, for reason of incompatibility of timing of the evaluation with project planning. </w:t>
      </w:r>
      <w:r w:rsidR="004A45FC">
        <w:t>As well, the</w:t>
      </w:r>
      <w:r w:rsidR="00A16E6F" w:rsidRPr="00A94D8B">
        <w:t xml:space="preserve"> South-East Asia initiative is not funded by Intra ACP resources. </w:t>
      </w:r>
    </w:p>
    <w:p w:rsidR="00AD1C0A" w:rsidRPr="00A94D8B" w:rsidRDefault="00AD1C0A" w:rsidP="001B12C6">
      <w:r w:rsidRPr="00A94D8B">
        <w:t xml:space="preserve">In addition to programming activity, the Intra ACP </w:t>
      </w:r>
      <w:r w:rsidR="00CA73DC" w:rsidRPr="00A94D8B">
        <w:t xml:space="preserve">Programme </w:t>
      </w:r>
      <w:r w:rsidRPr="00A94D8B">
        <w:t xml:space="preserve">also has a support component </w:t>
      </w:r>
      <w:r w:rsidR="006A1513">
        <w:t xml:space="preserve">to ensure </w:t>
      </w:r>
      <w:r w:rsidRPr="00A94D8B">
        <w:t xml:space="preserve">programme coordination, assist the ACP Secretariat in issues related to climate change and </w:t>
      </w:r>
      <w:r w:rsidR="006A1513">
        <w:t xml:space="preserve">to </w:t>
      </w:r>
      <w:r w:rsidRPr="00A94D8B">
        <w:t>pr</w:t>
      </w:r>
      <w:r w:rsidR="006A1513">
        <w:t>ovide</w:t>
      </w:r>
      <w:r w:rsidR="00950F78" w:rsidRPr="00A94D8B">
        <w:t xml:space="preserve"> Technical A</w:t>
      </w:r>
      <w:r w:rsidRPr="00A94D8B">
        <w:t xml:space="preserve">ssistance </w:t>
      </w:r>
      <w:r w:rsidR="00950F78" w:rsidRPr="00A94D8B">
        <w:t xml:space="preserve">(TA) </w:t>
      </w:r>
      <w:r w:rsidR="006A1513">
        <w:t>to ACP MS</w:t>
      </w:r>
      <w:r w:rsidRPr="00A94D8B">
        <w:t xml:space="preserve"> </w:t>
      </w:r>
      <w:r w:rsidR="006A1513">
        <w:t>through different</w:t>
      </w:r>
      <w:r w:rsidR="002F10A6">
        <w:t xml:space="preserve"> </w:t>
      </w:r>
      <w:r w:rsidRPr="00A94D8B">
        <w:t>modali</w:t>
      </w:r>
      <w:r w:rsidR="006A1513">
        <w:t xml:space="preserve">ties </w:t>
      </w:r>
      <w:r w:rsidRPr="00A94D8B">
        <w:t>in</w:t>
      </w:r>
      <w:r w:rsidR="006A1513">
        <w:t>cluding</w:t>
      </w:r>
      <w:r w:rsidRPr="00A94D8B">
        <w:t xml:space="preserve"> the Climate Support Facility (CSF), which was designed to provide short-term cu</w:t>
      </w:r>
      <w:r w:rsidRPr="00A94D8B">
        <w:t>s</w:t>
      </w:r>
      <w:r w:rsidRPr="00A94D8B">
        <w:t xml:space="preserve">tomised </w:t>
      </w:r>
      <w:r w:rsidR="00950F78" w:rsidRPr="00A94D8B">
        <w:t>TA</w:t>
      </w:r>
      <w:r w:rsidR="006A1513">
        <w:t xml:space="preserve"> and training to ACP MS</w:t>
      </w:r>
      <w:r w:rsidRPr="00A94D8B">
        <w:t>.</w:t>
      </w:r>
      <w:r w:rsidR="00BE375E" w:rsidRPr="00A94D8B">
        <w:t xml:space="preserve"> There is also a climate change Technical Assistant to the ACP Se</w:t>
      </w:r>
      <w:r w:rsidR="006A1513">
        <w:t>cretariat who</w:t>
      </w:r>
      <w:r w:rsidR="0019088A">
        <w:t xml:space="preserve">, </w:t>
      </w:r>
      <w:r w:rsidR="006A1513">
        <w:t>among other duties</w:t>
      </w:r>
      <w:r w:rsidR="0019088A">
        <w:t>,</w:t>
      </w:r>
      <w:r w:rsidR="00BE375E" w:rsidRPr="00A94D8B">
        <w:t xml:space="preserve"> assists with preparing submissions to the CSF. </w:t>
      </w:r>
    </w:p>
    <w:p w:rsidR="00AD1C0A" w:rsidRPr="00A94D8B" w:rsidRDefault="002F10A6" w:rsidP="001B12C6">
      <w:r>
        <w:t>S</w:t>
      </w:r>
      <w:r w:rsidR="00AD1C0A" w:rsidRPr="00A94D8B">
        <w:t xml:space="preserve">ince 2008, the Global GCCA has </w:t>
      </w:r>
      <w:r>
        <w:t xml:space="preserve">also </w:t>
      </w:r>
      <w:r w:rsidR="00AD1C0A" w:rsidRPr="00A94D8B">
        <w:t>supported country programmes in 38 MS in the same thematic ar</w:t>
      </w:r>
      <w:r w:rsidR="004A45FC">
        <w:t xml:space="preserve">eas </w:t>
      </w:r>
      <w:r w:rsidR="0019088A">
        <w:t xml:space="preserve">some </w:t>
      </w:r>
      <w:r w:rsidR="00AD1C0A" w:rsidRPr="00A94D8B">
        <w:t xml:space="preserve">of </w:t>
      </w:r>
      <w:r w:rsidR="004A45FC">
        <w:t xml:space="preserve">which are </w:t>
      </w:r>
      <w:r w:rsidR="004F58F6">
        <w:t xml:space="preserve">close to </w:t>
      </w:r>
      <w:r w:rsidR="004A45FC">
        <w:t xml:space="preserve">or have </w:t>
      </w:r>
      <w:r w:rsidR="00AD1C0A" w:rsidRPr="00A94D8B">
        <w:t>re</w:t>
      </w:r>
      <w:r>
        <w:t>ach</w:t>
      </w:r>
      <w:r w:rsidR="004A45FC">
        <w:t>ed</w:t>
      </w:r>
      <w:r>
        <w:t xml:space="preserve"> their conclusion. T</w:t>
      </w:r>
      <w:r w:rsidR="00AD1C0A" w:rsidRPr="00A94D8B">
        <w:t>o improve c</w:t>
      </w:r>
      <w:r w:rsidR="00AD1C0A" w:rsidRPr="00A94D8B">
        <w:t>o</w:t>
      </w:r>
      <w:r w:rsidR="00AD1C0A" w:rsidRPr="00A94D8B">
        <w:t>ord</w:t>
      </w:r>
      <w:r w:rsidR="00CA73DC" w:rsidRPr="00A94D8B">
        <w:t>ination and coherence between</w:t>
      </w:r>
      <w:r w:rsidR="00AD1C0A" w:rsidRPr="00A94D8B">
        <w:t xml:space="preserve"> the GC</w:t>
      </w:r>
      <w:r w:rsidR="00CA73DC" w:rsidRPr="00A94D8B">
        <w:t>CA Global and the Intra ACP GCCA Programme</w:t>
      </w:r>
      <w:r w:rsidR="00AD1C0A" w:rsidRPr="00A94D8B">
        <w:t xml:space="preserve">, it was decided to undertake </w:t>
      </w:r>
      <w:r>
        <w:t xml:space="preserve">the </w:t>
      </w:r>
      <w:r w:rsidR="00AD1C0A" w:rsidRPr="00A94D8B">
        <w:t>evalua</w:t>
      </w:r>
      <w:r>
        <w:t xml:space="preserve">tions </w:t>
      </w:r>
      <w:r w:rsidR="00AD1C0A" w:rsidRPr="00A94D8B">
        <w:t>simultaneously. The expectation was that combi</w:t>
      </w:r>
      <w:r w:rsidR="00AD1C0A" w:rsidRPr="00A94D8B">
        <w:t>n</w:t>
      </w:r>
      <w:r w:rsidR="00AD1C0A" w:rsidRPr="00A94D8B">
        <w:t>ing the evaluations would allow for the possibility to identify and analyse synergies and d</w:t>
      </w:r>
      <w:r w:rsidR="00AD1C0A" w:rsidRPr="00A94D8B">
        <w:t>e</w:t>
      </w:r>
      <w:r w:rsidR="00AD1C0A" w:rsidRPr="00A94D8B">
        <w:t>ter</w:t>
      </w:r>
      <w:r w:rsidR="006A1513">
        <w:t>mine how there could be</w:t>
      </w:r>
      <w:r w:rsidR="00AD1C0A" w:rsidRPr="00A94D8B">
        <w:t xml:space="preserve"> better develop</w:t>
      </w:r>
      <w:r w:rsidR="001E7492">
        <w:t>ment gains</w:t>
      </w:r>
      <w:r>
        <w:t xml:space="preserve">. </w:t>
      </w:r>
      <w:r w:rsidR="00AD1C0A" w:rsidRPr="00A94D8B">
        <w:t>The evaluation process began in Decem</w:t>
      </w:r>
      <w:r w:rsidR="006A1513">
        <w:t xml:space="preserve">ber 2013 with </w:t>
      </w:r>
      <w:r w:rsidR="001E7492">
        <w:t xml:space="preserve">all </w:t>
      </w:r>
      <w:r w:rsidR="00AD1C0A" w:rsidRPr="00A94D8B">
        <w:t xml:space="preserve">field work </w:t>
      </w:r>
      <w:r w:rsidR="006A1513">
        <w:t xml:space="preserve">completed by </w:t>
      </w:r>
      <w:r w:rsidR="00AD1C0A" w:rsidRPr="00A94D8B">
        <w:t>May 2014. T</w:t>
      </w:r>
      <w:r w:rsidR="00CC5C96">
        <w:t xml:space="preserve">he </w:t>
      </w:r>
      <w:r w:rsidR="00AD1C0A" w:rsidRPr="00A94D8B">
        <w:t xml:space="preserve">first </w:t>
      </w:r>
      <w:r w:rsidR="00CC5C96" w:rsidRPr="00A94D8B">
        <w:t>drafts of both reports were</w:t>
      </w:r>
      <w:r w:rsidR="00AD1C0A" w:rsidRPr="00A94D8B">
        <w:t xml:space="preserve"> compl</w:t>
      </w:r>
      <w:r w:rsidR="00CC5C96">
        <w:t xml:space="preserve">eted in June 2014 </w:t>
      </w:r>
      <w:r w:rsidR="001E7492">
        <w:t xml:space="preserve">with </w:t>
      </w:r>
      <w:r w:rsidR="00A03059">
        <w:t xml:space="preserve">the </w:t>
      </w:r>
      <w:r w:rsidR="001E7492">
        <w:t>final report</w:t>
      </w:r>
      <w:r w:rsidR="00FC2325">
        <w:t>s</w:t>
      </w:r>
      <w:r w:rsidR="001E7492">
        <w:t xml:space="preserve"> submitted</w:t>
      </w:r>
      <w:r w:rsidR="008A7776" w:rsidRPr="00A94D8B">
        <w:t xml:space="preserve"> in October 2014</w:t>
      </w:r>
      <w:r w:rsidR="00AD1C0A" w:rsidRPr="00A94D8B">
        <w:t>.</w:t>
      </w:r>
      <w:r w:rsidR="00CC5C96">
        <w:t xml:space="preserve"> This report is accompanied by Aide-M</w:t>
      </w:r>
      <w:r w:rsidR="00CC5C96" w:rsidRPr="00CC5C96">
        <w:t>émoire</w:t>
      </w:r>
      <w:r w:rsidR="00CC5C96">
        <w:t xml:space="preserve">s of the regional programmes and the CSF. </w:t>
      </w:r>
    </w:p>
    <w:p w:rsidR="00AD1C0A" w:rsidRPr="00A94D8B" w:rsidRDefault="00AD1C0A" w:rsidP="001B12C6">
      <w:r w:rsidRPr="00A94D8B">
        <w:t>T</w:t>
      </w:r>
      <w:r w:rsidR="001E7492">
        <w:t>his report presents</w:t>
      </w:r>
      <w:r w:rsidRPr="00A94D8B">
        <w:t xml:space="preserve"> findings and analyses on five of the </w:t>
      </w:r>
      <w:r w:rsidR="001E7492">
        <w:t xml:space="preserve">Intra ACP </w:t>
      </w:r>
      <w:r w:rsidRPr="00A94D8B">
        <w:t>regiona</w:t>
      </w:r>
      <w:r w:rsidR="00CC5C96">
        <w:t>l GCCA pr</w:t>
      </w:r>
      <w:r w:rsidR="00CC5C96">
        <w:t>o</w:t>
      </w:r>
      <w:r w:rsidR="00CC5C96">
        <w:t>grammes and</w:t>
      </w:r>
      <w:r w:rsidRPr="00A94D8B">
        <w:t xml:space="preserve"> </w:t>
      </w:r>
      <w:r w:rsidR="001E7492">
        <w:t xml:space="preserve">the </w:t>
      </w:r>
      <w:r w:rsidRPr="00A94D8B">
        <w:t>PSIS programm</w:t>
      </w:r>
      <w:r w:rsidR="00CC5C96">
        <w:t>e funded through the Global GCCA</w:t>
      </w:r>
      <w:r w:rsidRPr="00A94D8B">
        <w:t xml:space="preserve">.  </w:t>
      </w:r>
      <w:r w:rsidRPr="00104B57">
        <w:rPr>
          <w:b/>
          <w:i/>
        </w:rPr>
        <w:t>The objective of this evaluation is to provide the ACP Secretariat and the relevant co-operation services of the EC with information, analyses and assessment of the past performance of the Intra ACP GCCA Programme; ascertain the added value, key lessons and to propose practical re</w:t>
      </w:r>
      <w:r w:rsidRPr="00104B57">
        <w:rPr>
          <w:b/>
          <w:i/>
        </w:rPr>
        <w:t>c</w:t>
      </w:r>
      <w:r w:rsidRPr="00104B57">
        <w:rPr>
          <w:b/>
          <w:i/>
        </w:rPr>
        <w:t>ommendations for follow-up actions as feasible during the remaining life of the various programme components; and provide recommendations for the design of a potential se</w:t>
      </w:r>
      <w:r w:rsidRPr="00104B57">
        <w:rPr>
          <w:b/>
          <w:i/>
        </w:rPr>
        <w:t>c</w:t>
      </w:r>
      <w:r w:rsidRPr="00104B57">
        <w:rPr>
          <w:b/>
          <w:i/>
        </w:rPr>
        <w:t>ond phase Intra ACP GCCA  to be funded under resources from 11</w:t>
      </w:r>
      <w:r w:rsidRPr="00104B57">
        <w:rPr>
          <w:b/>
          <w:i/>
          <w:vertAlign w:val="superscript"/>
        </w:rPr>
        <w:t>th</w:t>
      </w:r>
      <w:r w:rsidRPr="00104B57">
        <w:rPr>
          <w:b/>
          <w:i/>
        </w:rPr>
        <w:t xml:space="preserve"> EDF</w:t>
      </w:r>
      <w:r w:rsidR="00950F78" w:rsidRPr="00104B57">
        <w:rPr>
          <w:b/>
          <w:i/>
        </w:rPr>
        <w:t xml:space="preserve"> </w:t>
      </w:r>
      <w:r w:rsidRPr="00104B57">
        <w:rPr>
          <w:b/>
          <w:i/>
        </w:rPr>
        <w:t>consistent with the EC new flagship initiative to be called GCCA+.</w:t>
      </w:r>
    </w:p>
    <w:p w:rsidR="00AD1C0A" w:rsidRPr="00A94D8B" w:rsidRDefault="00AD1C0A" w:rsidP="001B12C6">
      <w:pPr>
        <w:rPr>
          <w:b/>
        </w:rPr>
      </w:pPr>
      <w:r w:rsidRPr="00A94D8B">
        <w:rPr>
          <w:b/>
        </w:rPr>
        <w:t>Findings</w:t>
      </w:r>
    </w:p>
    <w:p w:rsidR="00AD1C0A" w:rsidRPr="00A94D8B" w:rsidRDefault="00AD1C0A" w:rsidP="001B12C6">
      <w:r w:rsidRPr="00A94D8B">
        <w:t>The Intra ACP GCCA has met with success in strivi</w:t>
      </w:r>
      <w:r w:rsidR="00CC5C96">
        <w:t>ng to assist ACP MS</w:t>
      </w:r>
      <w:r w:rsidRPr="00A94D8B">
        <w:t xml:space="preserve"> </w:t>
      </w:r>
      <w:r w:rsidR="001C3BBE">
        <w:t xml:space="preserve">in their efforts to build climate change </w:t>
      </w:r>
      <w:r w:rsidRPr="00A94D8B">
        <w:t>capabilities</w:t>
      </w:r>
      <w:r w:rsidR="001C3BBE">
        <w:t xml:space="preserve"> with most gains </w:t>
      </w:r>
      <w:r w:rsidR="00AF4B60" w:rsidRPr="00A94D8B">
        <w:t>made in relation to adapt</w:t>
      </w:r>
      <w:r w:rsidR="00104B57">
        <w:t xml:space="preserve">ation as </w:t>
      </w:r>
      <w:r w:rsidR="00FE08AD" w:rsidRPr="00A94D8B">
        <w:t>there is</w:t>
      </w:r>
      <w:r w:rsidR="00104B57">
        <w:t xml:space="preserve"> a greater demand for </w:t>
      </w:r>
      <w:r w:rsidR="00FE08AD" w:rsidRPr="00A94D8B">
        <w:t>adaptation</w:t>
      </w:r>
      <w:r w:rsidR="0019088A">
        <w:t>-</w:t>
      </w:r>
      <w:r w:rsidR="001C3BBE">
        <w:t>related support</w:t>
      </w:r>
      <w:r w:rsidR="00AF4B60" w:rsidRPr="00A94D8B">
        <w:t xml:space="preserve">. </w:t>
      </w:r>
      <w:r w:rsidR="001C3BBE">
        <w:t>T</w:t>
      </w:r>
      <w:r w:rsidRPr="00A94D8B">
        <w:t>here have been successful results in respon</w:t>
      </w:r>
      <w:r w:rsidRPr="00A94D8B">
        <w:t>d</w:t>
      </w:r>
      <w:r w:rsidRPr="00A94D8B">
        <w:t>ing to specific needs at the country and regional lev</w:t>
      </w:r>
      <w:r w:rsidR="001C3BBE">
        <w:t>els and t</w:t>
      </w:r>
      <w:r w:rsidRPr="00A94D8B">
        <w:t>he rationale for a regional a</w:t>
      </w:r>
      <w:r w:rsidRPr="00A94D8B">
        <w:t>p</w:t>
      </w:r>
      <w:r w:rsidRPr="00A94D8B">
        <w:t>proach was found to be justified. There are unique opportuni</w:t>
      </w:r>
      <w:r w:rsidR="00DA020E" w:rsidRPr="00A94D8B">
        <w:t>ties for</w:t>
      </w:r>
      <w:r w:rsidRPr="00A94D8B">
        <w:t xml:space="preserve"> problem-solving that come from encouraging collaboration between countries and ensuring countries share similar capacity for addressing climate change. However, overall, there is considerable room to fu</w:t>
      </w:r>
      <w:r w:rsidRPr="00A94D8B">
        <w:t>r</w:t>
      </w:r>
      <w:r w:rsidRPr="00A94D8B">
        <w:t>ther develop</w:t>
      </w:r>
      <w:r w:rsidR="0019088A">
        <w:t>ment of</w:t>
      </w:r>
      <w:r w:rsidRPr="00A94D8B">
        <w:t xml:space="preserve"> regional-level strategies and activities.  Some of the regional progra</w:t>
      </w:r>
      <w:r w:rsidRPr="00A94D8B">
        <w:t>m</w:t>
      </w:r>
      <w:r w:rsidRPr="00A94D8B">
        <w:t>mes have been more effective than other</w:t>
      </w:r>
      <w:r w:rsidR="0019088A">
        <w:t>s</w:t>
      </w:r>
      <w:r w:rsidRPr="00A94D8B">
        <w:t xml:space="preserve"> i</w:t>
      </w:r>
      <w:r w:rsidR="001C3BBE">
        <w:t>n nurturing regional dynamics</w:t>
      </w:r>
      <w:r w:rsidRPr="00A94D8B">
        <w:t>. In the Pacific, West Africa and the Caribbean, existing structures and networks are facilitating gains in establis</w:t>
      </w:r>
      <w:r w:rsidRPr="00A94D8B">
        <w:t>h</w:t>
      </w:r>
      <w:r w:rsidRPr="00A94D8B">
        <w:t>ing regional approaches or creating the basis for i</w:t>
      </w:r>
      <w:r w:rsidR="00A94D8B" w:rsidRPr="00A94D8B">
        <w:t xml:space="preserve">mproved regional partnerships. </w:t>
      </w:r>
      <w:r w:rsidR="00D2294F">
        <w:t>T</w:t>
      </w:r>
      <w:r w:rsidRPr="00A94D8B">
        <w:t>his first phase of the Intra ACP Pro</w:t>
      </w:r>
      <w:r w:rsidR="00D2294F">
        <w:t>gramme has laid</w:t>
      </w:r>
      <w:r w:rsidRPr="00A94D8B">
        <w:t xml:space="preserve"> the groundwork for a global mechanism for </w:t>
      </w:r>
      <w:r w:rsidR="00D2294F">
        <w:t>a</w:t>
      </w:r>
      <w:r w:rsidR="00D2294F">
        <w:t>d</w:t>
      </w:r>
      <w:r w:rsidR="00D2294F">
        <w:t xml:space="preserve">dressing </w:t>
      </w:r>
      <w:r w:rsidRPr="00A94D8B">
        <w:t xml:space="preserve">climate change through combined efforts of a number of regional programmes.  </w:t>
      </w:r>
    </w:p>
    <w:p w:rsidR="00AD1C0A" w:rsidRPr="00A94D8B" w:rsidRDefault="00D2294F" w:rsidP="001B12C6">
      <w:r>
        <w:t>T</w:t>
      </w:r>
      <w:r w:rsidR="00AD1C0A" w:rsidRPr="00A94D8B">
        <w:t>here are many good initiatives emanating from the vari</w:t>
      </w:r>
      <w:r>
        <w:t>ous regional programmes that could</w:t>
      </w:r>
      <w:r w:rsidR="00AD1C0A" w:rsidRPr="00A94D8B">
        <w:t xml:space="preserve"> help shape a subsequent pha</w:t>
      </w:r>
      <w:r w:rsidR="00DC507E">
        <w:t>se of the Intra ACP</w:t>
      </w:r>
      <w:r w:rsidR="001C3BBE">
        <w:t xml:space="preserve"> </w:t>
      </w:r>
      <w:r w:rsidR="00AD1C0A" w:rsidRPr="00A94D8B">
        <w:t>in</w:t>
      </w:r>
      <w:r w:rsidR="001C3BBE">
        <w:t>cluding</w:t>
      </w:r>
      <w:r w:rsidR="00AD1C0A" w:rsidRPr="00A94D8B">
        <w:t xml:space="preserve"> innovative pilot activity, effective synergy between Global GCCA country programmes and regional programmes, steps t</w:t>
      </w:r>
      <w:r w:rsidR="00AD1C0A" w:rsidRPr="00A94D8B">
        <w:t>o</w:t>
      </w:r>
      <w:r w:rsidR="00AD1C0A" w:rsidRPr="00A94D8B">
        <w:t>wards the creation of regional-level resources and capacity such as shared meteorological services, and the development of national strategies and policies that enable countries to a</w:t>
      </w:r>
      <w:r w:rsidR="00AD1C0A" w:rsidRPr="00A94D8B">
        <w:t>d</w:t>
      </w:r>
      <w:r w:rsidR="00AD1C0A" w:rsidRPr="00A94D8B">
        <w:t>dres</w:t>
      </w:r>
      <w:r w:rsidR="006F1939" w:rsidRPr="00A94D8B">
        <w:t>s national concerns while creating</w:t>
      </w:r>
      <w:r w:rsidR="00AD1C0A" w:rsidRPr="00A94D8B">
        <w:t xml:space="preserve"> a stronger base for participating at the regional level.  At </w:t>
      </w:r>
      <w:r w:rsidR="00532AF5">
        <w:t xml:space="preserve">the </w:t>
      </w:r>
      <w:r w:rsidR="00AD1C0A" w:rsidRPr="00A94D8B">
        <w:t>national level, there have been concerted efforts to provide in-depth and/or special</w:t>
      </w:r>
      <w:r>
        <w:t xml:space="preserve">ised training and to build </w:t>
      </w:r>
      <w:r w:rsidR="00A03059">
        <w:t>capacity</w:t>
      </w:r>
      <w:r w:rsidR="00AD1C0A" w:rsidRPr="00A94D8B">
        <w:t xml:space="preserve"> such as </w:t>
      </w:r>
      <w:r w:rsidR="00A03059">
        <w:t xml:space="preserve">establishing </w:t>
      </w:r>
      <w:r w:rsidR="00AD1C0A" w:rsidRPr="00A94D8B">
        <w:t>national cli</w:t>
      </w:r>
      <w:r w:rsidR="00DC507E">
        <w:t>mate change offices occurring</w:t>
      </w:r>
      <w:r w:rsidR="00AD1C0A" w:rsidRPr="00A94D8B">
        <w:t xml:space="preserve"> on occasion in coordination with </w:t>
      </w:r>
      <w:r w:rsidR="00532AF5">
        <w:t xml:space="preserve">support provided through </w:t>
      </w:r>
      <w:r w:rsidR="00AD1C0A" w:rsidRPr="00A94D8B">
        <w:t xml:space="preserve">national GCCA programmes.  </w:t>
      </w:r>
    </w:p>
    <w:p w:rsidR="00AD1C0A" w:rsidRPr="00A94D8B" w:rsidRDefault="00D2294F" w:rsidP="001B12C6">
      <w:r>
        <w:t xml:space="preserve">It is important </w:t>
      </w:r>
      <w:r w:rsidR="00AD1C0A" w:rsidRPr="00A94D8B">
        <w:t>to put the initial success of the Intr</w:t>
      </w:r>
      <w:r w:rsidR="00641F17">
        <w:t xml:space="preserve">a ACP in its proper context as </w:t>
      </w:r>
      <w:r w:rsidR="00AD1C0A" w:rsidRPr="00A94D8B">
        <w:t>there is still a large gap between what has been accomplished and what is required. The success of the r</w:t>
      </w:r>
      <w:r w:rsidR="00AD1C0A" w:rsidRPr="00A94D8B">
        <w:t>e</w:t>
      </w:r>
      <w:r w:rsidR="00AD1C0A" w:rsidRPr="00A94D8B">
        <w:t>gional programmes is defined mostly in terms of making first strides towards put</w:t>
      </w:r>
      <w:r w:rsidR="00532AF5">
        <w:t xml:space="preserve">ting in place critical capacity that has </w:t>
      </w:r>
      <w:r w:rsidR="00AD1C0A" w:rsidRPr="00A94D8B">
        <w:t>yet to become fully operational</w:t>
      </w:r>
      <w:r w:rsidR="006F0AC6" w:rsidRPr="00A94D8B">
        <w:t>. Pilot and field level demonstrations</w:t>
      </w:r>
      <w:r w:rsidR="00AD1C0A" w:rsidRPr="00A94D8B">
        <w:t xml:space="preserve"> brought gains in terms of learning and experimentation but the mastery of ideas and practices that can lead </w:t>
      </w:r>
      <w:r w:rsidR="006F0AC6" w:rsidRPr="00A94D8B">
        <w:t xml:space="preserve">to </w:t>
      </w:r>
      <w:r w:rsidR="00AD1C0A" w:rsidRPr="00A94D8B">
        <w:t>scaling-u</w:t>
      </w:r>
      <w:r w:rsidR="006F0AC6" w:rsidRPr="00A94D8B">
        <w:t>p and replica</w:t>
      </w:r>
      <w:r w:rsidR="00B373F7">
        <w:t>tion of actions</w:t>
      </w:r>
      <w:r w:rsidR="006F0AC6" w:rsidRPr="00A94D8B">
        <w:t xml:space="preserve"> </w:t>
      </w:r>
      <w:r>
        <w:t>is still far away.</w:t>
      </w:r>
      <w:r w:rsidR="00532AF5">
        <w:t xml:space="preserve">  </w:t>
      </w:r>
      <w:r w:rsidR="00AD1C0A" w:rsidRPr="00A94D8B">
        <w:t>The overall impact of the Intra ACP GCCA was</w:t>
      </w:r>
      <w:r w:rsidR="00532AF5">
        <w:t xml:space="preserve"> tempered by the slow start of</w:t>
      </w:r>
      <w:r w:rsidR="00AD1C0A" w:rsidRPr="00A94D8B">
        <w:t xml:space="preserve"> all the regional pro</w:t>
      </w:r>
      <w:r w:rsidR="00532AF5">
        <w:t xml:space="preserve">grammes with four </w:t>
      </w:r>
      <w:r w:rsidR="00AD1C0A" w:rsidRPr="00A94D8B">
        <w:t>(CO</w:t>
      </w:r>
      <w:r w:rsidR="00532AF5">
        <w:t xml:space="preserve">MESA, CCCCC, CILSS and USP) </w:t>
      </w:r>
      <w:r w:rsidR="00AD1C0A" w:rsidRPr="00A94D8B">
        <w:t xml:space="preserve">requesting </w:t>
      </w:r>
      <w:r w:rsidR="00532AF5">
        <w:t xml:space="preserve">time </w:t>
      </w:r>
      <w:r w:rsidR="00AD1C0A" w:rsidRPr="00A94D8B">
        <w:t>extensions</w:t>
      </w:r>
      <w:r w:rsidR="00532AF5">
        <w:t xml:space="preserve">. </w:t>
      </w:r>
      <w:r w:rsidR="00AD1C0A" w:rsidRPr="00A94D8B">
        <w:t xml:space="preserve">There was an </w:t>
      </w:r>
      <w:r w:rsidR="00123702">
        <w:t>inacc</w:t>
      </w:r>
      <w:r w:rsidR="00123702">
        <w:t>u</w:t>
      </w:r>
      <w:r w:rsidR="00123702">
        <w:t xml:space="preserve">rate </w:t>
      </w:r>
      <w:r w:rsidR="00AD1C0A" w:rsidRPr="00A94D8B">
        <w:t>expectation that the regional pro</w:t>
      </w:r>
      <w:r w:rsidR="00123702">
        <w:t xml:space="preserve">grammes would </w:t>
      </w:r>
      <w:r w:rsidR="00AD1C0A" w:rsidRPr="00A94D8B">
        <w:t>become operational within a short p</w:t>
      </w:r>
      <w:r w:rsidR="00AD1C0A" w:rsidRPr="00A94D8B">
        <w:t>e</w:t>
      </w:r>
      <w:r w:rsidR="00AD1C0A" w:rsidRPr="00A94D8B">
        <w:t xml:space="preserve">riod of time. For those </w:t>
      </w:r>
      <w:r w:rsidR="00532AF5">
        <w:t>programmes that could build upon</w:t>
      </w:r>
      <w:r w:rsidR="00AD1C0A" w:rsidRPr="00A94D8B">
        <w:t xml:space="preserve"> existing projects and relations with strong development partners this was </w:t>
      </w:r>
      <w:r w:rsidR="007E3329">
        <w:t xml:space="preserve">made </w:t>
      </w:r>
      <w:r w:rsidR="00AD1C0A" w:rsidRPr="00A94D8B">
        <w:t>so</w:t>
      </w:r>
      <w:r w:rsidR="00123702">
        <w:t xml:space="preserve">mewhat more possible. For </w:t>
      </w:r>
      <w:r w:rsidR="00AD1C0A" w:rsidRPr="00A94D8B">
        <w:t>programmes star</w:t>
      </w:r>
      <w:r w:rsidR="00AD1C0A" w:rsidRPr="00A94D8B">
        <w:t>t</w:t>
      </w:r>
      <w:r w:rsidR="00AD1C0A" w:rsidRPr="00A94D8B">
        <w:t>ing with</w:t>
      </w:r>
      <w:r w:rsidR="005B3520" w:rsidRPr="00A94D8B">
        <w:t xml:space="preserve"> implementing partners with</w:t>
      </w:r>
      <w:r w:rsidR="00AD1C0A" w:rsidRPr="00A94D8B">
        <w:t xml:space="preserve"> limited technical and human resource </w:t>
      </w:r>
      <w:r w:rsidR="00123702">
        <w:t>capabilities</w:t>
      </w:r>
      <w:r w:rsidR="00F5424A">
        <w:t xml:space="preserve"> to address climate change</w:t>
      </w:r>
      <w:r w:rsidR="00123702">
        <w:t>, such as</w:t>
      </w:r>
      <w:r w:rsidR="007E3329">
        <w:t xml:space="preserve"> </w:t>
      </w:r>
      <w:r w:rsidR="00AD1C0A" w:rsidRPr="00A94D8B">
        <w:t xml:space="preserve">UNECA and COMESA, </w:t>
      </w:r>
      <w:r w:rsidR="006F0AC6" w:rsidRPr="00A94D8B">
        <w:t xml:space="preserve">strong </w:t>
      </w:r>
      <w:r w:rsidR="00AD1C0A" w:rsidRPr="00A94D8B">
        <w:t>early results were not po</w:t>
      </w:r>
      <w:r w:rsidR="00AD1C0A" w:rsidRPr="00A94D8B">
        <w:t>s</w:t>
      </w:r>
      <w:r w:rsidR="00AD1C0A" w:rsidRPr="00A94D8B">
        <w:t>sible. The administrative and procurement procedures of the EU, national govern</w:t>
      </w:r>
      <w:r w:rsidR="001E1AD1">
        <w:t>ments and programme</w:t>
      </w:r>
      <w:r w:rsidR="00AD1C0A" w:rsidRPr="00A94D8B">
        <w:t xml:space="preserve"> partners resp</w:t>
      </w:r>
      <w:r w:rsidR="004769CB" w:rsidRPr="00A94D8B">
        <w:t>onsible for the</w:t>
      </w:r>
      <w:r w:rsidR="00123702">
        <w:t xml:space="preserve"> Intra ACP </w:t>
      </w:r>
      <w:r w:rsidR="00F5424A">
        <w:t xml:space="preserve">also </w:t>
      </w:r>
      <w:r w:rsidR="004769CB" w:rsidRPr="00A94D8B">
        <w:t>play</w:t>
      </w:r>
      <w:r w:rsidR="00123702">
        <w:t>ed</w:t>
      </w:r>
      <w:r w:rsidR="004769CB" w:rsidRPr="00A94D8B">
        <w:t xml:space="preserve"> a </w:t>
      </w:r>
      <w:r w:rsidR="00AD1C0A" w:rsidRPr="00A94D8B">
        <w:t>role in holding back the i</w:t>
      </w:r>
      <w:r w:rsidR="00AD1C0A" w:rsidRPr="00A94D8B">
        <w:t>m</w:t>
      </w:r>
      <w:r w:rsidR="00AD1C0A" w:rsidRPr="00A94D8B">
        <w:t>plementation of activities. Matters such as a country formerly signing the agreement to pa</w:t>
      </w:r>
      <w:r w:rsidR="00AD1C0A" w:rsidRPr="00A94D8B">
        <w:t>r</w:t>
      </w:r>
      <w:r w:rsidR="00123702">
        <w:t xml:space="preserve">ticipate in the Intra ACP Programme and hiring </w:t>
      </w:r>
      <w:r w:rsidR="001E1AD1">
        <w:t xml:space="preserve">staff </w:t>
      </w:r>
      <w:r w:rsidR="00123702">
        <w:t>impact</w:t>
      </w:r>
      <w:r w:rsidR="001E1AD1">
        <w:t>ed</w:t>
      </w:r>
      <w:r w:rsidR="00AD1C0A" w:rsidRPr="00A94D8B">
        <w:t xml:space="preserve"> on results and financial di</w:t>
      </w:r>
      <w:r w:rsidR="00AD1C0A" w:rsidRPr="00A94D8B">
        <w:t>s</w:t>
      </w:r>
      <w:r w:rsidR="00AD1C0A" w:rsidRPr="00A94D8B">
        <w:t xml:space="preserve">bursement levels.   </w:t>
      </w:r>
    </w:p>
    <w:p w:rsidR="00AD1C0A" w:rsidRPr="00A94D8B" w:rsidRDefault="007E3329" w:rsidP="001B12C6">
      <w:r>
        <w:t>I</w:t>
      </w:r>
      <w:r w:rsidR="00AD1C0A" w:rsidRPr="00A94D8B">
        <w:t>ndividual re</w:t>
      </w:r>
      <w:r w:rsidR="00123702">
        <w:t>gional programmes have not performed</w:t>
      </w:r>
      <w:r w:rsidR="00AD1C0A" w:rsidRPr="00A94D8B">
        <w:t xml:space="preserve"> equally</w:t>
      </w:r>
      <w:r w:rsidR="001E1AD1">
        <w:t xml:space="preserve"> well</w:t>
      </w:r>
      <w:r w:rsidR="007C3BB0">
        <w:t xml:space="preserve">. </w:t>
      </w:r>
      <w:r w:rsidR="00AD1C0A" w:rsidRPr="00A94D8B">
        <w:t>While the two programmes of the Pacific led by the USP and SPC, the CILSS Programme in West A</w:t>
      </w:r>
      <w:r>
        <w:t xml:space="preserve">frica and the </w:t>
      </w:r>
      <w:r w:rsidR="00123702">
        <w:t xml:space="preserve">CCCCC </w:t>
      </w:r>
      <w:r>
        <w:t>p</w:t>
      </w:r>
      <w:r w:rsidR="00AD1C0A" w:rsidRPr="00A94D8B">
        <w:t>rogramme in the Caribb</w:t>
      </w:r>
      <w:r w:rsidR="00123702">
        <w:t xml:space="preserve">ean </w:t>
      </w:r>
      <w:r w:rsidR="002232C1">
        <w:t xml:space="preserve">can </w:t>
      </w:r>
      <w:r w:rsidR="00AD1C0A" w:rsidRPr="00A94D8B">
        <w:t xml:space="preserve">be considered successful to varying degrees, the same cannot be said </w:t>
      </w:r>
      <w:r w:rsidR="00F5424A">
        <w:t xml:space="preserve">of </w:t>
      </w:r>
      <w:r w:rsidR="00AD1C0A" w:rsidRPr="00A94D8B">
        <w:t>the UNECA</w:t>
      </w:r>
      <w:r w:rsidR="00F5424A">
        <w:t>-</w:t>
      </w:r>
      <w:r w:rsidR="00AD1C0A" w:rsidRPr="00A94D8B">
        <w:t xml:space="preserve">managed ClimDev or </w:t>
      </w:r>
      <w:r w:rsidR="00F5424A">
        <w:t>the COMESA-</w:t>
      </w:r>
      <w:r w:rsidR="001E1AD1">
        <w:t>led programme</w:t>
      </w:r>
      <w:r w:rsidR="00F5424A">
        <w:t>s</w:t>
      </w:r>
      <w:r w:rsidR="001E1AD1">
        <w:t xml:space="preserve">.  </w:t>
      </w:r>
      <w:r w:rsidR="00AD1C0A" w:rsidRPr="00A94D8B">
        <w:t xml:space="preserve"> The most important difference between successful regional programmes and their struggling counterparts is capacity. While Agrhymet is a well-staffed and strong technical agency, the </w:t>
      </w:r>
      <w:r w:rsidR="00F5424A">
        <w:t>UNECA</w:t>
      </w:r>
      <w:r w:rsidR="00AD1C0A" w:rsidRPr="00A94D8B">
        <w:t xml:space="preserve"> struggles with capa</w:t>
      </w:r>
      <w:r w:rsidR="002232C1">
        <w:t xml:space="preserve">ble but minimal staff </w:t>
      </w:r>
      <w:r w:rsidR="00AD1C0A" w:rsidRPr="00A94D8B">
        <w:t>man</w:t>
      </w:r>
      <w:r w:rsidR="002232C1">
        <w:t>aging</w:t>
      </w:r>
      <w:r w:rsidR="00AD1C0A" w:rsidRPr="00A94D8B">
        <w:t xml:space="preserve"> a highly multi-f</w:t>
      </w:r>
      <w:r w:rsidR="002232C1">
        <w:t>aceted pr</w:t>
      </w:r>
      <w:r w:rsidR="002232C1">
        <w:t>o</w:t>
      </w:r>
      <w:r w:rsidR="002232C1">
        <w:t xml:space="preserve">gramme with numerous </w:t>
      </w:r>
      <w:r w:rsidR="00AD1C0A" w:rsidRPr="00A94D8B">
        <w:t>components</w:t>
      </w:r>
      <w:r w:rsidR="001E1AD1">
        <w:t xml:space="preserve">. </w:t>
      </w:r>
      <w:r w:rsidR="00AD1C0A" w:rsidRPr="00A94D8B">
        <w:t>While the raison d’être of the CCCCC is cli</w:t>
      </w:r>
      <w:r>
        <w:t xml:space="preserve">mate change and </w:t>
      </w:r>
      <w:r w:rsidR="00F5424A">
        <w:t xml:space="preserve">it </w:t>
      </w:r>
      <w:r w:rsidR="00AD1C0A" w:rsidRPr="00A94D8B">
        <w:t xml:space="preserve">has developed </w:t>
      </w:r>
      <w:r w:rsidR="001E1AD1">
        <w:t xml:space="preserve">capacity and relationships </w:t>
      </w:r>
      <w:r w:rsidR="00AD1C0A" w:rsidRPr="00A94D8B">
        <w:t>accordingly, the three RECs in Eastern and Southern Africa are build</w:t>
      </w:r>
      <w:r>
        <w:t xml:space="preserve">ing </w:t>
      </w:r>
      <w:r w:rsidR="002232C1">
        <w:t xml:space="preserve">their </w:t>
      </w:r>
      <w:r w:rsidR="00123702">
        <w:t>cli</w:t>
      </w:r>
      <w:r w:rsidR="001E1AD1">
        <w:t xml:space="preserve">mate </w:t>
      </w:r>
      <w:r w:rsidR="00123702">
        <w:t xml:space="preserve">capacity </w:t>
      </w:r>
      <w:r>
        <w:t xml:space="preserve">while </w:t>
      </w:r>
      <w:r w:rsidR="00AD1C0A" w:rsidRPr="00A94D8B">
        <w:t>implement</w:t>
      </w:r>
      <w:r>
        <w:t>ing</w:t>
      </w:r>
      <w:r w:rsidR="002232C1">
        <w:t xml:space="preserve"> the </w:t>
      </w:r>
      <w:r w:rsidR="001E1AD1">
        <w:t>P</w:t>
      </w:r>
      <w:r w:rsidR="00AD1C0A" w:rsidRPr="00A94D8B">
        <w:t>rogramme</w:t>
      </w:r>
      <w:r w:rsidR="00AD1C0A" w:rsidRPr="00A94D8B">
        <w:rPr>
          <w:rStyle w:val="FootnoteReference"/>
        </w:rPr>
        <w:footnoteReference w:id="3"/>
      </w:r>
      <w:r>
        <w:t>. In such</w:t>
      </w:r>
      <w:r w:rsidR="00AD1C0A" w:rsidRPr="00A94D8B">
        <w:t xml:space="preserve"> circum</w:t>
      </w:r>
      <w:r>
        <w:t xml:space="preserve">stances </w:t>
      </w:r>
      <w:r w:rsidR="00AD1C0A" w:rsidRPr="00A94D8B">
        <w:t>lengthy administrative proce</w:t>
      </w:r>
      <w:r w:rsidR="001E1AD1">
        <w:t>dures have been</w:t>
      </w:r>
      <w:r>
        <w:t xml:space="preserve"> </w:t>
      </w:r>
      <w:r w:rsidR="00AD1C0A" w:rsidRPr="00A94D8B">
        <w:t>debilitating. Key staff pos</w:t>
      </w:r>
      <w:r w:rsidR="00AD1C0A" w:rsidRPr="00A94D8B">
        <w:t>i</w:t>
      </w:r>
      <w:r w:rsidR="00AD1C0A" w:rsidRPr="00A94D8B">
        <w:t>ti</w:t>
      </w:r>
      <w:r w:rsidR="002232C1">
        <w:t xml:space="preserve">ons with SADC and EAC were </w:t>
      </w:r>
      <w:r w:rsidR="00AD1C0A" w:rsidRPr="00A94D8B">
        <w:t>fil</w:t>
      </w:r>
      <w:r>
        <w:t xml:space="preserve">led in </w:t>
      </w:r>
      <w:r w:rsidR="002232C1">
        <w:t>the latter stage</w:t>
      </w:r>
      <w:r w:rsidR="00F5424A">
        <w:t>s of the programme’s existence only.</w:t>
      </w:r>
    </w:p>
    <w:p w:rsidR="00AD1C0A" w:rsidRPr="00A94D8B" w:rsidRDefault="00F07B74" w:rsidP="001B12C6">
      <w:r>
        <w:t xml:space="preserve">A priority </w:t>
      </w:r>
      <w:r w:rsidR="00AD1C0A" w:rsidRPr="00A94D8B">
        <w:t xml:space="preserve">should have been to ensure that the implementing partners were </w:t>
      </w:r>
      <w:r w:rsidR="00123702">
        <w:t xml:space="preserve">in </w:t>
      </w:r>
      <w:r w:rsidR="004B0BDC">
        <w:t xml:space="preserve">a </w:t>
      </w:r>
      <w:r w:rsidR="00123702">
        <w:t>stronger</w:t>
      </w:r>
      <w:r w:rsidR="00AD1C0A" w:rsidRPr="00A94D8B">
        <w:t xml:space="preserve"> pos</w:t>
      </w:r>
      <w:r w:rsidR="00AD1C0A" w:rsidRPr="00A94D8B">
        <w:t>i</w:t>
      </w:r>
      <w:r w:rsidR="00AD1C0A" w:rsidRPr="00A94D8B">
        <w:t>tion to manage regional climate change programme</w:t>
      </w:r>
      <w:r w:rsidR="005B3520" w:rsidRPr="00A94D8B">
        <w:t>s</w:t>
      </w:r>
      <w:r w:rsidR="007E3329">
        <w:t xml:space="preserve">. It can be argued that this </w:t>
      </w:r>
      <w:r w:rsidR="00AD1C0A" w:rsidRPr="00A94D8B">
        <w:t xml:space="preserve">still </w:t>
      </w:r>
      <w:r w:rsidR="007E3329">
        <w:t xml:space="preserve">should be the priority. </w:t>
      </w:r>
      <w:r w:rsidR="00AD1C0A" w:rsidRPr="00A94D8B">
        <w:t>These two programmes required more ongoing attention from the EU and the ACP Secre</w:t>
      </w:r>
      <w:r w:rsidR="00123702">
        <w:t>tariat and there</w:t>
      </w:r>
      <w:r w:rsidR="00AD1C0A" w:rsidRPr="00A94D8B">
        <w:t xml:space="preserve"> appear to be organisational constraints faced by the EU in esta</w:t>
      </w:r>
      <w:r w:rsidR="00AD1C0A" w:rsidRPr="00A94D8B">
        <w:t>b</w:t>
      </w:r>
      <w:r w:rsidR="00AD1C0A" w:rsidRPr="00A94D8B">
        <w:t>l</w:t>
      </w:r>
      <w:r w:rsidR="00123702">
        <w:t xml:space="preserve">ishing better oversight </w:t>
      </w:r>
      <w:r w:rsidR="00AD1C0A" w:rsidRPr="00A94D8B">
        <w:t>beyond the Result Oriented Monitoring (ROM) system and assigning country-level project officers to follow a regional programme. At the design stage, circu</w:t>
      </w:r>
      <w:r w:rsidR="00AD1C0A" w:rsidRPr="00A94D8B">
        <w:t>m</w:t>
      </w:r>
      <w:r w:rsidR="00AD1C0A" w:rsidRPr="00A94D8B">
        <w:t xml:space="preserve">stances in Africa required more thought and </w:t>
      </w:r>
      <w:r w:rsidR="00A84F90">
        <w:t>planning. In fact</w:t>
      </w:r>
      <w:r w:rsidR="004B0BDC">
        <w:t>,</w:t>
      </w:r>
      <w:r w:rsidR="00A84F90">
        <w:t xml:space="preserve"> with all </w:t>
      </w:r>
      <w:r w:rsidR="00AD1C0A" w:rsidRPr="00A94D8B">
        <w:t>regional pro</w:t>
      </w:r>
      <w:r w:rsidR="00BC1A10">
        <w:t>grammes a longer-</w:t>
      </w:r>
      <w:r w:rsidR="00A84F90">
        <w:t>term strategy was required</w:t>
      </w:r>
      <w:r w:rsidR="00BC1A10">
        <w:t xml:space="preserve"> that </w:t>
      </w:r>
      <w:r w:rsidR="00AD1C0A" w:rsidRPr="00A94D8B">
        <w:t>could have resulted i</w:t>
      </w:r>
      <w:r w:rsidR="00BC1A10">
        <w:t xml:space="preserve">n more specialised approaches for each </w:t>
      </w:r>
      <w:r w:rsidR="00AD1C0A" w:rsidRPr="00A94D8B">
        <w:t>regional pro</w:t>
      </w:r>
      <w:r w:rsidR="00BC1A10">
        <w:t>gramme</w:t>
      </w:r>
      <w:r w:rsidR="00AD1C0A" w:rsidRPr="00A94D8B">
        <w:t xml:space="preserve"> and a more clearly defined global </w:t>
      </w:r>
      <w:r w:rsidR="00BC1A10">
        <w:t xml:space="preserve">strategy about how </w:t>
      </w:r>
      <w:r w:rsidR="00AD1C0A" w:rsidRPr="00A94D8B">
        <w:t>the re</w:t>
      </w:r>
      <w:r w:rsidR="00BC1A10">
        <w:t>gional programmes i</w:t>
      </w:r>
      <w:r w:rsidR="00AD1C0A" w:rsidRPr="00A94D8B">
        <w:t>ntersect</w:t>
      </w:r>
      <w:r w:rsidR="00BC1A10">
        <w:t xml:space="preserve"> </w:t>
      </w:r>
      <w:r w:rsidR="005A4696" w:rsidRPr="00A94D8B">
        <w:t>between</w:t>
      </w:r>
      <w:r w:rsidR="008D4A7E" w:rsidRPr="00A94D8B">
        <w:t xml:space="preserve"> themselves </w:t>
      </w:r>
      <w:r w:rsidR="00BC1A10">
        <w:t xml:space="preserve">and connect with </w:t>
      </w:r>
      <w:r w:rsidR="008D4A7E" w:rsidRPr="00A94D8B">
        <w:t xml:space="preserve">the </w:t>
      </w:r>
      <w:r w:rsidR="00BD39E6" w:rsidRPr="00A94D8B">
        <w:t>GCCA national initiatives</w:t>
      </w:r>
      <w:r w:rsidR="00AD1C0A" w:rsidRPr="00A94D8B">
        <w:t xml:space="preserve">. </w:t>
      </w:r>
      <w:r w:rsidR="00F96A75" w:rsidRPr="00A94D8B">
        <w:t>This vision should be</w:t>
      </w:r>
      <w:r w:rsidR="00AD1C0A" w:rsidRPr="00A94D8B">
        <w:t xml:space="preserve"> supported by strong implementing organisa</w:t>
      </w:r>
      <w:r w:rsidR="00641F17">
        <w:t xml:space="preserve">tions </w:t>
      </w:r>
      <w:r w:rsidR="00AD1C0A" w:rsidRPr="00A94D8B">
        <w:t xml:space="preserve">with </w:t>
      </w:r>
      <w:r w:rsidR="004B0BDC">
        <w:t xml:space="preserve">appropriate </w:t>
      </w:r>
      <w:r w:rsidR="004B0BDC" w:rsidRPr="00A94D8B">
        <w:t>c</w:t>
      </w:r>
      <w:r w:rsidR="004B0BDC" w:rsidRPr="00A94D8B">
        <w:t>a</w:t>
      </w:r>
      <w:r w:rsidR="004B0BDC" w:rsidRPr="00A94D8B">
        <w:t>pacit</w:t>
      </w:r>
      <w:r w:rsidR="004B0BDC">
        <w:t>ies and management practices in place.</w:t>
      </w:r>
    </w:p>
    <w:p w:rsidR="00AD1C0A" w:rsidRPr="00A94D8B" w:rsidRDefault="00CC00B7" w:rsidP="001B12C6">
      <w:r>
        <w:t>G</w:t>
      </w:r>
      <w:r w:rsidR="00DE7AEF" w:rsidRPr="00A94D8B">
        <w:t xml:space="preserve">reater thought has to </w:t>
      </w:r>
      <w:r w:rsidR="00AD1C0A" w:rsidRPr="00A94D8B">
        <w:t>be p</w:t>
      </w:r>
      <w:r w:rsidR="00641F17">
        <w:t xml:space="preserve">ut into the role the CSF </w:t>
      </w:r>
      <w:r w:rsidR="00AD1C0A" w:rsidRPr="00A94D8B">
        <w:t>play</w:t>
      </w:r>
      <w:r w:rsidR="00641F17">
        <w:t>s</w:t>
      </w:r>
      <w:r w:rsidR="00AD1C0A" w:rsidRPr="00A94D8B">
        <w:t xml:space="preserve"> in supporting</w:t>
      </w:r>
      <w:r>
        <w:t xml:space="preserve"> the regional progra</w:t>
      </w:r>
      <w:r>
        <w:t>m</w:t>
      </w:r>
      <w:r>
        <w:t xml:space="preserve">mes.  </w:t>
      </w:r>
      <w:r w:rsidR="00BC0D29" w:rsidRPr="00A94D8B">
        <w:t xml:space="preserve">There were design and administrative issues </w:t>
      </w:r>
      <w:r w:rsidR="004B0BDC">
        <w:t xml:space="preserve">as well as </w:t>
      </w:r>
      <w:r w:rsidR="00BC0D29" w:rsidRPr="00A94D8B">
        <w:t>a lack of understanding regar</w:t>
      </w:r>
      <w:r w:rsidR="00BC0D29" w:rsidRPr="00A94D8B">
        <w:t>d</w:t>
      </w:r>
      <w:r w:rsidR="00BC0D29" w:rsidRPr="00A94D8B">
        <w:t>i</w:t>
      </w:r>
      <w:r w:rsidR="00515AF5">
        <w:t xml:space="preserve">ng the </w:t>
      </w:r>
      <w:r w:rsidR="00641F17">
        <w:t xml:space="preserve">CSF </w:t>
      </w:r>
      <w:r w:rsidR="00515AF5">
        <w:t>services</w:t>
      </w:r>
      <w:r w:rsidR="00641F17">
        <w:t>. T</w:t>
      </w:r>
      <w:r w:rsidR="00DE7AEF" w:rsidRPr="00A94D8B">
        <w:t>here was not a</w:t>
      </w:r>
      <w:r w:rsidR="00641F17">
        <w:t>n overall</w:t>
      </w:r>
      <w:r w:rsidR="00DE7AEF" w:rsidRPr="00A94D8B">
        <w:t xml:space="preserve"> de</w:t>
      </w:r>
      <w:r w:rsidR="00A94D8B" w:rsidRPr="00A94D8B">
        <w:t xml:space="preserve">mand for the service. </w:t>
      </w:r>
      <w:r w:rsidR="00DE7AEF" w:rsidRPr="00A94D8B">
        <w:t>Yet</w:t>
      </w:r>
      <w:r w:rsidR="004B0BDC">
        <w:t>,</w:t>
      </w:r>
      <w:r w:rsidR="00DE7AEF" w:rsidRPr="00A94D8B">
        <w:t xml:space="preserve"> w</w:t>
      </w:r>
      <w:r w:rsidR="00192D55">
        <w:t xml:space="preserve">hile </w:t>
      </w:r>
      <w:r w:rsidR="00AD1C0A" w:rsidRPr="00A94D8B">
        <w:t>the West</w:t>
      </w:r>
      <w:r w:rsidR="00641F17">
        <w:t xml:space="preserve"> Africa Programme took </w:t>
      </w:r>
      <w:r w:rsidR="00AD1C0A" w:rsidRPr="00A94D8B">
        <w:t>advantage of t</w:t>
      </w:r>
      <w:r>
        <w:t xml:space="preserve">he CSF to support its mandate, </w:t>
      </w:r>
      <w:r w:rsidR="00AD1C0A" w:rsidRPr="00A94D8B">
        <w:t xml:space="preserve">other programmes with deeper needs abstained from using the CSF. </w:t>
      </w:r>
      <w:r>
        <w:t>A</w:t>
      </w:r>
      <w:r w:rsidR="00A84F90">
        <w:t xml:space="preserve"> </w:t>
      </w:r>
      <w:r w:rsidR="00DE01E1" w:rsidRPr="00A94D8B">
        <w:t>structured rela</w:t>
      </w:r>
      <w:r w:rsidR="00FC2325">
        <w:t>tion between the CS</w:t>
      </w:r>
      <w:r w:rsidR="00FD26DD" w:rsidRPr="00A94D8B">
        <w:t>F and</w:t>
      </w:r>
      <w:r w:rsidR="00DE01E1" w:rsidRPr="00A94D8B">
        <w:t xml:space="preserve"> the Intra-ACP</w:t>
      </w:r>
      <w:r w:rsidR="00AD1C0A" w:rsidRPr="00A94D8B">
        <w:t xml:space="preserve"> </w:t>
      </w:r>
      <w:r w:rsidR="00DE01E1" w:rsidRPr="00A94D8B">
        <w:t>regional programmes</w:t>
      </w:r>
      <w:r w:rsidR="00FD26DD" w:rsidRPr="00A94D8B">
        <w:t xml:space="preserve"> </w:t>
      </w:r>
      <w:r>
        <w:t xml:space="preserve">is required </w:t>
      </w:r>
      <w:r w:rsidR="00FD26DD" w:rsidRPr="00A94D8B">
        <w:t>to</w:t>
      </w:r>
      <w:r w:rsidR="00A84F90">
        <w:t xml:space="preserve"> ensure the </w:t>
      </w:r>
      <w:r>
        <w:t xml:space="preserve">CSF </w:t>
      </w:r>
      <w:r w:rsidR="00FD26DD" w:rsidRPr="00A94D8B">
        <w:t xml:space="preserve">is </w:t>
      </w:r>
      <w:r w:rsidR="00CB5D21" w:rsidRPr="00A94D8B">
        <w:t>making a contribution</w:t>
      </w:r>
      <w:r w:rsidR="00A84F90">
        <w:t xml:space="preserve">. </w:t>
      </w:r>
      <w:r w:rsidR="00CB5D21" w:rsidRPr="00A94D8B">
        <w:t xml:space="preserve"> </w:t>
      </w:r>
      <w:r w:rsidR="00FD26DD" w:rsidRPr="00A94D8B">
        <w:t xml:space="preserve"> </w:t>
      </w:r>
    </w:p>
    <w:p w:rsidR="00AD1C0A" w:rsidRPr="00A94D8B" w:rsidRDefault="00AD1C0A" w:rsidP="001B12C6">
      <w:r w:rsidRPr="00A94D8B">
        <w:t>Contracting authorities such as COMESA should not be abs</w:t>
      </w:r>
      <w:r w:rsidR="00CB5D21" w:rsidRPr="00A94D8B">
        <w:t>olved of responsibility for some</w:t>
      </w:r>
      <w:r w:rsidRPr="00A94D8B">
        <w:t xml:space="preserve"> of the problems</w:t>
      </w:r>
      <w:r w:rsidR="00FB407C">
        <w:t xml:space="preserve"> encountered</w:t>
      </w:r>
      <w:r w:rsidRPr="00A94D8B">
        <w:t>. Mistakes have been made in terms of administrative and ma</w:t>
      </w:r>
      <w:r w:rsidRPr="00A94D8B">
        <w:t>n</w:t>
      </w:r>
      <w:r w:rsidRPr="00A94D8B">
        <w:t>agement practices, programming decisions and matters related to communication and coord</w:t>
      </w:r>
      <w:r w:rsidRPr="00A94D8B">
        <w:t>i</w:t>
      </w:r>
      <w:r w:rsidRPr="00A94D8B">
        <w:t>nation. While the regional programmes were expected to assist at the na</w:t>
      </w:r>
      <w:r w:rsidR="00856F4C">
        <w:t xml:space="preserve">tional level and were </w:t>
      </w:r>
      <w:r w:rsidRPr="00A94D8B">
        <w:t>success</w:t>
      </w:r>
      <w:r w:rsidR="00CB5D21" w:rsidRPr="00A94D8B">
        <w:t xml:space="preserve">ful in </w:t>
      </w:r>
      <w:r w:rsidR="0026444F" w:rsidRPr="00A94D8B">
        <w:t xml:space="preserve">contributing to </w:t>
      </w:r>
      <w:r w:rsidR="00CB5D21" w:rsidRPr="00A94D8B">
        <w:t xml:space="preserve">building national </w:t>
      </w:r>
      <w:r w:rsidR="00192D55">
        <w:t xml:space="preserve">capacity, </w:t>
      </w:r>
      <w:r w:rsidRPr="00A94D8B">
        <w:t>some national or country level a</w:t>
      </w:r>
      <w:r w:rsidRPr="00A94D8B">
        <w:t>c</w:t>
      </w:r>
      <w:r w:rsidRPr="00A94D8B">
        <w:t xml:space="preserve">tivity was found to be neither strategic nor noteworthy.  </w:t>
      </w:r>
      <w:r w:rsidR="00FB407C">
        <w:t xml:space="preserve">It was </w:t>
      </w:r>
      <w:r w:rsidRPr="00A94D8B">
        <w:t>concluded that a successful regional programme should not be de</w:t>
      </w:r>
      <w:r w:rsidR="00192D55">
        <w:t xml:space="preserve">fined by </w:t>
      </w:r>
      <w:r w:rsidRPr="00A94D8B">
        <w:t>having a number of activities spread amongst countries. Pilot activity, for</w:t>
      </w:r>
      <w:r w:rsidR="00FB407C">
        <w:t xml:space="preserve"> example, </w:t>
      </w:r>
      <w:r w:rsidRPr="00A94D8B">
        <w:t xml:space="preserve">should have regional relevance. </w:t>
      </w:r>
      <w:r w:rsidR="00CB5D21" w:rsidRPr="00A94D8B">
        <w:t xml:space="preserve"> Countries should be encouraged to undertake joint approaches to problem solving. </w:t>
      </w:r>
      <w:r w:rsidRPr="00A94D8B">
        <w:t>T</w:t>
      </w:r>
      <w:r w:rsidR="00CB5D21" w:rsidRPr="00A94D8B">
        <w:t>his</w:t>
      </w:r>
      <w:r w:rsidRPr="00A94D8B">
        <w:t xml:space="preserve"> type of strate</w:t>
      </w:r>
      <w:r w:rsidR="00CB5D21" w:rsidRPr="00A94D8B">
        <w:t>gic thinking should come through more clearly with</w:t>
      </w:r>
      <w:r w:rsidRPr="00A94D8B">
        <w:t xml:space="preserve"> the Intra ACP programme.</w:t>
      </w:r>
    </w:p>
    <w:p w:rsidR="00AD1C0A" w:rsidRPr="00A94D8B" w:rsidRDefault="00192D55" w:rsidP="001B12C6">
      <w:r>
        <w:t>I</w:t>
      </w:r>
      <w:r w:rsidR="00BC15D3">
        <w:t xml:space="preserve">n </w:t>
      </w:r>
      <w:r w:rsidR="00AD1C0A" w:rsidRPr="00A94D8B">
        <w:t>locations such as the Pacific</w:t>
      </w:r>
      <w:r w:rsidR="00101047">
        <w:t>,</w:t>
      </w:r>
      <w:r w:rsidR="00AD1C0A" w:rsidRPr="00A94D8B">
        <w:t xml:space="preserve"> there has been strong</w:t>
      </w:r>
      <w:r>
        <w:t xml:space="preserve"> synergy with other development</w:t>
      </w:r>
      <w:r w:rsidR="00CB5D21" w:rsidRPr="00A94D8B">
        <w:t xml:space="preserve"> </w:t>
      </w:r>
      <w:r w:rsidR="00AD1C0A" w:rsidRPr="00A94D8B">
        <w:t>initi</w:t>
      </w:r>
      <w:r w:rsidR="00AD1C0A" w:rsidRPr="00A94D8B">
        <w:t>a</w:t>
      </w:r>
      <w:r w:rsidR="00AD1C0A" w:rsidRPr="00A94D8B">
        <w:t>tives</w:t>
      </w:r>
      <w:r>
        <w:t xml:space="preserve">. </w:t>
      </w:r>
      <w:r w:rsidR="00BC15D3">
        <w:t>While for Africa</w:t>
      </w:r>
      <w:r w:rsidR="00101047">
        <w:t>,</w:t>
      </w:r>
      <w:r w:rsidR="00AD1C0A" w:rsidRPr="00A94D8B">
        <w:t xml:space="preserve"> better coordination and clearer partnerships would be benefi</w:t>
      </w:r>
      <w:r w:rsidR="00BC15D3">
        <w:t xml:space="preserve">cial. In terms of </w:t>
      </w:r>
      <w:r w:rsidR="00AD1C0A" w:rsidRPr="00A94D8B">
        <w:t xml:space="preserve">coordinating with the national GCCA programmes; the Pacific and Caribbean have good examples </w:t>
      </w:r>
      <w:r w:rsidR="00BC15D3">
        <w:t xml:space="preserve">of </w:t>
      </w:r>
      <w:r w:rsidR="00101047">
        <w:t xml:space="preserve">how </w:t>
      </w:r>
      <w:r w:rsidR="00BC15D3">
        <w:t>this can work</w:t>
      </w:r>
      <w:r>
        <w:t xml:space="preserve">. </w:t>
      </w:r>
      <w:r w:rsidR="00515AF5">
        <w:t>Overall, n</w:t>
      </w:r>
      <w:r w:rsidR="00AD1C0A" w:rsidRPr="00A94D8B">
        <w:t>ational GCCA pro</w:t>
      </w:r>
      <w:r w:rsidR="00BC15D3">
        <w:t xml:space="preserve">grammes should be seen as </w:t>
      </w:r>
      <w:r w:rsidR="00AD1C0A" w:rsidRPr="00A94D8B">
        <w:t xml:space="preserve">sources of innovation for regional programmes. The Jamaican national GCCA programme </w:t>
      </w:r>
      <w:r w:rsidR="00BC15D3">
        <w:t xml:space="preserve">support for </w:t>
      </w:r>
      <w:r w:rsidR="00A4436A" w:rsidRPr="00A94D8B">
        <w:t>shore</w:t>
      </w:r>
      <w:r w:rsidR="00BC15D3">
        <w:t>line protection</w:t>
      </w:r>
      <w:r w:rsidR="00A4436A" w:rsidRPr="00A94D8B">
        <w:t xml:space="preserve"> </w:t>
      </w:r>
      <w:r w:rsidR="00AD1C0A" w:rsidRPr="00A94D8B">
        <w:t>i</w:t>
      </w:r>
      <w:r w:rsidR="00515AF5">
        <w:t xml:space="preserve">s an example of a national </w:t>
      </w:r>
      <w:r w:rsidR="00AD1C0A" w:rsidRPr="00A94D8B">
        <w:t>pro</w:t>
      </w:r>
      <w:r w:rsidR="00515AF5">
        <w:t>gramme experimenting with innovations that c</w:t>
      </w:r>
      <w:r w:rsidR="00AD1C0A" w:rsidRPr="00A94D8B">
        <w:t xml:space="preserve">ould be of </w:t>
      </w:r>
      <w:r w:rsidR="00FC2325">
        <w:t xml:space="preserve">broader </w:t>
      </w:r>
      <w:r w:rsidR="00AD1C0A" w:rsidRPr="00A94D8B">
        <w:t>interest</w:t>
      </w:r>
      <w:r w:rsidR="00FC2325">
        <w:t xml:space="preserve">. </w:t>
      </w:r>
      <w:r w:rsidR="00AD1C0A" w:rsidRPr="00A94D8B">
        <w:t>In Africa</w:t>
      </w:r>
      <w:r w:rsidR="00515AF5">
        <w:t>,</w:t>
      </w:r>
      <w:r w:rsidR="00AD1C0A" w:rsidRPr="00A94D8B">
        <w:t xml:space="preserve"> there </w:t>
      </w:r>
      <w:r>
        <w:t xml:space="preserve">also </w:t>
      </w:r>
      <w:r w:rsidR="00AD1C0A" w:rsidRPr="00A94D8B">
        <w:t>appears to be little coord</w:t>
      </w:r>
      <w:r w:rsidR="00AD1C0A" w:rsidRPr="00A94D8B">
        <w:t>i</w:t>
      </w:r>
      <w:r w:rsidR="00AD1C0A" w:rsidRPr="00A94D8B">
        <w:t>nation between the regional programmes, national programmes and other donors in suppor</w:t>
      </w:r>
      <w:r w:rsidR="00AD1C0A" w:rsidRPr="00A94D8B">
        <w:t>t</w:t>
      </w:r>
      <w:r w:rsidR="00AD1C0A" w:rsidRPr="00A94D8B">
        <w:t>ing the Afri</w:t>
      </w:r>
      <w:r w:rsidR="00856F4C">
        <w:t>can Group of Negotiators (AGN) in</w:t>
      </w:r>
      <w:r w:rsidR="00AD1C0A" w:rsidRPr="00A94D8B">
        <w:t xml:space="preserve"> international climate change ne</w:t>
      </w:r>
      <w:r w:rsidR="00A4436A" w:rsidRPr="00A94D8B">
        <w:t xml:space="preserve">gotiations. </w:t>
      </w:r>
      <w:r w:rsidR="00515AF5">
        <w:t xml:space="preserve"> </w:t>
      </w:r>
    </w:p>
    <w:p w:rsidR="00AD1C0A" w:rsidRPr="00A94D8B" w:rsidRDefault="00AD1C0A" w:rsidP="001B12C6">
      <w:r w:rsidRPr="00A94D8B">
        <w:t>In order to arrive at a global understanding of the achievements of the respective regional programmes, a rating system was developed covering the ten main questio</w:t>
      </w:r>
      <w:r w:rsidR="00FC2325">
        <w:t xml:space="preserve">ns that guided the evaluation. </w:t>
      </w:r>
      <w:r w:rsidRPr="00A94D8B">
        <w:t>The rating system covers issues such as relevance, design, efficiency, effectiv</w:t>
      </w:r>
      <w:r w:rsidRPr="00A94D8B">
        <w:t>e</w:t>
      </w:r>
      <w:r w:rsidRPr="00A94D8B">
        <w:t xml:space="preserve">ness and sustainability. Overall, it was found that the Intra ACP GCCA achieved a B score (satisfactory-good), based on the fact that out of ten questions, eight were given a B </w:t>
      </w:r>
      <w:r w:rsidR="00A4436A" w:rsidRPr="00A94D8B">
        <w:t>rating</w:t>
      </w:r>
      <w:r w:rsidRPr="00A94D8B">
        <w:t>. Two areas were rated C, namely design and ‘achievement of overall objectives’. Levels of performance between the various programmes</w:t>
      </w:r>
      <w:r w:rsidR="00A4436A" w:rsidRPr="00A94D8B">
        <w:t xml:space="preserve"> were found to vary</w:t>
      </w:r>
      <w:r w:rsidRPr="00A94D8B">
        <w:t>, with four better perfor</w:t>
      </w:r>
      <w:r w:rsidRPr="00A94D8B">
        <w:t>m</w:t>
      </w:r>
      <w:r w:rsidRPr="00A94D8B">
        <w:t>ing programmes (the two Pacific programmes, CILSS, and CCCCC) that stand in contrast with the less performing ClimDev and COMESA</w:t>
      </w:r>
      <w:r w:rsidR="00A4436A" w:rsidRPr="00A94D8B">
        <w:t xml:space="preserve"> programmes</w:t>
      </w:r>
      <w:r w:rsidRPr="00A94D8B">
        <w:t>. Detailed findings are pr</w:t>
      </w:r>
      <w:r w:rsidRPr="00A94D8B">
        <w:t>e</w:t>
      </w:r>
      <w:r w:rsidRPr="00A94D8B">
        <w:t>sented in chapter four dealing with the overall assessment</w:t>
      </w:r>
      <w:r w:rsidR="00A4436A" w:rsidRPr="00A94D8B">
        <w:t xml:space="preserve"> of the Intra ACP GCCA</w:t>
      </w:r>
      <w:r w:rsidRPr="00A94D8B">
        <w:t xml:space="preserve">.       </w:t>
      </w:r>
    </w:p>
    <w:p w:rsidR="00D52A4A" w:rsidRDefault="004013F3" w:rsidP="001B12C6">
      <w:r w:rsidRPr="00A94D8B">
        <w:t>G</w:t>
      </w:r>
      <w:r w:rsidR="00AD1C0A" w:rsidRPr="00A94D8B">
        <w:t>iven the current situation with the global carbon markets, a reassessment of GCCA priority areas five “</w:t>
      </w:r>
      <w:r w:rsidR="00AD1C0A" w:rsidRPr="00A94D8B">
        <w:rPr>
          <w:i/>
        </w:rPr>
        <w:t>enhancing participation in the global carbon market</w:t>
      </w:r>
      <w:r w:rsidR="00AD1C0A" w:rsidRPr="00A94D8B">
        <w:t>” and - to some degree - four (</w:t>
      </w:r>
      <w:r w:rsidR="00AD1C0A" w:rsidRPr="00A94D8B">
        <w:rPr>
          <w:i/>
        </w:rPr>
        <w:t>REDD</w:t>
      </w:r>
      <w:r w:rsidR="00AD1C0A" w:rsidRPr="00A94D8B">
        <w:t xml:space="preserve">) seems necessary. </w:t>
      </w:r>
      <w:r w:rsidR="00192D55">
        <w:t xml:space="preserve">The </w:t>
      </w:r>
      <w:r w:rsidRPr="00A94D8B">
        <w:t xml:space="preserve">CCCCC </w:t>
      </w:r>
      <w:r w:rsidR="00656DD7">
        <w:t xml:space="preserve">Caribbean programme </w:t>
      </w:r>
      <w:r w:rsidRPr="00A94D8B">
        <w:t xml:space="preserve">has already switched its focus away from the </w:t>
      </w:r>
      <w:r w:rsidR="00B374CC" w:rsidRPr="00A94D8B">
        <w:t>carbon markets towards</w:t>
      </w:r>
      <w:r w:rsidR="00BC15D3">
        <w:t xml:space="preserve"> support for </w:t>
      </w:r>
      <w:r w:rsidR="00B374CC" w:rsidRPr="00A94D8B">
        <w:t>Nationally Appropriate Mitigation A</w:t>
      </w:r>
      <w:r w:rsidR="00B374CC" w:rsidRPr="00A94D8B">
        <w:t>c</w:t>
      </w:r>
      <w:r w:rsidR="00B374CC" w:rsidRPr="00A94D8B">
        <w:t>tions (NAMA</w:t>
      </w:r>
      <w:r w:rsidR="007530BB">
        <w:t>s</w:t>
      </w:r>
      <w:r w:rsidR="00B374CC" w:rsidRPr="00A94D8B">
        <w:t xml:space="preserve">) by securing climate funding through new sources such as the Green Climate Fund </w:t>
      </w:r>
      <w:r w:rsidR="00BC15D3">
        <w:t xml:space="preserve">and </w:t>
      </w:r>
      <w:r w:rsidR="002F6F18" w:rsidRPr="00A94D8B">
        <w:t>taking</w:t>
      </w:r>
      <w:r w:rsidR="00B374CC" w:rsidRPr="00A94D8B">
        <w:t xml:space="preserve"> into consideration the post 2015 regime(s) for new carbon finance</w:t>
      </w:r>
      <w:r w:rsidR="00091C5C">
        <w:t>. M</w:t>
      </w:r>
      <w:r w:rsidR="00656DD7">
        <w:t>ost Intra ACP</w:t>
      </w:r>
      <w:r w:rsidR="00C632C6" w:rsidRPr="00A94D8B">
        <w:t xml:space="preserve"> countries are not serious</w:t>
      </w:r>
      <w:r w:rsidR="00AD1C0A" w:rsidRPr="00A94D8B">
        <w:t xml:space="preserve"> </w:t>
      </w:r>
      <w:r w:rsidR="00C632C6" w:rsidRPr="00A94D8B">
        <w:t>emitters of</w:t>
      </w:r>
      <w:r w:rsidR="00AD1C0A" w:rsidRPr="00A94D8B">
        <w:t xml:space="preserve"> Green House Gases</w:t>
      </w:r>
      <w:r w:rsidR="00091C5C">
        <w:t xml:space="preserve"> (GHG) and</w:t>
      </w:r>
      <w:r w:rsidR="00C632C6" w:rsidRPr="00A94D8B">
        <w:t xml:space="preserve"> </w:t>
      </w:r>
      <w:r w:rsidR="00091C5C">
        <w:t>w</w:t>
      </w:r>
      <w:r w:rsidR="00AD1C0A" w:rsidRPr="00A94D8B">
        <w:t>hile mitig</w:t>
      </w:r>
      <w:r w:rsidR="00AD1C0A" w:rsidRPr="00A94D8B">
        <w:t>a</w:t>
      </w:r>
      <w:r w:rsidR="00AD1C0A" w:rsidRPr="00A94D8B">
        <w:t>tion activities and securing sec</w:t>
      </w:r>
      <w:r w:rsidR="00091C5C">
        <w:t xml:space="preserve">ondary funding will </w:t>
      </w:r>
      <w:r w:rsidR="00AD1C0A" w:rsidRPr="00A94D8B">
        <w:t xml:space="preserve">still have a place </w:t>
      </w:r>
      <w:r w:rsidR="00656DD7">
        <w:t>in the GCCA+</w:t>
      </w:r>
      <w:r w:rsidR="00AD1C0A" w:rsidRPr="00A94D8B">
        <w:t>, some reflection and research should go into restating a priority area (access to carbon markets) that does not exist as it used to</w:t>
      </w:r>
      <w:r w:rsidR="00091C5C">
        <w:t xml:space="preserve">. A possibility would be to define </w:t>
      </w:r>
      <w:r w:rsidR="00B235E4" w:rsidRPr="00A94D8B">
        <w:t>mitigation</w:t>
      </w:r>
      <w:r w:rsidR="00AD1C0A" w:rsidRPr="00A94D8B">
        <w:t xml:space="preserve"> ac</w:t>
      </w:r>
      <w:r w:rsidR="00091C5C">
        <w:t xml:space="preserve">tion in close relation to poverty alleviation as is possible through </w:t>
      </w:r>
      <w:r w:rsidR="00AD1C0A" w:rsidRPr="00A94D8B">
        <w:t xml:space="preserve">REDD </w:t>
      </w:r>
      <w:r w:rsidR="00091C5C">
        <w:t xml:space="preserve">related activity. </w:t>
      </w:r>
    </w:p>
    <w:p w:rsidR="00D52A4A" w:rsidRPr="00D52A4A" w:rsidRDefault="002F4363" w:rsidP="001B12C6">
      <w:pPr>
        <w:rPr>
          <w:b/>
        </w:rPr>
      </w:pPr>
      <w:r>
        <w:rPr>
          <w:b/>
        </w:rPr>
        <w:t xml:space="preserve">Main </w:t>
      </w:r>
      <w:r w:rsidR="00D52A4A" w:rsidRPr="00D52A4A">
        <w:rPr>
          <w:b/>
        </w:rPr>
        <w:t xml:space="preserve">Recommendations </w:t>
      </w:r>
    </w:p>
    <w:p w:rsidR="00D52A4A" w:rsidRPr="002F4363" w:rsidRDefault="00D52A4A" w:rsidP="002F4363">
      <w:pPr>
        <w:pStyle w:val="ListParagraph"/>
        <w:numPr>
          <w:ilvl w:val="0"/>
          <w:numId w:val="48"/>
        </w:numPr>
        <w:spacing w:after="0"/>
      </w:pPr>
      <w:r w:rsidRPr="002F4363">
        <w:t>The creation of the GCCA+, a second phase of the Intra ACP GCCA programme, is strongly supported. This should nevertheless, be guided with the establishment of a long-term strategy for the Intra-ACP Programme that takes into consideration the Cotonou Agreement and anticipate</w:t>
      </w:r>
      <w:r w:rsidR="002F4363">
        <w:t>s</w:t>
      </w:r>
      <w:r w:rsidRPr="002F4363">
        <w:t xml:space="preserve"> EU support beyond the GCCA+. Such a strategy would allow regional programmes to address the regional climate change concerns while building t</w:t>
      </w:r>
      <w:r w:rsidRPr="002F4363">
        <w:t>o</w:t>
      </w:r>
      <w:r w:rsidRPr="002F4363">
        <w:t>wards a substantive global alliance between ACP countri</w:t>
      </w:r>
      <w:r w:rsidR="002F4363">
        <w:t xml:space="preserve">es through shared programming. </w:t>
      </w:r>
      <w:r w:rsidRPr="002F4363">
        <w:t>The strategy should also establish parameters for encouraging synergy between regional programmes and GCCA national programmes as a means for furthering national, r</w:t>
      </w:r>
      <w:r w:rsidRPr="002F4363">
        <w:t>e</w:t>
      </w:r>
      <w:r w:rsidRPr="002F4363">
        <w:t>gional and global objectives. At the same time</w:t>
      </w:r>
      <w:r w:rsidR="002F4363">
        <w:t>,</w:t>
      </w:r>
      <w:r w:rsidRPr="002F4363">
        <w:t xml:space="preserve"> it is imperative that each regional pr</w:t>
      </w:r>
      <w:r w:rsidRPr="002F4363">
        <w:t>o</w:t>
      </w:r>
      <w:r w:rsidRPr="002F4363">
        <w:t xml:space="preserve">gramme is guided by comprehensive regional climate change strategies. Currently some regional programmes cannot refer to such a document.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A differentiated approach to regional programming should be established that recognises that not all regional partners have the same capacity and that challenges faced by each region are significantly different. Mechanisms such as the CSF/TA to the ACP Secr</w:t>
      </w:r>
      <w:r w:rsidRPr="002F4363">
        <w:t>e</w:t>
      </w:r>
      <w:r w:rsidRPr="002F4363">
        <w:t>tariat should be employed to greater advantage to develop the capacities of regional i</w:t>
      </w:r>
      <w:r w:rsidRPr="002F4363">
        <w:t>m</w:t>
      </w:r>
      <w:r w:rsidRPr="002F4363">
        <w:t>plementing partners. To facilitate this in the Southern and East African Regions for e</w:t>
      </w:r>
      <w:r w:rsidRPr="002F4363">
        <w:t>x</w:t>
      </w:r>
      <w:r w:rsidRPr="002F4363">
        <w:t>ample, this would involve direct communication between the SADC and the EAC, on the one hand, and the CSF and the TA to the ACP Secretariat on the other. In relation to this, a concerted effort should be made to ensure that each regional programme from a r</w:t>
      </w:r>
      <w:r w:rsidRPr="002F4363">
        <w:t>e</w:t>
      </w:r>
      <w:r w:rsidRPr="002F4363">
        <w:t>gional perspective is as strategic as possible, and opportunities for synergy with organ</w:t>
      </w:r>
      <w:r w:rsidRPr="002F4363">
        <w:t>i</w:t>
      </w:r>
      <w:r w:rsidRPr="002F4363">
        <w:t xml:space="preserve">sations such as the UNDP are fully explored.   </w:t>
      </w:r>
    </w:p>
    <w:p w:rsidR="00D52A4A" w:rsidRPr="002F4363" w:rsidRDefault="00D52A4A" w:rsidP="002F4363">
      <w:pPr>
        <w:pStyle w:val="ListParagraph"/>
        <w:spacing w:after="0"/>
        <w:ind w:left="360"/>
      </w:pPr>
    </w:p>
    <w:p w:rsidR="00D52A4A" w:rsidRPr="002F4363" w:rsidRDefault="00D52A4A" w:rsidP="002F4363">
      <w:pPr>
        <w:pStyle w:val="ListParagraph"/>
        <w:numPr>
          <w:ilvl w:val="0"/>
          <w:numId w:val="48"/>
        </w:numPr>
        <w:spacing w:after="0"/>
      </w:pPr>
      <w:r w:rsidRPr="002F4363">
        <w:t>Develop a management and administrative strategy that contributes to increased consi</w:t>
      </w:r>
      <w:r w:rsidRPr="002F4363">
        <w:t>s</w:t>
      </w:r>
      <w:r w:rsidRPr="002F4363">
        <w:t>tency of results while providing support towards, for example, a stronger embracing of the Cotonou Agreement (in particular article 32A</w:t>
      </w:r>
      <w:r w:rsidR="002F4363">
        <w:t>)</w:t>
      </w:r>
      <w:r w:rsidRPr="002F4363">
        <w:t xml:space="preserve"> and synergy between regional pr</w:t>
      </w:r>
      <w:r w:rsidRPr="002F4363">
        <w:t>o</w:t>
      </w:r>
      <w:r w:rsidRPr="002F4363">
        <w:t xml:space="preserve">grammes of the Intra ACP and GCCA+ National Programmes. First priorities include developing and implementing a plan to ensure a more effective use of the CSF and an improved overall monitoring and evaluation system.    </w:t>
      </w:r>
    </w:p>
    <w:p w:rsidR="00D52A4A" w:rsidRPr="002F4363" w:rsidRDefault="00D52A4A" w:rsidP="002F4363">
      <w:pPr>
        <w:spacing w:after="0"/>
        <w:ind w:firstLine="60"/>
      </w:pPr>
    </w:p>
    <w:p w:rsidR="00D52A4A" w:rsidRPr="002F4363" w:rsidRDefault="00D52A4A" w:rsidP="002F4363">
      <w:pPr>
        <w:pStyle w:val="ListParagraph"/>
        <w:numPr>
          <w:ilvl w:val="0"/>
          <w:numId w:val="48"/>
        </w:numPr>
        <w:spacing w:after="0"/>
      </w:pPr>
      <w:r w:rsidRPr="002F4363">
        <w:t>Greater focus should be placed on promoting initiatives that have clear regional implic</w:t>
      </w:r>
      <w:r w:rsidRPr="002F4363">
        <w:t>a</w:t>
      </w:r>
      <w:r w:rsidRPr="002F4363">
        <w:t xml:space="preserve">tions, in terms of addressing the potential needs of multiple countries. This could come in the form of services, information and developing shared strategies to address common problems. Pilot or demonstration activities should also be a part of a more pronounced effort to establish a strong regional dynamic.  Such pilot projects should have added value in terms of learning, problem solving, and stimulating interest that could lead to replication and/or up-scaling. Current activities of National GCCA programmes should be considered as a potential source of inspiration for regional pilot activity.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Stronger programming links must be established with national GCCA programmes. R</w:t>
      </w:r>
      <w:r w:rsidRPr="002F4363">
        <w:t>e</w:t>
      </w:r>
      <w:r w:rsidRPr="002F4363">
        <w:t xml:space="preserve">gional programming should seek to address gaps in national programming that can also address regional considerations. Of special interest is to look at successful programming components of national GCCA programmes in terms of their suitability for application at the regional level.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 xml:space="preserve">Institutional analysis in relation to climate change capacity should be conducted of the key partners involved in the ClimDev and </w:t>
      </w:r>
      <w:r w:rsidR="00DE2D4F">
        <w:t>the COMESA-led Programmes</w:t>
      </w:r>
      <w:r w:rsidRPr="002F4363">
        <w:t xml:space="preserve">. </w:t>
      </w:r>
      <w:r w:rsidR="00DE2D4F" w:rsidRPr="002F4363">
        <w:t>Organis</w:t>
      </w:r>
      <w:r w:rsidR="00DE2D4F" w:rsidRPr="002F4363">
        <w:t>a</w:t>
      </w:r>
      <w:r w:rsidR="00DE2D4F" w:rsidRPr="002F4363">
        <w:t>tional</w:t>
      </w:r>
      <w:r w:rsidRPr="002F4363">
        <w:t xml:space="preserve"> needs in terms of administrative and technical capacity </w:t>
      </w:r>
      <w:r w:rsidR="00DE2D4F" w:rsidRPr="002F4363">
        <w:t>should be identif</w:t>
      </w:r>
      <w:r w:rsidR="00DE2D4F">
        <w:t>ied</w:t>
      </w:r>
      <w:r w:rsidR="00DE2D4F" w:rsidRPr="002F4363">
        <w:t xml:space="preserve"> </w:t>
      </w:r>
      <w:r w:rsidRPr="002F4363">
        <w:t xml:space="preserve">and strategies </w:t>
      </w:r>
      <w:r w:rsidR="00DE2D4F" w:rsidRPr="002F4363">
        <w:t>map</w:t>
      </w:r>
      <w:r w:rsidR="00DE2D4F">
        <w:t>ped</w:t>
      </w:r>
      <w:r w:rsidR="00DE2D4F" w:rsidRPr="002F4363">
        <w:t xml:space="preserve"> out </w:t>
      </w:r>
      <w:r w:rsidRPr="002F4363">
        <w:t>to ensure these programmes are guided towards institutional c</w:t>
      </w:r>
      <w:r w:rsidRPr="002F4363">
        <w:t>a</w:t>
      </w:r>
      <w:r w:rsidRPr="002F4363">
        <w:t xml:space="preserve">pacity comparable to the other </w:t>
      </w:r>
      <w:r w:rsidR="00DE2D4F" w:rsidRPr="002F4363">
        <w:t xml:space="preserve">Intra ACP </w:t>
      </w:r>
      <w:r w:rsidRPr="002F4363">
        <w:t>programmes. This should be considered as a condition for accessing GCCA and Intra ACP+ Programme resources. It may also be prudent to examine</w:t>
      </w:r>
      <w:r w:rsidR="00E72A3C">
        <w:t>,</w:t>
      </w:r>
      <w:r w:rsidRPr="002F4363">
        <w:t xml:space="preserve"> with the other organisations guiding regional programme</w:t>
      </w:r>
      <w:r w:rsidR="00E72A3C">
        <w:t>s,</w:t>
      </w:r>
      <w:r w:rsidRPr="002F4363">
        <w:t xml:space="preserve"> aspects of their operations that could benefit from reinforcement through the Intra-ACP Pr</w:t>
      </w:r>
      <w:r w:rsidRPr="002F4363">
        <w:t>o</w:t>
      </w:r>
      <w:r w:rsidRPr="002F4363">
        <w:t xml:space="preserve">gramme.       </w:t>
      </w:r>
    </w:p>
    <w:p w:rsidR="002F4363" w:rsidRPr="002F4363" w:rsidRDefault="002F4363" w:rsidP="002F4363">
      <w:pPr>
        <w:spacing w:after="0"/>
      </w:pPr>
    </w:p>
    <w:p w:rsidR="00D52A4A" w:rsidRPr="002F4363" w:rsidRDefault="00D52A4A" w:rsidP="002F4363">
      <w:pPr>
        <w:pStyle w:val="ListParagraph"/>
        <w:numPr>
          <w:ilvl w:val="0"/>
          <w:numId w:val="48"/>
        </w:numPr>
        <w:spacing w:after="0"/>
      </w:pPr>
      <w:r w:rsidRPr="002F4363">
        <w:t xml:space="preserve">The EU should establish a mechanism to better monitor regional programmes. This is especially important for more problematic programmes. Options for this should include looking at a more pronounced role of the EU Delegations in ACP countries and possibly increased use of the resources of the CSF.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A clear administrative structure for the TA to the ACP Secretariat and CSF should be established to ensure that these services are used more effectively. The key is to have a structure that ensures there is an ongoing demand.  This could be achieved for example by giving the TA to the ACP Secretariat and the CSF more direct responsibilities related to matters such as ensuring that the Intra-ACP GCCA+ respects the objectives of the Cotonou Agreement. There is a clear role for the CSF to build bridges between the r</w:t>
      </w:r>
      <w:r w:rsidRPr="002F4363">
        <w:t>e</w:t>
      </w:r>
      <w:r w:rsidRPr="002F4363">
        <w:t>gional programmes towards achieving global objectives. In respect to individual regional programmes there is a need for a more planned approach on how the CSF can support regional objectives in the form of the provision of technical support. There should be more active dialogue and information sharing between the TA to the ACP Secretariat and CSF, on the one hand, and individual regional programmes on the other. This could be achieved by such means as having representatives of CSF regularly attend regional pr</w:t>
      </w:r>
      <w:r w:rsidRPr="002F4363">
        <w:t>o</w:t>
      </w:r>
      <w:r w:rsidRPr="002F4363">
        <w:t xml:space="preserve">gramme steering committee meetings where all key partners are in attendance.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The five priority areas of the Intra ACP Programme should be reviewed to ensure they will remain relevant throughout the next phase of the Intra ACP GCCA and beyond. Of special interest are the mitiga</w:t>
      </w:r>
      <w:r w:rsidR="00E41003">
        <w:t>tion and CDM related priorities</w:t>
      </w:r>
      <w:r w:rsidRPr="002F4363">
        <w:t xml:space="preserve">; improving the forest stock in terms of volume and diversity and encouraging carbon neutral sources of energy, for example, remain worthwhile objectives. Given current trends in carbon financing, the question is what is the best way forward for the Intra ACP to make gains in this area and how best to frame it. At the same time, this should be seen as an opportunity to identify global initiatives that could be shared and supported by all regional programmes.   </w:t>
      </w:r>
    </w:p>
    <w:p w:rsidR="00D52A4A" w:rsidRPr="002F4363" w:rsidRDefault="00D52A4A" w:rsidP="002F4363">
      <w:pPr>
        <w:spacing w:after="0"/>
      </w:pPr>
    </w:p>
    <w:p w:rsidR="002F4363" w:rsidRDefault="00D52A4A" w:rsidP="002F4363">
      <w:pPr>
        <w:pStyle w:val="ListParagraph"/>
        <w:numPr>
          <w:ilvl w:val="0"/>
          <w:numId w:val="48"/>
        </w:numPr>
        <w:spacing w:after="0"/>
      </w:pPr>
      <w:r w:rsidRPr="002F4363">
        <w:t>Remaining funds of the Intra ACP GCCA envelop should be used for such concrete pu</w:t>
      </w:r>
      <w:r w:rsidRPr="002F4363">
        <w:t>r</w:t>
      </w:r>
      <w:r w:rsidRPr="002F4363">
        <w:t>poses as covering the expenses for comprehensive evaluations of the ClimDev and COMESA led regional programmes, in as far these cannot be covered from other r</w:t>
      </w:r>
      <w:r w:rsidRPr="002F4363">
        <w:t>e</w:t>
      </w:r>
      <w:r w:rsidRPr="002F4363">
        <w:t>sources. The cost of institutional analysis of the partner organisation of these progra</w:t>
      </w:r>
      <w:r w:rsidRPr="002F4363">
        <w:t>m</w:t>
      </w:r>
      <w:r w:rsidRPr="002F4363">
        <w:t>mes, such as COMESA, EAC and SADC, should also be covered and where applicable, should lead to capacity building strategies. The funds should be used to develop a stra</w:t>
      </w:r>
      <w:r w:rsidRPr="002F4363">
        <w:t>t</w:t>
      </w:r>
      <w:r w:rsidRPr="002F4363">
        <w:t xml:space="preserve">egy for stronger coordination of inter-regional programming and ensuring adherence to objectives of the Cotonou Agreement. The remaining financial envelope should also be used for measures aimed at increasing the use of and improvement of the CSF.      </w:t>
      </w:r>
    </w:p>
    <w:p w:rsidR="002F4363" w:rsidRDefault="002F4363" w:rsidP="002F4363">
      <w:pPr>
        <w:pStyle w:val="ListParagraph"/>
      </w:pPr>
    </w:p>
    <w:p w:rsidR="002E3C3A" w:rsidRPr="002F4363" w:rsidRDefault="00D52A4A" w:rsidP="002F4363">
      <w:pPr>
        <w:pStyle w:val="ListParagraph"/>
        <w:numPr>
          <w:ilvl w:val="0"/>
          <w:numId w:val="48"/>
        </w:numPr>
        <w:spacing w:after="0"/>
      </w:pPr>
      <w:r w:rsidRPr="002F4363">
        <w:t xml:space="preserve">For the purpose of the programme’s visibility, the ACP Secretariat and the EU should establish guidelines to ensure minimum expectations are met in areas such as </w:t>
      </w:r>
      <w:r w:rsidR="00F7403D">
        <w:t>i</w:t>
      </w:r>
      <w:r w:rsidRPr="002F4363">
        <w:t>nternet presence. Currently</w:t>
      </w:r>
      <w:r w:rsidR="00F7403D">
        <w:t>,</w:t>
      </w:r>
      <w:r w:rsidRPr="002F4363">
        <w:t xml:space="preserve"> the programmes employ very different communication strategies and some are more successful than others</w:t>
      </w:r>
      <w:r w:rsidR="00F7403D">
        <w:t>,</w:t>
      </w:r>
      <w:r w:rsidRPr="002F4363">
        <w:t xml:space="preserve"> but overall there should be minimum practices and standards for communication activities</w:t>
      </w:r>
      <w:r w:rsidR="00F7403D">
        <w:t xml:space="preserve"> that are </w:t>
      </w:r>
      <w:r w:rsidRPr="002F4363">
        <w:t>shared by the regional programmes.</w:t>
      </w:r>
      <w:r w:rsidR="002F4363">
        <w:t xml:space="preserve"> </w:t>
      </w:r>
      <w:bookmarkStart w:id="8" w:name="_Toc392064205"/>
      <w:r w:rsidR="002E3C3A" w:rsidRPr="00A94D8B">
        <w:br w:type="page"/>
      </w:r>
    </w:p>
    <w:p w:rsidR="00C74D2B" w:rsidRPr="00A94D8B" w:rsidRDefault="00E12449" w:rsidP="00AD1C0A">
      <w:pPr>
        <w:pStyle w:val="Heading1"/>
        <w:keepNext w:val="0"/>
        <w:numPr>
          <w:ilvl w:val="0"/>
          <w:numId w:val="2"/>
        </w:numPr>
        <w:spacing w:line="276" w:lineRule="auto"/>
        <w:contextualSpacing/>
      </w:pPr>
      <w:bookmarkStart w:id="9" w:name="_Toc401041551"/>
      <w:r w:rsidRPr="00A94D8B">
        <w:t>Introduction</w:t>
      </w:r>
      <w:bookmarkEnd w:id="8"/>
      <w:bookmarkEnd w:id="9"/>
    </w:p>
    <w:p w:rsidR="00231F1A" w:rsidRPr="00A94D8B" w:rsidRDefault="00231F1A" w:rsidP="00AD1C0A">
      <w:pPr>
        <w:pStyle w:val="Heading2"/>
      </w:pPr>
      <w:r w:rsidRPr="00A94D8B">
        <w:rPr>
          <w:color w:val="1A1A18"/>
        </w:rPr>
        <w:t xml:space="preserve"> </w:t>
      </w:r>
      <w:bookmarkStart w:id="10" w:name="_Toc391490076"/>
      <w:bookmarkStart w:id="11" w:name="_Toc392064206"/>
      <w:bookmarkStart w:id="12" w:name="_Toc401041552"/>
      <w:r w:rsidRPr="00A94D8B">
        <w:t>Context of the evaluation</w:t>
      </w:r>
      <w:bookmarkEnd w:id="10"/>
      <w:bookmarkEnd w:id="11"/>
      <w:bookmarkEnd w:id="12"/>
    </w:p>
    <w:p w:rsidR="00231F1A" w:rsidRPr="00A94D8B" w:rsidRDefault="00231F1A" w:rsidP="00B235E4">
      <w:pPr>
        <w:pStyle w:val="Heading3"/>
        <w:numPr>
          <w:ilvl w:val="2"/>
          <w:numId w:val="11"/>
        </w:numPr>
      </w:pPr>
      <w:bookmarkStart w:id="13" w:name="_Toc391490077"/>
      <w:bookmarkStart w:id="14" w:name="_Toc392064207"/>
      <w:bookmarkStart w:id="15" w:name="_Toc401041553"/>
      <w:r w:rsidRPr="00A94D8B">
        <w:t>The evaluation assignment</w:t>
      </w:r>
      <w:bookmarkEnd w:id="13"/>
      <w:bookmarkEnd w:id="14"/>
      <w:bookmarkEnd w:id="15"/>
    </w:p>
    <w:p w:rsidR="00231F1A" w:rsidRPr="00A94D8B" w:rsidRDefault="00231F1A" w:rsidP="00AD1C0A">
      <w:pPr>
        <w:autoSpaceDE w:val="0"/>
        <w:autoSpaceDN w:val="0"/>
        <w:rPr>
          <w:color w:val="1A1A18"/>
        </w:rPr>
      </w:pPr>
      <w:r w:rsidRPr="00A94D8B">
        <w:rPr>
          <w:color w:val="1A1A18"/>
        </w:rPr>
        <w:t xml:space="preserve">This report is one of the two final outputs of the team responsible for Evaluation of the </w:t>
      </w:r>
      <w:r w:rsidR="006A551F" w:rsidRPr="00A94D8B">
        <w:rPr>
          <w:color w:val="1A1A18"/>
        </w:rPr>
        <w:t>GCCA</w:t>
      </w:r>
      <w:r w:rsidRPr="00A94D8B">
        <w:rPr>
          <w:color w:val="1A1A18"/>
        </w:rPr>
        <w:t xml:space="preserve"> and Mid-Term Assessment of the Intra-ACP GCCA, an assignment awarded under the Framework Contract EuropeAid/127054/C/SER/Multi - Lot 6: Environment. The Terms of Reference</w:t>
      </w:r>
      <w:r w:rsidR="008F201D" w:rsidRPr="00A94D8B">
        <w:rPr>
          <w:color w:val="1A1A18"/>
        </w:rPr>
        <w:t xml:space="preserve"> (ToR)</w:t>
      </w:r>
      <w:r w:rsidRPr="00A94D8B">
        <w:rPr>
          <w:color w:val="1A1A18"/>
        </w:rPr>
        <w:t xml:space="preserve"> for the assignment are attached as </w:t>
      </w:r>
      <w:r w:rsidRPr="00A94D8B">
        <w:rPr>
          <w:i/>
          <w:color w:val="1A1A18"/>
        </w:rPr>
        <w:t>Annex 1</w:t>
      </w:r>
      <w:r w:rsidRPr="00A94D8B">
        <w:rPr>
          <w:color w:val="1A1A18"/>
        </w:rPr>
        <w:t xml:space="preserve">. For reason of the believed interaction and complementarity of the two programmes, it was decided to commission one single evaluation covering both programmes. </w:t>
      </w:r>
      <w:r w:rsidR="00C632C6" w:rsidRPr="00A94D8B">
        <w:rPr>
          <w:color w:val="1A1A18"/>
        </w:rPr>
        <w:t xml:space="preserve">In addition, the GCCA Intra ACP is a sub-programme of the GCCA Initiative.  </w:t>
      </w:r>
      <w:r w:rsidRPr="00A94D8B">
        <w:rPr>
          <w:color w:val="1A1A18"/>
        </w:rPr>
        <w:t>However, as the programmes have different funding sources; two separate final reports were to be produced,</w:t>
      </w:r>
      <w:r w:rsidRPr="00A94D8B">
        <w:t xml:space="preserve"> </w:t>
      </w:r>
      <w:r w:rsidRPr="00A94D8B">
        <w:rPr>
          <w:color w:val="1A1A18"/>
        </w:rPr>
        <w:t>one for the global GCCA and one for the Intra-ACP GCCA.</w:t>
      </w:r>
    </w:p>
    <w:p w:rsidR="00231F1A" w:rsidRPr="00A94D8B" w:rsidRDefault="00231F1A" w:rsidP="00AD1C0A">
      <w:pPr>
        <w:autoSpaceDE w:val="0"/>
        <w:autoSpaceDN w:val="0"/>
        <w:rPr>
          <w:color w:val="1A1A18"/>
        </w:rPr>
      </w:pPr>
      <w:r w:rsidRPr="00A94D8B">
        <w:rPr>
          <w:color w:val="1A1A18"/>
        </w:rPr>
        <w:t>The team was mobilised under the EURONET Consortium and comprised Mr Egger Topper (AGEG Consultants), evaluation and forestry specialist</w:t>
      </w:r>
      <w:r w:rsidR="0034201F" w:rsidRPr="00A94D8B">
        <w:rPr>
          <w:color w:val="1A1A18"/>
        </w:rPr>
        <w:t>, Mr Dean Pallen</w:t>
      </w:r>
      <w:r w:rsidRPr="00A94D8B">
        <w:rPr>
          <w:color w:val="1A1A18"/>
        </w:rPr>
        <w:t>, climate change and evaluation expert (Baastel)</w:t>
      </w:r>
      <w:r w:rsidR="00C83B91" w:rsidRPr="00A94D8B">
        <w:rPr>
          <w:color w:val="1A1A18"/>
        </w:rPr>
        <w:t xml:space="preserve">. Mr Pallen replaced </w:t>
      </w:r>
      <w:r w:rsidR="0034201F" w:rsidRPr="00A94D8B">
        <w:rPr>
          <w:color w:val="1A1A18"/>
        </w:rPr>
        <w:t>Mr Alexandre Borde</w:t>
      </w:r>
      <w:r w:rsidRPr="00A94D8B">
        <w:rPr>
          <w:color w:val="1A1A18"/>
        </w:rPr>
        <w:t>, economist and climate change expert</w:t>
      </w:r>
      <w:r w:rsidR="00C83B91" w:rsidRPr="00A94D8B">
        <w:rPr>
          <w:color w:val="1A1A18"/>
        </w:rPr>
        <w:t xml:space="preserve">, whose </w:t>
      </w:r>
      <w:r w:rsidR="00A13E00" w:rsidRPr="00A94D8B">
        <w:rPr>
          <w:color w:val="1A1A18"/>
        </w:rPr>
        <w:t>participation in the evaluation was limited</w:t>
      </w:r>
      <w:r w:rsidR="00C83B91" w:rsidRPr="00A94D8B">
        <w:rPr>
          <w:color w:val="1A1A18"/>
        </w:rPr>
        <w:t xml:space="preserve"> to the initial phase</w:t>
      </w:r>
      <w:r w:rsidR="00A13E00" w:rsidRPr="00A94D8B">
        <w:rPr>
          <w:color w:val="1A1A18"/>
        </w:rPr>
        <w:t xml:space="preserve">. </w:t>
      </w:r>
      <w:r w:rsidR="0034201F" w:rsidRPr="00A94D8B">
        <w:rPr>
          <w:color w:val="1A1A18"/>
        </w:rPr>
        <w:t xml:space="preserve">Mr. Topper and Mr. Pallen </w:t>
      </w:r>
      <w:r w:rsidRPr="00A94D8B">
        <w:rPr>
          <w:color w:val="1A1A18"/>
        </w:rPr>
        <w:t>were supported by the Project Director, Mr Dolf Noppen (NCG) and Per Kirkeman (NCG), evaluation management expert. Short biographies of the team me</w:t>
      </w:r>
      <w:r w:rsidRPr="00A94D8B">
        <w:rPr>
          <w:color w:val="1A1A18"/>
        </w:rPr>
        <w:t>m</w:t>
      </w:r>
      <w:r w:rsidRPr="00A94D8B">
        <w:rPr>
          <w:color w:val="1A1A18"/>
        </w:rPr>
        <w:t xml:space="preserve">bers are provided in </w:t>
      </w:r>
      <w:r w:rsidRPr="00A94D8B">
        <w:rPr>
          <w:i/>
          <w:color w:val="1A1A18"/>
        </w:rPr>
        <w:t>Annex 2.</w:t>
      </w:r>
      <w:r w:rsidRPr="00A94D8B">
        <w:rPr>
          <w:color w:val="1A1A18"/>
        </w:rPr>
        <w:t xml:space="preserve"> </w:t>
      </w:r>
    </w:p>
    <w:p w:rsidR="00231F1A" w:rsidRPr="00A94D8B" w:rsidRDefault="00231F1A" w:rsidP="00AD1C0A">
      <w:pPr>
        <w:autoSpaceDE w:val="0"/>
        <w:autoSpaceDN w:val="0"/>
        <w:rPr>
          <w:color w:val="1A1A18"/>
        </w:rPr>
      </w:pPr>
      <w:r w:rsidRPr="00A94D8B">
        <w:rPr>
          <w:color w:val="1A1A18"/>
        </w:rPr>
        <w:t>The assignment commenced in December 2013 with a desk phase. Field visits were unde</w:t>
      </w:r>
      <w:r w:rsidRPr="00A94D8B">
        <w:rPr>
          <w:color w:val="1A1A18"/>
        </w:rPr>
        <w:t>r</w:t>
      </w:r>
      <w:r w:rsidRPr="00A94D8B">
        <w:rPr>
          <w:color w:val="1A1A18"/>
        </w:rPr>
        <w:t>taken between February and May 2014, while the months of June and July 2014 were ded</w:t>
      </w:r>
      <w:r w:rsidRPr="00A94D8B">
        <w:rPr>
          <w:color w:val="1A1A18"/>
        </w:rPr>
        <w:t>i</w:t>
      </w:r>
      <w:r w:rsidRPr="00A94D8B">
        <w:rPr>
          <w:color w:val="1A1A18"/>
        </w:rPr>
        <w:t>cated to synthesis, reporting and presentation tasks. The evaluators assessed a sample of six regional and ten national GCCA programmes. On the basis of several criteria (refer Desk Report), the following countries were selected for 3-5 days’ field missions: In Asia: Nepal, Bhutan; In the Pacific: Fiji; In West Africa: Burkina Faso, Niger, Benin; In the Caribbean: Belize, Jamaica; In East Africa: Ethiopia, Rwanda; in Southern Africa: Zambia, Moza</w:t>
      </w:r>
      <w:r w:rsidRPr="00A94D8B">
        <w:rPr>
          <w:color w:val="1A1A18"/>
        </w:rPr>
        <w:t>m</w:t>
      </w:r>
      <w:r w:rsidRPr="00A94D8B">
        <w:rPr>
          <w:color w:val="1A1A18"/>
        </w:rPr>
        <w:t xml:space="preserve">bique; and in the Indian Ocean region: Mauritius. In these countries, both regional and national-level interventions supported by either programme were assessed. </w:t>
      </w:r>
      <w:r w:rsidR="006B27C6" w:rsidRPr="00A94D8B">
        <w:rPr>
          <w:color w:val="1A1A18"/>
        </w:rPr>
        <w:t>In addition, inte</w:t>
      </w:r>
      <w:r w:rsidR="006B27C6" w:rsidRPr="00A94D8B">
        <w:rPr>
          <w:color w:val="1A1A18"/>
        </w:rPr>
        <w:t>r</w:t>
      </w:r>
      <w:r w:rsidR="006B27C6" w:rsidRPr="00A94D8B">
        <w:rPr>
          <w:color w:val="1A1A18"/>
        </w:rPr>
        <w:t xml:space="preserve">views with the Technical Assistance to the ACP-Secretariat and with management of the Climate Support Facility were conducted. </w:t>
      </w:r>
      <w:r w:rsidRPr="00A94D8B">
        <w:rPr>
          <w:color w:val="1A1A18"/>
        </w:rPr>
        <w:t xml:space="preserve">A work calendar is provided in </w:t>
      </w:r>
      <w:r w:rsidRPr="00A94D8B">
        <w:rPr>
          <w:i/>
          <w:color w:val="1A1A18"/>
        </w:rPr>
        <w:t>Annex 6</w:t>
      </w:r>
      <w:r w:rsidRPr="00A94D8B">
        <w:rPr>
          <w:color w:val="1A1A18"/>
        </w:rPr>
        <w:t>.</w:t>
      </w:r>
    </w:p>
    <w:p w:rsidR="00231F1A" w:rsidRPr="00A94D8B" w:rsidRDefault="00231F1A" w:rsidP="00AD1C0A">
      <w:pPr>
        <w:autoSpaceDE w:val="0"/>
        <w:autoSpaceDN w:val="0"/>
        <w:rPr>
          <w:color w:val="1A1A18"/>
        </w:rPr>
      </w:pPr>
      <w:r w:rsidRPr="00A94D8B">
        <w:rPr>
          <w:color w:val="1A1A18"/>
        </w:rPr>
        <w:t>This report follows a desk report which was submitted at the end of the desk phase, and e</w:t>
      </w:r>
      <w:r w:rsidRPr="00A94D8B">
        <w:rPr>
          <w:color w:val="1A1A18"/>
        </w:rPr>
        <w:t>x</w:t>
      </w:r>
      <w:r w:rsidRPr="00A94D8B">
        <w:rPr>
          <w:color w:val="1A1A18"/>
        </w:rPr>
        <w:t xml:space="preserve">plained the proposed approach and methodology. Essentially, the report aims to answer the ten main evaluation questions formulated during the Desk phase, using an evaluation matrix presented in </w:t>
      </w:r>
      <w:r w:rsidRPr="00A94D8B">
        <w:rPr>
          <w:i/>
          <w:color w:val="1A1A18"/>
        </w:rPr>
        <w:t>Annex 4</w:t>
      </w:r>
      <w:r w:rsidR="00CF2831" w:rsidRPr="00A94D8B">
        <w:rPr>
          <w:i/>
          <w:color w:val="1A1A18"/>
        </w:rPr>
        <w:t>A</w:t>
      </w:r>
      <w:r w:rsidRPr="00A94D8B">
        <w:rPr>
          <w:color w:val="1A1A18"/>
        </w:rPr>
        <w:t>.  The report provides an analysis of findings, conclusions and reco</w:t>
      </w:r>
      <w:r w:rsidRPr="00A94D8B">
        <w:rPr>
          <w:color w:val="1A1A18"/>
        </w:rPr>
        <w:t>m</w:t>
      </w:r>
      <w:r w:rsidRPr="00A94D8B">
        <w:rPr>
          <w:color w:val="1A1A18"/>
        </w:rPr>
        <w:t xml:space="preserve">mendations for the Global GCCA programme, focusing on issues at the ‘macro-level’. It is complemented by a report on the evaluation of the Intra-ACP GCCA programme. </w:t>
      </w:r>
    </w:p>
    <w:p w:rsidR="00231F1A" w:rsidRPr="00A94D8B" w:rsidRDefault="00231F1A" w:rsidP="00AD1C0A">
      <w:pPr>
        <w:autoSpaceDE w:val="0"/>
        <w:autoSpaceDN w:val="0"/>
        <w:rPr>
          <w:color w:val="1A1A18"/>
        </w:rPr>
      </w:pPr>
      <w:r w:rsidRPr="00A94D8B">
        <w:rPr>
          <w:color w:val="1A1A18"/>
        </w:rPr>
        <w:t xml:space="preserve">The report is essentially based on the series of Mission Aide-Mémoires (presented in </w:t>
      </w:r>
      <w:r w:rsidRPr="00A94D8B">
        <w:rPr>
          <w:i/>
          <w:color w:val="1A1A18"/>
        </w:rPr>
        <w:t>Annex 3</w:t>
      </w:r>
      <w:r w:rsidRPr="00A94D8B">
        <w:rPr>
          <w:color w:val="1A1A18"/>
        </w:rPr>
        <w:t>) which highlight strengths and challenges for each of the individual projects and progra</w:t>
      </w:r>
      <w:r w:rsidRPr="00A94D8B">
        <w:rPr>
          <w:color w:val="1A1A18"/>
        </w:rPr>
        <w:t>m</w:t>
      </w:r>
      <w:r w:rsidRPr="00A94D8B">
        <w:rPr>
          <w:color w:val="1A1A18"/>
        </w:rPr>
        <w:t xml:space="preserve">mes evaluated. The mission aide-mémoires also present issues at the ‘micro-level’, which are primarily of interest for the concerned country or regional project, but these have only been reported here in case they were of interest to the evaluation of the overall programme. </w:t>
      </w:r>
    </w:p>
    <w:p w:rsidR="00231F1A" w:rsidRPr="00A94D8B" w:rsidRDefault="00231F1A" w:rsidP="00AD1C0A">
      <w:pPr>
        <w:autoSpaceDE w:val="0"/>
        <w:autoSpaceDN w:val="0"/>
        <w:rPr>
          <w:color w:val="1A1A18"/>
        </w:rPr>
      </w:pPr>
      <w:r w:rsidRPr="00A94D8B">
        <w:rPr>
          <w:color w:val="1A1A18"/>
        </w:rPr>
        <w:t>The report is structured as follows: in this chapter, further background information is pr</w:t>
      </w:r>
      <w:r w:rsidRPr="00A94D8B">
        <w:rPr>
          <w:color w:val="1A1A18"/>
        </w:rPr>
        <w:t>o</w:t>
      </w:r>
      <w:r w:rsidRPr="00A94D8B">
        <w:rPr>
          <w:color w:val="1A1A18"/>
        </w:rPr>
        <w:t>vided on the GCCA initiative and the linkage between the various components. It is e</w:t>
      </w:r>
      <w:r w:rsidRPr="00A94D8B">
        <w:rPr>
          <w:color w:val="1A1A18"/>
        </w:rPr>
        <w:t>x</w:t>
      </w:r>
      <w:r w:rsidRPr="00A94D8B">
        <w:rPr>
          <w:color w:val="1A1A18"/>
        </w:rPr>
        <w:t>plained how different instruments contribute to the operationalisation of the initiative. An understanding of this setup is essential for the way in which the evaluation is designed and conducted.</w:t>
      </w:r>
    </w:p>
    <w:p w:rsidR="00231F1A" w:rsidRPr="00A94D8B" w:rsidRDefault="00231F1A" w:rsidP="00AD1C0A">
      <w:pPr>
        <w:autoSpaceDE w:val="0"/>
        <w:autoSpaceDN w:val="0"/>
        <w:rPr>
          <w:color w:val="1A1A18"/>
        </w:rPr>
      </w:pPr>
      <w:r w:rsidRPr="00A94D8B">
        <w:rPr>
          <w:color w:val="1A1A18"/>
        </w:rPr>
        <w:t xml:space="preserve">In chapter 2.2, the methodology used for data collection and analysis during the evaluation process is presented. It essentially consists of three elements namely (1) the formulation of ten evaluation questions; (2) an evaluation matrix containing a set of evaluation questions and sub-questions covering the </w:t>
      </w:r>
      <w:r w:rsidR="008965D0" w:rsidRPr="00A94D8B">
        <w:rPr>
          <w:color w:val="1A1A18"/>
        </w:rPr>
        <w:t>Development Assistance Committee (</w:t>
      </w:r>
      <w:r w:rsidRPr="00A94D8B">
        <w:rPr>
          <w:color w:val="1A1A18"/>
        </w:rPr>
        <w:t>DAC</w:t>
      </w:r>
      <w:r w:rsidR="00581BC2" w:rsidRPr="00A94D8B">
        <w:rPr>
          <w:color w:val="1A1A18"/>
        </w:rPr>
        <w:t>)</w:t>
      </w:r>
      <w:r w:rsidRPr="00A94D8B">
        <w:rPr>
          <w:color w:val="1A1A18"/>
        </w:rPr>
        <w:t xml:space="preserve"> evaluation criteria, and (3) a scoring table reflecting performance of each of the projects and programmes eval</w:t>
      </w:r>
      <w:r w:rsidRPr="00A94D8B">
        <w:rPr>
          <w:color w:val="1A1A18"/>
        </w:rPr>
        <w:t>u</w:t>
      </w:r>
      <w:r w:rsidRPr="00A94D8B">
        <w:rPr>
          <w:color w:val="1A1A18"/>
        </w:rPr>
        <w:t xml:space="preserve">ated on the various evaluation criteria and evaluation questions. Details on methodology </w:t>
      </w:r>
      <w:r w:rsidR="00CF2831" w:rsidRPr="00A94D8B">
        <w:rPr>
          <w:color w:val="1A1A18"/>
        </w:rPr>
        <w:t xml:space="preserve">as well as the scoring table </w:t>
      </w:r>
      <w:r w:rsidRPr="00A94D8B">
        <w:rPr>
          <w:color w:val="1A1A18"/>
        </w:rPr>
        <w:t xml:space="preserve">are provided in </w:t>
      </w:r>
      <w:r w:rsidRPr="00A94D8B">
        <w:rPr>
          <w:i/>
          <w:color w:val="1A1A18"/>
        </w:rPr>
        <w:t xml:space="preserve">Annex </w:t>
      </w:r>
      <w:r w:rsidR="00CF2831" w:rsidRPr="00A94D8B">
        <w:rPr>
          <w:i/>
          <w:color w:val="1A1A18"/>
        </w:rPr>
        <w:t>4</w:t>
      </w:r>
      <w:r w:rsidR="00CF2831" w:rsidRPr="00A94D8B">
        <w:rPr>
          <w:color w:val="1A1A18"/>
        </w:rPr>
        <w:t xml:space="preserve">. A reflection on methodology and </w:t>
      </w:r>
      <w:r w:rsidRPr="00A94D8B">
        <w:rPr>
          <w:color w:val="1A1A18"/>
        </w:rPr>
        <w:t>some of the difficulties encountered in implementation of the assign</w:t>
      </w:r>
      <w:r w:rsidR="00CF2831" w:rsidRPr="00A94D8B">
        <w:rPr>
          <w:color w:val="1A1A18"/>
        </w:rPr>
        <w:t>ment are discussed in chapter 2.2.4.</w:t>
      </w:r>
    </w:p>
    <w:p w:rsidR="00231F1A" w:rsidRPr="00A94D8B" w:rsidRDefault="00231F1A" w:rsidP="00AD1C0A">
      <w:pPr>
        <w:autoSpaceDE w:val="0"/>
        <w:autoSpaceDN w:val="0"/>
        <w:rPr>
          <w:color w:val="1A1A18"/>
        </w:rPr>
      </w:pPr>
      <w:r w:rsidRPr="00A94D8B">
        <w:rPr>
          <w:color w:val="1A1A18"/>
        </w:rPr>
        <w:t xml:space="preserve">In chapter three, the main findings and answers to each of the ten Evaluation Questions </w:t>
      </w:r>
      <w:r w:rsidR="0023363A" w:rsidRPr="00A94D8B">
        <w:rPr>
          <w:color w:val="1A1A18"/>
        </w:rPr>
        <w:t xml:space="preserve">(EQ) </w:t>
      </w:r>
      <w:r w:rsidRPr="00A94D8B">
        <w:rPr>
          <w:color w:val="1A1A18"/>
        </w:rPr>
        <w:t xml:space="preserve">are presented along with evidence and reasoning. Chapter four then synthesises all answers to evaluation questions into an overall assessment of the programme. </w:t>
      </w:r>
      <w:r w:rsidR="0030418D" w:rsidRPr="00A94D8B">
        <w:rPr>
          <w:color w:val="1A1A18"/>
        </w:rPr>
        <w:t xml:space="preserve">Table 1 on page 40 gives an overview of performance of the various programmes on the different criteria. </w:t>
      </w:r>
      <w:r w:rsidRPr="00A94D8B">
        <w:rPr>
          <w:color w:val="1A1A18"/>
        </w:rPr>
        <w:t>Chapter five, finally, presents the conclusions, recommendations and lessons learned from the evaluation.</w:t>
      </w:r>
      <w:r w:rsidR="00BA4DAB" w:rsidRPr="00A94D8B">
        <w:t xml:space="preserve">  </w:t>
      </w:r>
    </w:p>
    <w:p w:rsidR="00231F1A" w:rsidRPr="00A94D8B" w:rsidRDefault="00231F1A" w:rsidP="00B235E4">
      <w:pPr>
        <w:pStyle w:val="Heading3"/>
        <w:numPr>
          <w:ilvl w:val="2"/>
          <w:numId w:val="11"/>
        </w:numPr>
      </w:pPr>
      <w:bookmarkStart w:id="16" w:name="_Toc391490078"/>
      <w:bookmarkStart w:id="17" w:name="_Toc392064208"/>
      <w:bookmarkStart w:id="18" w:name="_Toc401041554"/>
      <w:r w:rsidRPr="00A94D8B">
        <w:t>The GCCA</w:t>
      </w:r>
      <w:bookmarkEnd w:id="16"/>
      <w:bookmarkEnd w:id="17"/>
      <w:bookmarkEnd w:id="18"/>
    </w:p>
    <w:p w:rsidR="00231F1A" w:rsidRPr="00A94D8B" w:rsidRDefault="00231F1A" w:rsidP="00AD1C0A">
      <w:pPr>
        <w:autoSpaceDE w:val="0"/>
        <w:autoSpaceDN w:val="0"/>
        <w:rPr>
          <w:color w:val="1A1A18"/>
        </w:rPr>
      </w:pPr>
      <w:r w:rsidRPr="00A94D8B">
        <w:rPr>
          <w:color w:val="1A1A18"/>
        </w:rPr>
        <w:t xml:space="preserve">The </w:t>
      </w:r>
      <w:r w:rsidR="006A551F" w:rsidRPr="00A94D8B">
        <w:rPr>
          <w:color w:val="1A1A18"/>
        </w:rPr>
        <w:t>GCCA</w:t>
      </w:r>
      <w:r w:rsidRPr="00A94D8B">
        <w:rPr>
          <w:color w:val="1A1A18"/>
        </w:rPr>
        <w:t xml:space="preserve"> is an i</w:t>
      </w:r>
      <w:r w:rsidR="00A13E00" w:rsidRPr="00A94D8B">
        <w:rPr>
          <w:color w:val="1A1A18"/>
        </w:rPr>
        <w:t>nitiative of the EU</w:t>
      </w:r>
      <w:r w:rsidRPr="00A94D8B">
        <w:rPr>
          <w:color w:val="1A1A18"/>
        </w:rPr>
        <w:t>, launched in 2007 through a Communication (</w:t>
      </w:r>
      <w:r w:rsidRPr="00A94D8B">
        <w:rPr>
          <w:i/>
          <w:color w:val="1A1A18"/>
        </w:rPr>
        <w:t xml:space="preserve">COM (2007) 540 final) </w:t>
      </w:r>
      <w:r w:rsidRPr="00A94D8B">
        <w:rPr>
          <w:color w:val="1A1A18"/>
        </w:rPr>
        <w:t>from the Commission  to the Council and the European Parliament entitled ‘</w:t>
      </w:r>
      <w:r w:rsidRPr="00A94D8B">
        <w:rPr>
          <w:i/>
          <w:color w:val="1A1A18"/>
        </w:rPr>
        <w:t>Building a Global Climate Change Alliance between the European Union and poor develo</w:t>
      </w:r>
      <w:r w:rsidRPr="00A94D8B">
        <w:rPr>
          <w:i/>
          <w:color w:val="1A1A18"/>
        </w:rPr>
        <w:t>p</w:t>
      </w:r>
      <w:r w:rsidRPr="00A94D8B">
        <w:rPr>
          <w:i/>
          <w:color w:val="1A1A18"/>
        </w:rPr>
        <w:t>ing countries most vulnerable to climate change’.</w:t>
      </w:r>
      <w:r w:rsidRPr="00A94D8B">
        <w:rPr>
          <w:color w:val="1A1A18"/>
        </w:rPr>
        <w:t xml:space="preserve"> Implementation modalities of the Initiative have been further worked out in the Commission Staff Working Document - Implementation framework of the GCCA (July 2008).</w:t>
      </w:r>
    </w:p>
    <w:p w:rsidR="00231F1A" w:rsidRPr="00A94D8B" w:rsidRDefault="00231F1A" w:rsidP="00AD1C0A">
      <w:pPr>
        <w:autoSpaceDE w:val="0"/>
        <w:autoSpaceDN w:val="0"/>
        <w:rPr>
          <w:color w:val="1A1A18"/>
        </w:rPr>
      </w:pPr>
      <w:r w:rsidRPr="00A94D8B">
        <w:rPr>
          <w:color w:val="1A1A18"/>
        </w:rPr>
        <w:t>The GCCA aims to strengthen the dialogue and the cooperation on the issue of climate change with the developing countries</w:t>
      </w:r>
      <w:r w:rsidRPr="00A94D8B">
        <w:rPr>
          <w:color w:val="1A1A18"/>
          <w:vertAlign w:val="superscript"/>
        </w:rPr>
        <w:footnoteReference w:id="4"/>
      </w:r>
      <w:r w:rsidRPr="00A94D8B">
        <w:rPr>
          <w:color w:val="1A1A18"/>
        </w:rPr>
        <w:t xml:space="preserve"> that are the most vulnerable to climate change and to support their efforts to develop and implement adaptation and mitigation responses. The ta</w:t>
      </w:r>
      <w:r w:rsidRPr="00A94D8B">
        <w:rPr>
          <w:color w:val="1A1A18"/>
        </w:rPr>
        <w:t>r</w:t>
      </w:r>
      <w:r w:rsidRPr="00A94D8B">
        <w:rPr>
          <w:color w:val="1A1A18"/>
        </w:rPr>
        <w:t xml:space="preserve">geted countries have contributed the least to greenhouse gas emissions, but are often the most affected by climate change and have limited resources to address the related challenges. The GCCA involves a wide range of partners across the world, and is structured along two pillars: </w:t>
      </w:r>
    </w:p>
    <w:p w:rsidR="00231F1A" w:rsidRPr="00A94D8B" w:rsidRDefault="00231F1A" w:rsidP="00AD1C0A">
      <w:pPr>
        <w:pStyle w:val="ListParagraph"/>
        <w:numPr>
          <w:ilvl w:val="0"/>
          <w:numId w:val="31"/>
        </w:numPr>
        <w:autoSpaceDE w:val="0"/>
        <w:autoSpaceDN w:val="0"/>
        <w:rPr>
          <w:i/>
          <w:color w:val="1A1A18"/>
        </w:rPr>
      </w:pPr>
      <w:r w:rsidRPr="00A94D8B">
        <w:rPr>
          <w:i/>
          <w:color w:val="1A1A18"/>
        </w:rPr>
        <w:t>Policy dialogue and exchange</w:t>
      </w:r>
    </w:p>
    <w:p w:rsidR="00231F1A" w:rsidRPr="00A94D8B" w:rsidRDefault="00231F1A" w:rsidP="00AD1C0A">
      <w:pPr>
        <w:autoSpaceDE w:val="0"/>
        <w:autoSpaceDN w:val="0"/>
        <w:rPr>
          <w:color w:val="1A1A18"/>
        </w:rPr>
      </w:pPr>
      <w:r w:rsidRPr="00A94D8B">
        <w:rPr>
          <w:color w:val="1A1A18"/>
        </w:rPr>
        <w:t>The first pillar consists of a platform for dialogue and exchange. The GCCA enables dialogue between the EU and developing countries on climate policy, in the context of complex cl</w:t>
      </w:r>
      <w:r w:rsidRPr="00A94D8B">
        <w:rPr>
          <w:color w:val="1A1A18"/>
        </w:rPr>
        <w:t>i</w:t>
      </w:r>
      <w:r w:rsidRPr="00A94D8B">
        <w:rPr>
          <w:color w:val="1A1A18"/>
        </w:rPr>
        <w:t>mate change negotiations under the UN Framework Convention on Climate Change (UNFCCC). This result will be achieved by supporting the exchange of experience on pract</w:t>
      </w:r>
      <w:r w:rsidRPr="00A94D8B">
        <w:rPr>
          <w:color w:val="1A1A18"/>
        </w:rPr>
        <w:t>i</w:t>
      </w:r>
      <w:r w:rsidRPr="00A94D8B">
        <w:rPr>
          <w:color w:val="1A1A18"/>
        </w:rPr>
        <w:t>cal approaches to integrate climate change into development policies and budgets. The results feed into the discussions on a post-Kyoto climate agreement, and inform the technical and financial cooperation supported by the GCCA. Dialogue takes place at global, regional and national levels.</w:t>
      </w:r>
    </w:p>
    <w:p w:rsidR="00231F1A" w:rsidRPr="00A94D8B" w:rsidRDefault="00231F1A" w:rsidP="00AD1C0A">
      <w:pPr>
        <w:pStyle w:val="ListParagraph"/>
        <w:numPr>
          <w:ilvl w:val="0"/>
          <w:numId w:val="31"/>
        </w:numPr>
        <w:autoSpaceDE w:val="0"/>
        <w:autoSpaceDN w:val="0"/>
        <w:rPr>
          <w:i/>
          <w:color w:val="1A1A18"/>
        </w:rPr>
      </w:pPr>
      <w:r w:rsidRPr="00A94D8B">
        <w:rPr>
          <w:i/>
          <w:color w:val="1A1A18"/>
        </w:rPr>
        <w:t>Technical and financial assistance and cooperation focusing on five priority areas</w:t>
      </w:r>
    </w:p>
    <w:p w:rsidR="00231F1A" w:rsidRPr="00A94D8B" w:rsidRDefault="00231F1A" w:rsidP="00AD1C0A">
      <w:pPr>
        <w:autoSpaceDE w:val="0"/>
        <w:autoSpaceDN w:val="0"/>
        <w:rPr>
          <w:color w:val="1A1A18"/>
        </w:rPr>
      </w:pPr>
      <w:r w:rsidRPr="00A94D8B">
        <w:rPr>
          <w:color w:val="1A1A18"/>
        </w:rPr>
        <w:t>The second pillar of the GCCA concerns providing technical and financial support and c</w:t>
      </w:r>
      <w:r w:rsidRPr="00A94D8B">
        <w:rPr>
          <w:color w:val="1A1A18"/>
        </w:rPr>
        <w:t>o</w:t>
      </w:r>
      <w:r w:rsidRPr="00A94D8B">
        <w:rPr>
          <w:color w:val="1A1A18"/>
        </w:rPr>
        <w:t>operation with the most vulnerable developing countries. The objective is to see climate change integrated into the development policies and budgets of vulnerable countries and to implement adaptation and mitigation interventions. To find the best solutions for tackling climate change, the GCCA works with government departments and agencies, regional o</w:t>
      </w:r>
      <w:r w:rsidRPr="00A94D8B">
        <w:rPr>
          <w:color w:val="1A1A18"/>
        </w:rPr>
        <w:t>r</w:t>
      </w:r>
      <w:r w:rsidRPr="00A94D8B">
        <w:rPr>
          <w:color w:val="1A1A18"/>
        </w:rPr>
        <w:t>ganisations, non-governmental organisations, academic and scientific institutions, and local representations of international organisations, multilateral and bilateral development agencies by pooling resources, expertise and knowledge. The technical and financial support and c</w:t>
      </w:r>
      <w:r w:rsidRPr="00A94D8B">
        <w:rPr>
          <w:color w:val="1A1A18"/>
        </w:rPr>
        <w:t>o</w:t>
      </w:r>
      <w:r w:rsidRPr="00A94D8B">
        <w:rPr>
          <w:color w:val="1A1A18"/>
        </w:rPr>
        <w:t>operation in turn informs the dialogue and exchange of experience at regional and global le</w:t>
      </w:r>
      <w:r w:rsidRPr="00A94D8B">
        <w:rPr>
          <w:color w:val="1A1A18"/>
        </w:rPr>
        <w:t>v</w:t>
      </w:r>
      <w:r w:rsidRPr="00A94D8B">
        <w:rPr>
          <w:color w:val="1A1A18"/>
        </w:rPr>
        <w:t xml:space="preserve">els between the EU and partner countries. </w:t>
      </w:r>
    </w:p>
    <w:p w:rsidR="00231F1A" w:rsidRPr="00A94D8B" w:rsidRDefault="00231F1A" w:rsidP="00AD1C0A">
      <w:pPr>
        <w:autoSpaceDE w:val="0"/>
        <w:autoSpaceDN w:val="0"/>
        <w:rPr>
          <w:color w:val="1A1A18"/>
        </w:rPr>
      </w:pPr>
      <w:r w:rsidRPr="00A94D8B">
        <w:rPr>
          <w:color w:val="1A1A18"/>
        </w:rPr>
        <w:t>For the purpose of the GCCA initiative, five priority areas have been defined:</w:t>
      </w:r>
    </w:p>
    <w:p w:rsidR="00231F1A" w:rsidRPr="00A94D8B" w:rsidRDefault="00231F1A" w:rsidP="00AD1C0A">
      <w:pPr>
        <w:numPr>
          <w:ilvl w:val="0"/>
          <w:numId w:val="8"/>
        </w:numPr>
        <w:autoSpaceDE w:val="0"/>
        <w:autoSpaceDN w:val="0"/>
        <w:rPr>
          <w:b/>
          <w:color w:val="1A1A18"/>
        </w:rPr>
      </w:pPr>
      <w:r w:rsidRPr="00A94D8B">
        <w:rPr>
          <w:i/>
          <w:color w:val="1A1A18"/>
        </w:rPr>
        <w:t>Mainstreaming climate change into poverty reduction and development efforts.</w:t>
      </w:r>
      <w:r w:rsidRPr="00A94D8B">
        <w:rPr>
          <w:color w:val="1A1A18"/>
        </w:rPr>
        <w:t xml:space="preserve"> It means that the GCCA supports the systematic integration of climate change conside</w:t>
      </w:r>
      <w:r w:rsidRPr="00A94D8B">
        <w:rPr>
          <w:color w:val="1A1A18"/>
        </w:rPr>
        <w:t>r</w:t>
      </w:r>
      <w:r w:rsidRPr="00A94D8B">
        <w:rPr>
          <w:color w:val="1A1A18"/>
        </w:rPr>
        <w:t>ations into national development planning, from policymaking and budgeting to i</w:t>
      </w:r>
      <w:r w:rsidRPr="00A94D8B">
        <w:rPr>
          <w:color w:val="1A1A18"/>
        </w:rPr>
        <w:t>m</w:t>
      </w:r>
      <w:r w:rsidRPr="00A94D8B">
        <w:rPr>
          <w:color w:val="1A1A18"/>
        </w:rPr>
        <w:t>plementation and monitoring. This priority area, which focuses on institutional strengthening, is often combined with another priority, in particular adaptation.</w:t>
      </w:r>
    </w:p>
    <w:p w:rsidR="00231F1A" w:rsidRPr="00A94D8B" w:rsidRDefault="00231F1A" w:rsidP="00AD1C0A">
      <w:pPr>
        <w:numPr>
          <w:ilvl w:val="0"/>
          <w:numId w:val="8"/>
        </w:numPr>
        <w:autoSpaceDE w:val="0"/>
        <w:autoSpaceDN w:val="0"/>
        <w:rPr>
          <w:b/>
          <w:color w:val="1A1A18"/>
        </w:rPr>
      </w:pPr>
      <w:r w:rsidRPr="00A94D8B">
        <w:rPr>
          <w:color w:val="1A1A18"/>
        </w:rPr>
        <w:t xml:space="preserve">The GCCA aims to help improve knowledge about the effects of climate change and the design and implementation of appropriate </w:t>
      </w:r>
      <w:r w:rsidRPr="00A94D8B">
        <w:rPr>
          <w:i/>
          <w:color w:val="1A1A18"/>
        </w:rPr>
        <w:t>adaptation</w:t>
      </w:r>
      <w:r w:rsidRPr="00A94D8B">
        <w:rPr>
          <w:color w:val="1A1A18"/>
        </w:rPr>
        <w:t xml:space="preserve"> actions, in particular in the water and agriculture sectors. The objective of this priority area is to reduce the vu</w:t>
      </w:r>
      <w:r w:rsidRPr="00A94D8B">
        <w:rPr>
          <w:color w:val="1A1A18"/>
        </w:rPr>
        <w:t>l</w:t>
      </w:r>
      <w:r w:rsidRPr="00A94D8B">
        <w:rPr>
          <w:color w:val="1A1A18"/>
        </w:rPr>
        <w:t>nerability of the population to the impacts of climate change. The GCCA builds on National Adaptation Programmes of Action (NAPAs) and other national plans.</w:t>
      </w:r>
    </w:p>
    <w:p w:rsidR="00231F1A" w:rsidRPr="00A94D8B" w:rsidRDefault="00231F1A" w:rsidP="00AD1C0A">
      <w:pPr>
        <w:numPr>
          <w:ilvl w:val="0"/>
          <w:numId w:val="8"/>
        </w:numPr>
        <w:autoSpaceDE w:val="0"/>
        <w:autoSpaceDN w:val="0"/>
        <w:rPr>
          <w:b/>
          <w:color w:val="1A1A18"/>
        </w:rPr>
      </w:pPr>
      <w:r w:rsidRPr="00A94D8B">
        <w:rPr>
          <w:color w:val="1A1A18"/>
        </w:rPr>
        <w:t>The third priority area is to</w:t>
      </w:r>
      <w:r w:rsidR="006A551F" w:rsidRPr="00A94D8B">
        <w:rPr>
          <w:color w:val="1A1A18"/>
        </w:rPr>
        <w:t xml:space="preserve"> support </w:t>
      </w:r>
      <w:r w:rsidR="006A551F" w:rsidRPr="00A94D8B">
        <w:rPr>
          <w:i/>
          <w:color w:val="1A1A18"/>
        </w:rPr>
        <w:t>REDD related activity</w:t>
      </w:r>
      <w:r w:rsidRPr="00A94D8B">
        <w:rPr>
          <w:i/>
          <w:color w:val="1A1A18"/>
        </w:rPr>
        <w:t>.</w:t>
      </w:r>
      <w:r w:rsidRPr="00A94D8B">
        <w:rPr>
          <w:color w:val="1A1A18"/>
        </w:rPr>
        <w:t xml:space="preserve"> In LDCs, 60% of the emissions originate from land use change, primarily deforestation. The GCCA su</w:t>
      </w:r>
      <w:r w:rsidRPr="00A94D8B">
        <w:rPr>
          <w:color w:val="1A1A18"/>
        </w:rPr>
        <w:t>p</w:t>
      </w:r>
      <w:r w:rsidRPr="00A94D8B">
        <w:rPr>
          <w:color w:val="1A1A18"/>
        </w:rPr>
        <w:t>ports solutions to reduce carbon dioxide (CO</w:t>
      </w:r>
      <w:r w:rsidRPr="00A94D8B">
        <w:rPr>
          <w:color w:val="1A1A18"/>
          <w:vertAlign w:val="subscript"/>
        </w:rPr>
        <w:t>2</w:t>
      </w:r>
      <w:r w:rsidRPr="00A94D8B">
        <w:rPr>
          <w:color w:val="1A1A18"/>
        </w:rPr>
        <w:t>) emissions from deforestation and cr</w:t>
      </w:r>
      <w:r w:rsidRPr="00A94D8B">
        <w:rPr>
          <w:color w:val="1A1A18"/>
        </w:rPr>
        <w:t>e</w:t>
      </w:r>
      <w:r w:rsidRPr="00A94D8B">
        <w:rPr>
          <w:color w:val="1A1A18"/>
        </w:rPr>
        <w:t>ate incentives for forest protection, while preserving livelihoods and ecosystems d</w:t>
      </w:r>
      <w:r w:rsidRPr="00A94D8B">
        <w:rPr>
          <w:color w:val="1A1A18"/>
        </w:rPr>
        <w:t>e</w:t>
      </w:r>
      <w:r w:rsidRPr="00A94D8B">
        <w:rPr>
          <w:color w:val="1A1A18"/>
        </w:rPr>
        <w:t>pending on forests.</w:t>
      </w:r>
    </w:p>
    <w:p w:rsidR="00231F1A" w:rsidRPr="00A94D8B" w:rsidRDefault="00231F1A" w:rsidP="00AD1C0A">
      <w:pPr>
        <w:numPr>
          <w:ilvl w:val="0"/>
          <w:numId w:val="8"/>
        </w:numPr>
        <w:autoSpaceDE w:val="0"/>
        <w:autoSpaceDN w:val="0"/>
        <w:rPr>
          <w:b/>
          <w:color w:val="1A1A18"/>
        </w:rPr>
      </w:pPr>
      <w:r w:rsidRPr="00A94D8B">
        <w:rPr>
          <w:color w:val="1A1A18"/>
        </w:rPr>
        <w:t xml:space="preserve">Another priority area intending at reducing greenhouse gas emissions, is </w:t>
      </w:r>
      <w:r w:rsidRPr="00A94D8B">
        <w:rPr>
          <w:i/>
          <w:color w:val="1A1A18"/>
        </w:rPr>
        <w:t>enhancing participation in the global carbon market.</w:t>
      </w:r>
      <w:r w:rsidRPr="00A94D8B">
        <w:rPr>
          <w:color w:val="1A1A18"/>
        </w:rPr>
        <w:t xml:space="preserve"> The GCCA aims to promote a more equ</w:t>
      </w:r>
      <w:r w:rsidRPr="00A94D8B">
        <w:rPr>
          <w:color w:val="1A1A18"/>
        </w:rPr>
        <w:t>i</w:t>
      </w:r>
      <w:r w:rsidRPr="00A94D8B">
        <w:rPr>
          <w:color w:val="1A1A18"/>
        </w:rPr>
        <w:t>table geographic distribution of financing opportunities linked to the Clean Develo</w:t>
      </w:r>
      <w:r w:rsidRPr="00A94D8B">
        <w:rPr>
          <w:color w:val="1A1A18"/>
        </w:rPr>
        <w:t>p</w:t>
      </w:r>
      <w:r w:rsidRPr="00A94D8B">
        <w:rPr>
          <w:color w:val="1A1A18"/>
        </w:rPr>
        <w:t>ment Mechanism (CDM) by building the capacities of partner countries to access this source of funding, particularly in the field of energy.</w:t>
      </w:r>
    </w:p>
    <w:p w:rsidR="00231F1A" w:rsidRPr="00A94D8B" w:rsidRDefault="006A551F" w:rsidP="00AD1C0A">
      <w:pPr>
        <w:numPr>
          <w:ilvl w:val="0"/>
          <w:numId w:val="8"/>
        </w:numPr>
        <w:autoSpaceDE w:val="0"/>
        <w:autoSpaceDN w:val="0"/>
        <w:rPr>
          <w:b/>
          <w:color w:val="1A1A18"/>
        </w:rPr>
      </w:pPr>
      <w:r w:rsidRPr="00A94D8B">
        <w:rPr>
          <w:i/>
          <w:color w:val="1A1A18"/>
        </w:rPr>
        <w:t>DRR</w:t>
      </w:r>
      <w:r w:rsidR="00231F1A" w:rsidRPr="00A94D8B">
        <w:rPr>
          <w:color w:val="1A1A18"/>
        </w:rPr>
        <w:t xml:space="preserve"> is also among the</w:t>
      </w:r>
      <w:r w:rsidR="00385CDF" w:rsidRPr="00A94D8B">
        <w:rPr>
          <w:color w:val="1A1A18"/>
        </w:rPr>
        <w:t xml:space="preserve"> five priorities of the GCCA. Through this priority area the focus is</w:t>
      </w:r>
      <w:r w:rsidR="00231F1A" w:rsidRPr="00A94D8B">
        <w:rPr>
          <w:color w:val="1A1A18"/>
        </w:rPr>
        <w:t xml:space="preserve"> to help developing countries to prepare for climate-related natural disasters, reduce their risks and limit their impacts.</w:t>
      </w:r>
    </w:p>
    <w:p w:rsidR="00517F12" w:rsidRPr="00A94D8B" w:rsidRDefault="00231F1A" w:rsidP="00AD1C0A">
      <w:pPr>
        <w:autoSpaceDE w:val="0"/>
        <w:autoSpaceDN w:val="0"/>
        <w:rPr>
          <w:color w:val="1A1A18"/>
        </w:rPr>
      </w:pPr>
      <w:r w:rsidRPr="00A94D8B">
        <w:rPr>
          <w:color w:val="1A1A18"/>
        </w:rPr>
        <w:t xml:space="preserve">In practice, an additional third pillar has been identified, which concerns the extensive </w:t>
      </w:r>
      <w:r w:rsidRPr="00A94D8B">
        <w:rPr>
          <w:i/>
          <w:color w:val="1A1A18"/>
        </w:rPr>
        <w:t>kno</w:t>
      </w:r>
      <w:r w:rsidRPr="00A94D8B">
        <w:rPr>
          <w:i/>
          <w:color w:val="1A1A18"/>
        </w:rPr>
        <w:t>w</w:t>
      </w:r>
      <w:r w:rsidRPr="00A94D8B">
        <w:rPr>
          <w:i/>
          <w:color w:val="1A1A18"/>
        </w:rPr>
        <w:t>ledge management and communication</w:t>
      </w:r>
      <w:r w:rsidRPr="00A94D8B">
        <w:rPr>
          <w:color w:val="1A1A18"/>
        </w:rPr>
        <w:t xml:space="preserve"> activities, which constitute a joint effort by the var</w:t>
      </w:r>
      <w:r w:rsidRPr="00A94D8B">
        <w:rPr>
          <w:color w:val="1A1A18"/>
        </w:rPr>
        <w:t>i</w:t>
      </w:r>
      <w:r w:rsidRPr="00A94D8B">
        <w:rPr>
          <w:color w:val="1A1A18"/>
        </w:rPr>
        <w:t>ous entities concerned with management of the two programmes</w:t>
      </w:r>
      <w:r w:rsidR="00493FB3" w:rsidRPr="00A94D8B">
        <w:rPr>
          <w:color w:val="1A1A18"/>
        </w:rPr>
        <w:t xml:space="preserve">. </w:t>
      </w:r>
      <w:r w:rsidRPr="00A94D8B">
        <w:rPr>
          <w:color w:val="1A1A18"/>
        </w:rPr>
        <w:t>The GCCA organisational struc</w:t>
      </w:r>
      <w:r w:rsidR="00493FB3" w:rsidRPr="00A94D8B">
        <w:rPr>
          <w:color w:val="1A1A18"/>
        </w:rPr>
        <w:t xml:space="preserve">ture is </w:t>
      </w:r>
      <w:r w:rsidRPr="00A94D8B">
        <w:rPr>
          <w:color w:val="1A1A18"/>
        </w:rPr>
        <w:t xml:space="preserve">depicted in </w:t>
      </w:r>
      <w:r w:rsidRPr="00A94D8B">
        <w:rPr>
          <w:i/>
          <w:color w:val="1A1A18"/>
        </w:rPr>
        <w:t xml:space="preserve">Annex </w:t>
      </w:r>
      <w:r w:rsidR="00715629" w:rsidRPr="00A94D8B">
        <w:rPr>
          <w:i/>
          <w:color w:val="1A1A18"/>
        </w:rPr>
        <w:t>5</w:t>
      </w:r>
      <w:r w:rsidRPr="00A94D8B">
        <w:rPr>
          <w:i/>
          <w:color w:val="1A1A18"/>
        </w:rPr>
        <w:t>.</w:t>
      </w:r>
    </w:p>
    <w:p w:rsidR="00BF60B6" w:rsidRDefault="00C74D2B" w:rsidP="00A94D8B">
      <w:pPr>
        <w:spacing w:before="240" w:after="0" w:line="240" w:lineRule="auto"/>
        <w:jc w:val="left"/>
        <w:rPr>
          <w:i/>
          <w:color w:val="1A1A18"/>
        </w:rPr>
      </w:pPr>
      <w:r w:rsidRPr="00A94D8B">
        <w:rPr>
          <w:i/>
          <w:color w:val="1A1A18"/>
        </w:rPr>
        <w:t>Financial commitments</w:t>
      </w:r>
    </w:p>
    <w:p w:rsidR="00A94D8B" w:rsidRPr="00A94D8B" w:rsidRDefault="00A94D8B" w:rsidP="00A94D8B">
      <w:pPr>
        <w:spacing w:after="0" w:line="240" w:lineRule="auto"/>
        <w:jc w:val="left"/>
        <w:rPr>
          <w:i/>
          <w:color w:val="1A1A18"/>
        </w:rPr>
      </w:pPr>
    </w:p>
    <w:p w:rsidR="00C74D2B" w:rsidRPr="00A94D8B" w:rsidRDefault="00C74D2B" w:rsidP="00AD1C0A">
      <w:pPr>
        <w:autoSpaceDE w:val="0"/>
        <w:autoSpaceDN w:val="0"/>
        <w:rPr>
          <w:color w:val="1A1A18"/>
        </w:rPr>
      </w:pPr>
      <w:r w:rsidRPr="00A94D8B">
        <w:rPr>
          <w:color w:val="1A1A18"/>
        </w:rPr>
        <w:t>Since 2008, the GCCA has committed 287 million EUR from the EC budget, the 10</w:t>
      </w:r>
      <w:r w:rsidRPr="00A94D8B">
        <w:rPr>
          <w:color w:val="1A1A18"/>
          <w:vertAlign w:val="superscript"/>
        </w:rPr>
        <w:t>th</w:t>
      </w:r>
      <w:r w:rsidR="00BF60B6" w:rsidRPr="00A94D8B">
        <w:rPr>
          <w:color w:val="1A1A18"/>
        </w:rPr>
        <w:t xml:space="preserve"> EDF</w:t>
      </w:r>
      <w:r w:rsidRPr="00A94D8B">
        <w:rPr>
          <w:color w:val="1A1A18"/>
        </w:rPr>
        <w:t>, and contributions from different member States</w:t>
      </w:r>
      <w:r w:rsidRPr="00A94D8B">
        <w:rPr>
          <w:color w:val="1A1A18"/>
          <w:vertAlign w:val="superscript"/>
        </w:rPr>
        <w:footnoteReference w:id="5"/>
      </w:r>
      <w:r w:rsidRPr="00A94D8B">
        <w:rPr>
          <w:color w:val="1A1A18"/>
        </w:rPr>
        <w:t>. This in</w:t>
      </w:r>
      <w:r w:rsidR="00CB1F9F" w:rsidRPr="00A94D8B">
        <w:rPr>
          <w:color w:val="1A1A18"/>
        </w:rPr>
        <w:t>cludes Fast Start F</w:t>
      </w:r>
      <w:r w:rsidRPr="00A94D8B">
        <w:rPr>
          <w:color w:val="1A1A18"/>
        </w:rPr>
        <w:t>inance</w:t>
      </w:r>
      <w:r w:rsidR="00CB1F9F" w:rsidRPr="00A94D8B">
        <w:rPr>
          <w:color w:val="1A1A18"/>
        </w:rPr>
        <w:t xml:space="preserve"> (FSF)</w:t>
      </w:r>
      <w:r w:rsidRPr="00A94D8B">
        <w:rPr>
          <w:color w:val="1A1A18"/>
        </w:rPr>
        <w:t xml:space="preserve"> pledged at the UNFCCC 15</w:t>
      </w:r>
      <w:r w:rsidRPr="00A94D8B">
        <w:rPr>
          <w:color w:val="1A1A18"/>
          <w:vertAlign w:val="superscript"/>
        </w:rPr>
        <w:t>th</w:t>
      </w:r>
      <w:r w:rsidR="00CB1F9F" w:rsidRPr="00A94D8B">
        <w:rPr>
          <w:color w:val="1A1A18"/>
        </w:rPr>
        <w:t xml:space="preserve"> Conference of the Parties (CO</w:t>
      </w:r>
      <w:r w:rsidRPr="00A94D8B">
        <w:rPr>
          <w:color w:val="1A1A18"/>
        </w:rPr>
        <w:t>P) in Copenhagen in 2009 to su</w:t>
      </w:r>
      <w:r w:rsidRPr="00A94D8B">
        <w:rPr>
          <w:color w:val="1A1A18"/>
        </w:rPr>
        <w:t>p</w:t>
      </w:r>
      <w:r w:rsidRPr="00A94D8B">
        <w:rPr>
          <w:color w:val="1A1A18"/>
        </w:rPr>
        <w:t>port immediate action on climate change in developing countries. T</w:t>
      </w:r>
      <w:r w:rsidR="00CB1F9F" w:rsidRPr="00A94D8B">
        <w:rPr>
          <w:color w:val="1A1A18"/>
        </w:rPr>
        <w:t>o date, FSF</w:t>
      </w:r>
      <w:r w:rsidRPr="00A94D8B">
        <w:rPr>
          <w:color w:val="1A1A18"/>
        </w:rPr>
        <w:t xml:space="preserve"> from the EC, Ireland, Estonia and Cyprus has provided approximately 103 million EUR to GCCA-supported interventions in Africa, Asia and the Pacific. </w:t>
      </w:r>
    </w:p>
    <w:p w:rsidR="00C74D2B" w:rsidRPr="00A94D8B" w:rsidRDefault="00C74D2B" w:rsidP="00AD1C0A">
      <w:pPr>
        <w:autoSpaceDE w:val="0"/>
        <w:autoSpaceDN w:val="0"/>
        <w:rPr>
          <w:color w:val="1A1A18"/>
        </w:rPr>
      </w:pPr>
      <w:r w:rsidRPr="00A94D8B">
        <w:rPr>
          <w:color w:val="1A1A18"/>
        </w:rPr>
        <w:t>The GCCA is supporting programmes to address climate change in more than 35 countries and four regions across the globe. Almost 200 million EUR have been committed to national programmes, and the GCCA is supporting the mainstreaming of climate change into national development planning in a majority of these countries. Support is being provided to adapt</w:t>
      </w:r>
      <w:r w:rsidRPr="00A94D8B">
        <w:rPr>
          <w:color w:val="1A1A18"/>
        </w:rPr>
        <w:t>a</w:t>
      </w:r>
      <w:r w:rsidRPr="00A94D8B">
        <w:rPr>
          <w:color w:val="1A1A18"/>
        </w:rPr>
        <w:t>tion programmes in climate-sensitive sectors such as agriculture, coastal zone management as well as land and water management. The GCCA is also active in the fields of forest manag</w:t>
      </w:r>
      <w:r w:rsidRPr="00A94D8B">
        <w:rPr>
          <w:color w:val="1A1A18"/>
        </w:rPr>
        <w:t>e</w:t>
      </w:r>
      <w:r w:rsidRPr="00A94D8B">
        <w:rPr>
          <w:color w:val="1A1A18"/>
        </w:rPr>
        <w:t xml:space="preserve">ment, disaster risk reduction, and clean energy. </w:t>
      </w:r>
    </w:p>
    <w:p w:rsidR="00C74D2B" w:rsidRPr="00A94D8B" w:rsidRDefault="00C74D2B" w:rsidP="00AD1C0A">
      <w:pPr>
        <w:autoSpaceDE w:val="0"/>
        <w:autoSpaceDN w:val="0"/>
        <w:rPr>
          <w:color w:val="1A1A18"/>
        </w:rPr>
      </w:pPr>
      <w:r w:rsidRPr="00A94D8B">
        <w:rPr>
          <w:color w:val="1A1A18"/>
        </w:rPr>
        <w:t>Besides supporting individual countries, the GCCA is active at a regional level, supporting programmes that tackle climate change issues that cross the borders of individual countries. This means pooling of resources, strengthening capacities, sharing knowledge and working in partnership with the regional organisations already in place to build on existing work and successes. As of today, more than 60 million EUR has been committed to regional progra</w:t>
      </w:r>
      <w:r w:rsidRPr="00A94D8B">
        <w:rPr>
          <w:color w:val="1A1A18"/>
        </w:rPr>
        <w:t>m</w:t>
      </w:r>
      <w:r w:rsidRPr="00A94D8B">
        <w:rPr>
          <w:color w:val="1A1A18"/>
        </w:rPr>
        <w:t xml:space="preserve">mes, including a 40 </w:t>
      </w:r>
      <w:r w:rsidR="008F201D" w:rsidRPr="00A94D8B">
        <w:rPr>
          <w:color w:val="1A1A18"/>
        </w:rPr>
        <w:t xml:space="preserve">EUR </w:t>
      </w:r>
      <w:r w:rsidRPr="00A94D8B">
        <w:rPr>
          <w:color w:val="1A1A18"/>
        </w:rPr>
        <w:t xml:space="preserve">million contribution from the EDF-funded Intra-ACP budget. </w:t>
      </w:r>
      <w:r w:rsidR="006B27C6" w:rsidRPr="00A94D8B">
        <w:rPr>
          <w:color w:val="1A1A18"/>
        </w:rPr>
        <w:t xml:space="preserve">Of this commitment, only 37.5 million EUR was engaged in reality. </w:t>
      </w:r>
      <w:r w:rsidRPr="00A94D8B">
        <w:rPr>
          <w:color w:val="1A1A18"/>
        </w:rPr>
        <w:t>The latter funding has resu</w:t>
      </w:r>
      <w:r w:rsidRPr="00A94D8B">
        <w:rPr>
          <w:color w:val="1A1A18"/>
        </w:rPr>
        <w:t>l</w:t>
      </w:r>
      <w:r w:rsidRPr="00A94D8B">
        <w:rPr>
          <w:color w:val="1A1A18"/>
        </w:rPr>
        <w:t>ted in a technical and financial support programme named the Intra- ACP programme, co</w:t>
      </w:r>
      <w:r w:rsidRPr="00A94D8B">
        <w:rPr>
          <w:color w:val="1A1A18"/>
        </w:rPr>
        <w:t>m</w:t>
      </w:r>
      <w:r w:rsidRPr="00A94D8B">
        <w:rPr>
          <w:color w:val="1A1A18"/>
        </w:rPr>
        <w:t xml:space="preserve">prising </w:t>
      </w:r>
      <w:r w:rsidR="00950F78" w:rsidRPr="00A94D8B">
        <w:rPr>
          <w:color w:val="1A1A18"/>
        </w:rPr>
        <w:t>TA</w:t>
      </w:r>
      <w:r w:rsidRPr="00A94D8B">
        <w:rPr>
          <w:color w:val="1A1A18"/>
        </w:rPr>
        <w:t xml:space="preserve"> as well as five regional components.</w:t>
      </w:r>
    </w:p>
    <w:p w:rsidR="00C74D2B" w:rsidRPr="00A94D8B" w:rsidRDefault="00C74D2B" w:rsidP="00AD1C0A">
      <w:pPr>
        <w:autoSpaceDE w:val="0"/>
        <w:autoSpaceDN w:val="0"/>
        <w:rPr>
          <w:i/>
          <w:color w:val="1A1A18"/>
        </w:rPr>
      </w:pPr>
      <w:r w:rsidRPr="00A94D8B">
        <w:rPr>
          <w:i/>
          <w:color w:val="1A1A18"/>
        </w:rPr>
        <w:t xml:space="preserve">Coordination and implementation </w:t>
      </w:r>
    </w:p>
    <w:p w:rsidR="00C74D2B" w:rsidRPr="00A94D8B" w:rsidRDefault="00C74D2B" w:rsidP="00AD1C0A">
      <w:pPr>
        <w:autoSpaceDE w:val="0"/>
        <w:autoSpaceDN w:val="0"/>
        <w:rPr>
          <w:color w:val="1A1A18"/>
        </w:rPr>
      </w:pPr>
      <w:r w:rsidRPr="00A94D8B">
        <w:rPr>
          <w:color w:val="1A1A18"/>
        </w:rPr>
        <w:t>The GCCA initiative is coordinated by the</w:t>
      </w:r>
      <w:r w:rsidR="00967E0A" w:rsidRPr="00A94D8B">
        <w:rPr>
          <w:color w:val="1A1A18"/>
        </w:rPr>
        <w:t xml:space="preserve"> Directorate General Development and Coope</w:t>
      </w:r>
      <w:r w:rsidR="00967E0A" w:rsidRPr="00A94D8B">
        <w:rPr>
          <w:color w:val="1A1A18"/>
        </w:rPr>
        <w:t>r</w:t>
      </w:r>
      <w:r w:rsidR="00967E0A" w:rsidRPr="00A94D8B">
        <w:rPr>
          <w:color w:val="1A1A18"/>
        </w:rPr>
        <w:t>ation (DEVCO) of the EC</w:t>
      </w:r>
      <w:r w:rsidRPr="00A94D8B">
        <w:rPr>
          <w:color w:val="1A1A18"/>
        </w:rPr>
        <w:t>, in particular by the DEVCO C2 Unit (Climate change, env</w:t>
      </w:r>
      <w:r w:rsidRPr="00A94D8B">
        <w:rPr>
          <w:color w:val="1A1A18"/>
        </w:rPr>
        <w:t>i</w:t>
      </w:r>
      <w:r w:rsidRPr="00A94D8B">
        <w:rPr>
          <w:color w:val="1A1A18"/>
        </w:rPr>
        <w:t xml:space="preserve">ronment, natural resources and water). Overall technical and financial support is led by this same Unit, while the ACP-Secretariat (acting as the Contracting Authority) and DEVCO E3 (Regional programmes sub-Saharan and ACP-wide) are responsible for management of the </w:t>
      </w:r>
      <w:r w:rsidR="006B27C6" w:rsidRPr="00A94D8B">
        <w:rPr>
          <w:color w:val="1A1A18"/>
        </w:rPr>
        <w:t>37.5</w:t>
      </w:r>
      <w:r w:rsidRPr="00A94D8B">
        <w:rPr>
          <w:color w:val="1A1A18"/>
        </w:rPr>
        <w:t xml:space="preserve"> M€ allocation of Intra-ACP budget to the initiative (the Intra-ACP GCCA programme).  </w:t>
      </w:r>
    </w:p>
    <w:p w:rsidR="00C74D2B" w:rsidRPr="00A94D8B" w:rsidRDefault="00C74D2B" w:rsidP="00AD1C0A">
      <w:pPr>
        <w:autoSpaceDE w:val="0"/>
        <w:autoSpaceDN w:val="0"/>
        <w:rPr>
          <w:color w:val="1A1A18"/>
        </w:rPr>
      </w:pPr>
      <w:r w:rsidRPr="00A94D8B">
        <w:rPr>
          <w:color w:val="1A1A18"/>
        </w:rPr>
        <w:t xml:space="preserve">The combination of financial instruments contributing to the same Global Initiative requires careful tailoring of institutional arrangements, structuring of the technical support services and of the national, regional and multi-country programmes in a coherent manner. The graph in </w:t>
      </w:r>
      <w:r w:rsidRPr="00A94D8B">
        <w:rPr>
          <w:i/>
          <w:color w:val="1A1A18"/>
        </w:rPr>
        <w:t xml:space="preserve">Annex </w:t>
      </w:r>
      <w:r w:rsidR="00715629" w:rsidRPr="00A94D8B">
        <w:rPr>
          <w:i/>
          <w:color w:val="1A1A18"/>
        </w:rPr>
        <w:t>5</w:t>
      </w:r>
      <w:r w:rsidRPr="00A94D8B">
        <w:rPr>
          <w:color w:val="1A1A18"/>
        </w:rPr>
        <w:t xml:space="preserve"> presents the overall GCCA organisational structure.</w:t>
      </w:r>
    </w:p>
    <w:p w:rsidR="00C74D2B" w:rsidRPr="00A94D8B" w:rsidRDefault="00C74D2B" w:rsidP="00AD1C0A">
      <w:pPr>
        <w:autoSpaceDE w:val="0"/>
        <w:autoSpaceDN w:val="0"/>
        <w:rPr>
          <w:color w:val="1A1A18"/>
        </w:rPr>
      </w:pPr>
      <w:r w:rsidRPr="00A94D8B">
        <w:rPr>
          <w:color w:val="1A1A18"/>
        </w:rPr>
        <w:t xml:space="preserve">Given the organisational structure of the GCCA described above, it was decided to undertake one overall evaluation for the initiative, including the various funding mechanisms. </w:t>
      </w:r>
    </w:p>
    <w:p w:rsidR="00960E37" w:rsidRPr="00A94D8B" w:rsidRDefault="00E12449" w:rsidP="00AD1C0A">
      <w:pPr>
        <w:pStyle w:val="Heading2"/>
      </w:pPr>
      <w:bookmarkStart w:id="19" w:name="_Toc392064209"/>
      <w:bookmarkStart w:id="20" w:name="_Toc401041555"/>
      <w:r w:rsidRPr="00A94D8B">
        <w:t>Methodology</w:t>
      </w:r>
      <w:bookmarkEnd w:id="19"/>
      <w:bookmarkEnd w:id="20"/>
    </w:p>
    <w:p w:rsidR="001B649B" w:rsidRPr="00A94D8B" w:rsidRDefault="001B649B" w:rsidP="00AD1C0A">
      <w:pPr>
        <w:pStyle w:val="Heading3"/>
        <w:numPr>
          <w:ilvl w:val="2"/>
          <w:numId w:val="11"/>
        </w:numPr>
      </w:pPr>
      <w:bookmarkStart w:id="21" w:name="_Toc392064210"/>
      <w:bookmarkStart w:id="22" w:name="_Toc401041556"/>
      <w:r w:rsidRPr="00A94D8B">
        <w:t>Evaluation questions</w:t>
      </w:r>
      <w:bookmarkEnd w:id="21"/>
      <w:bookmarkEnd w:id="22"/>
    </w:p>
    <w:p w:rsidR="00EC5001" w:rsidRPr="00A94D8B" w:rsidRDefault="00501605" w:rsidP="00AD1C0A">
      <w:r w:rsidRPr="00A94D8B">
        <w:t xml:space="preserve">As proposed in the </w:t>
      </w:r>
      <w:r w:rsidR="001B649B" w:rsidRPr="00A94D8B">
        <w:t xml:space="preserve">Desk Report’s section on </w:t>
      </w:r>
      <w:r w:rsidRPr="00A94D8B">
        <w:t>methodology</w:t>
      </w:r>
      <w:r w:rsidR="001B649B" w:rsidRPr="00A94D8B">
        <w:t xml:space="preserve"> and approach to the assignment</w:t>
      </w:r>
      <w:r w:rsidRPr="00A94D8B">
        <w:t>, t</w:t>
      </w:r>
      <w:r w:rsidR="00EC5001" w:rsidRPr="00A94D8B">
        <w:t xml:space="preserve">he Evaluation Framework is built around </w:t>
      </w:r>
      <w:r w:rsidR="00870EF1" w:rsidRPr="00A94D8B">
        <w:t>Ten EQs</w:t>
      </w:r>
      <w:r w:rsidR="0086659B" w:rsidRPr="00A94D8B">
        <w:t>,</w:t>
      </w:r>
      <w:r w:rsidR="00EC5001" w:rsidRPr="00A94D8B">
        <w:t xml:space="preserve"> </w:t>
      </w:r>
      <w:r w:rsidR="0086659B" w:rsidRPr="00A94D8B">
        <w:t xml:space="preserve">in order to force the evaluation team to remain focused. </w:t>
      </w:r>
      <w:r w:rsidR="00EC5001" w:rsidRPr="00A94D8B">
        <w:t xml:space="preserve">The EQs </w:t>
      </w:r>
      <w:r w:rsidRPr="00A94D8B">
        <w:t xml:space="preserve">are </w:t>
      </w:r>
      <w:r w:rsidR="0086659B" w:rsidRPr="00A94D8B">
        <w:t xml:space="preserve">primarily </w:t>
      </w:r>
      <w:r w:rsidR="00EC5001" w:rsidRPr="00A94D8B">
        <w:t xml:space="preserve">based on the </w:t>
      </w:r>
      <w:r w:rsidRPr="00A94D8B">
        <w:t>e</w:t>
      </w:r>
      <w:r w:rsidR="00EC5001" w:rsidRPr="00A94D8B">
        <w:t>valuation questions</w:t>
      </w:r>
      <w:r w:rsidRPr="00A94D8B">
        <w:t xml:space="preserve">, </w:t>
      </w:r>
      <w:r w:rsidR="00EC5001" w:rsidRPr="00A94D8B">
        <w:t>sub-questions</w:t>
      </w:r>
      <w:r w:rsidRPr="00A94D8B">
        <w:t xml:space="preserve"> and </w:t>
      </w:r>
      <w:r w:rsidR="0086659B" w:rsidRPr="00A94D8B">
        <w:t>‘issues’</w:t>
      </w:r>
      <w:r w:rsidR="00EC5001" w:rsidRPr="00A94D8B">
        <w:t xml:space="preserve"> contained in the T</w:t>
      </w:r>
      <w:r w:rsidR="00BC1DD7" w:rsidRPr="00A94D8B">
        <w:t>oR</w:t>
      </w:r>
      <w:r w:rsidR="0086659B" w:rsidRPr="00A94D8B">
        <w:t>, complemented by questions emerging from a first review of documentation</w:t>
      </w:r>
      <w:r w:rsidR="00EC5001" w:rsidRPr="00A94D8B">
        <w:t xml:space="preserve">. They </w:t>
      </w:r>
      <w:r w:rsidR="0086659B" w:rsidRPr="00A94D8B">
        <w:t xml:space="preserve">have been grouped according to the five DAC evaluation criteria (though relevance and design have been separated) and </w:t>
      </w:r>
      <w:r w:rsidR="00AD1A7F" w:rsidRPr="00A94D8B">
        <w:t xml:space="preserve">re-formulated as follows: </w:t>
      </w:r>
    </w:p>
    <w:p w:rsidR="00AD1A7F" w:rsidRPr="00A94D8B" w:rsidRDefault="00AD1A7F" w:rsidP="00AD1C0A">
      <w:r w:rsidRPr="00A94D8B">
        <w:t xml:space="preserve">On </w:t>
      </w:r>
      <w:r w:rsidRPr="00A94D8B">
        <w:rPr>
          <w:b/>
        </w:rPr>
        <w:t>relevance</w:t>
      </w:r>
      <w:r w:rsidRPr="00A94D8B">
        <w:t>:</w:t>
      </w:r>
    </w:p>
    <w:p w:rsidR="00D930EF" w:rsidRPr="00A94D8B" w:rsidRDefault="00E74A9F" w:rsidP="00AD1C0A">
      <w:pPr>
        <w:pStyle w:val="ListParagraph"/>
        <w:numPr>
          <w:ilvl w:val="0"/>
          <w:numId w:val="7"/>
        </w:numPr>
      </w:pPr>
      <w:r w:rsidRPr="00A94D8B">
        <w:t>To what extent are the climate change interventions aligned with the needs of benef</w:t>
      </w:r>
      <w:r w:rsidRPr="00A94D8B">
        <w:t>i</w:t>
      </w:r>
      <w:r w:rsidRPr="00A94D8B">
        <w:t>ciaries</w:t>
      </w:r>
      <w:r w:rsidR="007833F0" w:rsidRPr="00A94D8B">
        <w:t xml:space="preserve"> (final beneficiaries, </w:t>
      </w:r>
      <w:r w:rsidRPr="00A94D8B">
        <w:t>partner country governments</w:t>
      </w:r>
      <w:r w:rsidR="007833F0" w:rsidRPr="00A94D8B">
        <w:t xml:space="preserve"> and </w:t>
      </w:r>
      <w:r w:rsidRPr="00A94D8B">
        <w:t>regional organisations</w:t>
      </w:r>
      <w:r w:rsidR="007833F0" w:rsidRPr="00A94D8B">
        <w:t>)</w:t>
      </w:r>
      <w:r w:rsidRPr="00A94D8B">
        <w:t xml:space="preserve"> and with the stated policies, needs and priorities of the </w:t>
      </w:r>
      <w:r w:rsidR="007833F0" w:rsidRPr="00A94D8B">
        <w:t xml:space="preserve">GCCA, </w:t>
      </w:r>
      <w:r w:rsidR="00510318" w:rsidRPr="00A94D8B">
        <w:t xml:space="preserve">EU and </w:t>
      </w:r>
      <w:r w:rsidRPr="00A94D8B">
        <w:t>EU Member States?</w:t>
      </w:r>
      <w:r w:rsidR="00510318" w:rsidRPr="00A94D8B">
        <w:t xml:space="preserve"> </w:t>
      </w:r>
    </w:p>
    <w:p w:rsidR="00AD1A7F" w:rsidRPr="00A94D8B" w:rsidRDefault="00AD1A7F" w:rsidP="00AD1C0A">
      <w:r w:rsidRPr="00A94D8B">
        <w:t xml:space="preserve">On </w:t>
      </w:r>
      <w:r w:rsidRPr="00A94D8B">
        <w:rPr>
          <w:b/>
        </w:rPr>
        <w:t>design</w:t>
      </w:r>
      <w:r w:rsidRPr="00A94D8B">
        <w:t>:</w:t>
      </w:r>
    </w:p>
    <w:p w:rsidR="00AD1A7F" w:rsidRPr="00A94D8B" w:rsidRDefault="00AD1A7F" w:rsidP="00AD1C0A">
      <w:pPr>
        <w:pStyle w:val="ListParagraph"/>
        <w:numPr>
          <w:ilvl w:val="0"/>
          <w:numId w:val="7"/>
        </w:numPr>
      </w:pPr>
      <w:r w:rsidRPr="00A94D8B">
        <w:t xml:space="preserve">To what extent is the intervention logic internally consistent and valid, </w:t>
      </w:r>
      <w:r w:rsidR="00D0195A" w:rsidRPr="00A94D8B">
        <w:t xml:space="preserve">coherent across different intervention levels, </w:t>
      </w:r>
      <w:r w:rsidRPr="00A94D8B">
        <w:t>is it formalised in a logframe or other format</w:t>
      </w:r>
      <w:r w:rsidR="00D0195A" w:rsidRPr="00A94D8B">
        <w:t xml:space="preserve">, </w:t>
      </w:r>
      <w:r w:rsidRPr="00A94D8B">
        <w:t>and is it actively used?</w:t>
      </w:r>
    </w:p>
    <w:p w:rsidR="00AD1A7F" w:rsidRPr="00A94D8B" w:rsidRDefault="00AD1A7F" w:rsidP="00AD1C0A">
      <w:pPr>
        <w:keepNext/>
        <w:keepLines/>
      </w:pPr>
      <w:r w:rsidRPr="00A94D8B">
        <w:t xml:space="preserve">On </w:t>
      </w:r>
      <w:r w:rsidRPr="00A94D8B">
        <w:rPr>
          <w:b/>
        </w:rPr>
        <w:t>effectiveness</w:t>
      </w:r>
      <w:r w:rsidRPr="00A94D8B">
        <w:t>:</w:t>
      </w:r>
    </w:p>
    <w:p w:rsidR="008B4A5F" w:rsidRPr="00A94D8B" w:rsidRDefault="008B4A5F" w:rsidP="00AD1C0A">
      <w:pPr>
        <w:pStyle w:val="ListParagraph"/>
        <w:keepNext/>
        <w:keepLines/>
        <w:numPr>
          <w:ilvl w:val="0"/>
          <w:numId w:val="7"/>
        </w:numPr>
      </w:pPr>
      <w:r w:rsidRPr="00A94D8B">
        <w:t>To what extent does the GCCA function as a platform for (political) dialogue and e</w:t>
      </w:r>
      <w:r w:rsidRPr="00A94D8B">
        <w:t>x</w:t>
      </w:r>
      <w:r w:rsidRPr="00A94D8B">
        <w:t>change between the EU and poor developing countries most vulnerable to climate change</w:t>
      </w:r>
      <w:r w:rsidRPr="00A94D8B">
        <w:rPr>
          <w:rStyle w:val="FootnoteReference"/>
        </w:rPr>
        <w:footnoteReference w:id="6"/>
      </w:r>
      <w:r w:rsidRPr="00A94D8B">
        <w:t>?  (= pillar 1 in the GCCA’s objective)?</w:t>
      </w:r>
    </w:p>
    <w:p w:rsidR="008B4A5F" w:rsidRPr="00A94D8B" w:rsidRDefault="008B4A5F" w:rsidP="00AD1C0A">
      <w:pPr>
        <w:pStyle w:val="ListParagraph"/>
      </w:pPr>
    </w:p>
    <w:p w:rsidR="008B4A5F" w:rsidRPr="00A94D8B" w:rsidRDefault="008B4A5F" w:rsidP="00AD1C0A">
      <w:pPr>
        <w:pStyle w:val="ListParagraph"/>
        <w:numPr>
          <w:ilvl w:val="0"/>
          <w:numId w:val="7"/>
        </w:numPr>
      </w:pPr>
      <w:r w:rsidRPr="00A94D8B">
        <w:t>To what extent does the GCCA constitute a viable instrument for practical coope</w:t>
      </w:r>
      <w:r w:rsidRPr="00A94D8B">
        <w:t>r</w:t>
      </w:r>
      <w:r w:rsidRPr="00A94D8B">
        <w:t xml:space="preserve">ation to tackle the combined challenge of the fight against poverty and climate change?  (= </w:t>
      </w:r>
      <w:r w:rsidR="00C20D87" w:rsidRPr="00A94D8B">
        <w:t xml:space="preserve">pillar </w:t>
      </w:r>
      <w:r w:rsidRPr="00A94D8B">
        <w:t>2 in the GCCA’s objective)?</w:t>
      </w:r>
    </w:p>
    <w:p w:rsidR="008B4A5F" w:rsidRPr="00A94D8B" w:rsidRDefault="008B4A5F" w:rsidP="00AD1C0A">
      <w:pPr>
        <w:pStyle w:val="ListParagraph"/>
      </w:pPr>
    </w:p>
    <w:p w:rsidR="00AD1A7F" w:rsidRPr="00A94D8B" w:rsidRDefault="00AD1A7F" w:rsidP="00AD1C0A">
      <w:pPr>
        <w:pStyle w:val="ListParagraph"/>
        <w:numPr>
          <w:ilvl w:val="0"/>
          <w:numId w:val="7"/>
        </w:numPr>
      </w:pPr>
      <w:r w:rsidRPr="00A94D8B">
        <w:t>To what extent has the programme contributed to effective capacity building (</w:t>
      </w:r>
      <w:r w:rsidR="00C20D87" w:rsidRPr="00A94D8B">
        <w:t xml:space="preserve">= </w:t>
      </w:r>
      <w:r w:rsidRPr="00A94D8B">
        <w:t>an intermediate result contributin</w:t>
      </w:r>
      <w:r w:rsidR="006A0272" w:rsidRPr="00A94D8B">
        <w:t>g to achievement of objectives)?</w:t>
      </w:r>
    </w:p>
    <w:p w:rsidR="00AD1A7F" w:rsidRPr="00A94D8B" w:rsidRDefault="00AD1A7F" w:rsidP="00AD1C0A">
      <w:r w:rsidRPr="00A94D8B">
        <w:t xml:space="preserve">On </w:t>
      </w:r>
      <w:r w:rsidRPr="00A94D8B">
        <w:rPr>
          <w:b/>
        </w:rPr>
        <w:t>efficiency</w:t>
      </w:r>
      <w:r w:rsidRPr="00A94D8B">
        <w:t>:</w:t>
      </w:r>
    </w:p>
    <w:p w:rsidR="00AD1A7F" w:rsidRPr="00A94D8B" w:rsidRDefault="00AD1A7F" w:rsidP="00AD1C0A">
      <w:pPr>
        <w:ind w:left="709" w:hanging="425"/>
      </w:pPr>
      <w:r w:rsidRPr="00A94D8B">
        <w:t>6.</w:t>
      </w:r>
      <w:r w:rsidRPr="00A94D8B">
        <w:tab/>
        <w:t>To what extent are institutional arrangements and implementation modalities for ma</w:t>
      </w:r>
      <w:r w:rsidRPr="00A94D8B">
        <w:t>n</w:t>
      </w:r>
      <w:r w:rsidRPr="00A94D8B">
        <w:t>agement of the interventions appropriate (i.e. based on realistic assessments of co</w:t>
      </w:r>
      <w:r w:rsidRPr="00A94D8B">
        <w:t>n</w:t>
      </w:r>
      <w:r w:rsidRPr="00A94D8B">
        <w:t>texts and driven by principles of aid effectiveness) and functional?</w:t>
      </w:r>
    </w:p>
    <w:p w:rsidR="00AD1A7F" w:rsidRPr="00A94D8B" w:rsidRDefault="00AD1A7F" w:rsidP="00AD1C0A">
      <w:pPr>
        <w:ind w:left="709" w:hanging="425"/>
      </w:pPr>
      <w:r w:rsidRPr="00A94D8B">
        <w:t>7.</w:t>
      </w:r>
      <w:r w:rsidRPr="00A94D8B">
        <w:tab/>
        <w:t xml:space="preserve">To which extent has the programme established linkages and created synergies </w:t>
      </w:r>
      <w:r w:rsidR="0025537D" w:rsidRPr="00A94D8B">
        <w:t xml:space="preserve">(at national, regional and </w:t>
      </w:r>
      <w:r w:rsidR="00E3353C" w:rsidRPr="00A94D8B">
        <w:t>ACP/</w:t>
      </w:r>
      <w:r w:rsidR="0025537D" w:rsidRPr="00A94D8B">
        <w:t xml:space="preserve">global levels) </w:t>
      </w:r>
      <w:r w:rsidRPr="00A94D8B">
        <w:t>with other, related actions, including EU i</w:t>
      </w:r>
      <w:r w:rsidRPr="00A94D8B">
        <w:t>n</w:t>
      </w:r>
      <w:r w:rsidRPr="00A94D8B">
        <w:t>struments and actions</w:t>
      </w:r>
      <w:r w:rsidR="008B4A5F" w:rsidRPr="00A94D8B">
        <w:t xml:space="preserve">, </w:t>
      </w:r>
      <w:r w:rsidRPr="00A94D8B">
        <w:t xml:space="preserve">in line with the </w:t>
      </w:r>
      <w:r w:rsidR="008B4A5F" w:rsidRPr="00A94D8B">
        <w:t>harmonisation principle</w:t>
      </w:r>
      <w:r w:rsidRPr="00A94D8B">
        <w:t>?</w:t>
      </w:r>
    </w:p>
    <w:p w:rsidR="00AD1A7F" w:rsidRPr="00A94D8B" w:rsidRDefault="00AD1A7F" w:rsidP="00AD1C0A">
      <w:r w:rsidRPr="00A94D8B">
        <w:t xml:space="preserve">On </w:t>
      </w:r>
      <w:r w:rsidRPr="00A94D8B">
        <w:rPr>
          <w:b/>
        </w:rPr>
        <w:t>impact</w:t>
      </w:r>
      <w:r w:rsidRPr="00A94D8B">
        <w:t>:</w:t>
      </w:r>
    </w:p>
    <w:p w:rsidR="008B4A5F" w:rsidRPr="00A94D8B" w:rsidRDefault="00AD1A7F" w:rsidP="00AD1C0A">
      <w:pPr>
        <w:ind w:left="709" w:hanging="425"/>
      </w:pPr>
      <w:r w:rsidRPr="00A94D8B">
        <w:t>8.</w:t>
      </w:r>
      <w:r w:rsidRPr="00A94D8B">
        <w:tab/>
      </w:r>
      <w:r w:rsidR="008B4A5F" w:rsidRPr="00A94D8B">
        <w:t>To what extent has the programme contributed to achievement of overall objective</w:t>
      </w:r>
      <w:r w:rsidR="00C20D87" w:rsidRPr="00A94D8B">
        <w:t>s</w:t>
      </w:r>
      <w:r w:rsidR="008B4A5F" w:rsidRPr="00A94D8B">
        <w:t>?</w:t>
      </w:r>
    </w:p>
    <w:p w:rsidR="008B4A5F" w:rsidRPr="00A94D8B" w:rsidRDefault="00D930EF" w:rsidP="00AD1C0A">
      <w:pPr>
        <w:ind w:left="709"/>
        <w:rPr>
          <w:i/>
        </w:rPr>
      </w:pPr>
      <w:r w:rsidRPr="00A94D8B">
        <w:t xml:space="preserve">For </w:t>
      </w:r>
      <w:r w:rsidR="00C577AC" w:rsidRPr="00A94D8B">
        <w:t xml:space="preserve">the </w:t>
      </w:r>
      <w:r w:rsidRPr="00A94D8B">
        <w:t>Intra-</w:t>
      </w:r>
      <w:r w:rsidR="008B4A5F" w:rsidRPr="00A94D8B">
        <w:t>ACP GCCA</w:t>
      </w:r>
      <w:r w:rsidR="00C577AC" w:rsidRPr="00A94D8B">
        <w:t xml:space="preserve"> this objective is </w:t>
      </w:r>
      <w:r w:rsidR="008B4A5F" w:rsidRPr="00A94D8B">
        <w:rPr>
          <w:i/>
        </w:rPr>
        <w:t xml:space="preserve">to reduce poverty by enabling countries to adopt productive capacities for a sustainable climate change adaptation.  </w:t>
      </w:r>
    </w:p>
    <w:p w:rsidR="00AD1A7F" w:rsidRPr="00A94D8B" w:rsidRDefault="00AD1A7F" w:rsidP="00AD1C0A">
      <w:pPr>
        <w:ind w:left="709" w:hanging="425"/>
      </w:pPr>
      <w:r w:rsidRPr="00A94D8B">
        <w:t>9.</w:t>
      </w:r>
      <w:r w:rsidRPr="00A94D8B">
        <w:tab/>
        <w:t xml:space="preserve">To which extent does the programme contribute to visibility and a good reputation of the EU’s </w:t>
      </w:r>
      <w:r w:rsidR="00E3353C" w:rsidRPr="00A94D8B">
        <w:t xml:space="preserve">and ACP’s </w:t>
      </w:r>
      <w:r w:rsidRPr="00A94D8B">
        <w:t>actions in the field of climate change?</w:t>
      </w:r>
    </w:p>
    <w:p w:rsidR="00AD1A7F" w:rsidRPr="00A94D8B" w:rsidRDefault="00AD1A7F" w:rsidP="00AD1C0A">
      <w:r w:rsidRPr="00A94D8B">
        <w:t xml:space="preserve">On </w:t>
      </w:r>
      <w:r w:rsidRPr="00A94D8B">
        <w:rPr>
          <w:b/>
        </w:rPr>
        <w:t>sustainability</w:t>
      </w:r>
      <w:r w:rsidRPr="00A94D8B">
        <w:t>:</w:t>
      </w:r>
    </w:p>
    <w:p w:rsidR="005B227C" w:rsidRPr="00A94D8B" w:rsidRDefault="00AD1A7F" w:rsidP="005B227C">
      <w:pPr>
        <w:ind w:left="709" w:hanging="425"/>
      </w:pPr>
      <w:r w:rsidRPr="00A94D8B">
        <w:t>10.</w:t>
      </w:r>
      <w:r w:rsidRPr="00A94D8B">
        <w:tab/>
        <w:t>To what extent are the conditions met and mechanisms in place to sustain programme results and ensure a continued flow of benefits to beneficiaries?</w:t>
      </w:r>
      <w:r w:rsidR="005B227C" w:rsidRPr="00A94D8B">
        <w:t xml:space="preserve">                                      </w:t>
      </w:r>
    </w:p>
    <w:p w:rsidR="00736C2C" w:rsidRPr="00A94D8B" w:rsidRDefault="005B227C" w:rsidP="00FC2325">
      <w:pPr>
        <w:jc w:val="left"/>
      </w:pPr>
      <w:r w:rsidRPr="00A94D8B">
        <w:t>This evaluat</w:t>
      </w:r>
      <w:r w:rsidR="006A29AC" w:rsidRPr="00A94D8B">
        <w:t>ion also had a number of specific</w:t>
      </w:r>
      <w:r w:rsidRPr="00A94D8B">
        <w:t xml:space="preserve"> </w:t>
      </w:r>
      <w:r w:rsidR="00FB1FBD" w:rsidRPr="00A94D8B">
        <w:t>responsibilities in terms of gathering inform</w:t>
      </w:r>
      <w:r w:rsidR="00FB1FBD" w:rsidRPr="00A94D8B">
        <w:t>a</w:t>
      </w:r>
      <w:r w:rsidR="00FB1FBD" w:rsidRPr="00A94D8B">
        <w:t>tion and making recommendations.</w:t>
      </w:r>
      <w:r w:rsidRPr="00A94D8B">
        <w:t xml:space="preserve"> </w:t>
      </w:r>
      <w:r w:rsidR="00FB1FBD" w:rsidRPr="00A94D8B">
        <w:t>To this end, t</w:t>
      </w:r>
      <w:r w:rsidRPr="00A94D8B">
        <w:t>he role of the CSF in the Intra ACP Pr</w:t>
      </w:r>
      <w:r w:rsidRPr="00A94D8B">
        <w:t>o</w:t>
      </w:r>
      <w:r w:rsidRPr="00A94D8B">
        <w:t>gramme is analysed throughout the report, and an Aid</w:t>
      </w:r>
      <w:r w:rsidR="006B27C6" w:rsidRPr="00A94D8B">
        <w:t>e</w:t>
      </w:r>
      <w:r w:rsidRPr="00A94D8B">
        <w:t xml:space="preserve"> Memoire on the CSF can be found in the </w:t>
      </w:r>
      <w:r w:rsidR="006B27C6" w:rsidRPr="00A94D8B">
        <w:t>A</w:t>
      </w:r>
      <w:r w:rsidRPr="00A94D8B">
        <w:t>nnexes of this report.  The CSF has been operating for two years as a Support Facility to the Intra-ACP GCCA programme.</w:t>
      </w:r>
      <w:r w:rsidR="00736C2C" w:rsidRPr="00A94D8B">
        <w:t xml:space="preserve"> It is meant to be a demand-driven instrument responding to a wide range of needs emanating from beneficiaries and potential beneficiaries of Intra-ACP GCCA support.</w:t>
      </w:r>
      <w:r w:rsidRPr="00A94D8B">
        <w:t xml:space="preserve"> </w:t>
      </w:r>
      <w:r w:rsidR="00736C2C" w:rsidRPr="00A94D8B">
        <w:t>Also to be reviewed is the role the TA to ACP Secretariat has played in the programme and mo</w:t>
      </w:r>
      <w:r w:rsidR="006B27C6" w:rsidRPr="00A94D8B">
        <w:t xml:space="preserve">re </w:t>
      </w:r>
      <w:r w:rsidR="00736C2C" w:rsidRPr="00A94D8B">
        <w:t>specifically the contribution of the climate change specialist desi</w:t>
      </w:r>
      <w:r w:rsidR="00736C2C" w:rsidRPr="00A94D8B">
        <w:t>g</w:t>
      </w:r>
      <w:r w:rsidR="00736C2C" w:rsidRPr="00A94D8B">
        <w:t xml:space="preserve">nated to support the ACP Secretariat who is also known as the Technical Assistant to the ACP. </w:t>
      </w:r>
    </w:p>
    <w:p w:rsidR="005B227C" w:rsidRPr="00A94D8B" w:rsidRDefault="005B227C" w:rsidP="006B27C6">
      <w:r w:rsidRPr="00A94D8B">
        <w:t xml:space="preserve">In addition, </w:t>
      </w:r>
      <w:r w:rsidR="002D353D" w:rsidRPr="00A94D8B">
        <w:t>t</w:t>
      </w:r>
      <w:r w:rsidR="00FB1FBD" w:rsidRPr="00A94D8B">
        <w:t>he evaluation team was mandated</w:t>
      </w:r>
      <w:r w:rsidR="002D353D" w:rsidRPr="00A94D8B">
        <w:t xml:space="preserve"> to identify priorities and provide recomme</w:t>
      </w:r>
      <w:r w:rsidR="002D353D" w:rsidRPr="00A94D8B">
        <w:t>n</w:t>
      </w:r>
      <w:r w:rsidR="002D353D" w:rsidRPr="00A94D8B">
        <w:t xml:space="preserve">dation(s) for allocation of the remaining 0.5 million Euros from </w:t>
      </w:r>
      <w:r w:rsidR="00FB1FBD" w:rsidRPr="00A94D8B">
        <w:t xml:space="preserve">a </w:t>
      </w:r>
      <w:r w:rsidR="002D353D" w:rsidRPr="00A94D8B">
        <w:t xml:space="preserve">1.0 M Euros </w:t>
      </w:r>
      <w:r w:rsidR="00FB1FBD" w:rsidRPr="00A94D8B">
        <w:t xml:space="preserve">financial </w:t>
      </w:r>
      <w:r w:rsidR="002D353D" w:rsidRPr="00A94D8B">
        <w:t>e</w:t>
      </w:r>
      <w:r w:rsidR="002D353D" w:rsidRPr="00A94D8B">
        <w:t>n</w:t>
      </w:r>
      <w:r w:rsidR="00FB1FBD" w:rsidRPr="00A94D8B">
        <w:t xml:space="preserve">velop </w:t>
      </w:r>
      <w:r w:rsidR="002D353D" w:rsidRPr="00A94D8B">
        <w:t>allocated</w:t>
      </w:r>
      <w:r w:rsidR="00FB1FBD" w:rsidRPr="00A94D8B">
        <w:t xml:space="preserve"> to strengthen efforts</w:t>
      </w:r>
      <w:r w:rsidR="00A16E6F" w:rsidRPr="00A94D8B">
        <w:t xml:space="preserve"> to complement the implementation of the current pr</w:t>
      </w:r>
      <w:r w:rsidR="00A16E6F" w:rsidRPr="00A94D8B">
        <w:t>o</w:t>
      </w:r>
      <w:r w:rsidR="00A16E6F" w:rsidRPr="00A94D8B">
        <w:t xml:space="preserve">gramme.  </w:t>
      </w:r>
    </w:p>
    <w:p w:rsidR="001B649B" w:rsidRPr="00A94D8B" w:rsidRDefault="001B649B" w:rsidP="00AD1C0A">
      <w:pPr>
        <w:pStyle w:val="Heading3"/>
        <w:numPr>
          <w:ilvl w:val="2"/>
          <w:numId w:val="11"/>
        </w:numPr>
      </w:pPr>
      <w:bookmarkStart w:id="23" w:name="_Toc392064211"/>
      <w:bookmarkStart w:id="24" w:name="_Toc401041557"/>
      <w:r w:rsidRPr="00A94D8B">
        <w:t>Evaluation Matrix</w:t>
      </w:r>
      <w:bookmarkEnd w:id="23"/>
      <w:bookmarkEnd w:id="24"/>
    </w:p>
    <w:p w:rsidR="006A0272" w:rsidRPr="00A94D8B" w:rsidRDefault="00EC5001" w:rsidP="00AD1C0A">
      <w:pPr>
        <w:rPr>
          <w:rFonts w:cs="Tahoma"/>
          <w:szCs w:val="26"/>
        </w:rPr>
      </w:pPr>
      <w:r w:rsidRPr="00A94D8B">
        <w:rPr>
          <w:rFonts w:cs="Tahoma"/>
          <w:szCs w:val="26"/>
        </w:rPr>
        <w:t xml:space="preserve">The </w:t>
      </w:r>
      <w:r w:rsidR="001B649B" w:rsidRPr="00A94D8B">
        <w:rPr>
          <w:rFonts w:cs="Tahoma"/>
          <w:szCs w:val="26"/>
        </w:rPr>
        <w:t xml:space="preserve">ten </w:t>
      </w:r>
      <w:r w:rsidR="00013282" w:rsidRPr="00A94D8B">
        <w:rPr>
          <w:rFonts w:cs="Tahoma"/>
          <w:szCs w:val="26"/>
        </w:rPr>
        <w:t>Evaluation Questions</w:t>
      </w:r>
      <w:r w:rsidR="001B649B" w:rsidRPr="00A94D8B">
        <w:rPr>
          <w:rFonts w:cs="Tahoma"/>
          <w:szCs w:val="26"/>
        </w:rPr>
        <w:t xml:space="preserve"> were further broken down into sub-questions, as reflected in the evaluation matrix presented in </w:t>
      </w:r>
      <w:r w:rsidR="001B649B" w:rsidRPr="00A94D8B">
        <w:rPr>
          <w:rFonts w:cs="Tahoma"/>
          <w:i/>
          <w:szCs w:val="26"/>
        </w:rPr>
        <w:t xml:space="preserve">Annex </w:t>
      </w:r>
      <w:r w:rsidR="00A926DF" w:rsidRPr="00A94D8B">
        <w:rPr>
          <w:rFonts w:cs="Tahoma"/>
          <w:i/>
          <w:szCs w:val="26"/>
        </w:rPr>
        <w:t>4</w:t>
      </w:r>
      <w:r w:rsidR="00715629" w:rsidRPr="00A94D8B">
        <w:rPr>
          <w:rFonts w:cs="Tahoma"/>
          <w:i/>
          <w:szCs w:val="26"/>
        </w:rPr>
        <w:t>A</w:t>
      </w:r>
      <w:r w:rsidR="00013282" w:rsidRPr="00A94D8B">
        <w:rPr>
          <w:rFonts w:cs="Tahoma"/>
          <w:szCs w:val="26"/>
        </w:rPr>
        <w:t xml:space="preserve">. </w:t>
      </w:r>
      <w:r w:rsidR="000D3645" w:rsidRPr="00A94D8B">
        <w:rPr>
          <w:rFonts w:cs="Tahoma"/>
          <w:szCs w:val="26"/>
        </w:rPr>
        <w:t>For each of the</w:t>
      </w:r>
      <w:r w:rsidR="001B649B" w:rsidRPr="00A94D8B">
        <w:rPr>
          <w:rFonts w:cs="Tahoma"/>
          <w:szCs w:val="26"/>
        </w:rPr>
        <w:t xml:space="preserve"> EQs</w:t>
      </w:r>
      <w:r w:rsidR="000D3645" w:rsidRPr="00A94D8B">
        <w:rPr>
          <w:rFonts w:cs="Tahoma"/>
          <w:szCs w:val="26"/>
        </w:rPr>
        <w:t>, two to five judgement cr</w:t>
      </w:r>
      <w:r w:rsidR="000D3645" w:rsidRPr="00A94D8B">
        <w:rPr>
          <w:rFonts w:cs="Tahoma"/>
          <w:szCs w:val="26"/>
        </w:rPr>
        <w:t>i</w:t>
      </w:r>
      <w:r w:rsidR="000D3645" w:rsidRPr="00A94D8B">
        <w:rPr>
          <w:rFonts w:cs="Tahoma"/>
          <w:szCs w:val="26"/>
        </w:rPr>
        <w:t xml:space="preserve">teria </w:t>
      </w:r>
      <w:r w:rsidR="001B649B" w:rsidRPr="00A94D8B">
        <w:rPr>
          <w:rFonts w:cs="Tahoma"/>
          <w:szCs w:val="26"/>
        </w:rPr>
        <w:t xml:space="preserve">were </w:t>
      </w:r>
      <w:r w:rsidR="000D3645" w:rsidRPr="00A94D8B">
        <w:rPr>
          <w:rFonts w:cs="Tahoma"/>
          <w:szCs w:val="26"/>
        </w:rPr>
        <w:t xml:space="preserve">formulated (column </w:t>
      </w:r>
      <w:r w:rsidR="00856D63" w:rsidRPr="00A94D8B">
        <w:rPr>
          <w:rFonts w:cs="Tahoma"/>
          <w:szCs w:val="26"/>
        </w:rPr>
        <w:t>5</w:t>
      </w:r>
      <w:r w:rsidR="000D3645" w:rsidRPr="00A94D8B">
        <w:rPr>
          <w:rFonts w:cs="Tahoma"/>
          <w:szCs w:val="26"/>
        </w:rPr>
        <w:t xml:space="preserve">), with corresponding indicators (column </w:t>
      </w:r>
      <w:r w:rsidR="00856D63" w:rsidRPr="00A94D8B">
        <w:rPr>
          <w:rFonts w:cs="Tahoma"/>
          <w:szCs w:val="26"/>
        </w:rPr>
        <w:t>6</w:t>
      </w:r>
      <w:r w:rsidR="000D3645" w:rsidRPr="00A94D8B">
        <w:rPr>
          <w:rFonts w:cs="Tahoma"/>
          <w:szCs w:val="26"/>
        </w:rPr>
        <w:t xml:space="preserve">). Column </w:t>
      </w:r>
      <w:r w:rsidR="00856D63" w:rsidRPr="00A94D8B">
        <w:rPr>
          <w:rFonts w:cs="Tahoma"/>
          <w:szCs w:val="26"/>
        </w:rPr>
        <w:t>7</w:t>
      </w:r>
      <w:r w:rsidR="000D3645" w:rsidRPr="00A94D8B">
        <w:rPr>
          <w:rFonts w:cs="Tahoma"/>
          <w:szCs w:val="26"/>
        </w:rPr>
        <w:t xml:space="preserve"> me</w:t>
      </w:r>
      <w:r w:rsidR="000D3645" w:rsidRPr="00A94D8B">
        <w:rPr>
          <w:rFonts w:cs="Tahoma"/>
          <w:szCs w:val="26"/>
        </w:rPr>
        <w:t>n</w:t>
      </w:r>
      <w:r w:rsidR="000D3645" w:rsidRPr="00A94D8B">
        <w:rPr>
          <w:rFonts w:cs="Tahoma"/>
          <w:szCs w:val="26"/>
        </w:rPr>
        <w:t xml:space="preserve">tions the data and research actions required to answer the questions. </w:t>
      </w:r>
      <w:r w:rsidR="001B649B" w:rsidRPr="00A94D8B">
        <w:rPr>
          <w:rFonts w:cs="Tahoma"/>
          <w:szCs w:val="26"/>
        </w:rPr>
        <w:t>C</w:t>
      </w:r>
      <w:r w:rsidR="000D3645" w:rsidRPr="00A94D8B">
        <w:rPr>
          <w:rFonts w:cs="Tahoma"/>
          <w:szCs w:val="26"/>
        </w:rPr>
        <w:t xml:space="preserve">olumn </w:t>
      </w:r>
      <w:r w:rsidR="00856D63" w:rsidRPr="00A94D8B">
        <w:rPr>
          <w:rFonts w:cs="Tahoma"/>
          <w:szCs w:val="26"/>
        </w:rPr>
        <w:t>8</w:t>
      </w:r>
      <w:r w:rsidR="001B649B" w:rsidRPr="00A94D8B">
        <w:rPr>
          <w:rFonts w:cs="Tahoma"/>
          <w:szCs w:val="26"/>
        </w:rPr>
        <w:t xml:space="preserve"> </w:t>
      </w:r>
      <w:r w:rsidR="000D3645" w:rsidRPr="00A94D8B">
        <w:rPr>
          <w:rFonts w:cs="Tahoma"/>
          <w:szCs w:val="26"/>
        </w:rPr>
        <w:t>reflect</w:t>
      </w:r>
      <w:r w:rsidR="001B649B" w:rsidRPr="00A94D8B">
        <w:rPr>
          <w:rFonts w:cs="Tahoma"/>
          <w:szCs w:val="26"/>
        </w:rPr>
        <w:t>s</w:t>
      </w:r>
      <w:r w:rsidR="000D3645" w:rsidRPr="00A94D8B">
        <w:rPr>
          <w:rFonts w:cs="Tahoma"/>
          <w:szCs w:val="26"/>
        </w:rPr>
        <w:t xml:space="preserve"> the elements from the ToR that have been incorporated; </w:t>
      </w:r>
      <w:r w:rsidR="00856D63" w:rsidRPr="00A94D8B">
        <w:rPr>
          <w:rFonts w:cs="Tahoma"/>
          <w:szCs w:val="26"/>
        </w:rPr>
        <w:t>It is also indicated when the evaluation team has added criteria that were not explicitly mentioned in the ToR.</w:t>
      </w:r>
      <w:r w:rsidR="00C47538" w:rsidRPr="00A94D8B">
        <w:t xml:space="preserve"> </w:t>
      </w:r>
    </w:p>
    <w:p w:rsidR="006A0272" w:rsidRPr="00A94D8B" w:rsidRDefault="006A0272" w:rsidP="00AD1C0A">
      <w:r w:rsidRPr="00A94D8B">
        <w:t xml:space="preserve">The questions and sub-questions contained in the ToR were found to be of different orders; some were major evaluation questions and have been maintained as such; others have been converted into judgement criteria under the relevant EQ. In this way, all questions </w:t>
      </w:r>
      <w:r w:rsidR="001B649B" w:rsidRPr="00A94D8B">
        <w:t xml:space="preserve">were </w:t>
      </w:r>
      <w:r w:rsidRPr="00A94D8B">
        <w:t>clas</w:t>
      </w:r>
      <w:r w:rsidRPr="00A94D8B">
        <w:t>s</w:t>
      </w:r>
      <w:r w:rsidRPr="00A94D8B">
        <w:t xml:space="preserve">ified and found their place in the evaluation matrix. Cross-cutting issues such as gender, and ‘horizontal issues’ such as technical cooperation and capacity development </w:t>
      </w:r>
      <w:r w:rsidR="001B649B" w:rsidRPr="00A94D8B">
        <w:t>were al</w:t>
      </w:r>
      <w:r w:rsidRPr="00A94D8B">
        <w:t>so int</w:t>
      </w:r>
      <w:r w:rsidRPr="00A94D8B">
        <w:t>e</w:t>
      </w:r>
      <w:r w:rsidRPr="00A94D8B">
        <w:t xml:space="preserve">grated into the EQs in the form of judgement criteria.  </w:t>
      </w:r>
    </w:p>
    <w:p w:rsidR="001B649B" w:rsidRPr="00A94D8B" w:rsidRDefault="006A0272" w:rsidP="00AD1C0A">
      <w:pPr>
        <w:rPr>
          <w:rFonts w:cs="Tahoma"/>
          <w:szCs w:val="26"/>
        </w:rPr>
      </w:pPr>
      <w:r w:rsidRPr="00A94D8B">
        <w:rPr>
          <w:rFonts w:cs="Tahoma"/>
          <w:szCs w:val="26"/>
        </w:rPr>
        <w:t>T</w:t>
      </w:r>
      <w:r w:rsidR="00856D63" w:rsidRPr="00A94D8B">
        <w:rPr>
          <w:rFonts w:cs="Tahoma"/>
          <w:szCs w:val="26"/>
        </w:rPr>
        <w:t>he first two columns indicate whether the questions and criteria apply to the GCCA</w:t>
      </w:r>
      <w:r w:rsidR="00B53537" w:rsidRPr="00A94D8B">
        <w:rPr>
          <w:rFonts w:cs="Tahoma"/>
          <w:szCs w:val="26"/>
        </w:rPr>
        <w:t xml:space="preserve"> initi</w:t>
      </w:r>
      <w:r w:rsidR="00B53537" w:rsidRPr="00A94D8B">
        <w:rPr>
          <w:rFonts w:cs="Tahoma"/>
          <w:szCs w:val="26"/>
        </w:rPr>
        <w:t>a</w:t>
      </w:r>
      <w:r w:rsidR="00B53537" w:rsidRPr="00A94D8B">
        <w:rPr>
          <w:rFonts w:cs="Tahoma"/>
          <w:szCs w:val="26"/>
        </w:rPr>
        <w:t>tive</w:t>
      </w:r>
      <w:r w:rsidR="00856D63" w:rsidRPr="00A94D8B">
        <w:rPr>
          <w:rFonts w:cs="Tahoma"/>
          <w:szCs w:val="26"/>
        </w:rPr>
        <w:t xml:space="preserve">, to the Intra ACP GCCA </w:t>
      </w:r>
      <w:r w:rsidR="00B53537" w:rsidRPr="00A94D8B">
        <w:rPr>
          <w:rFonts w:cs="Tahoma"/>
          <w:szCs w:val="26"/>
        </w:rPr>
        <w:t>programme or to both</w:t>
      </w:r>
      <w:r w:rsidR="00856D63" w:rsidRPr="00A94D8B">
        <w:rPr>
          <w:rFonts w:cs="Tahoma"/>
          <w:szCs w:val="26"/>
        </w:rPr>
        <w:t xml:space="preserve">. </w:t>
      </w:r>
      <w:r w:rsidR="00C47538" w:rsidRPr="00A94D8B">
        <w:rPr>
          <w:rFonts w:cs="Tahoma"/>
          <w:szCs w:val="26"/>
        </w:rPr>
        <w:t xml:space="preserve">Where appropriate, separate questions and judgement criteria </w:t>
      </w:r>
      <w:r w:rsidR="001B649B" w:rsidRPr="00A94D8B">
        <w:rPr>
          <w:rFonts w:cs="Tahoma"/>
          <w:szCs w:val="26"/>
        </w:rPr>
        <w:t xml:space="preserve">were </w:t>
      </w:r>
      <w:r w:rsidR="00C47538" w:rsidRPr="00A94D8B">
        <w:rPr>
          <w:rFonts w:cs="Tahoma"/>
          <w:szCs w:val="26"/>
        </w:rPr>
        <w:t xml:space="preserve">formulated for the </w:t>
      </w:r>
      <w:r w:rsidR="00EC52E0">
        <w:rPr>
          <w:rFonts w:cs="Tahoma"/>
          <w:szCs w:val="26"/>
        </w:rPr>
        <w:t xml:space="preserve">GCCA and the </w:t>
      </w:r>
      <w:r w:rsidR="00B53537" w:rsidRPr="00A94D8B">
        <w:rPr>
          <w:rFonts w:cs="Tahoma"/>
          <w:szCs w:val="26"/>
        </w:rPr>
        <w:t>Intra-ACP programme</w:t>
      </w:r>
      <w:r w:rsidR="00EC52E0">
        <w:rPr>
          <w:rFonts w:cs="Tahoma"/>
          <w:szCs w:val="26"/>
        </w:rPr>
        <w:t xml:space="preserve">s. This was done to respond to </w:t>
      </w:r>
      <w:r w:rsidR="00C47538" w:rsidRPr="00A94D8B">
        <w:rPr>
          <w:rFonts w:cs="Tahoma"/>
          <w:szCs w:val="26"/>
        </w:rPr>
        <w:t>specific evaluation needs. Furthermore, the questions were tailored to the global/macro level and to the level of individual actions (the ‘micro-level’), as appropr</w:t>
      </w:r>
      <w:r w:rsidR="00C47538" w:rsidRPr="00A94D8B">
        <w:rPr>
          <w:rFonts w:cs="Tahoma"/>
          <w:szCs w:val="26"/>
        </w:rPr>
        <w:t>i</w:t>
      </w:r>
      <w:r w:rsidR="00C47538" w:rsidRPr="00A94D8B">
        <w:rPr>
          <w:rFonts w:cs="Tahoma"/>
          <w:szCs w:val="26"/>
        </w:rPr>
        <w:t xml:space="preserve">ate. </w:t>
      </w:r>
    </w:p>
    <w:p w:rsidR="00A41356" w:rsidRPr="00A94D8B" w:rsidRDefault="00940ADF" w:rsidP="00AD1C0A">
      <w:r w:rsidRPr="00A94D8B">
        <w:t>Since no logical framework</w:t>
      </w:r>
      <w:r w:rsidR="003918A1" w:rsidRPr="00A94D8B">
        <w:t xml:space="preserve"> exists for the </w:t>
      </w:r>
      <w:r w:rsidR="00B61663" w:rsidRPr="00A94D8B">
        <w:t xml:space="preserve">overall </w:t>
      </w:r>
      <w:r w:rsidR="003918A1" w:rsidRPr="00A94D8B">
        <w:t>GCCA initiative</w:t>
      </w:r>
      <w:r w:rsidRPr="00A94D8B">
        <w:t xml:space="preserve"> to </w:t>
      </w:r>
      <w:r w:rsidR="003918A1" w:rsidRPr="00A94D8B">
        <w:t>which the evaluation c</w:t>
      </w:r>
      <w:r w:rsidR="00B61663" w:rsidRPr="00A94D8B">
        <w:t>ould</w:t>
      </w:r>
      <w:r w:rsidR="003918A1" w:rsidRPr="00A94D8B">
        <w:t xml:space="preserve"> </w:t>
      </w:r>
      <w:r w:rsidRPr="00A94D8B">
        <w:t>refe</w:t>
      </w:r>
      <w:r w:rsidR="003918A1" w:rsidRPr="00A94D8B">
        <w:t>r</w:t>
      </w:r>
      <w:r w:rsidRPr="00A94D8B">
        <w:t>, the evaluation team reconstruct</w:t>
      </w:r>
      <w:r w:rsidR="00D44E0B" w:rsidRPr="00A94D8B">
        <w:t>ed</w:t>
      </w:r>
      <w:r w:rsidRPr="00A94D8B">
        <w:t xml:space="preserve"> a results chain</w:t>
      </w:r>
      <w:r w:rsidR="00D44E0B" w:rsidRPr="00A94D8B">
        <w:t xml:space="preserve">, </w:t>
      </w:r>
      <w:r w:rsidRPr="00A94D8B">
        <w:t xml:space="preserve">presented in </w:t>
      </w:r>
      <w:r w:rsidRPr="00A94D8B">
        <w:rPr>
          <w:i/>
        </w:rPr>
        <w:t xml:space="preserve">Annex </w:t>
      </w:r>
      <w:r w:rsidR="00715629" w:rsidRPr="00A94D8B">
        <w:rPr>
          <w:i/>
        </w:rPr>
        <w:t>6</w:t>
      </w:r>
      <w:r w:rsidR="00B61663" w:rsidRPr="00A94D8B">
        <w:rPr>
          <w:i/>
        </w:rPr>
        <w:t xml:space="preserve">, </w:t>
      </w:r>
      <w:r w:rsidR="00D44E0B" w:rsidRPr="00A94D8B">
        <w:t xml:space="preserve">which </w:t>
      </w:r>
      <w:r w:rsidR="00B61663" w:rsidRPr="00A94D8B">
        <w:t xml:space="preserve">served for further elaboration of </w:t>
      </w:r>
      <w:r w:rsidRPr="00A94D8B">
        <w:t>the evaluation matrix</w:t>
      </w:r>
      <w:r w:rsidR="00B61663" w:rsidRPr="00A94D8B">
        <w:t xml:space="preserve">. </w:t>
      </w:r>
    </w:p>
    <w:p w:rsidR="001B649B" w:rsidRPr="00A94D8B" w:rsidRDefault="001B649B" w:rsidP="00AD1C0A">
      <w:pPr>
        <w:pStyle w:val="Heading3"/>
        <w:numPr>
          <w:ilvl w:val="2"/>
          <w:numId w:val="11"/>
        </w:numPr>
      </w:pPr>
      <w:bookmarkStart w:id="25" w:name="_Toc392064212"/>
      <w:bookmarkStart w:id="26" w:name="_Toc401041558"/>
      <w:r w:rsidRPr="00A94D8B">
        <w:t>Scoring table</w:t>
      </w:r>
      <w:bookmarkEnd w:id="25"/>
      <w:bookmarkEnd w:id="26"/>
    </w:p>
    <w:p w:rsidR="001B649B" w:rsidRPr="00A94D8B" w:rsidRDefault="00B62D31" w:rsidP="00AD1C0A">
      <w:r w:rsidRPr="00A94D8B">
        <w:t xml:space="preserve">A </w:t>
      </w:r>
      <w:r w:rsidR="00A926DF" w:rsidRPr="00A94D8B">
        <w:t xml:space="preserve">third </w:t>
      </w:r>
      <w:r w:rsidRPr="00A94D8B">
        <w:t xml:space="preserve">tool </w:t>
      </w:r>
      <w:r w:rsidR="001B649B" w:rsidRPr="00A94D8B">
        <w:t xml:space="preserve">used </w:t>
      </w:r>
      <w:r w:rsidRPr="00A94D8B">
        <w:t xml:space="preserve">for processing the large amount of data </w:t>
      </w:r>
      <w:r w:rsidR="00E34B43" w:rsidRPr="00A94D8B">
        <w:t xml:space="preserve">collected </w:t>
      </w:r>
      <w:r w:rsidR="00F950A6" w:rsidRPr="00A94D8B">
        <w:t xml:space="preserve">during </w:t>
      </w:r>
      <w:r w:rsidR="00E34B43" w:rsidRPr="00A94D8B">
        <w:t>the field phase</w:t>
      </w:r>
      <w:r w:rsidR="001B649B" w:rsidRPr="00A94D8B">
        <w:t xml:space="preserve"> is a scoring </w:t>
      </w:r>
      <w:r w:rsidR="001F5B08" w:rsidRPr="00A94D8B">
        <w:t xml:space="preserve">table, </w:t>
      </w:r>
      <w:r w:rsidR="001B649B" w:rsidRPr="00A94D8B">
        <w:t>in which the various components and interventions evaluated across the 13 cou</w:t>
      </w:r>
      <w:r w:rsidR="001F5B08" w:rsidRPr="00A94D8B">
        <w:t xml:space="preserve">ntries visited are </w:t>
      </w:r>
      <w:r w:rsidR="001B649B" w:rsidRPr="00A94D8B">
        <w:t>reported, grouped by funding source, programme, region and/or comp</w:t>
      </w:r>
      <w:r w:rsidR="001B649B" w:rsidRPr="00A94D8B">
        <w:t>o</w:t>
      </w:r>
      <w:r w:rsidR="001B649B" w:rsidRPr="00A94D8B">
        <w:t xml:space="preserve">nent. </w:t>
      </w:r>
      <w:r w:rsidR="001F5B08" w:rsidRPr="00A94D8B">
        <w:t xml:space="preserve">The scoring table is presented in </w:t>
      </w:r>
      <w:r w:rsidR="001F5B08" w:rsidRPr="00A94D8B">
        <w:rPr>
          <w:i/>
        </w:rPr>
        <w:t xml:space="preserve">Annex </w:t>
      </w:r>
      <w:r w:rsidR="00715629" w:rsidRPr="00A94D8B">
        <w:rPr>
          <w:i/>
        </w:rPr>
        <w:t>4B</w:t>
      </w:r>
      <w:r w:rsidR="001F5B08" w:rsidRPr="00A94D8B">
        <w:t xml:space="preserve">. </w:t>
      </w:r>
      <w:r w:rsidR="001B649B" w:rsidRPr="00A94D8B">
        <w:t xml:space="preserve">For each of the EQs, a score </w:t>
      </w:r>
      <w:r w:rsidR="001F5B08" w:rsidRPr="00A94D8B">
        <w:t xml:space="preserve">was </w:t>
      </w:r>
      <w:r w:rsidR="001B649B" w:rsidRPr="00A94D8B">
        <w:t xml:space="preserve">attributed, in analogy to the scoring system in the ROM methodology (a score ranging from </w:t>
      </w:r>
      <w:r w:rsidR="001B649B" w:rsidRPr="00A94D8B">
        <w:rPr>
          <w:i/>
        </w:rPr>
        <w:t>‘a’</w:t>
      </w:r>
      <w:r w:rsidR="001B649B" w:rsidRPr="00A94D8B">
        <w:t xml:space="preserve"> (very good) to </w:t>
      </w:r>
      <w:r w:rsidR="001B649B" w:rsidRPr="00A94D8B">
        <w:rPr>
          <w:i/>
        </w:rPr>
        <w:t>‘d’</w:t>
      </w:r>
      <w:r w:rsidR="001B649B" w:rsidRPr="00A94D8B">
        <w:t xml:space="preserve"> (serious deficiencies)</w:t>
      </w:r>
      <w:r w:rsidR="000B0643">
        <w:t>)</w:t>
      </w:r>
      <w:r w:rsidR="001B649B" w:rsidRPr="00A94D8B">
        <w:t>. Th</w:t>
      </w:r>
      <w:r w:rsidR="001F5B08" w:rsidRPr="00A94D8B">
        <w:t>e resulting table a</w:t>
      </w:r>
      <w:r w:rsidR="001B649B" w:rsidRPr="00A94D8B">
        <w:t>llow</w:t>
      </w:r>
      <w:r w:rsidR="001F5B08" w:rsidRPr="00A94D8B">
        <w:t>s</w:t>
      </w:r>
      <w:r w:rsidR="001B649B" w:rsidRPr="00A94D8B">
        <w:t xml:space="preserve"> for a synthetic overview of performance of the various interventions in the different regions, on the one hand, and of e</w:t>
      </w:r>
      <w:r w:rsidR="001B649B" w:rsidRPr="00A94D8B">
        <w:t>v</w:t>
      </w:r>
      <w:r w:rsidR="001B649B" w:rsidRPr="00A94D8B">
        <w:t>aluation questions and criteria on the other</w:t>
      </w:r>
      <w:r w:rsidR="001F5B08" w:rsidRPr="00A94D8B">
        <w:t xml:space="preserve">, for </w:t>
      </w:r>
      <w:r w:rsidR="001B649B" w:rsidRPr="00A94D8B">
        <w:t>the Intra- ACP GCCA programme</w:t>
      </w:r>
      <w:r w:rsidR="001F5B08" w:rsidRPr="00A94D8B">
        <w:t xml:space="preserve"> and </w:t>
      </w:r>
      <w:r w:rsidR="001B649B" w:rsidRPr="00A94D8B">
        <w:t xml:space="preserve">the </w:t>
      </w:r>
      <w:r w:rsidR="001F5B08" w:rsidRPr="00A94D8B">
        <w:t xml:space="preserve">global </w:t>
      </w:r>
      <w:r w:rsidR="001B649B" w:rsidRPr="00A94D8B">
        <w:t xml:space="preserve">GCCA and their various components. </w:t>
      </w:r>
      <w:r w:rsidR="004A7797" w:rsidRPr="00A94D8B">
        <w:t>The results of the rating are discussed in Cha</w:t>
      </w:r>
      <w:r w:rsidR="004A7797" w:rsidRPr="00A94D8B">
        <w:t>p</w:t>
      </w:r>
      <w:r w:rsidR="004A7797" w:rsidRPr="00A94D8B">
        <w:t xml:space="preserve">ter 4 on Overall </w:t>
      </w:r>
      <w:r w:rsidR="00715629" w:rsidRPr="00A94D8B">
        <w:t>Assessment</w:t>
      </w:r>
      <w:r w:rsidR="0030418D" w:rsidRPr="00A94D8B">
        <w:t xml:space="preserve">, and synthesised in Table 1 on page 40. </w:t>
      </w:r>
    </w:p>
    <w:p w:rsidR="00A926DF" w:rsidRPr="00A94D8B" w:rsidRDefault="00C26500" w:rsidP="00AD1C0A">
      <w:pPr>
        <w:pStyle w:val="Heading3"/>
        <w:numPr>
          <w:ilvl w:val="2"/>
          <w:numId w:val="11"/>
        </w:numPr>
      </w:pPr>
      <w:bookmarkStart w:id="27" w:name="_Toc392064213"/>
      <w:bookmarkStart w:id="28" w:name="_Toc401041559"/>
      <w:r w:rsidRPr="00A94D8B">
        <w:t>Reflections on the methodology</w:t>
      </w:r>
      <w:bookmarkEnd w:id="27"/>
      <w:bookmarkEnd w:id="28"/>
      <w:r w:rsidR="00A926DF" w:rsidRPr="00A94D8B">
        <w:t xml:space="preserve"> </w:t>
      </w:r>
    </w:p>
    <w:p w:rsidR="00712EB7" w:rsidRPr="00A94D8B" w:rsidRDefault="00A926DF" w:rsidP="00AD1C0A">
      <w:r w:rsidRPr="00A94D8B">
        <w:t>During the evaluation and the field missions, the evaluation team encountered a number of difficulties and challenges, an</w:t>
      </w:r>
      <w:r w:rsidR="004A7797" w:rsidRPr="00A94D8B">
        <w:t>d several lessons were learned. Most of them evolve around trying to make important decisions on programmes with</w:t>
      </w:r>
      <w:r w:rsidR="00926AEF" w:rsidRPr="00A94D8B">
        <w:t>in</w:t>
      </w:r>
      <w:r w:rsidR="004A7797" w:rsidRPr="00A94D8B">
        <w:t xml:space="preserve"> a very short amount of field time.</w:t>
      </w:r>
      <w:r w:rsidR="00712EB7" w:rsidRPr="00A94D8B">
        <w:t xml:space="preserve"> Typically</w:t>
      </w:r>
      <w:r w:rsidR="002908D3" w:rsidRPr="00A94D8B">
        <w:t>, evaluation</w:t>
      </w:r>
      <w:r w:rsidR="00926AEF" w:rsidRPr="00A94D8B">
        <w:t xml:space="preserve"> team members</w:t>
      </w:r>
      <w:r w:rsidR="00712EB7" w:rsidRPr="00A94D8B">
        <w:t xml:space="preserve"> would spend two to three days in the field for the r</w:t>
      </w:r>
      <w:r w:rsidR="00712EB7" w:rsidRPr="00A94D8B">
        <w:t>e</w:t>
      </w:r>
      <w:r w:rsidR="00712EB7" w:rsidRPr="00A94D8B">
        <w:t>gional programme evaluations.</w:t>
      </w:r>
      <w:r w:rsidR="004A7797" w:rsidRPr="00A94D8B">
        <w:t xml:space="preserve"> The reality is that </w:t>
      </w:r>
      <w:r w:rsidR="00712EB7" w:rsidRPr="00A94D8B">
        <w:t xml:space="preserve">this </w:t>
      </w:r>
      <w:r w:rsidR="00926AEF" w:rsidRPr="00A94D8B">
        <w:t>was insufficient; e</w:t>
      </w:r>
      <w:r w:rsidR="00712EB7" w:rsidRPr="00A94D8B">
        <w:t>ach regional pr</w:t>
      </w:r>
      <w:r w:rsidR="00712EB7" w:rsidRPr="00A94D8B">
        <w:t>o</w:t>
      </w:r>
      <w:r w:rsidR="00712EB7" w:rsidRPr="00A94D8B">
        <w:t>gramme is very complex. There was a need to visit not only the country where the headqua</w:t>
      </w:r>
      <w:r w:rsidR="00712EB7" w:rsidRPr="00A94D8B">
        <w:t>r</w:t>
      </w:r>
      <w:r w:rsidR="00712EB7" w:rsidRPr="00A94D8B">
        <w:t xml:space="preserve">ters of the regional programme </w:t>
      </w:r>
      <w:r w:rsidR="002908D3" w:rsidRPr="00A94D8B">
        <w:t xml:space="preserve">was found </w:t>
      </w:r>
      <w:r w:rsidR="00712EB7" w:rsidRPr="00A94D8B">
        <w:t>but possibly two or three other countries to see what was taking place. For the evaluation of the COMESA programme</w:t>
      </w:r>
      <w:r w:rsidR="00926AEF" w:rsidRPr="00A94D8B">
        <w:t>,</w:t>
      </w:r>
      <w:r w:rsidR="00712EB7" w:rsidRPr="00A94D8B">
        <w:t xml:space="preserve"> </w:t>
      </w:r>
      <w:r w:rsidR="00926AEF" w:rsidRPr="00A94D8B">
        <w:t xml:space="preserve">for example, </w:t>
      </w:r>
      <w:r w:rsidR="00712EB7" w:rsidRPr="00A94D8B">
        <w:t xml:space="preserve">a visit was made to </w:t>
      </w:r>
      <w:r w:rsidR="002908D3" w:rsidRPr="00A94D8B">
        <w:t xml:space="preserve">one </w:t>
      </w:r>
      <w:r w:rsidR="00712EB7" w:rsidRPr="00A94D8B">
        <w:t>other country that wa</w:t>
      </w:r>
      <w:r w:rsidR="002908D3" w:rsidRPr="00A94D8B">
        <w:t>s part of the programme but stakeholders in that cou</w:t>
      </w:r>
      <w:r w:rsidR="002908D3" w:rsidRPr="00A94D8B">
        <w:t>n</w:t>
      </w:r>
      <w:r w:rsidR="002908D3" w:rsidRPr="00A94D8B">
        <w:t>try had little</w:t>
      </w:r>
      <w:r w:rsidR="00712EB7" w:rsidRPr="00A94D8B">
        <w:t xml:space="preserve"> knowledge about the regional programme. </w:t>
      </w:r>
      <w:r w:rsidR="00926AEF" w:rsidRPr="00A94D8B">
        <w:t xml:space="preserve">In other words, time allocations for the country visits were largely insufficient. </w:t>
      </w:r>
    </w:p>
    <w:p w:rsidR="00A926DF" w:rsidRPr="00A94D8B" w:rsidRDefault="002908D3" w:rsidP="00AD1C0A">
      <w:r w:rsidRPr="00A94D8B">
        <w:t xml:space="preserve">In support of the evaluation of </w:t>
      </w:r>
      <w:r w:rsidR="00F83240" w:rsidRPr="00A94D8B">
        <w:t xml:space="preserve">the Intra ACP </w:t>
      </w:r>
      <w:r w:rsidRPr="00A94D8B">
        <w:t xml:space="preserve">Programme </w:t>
      </w:r>
      <w:r w:rsidR="00F83240" w:rsidRPr="00A94D8B">
        <w:t xml:space="preserve">there were </w:t>
      </w:r>
      <w:r w:rsidRPr="00A94D8B">
        <w:t xml:space="preserve">essentially </w:t>
      </w:r>
      <w:r w:rsidR="00F83240" w:rsidRPr="00A94D8B">
        <w:t>five eval</w:t>
      </w:r>
      <w:r w:rsidR="00F83240" w:rsidRPr="00A94D8B">
        <w:t>u</w:t>
      </w:r>
      <w:r w:rsidR="00F83240" w:rsidRPr="00A94D8B">
        <w:t>ations con</w:t>
      </w:r>
      <w:r w:rsidR="00712EB7" w:rsidRPr="00A94D8B">
        <w:t xml:space="preserve">ducted of five </w:t>
      </w:r>
      <w:r w:rsidRPr="00A94D8B">
        <w:t xml:space="preserve">individual </w:t>
      </w:r>
      <w:r w:rsidR="00712EB7" w:rsidRPr="00A94D8B">
        <w:t>pro</w:t>
      </w:r>
      <w:r w:rsidRPr="00A94D8B">
        <w:t>grammes within a very short period of time</w:t>
      </w:r>
      <w:r w:rsidR="00F83240" w:rsidRPr="00A94D8B">
        <w:t xml:space="preserve">. </w:t>
      </w:r>
      <w:r w:rsidR="00712EB7" w:rsidRPr="00A94D8B">
        <w:t>They all de</w:t>
      </w:r>
      <w:r w:rsidRPr="00A94D8B">
        <w:t xml:space="preserve">served the </w:t>
      </w:r>
      <w:r w:rsidR="00712EB7" w:rsidRPr="00A94D8B">
        <w:t>amoun</w:t>
      </w:r>
      <w:r w:rsidRPr="00A94D8B">
        <w:t>t of attention</w:t>
      </w:r>
      <w:r w:rsidR="00712EB7" w:rsidRPr="00A94D8B">
        <w:t xml:space="preserve"> that any programme evaluation would deserve. </w:t>
      </w:r>
      <w:r w:rsidR="00BD11FE" w:rsidRPr="00A94D8B">
        <w:t xml:space="preserve">For </w:t>
      </w:r>
      <w:r w:rsidR="00F83240" w:rsidRPr="00A94D8B">
        <w:t>eval</w:t>
      </w:r>
      <w:r w:rsidR="00F83240" w:rsidRPr="00A94D8B">
        <w:t>u</w:t>
      </w:r>
      <w:r w:rsidR="00F83240" w:rsidRPr="00A94D8B">
        <w:t>ators</w:t>
      </w:r>
      <w:r w:rsidR="00BD11FE" w:rsidRPr="00A94D8B">
        <w:t>,</w:t>
      </w:r>
      <w:r w:rsidR="00F83240" w:rsidRPr="00A94D8B">
        <w:t xml:space="preserve"> there is a professional obliga</w:t>
      </w:r>
      <w:r w:rsidR="00712EB7" w:rsidRPr="00A94D8B">
        <w:t xml:space="preserve">tion </w:t>
      </w:r>
      <w:r w:rsidR="00F83240" w:rsidRPr="00A94D8B">
        <w:t>to ensure that stan</w:t>
      </w:r>
      <w:r w:rsidR="00712EB7" w:rsidRPr="00A94D8B">
        <w:t>dard evaluation</w:t>
      </w:r>
      <w:r w:rsidR="00F83240" w:rsidRPr="00A94D8B">
        <w:t xml:space="preserve"> procedures are fo</w:t>
      </w:r>
      <w:r w:rsidR="00F83240" w:rsidRPr="00A94D8B">
        <w:t>l</w:t>
      </w:r>
      <w:r w:rsidR="00F83240" w:rsidRPr="00A94D8B">
        <w:t xml:space="preserve">lowed such as the triangulation of information. In the methodology used for this evaluation this was not possible. This </w:t>
      </w:r>
      <w:r w:rsidR="00712EB7" w:rsidRPr="00A94D8B">
        <w:t xml:space="preserve">is </w:t>
      </w:r>
      <w:r w:rsidR="00F83240" w:rsidRPr="00A94D8B">
        <w:t xml:space="preserve">why </w:t>
      </w:r>
      <w:r w:rsidR="00712EB7" w:rsidRPr="00A94D8B">
        <w:t>now</w:t>
      </w:r>
      <w:r w:rsidR="00BD11FE" w:rsidRPr="00A94D8B">
        <w:t>,</w:t>
      </w:r>
      <w:r w:rsidR="00712EB7" w:rsidRPr="00A94D8B">
        <w:t xml:space="preserve"> </w:t>
      </w:r>
      <w:r w:rsidR="00F83240" w:rsidRPr="00A94D8B">
        <w:t>for example</w:t>
      </w:r>
      <w:r w:rsidR="00712EB7" w:rsidRPr="00A94D8B">
        <w:t xml:space="preserve">, </w:t>
      </w:r>
      <w:r w:rsidR="00BD11FE" w:rsidRPr="00A94D8B">
        <w:t xml:space="preserve">for </w:t>
      </w:r>
      <w:r w:rsidR="00712EB7" w:rsidRPr="00A94D8B">
        <w:t xml:space="preserve">the </w:t>
      </w:r>
      <w:r w:rsidR="00BD11FE" w:rsidRPr="00A94D8B">
        <w:t>ClimD</w:t>
      </w:r>
      <w:r w:rsidR="00F83240" w:rsidRPr="00A94D8B">
        <w:t xml:space="preserve">ev and COMESA </w:t>
      </w:r>
      <w:r w:rsidR="00712EB7" w:rsidRPr="00A94D8B">
        <w:t>pr</w:t>
      </w:r>
      <w:r w:rsidR="00712EB7" w:rsidRPr="00A94D8B">
        <w:t>o</w:t>
      </w:r>
      <w:r w:rsidR="00712EB7" w:rsidRPr="00A94D8B">
        <w:t>grammes</w:t>
      </w:r>
      <w:r w:rsidR="00BD11FE" w:rsidRPr="00A94D8B">
        <w:t>,</w:t>
      </w:r>
      <w:r w:rsidR="00712EB7" w:rsidRPr="00A94D8B">
        <w:t xml:space="preserve"> r</w:t>
      </w:r>
      <w:r w:rsidR="00F83240" w:rsidRPr="00A94D8B">
        <w:t>ecommendations were made in their</w:t>
      </w:r>
      <w:r w:rsidR="00712EB7" w:rsidRPr="00A94D8B">
        <w:t xml:space="preserve"> respective</w:t>
      </w:r>
      <w:r w:rsidR="00F83240" w:rsidRPr="00A94D8B">
        <w:t xml:space="preserve"> aid</w:t>
      </w:r>
      <w:r w:rsidR="00BD11FE" w:rsidRPr="00A94D8B">
        <w:t>e</w:t>
      </w:r>
      <w:r w:rsidR="00F83240" w:rsidRPr="00A94D8B">
        <w:t>-memoires to undertake co</w:t>
      </w:r>
      <w:r w:rsidR="00F83240" w:rsidRPr="00A94D8B">
        <w:t>m</w:t>
      </w:r>
      <w:r w:rsidR="00F83240" w:rsidRPr="00A94D8B">
        <w:t>prehensive evaluations</w:t>
      </w:r>
      <w:r w:rsidR="00BD11FE" w:rsidRPr="00A94D8B">
        <w:t>,</w:t>
      </w:r>
      <w:r w:rsidR="00F83240" w:rsidRPr="00A94D8B">
        <w:t xml:space="preserve"> as this was deemed the only way to properly understand what is ta</w:t>
      </w:r>
      <w:r w:rsidR="00F83240" w:rsidRPr="00A94D8B">
        <w:t>k</w:t>
      </w:r>
      <w:r w:rsidR="00F83240" w:rsidRPr="00A94D8B">
        <w:t>ing place with</w:t>
      </w:r>
      <w:r w:rsidR="00BD11FE" w:rsidRPr="00A94D8B">
        <w:t>in</w:t>
      </w:r>
      <w:r w:rsidR="000B0643">
        <w:t xml:space="preserve"> these programmes. </w:t>
      </w:r>
      <w:r w:rsidR="00F83240" w:rsidRPr="00A94D8B">
        <w:t>With some programmes</w:t>
      </w:r>
      <w:r w:rsidR="00BD11FE" w:rsidRPr="00A94D8B">
        <w:t>,</w:t>
      </w:r>
      <w:r w:rsidR="00F83240" w:rsidRPr="00A94D8B">
        <w:t xml:space="preserve"> such as the CCCCC pro</w:t>
      </w:r>
      <w:r w:rsidR="00712EB7" w:rsidRPr="00A94D8B">
        <w:t>gramme in</w:t>
      </w:r>
      <w:r w:rsidR="00F83240" w:rsidRPr="00A94D8B">
        <w:t xml:space="preserve"> the Carib</w:t>
      </w:r>
      <w:r w:rsidR="00712EB7" w:rsidRPr="00A94D8B">
        <w:t>bean</w:t>
      </w:r>
      <w:r w:rsidR="00BD11FE" w:rsidRPr="00A94D8B">
        <w:t xml:space="preserve"> or the CILSS programme in West-Africa,</w:t>
      </w:r>
      <w:r w:rsidR="00F83240" w:rsidRPr="00A94D8B">
        <w:t xml:space="preserve"> a good understanding of the pr</w:t>
      </w:r>
      <w:r w:rsidR="00F83240" w:rsidRPr="00A94D8B">
        <w:t>o</w:t>
      </w:r>
      <w:r w:rsidR="00F83240" w:rsidRPr="00A94D8B">
        <w:t xml:space="preserve">gramme could be established. However, </w:t>
      </w:r>
      <w:r w:rsidR="00712EB7" w:rsidRPr="00A94D8B">
        <w:t xml:space="preserve">even </w:t>
      </w:r>
      <w:r w:rsidRPr="00A94D8B">
        <w:t>in the more</w:t>
      </w:r>
      <w:r w:rsidR="00F83240" w:rsidRPr="00A94D8B">
        <w:t xml:space="preserve"> favourable circumstances</w:t>
      </w:r>
      <w:r w:rsidR="00BD11FE" w:rsidRPr="00A94D8B">
        <w:t>,</w:t>
      </w:r>
      <w:r w:rsidR="00F83240" w:rsidRPr="00A94D8B">
        <w:t xml:space="preserve"> a greater amount of time </w:t>
      </w:r>
      <w:r w:rsidR="00BD11FE" w:rsidRPr="00A94D8B">
        <w:t xml:space="preserve">than allocated </w:t>
      </w:r>
      <w:r w:rsidR="00F83240" w:rsidRPr="00A94D8B">
        <w:t xml:space="preserve">was required to gather and analyze information.  </w:t>
      </w:r>
    </w:p>
    <w:p w:rsidR="00D56EB8" w:rsidRPr="00A94D8B" w:rsidRDefault="0068216B" w:rsidP="00AD1C0A">
      <w:r w:rsidRPr="00A94D8B">
        <w:t>It is also wo</w:t>
      </w:r>
      <w:r w:rsidR="00D56EB8" w:rsidRPr="00A94D8B">
        <w:t>rth mentioning how different each of the programmes is from their counterparts. This should be expected</w:t>
      </w:r>
      <w:r w:rsidRPr="00A94D8B">
        <w:t>,</w:t>
      </w:r>
      <w:r w:rsidR="00D56EB8" w:rsidRPr="00A94D8B">
        <w:t xml:space="preserve"> but comparing them </w:t>
      </w:r>
      <w:r w:rsidRPr="00A94D8B">
        <w:t xml:space="preserve">– as a scoring table does, </w:t>
      </w:r>
      <w:r w:rsidR="00D56EB8" w:rsidRPr="00A94D8B">
        <w:t>can be challeng</w:t>
      </w:r>
      <w:r w:rsidRPr="00A94D8B">
        <w:t>ing, as ea</w:t>
      </w:r>
      <w:r w:rsidR="00D56EB8" w:rsidRPr="00A94D8B">
        <w:t xml:space="preserve">ch should be judged on their </w:t>
      </w:r>
      <w:r w:rsidRPr="00A94D8B">
        <w:t xml:space="preserve">own </w:t>
      </w:r>
      <w:r w:rsidR="00D56EB8" w:rsidRPr="00A94D8B">
        <w:t>merits. Comparing a CILSS with the climate change unit of COMESA</w:t>
      </w:r>
      <w:r w:rsidRPr="00A94D8B">
        <w:t>, for example,</w:t>
      </w:r>
      <w:r w:rsidR="00D56EB8" w:rsidRPr="00A94D8B">
        <w:t xml:space="preserve"> is </w:t>
      </w:r>
      <w:r w:rsidR="002908D3" w:rsidRPr="00A94D8B">
        <w:t xml:space="preserve">difficult and is </w:t>
      </w:r>
      <w:r w:rsidR="006A29AC" w:rsidRPr="00A94D8B">
        <w:t xml:space="preserve">not necessarily </w:t>
      </w:r>
      <w:r w:rsidR="002908D3" w:rsidRPr="00A94D8B">
        <w:t>fair</w:t>
      </w:r>
      <w:r w:rsidR="00D56EB8" w:rsidRPr="00A94D8B">
        <w:t xml:space="preserve">.   </w:t>
      </w:r>
    </w:p>
    <w:p w:rsidR="00D56EB8" w:rsidRPr="00A94D8B" w:rsidRDefault="00D56EB8" w:rsidP="00AD1C0A">
      <w:r w:rsidRPr="00A94D8B">
        <w:t>An issue that was not explicitly addressed by any of the evaluation questions</w:t>
      </w:r>
      <w:r w:rsidR="0068216B" w:rsidRPr="00A94D8B">
        <w:t>, but should have been,</w:t>
      </w:r>
      <w:r w:rsidRPr="00A94D8B">
        <w:t xml:space="preserve"> is how the programmes function as regional programmes</w:t>
      </w:r>
      <w:r w:rsidR="0068216B" w:rsidRPr="00A94D8B">
        <w:t xml:space="preserve">. </w:t>
      </w:r>
      <w:r w:rsidRPr="00A94D8B">
        <w:t xml:space="preserve">On this matter, criteria such as leadership and ability to coordinate and nurture partnerships could have played a more </w:t>
      </w:r>
      <w:r w:rsidR="0068216B" w:rsidRPr="00A94D8B">
        <w:t xml:space="preserve">prominent </w:t>
      </w:r>
      <w:r w:rsidRPr="00A94D8B">
        <w:t>role. Also, as w</w:t>
      </w:r>
      <w:r w:rsidR="006B27C6" w:rsidRPr="00A94D8B">
        <w:t xml:space="preserve">ill be </w:t>
      </w:r>
      <w:r w:rsidRPr="00A94D8B">
        <w:t>brought up on a number of occasions in th</w:t>
      </w:r>
      <w:r w:rsidR="0068216B" w:rsidRPr="00A94D8B">
        <w:t>is</w:t>
      </w:r>
      <w:r w:rsidRPr="00A94D8B">
        <w:t xml:space="preserve"> report, a regional programme has an added responsibility to demonstrate the regional relevance of programme activity and should manage </w:t>
      </w:r>
      <w:r w:rsidR="0068216B" w:rsidRPr="00A94D8B">
        <w:t xml:space="preserve">its </w:t>
      </w:r>
      <w:r w:rsidRPr="00A94D8B">
        <w:t xml:space="preserve">activities accordingly. </w:t>
      </w:r>
      <w:r w:rsidR="002D353D" w:rsidRPr="00A94D8B">
        <w:t>Similarly more consideration in the evaluation questions should have been given to the issue of the relationship between the r</w:t>
      </w:r>
      <w:r w:rsidR="002D353D" w:rsidRPr="00A94D8B">
        <w:t>e</w:t>
      </w:r>
      <w:r w:rsidR="002D353D" w:rsidRPr="00A94D8B">
        <w:t xml:space="preserve">gional programmes and national GCCA programmes. These issues are nonetheless addressed in the report as they formed an important line of investigation throughout the evaluation.  </w:t>
      </w:r>
      <w:r w:rsidRPr="00A94D8B">
        <w:t xml:space="preserve"> </w:t>
      </w:r>
    </w:p>
    <w:p w:rsidR="00F80DF2" w:rsidRPr="00A94D8B" w:rsidRDefault="00F80DF2">
      <w:pPr>
        <w:spacing w:after="0" w:line="240" w:lineRule="auto"/>
        <w:jc w:val="left"/>
        <w:rPr>
          <w:b/>
          <w:smallCaps/>
          <w:color w:val="17365D"/>
          <w:sz w:val="36"/>
          <w:szCs w:val="36"/>
        </w:rPr>
      </w:pPr>
      <w:r w:rsidRPr="00A94D8B">
        <w:br w:type="page"/>
      </w:r>
    </w:p>
    <w:p w:rsidR="00D036B2" w:rsidRPr="00A94D8B" w:rsidRDefault="00A926DF" w:rsidP="00AD1C0A">
      <w:pPr>
        <w:pStyle w:val="Heading1"/>
        <w:keepNext w:val="0"/>
        <w:numPr>
          <w:ilvl w:val="0"/>
          <w:numId w:val="2"/>
        </w:numPr>
        <w:spacing w:line="276" w:lineRule="auto"/>
        <w:contextualSpacing/>
      </w:pPr>
      <w:bookmarkStart w:id="29" w:name="_Toc392064214"/>
      <w:bookmarkStart w:id="30" w:name="_Toc401041560"/>
      <w:r w:rsidRPr="00A94D8B">
        <w:t xml:space="preserve">Main </w:t>
      </w:r>
      <w:r w:rsidR="00D30281" w:rsidRPr="00A94D8B">
        <w:t>findings</w:t>
      </w:r>
      <w:bookmarkEnd w:id="29"/>
      <w:bookmarkEnd w:id="30"/>
    </w:p>
    <w:p w:rsidR="0027479F" w:rsidRPr="00A94D8B" w:rsidRDefault="0027479F" w:rsidP="0027479F">
      <w:r w:rsidRPr="00A94D8B">
        <w:t>In this chapter, answers to each of the ten Evaluation Questions are provided, together with evidence and reasoning.</w:t>
      </w:r>
    </w:p>
    <w:p w:rsidR="00D036B2" w:rsidRPr="00A94D8B" w:rsidRDefault="00D036B2" w:rsidP="00AD1C0A">
      <w:pPr>
        <w:pStyle w:val="Heading2"/>
        <w:numPr>
          <w:ilvl w:val="1"/>
          <w:numId w:val="9"/>
        </w:numPr>
      </w:pPr>
      <w:bookmarkStart w:id="31" w:name="_Toc392064215"/>
      <w:bookmarkStart w:id="32" w:name="_Toc401041561"/>
      <w:r w:rsidRPr="00A94D8B">
        <w:t>On relevance</w:t>
      </w:r>
      <w:r w:rsidR="008D3844" w:rsidRPr="00A94D8B">
        <w:t xml:space="preserve"> (problems and needs)</w:t>
      </w:r>
      <w:r w:rsidRPr="00A94D8B">
        <w:t>:</w:t>
      </w:r>
      <w:bookmarkEnd w:id="31"/>
      <w:bookmarkEnd w:id="32"/>
    </w:p>
    <w:p w:rsidR="00F227AA" w:rsidRPr="00A94D8B" w:rsidRDefault="006C6102" w:rsidP="00AD1C0A">
      <w:pPr>
        <w:ind w:left="709" w:hanging="709"/>
        <w:rPr>
          <w:b/>
          <w:i/>
        </w:rPr>
      </w:pPr>
      <w:r w:rsidRPr="00A94D8B">
        <w:rPr>
          <w:b/>
          <w:i/>
        </w:rPr>
        <w:t>EQ</w:t>
      </w:r>
      <w:r w:rsidR="00D036B2" w:rsidRPr="00A94D8B">
        <w:rPr>
          <w:b/>
          <w:i/>
        </w:rPr>
        <w:t>1.</w:t>
      </w:r>
      <w:r w:rsidR="00D036B2" w:rsidRPr="00A94D8B">
        <w:rPr>
          <w:b/>
          <w:i/>
        </w:rPr>
        <w:tab/>
        <w:t>To what extent are the climate change interventions aligned with the needs of ben</w:t>
      </w:r>
      <w:r w:rsidR="00D036B2" w:rsidRPr="00A94D8B">
        <w:rPr>
          <w:b/>
          <w:i/>
        </w:rPr>
        <w:t>e</w:t>
      </w:r>
      <w:r w:rsidR="00D036B2" w:rsidRPr="00A94D8B">
        <w:rPr>
          <w:b/>
          <w:i/>
        </w:rPr>
        <w:t>ficiaries (final beneficiaries, partner country governments and regional organis</w:t>
      </w:r>
      <w:r w:rsidR="00D036B2" w:rsidRPr="00A94D8B">
        <w:rPr>
          <w:b/>
          <w:i/>
        </w:rPr>
        <w:t>a</w:t>
      </w:r>
      <w:r w:rsidR="00D036B2" w:rsidRPr="00A94D8B">
        <w:rPr>
          <w:b/>
          <w:i/>
        </w:rPr>
        <w:t xml:space="preserve">tions) and with the stated policies, needs and priorities of the GCCA, EU and EU Member States? </w:t>
      </w:r>
    </w:p>
    <w:p w:rsidR="00B432DC" w:rsidRPr="00A94D8B" w:rsidRDefault="001A12F3" w:rsidP="00AD1C0A">
      <w:r w:rsidRPr="00A94D8B">
        <w:t xml:space="preserve">SIDS </w:t>
      </w:r>
      <w:proofErr w:type="gramStart"/>
      <w:r w:rsidRPr="00A94D8B">
        <w:t>are</w:t>
      </w:r>
      <w:proofErr w:type="gramEnd"/>
      <w:r w:rsidRPr="00A94D8B">
        <w:t xml:space="preserve"> the major focus of Intra ACP programming </w:t>
      </w:r>
      <w:r w:rsidR="00957644" w:rsidRPr="00A94D8B">
        <w:t>in the Pacific, Caribbean and Indian Ocean</w:t>
      </w:r>
      <w:r w:rsidR="008E44E6" w:rsidRPr="00A94D8B">
        <w:t xml:space="preserve">. </w:t>
      </w:r>
      <w:r w:rsidR="00960D75" w:rsidRPr="00A94D8B">
        <w:t xml:space="preserve">The </w:t>
      </w:r>
      <w:r w:rsidR="00957644" w:rsidRPr="00A94D8B">
        <w:t>Intergovernmental Panel</w:t>
      </w:r>
      <w:r w:rsidR="00606046" w:rsidRPr="00A94D8B">
        <w:t xml:space="preserve"> on Climate Change (IPCC), and mo</w:t>
      </w:r>
      <w:r w:rsidR="008E44E6" w:rsidRPr="00A94D8B">
        <w:t>re</w:t>
      </w:r>
      <w:r w:rsidR="00606046" w:rsidRPr="00A94D8B">
        <w:t xml:space="preserve"> specifically</w:t>
      </w:r>
      <w:r w:rsidR="00957644" w:rsidRPr="00A94D8B">
        <w:t xml:space="preserve"> the Working Group II</w:t>
      </w:r>
      <w:r w:rsidR="00957644" w:rsidRPr="00A94D8B">
        <w:rPr>
          <w:rStyle w:val="FootnoteReference"/>
        </w:rPr>
        <w:footnoteReference w:id="7"/>
      </w:r>
      <w:r w:rsidR="00957644" w:rsidRPr="00A94D8B">
        <w:t xml:space="preserve"> during its tenth Session in March 2014 on </w:t>
      </w:r>
      <w:r w:rsidR="00957644" w:rsidRPr="00A94D8B">
        <w:rPr>
          <w:i/>
        </w:rPr>
        <w:t>Impacts, Adaptation, and Vu</w:t>
      </w:r>
      <w:r w:rsidR="00957644" w:rsidRPr="00A94D8B">
        <w:rPr>
          <w:i/>
        </w:rPr>
        <w:t>l</w:t>
      </w:r>
      <w:r w:rsidR="00957644" w:rsidRPr="00A94D8B">
        <w:rPr>
          <w:i/>
        </w:rPr>
        <w:t>nerability</w:t>
      </w:r>
      <w:r w:rsidR="00606046" w:rsidRPr="00A94D8B">
        <w:rPr>
          <w:i/>
        </w:rPr>
        <w:t>,</w:t>
      </w:r>
      <w:r w:rsidR="00606046" w:rsidRPr="00A94D8B">
        <w:t xml:space="preserve"> declared</w:t>
      </w:r>
      <w:r w:rsidR="00957644" w:rsidRPr="00A94D8B">
        <w:t xml:space="preserve"> that SIDS are among the neediest countries in terms of climate change support.</w:t>
      </w:r>
      <w:r w:rsidR="00960D75" w:rsidRPr="00A94D8B">
        <w:t xml:space="preserve"> </w:t>
      </w:r>
      <w:r w:rsidR="00B432DC" w:rsidRPr="00A94D8B">
        <w:t xml:space="preserve">The evaluation process confirmed </w:t>
      </w:r>
      <w:r w:rsidR="00606046" w:rsidRPr="00A94D8B">
        <w:t xml:space="preserve">this </w:t>
      </w:r>
      <w:r w:rsidR="00B432DC" w:rsidRPr="00A94D8B">
        <w:t xml:space="preserve">as stakeholders </w:t>
      </w:r>
      <w:r w:rsidRPr="00A94D8B">
        <w:t xml:space="preserve">interviewed for the evaluation </w:t>
      </w:r>
      <w:r w:rsidR="00B432DC" w:rsidRPr="00A94D8B">
        <w:t>spoke very pas</w:t>
      </w:r>
      <w:r w:rsidR="00606046" w:rsidRPr="00A94D8B">
        <w:t>sionately about</w:t>
      </w:r>
      <w:r w:rsidR="00B432DC" w:rsidRPr="00A94D8B">
        <w:t xml:space="preserve"> the challenges faced by SIDS. </w:t>
      </w:r>
    </w:p>
    <w:p w:rsidR="00E03D77" w:rsidRPr="00A94D8B" w:rsidRDefault="00606046" w:rsidP="00AD1C0A">
      <w:r w:rsidRPr="00A94D8B">
        <w:t>At the same time</w:t>
      </w:r>
      <w:r w:rsidR="008E44E6" w:rsidRPr="00A94D8B">
        <w:t>,</w:t>
      </w:r>
      <w:r w:rsidRPr="00A94D8B">
        <w:t xml:space="preserve"> there are </w:t>
      </w:r>
      <w:r w:rsidR="00B432DC" w:rsidRPr="00A94D8B">
        <w:t>other circumstances being faced by ACP member states</w:t>
      </w:r>
      <w:r w:rsidRPr="00A94D8B">
        <w:t xml:space="preserve"> that are highly challenging in their own right</w:t>
      </w:r>
      <w:r w:rsidR="00B432DC" w:rsidRPr="00A94D8B">
        <w:t xml:space="preserve">.  In </w:t>
      </w:r>
      <w:r w:rsidR="00960D75" w:rsidRPr="00A94D8B">
        <w:t>Southern and Eastern Africa</w:t>
      </w:r>
      <w:r w:rsidR="00B432DC" w:rsidRPr="00A94D8B">
        <w:t>, which a</w:t>
      </w:r>
      <w:r w:rsidR="00960D75" w:rsidRPr="00A94D8B">
        <w:t>re also co</w:t>
      </w:r>
      <w:r w:rsidR="00960D75" w:rsidRPr="00A94D8B">
        <w:t>n</w:t>
      </w:r>
      <w:r w:rsidR="00960D75" w:rsidRPr="00A94D8B">
        <w:t>sid</w:t>
      </w:r>
      <w:r w:rsidR="00B432DC" w:rsidRPr="00A94D8B">
        <w:t>ered to be two of the more</w:t>
      </w:r>
      <w:r w:rsidR="00960D75" w:rsidRPr="00A94D8B">
        <w:t xml:space="preserve"> vulnerable regions to climate change</w:t>
      </w:r>
      <w:r w:rsidR="00B432DC" w:rsidRPr="00A94D8B">
        <w:t>,</w:t>
      </w:r>
      <w:r w:rsidR="00960D75" w:rsidRPr="00A94D8B">
        <w:rPr>
          <w:rStyle w:val="FootnoteReference"/>
        </w:rPr>
        <w:footnoteReference w:id="8"/>
      </w:r>
      <w:r w:rsidR="00B432DC" w:rsidRPr="00A94D8B">
        <w:t xml:space="preserve"> t</w:t>
      </w:r>
      <w:r w:rsidR="00960D75" w:rsidRPr="00A94D8B">
        <w:t>he promotion of Cl</w:t>
      </w:r>
      <w:r w:rsidR="00960D75" w:rsidRPr="00A94D8B">
        <w:t>i</w:t>
      </w:r>
      <w:r w:rsidR="00960D75" w:rsidRPr="00A94D8B">
        <w:t xml:space="preserve">mate Smart Agriculture (CSA) and Conservation Agriculture (CA) practices and policies by the Intra ACP are seen as </w:t>
      </w:r>
      <w:r w:rsidR="00B432DC" w:rsidRPr="00A94D8B">
        <w:t xml:space="preserve">highly pertinent </w:t>
      </w:r>
      <w:r w:rsidR="00960D75" w:rsidRPr="00A94D8B">
        <w:t xml:space="preserve">responses to climate change where livelihoods </w:t>
      </w:r>
      <w:r w:rsidRPr="00A94D8B">
        <w:t xml:space="preserve">in those regions of Africa </w:t>
      </w:r>
      <w:r w:rsidR="00960D75" w:rsidRPr="00A94D8B">
        <w:t xml:space="preserve">are </w:t>
      </w:r>
      <w:r w:rsidR="00B432DC" w:rsidRPr="00A94D8B">
        <w:t>in good part</w:t>
      </w:r>
      <w:r w:rsidRPr="00A94D8B">
        <w:t>,</w:t>
      </w:r>
      <w:r w:rsidR="00B432DC" w:rsidRPr="00A94D8B">
        <w:t xml:space="preserve"> agriculturally</w:t>
      </w:r>
      <w:r w:rsidR="00960D75" w:rsidRPr="00A94D8B">
        <w:t>-based</w:t>
      </w:r>
      <w:r w:rsidR="00B432DC" w:rsidRPr="00A94D8B">
        <w:t xml:space="preserve">. In West Africa, the situation is </w:t>
      </w:r>
      <w:r w:rsidR="0075087E" w:rsidRPr="00A94D8B">
        <w:t>similar</w:t>
      </w:r>
      <w:r w:rsidR="008E44E6" w:rsidRPr="00A94D8B">
        <w:t xml:space="preserve">; </w:t>
      </w:r>
      <w:r w:rsidR="0075087E" w:rsidRPr="00A94D8B">
        <w:t>the</w:t>
      </w:r>
      <w:r w:rsidR="00960D75" w:rsidRPr="00A94D8B">
        <w:t xml:space="preserve"> United Nations</w:t>
      </w:r>
      <w:r w:rsidR="00E32155" w:rsidRPr="00A94D8B">
        <w:t xml:space="preserve"> (UN)</w:t>
      </w:r>
      <w:r w:rsidR="00960D75" w:rsidRPr="00A94D8B">
        <w:t xml:space="preserve"> </w:t>
      </w:r>
      <w:r w:rsidR="0075087E" w:rsidRPr="00A94D8B">
        <w:t xml:space="preserve">has determined that </w:t>
      </w:r>
      <w:r w:rsidR="00960D75" w:rsidRPr="00A94D8B">
        <w:t>climate change is having a disaster i</w:t>
      </w:r>
      <w:r w:rsidR="00960D75" w:rsidRPr="00A94D8B">
        <w:t>m</w:t>
      </w:r>
      <w:r w:rsidR="00960D75" w:rsidRPr="00A94D8B">
        <w:t>pact on livelihoods in the 17 countries</w:t>
      </w:r>
      <w:r w:rsidR="00971531" w:rsidRPr="00A94D8B">
        <w:t xml:space="preserve"> of West Africa </w:t>
      </w:r>
      <w:r w:rsidR="0075087E" w:rsidRPr="00A94D8B">
        <w:t xml:space="preserve">and </w:t>
      </w:r>
      <w:r w:rsidR="00971531" w:rsidRPr="00A94D8B">
        <w:t>“hot</w:t>
      </w:r>
      <w:r w:rsidR="008B45C9" w:rsidRPr="00A94D8B">
        <w:t>spots’ are being created due to</w:t>
      </w:r>
      <w:r w:rsidR="00971531" w:rsidRPr="00A94D8B">
        <w:t xml:space="preserve"> growing tension</w:t>
      </w:r>
      <w:r w:rsidR="008E44E6" w:rsidRPr="00A94D8B">
        <w:t>s</w:t>
      </w:r>
      <w:r w:rsidR="00971531" w:rsidRPr="00A94D8B">
        <w:t xml:space="preserve"> between and within communities over </w:t>
      </w:r>
      <w:r w:rsidR="0075087E" w:rsidRPr="00A94D8B">
        <w:t xml:space="preserve">increasingly </w:t>
      </w:r>
      <w:r w:rsidR="00971531" w:rsidRPr="00A94D8B">
        <w:t>diminishing natural r</w:t>
      </w:r>
      <w:r w:rsidR="00971531" w:rsidRPr="00A94D8B">
        <w:t>e</w:t>
      </w:r>
      <w:r w:rsidR="00971531" w:rsidRPr="00A94D8B">
        <w:t>sources</w:t>
      </w:r>
      <w:r w:rsidR="00960D75" w:rsidRPr="00A94D8B">
        <w:rPr>
          <w:rStyle w:val="FootnoteReference"/>
        </w:rPr>
        <w:footnoteReference w:id="9"/>
      </w:r>
      <w:r w:rsidR="008E44E6" w:rsidRPr="00A94D8B">
        <w:t>.</w:t>
      </w:r>
      <w:r w:rsidR="00971531" w:rsidRPr="00A94D8B">
        <w:t xml:space="preserve"> </w:t>
      </w:r>
      <w:r w:rsidR="001A12F3" w:rsidRPr="00A94D8B">
        <w:t>In response</w:t>
      </w:r>
      <w:r w:rsidR="008E44E6" w:rsidRPr="00A94D8B">
        <w:t>,</w:t>
      </w:r>
      <w:r w:rsidR="001A12F3" w:rsidRPr="00A94D8B">
        <w:t xml:space="preserve"> t</w:t>
      </w:r>
      <w:r w:rsidR="00F76BEE" w:rsidRPr="00A94D8B">
        <w:t xml:space="preserve">he West African </w:t>
      </w:r>
      <w:r w:rsidR="001A12F3" w:rsidRPr="00A94D8B">
        <w:t xml:space="preserve">Intra </w:t>
      </w:r>
      <w:r w:rsidR="00F76BEE" w:rsidRPr="00A94D8B">
        <w:t xml:space="preserve">ACP Programme </w:t>
      </w:r>
      <w:r w:rsidR="001A12F3" w:rsidRPr="00A94D8B">
        <w:t xml:space="preserve">managed by CILSS/Agrhymet </w:t>
      </w:r>
      <w:r w:rsidR="00F76BEE" w:rsidRPr="00A94D8B">
        <w:t xml:space="preserve">is improving climate monitoring capacity to conduct analysis of climate change in the Sahel (and in the other beneficiary countries) and its impacts on agro-sylvo-pastoral production systems.  </w:t>
      </w:r>
    </w:p>
    <w:p w:rsidR="00963E22" w:rsidRPr="00A94D8B" w:rsidRDefault="00E03D77" w:rsidP="00AD1C0A">
      <w:r w:rsidRPr="00A94D8B">
        <w:t>Many of the countries</w:t>
      </w:r>
      <w:r w:rsidR="00F76BEE" w:rsidRPr="00A94D8B">
        <w:t xml:space="preserve"> of the Intra ACP Programme face multiple</w:t>
      </w:r>
      <w:r w:rsidRPr="00A94D8B">
        <w:t xml:space="preserve"> challenges</w:t>
      </w:r>
      <w:r w:rsidR="00D36E1E" w:rsidRPr="00A94D8B">
        <w:t xml:space="preserve"> related to cl</w:t>
      </w:r>
      <w:r w:rsidR="00D36E1E" w:rsidRPr="00A94D8B">
        <w:t>i</w:t>
      </w:r>
      <w:r w:rsidR="00D36E1E" w:rsidRPr="00A94D8B">
        <w:t>mate change</w:t>
      </w:r>
      <w:r w:rsidR="00F76BEE" w:rsidRPr="00A94D8B">
        <w:t>. Over the course of a few years</w:t>
      </w:r>
      <w:r w:rsidR="008E44E6" w:rsidRPr="00A94D8B">
        <w:t>,</w:t>
      </w:r>
      <w:r w:rsidR="00F76BEE" w:rsidRPr="00A94D8B">
        <w:t xml:space="preserve"> </w:t>
      </w:r>
      <w:r w:rsidRPr="00A94D8B">
        <w:t>SIDS such as Mauritius</w:t>
      </w:r>
      <w:r w:rsidR="00F76BEE" w:rsidRPr="00A94D8B">
        <w:t xml:space="preserve"> </w:t>
      </w:r>
      <w:r w:rsidR="008B45C9" w:rsidRPr="00A94D8B">
        <w:t xml:space="preserve">can be devastated </w:t>
      </w:r>
      <w:r w:rsidR="00963E22" w:rsidRPr="00A94D8B">
        <w:t>by</w:t>
      </w:r>
      <w:r w:rsidRPr="00A94D8B">
        <w:t xml:space="preserve"> drought, flooding</w:t>
      </w:r>
      <w:r w:rsidR="008C0859" w:rsidRPr="00A94D8B">
        <w:t xml:space="preserve"> from heavy rains</w:t>
      </w:r>
      <w:r w:rsidRPr="00A94D8B">
        <w:t xml:space="preserve"> and extreme weather event such as cyclones. In Belize, there are zones that can switch from flooding to drought conditions from </w:t>
      </w:r>
      <w:r w:rsidR="00963E22" w:rsidRPr="00A94D8B">
        <w:t>one year to the next</w:t>
      </w:r>
      <w:r w:rsidRPr="00A94D8B">
        <w:t xml:space="preserve">. </w:t>
      </w:r>
      <w:r w:rsidR="00DC4706" w:rsidRPr="00A94D8B">
        <w:t xml:space="preserve"> </w:t>
      </w:r>
    </w:p>
    <w:p w:rsidR="008C0859" w:rsidRPr="00A94D8B" w:rsidRDefault="00D36E1E" w:rsidP="00AD1C0A">
      <w:r w:rsidRPr="00A94D8B">
        <w:t xml:space="preserve">ACP </w:t>
      </w:r>
      <w:r w:rsidR="00DC4706" w:rsidRPr="00A94D8B">
        <w:t xml:space="preserve">member states </w:t>
      </w:r>
      <w:r w:rsidR="00CE641C" w:rsidRPr="00A94D8B">
        <w:t>struggle with establishing and maintaining the</w:t>
      </w:r>
      <w:r w:rsidRPr="00A94D8B">
        <w:t xml:space="preserve"> technical capacity </w:t>
      </w:r>
      <w:r w:rsidR="00CE641C" w:rsidRPr="00A94D8B">
        <w:t>and</w:t>
      </w:r>
      <w:r w:rsidRPr="00A94D8B">
        <w:t xml:space="preserve"> financial resources to</w:t>
      </w:r>
      <w:r w:rsidR="00CE641C" w:rsidRPr="00A94D8B">
        <w:t xml:space="preserve"> stay on top of the circumstances created by climate change. </w:t>
      </w:r>
      <w:r w:rsidR="00DC4706" w:rsidRPr="00A94D8B">
        <w:t>The</w:t>
      </w:r>
      <w:r w:rsidR="00ED1B0E" w:rsidRPr="00A94D8B">
        <w:t>re are also numerous institutional challenges</w:t>
      </w:r>
      <w:r w:rsidR="008E44E6" w:rsidRPr="00A94D8B">
        <w:t>,</w:t>
      </w:r>
      <w:r w:rsidR="00ED1B0E" w:rsidRPr="00A94D8B">
        <w:t xml:space="preserve"> in terms of </w:t>
      </w:r>
      <w:r w:rsidR="007D679B" w:rsidRPr="00A94D8B">
        <w:t xml:space="preserve">having appropriate </w:t>
      </w:r>
      <w:r w:rsidR="008C0859" w:rsidRPr="00A94D8B">
        <w:t>policies</w:t>
      </w:r>
      <w:r w:rsidR="00ED1B0E" w:rsidRPr="00A94D8B">
        <w:t xml:space="preserve"> </w:t>
      </w:r>
      <w:r w:rsidR="008C0859" w:rsidRPr="00A94D8B">
        <w:t xml:space="preserve">and </w:t>
      </w:r>
      <w:r w:rsidR="00ED1B0E" w:rsidRPr="00A94D8B">
        <w:t>maintai</w:t>
      </w:r>
      <w:r w:rsidR="00ED1B0E" w:rsidRPr="00A94D8B">
        <w:t>n</w:t>
      </w:r>
      <w:r w:rsidR="00ED1B0E" w:rsidRPr="00A94D8B">
        <w:t xml:space="preserve">ing positions of influence within national governments </w:t>
      </w:r>
      <w:r w:rsidR="008C0859" w:rsidRPr="00A94D8B">
        <w:t>through functioning climate change offices to e</w:t>
      </w:r>
      <w:r w:rsidR="001A12F3" w:rsidRPr="00A94D8B">
        <w:t xml:space="preserve">nsure the issue remains a strong </w:t>
      </w:r>
      <w:r w:rsidR="008C0859" w:rsidRPr="00A94D8B">
        <w:t xml:space="preserve">priority. </w:t>
      </w:r>
      <w:r w:rsidR="004C3C66" w:rsidRPr="00A94D8B">
        <w:t>A key objective in a</w:t>
      </w:r>
      <w:r w:rsidR="008C0859" w:rsidRPr="00A94D8B">
        <w:t xml:space="preserve">ll </w:t>
      </w:r>
      <w:r w:rsidR="008C0859" w:rsidRPr="000B0643">
        <w:t>AC</w:t>
      </w:r>
      <w:r w:rsidR="000B0643">
        <w:t>P</w:t>
      </w:r>
      <w:r w:rsidR="007D679B" w:rsidRPr="00A94D8B">
        <w:t xml:space="preserve"> regions </w:t>
      </w:r>
      <w:r w:rsidR="008C0859" w:rsidRPr="00A94D8B">
        <w:t>is</w:t>
      </w:r>
      <w:r w:rsidR="007D679B" w:rsidRPr="00A94D8B">
        <w:t xml:space="preserve"> to raise </w:t>
      </w:r>
      <w:r w:rsidR="004C3C66" w:rsidRPr="00A94D8B">
        <w:t xml:space="preserve">the standards of all ACP countries to permit them to </w:t>
      </w:r>
      <w:r w:rsidR="008C0859" w:rsidRPr="00A94D8B">
        <w:t xml:space="preserve">simultaneously </w:t>
      </w:r>
      <w:r w:rsidR="004C3C66" w:rsidRPr="00A94D8B">
        <w:t>address national climate change chal</w:t>
      </w:r>
      <w:r w:rsidR="008C0859" w:rsidRPr="00A94D8B">
        <w:t>lenges while</w:t>
      </w:r>
      <w:r w:rsidR="004C3C66" w:rsidRPr="00A94D8B">
        <w:t xml:space="preserve"> effectively par</w:t>
      </w:r>
      <w:r w:rsidR="008C0859" w:rsidRPr="00A94D8B">
        <w:t>ticipating</w:t>
      </w:r>
      <w:r w:rsidR="004C3C66" w:rsidRPr="00A94D8B">
        <w:t xml:space="preserve"> in regional and international forums and processes</w:t>
      </w:r>
      <w:r w:rsidR="008C0859" w:rsidRPr="00A94D8B">
        <w:t xml:space="preserve"> to articulate their interests and those of their region</w:t>
      </w:r>
      <w:r w:rsidR="004C3C66" w:rsidRPr="00A94D8B">
        <w:t xml:space="preserve">. In </w:t>
      </w:r>
      <w:r w:rsidR="007D679B" w:rsidRPr="00A94D8B">
        <w:t xml:space="preserve">different ways and </w:t>
      </w:r>
      <w:r w:rsidR="008C0859" w:rsidRPr="00A94D8B">
        <w:t xml:space="preserve">to different </w:t>
      </w:r>
      <w:r w:rsidR="004C3C66" w:rsidRPr="00A94D8B">
        <w:t>degrees</w:t>
      </w:r>
      <w:r w:rsidR="008C0859" w:rsidRPr="00A94D8B">
        <w:t>,</w:t>
      </w:r>
      <w:r w:rsidR="004C3C66" w:rsidRPr="00A94D8B">
        <w:t xml:space="preserve"> all six programmes </w:t>
      </w:r>
      <w:r w:rsidR="008E44E6" w:rsidRPr="00A94D8B">
        <w:t xml:space="preserve">reviewed here </w:t>
      </w:r>
      <w:r w:rsidR="004C3C66" w:rsidRPr="00A94D8B">
        <w:t xml:space="preserve">are contributing to achieving this. </w:t>
      </w:r>
    </w:p>
    <w:p w:rsidR="00957644" w:rsidRPr="00A94D8B" w:rsidRDefault="00ED1B0E" w:rsidP="00AD1C0A">
      <w:r w:rsidRPr="00A94D8B">
        <w:t xml:space="preserve">The </w:t>
      </w:r>
      <w:r w:rsidR="00DC4706" w:rsidRPr="00A94D8B">
        <w:t xml:space="preserve">idea that </w:t>
      </w:r>
      <w:r w:rsidR="004C3C66" w:rsidRPr="00A94D8B">
        <w:t xml:space="preserve">capable </w:t>
      </w:r>
      <w:r w:rsidR="008E44E6" w:rsidRPr="00A94D8B">
        <w:t>regional-</w:t>
      </w:r>
      <w:r w:rsidR="004C3C66" w:rsidRPr="00A94D8B">
        <w:t>level institutions ca</w:t>
      </w:r>
      <w:r w:rsidR="008C0859" w:rsidRPr="00A94D8B">
        <w:t>n assist in achieving</w:t>
      </w:r>
      <w:r w:rsidR="007D679B" w:rsidRPr="00A94D8B">
        <w:t xml:space="preserve"> national and regional objectives </w:t>
      </w:r>
      <w:r w:rsidR="008C0859" w:rsidRPr="00A94D8B">
        <w:t xml:space="preserve">is a </w:t>
      </w:r>
      <w:r w:rsidR="004C3C66" w:rsidRPr="00A94D8B">
        <w:t>valid</w:t>
      </w:r>
      <w:r w:rsidR="008C0859" w:rsidRPr="00A94D8B">
        <w:t xml:space="preserve"> assumption</w:t>
      </w:r>
      <w:r w:rsidR="004C3C66" w:rsidRPr="00A94D8B">
        <w:t>. O</w:t>
      </w:r>
      <w:r w:rsidR="00CE641C" w:rsidRPr="00A94D8B">
        <w:t xml:space="preserve">rganisations such as the CCCCC </w:t>
      </w:r>
      <w:r w:rsidR="00DC4706" w:rsidRPr="00A94D8B">
        <w:t>in the Carib</w:t>
      </w:r>
      <w:r w:rsidR="004C3C66" w:rsidRPr="00A94D8B">
        <w:t xml:space="preserve">bean, </w:t>
      </w:r>
      <w:r w:rsidR="00CE641C" w:rsidRPr="00A94D8B">
        <w:t xml:space="preserve">Agrhymet </w:t>
      </w:r>
      <w:r w:rsidR="00DC4706" w:rsidRPr="00A94D8B">
        <w:t>in West Africa</w:t>
      </w:r>
      <w:r w:rsidR="008C0859" w:rsidRPr="00A94D8B">
        <w:t xml:space="preserve"> and</w:t>
      </w:r>
      <w:r w:rsidR="0097610C" w:rsidRPr="00A94D8B">
        <w:t xml:space="preserve"> USP, PACE-SD, SPC</w:t>
      </w:r>
      <w:r w:rsidR="002E520B" w:rsidRPr="00A94D8B">
        <w:t>,</w:t>
      </w:r>
      <w:r w:rsidR="0097610C" w:rsidRPr="00A94D8B">
        <w:t xml:space="preserve"> and SPREP </w:t>
      </w:r>
      <w:r w:rsidR="008C0859" w:rsidRPr="00A94D8B">
        <w:t xml:space="preserve">in the Pacific </w:t>
      </w:r>
      <w:r w:rsidR="0097610C" w:rsidRPr="00A94D8B">
        <w:t>are highly credible institutions</w:t>
      </w:r>
      <w:r w:rsidR="008C0859" w:rsidRPr="00A94D8B">
        <w:t xml:space="preserve"> each having</w:t>
      </w:r>
      <w:r w:rsidR="007D679B" w:rsidRPr="00A94D8B">
        <w:t xml:space="preserve"> </w:t>
      </w:r>
      <w:r w:rsidR="008E44E6" w:rsidRPr="00A94D8B">
        <w:t xml:space="preserve">their </w:t>
      </w:r>
      <w:r w:rsidR="007D679B" w:rsidRPr="00A94D8B">
        <w:t xml:space="preserve">own </w:t>
      </w:r>
      <w:r w:rsidR="00A90C21" w:rsidRPr="00A94D8B">
        <w:t>comparative advantage</w:t>
      </w:r>
      <w:r w:rsidR="008E44E6" w:rsidRPr="00A94D8B">
        <w:t>s</w:t>
      </w:r>
      <w:r w:rsidR="00A90C21" w:rsidRPr="00A94D8B">
        <w:t xml:space="preserve"> in</w:t>
      </w:r>
      <w:r w:rsidR="007D679B" w:rsidRPr="00A94D8B">
        <w:t xml:space="preserve"> </w:t>
      </w:r>
      <w:r w:rsidR="0097610C" w:rsidRPr="00A94D8B">
        <w:t>carry</w:t>
      </w:r>
      <w:r w:rsidR="00A90C21" w:rsidRPr="00A94D8B">
        <w:t>ing</w:t>
      </w:r>
      <w:r w:rsidR="0097610C" w:rsidRPr="00A94D8B">
        <w:t xml:space="preserve"> out region-wide </w:t>
      </w:r>
      <w:r w:rsidR="00A90C21" w:rsidRPr="00A94D8B">
        <w:t xml:space="preserve">climate change </w:t>
      </w:r>
      <w:r w:rsidR="0097610C" w:rsidRPr="00A94D8B">
        <w:t>mandates</w:t>
      </w:r>
      <w:r w:rsidR="00A90C21" w:rsidRPr="00A94D8B">
        <w:t xml:space="preserve">. </w:t>
      </w:r>
      <w:r w:rsidR="008E44E6" w:rsidRPr="00A94D8B">
        <w:t>U</w:t>
      </w:r>
      <w:r w:rsidR="00741A52" w:rsidRPr="00A94D8B">
        <w:t xml:space="preserve">NECA and COMESA </w:t>
      </w:r>
      <w:r w:rsidR="008E44E6" w:rsidRPr="00A94D8B">
        <w:t xml:space="preserve">appear to be </w:t>
      </w:r>
      <w:r w:rsidR="0097610C" w:rsidRPr="00A94D8B">
        <w:t>two i</w:t>
      </w:r>
      <w:r w:rsidR="001A12F3" w:rsidRPr="00A94D8B">
        <w:t xml:space="preserve">nstitutions that </w:t>
      </w:r>
      <w:r w:rsidR="008E44E6" w:rsidRPr="00A94D8B">
        <w:t xml:space="preserve">have less suitable </w:t>
      </w:r>
      <w:r w:rsidR="001A12F3" w:rsidRPr="00A94D8B">
        <w:t>profiles for managing</w:t>
      </w:r>
      <w:r w:rsidR="00A90C21" w:rsidRPr="00A94D8B">
        <w:t xml:space="preserve"> a regional climate change programme</w:t>
      </w:r>
      <w:r w:rsidR="008C0859" w:rsidRPr="00A94D8B">
        <w:t xml:space="preserve">. </w:t>
      </w:r>
      <w:r w:rsidR="0097610C" w:rsidRPr="00A94D8B">
        <w:t xml:space="preserve">This does not take away from the fact </w:t>
      </w:r>
      <w:r w:rsidR="008C0859" w:rsidRPr="00A94D8B">
        <w:t xml:space="preserve">that in Africa there is </w:t>
      </w:r>
      <w:r w:rsidR="008E44E6" w:rsidRPr="00A94D8B">
        <w:t xml:space="preserve">a </w:t>
      </w:r>
      <w:r w:rsidR="008C0859" w:rsidRPr="00A94D8B">
        <w:t xml:space="preserve">need </w:t>
      </w:r>
      <w:r w:rsidR="008E44E6" w:rsidRPr="00A94D8B">
        <w:t xml:space="preserve">for </w:t>
      </w:r>
      <w:r w:rsidR="008C0859" w:rsidRPr="00A94D8B">
        <w:t xml:space="preserve">increased regional leadership on climate change. The </w:t>
      </w:r>
      <w:r w:rsidR="0097610C" w:rsidRPr="00A94D8B">
        <w:t xml:space="preserve">question </w:t>
      </w:r>
      <w:r w:rsidR="008E44E6" w:rsidRPr="00A94D8B">
        <w:t xml:space="preserve">remains </w:t>
      </w:r>
      <w:r w:rsidR="0097610C" w:rsidRPr="00A94D8B">
        <w:t>whether or not there was</w:t>
      </w:r>
      <w:r w:rsidR="00BA3588" w:rsidRPr="00A94D8B">
        <w:t xml:space="preserve"> a better alternative</w:t>
      </w:r>
      <w:r w:rsidR="008C0859" w:rsidRPr="00A94D8B">
        <w:t xml:space="preserve"> to the i</w:t>
      </w:r>
      <w:r w:rsidR="008C0859" w:rsidRPr="00A94D8B">
        <w:t>n</w:t>
      </w:r>
      <w:r w:rsidR="008C0859" w:rsidRPr="00A94D8B">
        <w:t>stitutions that were chosen</w:t>
      </w:r>
      <w:r w:rsidR="00BA3588" w:rsidRPr="00A94D8B">
        <w:t>.</w:t>
      </w:r>
      <w:r w:rsidR="00D36E1E" w:rsidRPr="00A94D8B">
        <w:t xml:space="preserve">   </w:t>
      </w:r>
      <w:r w:rsidR="00E03D77" w:rsidRPr="00A94D8B">
        <w:t xml:space="preserve">  </w:t>
      </w:r>
      <w:r w:rsidR="00960D75" w:rsidRPr="00A94D8B">
        <w:t xml:space="preserve">   </w:t>
      </w:r>
    </w:p>
    <w:p w:rsidR="009A16ED" w:rsidRPr="00A94D8B" w:rsidRDefault="00BA3588" w:rsidP="00AD1C0A">
      <w:r w:rsidRPr="00A94D8B">
        <w:t>The Intra-AC</w:t>
      </w:r>
      <w:r w:rsidR="009A16ED" w:rsidRPr="00A94D8B">
        <w:t xml:space="preserve">P operates under the guidance </w:t>
      </w:r>
      <w:r w:rsidRPr="00A94D8B">
        <w:t xml:space="preserve">of </w:t>
      </w:r>
      <w:r w:rsidR="009A16ED" w:rsidRPr="00A94D8B">
        <w:t>a broad range</w:t>
      </w:r>
      <w:r w:rsidRPr="00A94D8B">
        <w:t xml:space="preserve"> of national and regional policies and strategies.</w:t>
      </w:r>
      <w:r w:rsidR="009A16ED" w:rsidRPr="00A94D8B">
        <w:t xml:space="preserve"> In the Caribbean for example, t</w:t>
      </w:r>
      <w:r w:rsidRPr="00A94D8B">
        <w:t xml:space="preserve">he </w:t>
      </w:r>
      <w:r w:rsidR="001A12F3" w:rsidRPr="00A94D8B">
        <w:t>CCCCC led p</w:t>
      </w:r>
      <w:r w:rsidRPr="00A94D8B">
        <w:t>rogr</w:t>
      </w:r>
      <w:r w:rsidR="0008718D" w:rsidRPr="00A94D8B">
        <w:t>amme is being impl</w:t>
      </w:r>
      <w:r w:rsidR="0008718D" w:rsidRPr="00A94D8B">
        <w:t>e</w:t>
      </w:r>
      <w:r w:rsidR="0008718D" w:rsidRPr="00A94D8B">
        <w:t>mented in accordance with the “</w:t>
      </w:r>
      <w:r w:rsidRPr="00A94D8B">
        <w:rPr>
          <w:i/>
        </w:rPr>
        <w:t xml:space="preserve">Climate Change and the Caribbean: A Regional Framework for Achieving Development Resilient to Climate Change </w:t>
      </w:r>
      <w:r w:rsidR="004C13C1" w:rsidRPr="00A94D8B">
        <w:rPr>
          <w:i/>
        </w:rPr>
        <w:t>(2011 to 2021</w:t>
      </w:r>
      <w:r w:rsidRPr="00A94D8B">
        <w:rPr>
          <w:i/>
        </w:rPr>
        <w:t>)</w:t>
      </w:r>
      <w:r w:rsidR="0008718D" w:rsidRPr="00A94D8B">
        <w:rPr>
          <w:i/>
        </w:rPr>
        <w:t>”</w:t>
      </w:r>
      <w:r w:rsidRPr="00A94D8B">
        <w:rPr>
          <w:i/>
        </w:rPr>
        <w:t xml:space="preserve"> </w:t>
      </w:r>
      <w:r w:rsidR="009A16ED" w:rsidRPr="00A94D8B">
        <w:t xml:space="preserve">that </w:t>
      </w:r>
      <w:r w:rsidR="0008718D" w:rsidRPr="00A94D8B">
        <w:t xml:space="preserve">in fact, </w:t>
      </w:r>
      <w:r w:rsidRPr="00A94D8B">
        <w:t xml:space="preserve">was prepared by </w:t>
      </w:r>
      <w:r w:rsidR="009A16ED" w:rsidRPr="00A94D8B">
        <w:t xml:space="preserve">the </w:t>
      </w:r>
      <w:r w:rsidRPr="00A94D8B">
        <w:t xml:space="preserve">CCCCC at the request of </w:t>
      </w:r>
      <w:r w:rsidR="00C050C0" w:rsidRPr="00A94D8B">
        <w:t xml:space="preserve"> the Caribbean Community Secretariat (</w:t>
      </w:r>
      <w:r w:rsidRPr="00A94D8B">
        <w:t>CAR</w:t>
      </w:r>
      <w:r w:rsidRPr="00A94D8B">
        <w:t>I</w:t>
      </w:r>
      <w:r w:rsidRPr="00A94D8B">
        <w:t>COM</w:t>
      </w:r>
      <w:r w:rsidR="00C050C0" w:rsidRPr="00A94D8B">
        <w:t>)</w:t>
      </w:r>
      <w:r w:rsidRPr="00A94D8B">
        <w:t xml:space="preserve"> Heads of State</w:t>
      </w:r>
      <w:r w:rsidR="009A16ED" w:rsidRPr="00A94D8B">
        <w:t>. In the Pacific</w:t>
      </w:r>
      <w:r w:rsidR="008E44E6" w:rsidRPr="00A94D8B">
        <w:t>,</w:t>
      </w:r>
      <w:r w:rsidR="009A16ED" w:rsidRPr="00A94D8B">
        <w:t xml:space="preserve"> the two regional programmes support the implement</w:t>
      </w:r>
      <w:r w:rsidR="009A16ED" w:rsidRPr="00A94D8B">
        <w:t>a</w:t>
      </w:r>
      <w:r w:rsidR="009A16ED" w:rsidRPr="00A94D8B">
        <w:t xml:space="preserve">tion of the </w:t>
      </w:r>
      <w:r w:rsidR="009A16ED" w:rsidRPr="00A94D8B">
        <w:rPr>
          <w:i/>
        </w:rPr>
        <w:t>Pacific Islands Framework for Action on Climate Change (PIFACC) tha</w:t>
      </w:r>
      <w:r w:rsidR="00245A51" w:rsidRPr="00A94D8B">
        <w:rPr>
          <w:i/>
        </w:rPr>
        <w:t>t</w:t>
      </w:r>
      <w:r w:rsidR="009A16ED" w:rsidRPr="00A94D8B">
        <w:rPr>
          <w:i/>
        </w:rPr>
        <w:t xml:space="preserve"> covers the period from 2006 to 2015.</w:t>
      </w:r>
      <w:r w:rsidR="00034480" w:rsidRPr="00A94D8B">
        <w:rPr>
          <w:i/>
        </w:rPr>
        <w:t xml:space="preserve"> </w:t>
      </w:r>
      <w:r w:rsidR="00034480" w:rsidRPr="00A94D8B">
        <w:t>In addition</w:t>
      </w:r>
      <w:r w:rsidR="007D4B69" w:rsidRPr="00A94D8B">
        <w:t xml:space="preserve">, </w:t>
      </w:r>
      <w:r w:rsidR="00034480" w:rsidRPr="00A94D8B">
        <w:t>a policy consultation/formulation exercise was undertaken at national and regional level</w:t>
      </w:r>
      <w:r w:rsidR="007D4B69" w:rsidRPr="00A94D8B">
        <w:t>s</w:t>
      </w:r>
      <w:r w:rsidR="00034480" w:rsidRPr="00A94D8B">
        <w:t xml:space="preserve"> in the Pa</w:t>
      </w:r>
      <w:r w:rsidR="007D4B69" w:rsidRPr="00A94D8B">
        <w:t xml:space="preserve">cific </w:t>
      </w:r>
      <w:r w:rsidR="00034480" w:rsidRPr="00A94D8B">
        <w:t>which lead to the establishment of national and regional strategy merging DRR and CC adaptation into the “</w:t>
      </w:r>
      <w:r w:rsidR="00034480" w:rsidRPr="00A94D8B">
        <w:rPr>
          <w:i/>
        </w:rPr>
        <w:t xml:space="preserve">Strategy for Climate and Disaster Resilient Development in the Pacific (SRDP) 2016 onwards.” </w:t>
      </w:r>
      <w:r w:rsidR="00245A51" w:rsidRPr="00A94D8B">
        <w:t xml:space="preserve"> </w:t>
      </w:r>
      <w:r w:rsidR="009A16ED" w:rsidRPr="00A94D8B">
        <w:t xml:space="preserve"> </w:t>
      </w:r>
      <w:r w:rsidR="00245A51" w:rsidRPr="00A94D8B">
        <w:t>In Africa, the three programmes are</w:t>
      </w:r>
      <w:r w:rsidR="001A12F3" w:rsidRPr="00A94D8B">
        <w:t xml:space="preserve"> aligned with</w:t>
      </w:r>
      <w:r w:rsidR="00245A51" w:rsidRPr="00A94D8B">
        <w:t xml:space="preserve"> the </w:t>
      </w:r>
      <w:r w:rsidR="00245A51" w:rsidRPr="00A94D8B">
        <w:rPr>
          <w:i/>
        </w:rPr>
        <w:t>New Economic Partnership for African Development (NEPAD)</w:t>
      </w:r>
      <w:r w:rsidR="00245A51" w:rsidRPr="00A94D8B">
        <w:t xml:space="preserve"> and the </w:t>
      </w:r>
      <w:r w:rsidR="00245A51" w:rsidRPr="00A94D8B">
        <w:rPr>
          <w:i/>
        </w:rPr>
        <w:t>Comprehensive African Agriculture Development Programme (CAADP)</w:t>
      </w:r>
      <w:r w:rsidR="00245A51" w:rsidRPr="00A94D8B">
        <w:t>. All programme</w:t>
      </w:r>
      <w:r w:rsidR="001A12F3" w:rsidRPr="00A94D8B">
        <w:t xml:space="preserve">s also </w:t>
      </w:r>
      <w:r w:rsidR="00245A51" w:rsidRPr="00A94D8B">
        <w:t>support the Joint ACP/EU Declaration on Climate Change of 2009 and are focused on delivering on the priorities of the Joint African/EU Strategy and Action Plan (08-10) on climate change. At the same time</w:t>
      </w:r>
      <w:r w:rsidR="008E44E6" w:rsidRPr="00A94D8B">
        <w:t>,</w:t>
      </w:r>
      <w:r w:rsidR="00245A51" w:rsidRPr="00A94D8B">
        <w:t xml:space="preserve"> in all countries </w:t>
      </w:r>
      <w:r w:rsidR="008E44E6" w:rsidRPr="00A94D8B">
        <w:t xml:space="preserve">where </w:t>
      </w:r>
      <w:r w:rsidR="00245A51" w:rsidRPr="00A94D8B">
        <w:t>the Intra ACP Pr</w:t>
      </w:r>
      <w:r w:rsidR="00245A51" w:rsidRPr="00A94D8B">
        <w:t>o</w:t>
      </w:r>
      <w:r w:rsidR="00245A51" w:rsidRPr="00A94D8B">
        <w:t>gramme is opera</w:t>
      </w:r>
      <w:r w:rsidR="0008718D" w:rsidRPr="00A94D8B">
        <w:t>tional</w:t>
      </w:r>
      <w:r w:rsidR="008E44E6" w:rsidRPr="00A94D8B">
        <w:t>,</w:t>
      </w:r>
      <w:r w:rsidR="00245A51" w:rsidRPr="00A94D8B">
        <w:t xml:space="preserve"> there is an obliga</w:t>
      </w:r>
      <w:r w:rsidR="0008718D" w:rsidRPr="00A94D8B">
        <w:t xml:space="preserve">tion to respect </w:t>
      </w:r>
      <w:r w:rsidR="00245A51" w:rsidRPr="00A94D8B">
        <w:t>national climate</w:t>
      </w:r>
      <w:r w:rsidR="00AA0343" w:rsidRPr="00A94D8B">
        <w:t xml:space="preserve"> change</w:t>
      </w:r>
      <w:r w:rsidR="00245A51" w:rsidRPr="00A94D8B">
        <w:t xml:space="preserve"> and develo</w:t>
      </w:r>
      <w:r w:rsidR="00245A51" w:rsidRPr="00A94D8B">
        <w:t>p</w:t>
      </w:r>
      <w:r w:rsidR="00245A51" w:rsidRPr="00A94D8B">
        <w:t xml:space="preserve">ment related policies and strategies. In many instances the Intra ACP is actually assisting with the development </w:t>
      </w:r>
      <w:r w:rsidR="008E44E6" w:rsidRPr="00A94D8B">
        <w:t xml:space="preserve">of </w:t>
      </w:r>
      <w:r w:rsidR="00B03595" w:rsidRPr="00A94D8B">
        <w:t xml:space="preserve">such strategies </w:t>
      </w:r>
      <w:r w:rsidR="00245A51" w:rsidRPr="00A94D8B">
        <w:t>and</w:t>
      </w:r>
      <w:r w:rsidR="0008718D" w:rsidRPr="00A94D8B">
        <w:t>/or</w:t>
      </w:r>
      <w:r w:rsidR="00245A51" w:rsidRPr="00A94D8B">
        <w:t xml:space="preserve"> creating conditions to ensure adherence to </w:t>
      </w:r>
      <w:r w:rsidR="00B03595" w:rsidRPr="00A94D8B">
        <w:t xml:space="preserve">the </w:t>
      </w:r>
      <w:r w:rsidR="00245A51" w:rsidRPr="00A94D8B">
        <w:t>national policies and strategies.</w:t>
      </w:r>
    </w:p>
    <w:p w:rsidR="00D67723" w:rsidRPr="00A94D8B" w:rsidRDefault="002B02CB" w:rsidP="00AD1C0A">
      <w:r w:rsidRPr="00A94D8B">
        <w:t>O</w:t>
      </w:r>
      <w:r w:rsidR="00245A51" w:rsidRPr="00A94D8B">
        <w:t>verwhelmingly</w:t>
      </w:r>
      <w:r w:rsidRPr="00A94D8B">
        <w:t xml:space="preserve">, </w:t>
      </w:r>
      <w:r w:rsidR="00235123" w:rsidRPr="00A94D8B">
        <w:t xml:space="preserve">the </w:t>
      </w:r>
      <w:r w:rsidR="00245A51" w:rsidRPr="00A94D8B">
        <w:t>majority of the activities implemented through</w:t>
      </w:r>
      <w:r w:rsidR="006E0E8A" w:rsidRPr="00A94D8B">
        <w:t xml:space="preserve"> the Intra ACP</w:t>
      </w:r>
      <w:r w:rsidR="00245A51" w:rsidRPr="00A94D8B">
        <w:t xml:space="preserve"> </w:t>
      </w:r>
      <w:r w:rsidR="00235123" w:rsidRPr="00A94D8B">
        <w:t>are</w:t>
      </w:r>
      <w:r w:rsidR="00245A51" w:rsidRPr="00A94D8B">
        <w:t xml:space="preserve"> focu</w:t>
      </w:r>
      <w:r w:rsidR="00245A51" w:rsidRPr="00A94D8B">
        <w:t>s</w:t>
      </w:r>
      <w:r w:rsidR="00245A51" w:rsidRPr="00A94D8B">
        <w:t>sed on climate change adaptation</w:t>
      </w:r>
      <w:r w:rsidR="00AA0343" w:rsidRPr="00A94D8B">
        <w:t xml:space="preserve"> (CCA)</w:t>
      </w:r>
      <w:r w:rsidR="00245A51" w:rsidRPr="00A94D8B">
        <w:t xml:space="preserve">. </w:t>
      </w:r>
      <w:r w:rsidR="00235123" w:rsidRPr="00A94D8B">
        <w:t>With a few exceptio</w:t>
      </w:r>
      <w:r w:rsidR="0008718D" w:rsidRPr="00A94D8B">
        <w:t>ns such as Trinidad and T</w:t>
      </w:r>
      <w:r w:rsidR="0008718D" w:rsidRPr="00A94D8B">
        <w:t>o</w:t>
      </w:r>
      <w:r w:rsidR="0008718D" w:rsidRPr="00A94D8B">
        <w:t>bago,</w:t>
      </w:r>
      <w:r w:rsidR="00235123" w:rsidRPr="00A94D8B">
        <w:t xml:space="preserve"> countries of the ACP are not serious GHG emitters and may never be. The Intra-ACP is demand driven and as such the needs of beneficiary countries are</w:t>
      </w:r>
      <w:r w:rsidR="0008718D" w:rsidRPr="00A94D8B">
        <w:t xml:space="preserve"> clearly focussed on redu</w:t>
      </w:r>
      <w:r w:rsidR="0008718D" w:rsidRPr="00A94D8B">
        <w:t>c</w:t>
      </w:r>
      <w:r w:rsidR="0008718D" w:rsidRPr="00A94D8B">
        <w:t>ing</w:t>
      </w:r>
      <w:r w:rsidR="00235123" w:rsidRPr="00A94D8B">
        <w:t xml:space="preserve"> vulnerability</w:t>
      </w:r>
      <w:r w:rsidR="0008718D" w:rsidRPr="00A94D8B">
        <w:t xml:space="preserve"> to climate change</w:t>
      </w:r>
      <w:r w:rsidR="00235123" w:rsidRPr="00A94D8B">
        <w:t xml:space="preserve">. </w:t>
      </w:r>
      <w:r w:rsidR="00951ADD" w:rsidRPr="00A94D8B">
        <w:t>REDD-like</w:t>
      </w:r>
      <w:r w:rsidR="00235123" w:rsidRPr="00A94D8B">
        <w:t xml:space="preserve"> activity </w:t>
      </w:r>
      <w:r w:rsidR="004D58C6" w:rsidRPr="00A94D8B">
        <w:t xml:space="preserve">such as reforestation </w:t>
      </w:r>
      <w:r w:rsidR="00951ADD" w:rsidRPr="00A94D8B">
        <w:t xml:space="preserve">should also be encouraged </w:t>
      </w:r>
      <w:r w:rsidR="0008718D" w:rsidRPr="00A94D8B">
        <w:t xml:space="preserve">because there are clear economic, social and environmental benefits </w:t>
      </w:r>
      <w:r w:rsidR="00951ADD" w:rsidRPr="00A94D8B">
        <w:t xml:space="preserve">beyond </w:t>
      </w:r>
      <w:r w:rsidR="00AA0343" w:rsidRPr="00A94D8B">
        <w:t>a</w:t>
      </w:r>
      <w:r w:rsidR="00AA0343" w:rsidRPr="00A94D8B">
        <w:t>d</w:t>
      </w:r>
      <w:r w:rsidR="00AA0343" w:rsidRPr="00A94D8B">
        <w:t xml:space="preserve">dressing </w:t>
      </w:r>
      <w:r w:rsidR="00951ADD" w:rsidRPr="00A94D8B">
        <w:t xml:space="preserve">concerns related to climate change. Linking </w:t>
      </w:r>
      <w:r w:rsidR="00881AB8" w:rsidRPr="00A94D8B">
        <w:t>to international carbon markets</w:t>
      </w:r>
      <w:r w:rsidR="00951ADD" w:rsidRPr="00A94D8B">
        <w:t xml:space="preserve"> is i</w:t>
      </w:r>
      <w:r w:rsidR="00951ADD" w:rsidRPr="00A94D8B">
        <w:t>m</w:t>
      </w:r>
      <w:r w:rsidR="00951ADD" w:rsidRPr="00A94D8B">
        <w:t>portant for securing funding but does not override the importance of reforestation in addres</w:t>
      </w:r>
      <w:r w:rsidR="00951ADD" w:rsidRPr="00A94D8B">
        <w:t>s</w:t>
      </w:r>
      <w:r w:rsidR="00951ADD" w:rsidRPr="00A94D8B">
        <w:t xml:space="preserve">ing climate change. </w:t>
      </w:r>
      <w:r w:rsidR="00881AB8" w:rsidRPr="00A94D8B">
        <w:t xml:space="preserve">At the same </w:t>
      </w:r>
      <w:r w:rsidR="00951ADD" w:rsidRPr="00A94D8B">
        <w:t>time</w:t>
      </w:r>
      <w:r w:rsidR="00221CD0" w:rsidRPr="00A94D8B">
        <w:t>,</w:t>
      </w:r>
      <w:r w:rsidR="00951ADD" w:rsidRPr="00A94D8B">
        <w:t xml:space="preserve"> </w:t>
      </w:r>
      <w:r w:rsidR="00881AB8" w:rsidRPr="00A94D8B">
        <w:t>promot</w:t>
      </w:r>
      <w:r w:rsidR="00951ADD" w:rsidRPr="00A94D8B">
        <w:t xml:space="preserve">ing </w:t>
      </w:r>
      <w:r w:rsidR="00881AB8" w:rsidRPr="00A94D8B">
        <w:t>renewable energy has clear developmental advantages not the least of which is energy independ</w:t>
      </w:r>
      <w:r w:rsidR="00951ADD" w:rsidRPr="00A94D8B">
        <w:t>ence. At this time</w:t>
      </w:r>
      <w:r w:rsidR="00221CD0" w:rsidRPr="00A94D8B">
        <w:t>,</w:t>
      </w:r>
      <w:r w:rsidR="00951ADD" w:rsidRPr="00A94D8B">
        <w:t xml:space="preserve"> </w:t>
      </w:r>
      <w:r w:rsidR="00881AB8" w:rsidRPr="00A94D8B">
        <w:t xml:space="preserve">the world's global system for carbon trading is far from being </w:t>
      </w:r>
      <w:r w:rsidR="00951ADD" w:rsidRPr="00A94D8B">
        <w:t xml:space="preserve">fully </w:t>
      </w:r>
      <w:r w:rsidR="00881AB8" w:rsidRPr="00A94D8B">
        <w:t>opera</w:t>
      </w:r>
      <w:r w:rsidR="00951ADD" w:rsidRPr="00A94D8B">
        <w:t>tional. Mean</w:t>
      </w:r>
      <w:r w:rsidR="00881AB8" w:rsidRPr="00A94D8B">
        <w:t>while</w:t>
      </w:r>
      <w:r w:rsidR="00221CD0" w:rsidRPr="00A94D8B">
        <w:t>,</w:t>
      </w:r>
      <w:r w:rsidR="00881AB8" w:rsidRPr="00A94D8B">
        <w:t xml:space="preserve"> the Intra ACP Pr</w:t>
      </w:r>
      <w:r w:rsidR="00881AB8" w:rsidRPr="00A94D8B">
        <w:t>o</w:t>
      </w:r>
      <w:r w:rsidR="00881AB8" w:rsidRPr="00A94D8B">
        <w:t>gramme has two of its five priority areas dedicated to some degree or another carbon fina</w:t>
      </w:r>
      <w:r w:rsidR="00881AB8" w:rsidRPr="00A94D8B">
        <w:t>n</w:t>
      </w:r>
      <w:r w:rsidR="00881AB8" w:rsidRPr="00A94D8B">
        <w:t xml:space="preserve">cing and trading. </w:t>
      </w:r>
      <w:r w:rsidR="00951ADD" w:rsidRPr="00A94D8B">
        <w:t>Th</w:t>
      </w:r>
      <w:r w:rsidR="00221CD0" w:rsidRPr="00A94D8B">
        <w:t xml:space="preserve">ough </w:t>
      </w:r>
      <w:r w:rsidR="00951ADD" w:rsidRPr="00A94D8B">
        <w:t xml:space="preserve">circumstances surrounding carbon markets </w:t>
      </w:r>
      <w:r w:rsidR="008F25E3" w:rsidRPr="00A94D8B">
        <w:t>can change</w:t>
      </w:r>
      <w:r w:rsidR="00221CD0" w:rsidRPr="00A94D8B">
        <w:t xml:space="preserve">, </w:t>
      </w:r>
      <w:r w:rsidR="00881AB8" w:rsidRPr="00A94D8B">
        <w:t>priority are</w:t>
      </w:r>
      <w:r w:rsidR="00221CD0" w:rsidRPr="00A94D8B">
        <w:t>as three and four (REDD) and f</w:t>
      </w:r>
      <w:r w:rsidR="00881AB8" w:rsidRPr="00A94D8B">
        <w:t xml:space="preserve">ive </w:t>
      </w:r>
      <w:r w:rsidR="00221CD0" w:rsidRPr="00A94D8B">
        <w:t xml:space="preserve">(CDM) </w:t>
      </w:r>
      <w:r w:rsidR="00881AB8" w:rsidRPr="00A94D8B">
        <w:t>of the ACP should be revis</w:t>
      </w:r>
      <w:r w:rsidR="00951ADD" w:rsidRPr="00A94D8B">
        <w:t>ited</w:t>
      </w:r>
      <w:r w:rsidR="00221CD0" w:rsidRPr="00A94D8B">
        <w:t xml:space="preserve">. Without </w:t>
      </w:r>
      <w:r w:rsidR="008F25E3" w:rsidRPr="00A94D8B">
        <w:t>di</w:t>
      </w:r>
      <w:r w:rsidR="008F25E3" w:rsidRPr="00A94D8B">
        <w:t>s</w:t>
      </w:r>
      <w:r w:rsidR="00951ADD" w:rsidRPr="00A94D8B">
        <w:t>courag</w:t>
      </w:r>
      <w:r w:rsidR="00221CD0" w:rsidRPr="00A94D8B">
        <w:t xml:space="preserve">ing </w:t>
      </w:r>
      <w:r w:rsidR="008F25E3" w:rsidRPr="00A94D8B">
        <w:t xml:space="preserve">the promotion of </w:t>
      </w:r>
      <w:r w:rsidR="00951ADD" w:rsidRPr="00A94D8B">
        <w:t>REDD-friendly activities</w:t>
      </w:r>
      <w:r w:rsidR="00221CD0" w:rsidRPr="00A94D8B">
        <w:t xml:space="preserve">, it should be </w:t>
      </w:r>
      <w:r w:rsidR="008F25E3" w:rsidRPr="00A94D8B">
        <w:t>examine</w:t>
      </w:r>
      <w:r w:rsidR="00221CD0" w:rsidRPr="00A94D8B">
        <w:t>d</w:t>
      </w:r>
      <w:r w:rsidR="008F25E3" w:rsidRPr="00A94D8B">
        <w:t xml:space="preserve"> how </w:t>
      </w:r>
      <w:r w:rsidR="00221CD0" w:rsidRPr="00A94D8B">
        <w:t xml:space="preserve">best </w:t>
      </w:r>
      <w:r w:rsidR="008F25E3" w:rsidRPr="00A94D8B">
        <w:t xml:space="preserve">these types of activities can be conceptualised and integrated into regional </w:t>
      </w:r>
      <w:r w:rsidR="00C40F93" w:rsidRPr="00A94D8B">
        <w:t xml:space="preserve">and national </w:t>
      </w:r>
      <w:r w:rsidR="008F25E3" w:rsidRPr="00A94D8B">
        <w:t>progra</w:t>
      </w:r>
      <w:r w:rsidR="008F25E3" w:rsidRPr="00A94D8B">
        <w:t>m</w:t>
      </w:r>
      <w:r w:rsidR="008F25E3" w:rsidRPr="00A94D8B">
        <w:t>mes in a</w:t>
      </w:r>
      <w:r w:rsidR="00951ADD" w:rsidRPr="00A94D8B">
        <w:t xml:space="preserve">n ongoing manner regardless of the status of the carbon markets. </w:t>
      </w:r>
    </w:p>
    <w:p w:rsidR="00E058AB" w:rsidRPr="00A94D8B" w:rsidRDefault="006A29AC" w:rsidP="00AD1C0A">
      <w:r w:rsidRPr="00A94D8B">
        <w:t xml:space="preserve">In terms of the relevance of the CSF, </w:t>
      </w:r>
      <w:r w:rsidR="004A680B" w:rsidRPr="00A94D8B">
        <w:t>there is little doubt that the CSF should be highly re</w:t>
      </w:r>
      <w:r w:rsidR="004A680B" w:rsidRPr="00A94D8B">
        <w:t>l</w:t>
      </w:r>
      <w:r w:rsidR="004A680B" w:rsidRPr="00A94D8B">
        <w:t>evant</w:t>
      </w:r>
      <w:r w:rsidR="006B27C6" w:rsidRPr="00A94D8B">
        <w:t xml:space="preserve"> considering its function and operating modalities; </w:t>
      </w:r>
      <w:r w:rsidR="005F2D7B" w:rsidRPr="00A94D8B">
        <w:t xml:space="preserve">the question is why </w:t>
      </w:r>
      <w:r w:rsidR="006B27C6" w:rsidRPr="00A94D8B">
        <w:t xml:space="preserve">in reality it </w:t>
      </w:r>
      <w:r w:rsidR="005F2D7B" w:rsidRPr="00A94D8B">
        <w:t xml:space="preserve">isn’t. </w:t>
      </w:r>
      <w:r w:rsidR="007C3569" w:rsidRPr="00A94D8B">
        <w:t>There is no strong demand for the service</w:t>
      </w:r>
      <w:r w:rsidR="006B27C6" w:rsidRPr="00A94D8B">
        <w:t xml:space="preserve"> -</w:t>
      </w:r>
      <w:r w:rsidR="007C3569" w:rsidRPr="00A94D8B">
        <w:t xml:space="preserve"> which would be the best indication of its re</w:t>
      </w:r>
      <w:r w:rsidR="007C3569" w:rsidRPr="00A94D8B">
        <w:t>l</w:t>
      </w:r>
      <w:r w:rsidR="007C3569" w:rsidRPr="00A94D8B">
        <w:t xml:space="preserve">evance. The issue is more complex than to simply conclude that the CSF has no relevance. The mandate of the CSF is tied to the </w:t>
      </w:r>
      <w:r w:rsidR="00DB132C" w:rsidRPr="00A94D8B">
        <w:t>five priority areas of the GCCA and f</w:t>
      </w:r>
      <w:r w:rsidR="007C3569" w:rsidRPr="00A94D8B">
        <w:t xml:space="preserve">eedback from </w:t>
      </w:r>
      <w:r w:rsidR="00DB132C" w:rsidRPr="00A94D8B">
        <w:t xml:space="preserve">completed CSF </w:t>
      </w:r>
      <w:r w:rsidR="007C3569" w:rsidRPr="00A94D8B">
        <w:t xml:space="preserve">work orders indicates </w:t>
      </w:r>
      <w:r w:rsidR="006B27C6" w:rsidRPr="00A94D8B">
        <w:t xml:space="preserve">that </w:t>
      </w:r>
      <w:r w:rsidR="00DB132C" w:rsidRPr="00A94D8B">
        <w:t>the service</w:t>
      </w:r>
      <w:r w:rsidR="006B27C6" w:rsidRPr="00A94D8B">
        <w:t>,</w:t>
      </w:r>
      <w:r w:rsidR="00DB132C" w:rsidRPr="00A94D8B">
        <w:t xml:space="preserve"> when active, is addressing key issues. The focus has to be placed on better understanding the circumstances under which the CSF has operated as a means of making the CSF more relevant. </w:t>
      </w:r>
      <w:r w:rsidRPr="00A94D8B">
        <w:t xml:space="preserve"> </w:t>
      </w:r>
    </w:p>
    <w:p w:rsidR="00F11D5B" w:rsidRPr="00A94D8B" w:rsidRDefault="006A29AC" w:rsidP="006A29AC">
      <w:r w:rsidRPr="00A94D8B">
        <w:t>One of the expectations o</w:t>
      </w:r>
      <w:r w:rsidR="00DB132C" w:rsidRPr="00A94D8B">
        <w:t>f the Intra-ACP Programme is that it</w:t>
      </w:r>
      <w:r w:rsidRPr="00A94D8B">
        <w:t xml:space="preserve"> would contribute to the Cot</w:t>
      </w:r>
      <w:r w:rsidRPr="00A94D8B">
        <w:t>o</w:t>
      </w:r>
      <w:r w:rsidRPr="00A94D8B">
        <w:t xml:space="preserve">nou Agreement and most specifically Article 32A. The Cotonou Agreement aims to eradicate poverty while contributing to sustainable development. The expectation is that poverty should be eradicated while ACP countries are fully integrated into the world economy. With the Cotonou Agreement there are also specific </w:t>
      </w:r>
      <w:r w:rsidR="00F11D5B" w:rsidRPr="00A94D8B">
        <w:t>objectives</w:t>
      </w:r>
      <w:r w:rsidRPr="00A94D8B">
        <w:t xml:space="preserve"> related to climate</w:t>
      </w:r>
      <w:r w:rsidR="00F11D5B" w:rsidRPr="00A94D8B">
        <w:t>. These objectives are outlined in the table below and the Intra-ACP`s contribution to their achievement.</w:t>
      </w:r>
    </w:p>
    <w:p w:rsidR="006A29AC" w:rsidRPr="00A94D8B" w:rsidRDefault="00F11D5B" w:rsidP="006A29AC">
      <w:pPr>
        <w:rPr>
          <w:b/>
          <w:i/>
        </w:rPr>
      </w:pPr>
      <w:r w:rsidRPr="00A94D8B">
        <w:rPr>
          <w:b/>
          <w:i/>
        </w:rPr>
        <w:t>Table 1: Assessment of Intra-ACP achievements in terms of objectives defined by Article 32A of the Cotonou Agreement</w:t>
      </w:r>
    </w:p>
    <w:tbl>
      <w:tblPr>
        <w:tblStyle w:val="TableGrid"/>
        <w:tblW w:w="0" w:type="auto"/>
        <w:tblLook w:val="04A0"/>
      </w:tblPr>
      <w:tblGrid>
        <w:gridCol w:w="4621"/>
        <w:gridCol w:w="4621"/>
      </w:tblGrid>
      <w:tr w:rsidR="006A29AC" w:rsidRPr="00A94D8B">
        <w:tc>
          <w:tcPr>
            <w:tcW w:w="4621" w:type="dxa"/>
          </w:tcPr>
          <w:p w:rsidR="006A29AC" w:rsidRPr="00A94D8B" w:rsidRDefault="006A29AC" w:rsidP="00AD1C0A">
            <w:pPr>
              <w:rPr>
                <w:sz w:val="20"/>
                <w:szCs w:val="18"/>
              </w:rPr>
            </w:pPr>
            <w:r w:rsidRPr="00A94D8B">
              <w:rPr>
                <w:rFonts w:ascii="EUAlbertina" w:hAnsi="EUAlbertina" w:cs="EUAlbertina"/>
                <w:color w:val="000000"/>
                <w:sz w:val="20"/>
                <w:szCs w:val="18"/>
              </w:rPr>
              <w:t>Elements in Article 32A of the Cotonou Agre</w:t>
            </w:r>
            <w:r w:rsidRPr="00A94D8B">
              <w:rPr>
                <w:rFonts w:ascii="EUAlbertina" w:hAnsi="EUAlbertina" w:cs="EUAlbertina"/>
                <w:color w:val="000000"/>
                <w:sz w:val="20"/>
                <w:szCs w:val="18"/>
              </w:rPr>
              <w:t>e</w:t>
            </w:r>
            <w:r w:rsidRPr="00A94D8B">
              <w:rPr>
                <w:rFonts w:ascii="EUAlbertina" w:hAnsi="EUAlbertina" w:cs="EUAlbertina"/>
                <w:color w:val="000000"/>
                <w:sz w:val="20"/>
                <w:szCs w:val="18"/>
              </w:rPr>
              <w:t>ment</w:t>
            </w:r>
          </w:p>
        </w:tc>
        <w:tc>
          <w:tcPr>
            <w:tcW w:w="4621" w:type="dxa"/>
          </w:tcPr>
          <w:p w:rsidR="006A29AC" w:rsidRPr="00A94D8B" w:rsidRDefault="006A29AC" w:rsidP="00AD1C0A">
            <w:pPr>
              <w:rPr>
                <w:sz w:val="20"/>
                <w:szCs w:val="18"/>
              </w:rPr>
            </w:pPr>
            <w:r w:rsidRPr="00A94D8B">
              <w:rPr>
                <w:sz w:val="20"/>
                <w:szCs w:val="18"/>
              </w:rPr>
              <w:t xml:space="preserve">Intra-ACP </w:t>
            </w:r>
            <w:r w:rsidR="006B27C6" w:rsidRPr="00A94D8B">
              <w:rPr>
                <w:sz w:val="20"/>
                <w:szCs w:val="18"/>
              </w:rPr>
              <w:t xml:space="preserve">GCCA </w:t>
            </w:r>
            <w:r w:rsidRPr="00A94D8B">
              <w:rPr>
                <w:sz w:val="20"/>
                <w:szCs w:val="18"/>
              </w:rPr>
              <w:t xml:space="preserve">Achievements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(a) recognise the vulnerability of ACP States and in particular of small islands and low-lying ACP States to climate-related phenomena such as coastal erosion, cyclones, flooding and environmentally induced di</w:t>
            </w:r>
            <w:r w:rsidRPr="00A94D8B">
              <w:rPr>
                <w:color w:val="000000"/>
                <w:sz w:val="20"/>
                <w:szCs w:val="18"/>
              </w:rPr>
              <w:t>s</w:t>
            </w:r>
            <w:r w:rsidRPr="00A94D8B">
              <w:rPr>
                <w:color w:val="000000"/>
                <w:sz w:val="20"/>
                <w:szCs w:val="18"/>
              </w:rPr>
              <w:t>placements, and in particular of least developed and landlocked ACP-States to increasing floods, drought, deforestation and desertification;</w:t>
            </w:r>
          </w:p>
        </w:tc>
        <w:tc>
          <w:tcPr>
            <w:tcW w:w="4621" w:type="dxa"/>
          </w:tcPr>
          <w:p w:rsidR="006A29AC" w:rsidRPr="00A94D8B" w:rsidRDefault="006A29AC" w:rsidP="00AD1C0A">
            <w:pPr>
              <w:rPr>
                <w:sz w:val="20"/>
                <w:szCs w:val="18"/>
              </w:rPr>
            </w:pPr>
            <w:r w:rsidRPr="00A94D8B">
              <w:rPr>
                <w:sz w:val="20"/>
                <w:szCs w:val="18"/>
              </w:rPr>
              <w:t>The main programming thrusts of the Intra ACP are aimed directly at recognising the vulnerability of the ACP states to climate related challenges and events such as floods and drought. The Intra-ACP is addres</w:t>
            </w:r>
            <w:r w:rsidRPr="00A94D8B">
              <w:rPr>
                <w:sz w:val="20"/>
                <w:szCs w:val="18"/>
              </w:rPr>
              <w:t>s</w:t>
            </w:r>
            <w:r w:rsidRPr="00A94D8B">
              <w:rPr>
                <w:sz w:val="20"/>
                <w:szCs w:val="18"/>
              </w:rPr>
              <w:t>ing vulnerability through concrete ground level a</w:t>
            </w:r>
            <w:r w:rsidRPr="00A94D8B">
              <w:rPr>
                <w:sz w:val="20"/>
                <w:szCs w:val="18"/>
              </w:rPr>
              <w:t>c</w:t>
            </w:r>
            <w:r w:rsidRPr="00A94D8B">
              <w:rPr>
                <w:sz w:val="20"/>
                <w:szCs w:val="18"/>
              </w:rPr>
              <w:t>tivity such as disaster risk manage</w:t>
            </w:r>
            <w:r w:rsidR="002764E1" w:rsidRPr="00A94D8B">
              <w:rPr>
                <w:sz w:val="20"/>
                <w:szCs w:val="18"/>
              </w:rPr>
              <w:t>ment planning and</w:t>
            </w:r>
            <w:r w:rsidRPr="00A94D8B">
              <w:rPr>
                <w:sz w:val="20"/>
                <w:szCs w:val="18"/>
              </w:rPr>
              <w:t xml:space="preserve"> drought resistant agriculture. There are also efforts to institutionalise policies and capacity to establish more permanent mechanisms to address vulnerability.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b) Strengthen and support policies and programmes to mitigate and adapt to the consequences of, and threat posed by, climate change including through instit</w:t>
            </w:r>
            <w:r w:rsidRPr="00A94D8B">
              <w:rPr>
                <w:color w:val="000000"/>
                <w:sz w:val="20"/>
                <w:szCs w:val="18"/>
              </w:rPr>
              <w:t>u</w:t>
            </w:r>
            <w:r w:rsidRPr="00A94D8B">
              <w:rPr>
                <w:color w:val="000000"/>
                <w:sz w:val="20"/>
                <w:szCs w:val="18"/>
              </w:rPr>
              <w:t>tional development and capacity building;</w:t>
            </w:r>
          </w:p>
        </w:tc>
        <w:tc>
          <w:tcPr>
            <w:tcW w:w="4621" w:type="dxa"/>
          </w:tcPr>
          <w:p w:rsidR="006A29AC" w:rsidRPr="00A94D8B" w:rsidRDefault="00414BF0" w:rsidP="00414BF0">
            <w:pPr>
              <w:rPr>
                <w:sz w:val="20"/>
                <w:szCs w:val="18"/>
              </w:rPr>
            </w:pPr>
            <w:r w:rsidRPr="00A94D8B">
              <w:rPr>
                <w:sz w:val="20"/>
                <w:szCs w:val="18"/>
              </w:rPr>
              <w:t>The Intra-ACP`s main programming element is ada</w:t>
            </w:r>
            <w:r w:rsidRPr="00A94D8B">
              <w:rPr>
                <w:sz w:val="20"/>
                <w:szCs w:val="18"/>
              </w:rPr>
              <w:t>p</w:t>
            </w:r>
            <w:r w:rsidRPr="00A94D8B">
              <w:rPr>
                <w:sz w:val="20"/>
                <w:szCs w:val="18"/>
              </w:rPr>
              <w:t xml:space="preserve">tation related activity. The focus on adaptation has emerged as </w:t>
            </w:r>
            <w:r w:rsidR="002764E1" w:rsidRPr="00A94D8B">
              <w:rPr>
                <w:sz w:val="20"/>
                <w:szCs w:val="18"/>
              </w:rPr>
              <w:t xml:space="preserve">a response to the needs at </w:t>
            </w:r>
            <w:r w:rsidRPr="00A94D8B">
              <w:rPr>
                <w:sz w:val="20"/>
                <w:szCs w:val="18"/>
              </w:rPr>
              <w:t>the regional, national and local levels.  At the policy and research level for example, there has been support for NAPAs and NASAPs. In terms of mitigation related activity</w:t>
            </w:r>
            <w:r w:rsidR="00B60974" w:rsidRPr="00A94D8B">
              <w:rPr>
                <w:sz w:val="20"/>
                <w:szCs w:val="18"/>
              </w:rPr>
              <w:t>, the engagement of the Intra-ACP has not been as strong. As the Intra-ACP is demand driven the greater focus on adaptation is an expression of where MS priorities lie. Nevertheless, the Intra-ACP has pr</w:t>
            </w:r>
            <w:r w:rsidR="00B60974" w:rsidRPr="00A94D8B">
              <w:rPr>
                <w:sz w:val="20"/>
                <w:szCs w:val="18"/>
              </w:rPr>
              <w:t>o</w:t>
            </w:r>
            <w:r w:rsidR="00B60974" w:rsidRPr="00A94D8B">
              <w:rPr>
                <w:sz w:val="20"/>
                <w:szCs w:val="18"/>
              </w:rPr>
              <w:t>vided supported for important efforts such as the co</w:t>
            </w:r>
            <w:r w:rsidR="00B60974" w:rsidRPr="00A94D8B">
              <w:rPr>
                <w:sz w:val="20"/>
                <w:szCs w:val="18"/>
              </w:rPr>
              <w:t>m</w:t>
            </w:r>
            <w:r w:rsidR="00B60974" w:rsidRPr="00A94D8B">
              <w:rPr>
                <w:sz w:val="20"/>
                <w:szCs w:val="18"/>
              </w:rPr>
              <w:t xml:space="preserve">pletion of NAMAs. </w:t>
            </w:r>
            <w:r w:rsidRPr="00A94D8B">
              <w:rPr>
                <w:sz w:val="20"/>
                <w:szCs w:val="18"/>
              </w:rPr>
              <w:t xml:space="preserve">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(c) Enhance the capacity of ACP States in the deve</w:t>
            </w:r>
            <w:r w:rsidRPr="00A94D8B">
              <w:rPr>
                <w:color w:val="000000"/>
                <w:sz w:val="20"/>
                <w:szCs w:val="18"/>
              </w:rPr>
              <w:t>l</w:t>
            </w:r>
            <w:r w:rsidRPr="00A94D8B">
              <w:rPr>
                <w:color w:val="000000"/>
                <w:sz w:val="20"/>
                <w:szCs w:val="18"/>
              </w:rPr>
              <w:t xml:space="preserve">opment of, and the participation in, the global carbon market; </w:t>
            </w:r>
          </w:p>
        </w:tc>
        <w:tc>
          <w:tcPr>
            <w:tcW w:w="4621" w:type="dxa"/>
          </w:tcPr>
          <w:p w:rsidR="006A29AC" w:rsidRPr="00A94D8B" w:rsidRDefault="00B60974" w:rsidP="00AD1C0A">
            <w:pPr>
              <w:rPr>
                <w:sz w:val="20"/>
                <w:szCs w:val="18"/>
              </w:rPr>
            </w:pPr>
            <w:r w:rsidRPr="00A94D8B">
              <w:rPr>
                <w:sz w:val="20"/>
                <w:szCs w:val="18"/>
              </w:rPr>
              <w:t>During the lifetime of the Intra-ACP Programme there have been important developments related to the ca</w:t>
            </w:r>
            <w:r w:rsidRPr="00A94D8B">
              <w:rPr>
                <w:sz w:val="20"/>
                <w:szCs w:val="18"/>
              </w:rPr>
              <w:t>r</w:t>
            </w:r>
            <w:r w:rsidRPr="00A94D8B">
              <w:rPr>
                <w:sz w:val="20"/>
                <w:szCs w:val="18"/>
              </w:rPr>
              <w:t>bon markets that has seen interest</w:t>
            </w:r>
            <w:r w:rsidR="005C3F8F" w:rsidRPr="00A94D8B">
              <w:rPr>
                <w:sz w:val="20"/>
                <w:szCs w:val="18"/>
              </w:rPr>
              <w:t xml:space="preserve"> dampening signif</w:t>
            </w:r>
            <w:r w:rsidR="005C3F8F" w:rsidRPr="00A94D8B">
              <w:rPr>
                <w:sz w:val="20"/>
                <w:szCs w:val="18"/>
              </w:rPr>
              <w:t>i</w:t>
            </w:r>
            <w:r w:rsidR="005C3F8F" w:rsidRPr="00A94D8B">
              <w:rPr>
                <w:sz w:val="20"/>
                <w:szCs w:val="18"/>
              </w:rPr>
              <w:t>cantly and new funding mechanism emerging. A few regional programmes were making efforts to establish for example, Designated National Authorities (DNA)</w:t>
            </w:r>
            <w:r w:rsidR="00BD24F8" w:rsidRPr="00A94D8B">
              <w:rPr>
                <w:sz w:val="20"/>
                <w:szCs w:val="18"/>
              </w:rPr>
              <w:t xml:space="preserve"> that could approve CDM projects</w:t>
            </w:r>
            <w:r w:rsidR="005C3F8F" w:rsidRPr="00A94D8B">
              <w:rPr>
                <w:sz w:val="20"/>
                <w:szCs w:val="18"/>
              </w:rPr>
              <w:t xml:space="preserve">. However, </w:t>
            </w:r>
            <w:r w:rsidR="00BD24F8" w:rsidRPr="00A94D8B">
              <w:rPr>
                <w:sz w:val="20"/>
                <w:szCs w:val="18"/>
              </w:rPr>
              <w:t>at least one regional programme has switched its focus t</w:t>
            </w:r>
            <w:r w:rsidR="00BD24F8" w:rsidRPr="00A94D8B">
              <w:rPr>
                <w:sz w:val="20"/>
                <w:szCs w:val="18"/>
              </w:rPr>
              <w:t>o</w:t>
            </w:r>
            <w:r w:rsidR="00BD24F8" w:rsidRPr="00A94D8B">
              <w:rPr>
                <w:sz w:val="20"/>
                <w:szCs w:val="18"/>
              </w:rPr>
              <w:t>wards NAMAs and post 2015 carbon financing</w:t>
            </w:r>
            <w:r w:rsidR="002764E1" w:rsidRPr="00A94D8B">
              <w:rPr>
                <w:sz w:val="20"/>
                <w:szCs w:val="18"/>
              </w:rPr>
              <w:t>.</w:t>
            </w:r>
            <w:r w:rsidR="00BD24F8" w:rsidRPr="00A94D8B">
              <w:rPr>
                <w:sz w:val="20"/>
                <w:szCs w:val="18"/>
              </w:rPr>
              <w:t xml:space="preserve">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Focus on the Following Activities</w:t>
            </w:r>
          </w:p>
        </w:tc>
        <w:tc>
          <w:tcPr>
            <w:tcW w:w="4621" w:type="dxa"/>
          </w:tcPr>
          <w:p w:rsidR="006A29AC" w:rsidRPr="00A94D8B" w:rsidRDefault="006A29AC" w:rsidP="00AD1C0A">
            <w:pPr>
              <w:rPr>
                <w:sz w:val="20"/>
                <w:szCs w:val="18"/>
              </w:rPr>
            </w:pP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 Integrating climate change into development strategies and poverty reduction efforts;</w:t>
            </w:r>
          </w:p>
        </w:tc>
        <w:tc>
          <w:tcPr>
            <w:tcW w:w="4621" w:type="dxa"/>
          </w:tcPr>
          <w:p w:rsidR="006A29AC" w:rsidRPr="00A94D8B" w:rsidRDefault="00BD24F8"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 xml:space="preserve">There has been Intra-ACP Programme support at the national level to mainstream climate change considerations into policies and practices. There is the support for NAPAs and playing a role in the creation or strengthening of national climate change offices that in turn provide guidance on climate change mainstreaming. There has also been </w:t>
            </w:r>
            <w:r w:rsidR="00353D4C" w:rsidRPr="00A94D8B">
              <w:rPr>
                <w:rFonts w:ascii="EUAlbertina" w:hAnsi="EUAlbertina" w:cs="EUAlbertina"/>
                <w:color w:val="000000"/>
                <w:sz w:val="20"/>
                <w:szCs w:val="18"/>
              </w:rPr>
              <w:t>support for developing more climate sens</w:t>
            </w:r>
            <w:r w:rsidR="00353D4C" w:rsidRPr="00A94D8B">
              <w:rPr>
                <w:rFonts w:ascii="EUAlbertina" w:hAnsi="EUAlbertina" w:cs="EUAlbertina"/>
                <w:color w:val="000000"/>
                <w:sz w:val="20"/>
                <w:szCs w:val="18"/>
              </w:rPr>
              <w:t>i</w:t>
            </w:r>
            <w:r w:rsidR="00353D4C" w:rsidRPr="00A94D8B">
              <w:rPr>
                <w:rFonts w:ascii="EUAlbertina" w:hAnsi="EUAlbertina" w:cs="EUAlbertina"/>
                <w:color w:val="000000"/>
                <w:sz w:val="20"/>
                <w:szCs w:val="18"/>
              </w:rPr>
              <w:t>tive practices and policies in the agricultural se</w:t>
            </w:r>
            <w:r w:rsidR="00353D4C" w:rsidRPr="00A94D8B">
              <w:rPr>
                <w:rFonts w:ascii="EUAlbertina" w:hAnsi="EUAlbertina" w:cs="EUAlbertina"/>
                <w:color w:val="000000"/>
                <w:sz w:val="20"/>
                <w:szCs w:val="18"/>
              </w:rPr>
              <w:t>c</w:t>
            </w:r>
            <w:r w:rsidR="00353D4C" w:rsidRPr="00A94D8B">
              <w:rPr>
                <w:rFonts w:ascii="EUAlbertina" w:hAnsi="EUAlbertina" w:cs="EUAlbertina"/>
                <w:color w:val="000000"/>
                <w:sz w:val="20"/>
                <w:szCs w:val="18"/>
              </w:rPr>
              <w:t xml:space="preserve">tor both nationally and the regional level.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(ii) raising the political profile of climate change in development cooperation, including through a</w:t>
            </w:r>
            <w:r w:rsidRPr="00A94D8B">
              <w:rPr>
                <w:color w:val="000000"/>
                <w:sz w:val="20"/>
                <w:szCs w:val="18"/>
              </w:rPr>
              <w:t>p</w:t>
            </w:r>
            <w:r w:rsidRPr="00A94D8B">
              <w:rPr>
                <w:color w:val="000000"/>
                <w:sz w:val="20"/>
                <w:szCs w:val="18"/>
              </w:rPr>
              <w:t>propriate policy dialogue;</w:t>
            </w:r>
          </w:p>
        </w:tc>
        <w:tc>
          <w:tcPr>
            <w:tcW w:w="4621" w:type="dxa"/>
          </w:tcPr>
          <w:p w:rsidR="006A29AC" w:rsidRPr="00A94D8B" w:rsidRDefault="00353D4C"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Support has been provided through all regional programmes for participation in international cl</w:t>
            </w:r>
            <w:r w:rsidRPr="00A94D8B">
              <w:rPr>
                <w:rFonts w:ascii="EUAlbertina" w:hAnsi="EUAlbertina" w:cs="EUAlbertina"/>
                <w:color w:val="000000"/>
                <w:sz w:val="20"/>
                <w:szCs w:val="18"/>
              </w:rPr>
              <w:t>i</w:t>
            </w:r>
            <w:r w:rsidRPr="00A94D8B">
              <w:rPr>
                <w:rFonts w:ascii="EUAlbertina" w:hAnsi="EUAlbertina" w:cs="EUAlbertina"/>
                <w:color w:val="000000"/>
                <w:sz w:val="20"/>
                <w:szCs w:val="18"/>
              </w:rPr>
              <w:t xml:space="preserve">mate change forums and negotiations. </w:t>
            </w:r>
            <w:r w:rsidR="00294155" w:rsidRPr="00A94D8B">
              <w:rPr>
                <w:rFonts w:ascii="EUAlbertina" w:hAnsi="EUAlbertina" w:cs="EUAlbertina"/>
                <w:color w:val="000000"/>
                <w:sz w:val="20"/>
                <w:szCs w:val="18"/>
              </w:rPr>
              <w:t xml:space="preserve">Debate and dialogue has been facilitated at the national and regional levels. There </w:t>
            </w:r>
            <w:r w:rsidR="009327E5" w:rsidRPr="00A94D8B">
              <w:rPr>
                <w:rFonts w:ascii="EUAlbertina" w:hAnsi="EUAlbertina" w:cs="EUAlbertina"/>
                <w:color w:val="000000"/>
                <w:sz w:val="20"/>
                <w:szCs w:val="18"/>
              </w:rPr>
              <w:t>have</w:t>
            </w:r>
            <w:r w:rsidR="00294155" w:rsidRPr="00A94D8B">
              <w:rPr>
                <w:rFonts w:ascii="EUAlbertina" w:hAnsi="EUAlbertina" w:cs="EUAlbertina"/>
                <w:color w:val="000000"/>
                <w:sz w:val="20"/>
                <w:szCs w:val="18"/>
              </w:rPr>
              <w:t xml:space="preserve"> also been joint meetings/workshops where representatives from the different regional programmes have attended. This is an area where the Intr</w:t>
            </w:r>
            <w:r w:rsidR="009327E5" w:rsidRPr="00A94D8B">
              <w:rPr>
                <w:rFonts w:ascii="EUAlbertina" w:hAnsi="EUAlbertina" w:cs="EUAlbertina"/>
                <w:color w:val="000000"/>
                <w:sz w:val="20"/>
                <w:szCs w:val="18"/>
              </w:rPr>
              <w:t>a</w:t>
            </w:r>
            <w:r w:rsidR="00294155" w:rsidRPr="00A94D8B">
              <w:rPr>
                <w:rFonts w:ascii="EUAlbertina" w:hAnsi="EUAlbertina" w:cs="EUAlbertina"/>
                <w:color w:val="000000"/>
                <w:sz w:val="20"/>
                <w:szCs w:val="18"/>
              </w:rPr>
              <w:t xml:space="preserve">-ACP could place more emphasis.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(iii) assisting ACP states to adapt to climate change in relevant sectors such as agriculture, water management and infrastructure, including through transfer and adoption of relevant and env</w:t>
            </w:r>
            <w:r w:rsidRPr="00A94D8B">
              <w:rPr>
                <w:color w:val="000000"/>
                <w:sz w:val="20"/>
                <w:szCs w:val="18"/>
              </w:rPr>
              <w:t>i</w:t>
            </w:r>
            <w:r w:rsidRPr="00A94D8B">
              <w:rPr>
                <w:color w:val="000000"/>
                <w:sz w:val="20"/>
                <w:szCs w:val="18"/>
              </w:rPr>
              <w:t>ronmentally sound technologies;</w:t>
            </w:r>
          </w:p>
        </w:tc>
        <w:tc>
          <w:tcPr>
            <w:tcW w:w="4621" w:type="dxa"/>
          </w:tcPr>
          <w:p w:rsidR="006A29AC" w:rsidRPr="00A94D8B" w:rsidRDefault="00294155" w:rsidP="00294155">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 xml:space="preserve">There are a number of examples of direct support to specific sectors. In the Caribbean for example, varied support has been provided to </w:t>
            </w:r>
            <w:r w:rsidR="00D27AA8" w:rsidRPr="00A94D8B">
              <w:rPr>
                <w:rFonts w:ascii="EUAlbertina" w:hAnsi="EUAlbertina" w:cs="EUAlbertina"/>
                <w:color w:val="000000"/>
                <w:sz w:val="20"/>
                <w:szCs w:val="18"/>
              </w:rPr>
              <w:t>the water sector in</w:t>
            </w:r>
            <w:r w:rsidRPr="00A94D8B">
              <w:rPr>
                <w:rFonts w:ascii="EUAlbertina" w:hAnsi="EUAlbertina" w:cs="EUAlbertina"/>
                <w:color w:val="000000"/>
                <w:sz w:val="20"/>
                <w:szCs w:val="18"/>
              </w:rPr>
              <w:t xml:space="preserve"> promoting improved technologies to better manage water resources.  In Easter and Southern Africa, the overall focus of the regional programme is on improving agricultural produ</w:t>
            </w:r>
            <w:r w:rsidRPr="00A94D8B">
              <w:rPr>
                <w:rFonts w:ascii="EUAlbertina" w:hAnsi="EUAlbertina" w:cs="EUAlbertina"/>
                <w:color w:val="000000"/>
                <w:sz w:val="20"/>
                <w:szCs w:val="18"/>
              </w:rPr>
              <w:t>c</w:t>
            </w:r>
            <w:r w:rsidRPr="00A94D8B">
              <w:rPr>
                <w:rFonts w:ascii="EUAlbertina" w:hAnsi="EUAlbertina" w:cs="EUAlbertina"/>
                <w:color w:val="000000"/>
                <w:sz w:val="20"/>
                <w:szCs w:val="18"/>
              </w:rPr>
              <w:t xml:space="preserve">tion.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(iv) promoting disaster risk reduction, reflecting that an increasing proportion of disasters are r</w:t>
            </w:r>
            <w:r w:rsidRPr="00A94D8B">
              <w:rPr>
                <w:color w:val="000000"/>
                <w:sz w:val="20"/>
                <w:szCs w:val="18"/>
              </w:rPr>
              <w:t>e</w:t>
            </w:r>
            <w:r w:rsidRPr="00A94D8B">
              <w:rPr>
                <w:color w:val="000000"/>
                <w:sz w:val="20"/>
                <w:szCs w:val="18"/>
              </w:rPr>
              <w:t>lated to climate change;</w:t>
            </w:r>
          </w:p>
        </w:tc>
        <w:tc>
          <w:tcPr>
            <w:tcW w:w="4621" w:type="dxa"/>
          </w:tcPr>
          <w:p w:rsidR="006A29AC" w:rsidRPr="00A94D8B" w:rsidRDefault="004671AA"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 xml:space="preserve">In the Pacific and Caribbean DRR activities are key programming elements. In Africa support is being provided to drought resistance agriculture.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(v) providing financial and technical support for mitigation action of ACP states in line with their poverty reduction and sustainable development o</w:t>
            </w:r>
            <w:r w:rsidRPr="00A94D8B">
              <w:rPr>
                <w:color w:val="000000"/>
                <w:sz w:val="20"/>
                <w:szCs w:val="18"/>
              </w:rPr>
              <w:t>b</w:t>
            </w:r>
            <w:r w:rsidRPr="00A94D8B">
              <w:rPr>
                <w:color w:val="000000"/>
                <w:sz w:val="20"/>
                <w:szCs w:val="18"/>
              </w:rPr>
              <w:t>jectives, including reducing emissions from defo</w:t>
            </w:r>
            <w:r w:rsidRPr="00A94D8B">
              <w:rPr>
                <w:color w:val="000000"/>
                <w:sz w:val="20"/>
                <w:szCs w:val="18"/>
              </w:rPr>
              <w:t>r</w:t>
            </w:r>
            <w:r w:rsidRPr="00A94D8B">
              <w:rPr>
                <w:color w:val="000000"/>
                <w:sz w:val="20"/>
                <w:szCs w:val="18"/>
              </w:rPr>
              <w:t>estation and forest degradation and reducing emi</w:t>
            </w:r>
            <w:r w:rsidRPr="00A94D8B">
              <w:rPr>
                <w:color w:val="000000"/>
                <w:sz w:val="20"/>
                <w:szCs w:val="18"/>
              </w:rPr>
              <w:t>s</w:t>
            </w:r>
            <w:r w:rsidRPr="00A94D8B">
              <w:rPr>
                <w:color w:val="000000"/>
                <w:sz w:val="20"/>
                <w:szCs w:val="18"/>
              </w:rPr>
              <w:t>sions in the agricultural sector;</w:t>
            </w:r>
          </w:p>
        </w:tc>
        <w:tc>
          <w:tcPr>
            <w:tcW w:w="4621" w:type="dxa"/>
          </w:tcPr>
          <w:p w:rsidR="006A29AC" w:rsidRPr="00A94D8B" w:rsidRDefault="004671AA"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As noted</w:t>
            </w:r>
            <w:r w:rsidR="00D27AA8" w:rsidRPr="00A94D8B">
              <w:rPr>
                <w:rFonts w:ascii="EUAlbertina" w:hAnsi="EUAlbertina" w:cs="EUAlbertina"/>
                <w:color w:val="000000"/>
                <w:sz w:val="20"/>
                <w:szCs w:val="18"/>
              </w:rPr>
              <w:t xml:space="preserve"> above mitigation activities have not </w:t>
            </w:r>
            <w:r w:rsidRPr="00A94D8B">
              <w:rPr>
                <w:rFonts w:ascii="EUAlbertina" w:hAnsi="EUAlbertina" w:cs="EUAlbertina"/>
                <w:color w:val="000000"/>
                <w:sz w:val="20"/>
                <w:szCs w:val="18"/>
              </w:rPr>
              <w:t xml:space="preserve">necessarily </w:t>
            </w:r>
            <w:r w:rsidR="00D27AA8" w:rsidRPr="00A94D8B">
              <w:rPr>
                <w:rFonts w:ascii="EUAlbertina" w:hAnsi="EUAlbertina" w:cs="EUAlbertina"/>
                <w:color w:val="000000"/>
                <w:sz w:val="20"/>
                <w:szCs w:val="18"/>
              </w:rPr>
              <w:t xml:space="preserve">been </w:t>
            </w:r>
            <w:proofErr w:type="gramStart"/>
            <w:r w:rsidR="009327E5" w:rsidRPr="00A94D8B">
              <w:rPr>
                <w:rFonts w:ascii="EUAlbertina" w:hAnsi="EUAlbertina" w:cs="EUAlbertina"/>
                <w:color w:val="000000"/>
                <w:sz w:val="20"/>
                <w:szCs w:val="18"/>
              </w:rPr>
              <w:t>a strength</w:t>
            </w:r>
            <w:proofErr w:type="gramEnd"/>
            <w:r w:rsidRPr="00A94D8B">
              <w:rPr>
                <w:rFonts w:ascii="EUAlbertina" w:hAnsi="EUAlbertina" w:cs="EUAlbertina"/>
                <w:color w:val="000000"/>
                <w:sz w:val="20"/>
                <w:szCs w:val="18"/>
              </w:rPr>
              <w:t xml:space="preserve"> of the specific r</w:t>
            </w:r>
            <w:r w:rsidRPr="00A94D8B">
              <w:rPr>
                <w:rFonts w:ascii="EUAlbertina" w:hAnsi="EUAlbertina" w:cs="EUAlbertina"/>
                <w:color w:val="000000"/>
                <w:sz w:val="20"/>
                <w:szCs w:val="18"/>
              </w:rPr>
              <w:t>e</w:t>
            </w:r>
            <w:r w:rsidRPr="00A94D8B">
              <w:rPr>
                <w:rFonts w:ascii="EUAlbertina" w:hAnsi="EUAlbertina" w:cs="EUAlbertina"/>
                <w:color w:val="000000"/>
                <w:sz w:val="20"/>
                <w:szCs w:val="18"/>
              </w:rPr>
              <w:t xml:space="preserve">gional programmes.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(vi) improving weather and climate information and forecasting and early warning systems;</w:t>
            </w:r>
          </w:p>
        </w:tc>
        <w:tc>
          <w:tcPr>
            <w:tcW w:w="4621" w:type="dxa"/>
          </w:tcPr>
          <w:p w:rsidR="006A29AC" w:rsidRPr="00A94D8B" w:rsidRDefault="004671AA" w:rsidP="006E555C">
            <w:pPr>
              <w:autoSpaceDE w:val="0"/>
              <w:autoSpaceDN w:val="0"/>
              <w:adjustRightInd w:val="0"/>
              <w:spacing w:after="120" w:line="240" w:lineRule="auto"/>
              <w:rPr>
                <w:rFonts w:ascii="EUAlbertina" w:hAnsi="EUAlbertina" w:cs="EUAlbertina"/>
                <w:color w:val="000000"/>
                <w:sz w:val="20"/>
                <w:szCs w:val="19"/>
              </w:rPr>
            </w:pPr>
            <w:r w:rsidRPr="00A94D8B">
              <w:rPr>
                <w:rFonts w:ascii="EUAlbertina" w:hAnsi="EUAlbertina" w:cs="EUAlbertina"/>
                <w:color w:val="000000"/>
                <w:sz w:val="20"/>
                <w:szCs w:val="19"/>
              </w:rPr>
              <w:t xml:space="preserve">In the Caribbean there is a concerted effort to improve the use of climate information through efforts to downscale its application. </w:t>
            </w:r>
          </w:p>
        </w:tc>
      </w:tr>
    </w:tbl>
    <w:p w:rsidR="009C3AF4" w:rsidRPr="00A94D8B" w:rsidRDefault="009C3AF4" w:rsidP="00AD1C0A"/>
    <w:p w:rsidR="00E55698" w:rsidRPr="00A94D8B" w:rsidRDefault="00501DED" w:rsidP="00AD1C0A">
      <w:r w:rsidRPr="00A94D8B">
        <w:t xml:space="preserve">The </w:t>
      </w:r>
      <w:r w:rsidR="006976A8" w:rsidRPr="00A94D8B">
        <w:t>aggregate</w:t>
      </w:r>
      <w:r w:rsidRPr="00A94D8B">
        <w:t>d</w:t>
      </w:r>
      <w:r w:rsidR="006976A8" w:rsidRPr="00A94D8B">
        <w:t xml:space="preserve"> </w:t>
      </w:r>
      <w:r w:rsidRPr="00A94D8B">
        <w:t xml:space="preserve">score based on the evaluation rating system of </w:t>
      </w:r>
      <w:r w:rsidR="006976A8" w:rsidRPr="00A94D8B">
        <w:t>the regional programmes of the Intra ACP prog</w:t>
      </w:r>
      <w:r w:rsidRPr="00A94D8B">
        <w:t>ramme is</w:t>
      </w:r>
      <w:r w:rsidR="006976A8" w:rsidRPr="00A94D8B">
        <w:t xml:space="preserve"> B </w:t>
      </w:r>
      <w:r w:rsidR="00C20D0E" w:rsidRPr="00A94D8B">
        <w:t>(</w:t>
      </w:r>
      <w:r w:rsidR="006976A8" w:rsidRPr="00A94D8B">
        <w:t>good</w:t>
      </w:r>
      <w:r w:rsidR="00C20D0E" w:rsidRPr="00A94D8B">
        <w:t>)</w:t>
      </w:r>
      <w:r w:rsidR="006976A8" w:rsidRPr="00A94D8B">
        <w:t>.</w:t>
      </w:r>
      <w:r w:rsidR="000B5164" w:rsidRPr="00A94D8B">
        <w:t xml:space="preserve"> </w:t>
      </w:r>
      <w:r w:rsidR="008F25E3" w:rsidRPr="00A94D8B">
        <w:t xml:space="preserve"> </w:t>
      </w:r>
      <w:r w:rsidR="006976A8" w:rsidRPr="00A94D8B">
        <w:t>T</w:t>
      </w:r>
      <w:r w:rsidR="000B5164" w:rsidRPr="00A94D8B">
        <w:t>he Intra-ACP is clearly attempting to respond to the needs</w:t>
      </w:r>
      <w:r w:rsidR="00C40F93" w:rsidRPr="00A94D8B">
        <w:t xml:space="preserve"> of its member states with a solid focus on addressing their climate related priorities</w:t>
      </w:r>
      <w:r w:rsidR="000B5164" w:rsidRPr="00A94D8B">
        <w:t xml:space="preserve">. </w:t>
      </w:r>
      <w:r w:rsidRPr="00A94D8B">
        <w:t xml:space="preserve">At the same time it was observed through the evaluation process that it was possible for </w:t>
      </w:r>
      <w:r w:rsidR="003B16E5" w:rsidRPr="00A94D8B">
        <w:t>a r</w:t>
      </w:r>
      <w:r w:rsidR="003B16E5" w:rsidRPr="00A94D8B">
        <w:t>e</w:t>
      </w:r>
      <w:r w:rsidR="003B16E5" w:rsidRPr="00A94D8B">
        <w:t>gional programme</w:t>
      </w:r>
      <w:r w:rsidRPr="00A94D8B">
        <w:t xml:space="preserve"> to </w:t>
      </w:r>
      <w:r w:rsidR="003B16E5" w:rsidRPr="00A94D8B">
        <w:t xml:space="preserve">provide support in a priority area but </w:t>
      </w:r>
      <w:r w:rsidRPr="00A94D8B">
        <w:t xml:space="preserve">without the precision required to make such an intervention more strategic. </w:t>
      </w:r>
      <w:r w:rsidR="003B16E5" w:rsidRPr="00A94D8B">
        <w:t xml:space="preserve">For example, COMESA is assisting Eastern and Southern Africa with CSA and CA </w:t>
      </w:r>
      <w:r w:rsidR="00C20D0E" w:rsidRPr="00A94D8B">
        <w:t xml:space="preserve">interventions </w:t>
      </w:r>
      <w:r w:rsidR="003B16E5" w:rsidRPr="00A94D8B">
        <w:t>but at the same time</w:t>
      </w:r>
      <w:r w:rsidR="00C20D0E" w:rsidRPr="00A94D8B">
        <w:t>,</w:t>
      </w:r>
      <w:r w:rsidR="003B16E5" w:rsidRPr="00A94D8B">
        <w:t xml:space="preserve"> so are many other o</w:t>
      </w:r>
      <w:r w:rsidR="003B16E5" w:rsidRPr="00A94D8B">
        <w:t>r</w:t>
      </w:r>
      <w:r w:rsidR="003B16E5" w:rsidRPr="00A94D8B">
        <w:t xml:space="preserve">ganisations. In a regional programme there </w:t>
      </w:r>
      <w:r w:rsidRPr="00A94D8B">
        <w:t xml:space="preserve">should be added </w:t>
      </w:r>
      <w:r w:rsidR="006976A8" w:rsidRPr="00A94D8B">
        <w:t xml:space="preserve">responsibility to </w:t>
      </w:r>
      <w:r w:rsidR="003B16E5" w:rsidRPr="00A94D8B">
        <w:t>ensure that a</w:t>
      </w:r>
      <w:r w:rsidR="003B16E5" w:rsidRPr="00A94D8B">
        <w:t>c</w:t>
      </w:r>
      <w:r w:rsidR="003B16E5" w:rsidRPr="00A94D8B">
        <w:t xml:space="preserve">tivities </w:t>
      </w:r>
      <w:r w:rsidR="006976A8" w:rsidRPr="00A94D8B">
        <w:t xml:space="preserve">have </w:t>
      </w:r>
      <w:r w:rsidR="00C20D0E" w:rsidRPr="00A94D8B">
        <w:t xml:space="preserve">added </w:t>
      </w:r>
      <w:r w:rsidR="006976A8" w:rsidRPr="00A94D8B">
        <w:t>value from a</w:t>
      </w:r>
      <w:r w:rsidR="003B16E5" w:rsidRPr="00A94D8B">
        <w:t xml:space="preserve"> regional standpoint</w:t>
      </w:r>
      <w:r w:rsidR="006976A8" w:rsidRPr="00A94D8B">
        <w:t xml:space="preserve">. </w:t>
      </w:r>
      <w:r w:rsidRPr="00A94D8B">
        <w:t xml:space="preserve">A stronger case has to be made for each activity. </w:t>
      </w:r>
      <w:r w:rsidR="006976A8" w:rsidRPr="00A94D8B">
        <w:t xml:space="preserve"> </w:t>
      </w:r>
    </w:p>
    <w:p w:rsidR="00D036B2" w:rsidRPr="00A94D8B" w:rsidRDefault="00D036B2" w:rsidP="00AD1C0A">
      <w:pPr>
        <w:pStyle w:val="Heading2"/>
        <w:numPr>
          <w:ilvl w:val="1"/>
          <w:numId w:val="9"/>
        </w:numPr>
      </w:pPr>
      <w:bookmarkStart w:id="33" w:name="_Toc392064216"/>
      <w:bookmarkStart w:id="34" w:name="_Toc401041562"/>
      <w:r w:rsidRPr="00A94D8B">
        <w:t>On design:</w:t>
      </w:r>
      <w:bookmarkEnd w:id="33"/>
      <w:bookmarkEnd w:id="34"/>
    </w:p>
    <w:p w:rsidR="00C84203" w:rsidRPr="00A94D8B" w:rsidRDefault="006C6102" w:rsidP="00AD1C0A">
      <w:pPr>
        <w:ind w:left="709" w:hanging="709"/>
        <w:rPr>
          <w:b/>
          <w:i/>
        </w:rPr>
      </w:pPr>
      <w:r w:rsidRPr="00A94D8B">
        <w:rPr>
          <w:b/>
          <w:i/>
        </w:rPr>
        <w:t>EQ</w:t>
      </w:r>
      <w:r w:rsidR="00D036B2" w:rsidRPr="00A94D8B">
        <w:rPr>
          <w:b/>
          <w:i/>
        </w:rPr>
        <w:t>2.</w:t>
      </w:r>
      <w:r w:rsidR="00D036B2" w:rsidRPr="00A94D8B">
        <w:rPr>
          <w:b/>
          <w:i/>
        </w:rPr>
        <w:tab/>
        <w:t>To what extent is the intervention logic internally consistent and valid, coherent across different intervention levels, is it formalised in a logframe or other format, and is it actively used?</w:t>
      </w:r>
    </w:p>
    <w:p w:rsidR="00B3100B" w:rsidRPr="00A94D8B" w:rsidRDefault="00B733E4" w:rsidP="00AD1C0A">
      <w:r w:rsidRPr="00A94D8B">
        <w:t xml:space="preserve">The </w:t>
      </w:r>
      <w:r w:rsidR="006E3BC5" w:rsidRPr="00A94D8B">
        <w:t>original</w:t>
      </w:r>
      <w:r w:rsidR="006976A8" w:rsidRPr="00A94D8B">
        <w:t xml:space="preserve"> project </w:t>
      </w:r>
      <w:r w:rsidR="00606FDD" w:rsidRPr="00A94D8B">
        <w:t>documents of</w:t>
      </w:r>
      <w:r w:rsidRPr="00A94D8B">
        <w:t xml:space="preserve"> </w:t>
      </w:r>
      <w:r w:rsidR="00606FDD" w:rsidRPr="00A94D8B">
        <w:t>the regional</w:t>
      </w:r>
      <w:r w:rsidRPr="00A94D8B">
        <w:t xml:space="preserve"> programmes of the Intra-ACP reveal a great deal of what </w:t>
      </w:r>
      <w:r w:rsidR="005648B4" w:rsidRPr="00A94D8B">
        <w:t xml:space="preserve">would </w:t>
      </w:r>
      <w:r w:rsidRPr="00A94D8B">
        <w:t>even</w:t>
      </w:r>
      <w:r w:rsidR="005648B4" w:rsidRPr="00A94D8B">
        <w:t>tually happen</w:t>
      </w:r>
      <w:r w:rsidR="00606FDD" w:rsidRPr="00A94D8B">
        <w:t xml:space="preserve"> with the regional</w:t>
      </w:r>
      <w:r w:rsidRPr="00A94D8B">
        <w:t xml:space="preserve"> programme</w:t>
      </w:r>
      <w:r w:rsidR="00606FDD" w:rsidRPr="00A94D8B">
        <w:t>s</w:t>
      </w:r>
      <w:r w:rsidR="006E3BC5" w:rsidRPr="00A94D8B">
        <w:t xml:space="preserve"> with</w:t>
      </w:r>
      <w:r w:rsidRPr="00A94D8B">
        <w:t xml:space="preserve"> </w:t>
      </w:r>
      <w:r w:rsidR="006E3BC5" w:rsidRPr="00A94D8B">
        <w:t>n</w:t>
      </w:r>
      <w:r w:rsidR="00606FDD" w:rsidRPr="00A94D8B">
        <w:t>o greater indic</w:t>
      </w:r>
      <w:r w:rsidR="00606FDD" w:rsidRPr="00A94D8B">
        <w:t>a</w:t>
      </w:r>
      <w:r w:rsidR="00606FDD" w:rsidRPr="00A94D8B">
        <w:t xml:space="preserve">tor </w:t>
      </w:r>
      <w:r w:rsidR="006E3BC5" w:rsidRPr="00A94D8B">
        <w:t>than the</w:t>
      </w:r>
      <w:r w:rsidRPr="00A94D8B">
        <w:t xml:space="preserve"> </w:t>
      </w:r>
      <w:r w:rsidR="006E3BC5" w:rsidRPr="00A94D8B">
        <w:t>l</w:t>
      </w:r>
      <w:r w:rsidRPr="00A94D8B">
        <w:t xml:space="preserve">ogframe. </w:t>
      </w:r>
      <w:r w:rsidR="006E3BC5" w:rsidRPr="00A94D8B">
        <w:t>For the COMESA p</w:t>
      </w:r>
      <w:r w:rsidRPr="00A94D8B">
        <w:t>rogramme</w:t>
      </w:r>
      <w:r w:rsidR="00143662" w:rsidRPr="00A94D8B">
        <w:t>,</w:t>
      </w:r>
      <w:r w:rsidRPr="00A94D8B">
        <w:t xml:space="preserve"> a poorly designed logframe </w:t>
      </w:r>
      <w:r w:rsidR="00606FDD" w:rsidRPr="00A94D8B">
        <w:t xml:space="preserve">is still in place while </w:t>
      </w:r>
      <w:r w:rsidR="00143662" w:rsidRPr="00A94D8B">
        <w:t xml:space="preserve">the </w:t>
      </w:r>
      <w:r w:rsidR="00606FDD" w:rsidRPr="00A94D8B">
        <w:t xml:space="preserve">programme continues to struggle. </w:t>
      </w:r>
      <w:r w:rsidRPr="00A94D8B">
        <w:t>The logframe is consid</w:t>
      </w:r>
      <w:r w:rsidR="00606FDD" w:rsidRPr="00A94D8B">
        <w:t>ered to be of little use</w:t>
      </w:r>
      <w:r w:rsidR="00B35711" w:rsidRPr="00A94D8B">
        <w:t xml:space="preserve"> with t</w:t>
      </w:r>
      <w:r w:rsidRPr="00A94D8B">
        <w:t>he objectives and indicators</w:t>
      </w:r>
      <w:r w:rsidR="006E3BC5" w:rsidRPr="00A94D8B">
        <w:t xml:space="preserve"> on occasion being found to be</w:t>
      </w:r>
      <w:r w:rsidR="00B35711" w:rsidRPr="00A94D8B">
        <w:t xml:space="preserve"> </w:t>
      </w:r>
      <w:r w:rsidRPr="00A94D8B">
        <w:t>excessively optimistic. For exam</w:t>
      </w:r>
      <w:r w:rsidR="00B35711" w:rsidRPr="00A94D8B">
        <w:t>ple</w:t>
      </w:r>
      <w:r w:rsidR="006E3BC5" w:rsidRPr="00A94D8B">
        <w:t>,</w:t>
      </w:r>
      <w:r w:rsidR="00B35711" w:rsidRPr="00A94D8B">
        <w:t xml:space="preserve"> for </w:t>
      </w:r>
      <w:r w:rsidR="006E3BC5" w:rsidRPr="00A94D8B">
        <w:t xml:space="preserve">Programme </w:t>
      </w:r>
      <w:r w:rsidRPr="00A94D8B">
        <w:t>Objective</w:t>
      </w:r>
      <w:r w:rsidR="006E3BC5" w:rsidRPr="00A94D8B">
        <w:t xml:space="preserve"> N</w:t>
      </w:r>
      <w:r w:rsidR="00143662" w:rsidRPr="00A94D8B">
        <w:t>o. 3,</w:t>
      </w:r>
      <w:r w:rsidRPr="00A94D8B">
        <w:t xml:space="preserve"> relating to adop</w:t>
      </w:r>
      <w:r w:rsidR="00B35711" w:rsidRPr="00A94D8B">
        <w:t>tion of CSA and CA</w:t>
      </w:r>
      <w:r w:rsidR="006E3BC5" w:rsidRPr="00A94D8B">
        <w:t xml:space="preserve"> practices</w:t>
      </w:r>
      <w:r w:rsidRPr="00A94D8B">
        <w:t xml:space="preserve">, the verifiable indicator is 1.2 million farmers adopting elements of CA by 2016. </w:t>
      </w:r>
      <w:r w:rsidR="007B779A" w:rsidRPr="00A94D8B">
        <w:t xml:space="preserve">ClimDev has similar challenges with its logframe. </w:t>
      </w:r>
      <w:r w:rsidR="006E3BC5" w:rsidRPr="00A94D8B">
        <w:t>T</w:t>
      </w:r>
      <w:r w:rsidR="00FE6A54" w:rsidRPr="00A94D8B">
        <w:t xml:space="preserve">he </w:t>
      </w:r>
      <w:r w:rsidRPr="00A94D8B">
        <w:t>original ClimDev Log</w:t>
      </w:r>
      <w:r w:rsidR="00FE6A54" w:rsidRPr="00A94D8B">
        <w:t>frame</w:t>
      </w:r>
      <w:r w:rsidRPr="00A94D8B">
        <w:t xml:space="preserve"> was </w:t>
      </w:r>
      <w:r w:rsidR="00FE6A54" w:rsidRPr="00A94D8B">
        <w:t>found to be unf</w:t>
      </w:r>
      <w:r w:rsidR="00FE6A54" w:rsidRPr="00A94D8B">
        <w:t>o</w:t>
      </w:r>
      <w:r w:rsidR="00FE6A54" w:rsidRPr="00A94D8B">
        <w:t>cussed with con</w:t>
      </w:r>
      <w:r w:rsidR="006E3BC5" w:rsidRPr="00A94D8B">
        <w:t xml:space="preserve">fusion between </w:t>
      </w:r>
      <w:r w:rsidRPr="00A94D8B">
        <w:t>re</w:t>
      </w:r>
      <w:r w:rsidR="006E3BC5" w:rsidRPr="00A94D8B">
        <w:t xml:space="preserve">sults, </w:t>
      </w:r>
      <w:r w:rsidR="00FE6A54" w:rsidRPr="00A94D8B">
        <w:t>outputs and</w:t>
      </w:r>
      <w:r w:rsidRPr="00A94D8B">
        <w:t xml:space="preserve"> outcomes</w:t>
      </w:r>
      <w:r w:rsidR="00F8798B">
        <w:t xml:space="preserve">. </w:t>
      </w:r>
      <w:r w:rsidR="00B3100B" w:rsidRPr="00A94D8B">
        <w:t>At one point a</w:t>
      </w:r>
      <w:r w:rsidR="00782BA5" w:rsidRPr="00A94D8B">
        <w:t xml:space="preserve"> T</w:t>
      </w:r>
      <w:r w:rsidRPr="00A94D8B">
        <w:t xml:space="preserve">heory of Change exercise was </w:t>
      </w:r>
      <w:r w:rsidR="006E3BC5" w:rsidRPr="00A94D8B">
        <w:t xml:space="preserve">introduced </w:t>
      </w:r>
      <w:r w:rsidR="00D120FD" w:rsidRPr="00A94D8B">
        <w:t>to make</w:t>
      </w:r>
      <w:r w:rsidR="006E3BC5" w:rsidRPr="00A94D8B">
        <w:t xml:space="preserve"> improvements in the </w:t>
      </w:r>
      <w:r w:rsidRPr="00A94D8B">
        <w:t>log</w:t>
      </w:r>
      <w:r w:rsidR="006E3BC5" w:rsidRPr="00A94D8B">
        <w:t>frame</w:t>
      </w:r>
      <w:r w:rsidR="00FD5CC6" w:rsidRPr="00A94D8B">
        <w:t>, but a</w:t>
      </w:r>
      <w:r w:rsidRPr="00A94D8B">
        <w:t>t the time of the field visit for this evalua</w:t>
      </w:r>
      <w:r w:rsidR="00B35711" w:rsidRPr="00A94D8B">
        <w:t xml:space="preserve">tion, problems </w:t>
      </w:r>
      <w:r w:rsidR="00B3100B" w:rsidRPr="00A94D8B">
        <w:t xml:space="preserve">persisted with </w:t>
      </w:r>
      <w:r w:rsidR="006E3BC5" w:rsidRPr="00A94D8B">
        <w:t xml:space="preserve">programme and </w:t>
      </w:r>
      <w:r w:rsidR="00B3100B" w:rsidRPr="00A94D8B">
        <w:t>the logframe</w:t>
      </w:r>
      <w:r w:rsidRPr="00A94D8B">
        <w:t xml:space="preserve">.  </w:t>
      </w:r>
    </w:p>
    <w:p w:rsidR="00B733E4" w:rsidRPr="00A94D8B" w:rsidRDefault="00B733E4" w:rsidP="00AD1C0A">
      <w:r w:rsidRPr="00A94D8B">
        <w:t>In the Pacific region, the two programmes struggled initially with inadequate logframes</w:t>
      </w:r>
      <w:r w:rsidR="00B35711" w:rsidRPr="00A94D8B">
        <w:t xml:space="preserve"> but eventually made modifications</w:t>
      </w:r>
      <w:r w:rsidR="00B3100B" w:rsidRPr="00A94D8B">
        <w:t xml:space="preserve">. </w:t>
      </w:r>
      <w:r w:rsidRPr="00A94D8B">
        <w:t>ROM visits to both programmes</w:t>
      </w:r>
      <w:r w:rsidR="00A91F48" w:rsidRPr="00A94D8B">
        <w:t xml:space="preserve"> resulted in changes </w:t>
      </w:r>
      <w:r w:rsidRPr="00A94D8B">
        <w:t>to the log</w:t>
      </w:r>
      <w:r w:rsidR="00A91F48" w:rsidRPr="00A94D8B">
        <w:t>frames establishing</w:t>
      </w:r>
      <w:r w:rsidR="00FD5CC6" w:rsidRPr="00A94D8B">
        <w:t xml:space="preserve"> a better linkage</w:t>
      </w:r>
      <w:r w:rsidR="00B3100B" w:rsidRPr="00A94D8B">
        <w:t xml:space="preserve"> between</w:t>
      </w:r>
      <w:r w:rsidRPr="00A94D8B">
        <w:t xml:space="preserve"> objectives and </w:t>
      </w:r>
      <w:r w:rsidR="00A91F48" w:rsidRPr="00A94D8B">
        <w:t xml:space="preserve">more realistic and verifiable </w:t>
      </w:r>
      <w:r w:rsidRPr="00A94D8B">
        <w:t>indicators. With the CCCCC and CLISS/Agrhymet, the log</w:t>
      </w:r>
      <w:r w:rsidR="00A91F48" w:rsidRPr="00A94D8B">
        <w:t>frames have</w:t>
      </w:r>
      <w:r w:rsidR="00B35711" w:rsidRPr="00A94D8B">
        <w:t xml:space="preserve"> never</w:t>
      </w:r>
      <w:r w:rsidRPr="00A94D8B">
        <w:t xml:space="preserve"> </w:t>
      </w:r>
      <w:r w:rsidR="00A91F48" w:rsidRPr="00A94D8B">
        <w:t xml:space="preserve">been </w:t>
      </w:r>
      <w:r w:rsidRPr="00A94D8B">
        <w:t>a</w:t>
      </w:r>
      <w:r w:rsidR="00FD5CC6" w:rsidRPr="00A94D8B">
        <w:t xml:space="preserve"> real</w:t>
      </w:r>
      <w:r w:rsidRPr="00A94D8B">
        <w:t xml:space="preserve"> issue. The CCCCC programme has been </w:t>
      </w:r>
      <w:r w:rsidR="00782BA5" w:rsidRPr="00A94D8B">
        <w:t>slow</w:t>
      </w:r>
      <w:r w:rsidRPr="00A94D8B">
        <w:t xml:space="preserve"> to achieve results but this has more to do with other factors </w:t>
      </w:r>
      <w:r w:rsidR="00A91F48" w:rsidRPr="00A94D8B">
        <w:t>such as countries taking too much time to sign</w:t>
      </w:r>
      <w:r w:rsidR="00B35711" w:rsidRPr="00A94D8B">
        <w:t xml:space="preserve"> the programme’s Memorandum of Understand</w:t>
      </w:r>
      <w:r w:rsidR="00C23B82" w:rsidRPr="00A94D8B">
        <w:t>ing (Mo</w:t>
      </w:r>
      <w:r w:rsidR="00A91F48" w:rsidRPr="00A94D8B">
        <w:t xml:space="preserve">U). </w:t>
      </w:r>
      <w:r w:rsidR="00B3100B" w:rsidRPr="00A94D8B">
        <w:t xml:space="preserve">   </w:t>
      </w:r>
    </w:p>
    <w:p w:rsidR="00BA0B28" w:rsidRPr="00A94D8B" w:rsidRDefault="005263DA" w:rsidP="00AD1C0A">
      <w:r w:rsidRPr="00A94D8B">
        <w:t xml:space="preserve">There are </w:t>
      </w:r>
      <w:r w:rsidR="00A91F48" w:rsidRPr="00A94D8B">
        <w:t xml:space="preserve">noteworthy </w:t>
      </w:r>
      <w:r w:rsidR="00B733E4" w:rsidRPr="00A94D8B">
        <w:t>d</w:t>
      </w:r>
      <w:r w:rsidR="00A91F48" w:rsidRPr="00A94D8B">
        <w:t>esign features of the different</w:t>
      </w:r>
      <w:r w:rsidR="00B733E4" w:rsidRPr="00A94D8B">
        <w:t xml:space="preserve"> programmes</w:t>
      </w:r>
      <w:r w:rsidR="00A91F48" w:rsidRPr="00A94D8B">
        <w:t xml:space="preserve">. </w:t>
      </w:r>
      <w:r w:rsidR="000530D0" w:rsidRPr="00A94D8B">
        <w:t>For example i</w:t>
      </w:r>
      <w:r w:rsidR="00B733E4" w:rsidRPr="00A94D8B">
        <w:t xml:space="preserve">n the </w:t>
      </w:r>
      <w:r w:rsidR="009B6298" w:rsidRPr="00A94D8B">
        <w:t>Car</w:t>
      </w:r>
      <w:r w:rsidR="00B733E4" w:rsidRPr="00A94D8B">
        <w:t>i</w:t>
      </w:r>
      <w:r w:rsidR="00B733E4" w:rsidRPr="00A94D8B">
        <w:t>b</w:t>
      </w:r>
      <w:r w:rsidR="00B733E4" w:rsidRPr="00A94D8B">
        <w:t>bean</w:t>
      </w:r>
      <w:r w:rsidR="009B6298" w:rsidRPr="00A94D8B">
        <w:t>,</w:t>
      </w:r>
      <w:r w:rsidR="00782BA5" w:rsidRPr="00A94D8B">
        <w:t xml:space="preserve"> the working environment can be</w:t>
      </w:r>
      <w:r w:rsidR="00B733E4" w:rsidRPr="00A94D8B">
        <w:t xml:space="preserve"> very difficult</w:t>
      </w:r>
      <w:r w:rsidR="00782BA5" w:rsidRPr="00A94D8B">
        <w:t xml:space="preserve"> as</w:t>
      </w:r>
      <w:r w:rsidR="000530D0" w:rsidRPr="00A94D8B">
        <w:t xml:space="preserve"> communication and administrative pro</w:t>
      </w:r>
      <w:r w:rsidR="00782BA5" w:rsidRPr="00A94D8B">
        <w:t xml:space="preserve">cedures are </w:t>
      </w:r>
      <w:r w:rsidR="000530D0" w:rsidRPr="00A94D8B">
        <w:t>slow</w:t>
      </w:r>
      <w:r w:rsidR="00B733E4" w:rsidRPr="00A94D8B">
        <w:t xml:space="preserve">. For this </w:t>
      </w:r>
      <w:r w:rsidR="009B6298" w:rsidRPr="00A94D8B">
        <w:t xml:space="preserve">reason it was decided to work as much as possible </w:t>
      </w:r>
      <w:r w:rsidR="00B733E4" w:rsidRPr="00A94D8B">
        <w:t xml:space="preserve">through </w:t>
      </w:r>
      <w:r w:rsidR="00EE3419" w:rsidRPr="00A94D8B">
        <w:t xml:space="preserve">pre-established </w:t>
      </w:r>
      <w:r w:rsidR="009B6298" w:rsidRPr="00A94D8B">
        <w:t>projects and relations</w:t>
      </w:r>
      <w:r w:rsidR="00BA0B28" w:rsidRPr="00A94D8B">
        <w:t>.</w:t>
      </w:r>
      <w:r w:rsidR="00B733E4" w:rsidRPr="00A94D8B">
        <w:t xml:space="preserve"> </w:t>
      </w:r>
      <w:r w:rsidRPr="00A94D8B">
        <w:t>For example</w:t>
      </w:r>
      <w:r w:rsidR="00A43C53" w:rsidRPr="00A94D8B">
        <w:t>,</w:t>
      </w:r>
      <w:r w:rsidRPr="00A94D8B">
        <w:t xml:space="preserve"> t</w:t>
      </w:r>
      <w:r w:rsidR="00EE3419" w:rsidRPr="00A94D8B">
        <w:t xml:space="preserve">hrough previous </w:t>
      </w:r>
      <w:r w:rsidR="00C40F93" w:rsidRPr="00A94D8B">
        <w:t xml:space="preserve">non EU </w:t>
      </w:r>
      <w:r w:rsidR="00EE3419" w:rsidRPr="00A94D8B">
        <w:t>pro</w:t>
      </w:r>
      <w:r w:rsidR="00260168" w:rsidRPr="00A94D8B">
        <w:t>jects CC</w:t>
      </w:r>
      <w:r w:rsidRPr="00A94D8B">
        <w:t>CCC had invested a g</w:t>
      </w:r>
      <w:r w:rsidR="005B4D88" w:rsidRPr="00A94D8B">
        <w:t xml:space="preserve">reat deal of time and effort </w:t>
      </w:r>
      <w:r w:rsidRPr="00A94D8B">
        <w:t>support</w:t>
      </w:r>
      <w:r w:rsidR="005B4D88" w:rsidRPr="00A94D8B">
        <w:t>ing</w:t>
      </w:r>
      <w:r w:rsidRPr="00A94D8B">
        <w:t xml:space="preserve"> the</w:t>
      </w:r>
      <w:r w:rsidR="00EE3419" w:rsidRPr="00A94D8B">
        <w:t xml:space="preserve"> Government of Suri</w:t>
      </w:r>
      <w:r w:rsidRPr="00A94D8B">
        <w:t xml:space="preserve">name </w:t>
      </w:r>
      <w:r w:rsidR="00EE3419" w:rsidRPr="00A94D8B">
        <w:t>build</w:t>
      </w:r>
      <w:r w:rsidRPr="00A94D8B">
        <w:t>ing</w:t>
      </w:r>
      <w:r w:rsidR="00EE3419" w:rsidRPr="00A94D8B">
        <w:t xml:space="preserve"> </w:t>
      </w:r>
      <w:r w:rsidR="005B4D88" w:rsidRPr="00A94D8B">
        <w:t xml:space="preserve">climate change </w:t>
      </w:r>
      <w:r w:rsidR="00EE3419" w:rsidRPr="00A94D8B">
        <w:t>capac</w:t>
      </w:r>
      <w:r w:rsidRPr="00A94D8B">
        <w:t>ity. With</w:t>
      </w:r>
      <w:r w:rsidR="00EE3419" w:rsidRPr="00A94D8B">
        <w:t xml:space="preserve"> the Intra ACP </w:t>
      </w:r>
      <w:r w:rsidRPr="00A94D8B">
        <w:t xml:space="preserve">Programme, </w:t>
      </w:r>
      <w:r w:rsidR="00EE3419" w:rsidRPr="00A94D8B">
        <w:t>Suri</w:t>
      </w:r>
      <w:r w:rsidR="005B4D88" w:rsidRPr="00A94D8B">
        <w:t xml:space="preserve">name is </w:t>
      </w:r>
      <w:r w:rsidR="00590D52" w:rsidRPr="00A94D8B">
        <w:t xml:space="preserve">now </w:t>
      </w:r>
      <w:r w:rsidR="00EE3419" w:rsidRPr="00A94D8B">
        <w:t>playing a leade</w:t>
      </w:r>
      <w:r w:rsidR="00EE3419" w:rsidRPr="00A94D8B">
        <w:t>r</w:t>
      </w:r>
      <w:r w:rsidR="00EE3419" w:rsidRPr="00A94D8B">
        <w:t xml:space="preserve">ship role in </w:t>
      </w:r>
      <w:r w:rsidRPr="00A94D8B">
        <w:t xml:space="preserve">a </w:t>
      </w:r>
      <w:r w:rsidR="00EE3419" w:rsidRPr="00A94D8B">
        <w:t>region-wid</w:t>
      </w:r>
      <w:r w:rsidR="00C40F93" w:rsidRPr="00A94D8B">
        <w:t>e meteorological data service initiative</w:t>
      </w:r>
      <w:r w:rsidR="00EE3419" w:rsidRPr="00A94D8B">
        <w:t xml:space="preserve">. </w:t>
      </w:r>
      <w:r w:rsidR="009B6298" w:rsidRPr="00A94D8B">
        <w:t>Another good feature in the Carib</w:t>
      </w:r>
      <w:r w:rsidR="00EE3419" w:rsidRPr="00A94D8B">
        <w:t>bean was to associate the programme with</w:t>
      </w:r>
      <w:r w:rsidR="009B6298" w:rsidRPr="00A94D8B">
        <w:t xml:space="preserve"> CARIFORUM</w:t>
      </w:r>
      <w:r w:rsidR="009B6298" w:rsidRPr="00A94D8B">
        <w:rPr>
          <w:rStyle w:val="FootnoteReference"/>
        </w:rPr>
        <w:footnoteReference w:id="10"/>
      </w:r>
      <w:r w:rsidR="00EE3419" w:rsidRPr="00A94D8B">
        <w:t xml:space="preserve"> </w:t>
      </w:r>
      <w:r w:rsidR="009B6298" w:rsidRPr="00A94D8B">
        <w:t>as op</w:t>
      </w:r>
      <w:r w:rsidRPr="00A94D8B">
        <w:t>posed to</w:t>
      </w:r>
      <w:r w:rsidR="009B6298" w:rsidRPr="00A94D8B">
        <w:t xml:space="preserve"> CARICOM. Unlike CARICOM, Cuba and the Dominican Republic are member states of CARIFORUM.</w:t>
      </w:r>
      <w:r w:rsidR="00EE3419" w:rsidRPr="00A94D8B">
        <w:t xml:space="preserve"> Having these two countries involved opened up learning opportuni</w:t>
      </w:r>
      <w:r w:rsidRPr="00A94D8B">
        <w:t>ties for the other MS</w:t>
      </w:r>
      <w:r w:rsidR="00A43C53" w:rsidRPr="00A94D8B">
        <w:t xml:space="preserve">, </w:t>
      </w:r>
      <w:r w:rsidR="00EE3419" w:rsidRPr="00A94D8B">
        <w:t xml:space="preserve">as Cuba in particular, is highly advanced in areas such as DRR.  </w:t>
      </w:r>
      <w:r w:rsidR="009B6298" w:rsidRPr="00A94D8B">
        <w:t xml:space="preserve"> </w:t>
      </w:r>
    </w:p>
    <w:p w:rsidR="00C96994" w:rsidRPr="00A94D8B" w:rsidRDefault="00B733E4" w:rsidP="00AD1C0A">
      <w:r w:rsidRPr="00A94D8B">
        <w:t>In the Pacific with the PSIS programme</w:t>
      </w:r>
      <w:r w:rsidR="007F32A1" w:rsidRPr="00A94D8B">
        <w:t>, an</w:t>
      </w:r>
      <w:r w:rsidRPr="00A94D8B">
        <w:t xml:space="preserve"> approach was taken to allow countri</w:t>
      </w:r>
      <w:r w:rsidR="00B3100B" w:rsidRPr="00A94D8B">
        <w:t>es to select their sector of fo</w:t>
      </w:r>
      <w:r w:rsidRPr="00A94D8B">
        <w:t>cus. They were then assisted to develop a 0.5 million Euro adaptation pr</w:t>
      </w:r>
      <w:r w:rsidRPr="00A94D8B">
        <w:t>o</w:t>
      </w:r>
      <w:r w:rsidR="007F32A1" w:rsidRPr="00A94D8B">
        <w:t>ject. They were</w:t>
      </w:r>
      <w:r w:rsidRPr="00A94D8B">
        <w:t xml:space="preserve"> also supported through additional climate change mainstream</w:t>
      </w:r>
      <w:r w:rsidR="00BA0B28" w:rsidRPr="00A94D8B">
        <w:t>ing activities and ca</w:t>
      </w:r>
      <w:r w:rsidRPr="00A94D8B">
        <w:t>pacity building. Th</w:t>
      </w:r>
      <w:r w:rsidR="00464CA3" w:rsidRPr="00A94D8B">
        <w:t>is</w:t>
      </w:r>
      <w:r w:rsidRPr="00A94D8B">
        <w:t xml:space="preserve"> approa</w:t>
      </w:r>
      <w:r w:rsidR="005263DA" w:rsidRPr="00A94D8B">
        <w:t>ch encouraged buy-</w:t>
      </w:r>
      <w:r w:rsidRPr="00A94D8B">
        <w:t>in</w:t>
      </w:r>
      <w:r w:rsidR="007F32A1" w:rsidRPr="00A94D8B">
        <w:t xml:space="preserve"> into the activity. </w:t>
      </w:r>
      <w:r w:rsidRPr="00A94D8B">
        <w:t>Hence</w:t>
      </w:r>
      <w:r w:rsidR="00464CA3" w:rsidRPr="00A94D8B">
        <w:t>,</w:t>
      </w:r>
      <w:r w:rsidRPr="00A94D8B">
        <w:t xml:space="preserve"> even though there is a considerable amount of variety in these activi</w:t>
      </w:r>
      <w:r w:rsidR="005263DA" w:rsidRPr="00A94D8B">
        <w:t xml:space="preserve">ties, </w:t>
      </w:r>
      <w:r w:rsidR="00C96994" w:rsidRPr="00A94D8B">
        <w:t xml:space="preserve">for example </w:t>
      </w:r>
      <w:r w:rsidR="007F32A1" w:rsidRPr="00A94D8B">
        <w:t>a</w:t>
      </w:r>
      <w:r w:rsidR="00464CA3" w:rsidRPr="00A94D8B">
        <w:t>n</w:t>
      </w:r>
      <w:r w:rsidR="007F32A1" w:rsidRPr="00A94D8B">
        <w:t xml:space="preserve"> </w:t>
      </w:r>
      <w:r w:rsidRPr="00A94D8B">
        <w:t>agro</w:t>
      </w:r>
      <w:r w:rsidR="007F32A1" w:rsidRPr="00A94D8B">
        <w:t>-</w:t>
      </w:r>
      <w:r w:rsidRPr="00A94D8B">
        <w:t>forestry a</w:t>
      </w:r>
      <w:r w:rsidR="007F32A1" w:rsidRPr="00A94D8B">
        <w:t>n</w:t>
      </w:r>
      <w:r w:rsidRPr="00A94D8B">
        <w:t>d a coastal stabilisation structure project</w:t>
      </w:r>
      <w:r w:rsidR="007F32A1" w:rsidRPr="00A94D8B">
        <w:t>,</w:t>
      </w:r>
      <w:r w:rsidRPr="00A94D8B">
        <w:t xml:space="preserve"> there was an overriding strategy </w:t>
      </w:r>
      <w:r w:rsidR="000530D0" w:rsidRPr="00A94D8B">
        <w:t xml:space="preserve">to allow countries to define their priorities and their project choices stemmed from these priorities. </w:t>
      </w:r>
      <w:r w:rsidR="007F32A1" w:rsidRPr="00A94D8B">
        <w:t xml:space="preserve"> </w:t>
      </w:r>
      <w:r w:rsidRPr="00A94D8B">
        <w:t>Another design feature of PSIS has been to work dire</w:t>
      </w:r>
      <w:r w:rsidR="005B4D88" w:rsidRPr="00A94D8B">
        <w:t>ctly with national GCCA programmes</w:t>
      </w:r>
      <w:r w:rsidRPr="00A94D8B">
        <w:t xml:space="preserve"> to improve c</w:t>
      </w:r>
      <w:r w:rsidRPr="00A94D8B">
        <w:t>a</w:t>
      </w:r>
      <w:r w:rsidRPr="00A94D8B">
        <w:t xml:space="preserve">pacity and understanding related to climate finance through national and sector based budget support.  </w:t>
      </w:r>
    </w:p>
    <w:p w:rsidR="005C1E60" w:rsidRPr="00A94D8B" w:rsidRDefault="008D0D2B" w:rsidP="00AD1C0A">
      <w:r w:rsidRPr="00A94D8B">
        <w:t>The Pacific and Caribbean programmes also sha</w:t>
      </w:r>
      <w:r w:rsidR="00C96994" w:rsidRPr="00A94D8B">
        <w:t xml:space="preserve">re the feature of working from </w:t>
      </w:r>
      <w:r w:rsidRPr="00A94D8B">
        <w:t>well</w:t>
      </w:r>
      <w:r w:rsidR="00464CA3" w:rsidRPr="00A94D8B">
        <w:t>-</w:t>
      </w:r>
      <w:r w:rsidRPr="00A94D8B">
        <w:t xml:space="preserve">defined regional </w:t>
      </w:r>
      <w:r w:rsidR="00C96994" w:rsidRPr="00A94D8B">
        <w:t xml:space="preserve">climate change </w:t>
      </w:r>
      <w:r w:rsidRPr="00A94D8B">
        <w:t>strat</w:t>
      </w:r>
      <w:r w:rsidR="00C96994" w:rsidRPr="00A94D8B">
        <w:t>egies</w:t>
      </w:r>
      <w:r w:rsidRPr="00A94D8B">
        <w:t>. For the Pacific programmes</w:t>
      </w:r>
      <w:r w:rsidR="00C96994" w:rsidRPr="00A94D8B">
        <w:t>,</w:t>
      </w:r>
      <w:r w:rsidRPr="00A94D8B">
        <w:t xml:space="preserve"> it is the PIFACC </w:t>
      </w:r>
      <w:r w:rsidR="00464CA3" w:rsidRPr="00A94D8B">
        <w:t xml:space="preserve">which </w:t>
      </w:r>
      <w:r w:rsidRPr="00A94D8B">
        <w:t>co</w:t>
      </w:r>
      <w:r w:rsidRPr="00A94D8B">
        <w:t>v</w:t>
      </w:r>
      <w:r w:rsidRPr="00A94D8B">
        <w:t>ers the period from</w:t>
      </w:r>
      <w:r w:rsidR="00C96994" w:rsidRPr="00A94D8B">
        <w:t xml:space="preserve"> 2006 to 2015. </w:t>
      </w:r>
      <w:r w:rsidR="004C13C1" w:rsidRPr="00A94D8B">
        <w:t>In the Caribbean</w:t>
      </w:r>
      <w:r w:rsidR="00464CA3" w:rsidRPr="00A94D8B">
        <w:t>,</w:t>
      </w:r>
      <w:r w:rsidR="004C13C1" w:rsidRPr="00A94D8B">
        <w:t xml:space="preserve"> the Regional Framework for Achieving Development Resilient to Climate Change is a 10</w:t>
      </w:r>
      <w:r w:rsidR="00464CA3" w:rsidRPr="00A94D8B">
        <w:t>-</w:t>
      </w:r>
      <w:r w:rsidR="004C13C1" w:rsidRPr="00A94D8B">
        <w:t xml:space="preserve">year vision that outlines priority areas and </w:t>
      </w:r>
      <w:r w:rsidR="00B1098E" w:rsidRPr="00A94D8B">
        <w:t>institutions across the Caribbean that can act as lead agencies and/or collaborators.</w:t>
      </w:r>
      <w:r w:rsidR="00F8798B">
        <w:t xml:space="preserve"> </w:t>
      </w:r>
      <w:r w:rsidR="00C96994" w:rsidRPr="00A94D8B">
        <w:t>In co</w:t>
      </w:r>
      <w:r w:rsidR="00C96994" w:rsidRPr="00A94D8B">
        <w:t>n</w:t>
      </w:r>
      <w:r w:rsidR="00C96994" w:rsidRPr="00A94D8B">
        <w:t>trast</w:t>
      </w:r>
      <w:r w:rsidR="00464CA3" w:rsidRPr="00A94D8B">
        <w:t>,</w:t>
      </w:r>
      <w:r w:rsidR="00C96994" w:rsidRPr="00A94D8B">
        <w:t xml:space="preserve"> the COMESA led programme for Southern and Eastern Africa refers to </w:t>
      </w:r>
      <w:r w:rsidR="005B4D88" w:rsidRPr="00A94D8B">
        <w:t xml:space="preserve">the </w:t>
      </w:r>
      <w:r w:rsidR="00C96994" w:rsidRPr="00A94D8B">
        <w:t>Climate Solutions Africa</w:t>
      </w:r>
      <w:r w:rsidR="005B4D88" w:rsidRPr="00A94D8B">
        <w:t xml:space="preserve"> document</w:t>
      </w:r>
      <w:r w:rsidR="00C96994" w:rsidRPr="00A94D8B">
        <w:t xml:space="preserve"> that does not have close to the same level of detail and focus of the Pacific and Caribbean documents.</w:t>
      </w:r>
      <w:r w:rsidR="005C1E60" w:rsidRPr="00A94D8B">
        <w:t xml:space="preserve"> </w:t>
      </w:r>
    </w:p>
    <w:p w:rsidR="008D0D2B" w:rsidRPr="00A94D8B" w:rsidRDefault="006F0804" w:rsidP="00AD1C0A">
      <w:r w:rsidRPr="00A94D8B">
        <w:t>T</w:t>
      </w:r>
      <w:r w:rsidR="006E7F36" w:rsidRPr="00A94D8B">
        <w:t xml:space="preserve">he </w:t>
      </w:r>
      <w:r w:rsidR="00F238A0" w:rsidRPr="00A94D8B">
        <w:t>USP</w:t>
      </w:r>
      <w:r w:rsidR="00C93EAF" w:rsidRPr="00A94D8B">
        <w:t xml:space="preserve"> programme</w:t>
      </w:r>
      <w:r w:rsidRPr="00A94D8B">
        <w:t>,</w:t>
      </w:r>
      <w:r w:rsidR="00C93EAF" w:rsidRPr="00A94D8B">
        <w:t xml:space="preserve"> in recognition of the need to optimise the use of the limited human, technical and financial resources in the countries, </w:t>
      </w:r>
      <w:r w:rsidRPr="00A94D8B">
        <w:t xml:space="preserve">integrates climate change and disaster risk management objectives in </w:t>
      </w:r>
      <w:r w:rsidR="00C93EAF" w:rsidRPr="00A94D8B">
        <w:t xml:space="preserve">some </w:t>
      </w:r>
      <w:r w:rsidR="005C1E60" w:rsidRPr="00A94D8B">
        <w:t>Intra ACP P</w:t>
      </w:r>
      <w:r w:rsidR="00C93EAF" w:rsidRPr="00A94D8B">
        <w:t>rogramme activit</w:t>
      </w:r>
      <w:r w:rsidRPr="00A94D8B">
        <w:t>ies.</w:t>
      </w:r>
      <w:r w:rsidR="00C93EAF" w:rsidRPr="00A94D8B">
        <w:t xml:space="preserve"> This is achieved through formal training and non-formal training and through the development of community-focused toolkits. The Disaster Risk Management</w:t>
      </w:r>
      <w:r w:rsidR="00590D52" w:rsidRPr="00A94D8B">
        <w:t xml:space="preserve"> (DRM)</w:t>
      </w:r>
      <w:r w:rsidR="00C93EAF" w:rsidRPr="00A94D8B">
        <w:t xml:space="preserve"> course, developed and taught under the pr</w:t>
      </w:r>
      <w:r w:rsidR="00C93EAF" w:rsidRPr="00A94D8B">
        <w:t>o</w:t>
      </w:r>
      <w:r w:rsidR="00C93EAF" w:rsidRPr="00A94D8B">
        <w:t>ject, includes two modules on the integratio</w:t>
      </w:r>
      <w:r w:rsidR="00AA0343" w:rsidRPr="00A94D8B">
        <w:t>n of CCA</w:t>
      </w:r>
      <w:r w:rsidR="00F8798B">
        <w:t xml:space="preserve"> and DRR. </w:t>
      </w:r>
      <w:r w:rsidR="00C93EAF" w:rsidRPr="00A94D8B">
        <w:t xml:space="preserve">The non-formal trainings conducted at regional and sub-regional levels include a session on the integration of CCA and DRR in the community resilience plans. The toolkit developed for the community includes information collected on both climate change and natural hazards issues, increasing the awareness of the communities of the common points of these two types of actions. </w:t>
      </w:r>
    </w:p>
    <w:p w:rsidR="00B733E4" w:rsidRPr="00A94D8B" w:rsidRDefault="00B1098E" w:rsidP="00AD1C0A">
      <w:r w:rsidRPr="00A94D8B">
        <w:t>T</w:t>
      </w:r>
      <w:r w:rsidR="00B733E4" w:rsidRPr="00A94D8B">
        <w:t>he CI</w:t>
      </w:r>
      <w:r w:rsidR="006F0804" w:rsidRPr="00A94D8B">
        <w:t>L</w:t>
      </w:r>
      <w:r w:rsidR="00B733E4" w:rsidRPr="00A94D8B">
        <w:t xml:space="preserve">SS/Agrhymet </w:t>
      </w:r>
      <w:r w:rsidRPr="00A94D8B">
        <w:t xml:space="preserve">West African programme </w:t>
      </w:r>
      <w:r w:rsidR="00B733E4" w:rsidRPr="00A94D8B">
        <w:t>was designed to focus on building capacity on a number of levels, and strengthening k</w:t>
      </w:r>
      <w:r w:rsidR="005B4D88" w:rsidRPr="00A94D8B">
        <w:t xml:space="preserve">nowledge on the </w:t>
      </w:r>
      <w:r w:rsidR="00B733E4" w:rsidRPr="00A94D8B">
        <w:t>impact of climate ch</w:t>
      </w:r>
      <w:r w:rsidR="005B4D88" w:rsidRPr="00A94D8B">
        <w:t xml:space="preserve">ange in West Africa. This </w:t>
      </w:r>
      <w:r w:rsidR="00C93EAF" w:rsidRPr="00A94D8B">
        <w:t>is not necessarily very innovative but it has</w:t>
      </w:r>
      <w:r w:rsidR="00C96994" w:rsidRPr="00A94D8B">
        <w:t xml:space="preserve"> proven</w:t>
      </w:r>
      <w:r w:rsidR="00C93EAF" w:rsidRPr="00A94D8B">
        <w:t xml:space="preserve"> to be very effective</w:t>
      </w:r>
      <w:r w:rsidR="00B733E4" w:rsidRPr="00A94D8B">
        <w:t xml:space="preserve">. </w:t>
      </w:r>
    </w:p>
    <w:p w:rsidR="005E7309" w:rsidRPr="00A94D8B" w:rsidRDefault="00B1098E" w:rsidP="00AD1C0A">
      <w:r w:rsidRPr="00A94D8B">
        <w:t>On one level</w:t>
      </w:r>
      <w:r w:rsidR="00900A9E" w:rsidRPr="00A94D8B">
        <w:t>,</w:t>
      </w:r>
      <w:r w:rsidRPr="00A94D8B">
        <w:t xml:space="preserve"> compar</w:t>
      </w:r>
      <w:r w:rsidR="006E7F36" w:rsidRPr="00A94D8B">
        <w:t>ed to other regional programmes</w:t>
      </w:r>
      <w:r w:rsidR="00900A9E" w:rsidRPr="00A94D8B">
        <w:t>,</w:t>
      </w:r>
      <w:r w:rsidRPr="00A94D8B">
        <w:t xml:space="preserve"> </w:t>
      </w:r>
      <w:r w:rsidR="00C96994" w:rsidRPr="00A94D8B">
        <w:t xml:space="preserve">the COMESA programme </w:t>
      </w:r>
      <w:r w:rsidRPr="00A94D8B">
        <w:t xml:space="preserve">should be </w:t>
      </w:r>
      <w:r w:rsidR="008B1B61" w:rsidRPr="00A94D8B">
        <w:t>admired for its attempts to make the connection between ground level activity</w:t>
      </w:r>
      <w:r w:rsidR="00C93EAF" w:rsidRPr="00A94D8B">
        <w:t xml:space="preserve"> and </w:t>
      </w:r>
      <w:r w:rsidR="006E7F36" w:rsidRPr="00A94D8B">
        <w:t xml:space="preserve">high level </w:t>
      </w:r>
      <w:r w:rsidR="00C93EAF" w:rsidRPr="00A94D8B">
        <w:t>policy as is being attempted in relation to CSA. The focus on women should also be ackno</w:t>
      </w:r>
      <w:r w:rsidR="00C93EAF" w:rsidRPr="00A94D8B">
        <w:t>w</w:t>
      </w:r>
      <w:r w:rsidR="00C93EAF" w:rsidRPr="00A94D8B">
        <w:t>ledged,</w:t>
      </w:r>
      <w:r w:rsidR="008B1B61" w:rsidRPr="00A94D8B">
        <w:t xml:space="preserve"> </w:t>
      </w:r>
      <w:r w:rsidR="00900A9E" w:rsidRPr="00A94D8B">
        <w:t>even if otherwise</w:t>
      </w:r>
      <w:r w:rsidR="000C5193" w:rsidRPr="00A94D8B">
        <w:t>,</w:t>
      </w:r>
      <w:r w:rsidR="00900A9E" w:rsidRPr="00A94D8B">
        <w:t xml:space="preserve"> t</w:t>
      </w:r>
      <w:r w:rsidR="00C93EAF" w:rsidRPr="00A94D8B">
        <w:t>he p</w:t>
      </w:r>
      <w:r w:rsidR="00B733E4" w:rsidRPr="00A94D8B">
        <w:t xml:space="preserve">rogramme </w:t>
      </w:r>
      <w:r w:rsidR="000C5193" w:rsidRPr="00A94D8B">
        <w:t>has been</w:t>
      </w:r>
      <w:r w:rsidR="00900A9E" w:rsidRPr="00A94D8B">
        <w:t xml:space="preserve"> </w:t>
      </w:r>
      <w:r w:rsidR="00C93EAF" w:rsidRPr="00A94D8B">
        <w:t xml:space="preserve">problematic. </w:t>
      </w:r>
      <w:r w:rsidR="005E7309" w:rsidRPr="00A94D8B">
        <w:t xml:space="preserve">It </w:t>
      </w:r>
      <w:r w:rsidR="009D3DDE" w:rsidRPr="00A94D8B">
        <w:t xml:space="preserve">was allowed </w:t>
      </w:r>
      <w:r w:rsidR="00B733E4" w:rsidRPr="00A94D8B">
        <w:t>to subscribe to</w:t>
      </w:r>
      <w:r w:rsidR="00F00A0E" w:rsidRPr="00A94D8B">
        <w:t xml:space="preserve"> a very ambi</w:t>
      </w:r>
      <w:r w:rsidR="009D3DDE" w:rsidRPr="00A94D8B">
        <w:t xml:space="preserve">tious agenda that the </w:t>
      </w:r>
      <w:r w:rsidR="00B733E4" w:rsidRPr="00A94D8B">
        <w:t>three implementing partners</w:t>
      </w:r>
      <w:r w:rsidR="00C96994" w:rsidRPr="00A94D8B">
        <w:t xml:space="preserve"> (COMESA,</w:t>
      </w:r>
      <w:r w:rsidR="008F699C" w:rsidRPr="00A94D8B">
        <w:t xml:space="preserve"> </w:t>
      </w:r>
      <w:r w:rsidR="00C96994" w:rsidRPr="00A94D8B">
        <w:t>SADC &amp; EAC)</w:t>
      </w:r>
      <w:r w:rsidR="009D3DDE" w:rsidRPr="00A94D8B">
        <w:t xml:space="preserve"> were unprepared to carry out</w:t>
      </w:r>
      <w:r w:rsidR="005E7309" w:rsidRPr="00A94D8B">
        <w:t>. With the COMESA p</w:t>
      </w:r>
      <w:r w:rsidR="00B733E4" w:rsidRPr="00A94D8B">
        <w:t>ro</w:t>
      </w:r>
      <w:r w:rsidR="009D3DDE" w:rsidRPr="00A94D8B">
        <w:t>gramme close to its</w:t>
      </w:r>
      <w:r w:rsidR="00B733E4" w:rsidRPr="00A94D8B">
        <w:t xml:space="preserve"> </w:t>
      </w:r>
      <w:r w:rsidR="00900A9E" w:rsidRPr="00A94D8B">
        <w:t xml:space="preserve">EU-funding </w:t>
      </w:r>
      <w:r w:rsidR="00B733E4" w:rsidRPr="00A94D8B">
        <w:t>term</w:t>
      </w:r>
      <w:r w:rsidR="00B733E4" w:rsidRPr="00A94D8B">
        <w:t>i</w:t>
      </w:r>
      <w:r w:rsidR="00B733E4" w:rsidRPr="00A94D8B">
        <w:t>nation date</w:t>
      </w:r>
      <w:r w:rsidR="009D3DDE" w:rsidRPr="00A94D8B">
        <w:rPr>
          <w:rStyle w:val="FootnoteReference"/>
        </w:rPr>
        <w:footnoteReference w:id="11"/>
      </w:r>
      <w:r w:rsidR="00B733E4" w:rsidRPr="00A94D8B">
        <w:t>, it can be argued that capacity build</w:t>
      </w:r>
      <w:r w:rsidR="009D3DDE" w:rsidRPr="00A94D8B">
        <w:t>ing of the implementing partner</w:t>
      </w:r>
      <w:r w:rsidR="00B733E4" w:rsidRPr="00A94D8B">
        <w:t xml:space="preserve"> should have been and should still be the </w:t>
      </w:r>
      <w:r w:rsidR="009D3DDE" w:rsidRPr="00A94D8B">
        <w:t xml:space="preserve">programme`s </w:t>
      </w:r>
      <w:r w:rsidR="005E7309" w:rsidRPr="00A94D8B">
        <w:t xml:space="preserve">first </w:t>
      </w:r>
      <w:r w:rsidR="00B733E4" w:rsidRPr="00A94D8B">
        <w:t>priority. The three RECs are not obvious cho</w:t>
      </w:r>
      <w:r w:rsidR="00B733E4" w:rsidRPr="00A94D8B">
        <w:t>i</w:t>
      </w:r>
      <w:r w:rsidR="00B733E4" w:rsidRPr="00A94D8B">
        <w:t xml:space="preserve">ces as implementing partners like one has in West </w:t>
      </w:r>
      <w:r w:rsidR="009D3DDE" w:rsidRPr="00A94D8B">
        <w:t>Africa with the technical insti</w:t>
      </w:r>
      <w:r w:rsidR="00B733E4" w:rsidRPr="00A94D8B">
        <w:t>tution Agrhymet. This reality should have defined the Pro</w:t>
      </w:r>
      <w:r w:rsidR="009D3DDE" w:rsidRPr="00A94D8B">
        <w:t xml:space="preserve">gramme’s strategy. </w:t>
      </w:r>
      <w:r w:rsidR="00B733E4" w:rsidRPr="00A94D8B">
        <w:t>Situational analysis of at least a sample of coun</w:t>
      </w:r>
      <w:r w:rsidR="005E7309" w:rsidRPr="00A94D8B">
        <w:t xml:space="preserve">tries </w:t>
      </w:r>
      <w:r w:rsidR="008A46BD" w:rsidRPr="00A94D8B">
        <w:t>should have been un</w:t>
      </w:r>
      <w:r w:rsidR="00B733E4" w:rsidRPr="00A94D8B">
        <w:t>dertaken before the Programme co</w:t>
      </w:r>
      <w:r w:rsidR="00B733E4" w:rsidRPr="00A94D8B">
        <w:t>m</w:t>
      </w:r>
      <w:r w:rsidR="00B733E4" w:rsidRPr="00A94D8B">
        <w:t xml:space="preserve">menced. This could have been completed while the respective RECs were </w:t>
      </w:r>
      <w:r w:rsidR="005E7309" w:rsidRPr="00A94D8B">
        <w:t xml:space="preserve">being </w:t>
      </w:r>
      <w:r w:rsidR="00B733E4" w:rsidRPr="00A94D8B">
        <w:t>prepared to take on responsibility for the Pro</w:t>
      </w:r>
      <w:r w:rsidR="008A46BD" w:rsidRPr="00A94D8B">
        <w:t xml:space="preserve">gramme. </w:t>
      </w:r>
      <w:r w:rsidR="00B733E4" w:rsidRPr="00A94D8B">
        <w:t>What actually occurred was that in 2013</w:t>
      </w:r>
      <w:r w:rsidR="000C5193" w:rsidRPr="00A94D8B">
        <w:t>,</w:t>
      </w:r>
      <w:r w:rsidR="008A46BD" w:rsidRPr="00A94D8B">
        <w:t xml:space="preserve"> sit</w:t>
      </w:r>
      <w:r w:rsidR="008A46BD" w:rsidRPr="00A94D8B">
        <w:t>u</w:t>
      </w:r>
      <w:r w:rsidR="008A46BD" w:rsidRPr="00A94D8B">
        <w:t>ational analys</w:t>
      </w:r>
      <w:r w:rsidR="00581A94" w:rsidRPr="00A94D8B">
        <w:t>e</w:t>
      </w:r>
      <w:r w:rsidR="008A46BD" w:rsidRPr="00A94D8B">
        <w:t>s</w:t>
      </w:r>
      <w:r w:rsidR="000C5193" w:rsidRPr="00A94D8B">
        <w:t xml:space="preserve"> were completed and these </w:t>
      </w:r>
      <w:r w:rsidR="005E7309" w:rsidRPr="00A94D8B">
        <w:t xml:space="preserve">can </w:t>
      </w:r>
      <w:r w:rsidR="000C5193" w:rsidRPr="00A94D8B">
        <w:t>at least now serve other</w:t>
      </w:r>
      <w:r w:rsidR="005E7309" w:rsidRPr="00A94D8B">
        <w:t xml:space="preserve"> purposes</w:t>
      </w:r>
      <w:r w:rsidR="00B733E4" w:rsidRPr="00A94D8B">
        <w:t xml:space="preserve">.  </w:t>
      </w:r>
    </w:p>
    <w:p w:rsidR="002E520B" w:rsidRPr="00A94D8B" w:rsidRDefault="00B733E4" w:rsidP="00AD1C0A">
      <w:r w:rsidRPr="00A94D8B">
        <w:t>Al</w:t>
      </w:r>
      <w:r w:rsidR="005E7309" w:rsidRPr="00A94D8B">
        <w:t>though the COMESA p</w:t>
      </w:r>
      <w:r w:rsidRPr="00A94D8B">
        <w:t>rogramme’s focus o</w:t>
      </w:r>
      <w:r w:rsidR="008A46BD" w:rsidRPr="00A94D8B">
        <w:t>n agriculture is the right deci</w:t>
      </w:r>
      <w:r w:rsidR="005E7309" w:rsidRPr="00A94D8B">
        <w:t>sion, the p</w:t>
      </w:r>
      <w:r w:rsidRPr="00A94D8B">
        <w:t>r</w:t>
      </w:r>
      <w:r w:rsidRPr="00A94D8B">
        <w:t>o</w:t>
      </w:r>
      <w:r w:rsidRPr="00A94D8B">
        <w:t>gramme should be working from a strategy or vision for the re</w:t>
      </w:r>
      <w:r w:rsidR="005E7309" w:rsidRPr="00A94D8B">
        <w:t>gion that would allow for greater</w:t>
      </w:r>
      <w:r w:rsidRPr="00A94D8B">
        <w:t xml:space="preserve"> flexibility to cover in greater detail both forestry and land use management issues as was originally intended for the Programme. The core </w:t>
      </w:r>
      <w:r w:rsidR="007A5DA5" w:rsidRPr="00A94D8B">
        <w:t>document</w:t>
      </w:r>
      <w:r w:rsidR="008022AA" w:rsidRPr="00A94D8B">
        <w:t xml:space="preserve"> </w:t>
      </w:r>
      <w:r w:rsidRPr="00A94D8B">
        <w:rPr>
          <w:i/>
        </w:rPr>
        <w:t>African Climate Solution</w:t>
      </w:r>
      <w:r w:rsidR="008022AA" w:rsidRPr="00A94D8B">
        <w:rPr>
          <w:i/>
        </w:rPr>
        <w:t>,</w:t>
      </w:r>
      <w:r w:rsidR="007A5DA5" w:rsidRPr="00A94D8B">
        <w:rPr>
          <w:b/>
          <w:i/>
        </w:rPr>
        <w:t xml:space="preserve"> </w:t>
      </w:r>
      <w:r w:rsidR="007A5DA5" w:rsidRPr="00A94D8B">
        <w:t xml:space="preserve">guiding the programme </w:t>
      </w:r>
      <w:r w:rsidRPr="00A94D8B">
        <w:t xml:space="preserve">does not appear to be serving much purpose. It </w:t>
      </w:r>
      <w:r w:rsidR="007A5DA5" w:rsidRPr="00A94D8B">
        <w:t xml:space="preserve">identifies </w:t>
      </w:r>
      <w:r w:rsidRPr="00A94D8B">
        <w:t>agriculture, Forest, and Land Use</w:t>
      </w:r>
      <w:r w:rsidR="007A5DA5" w:rsidRPr="00A94D8B">
        <w:t xml:space="preserve"> as possible areas of intervention</w:t>
      </w:r>
      <w:r w:rsidR="006024D3" w:rsidRPr="00A94D8B">
        <w:t>, but th</w:t>
      </w:r>
      <w:r w:rsidR="007A5DA5" w:rsidRPr="00A94D8B">
        <w:t>e COMESA p</w:t>
      </w:r>
      <w:r w:rsidRPr="00A94D8B">
        <w:t xml:space="preserve">rogramme is </w:t>
      </w:r>
      <w:r w:rsidR="008022AA" w:rsidRPr="00A94D8B">
        <w:t xml:space="preserve">now </w:t>
      </w:r>
      <w:r w:rsidRPr="00A94D8B">
        <w:t>by and large focus</w:t>
      </w:r>
      <w:r w:rsidR="007A5DA5" w:rsidRPr="00A94D8B">
        <w:t>sed purely on</w:t>
      </w:r>
      <w:r w:rsidRPr="00A94D8B">
        <w:t xml:space="preserve"> agriculture. </w:t>
      </w:r>
      <w:r w:rsidR="007A5DA5" w:rsidRPr="00A94D8B">
        <w:t xml:space="preserve"> </w:t>
      </w:r>
    </w:p>
    <w:p w:rsidR="0060624D" w:rsidRPr="00A94D8B" w:rsidRDefault="008022AA" w:rsidP="00AD1C0A">
      <w:r w:rsidRPr="00A94D8B">
        <w:t>With Clim</w:t>
      </w:r>
      <w:r w:rsidR="00BB73A3" w:rsidRPr="00A94D8B">
        <w:t>D</w:t>
      </w:r>
      <w:r w:rsidRPr="00A94D8B">
        <w:t xml:space="preserve">ev, the </w:t>
      </w:r>
      <w:r w:rsidR="007B779A" w:rsidRPr="00A94D8B">
        <w:t xml:space="preserve">use of the newly designed </w:t>
      </w:r>
      <w:r w:rsidR="00BB73A3" w:rsidRPr="00A94D8B">
        <w:t xml:space="preserve">Theory of Change and the related </w:t>
      </w:r>
      <w:r w:rsidR="00260168" w:rsidRPr="00A94D8B">
        <w:t>Monitoring and Evaluation (</w:t>
      </w:r>
      <w:r w:rsidR="007B779A" w:rsidRPr="00A94D8B">
        <w:t>M&amp;E</w:t>
      </w:r>
      <w:r w:rsidR="00260168" w:rsidRPr="00A94D8B">
        <w:t>)</w:t>
      </w:r>
      <w:r w:rsidR="007B779A" w:rsidRPr="00A94D8B">
        <w:t xml:space="preserve"> strategy would </w:t>
      </w:r>
      <w:r w:rsidRPr="00A94D8B">
        <w:t xml:space="preserve">actually </w:t>
      </w:r>
      <w:r w:rsidR="007B779A" w:rsidRPr="00A94D8B">
        <w:t>require delegation of staff to M&amp;E tasks and their preparation for use of the system</w:t>
      </w:r>
      <w:r w:rsidR="00BB73A3" w:rsidRPr="00A94D8B">
        <w:t>,</w:t>
      </w:r>
      <w:r w:rsidRPr="00A94D8B">
        <w:t xml:space="preserve"> but training is apparently still ongoing</w:t>
      </w:r>
      <w:r w:rsidR="007B779A" w:rsidRPr="00A94D8B">
        <w:t>.</w:t>
      </w:r>
      <w:r w:rsidRPr="00A94D8B">
        <w:t xml:space="preserve"> Judging from recent </w:t>
      </w:r>
      <w:r w:rsidR="007B779A" w:rsidRPr="00A94D8B">
        <w:t>progress report</w:t>
      </w:r>
      <w:r w:rsidR="00BB73A3" w:rsidRPr="00A94D8B">
        <w:t>s</w:t>
      </w:r>
      <w:r w:rsidR="007B779A" w:rsidRPr="00A94D8B">
        <w:t>, how</w:t>
      </w:r>
      <w:r w:rsidRPr="00A94D8B">
        <w:t xml:space="preserve">ever, the </w:t>
      </w:r>
      <w:r w:rsidR="007B779A" w:rsidRPr="00A94D8B">
        <w:t>M&amp;E logic</w:t>
      </w:r>
      <w:r w:rsidR="00402819" w:rsidRPr="00A94D8B">
        <w:t xml:space="preserve">s do not seem to have been </w:t>
      </w:r>
      <w:r w:rsidR="007B779A" w:rsidRPr="00A94D8B">
        <w:t xml:space="preserve">internalised as </w:t>
      </w:r>
      <w:r w:rsidR="00402819" w:rsidRPr="00A94D8B">
        <w:t xml:space="preserve"> of </w:t>
      </w:r>
      <w:r w:rsidR="007B779A" w:rsidRPr="00A94D8B">
        <w:t>yet, by the implementing partners</w:t>
      </w:r>
      <w:r w:rsidRPr="00A94D8B">
        <w:t xml:space="preserve">. </w:t>
      </w:r>
      <w:r w:rsidR="007A5DA5" w:rsidRPr="00A94D8B">
        <w:t>A Risk M</w:t>
      </w:r>
      <w:r w:rsidR="007B779A" w:rsidRPr="00A94D8B">
        <w:t>anage</w:t>
      </w:r>
      <w:r w:rsidR="007A5DA5" w:rsidRPr="00A94D8B">
        <w:t>ment M</w:t>
      </w:r>
      <w:r w:rsidR="007B779A" w:rsidRPr="00A94D8B">
        <w:t xml:space="preserve">atrix is included in the </w:t>
      </w:r>
      <w:r w:rsidR="007A5DA5" w:rsidRPr="00A94D8B">
        <w:t>work plan</w:t>
      </w:r>
      <w:r w:rsidRPr="00A94D8B">
        <w:t xml:space="preserve"> but remains more </w:t>
      </w:r>
      <w:r w:rsidR="007B779A" w:rsidRPr="00A94D8B">
        <w:t>theo</w:t>
      </w:r>
      <w:r w:rsidR="00402819" w:rsidRPr="00A94D8B">
        <w:t xml:space="preserve">retical at the </w:t>
      </w:r>
      <w:r w:rsidRPr="00A94D8B">
        <w:t>time</w:t>
      </w:r>
      <w:r w:rsidR="00402819" w:rsidRPr="00A94D8B">
        <w:t xml:space="preserve"> of the evaluation</w:t>
      </w:r>
      <w:r w:rsidRPr="00A94D8B">
        <w:t xml:space="preserve">. </w:t>
      </w:r>
      <w:r w:rsidR="007A5DA5" w:rsidRPr="00A94D8B">
        <w:t xml:space="preserve"> </w:t>
      </w:r>
    </w:p>
    <w:p w:rsidR="00F90E81" w:rsidRPr="00A94D8B" w:rsidRDefault="0060624D" w:rsidP="00AD1C0A">
      <w:r w:rsidRPr="00A94D8B">
        <w:t>In terms of the overall Intra-ACP Programme, four of the six regional programmes had slow starts and have or will request extensions to complete their respective activ</w:t>
      </w:r>
      <w:r w:rsidR="0065650E" w:rsidRPr="00A94D8B">
        <w:t>ities. In the case of the CCCCC</w:t>
      </w:r>
      <w:r w:rsidRPr="00A94D8B">
        <w:t xml:space="preserve"> programme there are a number of </w:t>
      </w:r>
      <w:r w:rsidR="00FD763A" w:rsidRPr="00A94D8B">
        <w:t xml:space="preserve">key </w:t>
      </w:r>
      <w:r w:rsidRPr="00A94D8B">
        <w:t xml:space="preserve">studies that will not be completed. In the case of COMESA </w:t>
      </w:r>
      <w:r w:rsidR="00BB73A3" w:rsidRPr="00A94D8B">
        <w:t xml:space="preserve">and ClimDev, </w:t>
      </w:r>
      <w:r w:rsidRPr="00A94D8B">
        <w:t>there are multiple activities</w:t>
      </w:r>
      <w:r w:rsidR="007A5DA5" w:rsidRPr="00A94D8B">
        <w:t xml:space="preserve"> that require more time</w:t>
      </w:r>
      <w:r w:rsidRPr="00A94D8B">
        <w:t xml:space="preserve">. The key point to consider is that an error was made in assuming that the regional programmes could hit the ground running. </w:t>
      </w:r>
    </w:p>
    <w:p w:rsidR="007B779A" w:rsidRPr="00A94D8B" w:rsidRDefault="00F90E81" w:rsidP="00AD1C0A">
      <w:r w:rsidRPr="00A94D8B">
        <w:t xml:space="preserve">There </w:t>
      </w:r>
      <w:r w:rsidR="00B2322E" w:rsidRPr="00A94D8B">
        <w:t>is limited structure and/or incentives to</w:t>
      </w:r>
      <w:r w:rsidRPr="00A94D8B">
        <w:t xml:space="preserve"> </w:t>
      </w:r>
      <w:r w:rsidR="00B2322E" w:rsidRPr="00A94D8B">
        <w:t>encourage more pro-active interaction between the regional programmes leading to more collective global activities and impacts. This might be simply a case of the implementers of the regional programmes having to be more preocc</w:t>
      </w:r>
      <w:r w:rsidR="00B2322E" w:rsidRPr="00A94D8B">
        <w:t>u</w:t>
      </w:r>
      <w:r w:rsidR="00B2322E" w:rsidRPr="00A94D8B">
        <w:t>pied with simply ensuring their respective programmes were operating effectively. Entering into the GCCA+ the overall design of Intra ACP+ should be able to make assumptions that programmes will be better positioned to be more strategic at both the individual regional le</w:t>
      </w:r>
      <w:r w:rsidR="00B2322E" w:rsidRPr="00A94D8B">
        <w:t>v</w:t>
      </w:r>
      <w:r w:rsidR="00B2322E" w:rsidRPr="00A94D8B">
        <w:t xml:space="preserve">els and globally.  </w:t>
      </w:r>
    </w:p>
    <w:p w:rsidR="00F90E81" w:rsidRPr="00A94D8B" w:rsidRDefault="00D73B2C" w:rsidP="00D73B2C">
      <w:r w:rsidRPr="00A94D8B">
        <w:t>In terms of the CSF</w:t>
      </w:r>
      <w:r w:rsidR="006026D3" w:rsidRPr="00A94D8B">
        <w:t>, there appear to have been</w:t>
      </w:r>
      <w:r w:rsidRPr="00A94D8B">
        <w:t xml:space="preserve"> design </w:t>
      </w:r>
      <w:r w:rsidR="006026D3" w:rsidRPr="00A94D8B">
        <w:t xml:space="preserve">issues </w:t>
      </w:r>
      <w:r w:rsidRPr="00A94D8B">
        <w:t>impact</w:t>
      </w:r>
      <w:r w:rsidR="006026D3" w:rsidRPr="00A94D8B">
        <w:t>ing</w:t>
      </w:r>
      <w:r w:rsidRPr="00A94D8B">
        <w:t xml:space="preserve"> on the use of the se</w:t>
      </w:r>
      <w:r w:rsidRPr="00A94D8B">
        <w:t>r</w:t>
      </w:r>
      <w:r w:rsidRPr="00A94D8B">
        <w:t xml:space="preserve">vice.  </w:t>
      </w:r>
      <w:r w:rsidR="00826336" w:rsidRPr="00A94D8B">
        <w:t>For example, t</w:t>
      </w:r>
      <w:r w:rsidRPr="00A94D8B">
        <w:t xml:space="preserve">here is no mechanism or process </w:t>
      </w:r>
      <w:r w:rsidR="00826336" w:rsidRPr="00A94D8B">
        <w:t>in place to encourage or oblige the</w:t>
      </w:r>
      <w:r w:rsidRPr="00A94D8B">
        <w:t xml:space="preserve"> use of the service</w:t>
      </w:r>
      <w:r w:rsidR="00F90E81" w:rsidRPr="00A94D8B">
        <w:t xml:space="preserve"> that is </w:t>
      </w:r>
      <w:r w:rsidR="00FD763A" w:rsidRPr="00A94D8B">
        <w:t>free</w:t>
      </w:r>
      <w:r w:rsidR="00F90E81" w:rsidRPr="00A94D8B">
        <w:t xml:space="preserve"> of cost</w:t>
      </w:r>
      <w:r w:rsidR="00826336" w:rsidRPr="00A94D8B">
        <w:t>.</w:t>
      </w:r>
      <w:r w:rsidR="00F90E81" w:rsidRPr="00A94D8B">
        <w:t xml:space="preserve"> </w:t>
      </w:r>
      <w:r w:rsidR="00826336" w:rsidRPr="00A94D8B">
        <w:t>With the regional programmes operating largely indepen</w:t>
      </w:r>
      <w:r w:rsidR="00826336" w:rsidRPr="00A94D8B">
        <w:t>d</w:t>
      </w:r>
      <w:r w:rsidR="00826336" w:rsidRPr="00A94D8B">
        <w:t>ently there is no structured syst</w:t>
      </w:r>
      <w:r w:rsidR="00FC2325">
        <w:t xml:space="preserve">em in place that would see the </w:t>
      </w:r>
      <w:r w:rsidR="00826336" w:rsidRPr="00A94D8B">
        <w:t>C</w:t>
      </w:r>
      <w:r w:rsidR="00FC2325">
        <w:t>S</w:t>
      </w:r>
      <w:r w:rsidR="00826336" w:rsidRPr="00A94D8B">
        <w:t>F drawn upon as shared r</w:t>
      </w:r>
      <w:r w:rsidR="00826336" w:rsidRPr="00A94D8B">
        <w:t>e</w:t>
      </w:r>
      <w:r w:rsidR="00826336" w:rsidRPr="00A94D8B">
        <w:t>source.</w:t>
      </w:r>
      <w:r w:rsidRPr="00A94D8B">
        <w:t xml:space="preserve"> A ROM report </w:t>
      </w:r>
      <w:r w:rsidR="00FC2325">
        <w:t xml:space="preserve">on the </w:t>
      </w:r>
      <w:r w:rsidR="00826336" w:rsidRPr="00A94D8B">
        <w:t>C</w:t>
      </w:r>
      <w:r w:rsidR="00FC2325">
        <w:t>S</w:t>
      </w:r>
      <w:r w:rsidR="00826336" w:rsidRPr="00A94D8B">
        <w:t xml:space="preserve">F </w:t>
      </w:r>
      <w:r w:rsidRPr="00A94D8B">
        <w:t>indicat</w:t>
      </w:r>
      <w:r w:rsidR="00826336" w:rsidRPr="00A94D8B">
        <w:t xml:space="preserve">ed another issue </w:t>
      </w:r>
      <w:r w:rsidRPr="00A94D8B">
        <w:t xml:space="preserve">is </w:t>
      </w:r>
      <w:r w:rsidR="00826336" w:rsidRPr="00A94D8B">
        <w:t xml:space="preserve">the inadequate system </w:t>
      </w:r>
      <w:r w:rsidRPr="00A94D8B">
        <w:t xml:space="preserve">in place to identify the needs and demands for </w:t>
      </w:r>
      <w:r w:rsidR="00826336" w:rsidRPr="00A94D8B">
        <w:t>C</w:t>
      </w:r>
      <w:r w:rsidR="00FC2325">
        <w:t>S</w:t>
      </w:r>
      <w:r w:rsidR="00826336" w:rsidRPr="00A94D8B">
        <w:t xml:space="preserve">F </w:t>
      </w:r>
      <w:r w:rsidRPr="00A94D8B">
        <w:t>sup</w:t>
      </w:r>
      <w:r w:rsidR="00826336" w:rsidRPr="00A94D8B">
        <w:t>port. C</w:t>
      </w:r>
      <w:r w:rsidR="008F2E25" w:rsidRPr="00A94D8B">
        <w:t>as</w:t>
      </w:r>
      <w:r w:rsidR="00826336" w:rsidRPr="00A94D8B">
        <w:t>es were found where</w:t>
      </w:r>
      <w:r w:rsidR="008F2E25" w:rsidRPr="00A94D8B">
        <w:t xml:space="preserve"> needs within countries or re</w:t>
      </w:r>
      <w:r w:rsidR="00826336" w:rsidRPr="00A94D8B">
        <w:t>gions were</w:t>
      </w:r>
      <w:r w:rsidR="008F2E25" w:rsidRPr="00A94D8B">
        <w:t xml:space="preserve"> identi</w:t>
      </w:r>
      <w:r w:rsidRPr="00A94D8B">
        <w:t xml:space="preserve">fied by </w:t>
      </w:r>
      <w:r w:rsidR="008F2E25" w:rsidRPr="00A94D8B">
        <w:t xml:space="preserve">regional programmes, or by other actors (such as UNDP), but </w:t>
      </w:r>
      <w:r w:rsidR="00826336" w:rsidRPr="00A94D8B">
        <w:t xml:space="preserve">were not being </w:t>
      </w:r>
      <w:proofErr w:type="spellStart"/>
      <w:r w:rsidR="00826336" w:rsidRPr="00A94D8B">
        <w:t>channeled</w:t>
      </w:r>
      <w:proofErr w:type="spellEnd"/>
      <w:r w:rsidR="00826336" w:rsidRPr="00A94D8B">
        <w:t xml:space="preserve"> towards the CSF.  </w:t>
      </w:r>
      <w:r w:rsidR="0044168B" w:rsidRPr="00A94D8B">
        <w:t>There are also appears to be issues relat</w:t>
      </w:r>
      <w:r w:rsidR="00826336" w:rsidRPr="00A94D8B">
        <w:t xml:space="preserve">ed to </w:t>
      </w:r>
      <w:r w:rsidR="0044168B" w:rsidRPr="00A94D8B">
        <w:t>f</w:t>
      </w:r>
      <w:r w:rsidR="008F2E25" w:rsidRPr="00A94D8B">
        <w:t xml:space="preserve">acilitating the assessment of initial requests and </w:t>
      </w:r>
      <w:r w:rsidR="0044168B" w:rsidRPr="00A94D8B">
        <w:t xml:space="preserve">the speed of the </w:t>
      </w:r>
      <w:r w:rsidR="008F2E25" w:rsidRPr="00A94D8B">
        <w:t>preparation of Work Orders</w:t>
      </w:r>
      <w:r w:rsidR="0044168B" w:rsidRPr="00A94D8B">
        <w:t xml:space="preserve">. </w:t>
      </w:r>
      <w:r w:rsidR="00826336" w:rsidRPr="00A94D8B">
        <w:t xml:space="preserve">Another concern has been the </w:t>
      </w:r>
      <w:r w:rsidR="00B9341A" w:rsidRPr="00A94D8B">
        <w:t>inability to establish an effective communication strate</w:t>
      </w:r>
      <w:r w:rsidR="00826336" w:rsidRPr="00A94D8B">
        <w:t>gy to draw attention to</w:t>
      </w:r>
      <w:r w:rsidR="00B9341A" w:rsidRPr="00A94D8B">
        <w:t xml:space="preserve"> the</w:t>
      </w:r>
      <w:r w:rsidR="00FC2325">
        <w:t xml:space="preserve"> services and resources of the </w:t>
      </w:r>
      <w:r w:rsidR="00B9341A" w:rsidRPr="00A94D8B">
        <w:t>C</w:t>
      </w:r>
      <w:r w:rsidR="00FC2325">
        <w:t>S</w:t>
      </w:r>
      <w:r w:rsidR="00B9341A" w:rsidRPr="00A94D8B">
        <w:t xml:space="preserve">F. </w:t>
      </w:r>
      <w:r w:rsidR="00B2322E" w:rsidRPr="00A94D8B">
        <w:t>Another reason that would have contributed is that some of the regional programmes were having difficu</w:t>
      </w:r>
      <w:r w:rsidR="005837AC" w:rsidRPr="00A94D8B">
        <w:t>lties in disbur</w:t>
      </w:r>
      <w:r w:rsidR="005837AC" w:rsidRPr="00A94D8B">
        <w:t>s</w:t>
      </w:r>
      <w:r w:rsidR="005837AC" w:rsidRPr="00A94D8B">
        <w:t xml:space="preserve">ing financial resources. In such a context the appeal of the free of cost nature </w:t>
      </w:r>
      <w:r w:rsidR="00FC2325">
        <w:t>CSF</w:t>
      </w:r>
      <w:r w:rsidR="005837AC" w:rsidRPr="00A94D8B">
        <w:t xml:space="preserve"> diminishes.  </w:t>
      </w:r>
      <w:r w:rsidR="00F90E81" w:rsidRPr="00A94D8B">
        <w:t xml:space="preserve"> </w:t>
      </w:r>
      <w:r w:rsidR="0044168B" w:rsidRPr="00A94D8B">
        <w:t xml:space="preserve"> </w:t>
      </w:r>
    </w:p>
    <w:p w:rsidR="00B9341A" w:rsidRPr="00A94D8B" w:rsidRDefault="002C1124" w:rsidP="00D73B2C">
      <w:r w:rsidRPr="00A94D8B">
        <w:t>Some observers point to the structure of the CSF as being problematic. It is divided between two contracts: preparatory work (contacting potential beneficiaries, receiving requests and processing these into Work Orders) as well as post-service assessments (assess satisfaction of beneficiaries with services provided) are taken care of by the T</w:t>
      </w:r>
      <w:r w:rsidR="005837AC" w:rsidRPr="00A94D8B">
        <w:t xml:space="preserve">echnical </w:t>
      </w:r>
      <w:r w:rsidRPr="00A94D8B">
        <w:t>A</w:t>
      </w:r>
      <w:r w:rsidR="005837AC" w:rsidRPr="00A94D8B">
        <w:t>ssistant</w:t>
      </w:r>
      <w:r w:rsidRPr="00A94D8B">
        <w:t xml:space="preserve"> to the ACP-Secretariat, under one contract. The actual implementation of the service delivery is taken care of under another contract (the CSF service delivery as such). This set-up was opted for to avoid possible conflicts of interest of a service provider creating its own demand. </w:t>
      </w:r>
    </w:p>
    <w:p w:rsidR="007B779A" w:rsidRPr="00A94D8B" w:rsidRDefault="007A5DA5" w:rsidP="00AD1C0A">
      <w:r w:rsidRPr="00A94D8B">
        <w:t xml:space="preserve">The collective score for the regional programmes on the issue of design was </w:t>
      </w:r>
      <w:r w:rsidR="00E22BCC" w:rsidRPr="00A94D8B">
        <w:t>a score of C which is below</w:t>
      </w:r>
      <w:r w:rsidR="00447AF1" w:rsidRPr="00A94D8B">
        <w:t xml:space="preserve"> </w:t>
      </w:r>
      <w:r w:rsidR="00E22BCC" w:rsidRPr="00A94D8B">
        <w:t xml:space="preserve">average. Paying greater attention to details such as </w:t>
      </w:r>
      <w:r w:rsidR="0036134A" w:rsidRPr="00A94D8B">
        <w:t xml:space="preserve">having a clear </w:t>
      </w:r>
      <w:r w:rsidR="005837AC" w:rsidRPr="00A94D8B">
        <w:t xml:space="preserve">regional </w:t>
      </w:r>
      <w:r w:rsidR="0036134A" w:rsidRPr="00A94D8B">
        <w:t>strategy,</w:t>
      </w:r>
      <w:r w:rsidR="005837AC" w:rsidRPr="00A94D8B">
        <w:t xml:space="preserve"> </w:t>
      </w:r>
      <w:r w:rsidR="0036134A" w:rsidRPr="00A94D8B">
        <w:t>appropriate project documents such as logframes</w:t>
      </w:r>
      <w:r w:rsidRPr="00A94D8B">
        <w:t xml:space="preserve"> and M&amp;E systems</w:t>
      </w:r>
      <w:r w:rsidR="0036134A" w:rsidRPr="00A94D8B">
        <w:t xml:space="preserve"> would go a long way in eliminating problems</w:t>
      </w:r>
      <w:r w:rsidR="000530D0" w:rsidRPr="00A94D8B">
        <w:t>. The Intra ACP Programme overseers</w:t>
      </w:r>
      <w:r w:rsidR="0036134A" w:rsidRPr="00A94D8B">
        <w:t xml:space="preserve"> share some of the blame </w:t>
      </w:r>
      <w:r w:rsidR="00BB73A3" w:rsidRPr="00A94D8B">
        <w:t xml:space="preserve">for </w:t>
      </w:r>
      <w:r w:rsidR="0036134A" w:rsidRPr="00A94D8B">
        <w:t>the difficulties</w:t>
      </w:r>
      <w:r w:rsidR="00F0087C" w:rsidRPr="00A94D8B">
        <w:t xml:space="preserve">. In certain circumstances corrective action was required and if there is no pressure or support to do so it won’t happen. </w:t>
      </w:r>
      <w:r w:rsidR="005837AC" w:rsidRPr="00A94D8B">
        <w:t xml:space="preserve"> Clearly to</w:t>
      </w:r>
      <w:r w:rsidR="00FC2325">
        <w:t xml:space="preserve">o the design in support of the </w:t>
      </w:r>
      <w:r w:rsidR="005837AC" w:rsidRPr="00A94D8B">
        <w:t>C</w:t>
      </w:r>
      <w:r w:rsidR="00FC2325">
        <w:t>S</w:t>
      </w:r>
      <w:r w:rsidR="005837AC" w:rsidRPr="00A94D8B">
        <w:t xml:space="preserve">F required more thinking. </w:t>
      </w:r>
    </w:p>
    <w:p w:rsidR="00D036B2" w:rsidRPr="00A94D8B" w:rsidRDefault="00D036B2" w:rsidP="00AD1C0A">
      <w:pPr>
        <w:pStyle w:val="Heading2"/>
        <w:numPr>
          <w:ilvl w:val="1"/>
          <w:numId w:val="9"/>
        </w:numPr>
      </w:pPr>
      <w:bookmarkStart w:id="35" w:name="_Toc392064217"/>
      <w:bookmarkStart w:id="36" w:name="_Toc401041563"/>
      <w:r w:rsidRPr="00A94D8B">
        <w:t>On effectiveness</w:t>
      </w:r>
      <w:r w:rsidR="006C6102" w:rsidRPr="00A94D8B">
        <w:t xml:space="preserve"> (achievement of purpose)</w:t>
      </w:r>
      <w:r w:rsidRPr="00A94D8B">
        <w:t>:</w:t>
      </w:r>
      <w:bookmarkEnd w:id="35"/>
      <w:bookmarkEnd w:id="36"/>
    </w:p>
    <w:p w:rsidR="00D036B2" w:rsidRPr="00A94D8B" w:rsidRDefault="006C6102" w:rsidP="00AD1C0A">
      <w:pPr>
        <w:ind w:left="709" w:hanging="709"/>
        <w:rPr>
          <w:b/>
          <w:i/>
        </w:rPr>
      </w:pPr>
      <w:r w:rsidRPr="00A94D8B">
        <w:rPr>
          <w:b/>
          <w:i/>
        </w:rPr>
        <w:t>EQ</w:t>
      </w:r>
      <w:r w:rsidR="00D036B2" w:rsidRPr="00A94D8B">
        <w:rPr>
          <w:b/>
          <w:i/>
        </w:rPr>
        <w:t>3.</w:t>
      </w:r>
      <w:r w:rsidR="00D036B2" w:rsidRPr="00A94D8B">
        <w:rPr>
          <w:b/>
          <w:i/>
        </w:rPr>
        <w:tab/>
        <w:t>To what extent does the GCCA function as a platform for (political) dialogue and ex-change between the EU and poor developing countries most vulnerable to cl</w:t>
      </w:r>
      <w:r w:rsidR="00D036B2" w:rsidRPr="00A94D8B">
        <w:rPr>
          <w:b/>
          <w:i/>
        </w:rPr>
        <w:t>i</w:t>
      </w:r>
      <w:r w:rsidR="00D036B2" w:rsidRPr="00A94D8B">
        <w:rPr>
          <w:b/>
          <w:i/>
        </w:rPr>
        <w:t>mate change?  (= pillar 1 in the GCCA’s objective)?</w:t>
      </w:r>
    </w:p>
    <w:p w:rsidR="005475D3" w:rsidRPr="00A94D8B" w:rsidRDefault="005475D3" w:rsidP="00AD1C0A">
      <w:r w:rsidRPr="00A94D8B">
        <w:t>There are a number of examples of the Intra ACP cont</w:t>
      </w:r>
      <w:r w:rsidR="006936A0" w:rsidRPr="00A94D8B">
        <w:t xml:space="preserve">ributing to </w:t>
      </w:r>
      <w:r w:rsidR="00E81076" w:rsidRPr="00A94D8B">
        <w:t>dialogue on cli</w:t>
      </w:r>
      <w:r w:rsidRPr="00A94D8B">
        <w:t>mate change both regionally and globally. The facili</w:t>
      </w:r>
      <w:r w:rsidR="00E81076" w:rsidRPr="00A94D8B">
        <w:t xml:space="preserve">tation of </w:t>
      </w:r>
      <w:r w:rsidR="006936A0" w:rsidRPr="00A94D8B">
        <w:t>communication c</w:t>
      </w:r>
      <w:r w:rsidR="00D77B28" w:rsidRPr="00A94D8B">
        <w:t>hannels has taken many forms but</w:t>
      </w:r>
      <w:r w:rsidR="006936A0" w:rsidRPr="00A94D8B">
        <w:t xml:space="preserve"> a</w:t>
      </w:r>
      <w:r w:rsidRPr="00A94D8B">
        <w:t xml:space="preserve">part from </w:t>
      </w:r>
      <w:r w:rsidR="00D77B28" w:rsidRPr="00A94D8B">
        <w:t xml:space="preserve">most regional programmes </w:t>
      </w:r>
      <w:r w:rsidR="006936A0" w:rsidRPr="00A94D8B">
        <w:t xml:space="preserve">supporting </w:t>
      </w:r>
      <w:r w:rsidR="00D77B28" w:rsidRPr="00A94D8B">
        <w:t xml:space="preserve">participation in </w:t>
      </w:r>
      <w:r w:rsidRPr="00A94D8B">
        <w:t>international cl</w:t>
      </w:r>
      <w:r w:rsidRPr="00A94D8B">
        <w:t>i</w:t>
      </w:r>
      <w:r w:rsidRPr="00A94D8B">
        <w:t xml:space="preserve">mate change negotiations, there is no other </w:t>
      </w:r>
      <w:r w:rsidR="00E81076" w:rsidRPr="00A94D8B">
        <w:t>general trend in the nature</w:t>
      </w:r>
      <w:r w:rsidRPr="00A94D8B">
        <w:t xml:space="preserve"> of </w:t>
      </w:r>
      <w:r w:rsidR="00E81076" w:rsidRPr="00A94D8B">
        <w:t xml:space="preserve">the </w:t>
      </w:r>
      <w:r w:rsidRPr="00A94D8B">
        <w:t xml:space="preserve">dialogue </w:t>
      </w:r>
      <w:r w:rsidR="00E81076" w:rsidRPr="00A94D8B">
        <w:t xml:space="preserve">being </w:t>
      </w:r>
      <w:r w:rsidRPr="00A94D8B">
        <w:t>support</w:t>
      </w:r>
      <w:r w:rsidR="00E81076" w:rsidRPr="00A94D8B">
        <w:t>ed</w:t>
      </w:r>
      <w:r w:rsidRPr="00A94D8B">
        <w:t xml:space="preserve">. </w:t>
      </w:r>
    </w:p>
    <w:p w:rsidR="00301343" w:rsidRPr="00A94D8B" w:rsidRDefault="00860E04" w:rsidP="00AD1C0A">
      <w:r w:rsidRPr="00A94D8B">
        <w:t>Political dialogue has been</w:t>
      </w:r>
      <w:r w:rsidR="00340D54" w:rsidRPr="00A94D8B">
        <w:t xml:space="preserve"> a </w:t>
      </w:r>
      <w:r w:rsidR="005475D3" w:rsidRPr="00A94D8B">
        <w:t xml:space="preserve">key priority for </w:t>
      </w:r>
      <w:r w:rsidRPr="00A94D8B">
        <w:t xml:space="preserve">the </w:t>
      </w:r>
      <w:r w:rsidR="005475D3" w:rsidRPr="00A94D8B">
        <w:t>CILSS</w:t>
      </w:r>
      <w:r w:rsidR="002C504C" w:rsidRPr="00A94D8B">
        <w:t>/Agrhymet p</w:t>
      </w:r>
      <w:r w:rsidRPr="00A94D8B">
        <w:t>rogramme</w:t>
      </w:r>
      <w:r w:rsidR="005475D3" w:rsidRPr="00A94D8B">
        <w:t xml:space="preserve">. </w:t>
      </w:r>
      <w:r w:rsidR="0083270A" w:rsidRPr="00A94D8B">
        <w:t>Object</w:t>
      </w:r>
      <w:r w:rsidR="0023664E" w:rsidRPr="00A94D8B">
        <w:t xml:space="preserve">ive number three </w:t>
      </w:r>
      <w:r w:rsidR="00DA412E" w:rsidRPr="00A94D8B">
        <w:t xml:space="preserve">of the CILSS/Agrhymet programme </w:t>
      </w:r>
      <w:r w:rsidR="0023664E" w:rsidRPr="00A94D8B">
        <w:t xml:space="preserve">relates to </w:t>
      </w:r>
      <w:r w:rsidR="0083270A" w:rsidRPr="00A94D8B">
        <w:t>building capacity for climate negotiations and access to carbon market finance mechanisms.</w:t>
      </w:r>
      <w:r w:rsidR="00F8798B">
        <w:t xml:space="preserve"> </w:t>
      </w:r>
      <w:r w:rsidR="005475D3" w:rsidRPr="00A94D8B">
        <w:t>Seven</w:t>
      </w:r>
      <w:r w:rsidR="00340D54" w:rsidRPr="00A94D8B">
        <w:t xml:space="preserve">teen negotiators </w:t>
      </w:r>
      <w:r w:rsidRPr="00A94D8B">
        <w:t xml:space="preserve">from the AGN </w:t>
      </w:r>
      <w:r w:rsidR="00340D54" w:rsidRPr="00A94D8B">
        <w:t>were trained</w:t>
      </w:r>
      <w:r w:rsidR="005475D3" w:rsidRPr="00A94D8B">
        <w:t>, and a position paper</w:t>
      </w:r>
      <w:r w:rsidRPr="00A94D8B">
        <w:t xml:space="preserve"> was submitted</w:t>
      </w:r>
      <w:r w:rsidR="005475D3" w:rsidRPr="00A94D8B">
        <w:t xml:space="preserve"> </w:t>
      </w:r>
      <w:r w:rsidRPr="00A94D8B">
        <w:t xml:space="preserve">at </w:t>
      </w:r>
      <w:r w:rsidR="005475D3" w:rsidRPr="00A94D8B">
        <w:t>COP</w:t>
      </w:r>
      <w:r w:rsidR="0065650E" w:rsidRPr="00A94D8B">
        <w:t xml:space="preserve"> </w:t>
      </w:r>
      <w:r w:rsidR="005475D3" w:rsidRPr="00A94D8B">
        <w:t>19, where the West Afr</w:t>
      </w:r>
      <w:r w:rsidR="005475D3" w:rsidRPr="00A94D8B">
        <w:t>i</w:t>
      </w:r>
      <w:r w:rsidR="005475D3" w:rsidRPr="00A94D8B">
        <w:t xml:space="preserve">can </w:t>
      </w:r>
      <w:r w:rsidR="002C504C" w:rsidRPr="00A94D8B">
        <w:t xml:space="preserve">group </w:t>
      </w:r>
      <w:r w:rsidR="0083270A" w:rsidRPr="00A94D8B">
        <w:t>also supporte</w:t>
      </w:r>
      <w:r w:rsidR="002C504C" w:rsidRPr="00A94D8B">
        <w:t xml:space="preserve">d </w:t>
      </w:r>
      <w:r w:rsidR="0023664E" w:rsidRPr="00A94D8B">
        <w:t>a side event</w:t>
      </w:r>
      <w:r w:rsidR="0083270A" w:rsidRPr="00A94D8B">
        <w:t xml:space="preserve">. </w:t>
      </w:r>
      <w:r w:rsidR="002C504C" w:rsidRPr="00A94D8B">
        <w:t>The</w:t>
      </w:r>
      <w:r w:rsidR="0023664E" w:rsidRPr="00A94D8B">
        <w:t xml:space="preserve"> document was developed </w:t>
      </w:r>
      <w:r w:rsidR="002C504C" w:rsidRPr="00A94D8B">
        <w:t>to outline</w:t>
      </w:r>
      <w:r w:rsidR="00301343" w:rsidRPr="00A94D8B">
        <w:t xml:space="preserve"> why agro-forestry should become eligible for </w:t>
      </w:r>
      <w:r w:rsidR="00301343" w:rsidRPr="00A94D8B">
        <w:rPr>
          <w:rStyle w:val="hps"/>
        </w:rPr>
        <w:t>the Kyoto Protocol</w:t>
      </w:r>
      <w:r w:rsidR="00301343" w:rsidRPr="00A94D8B">
        <w:t xml:space="preserve"> </w:t>
      </w:r>
      <w:r w:rsidR="00301343" w:rsidRPr="00A94D8B">
        <w:rPr>
          <w:rStyle w:val="hps"/>
        </w:rPr>
        <w:t>and</w:t>
      </w:r>
      <w:r w:rsidR="00301343" w:rsidRPr="00A94D8B">
        <w:t xml:space="preserve"> </w:t>
      </w:r>
      <w:r w:rsidR="00301343" w:rsidRPr="00A94D8B">
        <w:rPr>
          <w:rStyle w:val="hps"/>
        </w:rPr>
        <w:t>the</w:t>
      </w:r>
      <w:r w:rsidR="00301343" w:rsidRPr="00A94D8B">
        <w:t xml:space="preserve"> </w:t>
      </w:r>
      <w:r w:rsidR="00301343" w:rsidRPr="00A94D8B">
        <w:rPr>
          <w:rStyle w:val="hps"/>
        </w:rPr>
        <w:t>CDM</w:t>
      </w:r>
      <w:r w:rsidR="00301343" w:rsidRPr="00A94D8B">
        <w:t>.</w:t>
      </w:r>
      <w:r w:rsidR="0023664E" w:rsidRPr="00A94D8B">
        <w:t xml:space="preserve"> </w:t>
      </w:r>
      <w:r w:rsidR="00301343" w:rsidRPr="00A94D8B">
        <w:rPr>
          <w:rStyle w:val="hps"/>
        </w:rPr>
        <w:t>CILSS</w:t>
      </w:r>
      <w:r w:rsidR="0023664E" w:rsidRPr="00A94D8B">
        <w:rPr>
          <w:rStyle w:val="hps"/>
        </w:rPr>
        <w:t>/Agrhymet</w:t>
      </w:r>
      <w:r w:rsidR="00301343" w:rsidRPr="00A94D8B">
        <w:t xml:space="preserve"> </w:t>
      </w:r>
      <w:r w:rsidR="00301343" w:rsidRPr="00A94D8B">
        <w:rPr>
          <w:rStyle w:val="hps"/>
        </w:rPr>
        <w:t>pr</w:t>
      </w:r>
      <w:r w:rsidR="00301343" w:rsidRPr="00A94D8B">
        <w:rPr>
          <w:rStyle w:val="hps"/>
        </w:rPr>
        <w:t>o</w:t>
      </w:r>
      <w:r w:rsidR="00301343" w:rsidRPr="00A94D8B">
        <w:rPr>
          <w:rStyle w:val="hps"/>
        </w:rPr>
        <w:t>vided</w:t>
      </w:r>
      <w:r w:rsidR="0023664E" w:rsidRPr="00A94D8B">
        <w:t xml:space="preserve"> </w:t>
      </w:r>
      <w:r w:rsidR="00301343" w:rsidRPr="00A94D8B">
        <w:rPr>
          <w:rStyle w:val="hps"/>
        </w:rPr>
        <w:t>scientific and technical</w:t>
      </w:r>
      <w:r w:rsidR="00301343" w:rsidRPr="00A94D8B">
        <w:t xml:space="preserve"> </w:t>
      </w:r>
      <w:r w:rsidR="0023664E" w:rsidRPr="00A94D8B">
        <w:t xml:space="preserve">support in writing </w:t>
      </w:r>
      <w:r w:rsidR="00301343" w:rsidRPr="00A94D8B">
        <w:t>the paper</w:t>
      </w:r>
      <w:r w:rsidR="00301343" w:rsidRPr="00A94D8B">
        <w:rPr>
          <w:rStyle w:val="hps"/>
        </w:rPr>
        <w:t>.</w:t>
      </w:r>
      <w:r w:rsidR="00301343" w:rsidRPr="00A94D8B">
        <w:t xml:space="preserve"> </w:t>
      </w:r>
      <w:r w:rsidR="0023664E" w:rsidRPr="00A94D8B">
        <w:t xml:space="preserve">COMESA and </w:t>
      </w:r>
      <w:r w:rsidR="00066242" w:rsidRPr="00A94D8B">
        <w:t>ClimDev</w:t>
      </w:r>
      <w:r w:rsidR="0023664E" w:rsidRPr="00A94D8B">
        <w:t xml:space="preserve"> have also supported the writing of position papers. </w:t>
      </w:r>
      <w:r w:rsidR="0023664E" w:rsidRPr="00A94D8B">
        <w:rPr>
          <w:rStyle w:val="hps"/>
        </w:rPr>
        <w:t xml:space="preserve"> </w:t>
      </w:r>
    </w:p>
    <w:p w:rsidR="005475D3" w:rsidRPr="00A94D8B" w:rsidRDefault="005475D3" w:rsidP="00AD1C0A">
      <w:r w:rsidRPr="00A94D8B">
        <w:t>In the three coun</w:t>
      </w:r>
      <w:r w:rsidR="00E81076" w:rsidRPr="00A94D8B">
        <w:t xml:space="preserve">tries visited </w:t>
      </w:r>
      <w:r w:rsidR="00221265" w:rsidRPr="00A94D8B">
        <w:t xml:space="preserve">for the CILSS/Agrhymet evaluation </w:t>
      </w:r>
      <w:r w:rsidRPr="00A94D8B">
        <w:t>the actions to sup</w:t>
      </w:r>
      <w:r w:rsidR="00221265" w:rsidRPr="00A94D8B">
        <w:t xml:space="preserve">port </w:t>
      </w:r>
      <w:r w:rsidR="0065650E" w:rsidRPr="00A94D8B">
        <w:t xml:space="preserve">the </w:t>
      </w:r>
      <w:r w:rsidR="00221265" w:rsidRPr="00A94D8B">
        <w:t>AGN</w:t>
      </w:r>
      <w:r w:rsidR="00242FE3" w:rsidRPr="00A94D8B">
        <w:t xml:space="preserve"> </w:t>
      </w:r>
      <w:r w:rsidR="002C504C" w:rsidRPr="00A94D8B">
        <w:t xml:space="preserve">and the participation of </w:t>
      </w:r>
      <w:r w:rsidRPr="00A94D8B">
        <w:t xml:space="preserve">West </w:t>
      </w:r>
      <w:r w:rsidR="00221265" w:rsidRPr="00A94D8B">
        <w:t>African nationals</w:t>
      </w:r>
      <w:r w:rsidR="00E81076" w:rsidRPr="00A94D8B">
        <w:t xml:space="preserve"> in </w:t>
      </w:r>
      <w:r w:rsidR="00221265" w:rsidRPr="00A94D8B">
        <w:t xml:space="preserve">other </w:t>
      </w:r>
      <w:r w:rsidR="00E81076" w:rsidRPr="00A94D8B">
        <w:t>interna</w:t>
      </w:r>
      <w:r w:rsidRPr="00A94D8B">
        <w:t xml:space="preserve">tional conferences were well received. </w:t>
      </w:r>
      <w:r w:rsidR="00221265" w:rsidRPr="00A94D8B">
        <w:t>However, i</w:t>
      </w:r>
      <w:r w:rsidR="00301343" w:rsidRPr="00A94D8B">
        <w:t xml:space="preserve">t is important to </w:t>
      </w:r>
      <w:r w:rsidRPr="00A94D8B">
        <w:t>empha</w:t>
      </w:r>
      <w:r w:rsidR="00DA412E" w:rsidRPr="00A94D8B">
        <w:t>sis</w:t>
      </w:r>
      <w:r w:rsidR="00301343" w:rsidRPr="00A94D8B">
        <w:t>e</w:t>
      </w:r>
      <w:r w:rsidRPr="00A94D8B">
        <w:t xml:space="preserve"> that </w:t>
      </w:r>
      <w:r w:rsidR="00301343" w:rsidRPr="00A94D8B">
        <w:t xml:space="preserve">in West Africa, </w:t>
      </w:r>
      <w:r w:rsidRPr="00A94D8B">
        <w:t>important diffe</w:t>
      </w:r>
      <w:r w:rsidRPr="00A94D8B">
        <w:t>r</w:t>
      </w:r>
      <w:r w:rsidR="00221265" w:rsidRPr="00A94D8B">
        <w:t xml:space="preserve">ences remain in </w:t>
      </w:r>
      <w:r w:rsidR="002C504C" w:rsidRPr="00A94D8B">
        <w:t xml:space="preserve">positions on climate negotiations </w:t>
      </w:r>
      <w:r w:rsidRPr="00A94D8B">
        <w:t>between civil society and governments, and that support during the negotiations</w:t>
      </w:r>
      <w:r w:rsidR="002C504C" w:rsidRPr="00A94D8B">
        <w:t xml:space="preserve"> from the programme</w:t>
      </w:r>
      <w:r w:rsidRPr="00A94D8B">
        <w:t xml:space="preserve"> could be more effective.</w:t>
      </w:r>
      <w:r w:rsidR="00F8798B">
        <w:t xml:space="preserve"> </w:t>
      </w:r>
      <w:r w:rsidR="00301343" w:rsidRPr="00A94D8B">
        <w:t xml:space="preserve">To correct this situation the programme is </w:t>
      </w:r>
      <w:r w:rsidRPr="00A94D8B">
        <w:t xml:space="preserve">exploring </w:t>
      </w:r>
      <w:r w:rsidR="00221265" w:rsidRPr="00A94D8B">
        <w:t xml:space="preserve">a </w:t>
      </w:r>
      <w:r w:rsidR="00301343" w:rsidRPr="00A94D8B">
        <w:t xml:space="preserve">potential </w:t>
      </w:r>
      <w:r w:rsidRPr="00A94D8B">
        <w:t xml:space="preserve">collaboration with the </w:t>
      </w:r>
      <w:r w:rsidR="00301343" w:rsidRPr="00A94D8B">
        <w:t>Pan African Cl</w:t>
      </w:r>
      <w:r w:rsidR="00301343" w:rsidRPr="00A94D8B">
        <w:t>i</w:t>
      </w:r>
      <w:r w:rsidR="00301343" w:rsidRPr="00A94D8B">
        <w:t>mate Justice Alliance (</w:t>
      </w:r>
      <w:r w:rsidRPr="00A94D8B">
        <w:t>PACJA</w:t>
      </w:r>
      <w:r w:rsidR="00301343" w:rsidRPr="00A94D8B">
        <w:t>)</w:t>
      </w:r>
      <w:r w:rsidRPr="00A94D8B">
        <w:t>, an organisation representing Afri</w:t>
      </w:r>
      <w:r w:rsidR="00542C9F" w:rsidRPr="00A94D8B">
        <w:t>can civil society on c</w:t>
      </w:r>
      <w:r w:rsidR="002C504C" w:rsidRPr="00A94D8B">
        <w:t xml:space="preserve">limate change. </w:t>
      </w:r>
    </w:p>
    <w:p w:rsidR="005475D3" w:rsidRPr="00A94D8B" w:rsidRDefault="00542C9F" w:rsidP="00AD1C0A">
      <w:r w:rsidRPr="00A94D8B">
        <w:t>The COMESA</w:t>
      </w:r>
      <w:r w:rsidR="00066242" w:rsidRPr="00A94D8B">
        <w:t>-</w:t>
      </w:r>
      <w:r w:rsidRPr="00A94D8B">
        <w:t xml:space="preserve">led programme has </w:t>
      </w:r>
      <w:r w:rsidR="005475D3" w:rsidRPr="00A94D8B">
        <w:t>some</w:t>
      </w:r>
      <w:r w:rsidRPr="00A94D8B">
        <w:t xml:space="preserve"> good aspects </w:t>
      </w:r>
      <w:r w:rsidR="005475D3" w:rsidRPr="00A94D8B">
        <w:t xml:space="preserve">as it </w:t>
      </w:r>
      <w:r w:rsidR="00E81076" w:rsidRPr="00A94D8B">
        <w:t>relates to creating broader di</w:t>
      </w:r>
      <w:r w:rsidR="00E81076" w:rsidRPr="00A94D8B">
        <w:t>a</w:t>
      </w:r>
      <w:r w:rsidR="005475D3" w:rsidRPr="00A94D8B">
        <w:t xml:space="preserve">logue. This includes </w:t>
      </w:r>
      <w:r w:rsidRPr="00A94D8B">
        <w:t xml:space="preserve">assisting in the </w:t>
      </w:r>
      <w:r w:rsidR="005475D3" w:rsidRPr="00A94D8B">
        <w:t xml:space="preserve">creation of the </w:t>
      </w:r>
      <w:r w:rsidRPr="00A94D8B">
        <w:t>Eastern and Southern Africa Cli</w:t>
      </w:r>
      <w:r w:rsidR="005475D3" w:rsidRPr="00A94D8B">
        <w:t>mate Change Media Network that is a forum for the exchange o</w:t>
      </w:r>
      <w:r w:rsidR="00221265" w:rsidRPr="00A94D8B">
        <w:t>f views on climate change and awareness raising of</w:t>
      </w:r>
      <w:r w:rsidR="005475D3" w:rsidRPr="00A94D8B">
        <w:t xml:space="preserve"> journalists on climate change issues</w:t>
      </w:r>
      <w:r w:rsidR="003A1D28" w:rsidRPr="00A94D8B">
        <w:t xml:space="preserve"> who then in turn are expected to</w:t>
      </w:r>
      <w:r w:rsidR="00DA412E" w:rsidRPr="00A94D8B">
        <w:t xml:space="preserve"> sensitis</w:t>
      </w:r>
      <w:r w:rsidR="007E12A7" w:rsidRPr="00A94D8B">
        <w:t xml:space="preserve">e the </w:t>
      </w:r>
      <w:r w:rsidR="00221265" w:rsidRPr="00A94D8B">
        <w:t xml:space="preserve">general </w:t>
      </w:r>
      <w:r w:rsidR="007E12A7" w:rsidRPr="00A94D8B">
        <w:t>pub</w:t>
      </w:r>
      <w:r w:rsidR="00221265" w:rsidRPr="00A94D8B">
        <w:t>lic on issues related to the subject</w:t>
      </w:r>
      <w:r w:rsidR="005475D3" w:rsidRPr="00A94D8B">
        <w:t>.</w:t>
      </w:r>
      <w:r w:rsidR="007E12A7" w:rsidRPr="00A94D8B">
        <w:t xml:space="preserve"> The Network was an outcome of a meeting held by COMESA and the Network of Climate Journalists of the Greater Horn of Africa (NECJOGHA).</w:t>
      </w:r>
      <w:r w:rsidR="005475D3" w:rsidRPr="00A94D8B">
        <w:t xml:space="preserve">The </w:t>
      </w:r>
      <w:r w:rsidR="00FD1C61" w:rsidRPr="00A94D8B">
        <w:t>COMESA p</w:t>
      </w:r>
      <w:r w:rsidR="005475D3" w:rsidRPr="00A94D8B">
        <w:t>ro</w:t>
      </w:r>
      <w:r w:rsidR="00FD1C61" w:rsidRPr="00A94D8B">
        <w:t xml:space="preserve">gramme </w:t>
      </w:r>
      <w:r w:rsidR="005475D3" w:rsidRPr="00A94D8B">
        <w:t xml:space="preserve">also supported three regional conferences that brought together youth to learn and develop perspectives on climate change. The </w:t>
      </w:r>
      <w:r w:rsidR="00221265" w:rsidRPr="00A94D8B">
        <w:t>COMESA led p</w:t>
      </w:r>
      <w:r w:rsidR="005475D3" w:rsidRPr="00A94D8B">
        <w:t xml:space="preserve">rogramme also deserves credit for putting an extra emphasis on ensuring the participation of women in Programme activities.   </w:t>
      </w:r>
    </w:p>
    <w:p w:rsidR="005475D3" w:rsidRPr="00A94D8B" w:rsidRDefault="00221265" w:rsidP="00AD1C0A">
      <w:r w:rsidRPr="00A94D8B">
        <w:t>Also</w:t>
      </w:r>
      <w:r w:rsidR="00066242" w:rsidRPr="00A94D8B">
        <w:t>,</w:t>
      </w:r>
      <w:r w:rsidRPr="00A94D8B">
        <w:t xml:space="preserve"> </w:t>
      </w:r>
      <w:r w:rsidR="00066242" w:rsidRPr="00A94D8B">
        <w:t xml:space="preserve">with </w:t>
      </w:r>
      <w:r w:rsidRPr="00A94D8B">
        <w:t>the COMESA programme</w:t>
      </w:r>
      <w:r w:rsidR="00066242" w:rsidRPr="00A94D8B">
        <w:t>,</w:t>
      </w:r>
      <w:r w:rsidRPr="00A94D8B">
        <w:t xml:space="preserve"> r</w:t>
      </w:r>
      <w:r w:rsidR="005475D3" w:rsidRPr="00A94D8B">
        <w:t xml:space="preserve">egional Parliamentarians have been sensitized through the East African Legislative Assembly (EALA) resulting in the adoption of the EAC Climate Change Resolution that has paved </w:t>
      </w:r>
      <w:r w:rsidRPr="00A94D8B">
        <w:t xml:space="preserve">the </w:t>
      </w:r>
      <w:r w:rsidR="005475D3" w:rsidRPr="00A94D8B">
        <w:t>way for the formulation of the EAC Climate Change Bill to provide a legal framework for the implementation of the EAC Climate Change</w:t>
      </w:r>
      <w:r w:rsidR="00BC3C69" w:rsidRPr="00A94D8B">
        <w:t xml:space="preserve"> Policy.  Political good-will</w:t>
      </w:r>
      <w:r w:rsidR="005475D3" w:rsidRPr="00A94D8B">
        <w:t xml:space="preserve"> has been mobilized at the regional level through facilitating the EAC Heads of State Retreat on Climate Change and Food Security in 2010 that resulted in the EAC Heads of State Declaration on Climate Change and Food Security.</w:t>
      </w:r>
      <w:r w:rsidR="004F1A18" w:rsidRPr="00A94D8B">
        <w:t xml:space="preserve"> </w:t>
      </w:r>
    </w:p>
    <w:p w:rsidR="005475D3" w:rsidRPr="00A94D8B" w:rsidRDefault="00221265" w:rsidP="00AD1C0A">
      <w:r w:rsidRPr="00A94D8B">
        <w:t>As noted earlier</w:t>
      </w:r>
      <w:r w:rsidR="00066242" w:rsidRPr="00A94D8B">
        <w:t>,</w:t>
      </w:r>
      <w:r w:rsidRPr="00A94D8B">
        <w:t xml:space="preserve"> </w:t>
      </w:r>
      <w:r w:rsidR="005475D3" w:rsidRPr="00A94D8B">
        <w:t>the</w:t>
      </w:r>
      <w:r w:rsidR="00BC3C69" w:rsidRPr="00A94D8B">
        <w:t xml:space="preserve"> COMESA</w:t>
      </w:r>
      <w:r w:rsidR="005475D3" w:rsidRPr="00A94D8B">
        <w:t xml:space="preserve"> programme is </w:t>
      </w:r>
      <w:r w:rsidRPr="00A94D8B">
        <w:t xml:space="preserve">involved in </w:t>
      </w:r>
      <w:r w:rsidR="005475D3" w:rsidRPr="00A94D8B">
        <w:t xml:space="preserve">facilitating the participation </w:t>
      </w:r>
      <w:r w:rsidR="00BC3C69" w:rsidRPr="00A94D8B">
        <w:t>of the AGN. There</w:t>
      </w:r>
      <w:r w:rsidR="005475D3" w:rsidRPr="00A94D8B">
        <w:t xml:space="preserve"> are some </w:t>
      </w:r>
      <w:r w:rsidR="00BC3C69" w:rsidRPr="00A94D8B">
        <w:t xml:space="preserve">issues surrounding administrative matters and </w:t>
      </w:r>
      <w:r w:rsidRPr="00A94D8B">
        <w:t xml:space="preserve">the </w:t>
      </w:r>
      <w:r w:rsidR="00BC3C69" w:rsidRPr="00A94D8B">
        <w:t xml:space="preserve">selection process used to determine </w:t>
      </w:r>
      <w:r w:rsidR="005475D3" w:rsidRPr="00A94D8B">
        <w:t>dele</w:t>
      </w:r>
      <w:r w:rsidR="00BC3C69" w:rsidRPr="00A94D8B">
        <w:t xml:space="preserve">gates. </w:t>
      </w:r>
      <w:r w:rsidR="005475D3" w:rsidRPr="00A94D8B">
        <w:t xml:space="preserve">There is a belief that SADC and EAC and </w:t>
      </w:r>
      <w:r w:rsidRPr="00A94D8B">
        <w:t>MS in general</w:t>
      </w:r>
      <w:r w:rsidR="00BC3C69" w:rsidRPr="00A94D8B">
        <w:t xml:space="preserve"> </w:t>
      </w:r>
      <w:r w:rsidR="005475D3" w:rsidRPr="00A94D8B">
        <w:t>should be m</w:t>
      </w:r>
      <w:r w:rsidR="00FD1C61" w:rsidRPr="00A94D8B">
        <w:t>ore directly involved in the se</w:t>
      </w:r>
      <w:r w:rsidR="005475D3" w:rsidRPr="00A94D8B">
        <w:t>lection process.  There have been no clear guidelines on how the ne</w:t>
      </w:r>
      <w:r w:rsidRPr="00A94D8B">
        <w:t>gotiators are being</w:t>
      </w:r>
      <w:r w:rsidR="005475D3" w:rsidRPr="00A94D8B">
        <w:t xml:space="preserve"> chosen and there is a feeling that good candidates are being left aside. </w:t>
      </w:r>
      <w:r w:rsidR="00BC3C69" w:rsidRPr="00A94D8B">
        <w:t xml:space="preserve"> </w:t>
      </w:r>
      <w:r w:rsidR="005475D3" w:rsidRPr="00A94D8B">
        <w:t xml:space="preserve">At the same time </w:t>
      </w:r>
      <w:r w:rsidR="00BC3C69" w:rsidRPr="00A94D8B">
        <w:t xml:space="preserve">however, </w:t>
      </w:r>
      <w:r w:rsidRPr="00A94D8B">
        <w:t>the COMESA p</w:t>
      </w:r>
      <w:r w:rsidR="005475D3" w:rsidRPr="00A94D8B">
        <w:t>ro</w:t>
      </w:r>
      <w:r w:rsidR="00BC3C69" w:rsidRPr="00A94D8B">
        <w:t>gramme is credited with giving the neg</w:t>
      </w:r>
      <w:r w:rsidR="00BC3C69" w:rsidRPr="00A94D8B">
        <w:t>o</w:t>
      </w:r>
      <w:r w:rsidR="00BC3C69" w:rsidRPr="00A94D8B">
        <w:t>tiators a chance to</w:t>
      </w:r>
      <w:r w:rsidR="005475D3" w:rsidRPr="00A94D8B">
        <w:t xml:space="preserve"> gain good experi</w:t>
      </w:r>
      <w:r w:rsidR="00BC3C69" w:rsidRPr="00A94D8B">
        <w:t xml:space="preserve">ence. </w:t>
      </w:r>
    </w:p>
    <w:p w:rsidR="005475D3" w:rsidRPr="00A94D8B" w:rsidRDefault="005475D3" w:rsidP="00AD1C0A">
      <w:r w:rsidRPr="00A94D8B">
        <w:t xml:space="preserve"> In relation to ClimDev</w:t>
      </w:r>
      <w:r w:rsidR="00066242" w:rsidRPr="00A94D8B">
        <w:t>,</w:t>
      </w:r>
      <w:r w:rsidRPr="00A94D8B">
        <w:t xml:space="preserve"> weak reporting made it difficult to mak</w:t>
      </w:r>
      <w:r w:rsidR="00BC3C69" w:rsidRPr="00A94D8B">
        <w:t>e a reasonable as</w:t>
      </w:r>
      <w:r w:rsidRPr="00A94D8B">
        <w:t>sess</w:t>
      </w:r>
      <w:r w:rsidR="00BC3C69" w:rsidRPr="00A94D8B">
        <w:t>ment about what is being accomplished in this area</w:t>
      </w:r>
      <w:r w:rsidRPr="00A94D8B">
        <w:t xml:space="preserve">. </w:t>
      </w:r>
      <w:r w:rsidR="00066242" w:rsidRPr="00A94D8B">
        <w:t>Some</w:t>
      </w:r>
      <w:r w:rsidRPr="00A94D8B">
        <w:t xml:space="preserve"> of the outputs related to at</w:t>
      </w:r>
      <w:r w:rsidR="00BC3C69" w:rsidRPr="00A94D8B">
        <w:t>tendance or organisation of Sum</w:t>
      </w:r>
      <w:r w:rsidRPr="00A94D8B">
        <w:t>mits, Committees, Con</w:t>
      </w:r>
      <w:r w:rsidR="00221265" w:rsidRPr="00A94D8B">
        <w:t>ferences or training events have</w:t>
      </w:r>
      <w:r w:rsidRPr="00A94D8B">
        <w:t xml:space="preserve"> not been made available to the EU or to the evalua</w:t>
      </w:r>
      <w:r w:rsidR="00952186" w:rsidRPr="00A94D8B">
        <w:t>tion team</w:t>
      </w:r>
      <w:r w:rsidRPr="00A94D8B">
        <w:t>. In addition, reporting does not allow for a clear estab</w:t>
      </w:r>
      <w:r w:rsidR="00952186" w:rsidRPr="00A94D8B">
        <w:t>lishment of ac</w:t>
      </w:r>
      <w:r w:rsidRPr="00A94D8B">
        <w:t xml:space="preserve">tual contribution (in terms of financial and human resources) by ClimDev to these events and activities. </w:t>
      </w:r>
      <w:r w:rsidR="00952186" w:rsidRPr="00A94D8B">
        <w:t xml:space="preserve">This brings up a larger issue on the support provided by the three African Intra ACP regional programmes and the Global GCCA. </w:t>
      </w:r>
      <w:r w:rsidR="005C1E60" w:rsidRPr="00A94D8B">
        <w:t>Due to the time limit</w:t>
      </w:r>
      <w:r w:rsidR="005C1E60" w:rsidRPr="00A94D8B">
        <w:t>a</w:t>
      </w:r>
      <w:r w:rsidR="005C1E60" w:rsidRPr="00A94D8B">
        <w:t>tions of the evaluation process, i</w:t>
      </w:r>
      <w:r w:rsidR="00221265" w:rsidRPr="00A94D8B">
        <w:t>t was not possible to completely</w:t>
      </w:r>
      <w:r w:rsidR="00952186" w:rsidRPr="00A94D8B">
        <w:t xml:space="preserve"> comprehend what is taking place but there is a perception that there could be a certain amount of overlap</w:t>
      </w:r>
      <w:r w:rsidR="00221265" w:rsidRPr="00A94D8B">
        <w:t xml:space="preserve"> in supporting the AGN</w:t>
      </w:r>
      <w:r w:rsidR="00952186" w:rsidRPr="00A94D8B">
        <w:t xml:space="preserve">. </w:t>
      </w:r>
      <w:r w:rsidR="00221265" w:rsidRPr="00A94D8B">
        <w:t xml:space="preserve">In addition, there appears to be </w:t>
      </w:r>
      <w:r w:rsidR="00066242" w:rsidRPr="00A94D8B">
        <w:t xml:space="preserve">little or </w:t>
      </w:r>
      <w:r w:rsidR="00952186" w:rsidRPr="00A94D8B">
        <w:t>no coordination between the regional pr</w:t>
      </w:r>
      <w:r w:rsidR="00952186" w:rsidRPr="00A94D8B">
        <w:t>o</w:t>
      </w:r>
      <w:r w:rsidR="00952186" w:rsidRPr="00A94D8B">
        <w:t xml:space="preserve">grammes and the national </w:t>
      </w:r>
      <w:r w:rsidR="00221265" w:rsidRPr="00A94D8B">
        <w:t xml:space="preserve">GCCA </w:t>
      </w:r>
      <w:r w:rsidR="00952186" w:rsidRPr="00A94D8B">
        <w:t>programmes</w:t>
      </w:r>
      <w:r w:rsidR="005C1E60" w:rsidRPr="00A94D8B">
        <w:t xml:space="preserve"> on issues related to the participation of Afr</w:t>
      </w:r>
      <w:r w:rsidR="005C1E60" w:rsidRPr="00A94D8B">
        <w:t>i</w:t>
      </w:r>
      <w:r w:rsidR="005C1E60" w:rsidRPr="00A94D8B">
        <w:t>can negotiators in international climate forums</w:t>
      </w:r>
      <w:r w:rsidR="00221265" w:rsidRPr="00A94D8B">
        <w:t xml:space="preserve">. </w:t>
      </w:r>
      <w:r w:rsidR="00952186" w:rsidRPr="00A94D8B">
        <w:t xml:space="preserve"> Nor does there appear to be any coordination with the</w:t>
      </w:r>
      <w:r w:rsidR="0065650E" w:rsidRPr="00A94D8B">
        <w:t xml:space="preserve"> United Nations Development Programme</w:t>
      </w:r>
      <w:r w:rsidR="00952186" w:rsidRPr="00A94D8B">
        <w:t xml:space="preserve"> </w:t>
      </w:r>
      <w:r w:rsidR="00DA412E" w:rsidRPr="00A94D8B">
        <w:t>(</w:t>
      </w:r>
      <w:r w:rsidR="00952186" w:rsidRPr="00A94D8B">
        <w:t>UNDP</w:t>
      </w:r>
      <w:r w:rsidR="00DA412E" w:rsidRPr="00A94D8B">
        <w:t>)</w:t>
      </w:r>
      <w:r w:rsidR="00952186" w:rsidRPr="00A94D8B">
        <w:t xml:space="preserve"> on this matter which should not be the case given the leadership role the UN agency plays on this matter.</w:t>
      </w:r>
      <w:r w:rsidR="005C1E60" w:rsidRPr="00A94D8B">
        <w:t xml:space="preserve"> This requires follow up investigation. </w:t>
      </w:r>
      <w:r w:rsidR="00952186" w:rsidRPr="00A94D8B">
        <w:t xml:space="preserve"> </w:t>
      </w:r>
    </w:p>
    <w:p w:rsidR="00B92875" w:rsidRPr="00A94D8B" w:rsidRDefault="00B92875" w:rsidP="00B92875">
      <w:r w:rsidRPr="00A94D8B">
        <w:t xml:space="preserve">The </w:t>
      </w:r>
      <w:r w:rsidR="00F238A0" w:rsidRPr="00A94D8B">
        <w:t>USP</w:t>
      </w:r>
      <w:r w:rsidRPr="00A94D8B">
        <w:t xml:space="preserve"> programme contributed to dialogue through its training component.  Students were supported to act as members of their country delegations during UNFCCC negotiations. In 2013 for example, seven students attended the COP-19 in Warsaw, Poland.  Six students went as part of the Nauru Delegation as part of the</w:t>
      </w:r>
      <w:r w:rsidR="00902320" w:rsidRPr="00A94D8B">
        <w:t xml:space="preserve"> Alliance of Small Island States</w:t>
      </w:r>
      <w:r w:rsidRPr="00A94D8B">
        <w:t xml:space="preserve"> </w:t>
      </w:r>
      <w:r w:rsidR="00902320" w:rsidRPr="00A94D8B">
        <w:t>(</w:t>
      </w:r>
      <w:r w:rsidRPr="00A94D8B">
        <w:t>AOSIS</w:t>
      </w:r>
      <w:r w:rsidR="00902320" w:rsidRPr="00A94D8B">
        <w:t>)</w:t>
      </w:r>
      <w:r w:rsidRPr="00A94D8B">
        <w:t xml:space="preserve"> Delegation and one student was part of the Solomon Islands Delegation. Through the </w:t>
      </w:r>
      <w:r w:rsidR="00F238A0" w:rsidRPr="00A94D8B">
        <w:t>USP</w:t>
      </w:r>
      <w:r w:rsidRPr="00A94D8B">
        <w:t xml:space="preserve"> programme there was national level integration of local adaptation plans developed by the programme. An example of this would be the connection that was made between the National Island strategic plan of Tuvalu and the community development plan of Niue. From a di</w:t>
      </w:r>
      <w:r w:rsidRPr="00A94D8B">
        <w:t>a</w:t>
      </w:r>
      <w:r w:rsidRPr="00A94D8B">
        <w:t>logue perspective, the processes depended on consistent communication between the Pr</w:t>
      </w:r>
      <w:r w:rsidRPr="00A94D8B">
        <w:t>o</w:t>
      </w:r>
      <w:r w:rsidRPr="00A94D8B">
        <w:t>gramme`s country coordinators and EU staff along with key decision makers in the lead Mi</w:t>
      </w:r>
      <w:r w:rsidRPr="00A94D8B">
        <w:t>n</w:t>
      </w:r>
      <w:r w:rsidRPr="00A94D8B">
        <w:t xml:space="preserve">istries and communities.  </w:t>
      </w:r>
    </w:p>
    <w:p w:rsidR="00B92875" w:rsidRPr="00A94D8B" w:rsidRDefault="00066242" w:rsidP="00066242">
      <w:r w:rsidRPr="00A94D8B">
        <w:t>T</w:t>
      </w:r>
      <w:r w:rsidR="00902320" w:rsidRPr="00A94D8B">
        <w:t>hrough the PSIS programme, the AOSIS</w:t>
      </w:r>
      <w:r w:rsidRPr="00A94D8B">
        <w:t xml:space="preserve"> has been supported in consolidating the perspe</w:t>
      </w:r>
      <w:r w:rsidRPr="00A94D8B">
        <w:t>c</w:t>
      </w:r>
      <w:r w:rsidRPr="00A94D8B">
        <w:t>tive of Pacific island states and acting as an ad-hoc lobby and negotiating voice for the islands within the UN system. The PSIS programme has also supported participation in COP 18 and 19 (from Cook Islands, Kiribati and Tonga)</w:t>
      </w:r>
      <w:r w:rsidR="00B92875" w:rsidRPr="00A94D8B">
        <w:t xml:space="preserve"> and </w:t>
      </w:r>
      <w:r w:rsidRPr="00A94D8B">
        <w:t xml:space="preserve">played a role in the participation of AOSIS in COP negotiations. In addition, the PSIS programme supported the 2013 Pacific Climate Change Roundtable that brought together a wide range of stakeholders including donors to improve collaboration in addressing climate change. </w:t>
      </w:r>
    </w:p>
    <w:p w:rsidR="009C6760" w:rsidRPr="00A94D8B" w:rsidRDefault="009C6760" w:rsidP="00AD1C0A">
      <w:r w:rsidRPr="00A94D8B">
        <w:t xml:space="preserve">There is </w:t>
      </w:r>
      <w:r w:rsidR="00D77B28" w:rsidRPr="00A94D8B">
        <w:t>no</w:t>
      </w:r>
      <w:r w:rsidR="00B92875" w:rsidRPr="00A94D8B">
        <w:t xml:space="preserve"> </w:t>
      </w:r>
      <w:r w:rsidRPr="00A94D8B">
        <w:t>outstanding aspect of the CCCCC programme on political dialog</w:t>
      </w:r>
      <w:r w:rsidR="008610DC" w:rsidRPr="00A94D8B">
        <w:t>ue but at the same time there are</w:t>
      </w:r>
      <w:r w:rsidRPr="00A94D8B">
        <w:t xml:space="preserve"> no worrying aspects either. The CCCCC programme benefits f</w:t>
      </w:r>
      <w:r w:rsidR="008610DC" w:rsidRPr="00A94D8B">
        <w:t>rom the ongoing dialogue that the CCCCC maintain with CARIFORUM countries. The CCCCC pr</w:t>
      </w:r>
      <w:r w:rsidR="008610DC" w:rsidRPr="00A94D8B">
        <w:t>o</w:t>
      </w:r>
      <w:r w:rsidR="008610DC" w:rsidRPr="00A94D8B">
        <w:t>gramme has also supported the creati</w:t>
      </w:r>
      <w:r w:rsidR="00145996" w:rsidRPr="00A94D8B">
        <w:t>on of a national climate change office for the Go</w:t>
      </w:r>
      <w:r w:rsidR="00145996" w:rsidRPr="00A94D8B">
        <w:t>v</w:t>
      </w:r>
      <w:r w:rsidR="00145996" w:rsidRPr="00A94D8B">
        <w:t>ernment of</w:t>
      </w:r>
      <w:r w:rsidR="008610DC" w:rsidRPr="00A94D8B">
        <w:t xml:space="preserve"> Belize that is critical in maintaining political dialogue. </w:t>
      </w:r>
    </w:p>
    <w:p w:rsidR="00952186" w:rsidRPr="00A94D8B" w:rsidRDefault="00952186" w:rsidP="00AD1C0A">
      <w:r w:rsidRPr="00A94D8B">
        <w:t>The overall rating for the regional programmes is considered a</w:t>
      </w:r>
      <w:r w:rsidR="009C6760" w:rsidRPr="00A94D8B">
        <w:t xml:space="preserve"> B </w:t>
      </w:r>
      <w:r w:rsidR="00B92875" w:rsidRPr="00A94D8B">
        <w:t xml:space="preserve">(good) </w:t>
      </w:r>
      <w:r w:rsidR="009C6760" w:rsidRPr="00A94D8B">
        <w:t xml:space="preserve">with all the regional programmes individually receiving a score of B. This is good sign that overall, all regional programmes have taken the issue of political dialogue to heart.  </w:t>
      </w:r>
    </w:p>
    <w:p w:rsidR="00644B2B" w:rsidRPr="00A94D8B" w:rsidRDefault="005475D3" w:rsidP="00AD1C0A">
      <w:pPr>
        <w:spacing w:after="120"/>
        <w:ind w:left="360"/>
      </w:pPr>
      <w:r w:rsidRPr="00A94D8B">
        <w:t xml:space="preserve"> </w:t>
      </w:r>
      <w:r w:rsidR="00CC61BB" w:rsidRPr="00A94D8B">
        <w:rPr>
          <w:b/>
          <w:i/>
          <w:iCs/>
        </w:rPr>
        <w:t xml:space="preserve"> </w:t>
      </w:r>
    </w:p>
    <w:p w:rsidR="00D036B2" w:rsidRPr="00A94D8B" w:rsidRDefault="006C6102" w:rsidP="00AD1C0A">
      <w:pPr>
        <w:ind w:left="709" w:hanging="709"/>
        <w:rPr>
          <w:b/>
          <w:i/>
        </w:rPr>
      </w:pPr>
      <w:r w:rsidRPr="00A94D8B">
        <w:rPr>
          <w:b/>
          <w:i/>
        </w:rPr>
        <w:t>EQ</w:t>
      </w:r>
      <w:r w:rsidR="00D036B2" w:rsidRPr="00A94D8B">
        <w:rPr>
          <w:b/>
          <w:i/>
        </w:rPr>
        <w:t>4.</w:t>
      </w:r>
      <w:r w:rsidR="00D036B2" w:rsidRPr="00A94D8B">
        <w:rPr>
          <w:b/>
          <w:i/>
        </w:rPr>
        <w:tab/>
        <w:t xml:space="preserve">To what extent does the GCCA constitute a viable instrument for practical </w:t>
      </w:r>
      <w:r w:rsidRPr="00A94D8B">
        <w:rPr>
          <w:b/>
          <w:i/>
        </w:rPr>
        <w:t>coope</w:t>
      </w:r>
      <w:r w:rsidRPr="00A94D8B">
        <w:rPr>
          <w:b/>
          <w:i/>
        </w:rPr>
        <w:t>r</w:t>
      </w:r>
      <w:r w:rsidRPr="00A94D8B">
        <w:rPr>
          <w:b/>
          <w:i/>
        </w:rPr>
        <w:t>ation</w:t>
      </w:r>
      <w:r w:rsidR="00D036B2" w:rsidRPr="00A94D8B">
        <w:rPr>
          <w:b/>
          <w:i/>
        </w:rPr>
        <w:t xml:space="preserve"> to tackle the combined challenge of the fight against poverty and climate change?  (= pillar 2 in the GCCA’s objective)?</w:t>
      </w:r>
    </w:p>
    <w:p w:rsidR="00C303EF" w:rsidRPr="00A94D8B" w:rsidRDefault="008610DC" w:rsidP="00AD1C0A">
      <w:r w:rsidRPr="00A94D8B">
        <w:t>A combined focus on poverty reduction and climate change</w:t>
      </w:r>
      <w:r w:rsidR="003C7455" w:rsidRPr="00A94D8B">
        <w:t xml:space="preserve"> is an area that on the surface would not be considered </w:t>
      </w:r>
      <w:proofErr w:type="gramStart"/>
      <w:r w:rsidR="003C7455" w:rsidRPr="00A94D8B">
        <w:t>a strength</w:t>
      </w:r>
      <w:proofErr w:type="gramEnd"/>
      <w:r w:rsidR="003C7455" w:rsidRPr="00A94D8B">
        <w:t xml:space="preserve"> of the Intra ACP.  </w:t>
      </w:r>
      <w:r w:rsidR="00C303EF" w:rsidRPr="00A94D8B">
        <w:t>At the same time, it is not always n</w:t>
      </w:r>
      <w:r w:rsidR="00C303EF" w:rsidRPr="00A94D8B">
        <w:t>e</w:t>
      </w:r>
      <w:r w:rsidR="00C303EF" w:rsidRPr="00A94D8B">
        <w:t xml:space="preserve">cessary or strategic that every activity is strongly focussed on poverty alleviation. While it is true that all activities that contribute to reducing risks and building resilience to the impacts of climate change create better circumstances for poverty alleviation, there are clearly other more direct ways to reduce poverty. </w:t>
      </w:r>
    </w:p>
    <w:p w:rsidR="00125072" w:rsidRPr="00A94D8B" w:rsidRDefault="008610DC" w:rsidP="00AD1C0A">
      <w:r w:rsidRPr="00A94D8B">
        <w:t>T</w:t>
      </w:r>
      <w:r w:rsidR="005A584A" w:rsidRPr="00A94D8B">
        <w:t>here are three programmes (CILSS, CCCCC and Clim</w:t>
      </w:r>
      <w:r w:rsidRPr="00A94D8B">
        <w:t xml:space="preserve">Dev) that </w:t>
      </w:r>
      <w:r w:rsidR="005A584A" w:rsidRPr="00A94D8B">
        <w:t>ad</w:t>
      </w:r>
      <w:r w:rsidRPr="00A94D8B">
        <w:t xml:space="preserve">dress </w:t>
      </w:r>
      <w:r w:rsidR="003C7455" w:rsidRPr="00A94D8B">
        <w:t>the issue</w:t>
      </w:r>
      <w:r w:rsidR="005A584A" w:rsidRPr="00A94D8B">
        <w:t xml:space="preserve"> </w:t>
      </w:r>
      <w:r w:rsidRPr="00A94D8B">
        <w:t xml:space="preserve">of poverty reduction </w:t>
      </w:r>
      <w:r w:rsidR="003C7455" w:rsidRPr="00A94D8B">
        <w:t>indirectly</w:t>
      </w:r>
      <w:r w:rsidR="005A584A" w:rsidRPr="00A94D8B">
        <w:t>.</w:t>
      </w:r>
      <w:r w:rsidR="00C303EF" w:rsidRPr="00A94D8B">
        <w:t xml:space="preserve"> </w:t>
      </w:r>
      <w:r w:rsidR="00AB6AAF" w:rsidRPr="00A94D8B">
        <w:t>CILSS/Agrhymet and CCCCC</w:t>
      </w:r>
      <w:r w:rsidR="00C303EF" w:rsidRPr="00A94D8B">
        <w:t>, a</w:t>
      </w:r>
      <w:r w:rsidR="00AB6AAF" w:rsidRPr="00A94D8B">
        <w:t>mong other things</w:t>
      </w:r>
      <w:r w:rsidR="003C7455" w:rsidRPr="00A94D8B">
        <w:t>,</w:t>
      </w:r>
      <w:r w:rsidR="00AB6AAF" w:rsidRPr="00A94D8B">
        <w:t xml:space="preserve"> ov</w:t>
      </w:r>
      <w:r w:rsidR="00D766A0" w:rsidRPr="00A94D8B">
        <w:t>ersee critical r</w:t>
      </w:r>
      <w:r w:rsidR="00D766A0" w:rsidRPr="00A94D8B">
        <w:t>e</w:t>
      </w:r>
      <w:r w:rsidR="00D766A0" w:rsidRPr="00A94D8B">
        <w:t>search,</w:t>
      </w:r>
      <w:r w:rsidR="00AB6AAF" w:rsidRPr="00A94D8B">
        <w:t xml:space="preserve"> training</w:t>
      </w:r>
      <w:r w:rsidR="00D766A0" w:rsidRPr="00A94D8B">
        <w:t xml:space="preserve"> and other capacity building activ</w:t>
      </w:r>
      <w:r w:rsidR="003C7455" w:rsidRPr="00A94D8B">
        <w:t>ities while collaborating</w:t>
      </w:r>
      <w:r w:rsidR="00AB6AAF" w:rsidRPr="00A94D8B">
        <w:t xml:space="preserve"> with national go</w:t>
      </w:r>
      <w:r w:rsidR="00AB6AAF" w:rsidRPr="00A94D8B">
        <w:t>v</w:t>
      </w:r>
      <w:r w:rsidR="00AB6AAF" w:rsidRPr="00A94D8B">
        <w:t>ernments</w:t>
      </w:r>
      <w:r w:rsidR="00C303EF" w:rsidRPr="00A94D8B">
        <w:t>,</w:t>
      </w:r>
      <w:r w:rsidR="00AB6AAF" w:rsidRPr="00A94D8B">
        <w:t xml:space="preserve"> </w:t>
      </w:r>
      <w:r w:rsidR="003C7455" w:rsidRPr="00A94D8B">
        <w:t>often at a strategic level.</w:t>
      </w:r>
      <w:r w:rsidR="00D766A0" w:rsidRPr="00A94D8B">
        <w:t xml:space="preserve"> At the same time</w:t>
      </w:r>
      <w:r w:rsidR="00145996" w:rsidRPr="00A94D8B">
        <w:t xml:space="preserve"> however</w:t>
      </w:r>
      <w:r w:rsidR="00D766A0" w:rsidRPr="00A94D8B">
        <w:t xml:space="preserve">, Agrhymet </w:t>
      </w:r>
      <w:r w:rsidR="00AB6AAF" w:rsidRPr="00A94D8B">
        <w:t>has always stru</w:t>
      </w:r>
      <w:r w:rsidR="00AB6AAF" w:rsidRPr="00A94D8B">
        <w:t>g</w:t>
      </w:r>
      <w:r w:rsidR="00AB6AAF" w:rsidRPr="00A94D8B">
        <w:t>gled with becoming an effec</w:t>
      </w:r>
      <w:r w:rsidR="00D766A0" w:rsidRPr="00A94D8B">
        <w:t>tive ground-</w:t>
      </w:r>
      <w:r w:rsidR="00AB6AAF" w:rsidRPr="00A94D8B">
        <w:t>level organisation</w:t>
      </w:r>
      <w:r w:rsidR="00D766A0" w:rsidRPr="00A94D8B">
        <w:t xml:space="preserve"> that would put it in a better pos</w:t>
      </w:r>
      <w:r w:rsidR="00D766A0" w:rsidRPr="00A94D8B">
        <w:t>i</w:t>
      </w:r>
      <w:r w:rsidR="00D766A0" w:rsidRPr="00A94D8B">
        <w:t>tion to achieve more direct results related to poverty alleviation</w:t>
      </w:r>
      <w:r w:rsidR="00AB6AAF" w:rsidRPr="00A94D8B">
        <w:t xml:space="preserve">. </w:t>
      </w:r>
    </w:p>
    <w:p w:rsidR="00D036B2" w:rsidRPr="00A94D8B" w:rsidRDefault="00661FE6" w:rsidP="00AD1C0A">
      <w:r w:rsidRPr="00A94D8B">
        <w:t xml:space="preserve">Nonetheless, there are aspects of the Intra ACP Programme that </w:t>
      </w:r>
      <w:r w:rsidR="00D766A0" w:rsidRPr="00A94D8B">
        <w:t xml:space="preserve">do </w:t>
      </w:r>
      <w:r w:rsidRPr="00A94D8B">
        <w:t>directly address poverty reduction. The COMESA</w:t>
      </w:r>
      <w:r w:rsidR="00125072" w:rsidRPr="00A94D8B">
        <w:t xml:space="preserve"> </w:t>
      </w:r>
      <w:r w:rsidR="003C7455" w:rsidRPr="00A94D8B">
        <w:t>p</w:t>
      </w:r>
      <w:r w:rsidR="004D5039" w:rsidRPr="00A94D8B">
        <w:t>ro</w:t>
      </w:r>
      <w:r w:rsidRPr="00A94D8B">
        <w:t xml:space="preserve">gramme </w:t>
      </w:r>
      <w:r w:rsidR="003C7455" w:rsidRPr="00A94D8B">
        <w:t xml:space="preserve">for example, </w:t>
      </w:r>
      <w:r w:rsidRPr="00A94D8B">
        <w:t xml:space="preserve">promotes </w:t>
      </w:r>
      <w:r w:rsidR="004D5039" w:rsidRPr="00A94D8B">
        <w:t>CA and CSA</w:t>
      </w:r>
      <w:r w:rsidRPr="00A94D8B">
        <w:t>. This is done in an</w:t>
      </w:r>
      <w:r w:rsidR="004D5039" w:rsidRPr="00A94D8B">
        <w:t xml:space="preserve"> African con</w:t>
      </w:r>
      <w:r w:rsidRPr="00A94D8B">
        <w:t xml:space="preserve">text where a </w:t>
      </w:r>
      <w:r w:rsidR="004D5039" w:rsidRPr="00A94D8B">
        <w:t xml:space="preserve">large </w:t>
      </w:r>
      <w:r w:rsidR="00145996" w:rsidRPr="00A94D8B">
        <w:t>percentage</w:t>
      </w:r>
      <w:r w:rsidR="004D5039" w:rsidRPr="00A94D8B">
        <w:t xml:space="preserve"> of the population depends on agriculture production to sur</w:t>
      </w:r>
      <w:r w:rsidRPr="00A94D8B">
        <w:t xml:space="preserve">vive. CSA pilot activity is underway in Uganda, Kenya (in EAC region) and Zambia, Malawi and Zimbabwe in (SADC region). EAC is planning to initiate CSA pilots in Burundi, Rwanda and Tanzania in 2014 in an effort to increase CSA pilots. </w:t>
      </w:r>
      <w:r w:rsidR="004D5039" w:rsidRPr="00A94D8B">
        <w:t xml:space="preserve">The </w:t>
      </w:r>
      <w:r w:rsidRPr="00A94D8B">
        <w:t xml:space="preserve">COMESA </w:t>
      </w:r>
      <w:r w:rsidR="004D5039" w:rsidRPr="00A94D8B">
        <w:t>Pr</w:t>
      </w:r>
      <w:r w:rsidR="004D5039" w:rsidRPr="00A94D8B">
        <w:t>o</w:t>
      </w:r>
      <w:r w:rsidR="004D5039" w:rsidRPr="00A94D8B">
        <w:t>gramme’s focus on women would also contribute to addressing poverty.</w:t>
      </w:r>
    </w:p>
    <w:p w:rsidR="00174810" w:rsidRPr="00A94D8B" w:rsidRDefault="00661FE6" w:rsidP="00AD1C0A">
      <w:r w:rsidRPr="00A94D8B">
        <w:t xml:space="preserve">With </w:t>
      </w:r>
      <w:r w:rsidR="004D5039" w:rsidRPr="00A94D8B">
        <w:t xml:space="preserve">PSIS </w:t>
      </w:r>
      <w:r w:rsidRPr="00A94D8B">
        <w:t>i</w:t>
      </w:r>
      <w:r w:rsidR="004D5039" w:rsidRPr="00A94D8B">
        <w:t>n Kiribati, an environmental he</w:t>
      </w:r>
      <w:r w:rsidR="003C7455" w:rsidRPr="00A94D8B">
        <w:t xml:space="preserve">alth surveillance laboratory was recently </w:t>
      </w:r>
      <w:r w:rsidR="004D5039" w:rsidRPr="00A94D8B">
        <w:t>refu</w:t>
      </w:r>
      <w:r w:rsidR="004D5039" w:rsidRPr="00A94D8B">
        <w:t>r</w:t>
      </w:r>
      <w:r w:rsidR="004D5039" w:rsidRPr="00A94D8B">
        <w:t>bished</w:t>
      </w:r>
      <w:r w:rsidRPr="00A94D8B">
        <w:t xml:space="preserve"> recognising</w:t>
      </w:r>
      <w:r w:rsidR="004D5039" w:rsidRPr="00A94D8B">
        <w:t xml:space="preserve"> that outbreaks of climate sensitive related diseases such as dengue fever, diarrhoea, and giardiasis are becoming more frequent.</w:t>
      </w:r>
      <w:r w:rsidR="006504A7" w:rsidRPr="00A94D8B">
        <w:t xml:space="preserve"> </w:t>
      </w:r>
      <w:r w:rsidR="003C7455" w:rsidRPr="00A94D8B">
        <w:t xml:space="preserve">In addition, </w:t>
      </w:r>
      <w:r w:rsidR="003C7455" w:rsidRPr="00A94D8B">
        <w:rPr>
          <w:color w:val="000000"/>
        </w:rPr>
        <w:t>f</w:t>
      </w:r>
      <w:r w:rsidR="006504A7" w:rsidRPr="00A94D8B">
        <w:rPr>
          <w:color w:val="000000"/>
        </w:rPr>
        <w:t xml:space="preserve">ive </w:t>
      </w:r>
      <w:r w:rsidR="009C45FD" w:rsidRPr="00A94D8B">
        <w:rPr>
          <w:color w:val="000000"/>
        </w:rPr>
        <w:t>PSIS countries have chosen to focus on outlying islands for their adaptation project activities, recognising that</w:t>
      </w:r>
      <w:r w:rsidR="003C7455" w:rsidRPr="00A94D8B">
        <w:rPr>
          <w:color w:val="000000"/>
        </w:rPr>
        <w:t xml:space="preserve"> in many cases persons living on</w:t>
      </w:r>
      <w:r w:rsidR="009C45FD" w:rsidRPr="00A94D8B">
        <w:rPr>
          <w:color w:val="000000"/>
        </w:rPr>
        <w:t xml:space="preserve"> these islands are isolated and have limited to no access to alte</w:t>
      </w:r>
      <w:r w:rsidR="009C45FD" w:rsidRPr="00A94D8B">
        <w:rPr>
          <w:color w:val="000000"/>
        </w:rPr>
        <w:t>r</w:t>
      </w:r>
      <w:r w:rsidR="009C45FD" w:rsidRPr="00A94D8B">
        <w:rPr>
          <w:color w:val="000000"/>
        </w:rPr>
        <w:t xml:space="preserve">native sources of food, water and livelihoods. </w:t>
      </w:r>
      <w:r w:rsidR="006504A7" w:rsidRPr="00A94D8B">
        <w:rPr>
          <w:color w:val="000000"/>
        </w:rPr>
        <w:t>The PSIS programme</w:t>
      </w:r>
      <w:r w:rsidR="009C45FD" w:rsidRPr="00A94D8B">
        <w:rPr>
          <w:color w:val="000000"/>
        </w:rPr>
        <w:t xml:space="preserve"> is trying to </w:t>
      </w:r>
      <w:r w:rsidR="006504A7" w:rsidRPr="00A94D8B">
        <w:rPr>
          <w:color w:val="000000"/>
        </w:rPr>
        <w:t xml:space="preserve">maintain an approach that </w:t>
      </w:r>
      <w:r w:rsidR="00D766A0" w:rsidRPr="00A94D8B">
        <w:rPr>
          <w:color w:val="000000"/>
        </w:rPr>
        <w:t xml:space="preserve">ensures </w:t>
      </w:r>
      <w:r w:rsidR="00C303EF" w:rsidRPr="00A94D8B">
        <w:rPr>
          <w:color w:val="000000"/>
        </w:rPr>
        <w:t xml:space="preserve">enough </w:t>
      </w:r>
      <w:r w:rsidR="00D766A0" w:rsidRPr="00A94D8B">
        <w:rPr>
          <w:color w:val="000000"/>
        </w:rPr>
        <w:t>flexibility to</w:t>
      </w:r>
      <w:r w:rsidR="009C45FD" w:rsidRPr="00A94D8B">
        <w:rPr>
          <w:color w:val="000000"/>
        </w:rPr>
        <w:t xml:space="preserve"> respond to these specific po</w:t>
      </w:r>
      <w:r w:rsidR="00D766A0" w:rsidRPr="00A94D8B">
        <w:rPr>
          <w:color w:val="000000"/>
        </w:rPr>
        <w:t>verty-related circu</w:t>
      </w:r>
      <w:r w:rsidR="00D766A0" w:rsidRPr="00A94D8B">
        <w:rPr>
          <w:color w:val="000000"/>
        </w:rPr>
        <w:t>m</w:t>
      </w:r>
      <w:r w:rsidR="00D766A0" w:rsidRPr="00A94D8B">
        <w:rPr>
          <w:color w:val="000000"/>
        </w:rPr>
        <w:t>stances</w:t>
      </w:r>
      <w:r w:rsidR="009C45FD" w:rsidRPr="00A94D8B">
        <w:rPr>
          <w:color w:val="000000"/>
        </w:rPr>
        <w:t>.</w:t>
      </w:r>
    </w:p>
    <w:p w:rsidR="00DF435B" w:rsidRPr="00A94D8B" w:rsidRDefault="00F238A0" w:rsidP="00AD1C0A">
      <w:r w:rsidRPr="00A94D8B">
        <w:t>USP</w:t>
      </w:r>
      <w:r w:rsidR="00DF435B" w:rsidRPr="00A94D8B">
        <w:t xml:space="preserve"> pilot projects </w:t>
      </w:r>
      <w:r w:rsidR="00D766A0" w:rsidRPr="00A94D8B">
        <w:t>were implemented</w:t>
      </w:r>
      <w:r w:rsidR="00DC270F" w:rsidRPr="00A94D8B">
        <w:t xml:space="preserve"> to assist</w:t>
      </w:r>
      <w:r w:rsidR="00DF435B" w:rsidRPr="00A94D8B">
        <w:t xml:space="preserve"> </w:t>
      </w:r>
      <w:r w:rsidR="00DC270F" w:rsidRPr="00A94D8B">
        <w:t xml:space="preserve">vulnerable </w:t>
      </w:r>
      <w:r w:rsidR="00DF435B" w:rsidRPr="00A94D8B">
        <w:t>communities in the periph</w:t>
      </w:r>
      <w:r w:rsidR="00DC270F" w:rsidRPr="00A94D8B">
        <w:t>ery b</w:t>
      </w:r>
      <w:r w:rsidR="00DF435B" w:rsidRPr="00A94D8B">
        <w:t>y strengthening the capaci</w:t>
      </w:r>
      <w:r w:rsidR="00DC270F" w:rsidRPr="00A94D8B">
        <w:t xml:space="preserve">ties </w:t>
      </w:r>
      <w:r w:rsidR="00DF435B" w:rsidRPr="00A94D8B">
        <w:t>to tackle the combined chal</w:t>
      </w:r>
      <w:r w:rsidR="00DC270F" w:rsidRPr="00A94D8B">
        <w:t>lenge of</w:t>
      </w:r>
      <w:r w:rsidR="00DF435B" w:rsidRPr="00A94D8B">
        <w:t xml:space="preserve"> poverty and climate change. </w:t>
      </w:r>
      <w:r w:rsidR="00DC270F" w:rsidRPr="00A94D8B">
        <w:t xml:space="preserve">By the end of the </w:t>
      </w:r>
      <w:r w:rsidRPr="00A94D8B">
        <w:t>USP</w:t>
      </w:r>
      <w:r w:rsidR="00DC270F" w:rsidRPr="00A94D8B">
        <w:t xml:space="preserve"> programme, </w:t>
      </w:r>
      <w:r w:rsidR="00DF435B" w:rsidRPr="00A94D8B">
        <w:t>4</w:t>
      </w:r>
      <w:r w:rsidR="00DC270F" w:rsidRPr="00A94D8B">
        <w:t xml:space="preserve">3 demonstration communities </w:t>
      </w:r>
      <w:r w:rsidR="00174810" w:rsidRPr="00A94D8B">
        <w:t xml:space="preserve">in 15 countries </w:t>
      </w:r>
      <w:r w:rsidR="00DC270F" w:rsidRPr="00A94D8B">
        <w:t>are e</w:t>
      </w:r>
      <w:r w:rsidR="00DC270F" w:rsidRPr="00A94D8B">
        <w:t>x</w:t>
      </w:r>
      <w:r w:rsidR="00DC270F" w:rsidRPr="00A94D8B">
        <w:t xml:space="preserve">pected to establish </w:t>
      </w:r>
      <w:r w:rsidR="00DF435B" w:rsidRPr="00A94D8B">
        <w:t>a network of succ</w:t>
      </w:r>
      <w:r w:rsidR="00943513" w:rsidRPr="00A94D8B">
        <w:t>essful CCA</w:t>
      </w:r>
      <w:r w:rsidR="00DF435B" w:rsidRPr="00A94D8B">
        <w:t xml:space="preserve"> strategies throughout the Pacific Island r</w:t>
      </w:r>
      <w:r w:rsidR="00DF435B" w:rsidRPr="00A94D8B">
        <w:t>e</w:t>
      </w:r>
      <w:r w:rsidR="00DF435B" w:rsidRPr="00A94D8B">
        <w:t>gion. The Locally Managed Climate Change Adap</w:t>
      </w:r>
      <w:r w:rsidR="00254F63" w:rsidRPr="00A94D8B">
        <w:t>tation (LMCCA) N</w:t>
      </w:r>
      <w:r w:rsidR="00DF435B" w:rsidRPr="00A94D8B">
        <w:t>et</w:t>
      </w:r>
      <w:r w:rsidR="00254F63" w:rsidRPr="00A94D8B">
        <w:t>work</w:t>
      </w:r>
      <w:r w:rsidR="00DF435B" w:rsidRPr="00A94D8B">
        <w:t xml:space="preserve"> includ</w:t>
      </w:r>
      <w:r w:rsidR="00DC270F" w:rsidRPr="00A94D8B">
        <w:t>e</w:t>
      </w:r>
      <w:r w:rsidR="00254F63" w:rsidRPr="00A94D8B">
        <w:t>s</w:t>
      </w:r>
      <w:r w:rsidR="00DF435B" w:rsidRPr="00A94D8B">
        <w:t xml:space="preserve"> co</w:t>
      </w:r>
      <w:r w:rsidR="00DF435B" w:rsidRPr="00A94D8B">
        <w:t>m</w:t>
      </w:r>
      <w:r w:rsidR="00DF435B" w:rsidRPr="00A94D8B">
        <w:t xml:space="preserve">munities, </w:t>
      </w:r>
      <w:r w:rsidR="00DC270F" w:rsidRPr="00A94D8B">
        <w:t>Non Governmental Organisation (</w:t>
      </w:r>
      <w:r w:rsidR="00DF435B" w:rsidRPr="00A94D8B">
        <w:t>NGO</w:t>
      </w:r>
      <w:r w:rsidR="00DC270F" w:rsidRPr="00A94D8B">
        <w:t xml:space="preserve">s) </w:t>
      </w:r>
      <w:r w:rsidR="00DF435B" w:rsidRPr="00A94D8B">
        <w:t>and local authorities</w:t>
      </w:r>
      <w:r w:rsidR="00DC270F" w:rsidRPr="00A94D8B">
        <w:t xml:space="preserve">. </w:t>
      </w:r>
      <w:r w:rsidR="002C116D" w:rsidRPr="00A94D8B">
        <w:t xml:space="preserve"> Rapid A</w:t>
      </w:r>
      <w:r w:rsidR="00DF435B" w:rsidRPr="00A94D8B">
        <w:t>ssessment</w:t>
      </w:r>
      <w:r w:rsidR="002C116D" w:rsidRPr="00A94D8B">
        <w:t>s (RA</w:t>
      </w:r>
      <w:r w:rsidR="00C303EF" w:rsidRPr="00A94D8B">
        <w:t>s</w:t>
      </w:r>
      <w:r w:rsidR="002C116D" w:rsidRPr="00A94D8B">
        <w:t>)</w:t>
      </w:r>
      <w:r w:rsidR="00902320" w:rsidRPr="00A94D8B">
        <w:t>, and the Vulnerability and A</w:t>
      </w:r>
      <w:r w:rsidR="00DF435B" w:rsidRPr="00A94D8B">
        <w:t xml:space="preserve">daptation (V&amp;A) methodologies that were developed, have </w:t>
      </w:r>
      <w:r w:rsidR="00DB50DD" w:rsidRPr="00A94D8B">
        <w:t>subsequently been used by g</w:t>
      </w:r>
      <w:r w:rsidR="00DF435B" w:rsidRPr="00A94D8B">
        <w:t>overnments, especially the environmental Minis</w:t>
      </w:r>
      <w:r w:rsidR="002C116D" w:rsidRPr="00A94D8B">
        <w:t xml:space="preserve">tries, in all </w:t>
      </w:r>
      <w:r w:rsidR="00254F63" w:rsidRPr="00A94D8B">
        <w:t>participating countries</w:t>
      </w:r>
      <w:r w:rsidR="00DF435B" w:rsidRPr="00A94D8B">
        <w:t>.  In Timor Leste, the Ministry of Environmental Affa</w:t>
      </w:r>
      <w:r w:rsidR="00DB50DD" w:rsidRPr="00A94D8B">
        <w:t xml:space="preserve">irs and Climate Change was not </w:t>
      </w:r>
      <w:r w:rsidR="00DF435B" w:rsidRPr="00A94D8B">
        <w:t>previously ac</w:t>
      </w:r>
      <w:r w:rsidR="00DB50DD" w:rsidRPr="00A94D8B">
        <w:t xml:space="preserve">quainted with </w:t>
      </w:r>
      <w:r w:rsidR="00DF435B" w:rsidRPr="00A94D8B">
        <w:t xml:space="preserve">participatory methods </w:t>
      </w:r>
      <w:r w:rsidR="00DB50DD" w:rsidRPr="00A94D8B">
        <w:t xml:space="preserve">and </w:t>
      </w:r>
      <w:r w:rsidR="00DF435B" w:rsidRPr="00A94D8B">
        <w:t>their knowledge and experience on how to conduct as</w:t>
      </w:r>
      <w:r w:rsidR="00DB50DD" w:rsidRPr="00A94D8B">
        <w:t>sessment</w:t>
      </w:r>
      <w:r w:rsidR="00C303EF" w:rsidRPr="00A94D8B">
        <w:t>s</w:t>
      </w:r>
      <w:r w:rsidR="00DB50DD" w:rsidRPr="00A94D8B">
        <w:t xml:space="preserve"> </w:t>
      </w:r>
      <w:r w:rsidR="00C303EF" w:rsidRPr="00A94D8B">
        <w:t xml:space="preserve">- </w:t>
      </w:r>
      <w:r w:rsidR="00DB50DD" w:rsidRPr="00A94D8B">
        <w:t xml:space="preserve">and hence their ability to be effective in poorer communities </w:t>
      </w:r>
      <w:r w:rsidR="00C303EF" w:rsidRPr="00A94D8B">
        <w:t xml:space="preserve">- </w:t>
      </w:r>
      <w:r w:rsidR="00DB50DD" w:rsidRPr="00A94D8B">
        <w:t>has been improved</w:t>
      </w:r>
      <w:r w:rsidR="00DF435B" w:rsidRPr="00A94D8B">
        <w:t xml:space="preserve">. </w:t>
      </w:r>
      <w:r w:rsidR="00C303EF" w:rsidRPr="00A94D8B">
        <w:t>Similarly, i</w:t>
      </w:r>
      <w:r w:rsidR="00CE6FC5" w:rsidRPr="00A94D8B">
        <w:t>n Niue, RAs</w:t>
      </w:r>
      <w:r w:rsidR="00DB50DD" w:rsidRPr="00A94D8B">
        <w:t xml:space="preserve"> and </w:t>
      </w:r>
      <w:r w:rsidR="00DF435B" w:rsidRPr="00A94D8B">
        <w:t>V&amp;A methodologies form</w:t>
      </w:r>
      <w:r w:rsidR="00CE6FC5" w:rsidRPr="00A94D8B">
        <w:t>ed</w:t>
      </w:r>
      <w:r w:rsidR="00DF435B" w:rsidRPr="00A94D8B">
        <w:t xml:space="preserve"> the basis of the National Adaptation Plan </w:t>
      </w:r>
      <w:r w:rsidR="00C303EF" w:rsidRPr="00A94D8B">
        <w:t xml:space="preserve">and </w:t>
      </w:r>
      <w:r w:rsidR="00DF435B" w:rsidRPr="00A94D8B">
        <w:t xml:space="preserve">of the Village Sustainable Development Plans. </w:t>
      </w:r>
    </w:p>
    <w:p w:rsidR="00703BFD" w:rsidRPr="00A94D8B" w:rsidRDefault="00213DF5" w:rsidP="00AD1C0A">
      <w:r w:rsidRPr="00A94D8B">
        <w:t>With CI</w:t>
      </w:r>
      <w:r w:rsidR="00D86912" w:rsidRPr="00A94D8B">
        <w:t>L</w:t>
      </w:r>
      <w:r w:rsidRPr="00A94D8B">
        <w:t>SS/Agrhymet</w:t>
      </w:r>
      <w:r w:rsidR="00D86912" w:rsidRPr="00A94D8B">
        <w:t>,</w:t>
      </w:r>
      <w:r w:rsidRPr="00A94D8B">
        <w:t xml:space="preserve"> the programme is establishing h</w:t>
      </w:r>
      <w:r w:rsidR="00703BFD" w:rsidRPr="00A94D8B">
        <w:t xml:space="preserve">ydro-climatological information </w:t>
      </w:r>
      <w:r w:rsidR="00D86912" w:rsidRPr="00A94D8B">
        <w:t>sy</w:t>
      </w:r>
      <w:r w:rsidR="00D86912" w:rsidRPr="00A94D8B">
        <w:t>s</w:t>
      </w:r>
      <w:r w:rsidR="00D86912" w:rsidRPr="00A94D8B">
        <w:t>tems, which</w:t>
      </w:r>
      <w:r w:rsidRPr="00A94D8B">
        <w:t xml:space="preserve"> </w:t>
      </w:r>
      <w:r w:rsidR="00703BFD" w:rsidRPr="00A94D8B">
        <w:t>pro</w:t>
      </w:r>
      <w:r w:rsidRPr="00A94D8B">
        <w:t>duce</w:t>
      </w:r>
      <w:r w:rsidR="00703BFD" w:rsidRPr="00A94D8B">
        <w:t xml:space="preserve"> highly relevant information for crop and livestock farmer</w:t>
      </w:r>
      <w:r w:rsidR="00D86912" w:rsidRPr="00A94D8B">
        <w:t>s</w:t>
      </w:r>
      <w:r w:rsidR="00703BFD" w:rsidRPr="00A94D8B">
        <w:t xml:space="preserve"> on weather fore</w:t>
      </w:r>
      <w:r w:rsidRPr="00A94D8B">
        <w:t xml:space="preserve">casting and </w:t>
      </w:r>
      <w:r w:rsidR="00703BFD" w:rsidRPr="00A94D8B">
        <w:t xml:space="preserve">the identification </w:t>
      </w:r>
      <w:r w:rsidRPr="00A94D8B">
        <w:t>of agro-hydrological risks or on</w:t>
      </w:r>
      <w:r w:rsidR="00703BFD" w:rsidRPr="00A94D8B">
        <w:t xml:space="preserve"> </w:t>
      </w:r>
      <w:r w:rsidRPr="00A94D8B">
        <w:t xml:space="preserve">potential </w:t>
      </w:r>
      <w:r w:rsidR="00703BFD" w:rsidRPr="00A94D8B">
        <w:t>flooding. Ho</w:t>
      </w:r>
      <w:r w:rsidR="00703BFD" w:rsidRPr="00A94D8B">
        <w:t>w</w:t>
      </w:r>
      <w:r w:rsidR="00703BFD" w:rsidRPr="00A94D8B">
        <w:t xml:space="preserve">ever, this information, in order to be useful to </w:t>
      </w:r>
      <w:r w:rsidR="008F2DAE" w:rsidRPr="00A94D8B">
        <w:t xml:space="preserve">final </w:t>
      </w:r>
      <w:r w:rsidR="00703BFD" w:rsidRPr="00A94D8B">
        <w:t>users, needs to be trans</w:t>
      </w:r>
      <w:r w:rsidRPr="00A94D8B">
        <w:t xml:space="preserve">lated into practical tools and </w:t>
      </w:r>
      <w:r w:rsidR="00703BFD" w:rsidRPr="00A94D8B">
        <w:t>local language</w:t>
      </w:r>
      <w:r w:rsidRPr="00A94D8B">
        <w:t>s</w:t>
      </w:r>
      <w:r w:rsidR="008F2DAE" w:rsidRPr="00A94D8B">
        <w:t xml:space="preserve">, </w:t>
      </w:r>
      <w:r w:rsidRPr="00A94D8B">
        <w:t xml:space="preserve">and </w:t>
      </w:r>
      <w:r w:rsidR="008F2DAE" w:rsidRPr="00A94D8B">
        <w:t xml:space="preserve">linked to </w:t>
      </w:r>
      <w:r w:rsidR="00703BFD" w:rsidRPr="00A94D8B">
        <w:t>structures to spread the information.</w:t>
      </w:r>
      <w:r w:rsidR="00CE6FC5" w:rsidRPr="00A94D8B">
        <w:t xml:space="preserve"> </w:t>
      </w:r>
      <w:r w:rsidR="006A27E2" w:rsidRPr="00A94D8B">
        <w:t>This type of activity is no</w:t>
      </w:r>
      <w:r w:rsidR="00F8798B">
        <w:t xml:space="preserve">t one of Agrhymet’s strengths. </w:t>
      </w:r>
      <w:r w:rsidR="00CE6FC5" w:rsidRPr="00A94D8B">
        <w:t xml:space="preserve">The CCCCC has been asked by the Government of Grenada </w:t>
      </w:r>
      <w:r w:rsidR="00CE6FC5" w:rsidRPr="00A94D8B">
        <w:rPr>
          <w:rFonts w:eastAsia="Times New Roman"/>
          <w:lang w:eastAsia="en-CA"/>
        </w:rPr>
        <w:t>to provide support for the installation of a salt water reverse osmosis plant to cr</w:t>
      </w:r>
      <w:r w:rsidR="00CE6FC5" w:rsidRPr="00A94D8B">
        <w:rPr>
          <w:rFonts w:eastAsia="Times New Roman"/>
          <w:lang w:eastAsia="en-CA"/>
        </w:rPr>
        <w:t>e</w:t>
      </w:r>
      <w:r w:rsidR="00CE6FC5" w:rsidRPr="00A94D8B">
        <w:rPr>
          <w:rFonts w:eastAsia="Times New Roman"/>
          <w:lang w:eastAsia="en-CA"/>
        </w:rPr>
        <w:t>ate a sustainable source of fresh water on an isolated island. The poverty alleviation potential of this technology replicated across the Caribbean is considerable</w:t>
      </w:r>
      <w:r w:rsidR="008F2DAE" w:rsidRPr="00A94D8B">
        <w:rPr>
          <w:rFonts w:eastAsia="Times New Roman"/>
          <w:lang w:eastAsia="en-CA"/>
        </w:rPr>
        <w:t xml:space="preserve"> as well. </w:t>
      </w:r>
    </w:p>
    <w:p w:rsidR="004D5039" w:rsidRPr="00A94D8B" w:rsidRDefault="00213DF5" w:rsidP="00AD1C0A">
      <w:r w:rsidRPr="00A94D8B">
        <w:t xml:space="preserve">The Intra ACP </w:t>
      </w:r>
      <w:r w:rsidR="00D86912" w:rsidRPr="00A94D8B">
        <w:t xml:space="preserve">GCCA </w:t>
      </w:r>
      <w:r w:rsidRPr="00A94D8B">
        <w:t>receives</w:t>
      </w:r>
      <w:r w:rsidR="00BE0DA7" w:rsidRPr="00A94D8B">
        <w:t xml:space="preserve"> an overall score of B</w:t>
      </w:r>
      <w:r w:rsidRPr="00A94D8B">
        <w:t xml:space="preserve"> on linking poverty and climate change with the understanding that Intra ACP can make </w:t>
      </w:r>
      <w:r w:rsidR="00BE0DA7" w:rsidRPr="00A94D8B">
        <w:t>strong contributions without always having</w:t>
      </w:r>
      <w:r w:rsidRPr="00A94D8B">
        <w:t xml:space="preserve"> </w:t>
      </w:r>
      <w:r w:rsidR="00BE0DA7" w:rsidRPr="00A94D8B">
        <w:t xml:space="preserve">a strong focus on </w:t>
      </w:r>
      <w:r w:rsidRPr="00A94D8B">
        <w:t>poverty alleviation</w:t>
      </w:r>
      <w:r w:rsidR="00254F63" w:rsidRPr="00A94D8B">
        <w:t xml:space="preserve"> </w:t>
      </w:r>
      <w:r w:rsidR="00D86912" w:rsidRPr="00A94D8B">
        <w:t>oriented</w:t>
      </w:r>
      <w:r w:rsidR="00254F63" w:rsidRPr="00A94D8B">
        <w:t xml:space="preserve"> activities</w:t>
      </w:r>
      <w:r w:rsidR="00D86912" w:rsidRPr="00A94D8B">
        <w:t>,</w:t>
      </w:r>
      <w:r w:rsidR="00254F63" w:rsidRPr="00A94D8B">
        <w:t xml:space="preserve"> such as income generation</w:t>
      </w:r>
      <w:r w:rsidRPr="00A94D8B">
        <w:t>.</w:t>
      </w:r>
      <w:r w:rsidR="006A27E2" w:rsidRPr="00A94D8B">
        <w:t xml:space="preserve"> </w:t>
      </w:r>
      <w:r w:rsidRPr="00A94D8B">
        <w:t xml:space="preserve"> </w:t>
      </w:r>
    </w:p>
    <w:p w:rsidR="001F5B08" w:rsidRPr="00A94D8B" w:rsidRDefault="006C6102" w:rsidP="00AD1C0A">
      <w:pPr>
        <w:ind w:left="709" w:hanging="709"/>
        <w:rPr>
          <w:b/>
          <w:i/>
        </w:rPr>
      </w:pPr>
      <w:r w:rsidRPr="00A94D8B">
        <w:rPr>
          <w:b/>
          <w:i/>
        </w:rPr>
        <w:t>EQ</w:t>
      </w:r>
      <w:r w:rsidR="00D036B2" w:rsidRPr="00A94D8B">
        <w:rPr>
          <w:b/>
          <w:i/>
        </w:rPr>
        <w:t>5.</w:t>
      </w:r>
      <w:r w:rsidR="00D036B2" w:rsidRPr="00A94D8B">
        <w:rPr>
          <w:b/>
          <w:i/>
        </w:rPr>
        <w:tab/>
        <w:t>To what extent has the programme contributed to effec</w:t>
      </w:r>
      <w:r w:rsidRPr="00A94D8B">
        <w:rPr>
          <w:b/>
          <w:i/>
        </w:rPr>
        <w:t>tive capacity building (= an in</w:t>
      </w:r>
      <w:r w:rsidR="00D036B2" w:rsidRPr="00A94D8B">
        <w:rPr>
          <w:b/>
          <w:i/>
        </w:rPr>
        <w:t>termediate result contributing to achievement of objectives)?</w:t>
      </w:r>
    </w:p>
    <w:p w:rsidR="00C473B2" w:rsidRPr="00A94D8B" w:rsidRDefault="00C473B2" w:rsidP="00AD1C0A">
      <w:r w:rsidRPr="00A94D8B">
        <w:t>There are som</w:t>
      </w:r>
      <w:r w:rsidR="000F5EFB" w:rsidRPr="00A94D8B">
        <w:t>e substantial efforts being made by</w:t>
      </w:r>
      <w:r w:rsidRPr="00A94D8B">
        <w:t xml:space="preserve"> all six regional programmes to build c</w:t>
      </w:r>
      <w:r w:rsidRPr="00A94D8B">
        <w:t>a</w:t>
      </w:r>
      <w:r w:rsidRPr="00A94D8B">
        <w:t xml:space="preserve">pacity. This has been occurring with stakeholders at the community level and </w:t>
      </w:r>
      <w:r w:rsidR="00306821" w:rsidRPr="00A94D8B">
        <w:t xml:space="preserve">at </w:t>
      </w:r>
      <w:r w:rsidRPr="00A94D8B">
        <w:t>the highest levels of nati</w:t>
      </w:r>
      <w:r w:rsidR="000F5EFB" w:rsidRPr="00A94D8B">
        <w:t xml:space="preserve">onal governments. A lot of </w:t>
      </w:r>
      <w:r w:rsidRPr="00A94D8B">
        <w:t>specialised training in areas such as climate mode</w:t>
      </w:r>
      <w:r w:rsidRPr="00A94D8B">
        <w:t>l</w:t>
      </w:r>
      <w:r w:rsidRPr="00A94D8B">
        <w:t>ling has also been supported. Assistance has been provided in building institutions and deve</w:t>
      </w:r>
      <w:r w:rsidRPr="00A94D8B">
        <w:t>l</w:t>
      </w:r>
      <w:r w:rsidRPr="00A94D8B">
        <w:t>oping policies and strategies. Below is not meant to be an exhaustive list but rather a sa</w:t>
      </w:r>
      <w:r w:rsidRPr="00A94D8B">
        <w:t>m</w:t>
      </w:r>
      <w:r w:rsidRPr="00A94D8B">
        <w:t>pling of some o</w:t>
      </w:r>
      <w:r w:rsidR="000F5EFB" w:rsidRPr="00A94D8B">
        <w:t>f the capacity building activities</w:t>
      </w:r>
      <w:r w:rsidRPr="00A94D8B">
        <w:t xml:space="preserve"> supported through the Intra ACP</w:t>
      </w:r>
      <w:r w:rsidR="00306821" w:rsidRPr="00A94D8B">
        <w:t xml:space="preserve">. </w:t>
      </w:r>
    </w:p>
    <w:p w:rsidR="00ED239B" w:rsidRPr="00A94D8B" w:rsidRDefault="00C473B2" w:rsidP="00AD1C0A">
      <w:r w:rsidRPr="00A94D8B">
        <w:t>As noted earlier</w:t>
      </w:r>
      <w:r w:rsidR="005503C1" w:rsidRPr="00A94D8B">
        <w:t>,</w:t>
      </w:r>
      <w:r w:rsidRPr="00A94D8B">
        <w:t xml:space="preserve"> the CILSS/Agrhymet programme has put a comprehensive focus on t</w:t>
      </w:r>
      <w:r w:rsidR="00F8798B">
        <w:t xml:space="preserve">raining and capacity building. </w:t>
      </w:r>
      <w:r w:rsidR="00ED239B" w:rsidRPr="00A94D8B">
        <w:t xml:space="preserve">An example </w:t>
      </w:r>
      <w:r w:rsidR="005503C1" w:rsidRPr="00A94D8B">
        <w:t xml:space="preserve">of this </w:t>
      </w:r>
      <w:r w:rsidR="00ED239B" w:rsidRPr="00A94D8B">
        <w:t xml:space="preserve">would </w:t>
      </w:r>
      <w:r w:rsidR="005503C1" w:rsidRPr="00A94D8B">
        <w:t xml:space="preserve">be the </w:t>
      </w:r>
      <w:r w:rsidR="00ED239B" w:rsidRPr="00A94D8B">
        <w:t>t</w:t>
      </w:r>
      <w:r w:rsidR="005503C1" w:rsidRPr="00A94D8B">
        <w:t>raining of</w:t>
      </w:r>
      <w:r w:rsidRPr="00A94D8B">
        <w:t xml:space="preserve"> approximately </w:t>
      </w:r>
      <w:r w:rsidR="00ED239B" w:rsidRPr="00A94D8B">
        <w:t>40</w:t>
      </w:r>
      <w:r w:rsidRPr="00A94D8B">
        <w:t xml:space="preserve"> mana</w:t>
      </w:r>
      <w:r w:rsidRPr="00A94D8B">
        <w:t>g</w:t>
      </w:r>
      <w:r w:rsidR="005503C1" w:rsidRPr="00A94D8B">
        <w:t>ers from the region’s</w:t>
      </w:r>
      <w:r w:rsidRPr="00A94D8B">
        <w:t xml:space="preserve"> meteorological and hydrological services and river basin organisations on seasonal forecasting for rain and wat</w:t>
      </w:r>
      <w:r w:rsidR="006A27E2" w:rsidRPr="00A94D8B">
        <w:t xml:space="preserve">er flow of main water sources. </w:t>
      </w:r>
      <w:r w:rsidRPr="00A94D8B">
        <w:t>In Niger</w:t>
      </w:r>
      <w:r w:rsidR="005503C1" w:rsidRPr="00A94D8B">
        <w:t>,</w:t>
      </w:r>
      <w:r w:rsidRPr="00A94D8B">
        <w:t xml:space="preserve"> there has been considerable success </w:t>
      </w:r>
      <w:r w:rsidR="00ED239B" w:rsidRPr="00A94D8B">
        <w:t xml:space="preserve">in training on the </w:t>
      </w:r>
      <w:r w:rsidRPr="00A94D8B">
        <w:t>integration of climate change consideration</w:t>
      </w:r>
      <w:r w:rsidR="00ED239B" w:rsidRPr="00A94D8B">
        <w:t>s</w:t>
      </w:r>
      <w:r w:rsidRPr="00A94D8B">
        <w:t xml:space="preserve"> in planning exercises. A direct objective </w:t>
      </w:r>
      <w:r w:rsidR="00467494" w:rsidRPr="00A94D8B">
        <w:t>has been to ‘adapt’ the Community</w:t>
      </w:r>
      <w:r w:rsidRPr="00A94D8B">
        <w:t xml:space="preserve"> Development Plans (CDP). To date, 34 CDPs and 46 Annual Investment Plans </w:t>
      </w:r>
      <w:r w:rsidR="00467494" w:rsidRPr="00A94D8B">
        <w:t xml:space="preserve">(AIP) </w:t>
      </w:r>
      <w:r w:rsidR="00306821" w:rsidRPr="00A94D8B">
        <w:t>(</w:t>
      </w:r>
      <w:r w:rsidRPr="00A94D8B">
        <w:t>plans drawn up annually to imple</w:t>
      </w:r>
      <w:r w:rsidR="00ED239B" w:rsidRPr="00A94D8B">
        <w:t>ment the CDPs) have integrated climate change considerations</w:t>
      </w:r>
      <w:r w:rsidRPr="00A94D8B">
        <w:t xml:space="preserve"> with support from var</w:t>
      </w:r>
      <w:r w:rsidRPr="00A94D8B">
        <w:t>i</w:t>
      </w:r>
      <w:r w:rsidR="00BF08A9" w:rsidRPr="00A94D8B">
        <w:t>ous funding sources including CARE and the United Nations Children’s Fund (UNICEF)</w:t>
      </w:r>
      <w:r w:rsidRPr="00A94D8B">
        <w:t xml:space="preserve">. </w:t>
      </w:r>
    </w:p>
    <w:p w:rsidR="00C473B2" w:rsidRPr="00A94D8B" w:rsidRDefault="00ED239B" w:rsidP="00AD1C0A">
      <w:r w:rsidRPr="00A94D8B">
        <w:t>In addition, in Niger t</w:t>
      </w:r>
      <w:r w:rsidR="00C473B2" w:rsidRPr="00A94D8B">
        <w:t>he integration of the climate change dimen</w:t>
      </w:r>
      <w:r w:rsidRPr="00A94D8B">
        <w:t xml:space="preserve">sion into planning has </w:t>
      </w:r>
      <w:r w:rsidR="00C473B2" w:rsidRPr="00A94D8B">
        <w:t>bee</w:t>
      </w:r>
      <w:r w:rsidR="005503C1" w:rsidRPr="00A94D8B">
        <w:t>n achieved in the health sector, and with</w:t>
      </w:r>
      <w:r w:rsidR="00C473B2" w:rsidRPr="00A94D8B">
        <w:t xml:space="preserve"> the Ministry o</w:t>
      </w:r>
      <w:r w:rsidR="00F8798B">
        <w:t xml:space="preserve">f Transport it is in progress. </w:t>
      </w:r>
      <w:r w:rsidR="00C473B2" w:rsidRPr="00A94D8B">
        <w:t>As me</w:t>
      </w:r>
      <w:r w:rsidR="00C473B2" w:rsidRPr="00A94D8B">
        <w:t>n</w:t>
      </w:r>
      <w:r w:rsidR="00C473B2" w:rsidRPr="00A94D8B">
        <w:t xml:space="preserve">tioned in relation to EQ 3, there have </w:t>
      </w:r>
      <w:r w:rsidR="00306821" w:rsidRPr="00A94D8B">
        <w:t xml:space="preserve">been </w:t>
      </w:r>
      <w:r w:rsidR="00C473B2" w:rsidRPr="00A94D8B">
        <w:t>activities to prepare West African experts for COP 19 (Warsaw)</w:t>
      </w:r>
      <w:r w:rsidR="00306821" w:rsidRPr="00A94D8B">
        <w:t xml:space="preserve">, which </w:t>
      </w:r>
      <w:r w:rsidR="005503C1" w:rsidRPr="00A94D8B">
        <w:t xml:space="preserve">have been </w:t>
      </w:r>
      <w:r w:rsidR="00C473B2" w:rsidRPr="00A94D8B">
        <w:t>generally well recei</w:t>
      </w:r>
      <w:r w:rsidR="005503C1" w:rsidRPr="00A94D8B">
        <w:t xml:space="preserve">ved. Nevertheless, some people contacted during the evaluation </w:t>
      </w:r>
      <w:r w:rsidR="00C473B2" w:rsidRPr="00A94D8B">
        <w:t>expressed the view that operational effectiveness was limited, and that the activ</w:t>
      </w:r>
      <w:r w:rsidRPr="00A94D8B">
        <w:t xml:space="preserve">ity could </w:t>
      </w:r>
      <w:r w:rsidR="00C473B2" w:rsidRPr="00A94D8B">
        <w:t>be made more effi</w:t>
      </w:r>
      <w:r w:rsidRPr="00A94D8B">
        <w:t xml:space="preserve">cient in comparison to the experience of the </w:t>
      </w:r>
      <w:r w:rsidR="00C473B2" w:rsidRPr="00A94D8B">
        <w:t xml:space="preserve">SIDS on this issue. Finally, although not </w:t>
      </w:r>
      <w:r w:rsidR="00306821" w:rsidRPr="00A94D8B">
        <w:t xml:space="preserve">foreseen </w:t>
      </w:r>
      <w:r w:rsidR="00C473B2" w:rsidRPr="00A94D8B">
        <w:t xml:space="preserve">in the </w:t>
      </w:r>
      <w:r w:rsidR="00306821" w:rsidRPr="00A94D8B">
        <w:t>contract</w:t>
      </w:r>
      <w:r w:rsidR="00C473B2" w:rsidRPr="00A94D8B">
        <w:t xml:space="preserve">, the programme has assisted with Agrhymet’s educational activities, particularly </w:t>
      </w:r>
      <w:r w:rsidR="00306821" w:rsidRPr="00A94D8B">
        <w:t>a</w:t>
      </w:r>
      <w:r w:rsidR="00C473B2" w:rsidRPr="00A94D8B">
        <w:t xml:space="preserve">s part of </w:t>
      </w:r>
      <w:r w:rsidR="00306821" w:rsidRPr="00A94D8B">
        <w:t xml:space="preserve">its </w:t>
      </w:r>
      <w:r w:rsidR="00C473B2" w:rsidRPr="00A94D8B">
        <w:t>‘climate change and sustainable development’ Masters</w:t>
      </w:r>
      <w:r w:rsidR="00306821" w:rsidRPr="00A94D8B">
        <w:t>’</w:t>
      </w:r>
      <w:r w:rsidR="00C473B2" w:rsidRPr="00A94D8B">
        <w:t xml:space="preserve"> programme. </w:t>
      </w:r>
    </w:p>
    <w:p w:rsidR="00E73D7D" w:rsidRPr="00A94D8B" w:rsidRDefault="00C473B2" w:rsidP="00AD1C0A">
      <w:r w:rsidRPr="00A94D8B">
        <w:t>Along the same lines</w:t>
      </w:r>
      <w:r w:rsidR="00306821" w:rsidRPr="00A94D8B">
        <w:t>,</w:t>
      </w:r>
      <w:r w:rsidRPr="00A94D8B">
        <w:t xml:space="preserve"> the USP has established dedicated scholarship programmes for the Postgraduate Diploma, EU-GCCA Masters and PhD in climate change. </w:t>
      </w:r>
      <w:r w:rsidR="00B721FC" w:rsidRPr="00A94D8B">
        <w:t>Formal training has focused on long-term capacity building through the development of a post-graduate climate change program</w:t>
      </w:r>
      <w:r w:rsidR="006A27E2" w:rsidRPr="00A94D8B">
        <w:t>me</w:t>
      </w:r>
      <w:r w:rsidR="00B721FC" w:rsidRPr="00A94D8B">
        <w:t xml:space="preserve"> at the U</w:t>
      </w:r>
      <w:r w:rsidR="006F0804" w:rsidRPr="00A94D8B">
        <w:t xml:space="preserve">SP, </w:t>
      </w:r>
      <w:r w:rsidR="00B721FC" w:rsidRPr="00A94D8B">
        <w:t>offer</w:t>
      </w:r>
      <w:r w:rsidR="006F0804" w:rsidRPr="00A94D8B">
        <w:t>ing</w:t>
      </w:r>
      <w:r w:rsidR="00B721FC" w:rsidRPr="00A94D8B">
        <w:t xml:space="preserve"> course work and training for post graduate diploma students and applied res</w:t>
      </w:r>
      <w:r w:rsidR="00F8798B">
        <w:t xml:space="preserve">earch by MSc and PhD students. </w:t>
      </w:r>
      <w:r w:rsidR="00B721FC" w:rsidRPr="00A94D8B">
        <w:t>The climate change program</w:t>
      </w:r>
      <w:r w:rsidR="006A27E2" w:rsidRPr="00A94D8B">
        <w:t>me</w:t>
      </w:r>
      <w:r w:rsidR="00B721FC" w:rsidRPr="00A94D8B">
        <w:t xml:space="preserve"> co</w:t>
      </w:r>
      <w:r w:rsidR="00B721FC" w:rsidRPr="00A94D8B">
        <w:t>n</w:t>
      </w:r>
      <w:r w:rsidR="00B721FC" w:rsidRPr="00A94D8B">
        <w:t>tinues to build the capacity of government officials and other stakeholders through a longer, more in-depth training program</w:t>
      </w:r>
      <w:r w:rsidR="00C1247A" w:rsidRPr="00A94D8B">
        <w:t>me</w:t>
      </w:r>
      <w:r w:rsidR="00B721FC" w:rsidRPr="00A94D8B">
        <w:t>, in parallel with the non-formal training program</w:t>
      </w:r>
      <w:r w:rsidR="00C1247A" w:rsidRPr="00A94D8B">
        <w:t>me</w:t>
      </w:r>
      <w:r w:rsidR="00B721FC" w:rsidRPr="00A94D8B">
        <w:t>. The climate change programme at USP was augmented and expanded with scholarships and add</w:t>
      </w:r>
      <w:r w:rsidR="00B721FC" w:rsidRPr="00A94D8B">
        <w:t>i</w:t>
      </w:r>
      <w:r w:rsidR="00B721FC" w:rsidRPr="00A94D8B">
        <w:t xml:space="preserve">tional course offerings through the </w:t>
      </w:r>
      <w:r w:rsidR="00F238A0" w:rsidRPr="00A94D8B">
        <w:t>USP</w:t>
      </w:r>
      <w:r w:rsidR="00B721FC" w:rsidRPr="00A94D8B">
        <w:t xml:space="preserve"> programme building on the foundational climate change program started with AUSA</w:t>
      </w:r>
      <w:r w:rsidR="00E73D7D" w:rsidRPr="00A94D8B">
        <w:t>I</w:t>
      </w:r>
      <w:r w:rsidR="00B721FC" w:rsidRPr="00A94D8B">
        <w:t xml:space="preserve">D funding. Post-Graduate, Master of Science and PhD scholarships were available for students from the region to </w:t>
      </w:r>
      <w:r w:rsidR="00F8798B" w:rsidRPr="00A94D8B">
        <w:t>enrol</w:t>
      </w:r>
      <w:r w:rsidR="00B721FC" w:rsidRPr="00A94D8B">
        <w:t xml:space="preserve"> in the post-graduate courses or conduct their Master or PhD research projects on different aspects of climate change. </w:t>
      </w:r>
    </w:p>
    <w:p w:rsidR="00E73D7D" w:rsidRPr="00A94D8B" w:rsidRDefault="00B721FC" w:rsidP="00306821">
      <w:pPr>
        <w:rPr>
          <w:b/>
        </w:rPr>
      </w:pPr>
      <w:r w:rsidRPr="00A94D8B">
        <w:t>Four new courses were developed to meet the specific needs of the region, focusing on both climate sciences and climate adaptation issues. Since the start of this program</w:t>
      </w:r>
      <w:r w:rsidR="00C1247A" w:rsidRPr="00A94D8B">
        <w:t>me</w:t>
      </w:r>
      <w:r w:rsidRPr="00A94D8B">
        <w:t xml:space="preserve">, 84 students have completed Post-Graduate </w:t>
      </w:r>
      <w:r w:rsidR="00C1247A" w:rsidRPr="00A94D8B">
        <w:t>diplomas, 17 completed MSc and seven</w:t>
      </w:r>
      <w:r w:rsidRPr="00A94D8B">
        <w:t xml:space="preserve"> students are currently working on completion of their PhD qualifications</w:t>
      </w:r>
      <w:r w:rsidR="006F0804" w:rsidRPr="00A94D8B">
        <w:t xml:space="preserve">, with </w:t>
      </w:r>
      <w:r w:rsidRPr="00A94D8B">
        <w:t xml:space="preserve">31%, 47% and 57 % </w:t>
      </w:r>
      <w:r w:rsidR="006F0804" w:rsidRPr="00A94D8B">
        <w:t xml:space="preserve">of students </w:t>
      </w:r>
      <w:r w:rsidRPr="00A94D8B">
        <w:t>r</w:t>
      </w:r>
      <w:r w:rsidRPr="00A94D8B">
        <w:t>e</w:t>
      </w:r>
      <w:r w:rsidRPr="00A94D8B">
        <w:t>spectively benefit</w:t>
      </w:r>
      <w:r w:rsidR="006F0804" w:rsidRPr="00A94D8B">
        <w:t xml:space="preserve">ing </w:t>
      </w:r>
      <w:r w:rsidRPr="00A94D8B">
        <w:t>from EU scholarships. These students include young graduates and more mature government officials who restart their studies under the climate change pr</w:t>
      </w:r>
      <w:r w:rsidRPr="00A94D8B">
        <w:t>o</w:t>
      </w:r>
      <w:r w:rsidRPr="00A94D8B">
        <w:t>gramme.</w:t>
      </w:r>
      <w:r w:rsidRPr="00A94D8B">
        <w:rPr>
          <w:b/>
        </w:rPr>
        <w:t xml:space="preserve"> </w:t>
      </w:r>
      <w:r w:rsidR="00ED239B" w:rsidRPr="00A94D8B">
        <w:t>In addition, 15</w:t>
      </w:r>
      <w:r w:rsidR="00C473B2" w:rsidRPr="00A94D8B">
        <w:t xml:space="preserve"> National Project Advisory Committees (NPACs) have been esta</w:t>
      </w:r>
      <w:r w:rsidR="00C473B2" w:rsidRPr="00A94D8B">
        <w:t>b</w:t>
      </w:r>
      <w:r w:rsidR="00C473B2" w:rsidRPr="00A94D8B">
        <w:t>lished in t</w:t>
      </w:r>
      <w:r w:rsidR="00C1247A" w:rsidRPr="00A94D8B">
        <w:t>he 15 programme</w:t>
      </w:r>
      <w:r w:rsidR="00ED239B" w:rsidRPr="00A94D8B">
        <w:t xml:space="preserve"> countries that have</w:t>
      </w:r>
      <w:r w:rsidR="00C473B2" w:rsidRPr="00A94D8B">
        <w:t xml:space="preserve"> assisted with the implementation of 26 of the 43 community adaptatio</w:t>
      </w:r>
      <w:r w:rsidR="00ED239B" w:rsidRPr="00A94D8B">
        <w:t>n plans</w:t>
      </w:r>
      <w:r w:rsidR="00C473B2" w:rsidRPr="00A94D8B">
        <w:t>. In support of the local adaptation plans, local communi</w:t>
      </w:r>
      <w:r w:rsidR="00ED239B" w:rsidRPr="00A94D8B">
        <w:t>ties were</w:t>
      </w:r>
      <w:r w:rsidR="00C473B2" w:rsidRPr="00A94D8B">
        <w:t xml:space="preserve"> trained in specific technical areas relevant to their </w:t>
      </w:r>
      <w:r w:rsidR="00ED239B" w:rsidRPr="00A94D8B">
        <w:t xml:space="preserve">respective </w:t>
      </w:r>
      <w:r w:rsidR="00C473B2" w:rsidRPr="00A94D8B">
        <w:t>adaptation plans. For i</w:t>
      </w:r>
      <w:r w:rsidR="00C473B2" w:rsidRPr="00A94D8B">
        <w:t>n</w:t>
      </w:r>
      <w:r w:rsidR="00C473B2" w:rsidRPr="00A94D8B">
        <w:t>stance, in Tuvalu, three pilot sites in remote islands installed water tanks of 10 500 litres each and trained more than 35 persons on water management</w:t>
      </w:r>
      <w:r w:rsidR="00E73D7D" w:rsidRPr="00A94D8B">
        <w:t xml:space="preserve">. </w:t>
      </w:r>
    </w:p>
    <w:p w:rsidR="00306821" w:rsidRPr="00A94D8B" w:rsidRDefault="00306821" w:rsidP="00306821">
      <w:r w:rsidRPr="00A94D8B">
        <w:t>One of the modalities the PSIS programme has adopted is to deliver national training</w:t>
      </w:r>
      <w:r w:rsidR="00E01353" w:rsidRPr="00A94D8B">
        <w:t>,</w:t>
      </w:r>
      <w:r w:rsidRPr="00A94D8B">
        <w:t xml:space="preserve"> con-ducted in-country</w:t>
      </w:r>
      <w:r w:rsidR="00E01353" w:rsidRPr="00A94D8B">
        <w:t>,</w:t>
      </w:r>
      <w:r w:rsidRPr="00A94D8B">
        <w:t xml:space="preserve"> on basic project management practices. This includes proposal prepar</w:t>
      </w:r>
      <w:r w:rsidRPr="00A94D8B">
        <w:t>a</w:t>
      </w:r>
      <w:r w:rsidRPr="00A94D8B">
        <w:t>tion, use of the logical framework approach and follow-up training on project design, budge</w:t>
      </w:r>
      <w:r w:rsidRPr="00A94D8B">
        <w:t>t</w:t>
      </w:r>
      <w:r w:rsidRPr="00A94D8B">
        <w:t>ing, and monitoring and evaluation. This training has been conducted in all nine countries of the programme. The training has had a very positive response from participants. In Niue, six months after the training</w:t>
      </w:r>
      <w:r w:rsidR="00E01353" w:rsidRPr="00A94D8B">
        <w:t>,</w:t>
      </w:r>
      <w:r w:rsidRPr="00A94D8B">
        <w:t xml:space="preserve"> an impact evaluation showed that 33% of the participants had used the logical framework approach to prepare a project proposal since the training.  Furthermore, 25% of the participants had had their proposal actually funded. Other forms of training </w:t>
      </w:r>
      <w:r w:rsidR="00E01353" w:rsidRPr="00A94D8B">
        <w:t>pr</w:t>
      </w:r>
      <w:r w:rsidR="00E01353" w:rsidRPr="00A94D8B">
        <w:t>o</w:t>
      </w:r>
      <w:r w:rsidR="00E01353" w:rsidRPr="00A94D8B">
        <w:t>vided and</w:t>
      </w:r>
      <w:r w:rsidRPr="00A94D8B">
        <w:t xml:space="preserve"> considered to be successful include specific training in the health and agriculture sectors, country-to country exchanges (in the field of coastal erosion) and on-the-job training</w:t>
      </w:r>
      <w:r w:rsidR="00E01353" w:rsidRPr="00A94D8B">
        <w:t>,</w:t>
      </w:r>
      <w:r w:rsidRPr="00A94D8B">
        <w:t xml:space="preserve"> especially in </w:t>
      </w:r>
      <w:r w:rsidR="00E01353" w:rsidRPr="00A94D8B">
        <w:t>the field of financial management</w:t>
      </w:r>
      <w:r w:rsidRPr="00A94D8B">
        <w:t xml:space="preserve">. </w:t>
      </w:r>
    </w:p>
    <w:p w:rsidR="00C473B2" w:rsidRPr="00A94D8B" w:rsidRDefault="00C473B2" w:rsidP="00AD1C0A">
      <w:r w:rsidRPr="00A94D8B">
        <w:t>With ClimDev</w:t>
      </w:r>
      <w:r w:rsidR="00E01353" w:rsidRPr="00A94D8B">
        <w:t>, while</w:t>
      </w:r>
      <w:r w:rsidRPr="00A94D8B">
        <w:t xml:space="preserve"> </w:t>
      </w:r>
      <w:r w:rsidR="00ED239B" w:rsidRPr="00A94D8B">
        <w:t>t</w:t>
      </w:r>
      <w:r w:rsidRPr="00A94D8B">
        <w:t>here is no systematic monitoring of the programme’s contribution to building capacity</w:t>
      </w:r>
      <w:r w:rsidR="00E01353" w:rsidRPr="00A94D8B">
        <w:t>, t</w:t>
      </w:r>
      <w:r w:rsidRPr="00A94D8B">
        <w:t xml:space="preserve">he evaluation process </w:t>
      </w:r>
      <w:r w:rsidR="00ED239B" w:rsidRPr="00A94D8B">
        <w:t>nevertheless conc</w:t>
      </w:r>
      <w:r w:rsidR="00B721FC" w:rsidRPr="00A94D8B">
        <w:t xml:space="preserve">luded that ClimDev is making </w:t>
      </w:r>
      <w:r w:rsidR="006F0804" w:rsidRPr="00A94D8B">
        <w:t>a contribution</w:t>
      </w:r>
      <w:r w:rsidRPr="00A94D8B">
        <w:t xml:space="preserve"> to building (African) capacities on climate change study, analysis, policy form</w:t>
      </w:r>
      <w:r w:rsidRPr="00A94D8B">
        <w:t>u</w:t>
      </w:r>
      <w:r w:rsidRPr="00A94D8B">
        <w:t>lation at different levels and in various sectors, through formal training and capacity building events as well as ‘on-the-job learning’ (through participation in events and workshops). E</w:t>
      </w:r>
      <w:r w:rsidRPr="00A94D8B">
        <w:t>x</w:t>
      </w:r>
      <w:r w:rsidRPr="00A94D8B">
        <w:t>amples include the training workshops on climate finance</w:t>
      </w:r>
      <w:r w:rsidR="00736BC8" w:rsidRPr="00A94D8B">
        <w:t xml:space="preserve">. </w:t>
      </w:r>
      <w:r w:rsidRPr="00A94D8B">
        <w:t xml:space="preserve">Important resources have gone into ClimDev providing </w:t>
      </w:r>
      <w:r w:rsidR="00950F78" w:rsidRPr="00A94D8B">
        <w:t>TA</w:t>
      </w:r>
      <w:r w:rsidRPr="00A94D8B">
        <w:t xml:space="preserve"> to the AGN. </w:t>
      </w:r>
      <w:r w:rsidR="00ED239B" w:rsidRPr="00A94D8B">
        <w:t xml:space="preserve">The </w:t>
      </w:r>
      <w:r w:rsidRPr="00A94D8B">
        <w:t xml:space="preserve">ACPC that is managing project activity is understaffed and </w:t>
      </w:r>
      <w:r w:rsidR="00736BC8" w:rsidRPr="00A94D8B">
        <w:t xml:space="preserve">it </w:t>
      </w:r>
      <w:r w:rsidRPr="00A94D8B">
        <w:t>should be enhanced as a first s</w:t>
      </w:r>
      <w:r w:rsidR="00736BC8" w:rsidRPr="00A94D8B">
        <w:t>tep in ensuring that the future the overall</w:t>
      </w:r>
      <w:r w:rsidRPr="00A94D8B">
        <w:t xml:space="preserve"> capacity building activities of the programme can be properly guided and monitored. </w:t>
      </w:r>
    </w:p>
    <w:p w:rsidR="00C473B2" w:rsidRPr="00A94D8B" w:rsidRDefault="00736BC8" w:rsidP="00AD1C0A">
      <w:r w:rsidRPr="00A94D8B">
        <w:t>Similarly</w:t>
      </w:r>
      <w:r w:rsidR="00B721FC" w:rsidRPr="00A94D8B">
        <w:t>,</w:t>
      </w:r>
      <w:r w:rsidRPr="00A94D8B">
        <w:t xml:space="preserve"> with the </w:t>
      </w:r>
      <w:r w:rsidR="00B721FC" w:rsidRPr="00A94D8B">
        <w:t>COMESA</w:t>
      </w:r>
      <w:r w:rsidR="006F0804" w:rsidRPr="00A94D8B">
        <w:t>-</w:t>
      </w:r>
      <w:r w:rsidR="00B721FC" w:rsidRPr="00A94D8B">
        <w:t>led Programme</w:t>
      </w:r>
      <w:r w:rsidR="006F0804" w:rsidRPr="00A94D8B">
        <w:t>,</w:t>
      </w:r>
      <w:r w:rsidR="00C473B2" w:rsidRPr="00A94D8B">
        <w:t xml:space="preserve"> capacity building should have started in-house</w:t>
      </w:r>
      <w:r w:rsidR="00C1247A" w:rsidRPr="00A94D8B">
        <w:t>. T</w:t>
      </w:r>
      <w:r w:rsidR="00C473B2" w:rsidRPr="00A94D8B">
        <w:t xml:space="preserve">here </w:t>
      </w:r>
      <w:r w:rsidR="00C1247A" w:rsidRPr="00A94D8B">
        <w:t>must</w:t>
      </w:r>
      <w:r w:rsidR="006F0804" w:rsidRPr="00A94D8B">
        <w:t xml:space="preserve"> </w:t>
      </w:r>
      <w:r w:rsidR="00C473B2" w:rsidRPr="00A94D8B">
        <w:t>be a minimum amount of technical and administrative capacity in place to ensure that pro</w:t>
      </w:r>
      <w:r w:rsidR="00B721FC" w:rsidRPr="00A94D8B">
        <w:t>gramming activity is properly handled</w:t>
      </w:r>
      <w:r w:rsidR="00C1247A" w:rsidRPr="00A94D8B">
        <w:t>.</w:t>
      </w:r>
      <w:r w:rsidR="00B721FC" w:rsidRPr="00A94D8B">
        <w:t xml:space="preserve"> Slowly this began to happen</w:t>
      </w:r>
      <w:r w:rsidR="00C473B2" w:rsidRPr="00A94D8B">
        <w:t>. The main COMESA Programme management team has grown from three to 16 staff people. SADC and EAC finally have their teams in place.  In the case of EAC, this only happened in January 2014.  The current COMESA team is seen as having potential but is limited by a lack of e</w:t>
      </w:r>
      <w:r w:rsidR="00C473B2" w:rsidRPr="00A94D8B">
        <w:t>x</w:t>
      </w:r>
      <w:r w:rsidR="00C473B2" w:rsidRPr="00A94D8B">
        <w:t>perience in the climate change field and managing a regional programme of this nature. B</w:t>
      </w:r>
      <w:r w:rsidR="00C473B2" w:rsidRPr="00A94D8B">
        <w:t>e</w:t>
      </w:r>
      <w:r w:rsidR="00C473B2" w:rsidRPr="00A94D8B">
        <w:t>yond the gains made in transforming the RECs, the capacity of institu</w:t>
      </w:r>
      <w:r w:rsidR="00B721FC" w:rsidRPr="00A94D8B">
        <w:t>tions affiliated to the COMESA p</w:t>
      </w:r>
      <w:r w:rsidR="00C473B2" w:rsidRPr="00A94D8B">
        <w:t>rogramme has been enhanced. An examp</w:t>
      </w:r>
      <w:r w:rsidRPr="00A94D8B">
        <w:t>le of this would be the East Af</w:t>
      </w:r>
      <w:r w:rsidR="00C473B2" w:rsidRPr="00A94D8B">
        <w:t xml:space="preserve">rican Legislative Assembly (EALA)’s that increased its appreciation of climate change through the Committee on Agriculture, Natural Resources and Tourism. The role of parliamentarian’s in responding to climate change at the regional level has been enhanced. An EAC Climate Change Resolution was adopted in 2013 and the process for formulating the EAC Climate Change Policy was initiated in 2014. </w:t>
      </w:r>
    </w:p>
    <w:p w:rsidR="00C473B2" w:rsidRPr="00A94D8B" w:rsidRDefault="00C473B2" w:rsidP="00AD1C0A">
      <w:r w:rsidRPr="00A94D8B">
        <w:t>Moreover, the technical capacities and understanding of the practice of CSA has also been enhanced in the region through learning visits and initiation and implementation of activities in the CSA pilot countries.  As noted earlier</w:t>
      </w:r>
      <w:r w:rsidR="006F0804" w:rsidRPr="00A94D8B">
        <w:t>,</w:t>
      </w:r>
      <w:r w:rsidRPr="00A94D8B">
        <w:t xml:space="preserve"> t</w:t>
      </w:r>
      <w:r w:rsidR="00736BC8" w:rsidRPr="00A94D8B">
        <w:t>he negotiation capacities of Af</w:t>
      </w:r>
      <w:r w:rsidRPr="00A94D8B">
        <w:t>rican negotiators and technical advisors have also been enhanced</w:t>
      </w:r>
      <w:r w:rsidR="006F0804" w:rsidRPr="00A94D8B">
        <w:t>,</w:t>
      </w:r>
      <w:r w:rsidRPr="00A94D8B">
        <w:t xml:space="preserve"> leading to African negotiators facilitating various negotiation items such as agriculture, capacity building, and technology transfer under the UNFCCC. Simil</w:t>
      </w:r>
      <w:r w:rsidR="00736BC8" w:rsidRPr="00A94D8B">
        <w:t>arly, the efforts to develop Na</w:t>
      </w:r>
      <w:r w:rsidRPr="00A94D8B">
        <w:t>tional Climate Change Policies and Response Strate</w:t>
      </w:r>
      <w:r w:rsidR="00736BC8" w:rsidRPr="00A94D8B">
        <w:t>gies and Action Plans create ca</w:t>
      </w:r>
      <w:r w:rsidRPr="00A94D8B">
        <w:t>pacity and leave a benchmark in the form of policies and strategies that can guide subsequent activity.</w:t>
      </w:r>
    </w:p>
    <w:p w:rsidR="00736BC8" w:rsidRPr="00A94D8B" w:rsidRDefault="00C473B2" w:rsidP="00A20F88">
      <w:r w:rsidRPr="00A94D8B">
        <w:t>Finally</w:t>
      </w:r>
      <w:r w:rsidR="00FB613E" w:rsidRPr="00A94D8B">
        <w:t>,</w:t>
      </w:r>
      <w:r w:rsidRPr="00A94D8B">
        <w:t xml:space="preserve"> with </w:t>
      </w:r>
      <w:r w:rsidR="0039429E" w:rsidRPr="00A94D8B">
        <w:t xml:space="preserve">the </w:t>
      </w:r>
      <w:r w:rsidRPr="00A94D8B">
        <w:t>CCCCC</w:t>
      </w:r>
      <w:r w:rsidR="00B721FC" w:rsidRPr="00A94D8B">
        <w:t>,</w:t>
      </w:r>
      <w:r w:rsidRPr="00A94D8B">
        <w:t xml:space="preserve"> </w:t>
      </w:r>
      <w:r w:rsidR="00B721FC" w:rsidRPr="00A94D8B">
        <w:t>there has been a focus on</w:t>
      </w:r>
      <w:r w:rsidR="00736BC8" w:rsidRPr="00A94D8B">
        <w:t xml:space="preserve"> technical training.  Re</w:t>
      </w:r>
      <w:r w:rsidRPr="00A94D8B">
        <w:t xml:space="preserve">gional climate modelling workshops were held in August 2012 and January 2013 for the northern/western Caribbean countries. In total, 31 people were trained. </w:t>
      </w:r>
      <w:r w:rsidR="00425E3E" w:rsidRPr="00A94D8B">
        <w:t>The Climate Studies Group (CSG) of the</w:t>
      </w:r>
      <w:r w:rsidR="004E2C13" w:rsidRPr="00A94D8B">
        <w:t xml:space="preserve"> University of the West Indies  (UWI) in Jamaica</w:t>
      </w:r>
      <w:r w:rsidR="0039429E" w:rsidRPr="00A94D8B">
        <w:t>, an</w:t>
      </w:r>
      <w:r w:rsidR="00425E3E" w:rsidRPr="00A94D8B">
        <w:t>d the  Ins</w:t>
      </w:r>
      <w:r w:rsidR="0045585D">
        <w:t xml:space="preserve">titute of Meteorology (INSMET) </w:t>
      </w:r>
      <w:r w:rsidR="00C1556C" w:rsidRPr="00A94D8B">
        <w:t>of Cuba</w:t>
      </w:r>
      <w:r w:rsidR="00425E3E" w:rsidRPr="00A94D8B">
        <w:t>, the Caribbean Institute of Meteorology and Hydrology and the National Oceanic and Atmospheric Administration (NOAA)</w:t>
      </w:r>
      <w:r w:rsidR="00C1556C" w:rsidRPr="00A94D8B">
        <w:t xml:space="preserve"> of the United States</w:t>
      </w:r>
      <w:r w:rsidR="00425E3E" w:rsidRPr="00A94D8B">
        <w:t xml:space="preserve"> have been important </w:t>
      </w:r>
      <w:r w:rsidR="0045585D">
        <w:t xml:space="preserve">partners in building capacity. </w:t>
      </w:r>
      <w:r w:rsidR="00425E3E" w:rsidRPr="00A94D8B">
        <w:t>The CSG and INSMET have been partnering with the CCCCC in the downscaling of climate models and the development of climate scenarios for use in the conduct of vulnerability and impact assessments. The CSG and INSMET have also been e</w:t>
      </w:r>
      <w:r w:rsidR="00425E3E" w:rsidRPr="00A94D8B">
        <w:t>n</w:t>
      </w:r>
      <w:r w:rsidR="00425E3E" w:rsidRPr="00A94D8B">
        <w:t>gaged in the planning, preparation of the training workshop in the use of specific sector (agr</w:t>
      </w:r>
      <w:r w:rsidR="00425E3E" w:rsidRPr="00A94D8B">
        <w:t>i</w:t>
      </w:r>
      <w:r w:rsidR="00425E3E" w:rsidRPr="00A94D8B">
        <w:t>culture and water) models for impact assessment for</w:t>
      </w:r>
      <w:r w:rsidR="0045585D">
        <w:t xml:space="preserve"> adaptation to climate change. </w:t>
      </w:r>
      <w:proofErr w:type="gramStart"/>
      <w:r w:rsidR="00425E3E" w:rsidRPr="00A94D8B">
        <w:t>NOAA  has</w:t>
      </w:r>
      <w:proofErr w:type="gramEnd"/>
      <w:r w:rsidR="00425E3E" w:rsidRPr="00A94D8B">
        <w:t xml:space="preserve">  been working with the CCCCC programme towards the expansion and strengthening of the coral reef monitoring network in the Carib</w:t>
      </w:r>
      <w:r w:rsidR="00E52918" w:rsidRPr="00A94D8B">
        <w:t xml:space="preserve">bean. Under this activity five </w:t>
      </w:r>
      <w:r w:rsidR="00425E3E" w:rsidRPr="00A94D8B">
        <w:t>Coral Reef Early Warning System (CREWS) stations have been procured and w</w:t>
      </w:r>
      <w:r w:rsidR="00824A31" w:rsidRPr="00A94D8B">
        <w:t>ill be installed in five pr</w:t>
      </w:r>
      <w:r w:rsidR="00824A31" w:rsidRPr="00A94D8B">
        <w:t>o</w:t>
      </w:r>
      <w:r w:rsidR="00824A31" w:rsidRPr="00A94D8B">
        <w:t>gramme</w:t>
      </w:r>
      <w:r w:rsidR="00425E3E" w:rsidRPr="00A94D8B">
        <w:t xml:space="preserve"> countries. As noted earlier</w:t>
      </w:r>
      <w:r w:rsidR="00FB613E" w:rsidRPr="00A94D8B">
        <w:t>,</w:t>
      </w:r>
      <w:r w:rsidRPr="00A94D8B">
        <w:t xml:space="preserve"> the CCCCC has been playing an important role in buil</w:t>
      </w:r>
      <w:r w:rsidRPr="00A94D8B">
        <w:t>d</w:t>
      </w:r>
      <w:r w:rsidRPr="00A94D8B">
        <w:t xml:space="preserve">ing the </w:t>
      </w:r>
      <w:r w:rsidR="00824A31" w:rsidRPr="00A94D8B">
        <w:t xml:space="preserve">new </w:t>
      </w:r>
      <w:r w:rsidRPr="00A94D8B">
        <w:t>Climate Change Office of Belize and the Climate Change Division in Jamaica. In Belize, the CCCCC has a</w:t>
      </w:r>
      <w:r w:rsidR="00824A31" w:rsidRPr="00A94D8B">
        <w:t xml:space="preserve">ssigned a staff member </w:t>
      </w:r>
      <w:r w:rsidRPr="00A94D8B">
        <w:t>to the Climate Change Office and continues to pay her salary. In Jamaica</w:t>
      </w:r>
      <w:r w:rsidR="00FB613E" w:rsidRPr="00A94D8B">
        <w:t>,</w:t>
      </w:r>
      <w:r w:rsidR="00824A31" w:rsidRPr="00A94D8B">
        <w:t xml:space="preserve"> the Climate Change Division</w:t>
      </w:r>
      <w:r w:rsidRPr="00A94D8B">
        <w:t xml:space="preserve"> </w:t>
      </w:r>
      <w:r w:rsidR="00824A31" w:rsidRPr="00A94D8B">
        <w:t>credits</w:t>
      </w:r>
      <w:r w:rsidRPr="00A94D8B">
        <w:t xml:space="preserve"> the </w:t>
      </w:r>
      <w:r w:rsidR="00FB613E" w:rsidRPr="00A94D8B">
        <w:t xml:space="preserve">Intra ACP GCCA </w:t>
      </w:r>
      <w:r w:rsidRPr="00A94D8B">
        <w:t>with ena</w:t>
      </w:r>
      <w:r w:rsidR="00824A31" w:rsidRPr="00A94D8B">
        <w:t>bling it to become</w:t>
      </w:r>
      <w:r w:rsidRPr="00A94D8B">
        <w:t xml:space="preserve"> active</w:t>
      </w:r>
      <w:r w:rsidR="00FB613E" w:rsidRPr="00A94D8B">
        <w:t xml:space="preserve"> in</w:t>
      </w:r>
      <w:r w:rsidRPr="00A94D8B">
        <w:t xml:space="preserve"> its early years.   </w:t>
      </w:r>
    </w:p>
    <w:p w:rsidR="006A29AC" w:rsidRPr="00A94D8B" w:rsidRDefault="00DB3AFA" w:rsidP="002C1124">
      <w:pPr>
        <w:rPr>
          <w:b/>
        </w:rPr>
      </w:pPr>
      <w:r w:rsidRPr="00A94D8B">
        <w:t>From a capacity building standpoint an important tool at the disposal of the Intra-ACP Pr</w:t>
      </w:r>
      <w:r w:rsidRPr="00A94D8B">
        <w:t>o</w:t>
      </w:r>
      <w:r w:rsidR="0045585D">
        <w:t xml:space="preserve">gramme is the CSF. </w:t>
      </w:r>
      <w:r w:rsidRPr="00A94D8B">
        <w:t xml:space="preserve">Although there have been successful usage of the service, especially in West Africa, by and large the service has not been as effective as it could be in assisting in the process of building capacity. </w:t>
      </w:r>
      <w:r w:rsidR="00824A31" w:rsidRPr="00A94D8B">
        <w:t xml:space="preserve">As indicated above, there has been a considerable </w:t>
      </w:r>
      <w:r w:rsidR="00E37410" w:rsidRPr="00A94D8B">
        <w:t xml:space="preserve">amount </w:t>
      </w:r>
      <w:r w:rsidR="00824A31" w:rsidRPr="00A94D8B">
        <w:t xml:space="preserve">of capacity building taking place </w:t>
      </w:r>
      <w:r w:rsidR="00E37410" w:rsidRPr="00A94D8B">
        <w:t xml:space="preserve">but </w:t>
      </w:r>
      <w:r w:rsidR="00824A31" w:rsidRPr="00A94D8B">
        <w:t xml:space="preserve">without CSF support. </w:t>
      </w:r>
      <w:r w:rsidR="00E37410" w:rsidRPr="00A94D8B">
        <w:t xml:space="preserve">The Technical Assistant to the ACP who manages the </w:t>
      </w:r>
      <w:r w:rsidR="00FC2325">
        <w:t>CSF</w:t>
      </w:r>
      <w:r w:rsidR="00E37410" w:rsidRPr="00A94D8B">
        <w:t xml:space="preserve"> work orders has been in discussions with regional programme impl</w:t>
      </w:r>
      <w:r w:rsidR="00E37410" w:rsidRPr="00A94D8B">
        <w:t>e</w:t>
      </w:r>
      <w:r w:rsidR="00E37410" w:rsidRPr="00A94D8B">
        <w:t xml:space="preserve">menters to determine ways in which the service can be used more.   </w:t>
      </w:r>
    </w:p>
    <w:p w:rsidR="00566C75" w:rsidRPr="00A94D8B" w:rsidRDefault="00C473B2" w:rsidP="00AD1C0A">
      <w:r w:rsidRPr="00A94D8B">
        <w:t xml:space="preserve">Overall, a very solid contribution has been made to improve the relevant capacity of </w:t>
      </w:r>
      <w:r w:rsidR="00C87887" w:rsidRPr="00A94D8B">
        <w:t xml:space="preserve">ACP </w:t>
      </w:r>
      <w:r w:rsidR="0093158B" w:rsidRPr="00A94D8B">
        <w:t>countries and begin nurturing regional level capacity</w:t>
      </w:r>
      <w:r w:rsidR="00C87887" w:rsidRPr="00A94D8B">
        <w:t xml:space="preserve">. </w:t>
      </w:r>
      <w:r w:rsidRPr="00A94D8B">
        <w:t xml:space="preserve">A rating of </w:t>
      </w:r>
      <w:r w:rsidR="00C1556C" w:rsidRPr="00A94D8B">
        <w:t xml:space="preserve">B </w:t>
      </w:r>
      <w:r w:rsidR="00E34823" w:rsidRPr="00A94D8B">
        <w:t xml:space="preserve">(good) </w:t>
      </w:r>
      <w:r w:rsidRPr="00A94D8B">
        <w:t>has been assigned</w:t>
      </w:r>
      <w:r w:rsidR="00C1556C" w:rsidRPr="00A94D8B">
        <w:t xml:space="preserve"> with </w:t>
      </w:r>
      <w:r w:rsidR="00A72445" w:rsidRPr="00A94D8B">
        <w:t xml:space="preserve">three </w:t>
      </w:r>
      <w:r w:rsidR="00FB613E" w:rsidRPr="00A94D8B">
        <w:t xml:space="preserve">programmes </w:t>
      </w:r>
      <w:r w:rsidR="00C1556C" w:rsidRPr="00A94D8B">
        <w:t>scoring A</w:t>
      </w:r>
      <w:r w:rsidR="00E34823" w:rsidRPr="00A94D8B">
        <w:t xml:space="preserve"> (very good)</w:t>
      </w:r>
      <w:r w:rsidR="00C1556C" w:rsidRPr="00A94D8B">
        <w:t xml:space="preserve">.  </w:t>
      </w:r>
    </w:p>
    <w:p w:rsidR="00D036B2" w:rsidRPr="00A94D8B" w:rsidRDefault="00D036B2" w:rsidP="00AD1C0A">
      <w:pPr>
        <w:pStyle w:val="Heading2"/>
        <w:numPr>
          <w:ilvl w:val="1"/>
          <w:numId w:val="9"/>
        </w:numPr>
      </w:pPr>
      <w:bookmarkStart w:id="37" w:name="_Toc392064218"/>
      <w:bookmarkStart w:id="38" w:name="_Toc401041564"/>
      <w:r w:rsidRPr="00A94D8B">
        <w:t>On efficiency</w:t>
      </w:r>
      <w:r w:rsidR="006C6102" w:rsidRPr="00A94D8B">
        <w:t xml:space="preserve"> (sound management and value for money):</w:t>
      </w:r>
      <w:bookmarkEnd w:id="37"/>
      <w:bookmarkEnd w:id="38"/>
    </w:p>
    <w:p w:rsidR="00D036B2" w:rsidRPr="00A94D8B" w:rsidRDefault="006C6102" w:rsidP="00AD1C0A">
      <w:pPr>
        <w:ind w:left="709" w:hanging="709"/>
        <w:rPr>
          <w:b/>
          <w:i/>
        </w:rPr>
      </w:pPr>
      <w:r w:rsidRPr="00A94D8B">
        <w:rPr>
          <w:b/>
          <w:i/>
        </w:rPr>
        <w:t>EQ</w:t>
      </w:r>
      <w:r w:rsidR="00D036B2" w:rsidRPr="00A94D8B">
        <w:rPr>
          <w:b/>
          <w:i/>
        </w:rPr>
        <w:t>6.</w:t>
      </w:r>
      <w:r w:rsidR="00D036B2" w:rsidRPr="00A94D8B">
        <w:rPr>
          <w:b/>
          <w:i/>
        </w:rPr>
        <w:tab/>
        <w:t>To what extent are institutional arrangements and im</w:t>
      </w:r>
      <w:r w:rsidRPr="00A94D8B">
        <w:rPr>
          <w:b/>
          <w:i/>
        </w:rPr>
        <w:t>plementation modalities for man</w:t>
      </w:r>
      <w:r w:rsidR="00D036B2" w:rsidRPr="00A94D8B">
        <w:rPr>
          <w:b/>
          <w:i/>
        </w:rPr>
        <w:t xml:space="preserve">agement of the interventions appropriate (i.e. based </w:t>
      </w:r>
      <w:r w:rsidRPr="00A94D8B">
        <w:rPr>
          <w:b/>
          <w:i/>
        </w:rPr>
        <w:t>on realistic assessments of con</w:t>
      </w:r>
      <w:r w:rsidR="00D036B2" w:rsidRPr="00A94D8B">
        <w:rPr>
          <w:b/>
          <w:i/>
        </w:rPr>
        <w:t>texts and driven by principles of aid effectiveness) and functional?</w:t>
      </w:r>
    </w:p>
    <w:p w:rsidR="00C1556C" w:rsidRPr="00A94D8B" w:rsidRDefault="00C1556C" w:rsidP="00AD1C0A">
      <w:r w:rsidRPr="00A94D8B">
        <w:t>Efficiency and non-efficiency can be measured in many ways and this is on full display with the Intra-ACP Programme</w:t>
      </w:r>
      <w:r w:rsidR="004917AE" w:rsidRPr="00A94D8B">
        <w:t>. A key contributing factor with</w:t>
      </w:r>
      <w:r w:rsidRPr="00A94D8B">
        <w:t xml:space="preserve"> Intra ACP</w:t>
      </w:r>
      <w:r w:rsidR="004917AE" w:rsidRPr="00A94D8B">
        <w:t xml:space="preserve"> Programme in terms of efficiency is </w:t>
      </w:r>
      <w:r w:rsidR="003F221D" w:rsidRPr="00A94D8B">
        <w:t>benefit</w:t>
      </w:r>
      <w:r w:rsidR="004917AE" w:rsidRPr="00A94D8B">
        <w:t>ing</w:t>
      </w:r>
      <w:r w:rsidR="003F221D" w:rsidRPr="00A94D8B">
        <w:t xml:space="preserve"> from</w:t>
      </w:r>
      <w:r w:rsidRPr="00A94D8B">
        <w:t xml:space="preserve"> existing structures, relation</w:t>
      </w:r>
      <w:r w:rsidR="003F221D" w:rsidRPr="00A94D8B">
        <w:t>ships and capable</w:t>
      </w:r>
      <w:r w:rsidRPr="00A94D8B">
        <w:t xml:space="preserve"> institutions</w:t>
      </w:r>
      <w:r w:rsidR="003F221D" w:rsidRPr="00A94D8B">
        <w:t xml:space="preserve"> as a basis to launch </w:t>
      </w:r>
      <w:r w:rsidRPr="00A94D8B">
        <w:t>Intra ACP</w:t>
      </w:r>
      <w:r w:rsidR="003F221D" w:rsidRPr="00A94D8B">
        <w:t xml:space="preserve"> Programme activity</w:t>
      </w:r>
      <w:r w:rsidRPr="00A94D8B">
        <w:t xml:space="preserve">.   </w:t>
      </w:r>
    </w:p>
    <w:p w:rsidR="00C1556C" w:rsidRPr="00A94D8B" w:rsidRDefault="00C1556C" w:rsidP="00AD1C0A">
      <w:r w:rsidRPr="00A94D8B">
        <w:t>The presence</w:t>
      </w:r>
      <w:r w:rsidR="003F221D" w:rsidRPr="00A94D8B">
        <w:t xml:space="preserve"> of a coordinator for the programme</w:t>
      </w:r>
      <w:r w:rsidRPr="00A94D8B">
        <w:t xml:space="preserve"> in the CIL</w:t>
      </w:r>
      <w:r w:rsidR="003F221D" w:rsidRPr="00A94D8B">
        <w:t xml:space="preserve">SS Executive Secretariat, and </w:t>
      </w:r>
      <w:r w:rsidRPr="00A94D8B">
        <w:t>a scientific co</w:t>
      </w:r>
      <w:r w:rsidR="003F221D" w:rsidRPr="00A94D8B">
        <w:t>ordinator with Agrhymet has helped</w:t>
      </w:r>
      <w:r w:rsidRPr="00A94D8B">
        <w:t xml:space="preserve"> to create a satisfactory connection between the policies and strategies of the CILSS and the </w:t>
      </w:r>
      <w:r w:rsidR="004917AE" w:rsidRPr="00A94D8B">
        <w:t>activities implemented by the programme</w:t>
      </w:r>
      <w:r w:rsidRPr="00A94D8B">
        <w:t>, despite the physical distances between Ouagadougou (political headquarters of the CILSS) and Nia</w:t>
      </w:r>
      <w:r w:rsidR="003F221D" w:rsidRPr="00A94D8B">
        <w:t>mey, Niger</w:t>
      </w:r>
      <w:r w:rsidR="004E2C13" w:rsidRPr="00A94D8B">
        <w:t>,</w:t>
      </w:r>
      <w:r w:rsidR="003F221D" w:rsidRPr="00A94D8B">
        <w:t xml:space="preserve"> the home of Agrhymet</w:t>
      </w:r>
      <w:r w:rsidRPr="00A94D8B">
        <w:t xml:space="preserve">. The </w:t>
      </w:r>
      <w:proofErr w:type="spellStart"/>
      <w:r w:rsidR="00040F3B" w:rsidRPr="00A94D8B">
        <w:t>ClL</w:t>
      </w:r>
      <w:r w:rsidR="003F221D" w:rsidRPr="00A94D8B">
        <w:t>SS/Agrhymet</w:t>
      </w:r>
      <w:proofErr w:type="spellEnd"/>
      <w:r w:rsidR="003F221D" w:rsidRPr="00A94D8B">
        <w:t xml:space="preserve"> programme </w:t>
      </w:r>
      <w:r w:rsidRPr="00A94D8B">
        <w:t xml:space="preserve">Steering Committee meets annually to ensure strategic orientations, and </w:t>
      </w:r>
      <w:r w:rsidR="003F221D" w:rsidRPr="00A94D8B">
        <w:t xml:space="preserve">to </w:t>
      </w:r>
      <w:r w:rsidRPr="00A94D8B">
        <w:t>monitor progress.</w:t>
      </w:r>
      <w:r w:rsidR="003F221D" w:rsidRPr="00A94D8B">
        <w:t xml:space="preserve"> </w:t>
      </w:r>
      <w:r w:rsidR="00622327" w:rsidRPr="00A94D8B">
        <w:t>G</w:t>
      </w:r>
      <w:r w:rsidR="003F221D" w:rsidRPr="00A94D8B">
        <w:t xml:space="preserve">iven CILSS and </w:t>
      </w:r>
      <w:r w:rsidRPr="00A94D8B">
        <w:t>Agrhymet</w:t>
      </w:r>
      <w:r w:rsidR="003F221D" w:rsidRPr="00A94D8B">
        <w:t xml:space="preserve">’s </w:t>
      </w:r>
      <w:r w:rsidR="00622327" w:rsidRPr="00A94D8B">
        <w:t xml:space="preserve">past experience and reputations, the two institutions have been able to put to good use their capabilities and the relationships they have built in West Africa in an efficient manner. Agrhymet </w:t>
      </w:r>
      <w:r w:rsidR="00040F3B" w:rsidRPr="00A94D8B">
        <w:t>is well known and enjoys a strong</w:t>
      </w:r>
      <w:r w:rsidRPr="00A94D8B">
        <w:t xml:space="preserve"> scien</w:t>
      </w:r>
      <w:r w:rsidR="00040F3B" w:rsidRPr="00A94D8B">
        <w:t>tific reputation.</w:t>
      </w:r>
      <w:r w:rsidRPr="00A94D8B">
        <w:t xml:space="preserve"> Ho</w:t>
      </w:r>
      <w:r w:rsidRPr="00A94D8B">
        <w:t>w</w:t>
      </w:r>
      <w:r w:rsidR="00040F3B" w:rsidRPr="00A94D8B">
        <w:t xml:space="preserve">ever, from an efficiency standpoint, the </w:t>
      </w:r>
      <w:r w:rsidRPr="00A94D8B">
        <w:t xml:space="preserve">choice </w:t>
      </w:r>
      <w:r w:rsidR="00040F3B" w:rsidRPr="00A94D8B">
        <w:t xml:space="preserve">of Agrhymet brought certain limitations. It meant that the </w:t>
      </w:r>
      <w:proofErr w:type="spellStart"/>
      <w:r w:rsidR="00040F3B" w:rsidRPr="00A94D8B">
        <w:t>ClLSS/Agrhymet</w:t>
      </w:r>
      <w:proofErr w:type="spellEnd"/>
      <w:r w:rsidR="00040F3B" w:rsidRPr="00A94D8B">
        <w:t xml:space="preserve"> programme would be more inclined towards </w:t>
      </w:r>
      <w:r w:rsidRPr="00A94D8B">
        <w:t xml:space="preserve">studies, </w:t>
      </w:r>
      <w:r w:rsidR="00040F3B" w:rsidRPr="00A94D8B">
        <w:t>e</w:t>
      </w:r>
      <w:r w:rsidR="00040F3B" w:rsidRPr="00A94D8B">
        <w:t>x</w:t>
      </w:r>
      <w:r w:rsidR="00040F3B" w:rsidRPr="00A94D8B">
        <w:t xml:space="preserve">perimentation with </w:t>
      </w:r>
      <w:r w:rsidRPr="00A94D8B">
        <w:t>technology, the establishment of a model, or cartogra</w:t>
      </w:r>
      <w:r w:rsidR="00040F3B" w:rsidRPr="00A94D8B">
        <w:t>phy. A</w:t>
      </w:r>
      <w:r w:rsidRPr="00A94D8B">
        <w:t xml:space="preserve"> </w:t>
      </w:r>
      <w:r w:rsidR="00040F3B" w:rsidRPr="00A94D8B">
        <w:t>natural focus on end users</w:t>
      </w:r>
      <w:r w:rsidRPr="00A94D8B">
        <w:t xml:space="preserve"> with respect to the populations most vul</w:t>
      </w:r>
      <w:r w:rsidR="00040F3B" w:rsidRPr="00A94D8B">
        <w:t>nerable to</w:t>
      </w:r>
      <w:r w:rsidR="004E2C13" w:rsidRPr="00A94D8B">
        <w:t xml:space="preserve"> climate change has not co</w:t>
      </w:r>
      <w:r w:rsidR="00040F3B" w:rsidRPr="00A94D8B">
        <w:t>me easy</w:t>
      </w:r>
      <w:r w:rsidRPr="00A94D8B">
        <w:t>. The question of how the relevant information produced can be made avail</w:t>
      </w:r>
      <w:r w:rsidR="00040F3B" w:rsidRPr="00A94D8B">
        <w:t>able to pr</w:t>
      </w:r>
      <w:r w:rsidR="00040F3B" w:rsidRPr="00A94D8B">
        <w:t>o</w:t>
      </w:r>
      <w:r w:rsidR="00040F3B" w:rsidRPr="00A94D8B">
        <w:t xml:space="preserve">gramme </w:t>
      </w:r>
      <w:r w:rsidR="00C03180" w:rsidRPr="00A94D8B">
        <w:t>beneficiaries in</w:t>
      </w:r>
      <w:r w:rsidRPr="00A94D8B">
        <w:t xml:space="preserve"> a proper and due form has still not been adequately addressed.  </w:t>
      </w:r>
    </w:p>
    <w:p w:rsidR="009C4A3F" w:rsidRPr="00A94D8B" w:rsidRDefault="00040F3B" w:rsidP="00C03180">
      <w:r w:rsidRPr="00A94D8B">
        <w:t xml:space="preserve">Similar to the other programmes, the start up of the </w:t>
      </w:r>
      <w:r w:rsidR="004E2C13" w:rsidRPr="00A94D8B">
        <w:t>CCCCC</w:t>
      </w:r>
      <w:r w:rsidRPr="00A94D8B">
        <w:t xml:space="preserve"> programme </w:t>
      </w:r>
      <w:r w:rsidR="00C1556C" w:rsidRPr="00A94D8B">
        <w:t xml:space="preserve">was delayed. Six months were lost as countries officially signed onto the Programme. </w:t>
      </w:r>
      <w:r w:rsidR="004E2C13" w:rsidRPr="00A94D8B">
        <w:t>On</w:t>
      </w:r>
      <w:r w:rsidR="00C1556C" w:rsidRPr="00A94D8B">
        <w:t>e country</w:t>
      </w:r>
      <w:r w:rsidR="00C03180" w:rsidRPr="00A94D8B">
        <w:t>,</w:t>
      </w:r>
      <w:r w:rsidR="00C1556C" w:rsidRPr="00A94D8B">
        <w:t xml:space="preserve"> the Bah</w:t>
      </w:r>
      <w:r w:rsidR="00C1556C" w:rsidRPr="00A94D8B">
        <w:t>a</w:t>
      </w:r>
      <w:r w:rsidR="00C1556C" w:rsidRPr="00A94D8B">
        <w:t>mas, has still not signed the agree</w:t>
      </w:r>
      <w:r w:rsidR="00E17A76" w:rsidRPr="00A94D8B">
        <w:t xml:space="preserve">ment. Jamaica </w:t>
      </w:r>
      <w:r w:rsidR="004E2C13" w:rsidRPr="00A94D8B">
        <w:t>admitted</w:t>
      </w:r>
      <w:r w:rsidR="00C1556C" w:rsidRPr="00A94D8B">
        <w:t xml:space="preserve"> responsibility for </w:t>
      </w:r>
      <w:r w:rsidR="004E2C13" w:rsidRPr="00A94D8B">
        <w:t xml:space="preserve">the </w:t>
      </w:r>
      <w:r w:rsidR="00C1556C" w:rsidRPr="00A94D8B">
        <w:t xml:space="preserve">delay </w:t>
      </w:r>
      <w:r w:rsidR="004E2C13" w:rsidRPr="00A94D8B">
        <w:t>in sig</w:t>
      </w:r>
      <w:r w:rsidR="004E2C13" w:rsidRPr="00A94D8B">
        <w:t>n</w:t>
      </w:r>
      <w:r w:rsidR="004E2C13" w:rsidRPr="00A94D8B">
        <w:t xml:space="preserve">ing as the Intra ACP Programme </w:t>
      </w:r>
      <w:r w:rsidR="00C1556C" w:rsidRPr="00A94D8B">
        <w:t xml:space="preserve">became lost amongst other priorities. Despite this, the CCCCC is confident that all the deliverables will be met but an extension for a few activities will be requested. </w:t>
      </w:r>
      <w:r w:rsidR="004E2C13" w:rsidRPr="00A94D8B">
        <w:t xml:space="preserve">The CCCCC programme is benefiting from the relationships that have been established throughout the Caribbean with institutions such as the UWI and internationally with NOAA. </w:t>
      </w:r>
    </w:p>
    <w:p w:rsidR="009C4A3F" w:rsidRPr="00A94D8B" w:rsidRDefault="004E2C13" w:rsidP="00AD1C0A">
      <w:r w:rsidRPr="00A94D8B">
        <w:t>The CCCCC programme was</w:t>
      </w:r>
      <w:r w:rsidR="00E17A76" w:rsidRPr="00A94D8B">
        <w:t xml:space="preserve"> also</w:t>
      </w:r>
      <w:r w:rsidRPr="00A94D8B">
        <w:t xml:space="preserve"> bogged down by procurement </w:t>
      </w:r>
      <w:r w:rsidR="00402155" w:rsidRPr="00A94D8B">
        <w:t>requests</w:t>
      </w:r>
      <w:r w:rsidRPr="00A94D8B">
        <w:t xml:space="preserve"> that required a great deal of patience and persistence as EU suppliers of technical equipment were sought. </w:t>
      </w:r>
      <w:r w:rsidR="009C4A3F" w:rsidRPr="00A94D8B">
        <w:t>In dealing with other complexities of EU procurement procedures the CCCCC has been able to find ways to make matters less difficult. For example, two Requests for Proposals were co</w:t>
      </w:r>
      <w:r w:rsidR="009C4A3F" w:rsidRPr="00A94D8B">
        <w:t>m</w:t>
      </w:r>
      <w:r w:rsidR="009C4A3F" w:rsidRPr="00A94D8B">
        <w:t>bined in the Dominican Republic where there was a considerable amount of overlap in co</w:t>
      </w:r>
      <w:r w:rsidR="009C4A3F" w:rsidRPr="00A94D8B">
        <w:t>n</w:t>
      </w:r>
      <w:r w:rsidR="00E17A76" w:rsidRPr="00A94D8B">
        <w:t xml:space="preserve">tent. </w:t>
      </w:r>
      <w:proofErr w:type="gramStart"/>
      <w:r w:rsidR="00E17A76" w:rsidRPr="00A94D8B">
        <w:t xml:space="preserve">A </w:t>
      </w:r>
      <w:r w:rsidR="009C4A3F" w:rsidRPr="00A94D8B">
        <w:t>Vulnerability</w:t>
      </w:r>
      <w:proofErr w:type="gramEnd"/>
      <w:r w:rsidR="009C4A3F" w:rsidRPr="00A94D8B">
        <w:t xml:space="preserve"> and Capacity Assessment (VCA) and the preparation of sector specific impact assessments leading to the preparation of National Adaptation Strategies and Action Plans (NASAP) were combined for the same amount of money but it eased ma</w:t>
      </w:r>
      <w:r w:rsidR="00C03180" w:rsidRPr="00A94D8B">
        <w:t>tt</w:t>
      </w:r>
      <w:r w:rsidR="009C4A3F" w:rsidRPr="00A94D8B">
        <w:t>ers because the studies did cover some of the same ground. This permitted both the consultancy firm and CCCCC to achieve efficie</w:t>
      </w:r>
      <w:r w:rsidR="00D87664" w:rsidRPr="00A94D8B">
        <w:t xml:space="preserve">ncy in terms of costs and time. </w:t>
      </w:r>
      <w:r w:rsidRPr="00A94D8B">
        <w:t>Another point brought up during the evaluation was that the EU was supposed to hire a consultant(s) to assist in designing the programme for the Caribbean.</w:t>
      </w:r>
      <w:r w:rsidR="009C4A3F" w:rsidRPr="00A94D8B">
        <w:t xml:space="preserve"> Finally</w:t>
      </w:r>
      <w:r w:rsidR="00C03180" w:rsidRPr="00A94D8B">
        <w:t>,</w:t>
      </w:r>
      <w:r w:rsidR="009C4A3F" w:rsidRPr="00A94D8B">
        <w:t xml:space="preserve"> it was determined that the EU would not be able to do this so</w:t>
      </w:r>
      <w:r w:rsidR="00C1556C" w:rsidRPr="00A94D8B">
        <w:t xml:space="preserve"> </w:t>
      </w:r>
      <w:r w:rsidR="00BF08A9" w:rsidRPr="00A94D8B">
        <w:t>the CCCCC</w:t>
      </w:r>
      <w:r w:rsidR="009C4A3F" w:rsidRPr="00A94D8B">
        <w:t xml:space="preserve"> quickly completed the task itself to make up for the lost time.  </w:t>
      </w:r>
    </w:p>
    <w:p w:rsidR="00C1556C" w:rsidRPr="00A94D8B" w:rsidRDefault="00C1556C" w:rsidP="00AD1C0A">
      <w:r w:rsidRPr="00A94D8B">
        <w:t xml:space="preserve">At the onset of the </w:t>
      </w:r>
      <w:r w:rsidR="00C03180" w:rsidRPr="00A94D8B">
        <w:t>ClimDev</w:t>
      </w:r>
      <w:r w:rsidRPr="00A94D8B">
        <w:t xml:space="preserve"> programme</w:t>
      </w:r>
      <w:r w:rsidR="00C03180" w:rsidRPr="00A94D8B">
        <w:t>,</w:t>
      </w:r>
      <w:r w:rsidRPr="00A94D8B">
        <w:t xml:space="preserve"> stakeholders were</w:t>
      </w:r>
      <w:r w:rsidR="003E6CBC" w:rsidRPr="00A94D8B">
        <w:t xml:space="preserve"> rightfully in agreement that </w:t>
      </w:r>
      <w:r w:rsidRPr="00A94D8B">
        <w:t>the programme should be</w:t>
      </w:r>
      <w:r w:rsidR="0045585D">
        <w:t xml:space="preserve"> an African driven initiative. </w:t>
      </w:r>
      <w:r w:rsidRPr="00A94D8B">
        <w:t>The principal African partners include the African Union Commission, UNECA, th</w:t>
      </w:r>
      <w:r w:rsidR="003E6CBC" w:rsidRPr="00A94D8B">
        <w:t>e AfDB and the International Re</w:t>
      </w:r>
      <w:r w:rsidRPr="00A94D8B">
        <w:t>search Institute for Climate and Society (IRI) is a</w:t>
      </w:r>
      <w:r w:rsidR="0045585D">
        <w:t xml:space="preserve"> key NGO partner. </w:t>
      </w:r>
      <w:r w:rsidR="003E6CBC" w:rsidRPr="00A94D8B">
        <w:t>A major weak</w:t>
      </w:r>
      <w:r w:rsidRPr="00A94D8B">
        <w:t>ness with this team of partner</w:t>
      </w:r>
      <w:r w:rsidR="003E6CBC" w:rsidRPr="00A94D8B">
        <w:t>s</w:t>
      </w:r>
      <w:r w:rsidRPr="00A94D8B">
        <w:t xml:space="preserve"> is their </w:t>
      </w:r>
      <w:r w:rsidR="00130A2A" w:rsidRPr="00A94D8B">
        <w:t>limited a</w:t>
      </w:r>
      <w:r w:rsidRPr="00A94D8B">
        <w:t>bility to recruit and retain staf</w:t>
      </w:r>
      <w:r w:rsidR="00402155" w:rsidRPr="00A94D8B">
        <w:t>f in support of the programme. Also, l</w:t>
      </w:r>
      <w:r w:rsidRPr="00A94D8B">
        <w:t>ow di</w:t>
      </w:r>
      <w:r w:rsidRPr="00A94D8B">
        <w:t>s</w:t>
      </w:r>
      <w:r w:rsidRPr="00A94D8B">
        <w:t>bursement and implementation rates remain an issue. As with the COMESA programme, this evaluation process did not afford enou</w:t>
      </w:r>
      <w:r w:rsidR="00402155" w:rsidRPr="00A94D8B">
        <w:t>gh time to understand and analys</w:t>
      </w:r>
      <w:r w:rsidRPr="00A94D8B">
        <w:t>e all the complexities related to</w:t>
      </w:r>
      <w:r w:rsidR="003E6CBC" w:rsidRPr="00A94D8B">
        <w:t xml:space="preserve"> the </w:t>
      </w:r>
      <w:r w:rsidR="00130A2A" w:rsidRPr="00A94D8B">
        <w:t>ClimDev</w:t>
      </w:r>
      <w:r w:rsidR="003E6CBC" w:rsidRPr="00A94D8B">
        <w:t xml:space="preserve"> i</w:t>
      </w:r>
      <w:r w:rsidR="00130A2A" w:rsidRPr="00A94D8B">
        <w:t>n</w:t>
      </w:r>
      <w:r w:rsidR="003E6CBC" w:rsidRPr="00A94D8B">
        <w:t>it</w:t>
      </w:r>
      <w:r w:rsidR="00130A2A" w:rsidRPr="00A94D8B">
        <w:t>i</w:t>
      </w:r>
      <w:r w:rsidR="003E6CBC" w:rsidRPr="00A94D8B">
        <w:t>ative. In particular, the evaluation process</w:t>
      </w:r>
      <w:r w:rsidRPr="00A94D8B">
        <w:t xml:space="preserve"> could not gain a good picture of ACPC’s work on managing a pipeline of projects that are to be funded. Also</w:t>
      </w:r>
      <w:r w:rsidR="00130A2A" w:rsidRPr="00A94D8B">
        <w:t>,</w:t>
      </w:r>
      <w:r w:rsidRPr="00A94D8B">
        <w:t xml:space="preserve"> what needed to be better </w:t>
      </w:r>
      <w:r w:rsidR="00402155" w:rsidRPr="00A94D8B">
        <w:t xml:space="preserve">understood is </w:t>
      </w:r>
      <w:proofErr w:type="spellStart"/>
      <w:r w:rsidR="00402155" w:rsidRPr="00A94D8B">
        <w:t>AfDB’s</w:t>
      </w:r>
      <w:proofErr w:type="spellEnd"/>
      <w:r w:rsidR="00402155" w:rsidRPr="00A94D8B">
        <w:t xml:space="preserve"> efforts </w:t>
      </w:r>
      <w:r w:rsidRPr="00A94D8B">
        <w:t>support</w:t>
      </w:r>
      <w:r w:rsidR="00402155" w:rsidRPr="00A94D8B">
        <w:t>ing the preparation</w:t>
      </w:r>
      <w:r w:rsidRPr="00A94D8B">
        <w:t xml:space="preserve"> </w:t>
      </w:r>
      <w:r w:rsidR="00402155" w:rsidRPr="00A94D8B">
        <w:t xml:space="preserve">of </w:t>
      </w:r>
      <w:r w:rsidRPr="00A94D8B">
        <w:t>the corre</w:t>
      </w:r>
      <w:r w:rsidRPr="00A94D8B">
        <w:t>s</w:t>
      </w:r>
      <w:r w:rsidRPr="00A94D8B">
        <w:t>ponding invest</w:t>
      </w:r>
      <w:r w:rsidR="00402155" w:rsidRPr="00A94D8B">
        <w:t>ment plans that were</w:t>
      </w:r>
      <w:r w:rsidR="003E6CBC" w:rsidRPr="00A94D8B">
        <w:t xml:space="preserve"> expected to a</w:t>
      </w:r>
      <w:r w:rsidR="0045585D">
        <w:t xml:space="preserve">ccompany the ClimDev programme. </w:t>
      </w:r>
      <w:r w:rsidR="003E6CBC" w:rsidRPr="00A94D8B">
        <w:t>A cl</w:t>
      </w:r>
      <w:r w:rsidR="003E6CBC" w:rsidRPr="00A94D8B">
        <w:t>i</w:t>
      </w:r>
      <w:r w:rsidR="003E6CBC" w:rsidRPr="00A94D8B">
        <w:t xml:space="preserve">mate change fund, the ClimDev-Africa Special Fund (CDSF) with financing supplied by donors to the amount of 30 million U.S Dollars was to be created. </w:t>
      </w:r>
      <w:r w:rsidRPr="00A94D8B">
        <w:t>Since 2012, the ClimDev partners have urged their technical teams to engage with donors to ensure reaching the min</w:t>
      </w:r>
      <w:r w:rsidRPr="00A94D8B">
        <w:t>i</w:t>
      </w:r>
      <w:r w:rsidRPr="00A94D8B">
        <w:t>mum statutory amount of US$ 30 million for the CDSF to b</w:t>
      </w:r>
      <w:r w:rsidR="00402155" w:rsidRPr="00A94D8B">
        <w:t>ecome operational. However to</w:t>
      </w:r>
      <w:r w:rsidRPr="00A94D8B">
        <w:t xml:space="preserve"> date, this objective has not been realised. </w:t>
      </w:r>
      <w:r w:rsidR="00E17A76" w:rsidRPr="00A94D8B">
        <w:t>This is a</w:t>
      </w:r>
      <w:r w:rsidR="003E6CBC" w:rsidRPr="00A94D8B">
        <w:t xml:space="preserve"> major programming shortcoming. </w:t>
      </w:r>
    </w:p>
    <w:p w:rsidR="00C1556C" w:rsidRPr="00A94D8B" w:rsidRDefault="00C1556C" w:rsidP="00AD1C0A">
      <w:r w:rsidRPr="00A94D8B">
        <w:t xml:space="preserve">In terms of the COMESA led programme, one could imagine a scenario where a smaller amount of financial resources being spent in a more strategic manner </w:t>
      </w:r>
      <w:r w:rsidR="003E6CBC" w:rsidRPr="00A94D8B">
        <w:t xml:space="preserve">would have </w:t>
      </w:r>
      <w:r w:rsidRPr="00A94D8B">
        <w:t>result</w:t>
      </w:r>
      <w:r w:rsidR="003E6CBC" w:rsidRPr="00A94D8B">
        <w:t>ed</w:t>
      </w:r>
      <w:r w:rsidRPr="00A94D8B">
        <w:t xml:space="preserve"> in a better programme. As of the summer of 2013, only 7% of the EU budgetary contribution</w:t>
      </w:r>
      <w:r w:rsidR="0045585D">
        <w:t xml:space="preserve"> was disbursed. </w:t>
      </w:r>
      <w:r w:rsidR="003E6CBC" w:rsidRPr="00A94D8B">
        <w:t>COMESA recognis</w:t>
      </w:r>
      <w:r w:rsidRPr="00A94D8B">
        <w:t xml:space="preserve">es that spending has been slow and that request for a </w:t>
      </w:r>
      <w:r w:rsidR="005D12BF" w:rsidRPr="00A94D8B">
        <w:t xml:space="preserve">budget neutral </w:t>
      </w:r>
      <w:r w:rsidRPr="00A94D8B">
        <w:t xml:space="preserve">extension will be required. Nevertheless, disbursement has increased to 40% through the latter part of 2013 and into 2014. </w:t>
      </w:r>
      <w:r w:rsidR="003E6CBC" w:rsidRPr="00A94D8B">
        <w:t>Ac</w:t>
      </w:r>
      <w:r w:rsidRPr="00A94D8B">
        <w:t>cording to COMESA</w:t>
      </w:r>
      <w:r w:rsidR="005D12BF" w:rsidRPr="00A94D8B">
        <w:t>,</w:t>
      </w:r>
      <w:r w:rsidRPr="00A94D8B">
        <w:t xml:space="preserve"> it may appear that the programme had taken on more than it could handle but the situation is changing as team strength and absorption capacity have increased. A ROM </w:t>
      </w:r>
      <w:r w:rsidR="005D12BF" w:rsidRPr="00A94D8B">
        <w:t xml:space="preserve">mission </w:t>
      </w:r>
      <w:r w:rsidRPr="00A94D8B">
        <w:t xml:space="preserve">completed in 2013 and </w:t>
      </w:r>
      <w:r w:rsidR="00FD48A1" w:rsidRPr="00A94D8B">
        <w:t>reports from the Department for International Development (</w:t>
      </w:r>
      <w:r w:rsidRPr="00A94D8B">
        <w:t>DFID</w:t>
      </w:r>
      <w:r w:rsidR="00FD48A1" w:rsidRPr="00A94D8B">
        <w:t xml:space="preserve">), a programme donor, </w:t>
      </w:r>
      <w:r w:rsidRPr="00A94D8B">
        <w:t xml:space="preserve">circulated shortly afterward </w:t>
      </w:r>
      <w:r w:rsidR="00FD48A1" w:rsidRPr="00A94D8B">
        <w:t xml:space="preserve">that </w:t>
      </w:r>
      <w:r w:rsidRPr="00A94D8B">
        <w:t>were highly critical</w:t>
      </w:r>
      <w:r w:rsidR="003E6CBC" w:rsidRPr="00A94D8B">
        <w:t xml:space="preserve"> of the COMESA programme</w:t>
      </w:r>
      <w:r w:rsidRPr="00A94D8B">
        <w:t>. The cha</w:t>
      </w:r>
      <w:r w:rsidRPr="00A94D8B">
        <w:t>l</w:t>
      </w:r>
      <w:r w:rsidRPr="00A94D8B">
        <w:t>lenges faced by the Programme are openly discussed. While improving, there is a concern with COMESA`s management style that is criticised for being too slow and arbitrary</w:t>
      </w:r>
      <w:r w:rsidR="003E6CBC" w:rsidRPr="00A94D8B">
        <w:t xml:space="preserve"> and at times overbearing</w:t>
      </w:r>
      <w:r w:rsidR="0045585D">
        <w:t xml:space="preserve">. </w:t>
      </w:r>
      <w:r w:rsidRPr="00A94D8B">
        <w:t>Concerns about COMESA administra</w:t>
      </w:r>
      <w:r w:rsidR="003E6CBC" w:rsidRPr="00A94D8B">
        <w:t>tion led DFID to take back</w:t>
      </w:r>
      <w:r w:rsidRPr="00A94D8B">
        <w:t xml:space="preserve"> control of DFID funding for the Objective No</w:t>
      </w:r>
      <w:r w:rsidR="005D12BF" w:rsidRPr="00A94D8B">
        <w:t>. 5</w:t>
      </w:r>
      <w:r w:rsidRPr="00A94D8B">
        <w:t xml:space="preserve"> on implementing Climate </w:t>
      </w:r>
      <w:r w:rsidR="005D12BF" w:rsidRPr="00A94D8B">
        <w:t>V</w:t>
      </w:r>
      <w:r w:rsidRPr="00A94D8B">
        <w:t xml:space="preserve">ulnerability </w:t>
      </w:r>
      <w:r w:rsidR="005D12BF" w:rsidRPr="00A94D8B">
        <w:t>A</w:t>
      </w:r>
      <w:r w:rsidRPr="00A94D8B">
        <w:t>sses</w:t>
      </w:r>
      <w:r w:rsidRPr="00A94D8B">
        <w:t>s</w:t>
      </w:r>
      <w:r w:rsidRPr="00A94D8B">
        <w:t xml:space="preserve">ments and </w:t>
      </w:r>
      <w:r w:rsidR="005D12BF" w:rsidRPr="00A94D8B">
        <w:t>A</w:t>
      </w:r>
      <w:r w:rsidRPr="00A94D8B">
        <w:t xml:space="preserve">nalysis and Objective </w:t>
      </w:r>
      <w:r w:rsidR="005D12BF" w:rsidRPr="00A94D8B">
        <w:t xml:space="preserve">7 </w:t>
      </w:r>
      <w:r w:rsidRPr="00A94D8B">
        <w:t xml:space="preserve">on the Results Facility for up-scaling CSA activities.    </w:t>
      </w:r>
    </w:p>
    <w:p w:rsidR="00C1556C" w:rsidRPr="00A94D8B" w:rsidRDefault="00C1556C" w:rsidP="00AD1C0A">
      <w:r w:rsidRPr="00A94D8B">
        <w:t>Establishing clearer divisions of responsibilities between the three RECs that would be r</w:t>
      </w:r>
      <w:r w:rsidRPr="00A94D8B">
        <w:t>e</w:t>
      </w:r>
      <w:r w:rsidRPr="00A94D8B">
        <w:t>flected in a reworked logframe would create a more effective management structure. There is currently too much overlap between the three RECs and coordination can be a problem.  Simple requests for assistance can fall through the cracks</w:t>
      </w:r>
      <w:r w:rsidR="00E17A76" w:rsidRPr="00A94D8B">
        <w:t xml:space="preserve"> as was experienced by</w:t>
      </w:r>
      <w:r w:rsidR="00206A7F" w:rsidRPr="00A94D8B">
        <w:t xml:space="preserve"> Moza</w:t>
      </w:r>
      <w:r w:rsidR="00206A7F" w:rsidRPr="00A94D8B">
        <w:t>m</w:t>
      </w:r>
      <w:r w:rsidR="00206A7F" w:rsidRPr="00A94D8B">
        <w:t xml:space="preserve">bique </w:t>
      </w:r>
      <w:r w:rsidR="00E17A76" w:rsidRPr="00A94D8B">
        <w:t xml:space="preserve">when it tried to make a request for support. </w:t>
      </w:r>
      <w:r w:rsidRPr="00A94D8B">
        <w:t>Activities can be held in a region with</w:t>
      </w:r>
      <w:r w:rsidR="00206A7F" w:rsidRPr="00A94D8B">
        <w:t>out them</w:t>
      </w:r>
      <w:r w:rsidRPr="00A94D8B">
        <w:t xml:space="preserve"> being properly communicated to all concerned par</w:t>
      </w:r>
      <w:r w:rsidR="00E17A76" w:rsidRPr="00A94D8B">
        <w:t xml:space="preserve">ties. </w:t>
      </w:r>
      <w:r w:rsidRPr="00A94D8B">
        <w:t>While EAC and SADC struggled to staff positions, their financial resources were withheld. SADC and EAC understand that COMESA and the donors want to ensure that money is being injected into the best possible administra</w:t>
      </w:r>
      <w:r w:rsidR="00206A7F" w:rsidRPr="00A94D8B">
        <w:t>tive and technical struc</w:t>
      </w:r>
      <w:r w:rsidRPr="00A94D8B">
        <w:t>tures possible, but it is felt that a more flexible approach to the situation might have been more effective</w:t>
      </w:r>
      <w:r w:rsidR="00AB6C4C" w:rsidRPr="00A94D8B">
        <w:t>,</w:t>
      </w:r>
      <w:r w:rsidRPr="00A94D8B">
        <w:t xml:space="preserve"> especially as it relates to the operational needs of the two organisations.</w:t>
      </w:r>
      <w:r w:rsidR="00206A7F" w:rsidRPr="00A94D8B">
        <w:t xml:space="preserve"> Each organisation ha</w:t>
      </w:r>
      <w:r w:rsidR="00AB6C4C" w:rsidRPr="00A94D8B">
        <w:t>s</w:t>
      </w:r>
      <w:r w:rsidR="00206A7F" w:rsidRPr="00A94D8B">
        <w:t xml:space="preserve"> its own administrative procedures that have to be respected and this can slow matters down.</w:t>
      </w:r>
    </w:p>
    <w:p w:rsidR="00C1556C" w:rsidRPr="00A94D8B" w:rsidRDefault="00206A7F" w:rsidP="00AD1C0A">
      <w:r w:rsidRPr="00A94D8B">
        <w:t>The circumstances related to</w:t>
      </w:r>
      <w:r w:rsidR="00C1556C" w:rsidRPr="00A94D8B">
        <w:t xml:space="preserve"> ClimDev and the COMESA programme draw attention to the </w:t>
      </w:r>
      <w:r w:rsidRPr="00A94D8B">
        <w:t>role or lack thereof</w:t>
      </w:r>
      <w:r w:rsidR="00C1556C" w:rsidRPr="00A94D8B">
        <w:t xml:space="preserve"> </w:t>
      </w:r>
      <w:r w:rsidRPr="00A94D8B">
        <w:t>of the CSF. Its support has been largely absent from</w:t>
      </w:r>
      <w:r w:rsidR="00C1556C" w:rsidRPr="00A94D8B">
        <w:t xml:space="preserve"> both programmes while the much more successful CILSS/Agrhymet programme </w:t>
      </w:r>
      <w:r w:rsidRPr="00A94D8B">
        <w:t xml:space="preserve">has made extensive use </w:t>
      </w:r>
      <w:r w:rsidR="00C1556C" w:rsidRPr="00A94D8B">
        <w:t>of the service</w:t>
      </w:r>
      <w:r w:rsidRPr="00A94D8B">
        <w:t xml:space="preserve"> at no cost</w:t>
      </w:r>
      <w:r w:rsidR="00C1556C" w:rsidRPr="00A94D8B">
        <w:t xml:space="preserve">. The CSF provides short-term customised </w:t>
      </w:r>
      <w:r w:rsidR="00950F78" w:rsidRPr="00A94D8B">
        <w:t>TA</w:t>
      </w:r>
      <w:r w:rsidR="00C1556C" w:rsidRPr="00A94D8B">
        <w:t xml:space="preserve"> and tra</w:t>
      </w:r>
      <w:r w:rsidRPr="00A94D8B">
        <w:t>ining to ACP member states. The</w:t>
      </w:r>
      <w:r w:rsidR="00C1556C" w:rsidRPr="00A94D8B">
        <w:t xml:space="preserve"> Facility consists of a pool of experts in a range of areas related to climate change. The experts are ac</w:t>
      </w:r>
      <w:r w:rsidRPr="00A94D8B">
        <w:t>cessed through an on-</w:t>
      </w:r>
      <w:r w:rsidR="00C1556C" w:rsidRPr="00A94D8B">
        <w:t>demand system. The expertise can be used for trai</w:t>
      </w:r>
      <w:r w:rsidR="00C1556C" w:rsidRPr="00A94D8B">
        <w:t>n</w:t>
      </w:r>
      <w:r w:rsidRPr="00A94D8B">
        <w:t>ing purposes</w:t>
      </w:r>
      <w:r w:rsidR="00C1556C" w:rsidRPr="00A94D8B">
        <w:t xml:space="preserve">, workshops, capacity building, project identification/formulation, feasibility studies, assessment of projects and help to access funding and policy development, strategies, roadmaps preparation. </w:t>
      </w:r>
      <w:r w:rsidRPr="00A94D8B">
        <w:t xml:space="preserve"> </w:t>
      </w:r>
      <w:r w:rsidR="00C1556C" w:rsidRPr="00A94D8B">
        <w:t xml:space="preserve"> </w:t>
      </w:r>
    </w:p>
    <w:p w:rsidR="00C1556C" w:rsidRPr="00A94D8B" w:rsidRDefault="00C1556C" w:rsidP="00AD1C0A">
      <w:r w:rsidRPr="00A94D8B">
        <w:t xml:space="preserve">With the COMESA and </w:t>
      </w:r>
      <w:r w:rsidR="002D6C51" w:rsidRPr="00A94D8B">
        <w:t>ClimDev programmes</w:t>
      </w:r>
      <w:r w:rsidRPr="00A94D8B">
        <w:t xml:space="preserve">, there is a concern regarding EU oversight. </w:t>
      </w:r>
      <w:r w:rsidR="002D6C51" w:rsidRPr="00A94D8B">
        <w:t xml:space="preserve">For </w:t>
      </w:r>
      <w:r w:rsidRPr="00A94D8B">
        <w:t xml:space="preserve">the COMESA programme, the EU </w:t>
      </w:r>
      <w:r w:rsidR="002D6C51" w:rsidRPr="00A94D8B">
        <w:t xml:space="preserve">Delegation to </w:t>
      </w:r>
      <w:r w:rsidRPr="00A94D8B">
        <w:t xml:space="preserve">Zambia oversees the Programme which is implemented in 26 countries. During </w:t>
      </w:r>
      <w:r w:rsidR="002D6C51" w:rsidRPr="00A94D8B">
        <w:t xml:space="preserve">the programme’s </w:t>
      </w:r>
      <w:r w:rsidRPr="00A94D8B">
        <w:t>lifetime</w:t>
      </w:r>
      <w:r w:rsidR="002D6C51" w:rsidRPr="00A94D8B">
        <w:t>,</w:t>
      </w:r>
      <w:r w:rsidRPr="00A94D8B">
        <w:t xml:space="preserve"> there have been a number of staff changes within the EU Zambia office. The current EU project officer does have some experience managing EU climate change project activity but this is not his </w:t>
      </w:r>
      <w:r w:rsidR="00206A7F" w:rsidRPr="00A94D8B">
        <w:t xml:space="preserve">first </w:t>
      </w:r>
      <w:r w:rsidRPr="00A94D8B">
        <w:t>area of expe</w:t>
      </w:r>
      <w:r w:rsidRPr="00A94D8B">
        <w:t>r</w:t>
      </w:r>
      <w:r w:rsidR="00206A7F" w:rsidRPr="00A94D8B">
        <w:t>tise.  The CSA activities of the COMESA programme are</w:t>
      </w:r>
      <w:r w:rsidRPr="00A94D8B">
        <w:t xml:space="preserve"> led from Lusaka but there are </w:t>
      </w:r>
      <w:r w:rsidR="00206A7F" w:rsidRPr="00A94D8B">
        <w:t xml:space="preserve">also </w:t>
      </w:r>
      <w:r w:rsidRPr="00A94D8B">
        <w:t>EU representatives to SADC and the EAC</w:t>
      </w:r>
      <w:r w:rsidR="00D77B28" w:rsidRPr="00A94D8B">
        <w:t xml:space="preserve"> who could provide oversight to activities in their respective regions</w:t>
      </w:r>
      <w:r w:rsidRPr="00A94D8B">
        <w:t xml:space="preserve">. </w:t>
      </w:r>
      <w:r w:rsidR="002D6C51" w:rsidRPr="00A94D8B">
        <w:t xml:space="preserve">The mission wondered whether </w:t>
      </w:r>
      <w:r w:rsidRPr="00A94D8B">
        <w:t xml:space="preserve">EU </w:t>
      </w:r>
      <w:r w:rsidR="002D6C51" w:rsidRPr="00A94D8B">
        <w:t xml:space="preserve">staff </w:t>
      </w:r>
      <w:r w:rsidRPr="00A94D8B">
        <w:t xml:space="preserve">in Gaborone and Arusha </w:t>
      </w:r>
      <w:r w:rsidR="002D6C51" w:rsidRPr="00A94D8B">
        <w:t>Deleg</w:t>
      </w:r>
      <w:r w:rsidR="002D6C51" w:rsidRPr="00A94D8B">
        <w:t>a</w:t>
      </w:r>
      <w:r w:rsidR="002D6C51" w:rsidRPr="00A94D8B">
        <w:t xml:space="preserve">tions </w:t>
      </w:r>
      <w:r w:rsidRPr="00A94D8B">
        <w:t>could not be more activ</w:t>
      </w:r>
      <w:r w:rsidR="002D6C51" w:rsidRPr="00A94D8B">
        <w:t>ely</w:t>
      </w:r>
      <w:r w:rsidRPr="00A94D8B">
        <w:t xml:space="preserve"> involved in the CSA pro</w:t>
      </w:r>
      <w:r w:rsidR="00206A7F" w:rsidRPr="00A94D8B">
        <w:t>gramme</w:t>
      </w:r>
      <w:r w:rsidR="002D6C51" w:rsidRPr="00A94D8B">
        <w:t>.</w:t>
      </w:r>
      <w:r w:rsidR="00206A7F" w:rsidRPr="00A94D8B">
        <w:t xml:space="preserve"> </w:t>
      </w:r>
      <w:r w:rsidR="0046682F" w:rsidRPr="00A94D8B">
        <w:t xml:space="preserve">Possibly, </w:t>
      </w:r>
      <w:r w:rsidR="00206A7F" w:rsidRPr="00A94D8B">
        <w:t>a</w:t>
      </w:r>
      <w:r w:rsidR="0046682F" w:rsidRPr="00A94D8B">
        <w:t>n external</w:t>
      </w:r>
      <w:r w:rsidR="00206A7F" w:rsidRPr="00A94D8B">
        <w:t xml:space="preserve"> pr</w:t>
      </w:r>
      <w:r w:rsidR="00206A7F" w:rsidRPr="00A94D8B">
        <w:t>o</w:t>
      </w:r>
      <w:r w:rsidR="00206A7F" w:rsidRPr="00A94D8B">
        <w:t xml:space="preserve">gramme monitor </w:t>
      </w:r>
      <w:r w:rsidR="0046682F" w:rsidRPr="00A94D8B">
        <w:t xml:space="preserve">could </w:t>
      </w:r>
      <w:r w:rsidRPr="00A94D8B">
        <w:t>work with the M&amp;E focal points of COMESA, SADC, EAC</w:t>
      </w:r>
      <w:r w:rsidR="0046682F" w:rsidRPr="00A94D8B">
        <w:t xml:space="preserve">, with the </w:t>
      </w:r>
      <w:r w:rsidRPr="00A94D8B">
        <w:t xml:space="preserve">EU </w:t>
      </w:r>
      <w:r w:rsidR="0046682F" w:rsidRPr="00A94D8B">
        <w:t xml:space="preserve">keeping oversight of </w:t>
      </w:r>
      <w:r w:rsidRPr="00A94D8B">
        <w:t>the Programme</w:t>
      </w:r>
      <w:r w:rsidR="0046682F" w:rsidRPr="00A94D8B">
        <w:t xml:space="preserve"> as a whole. </w:t>
      </w:r>
      <w:r w:rsidRPr="00A94D8B">
        <w:t xml:space="preserve">   </w:t>
      </w:r>
    </w:p>
    <w:p w:rsidR="00C1556C" w:rsidRPr="00A94D8B" w:rsidRDefault="00C1556C" w:rsidP="00AD1C0A">
      <w:r w:rsidRPr="00A94D8B">
        <w:t xml:space="preserve">It seems that more should be done in terms of securing additional climate financing to extend the impact of the </w:t>
      </w:r>
      <w:r w:rsidR="000E5D6D" w:rsidRPr="00A94D8B">
        <w:t xml:space="preserve">COMESA-led </w:t>
      </w:r>
      <w:r w:rsidRPr="00A94D8B">
        <w:t xml:space="preserve">Programme. </w:t>
      </w:r>
      <w:r w:rsidR="00A24ACD" w:rsidRPr="00A94D8B">
        <w:t>However, Africa has</w:t>
      </w:r>
      <w:r w:rsidRPr="00A94D8B">
        <w:t xml:space="preserve"> always </w:t>
      </w:r>
      <w:r w:rsidR="00A24ACD" w:rsidRPr="00A94D8B">
        <w:t xml:space="preserve">been </w:t>
      </w:r>
      <w:r w:rsidRPr="00A94D8B">
        <w:t>marginal in the Carbon mar</w:t>
      </w:r>
      <w:r w:rsidR="00A24ACD" w:rsidRPr="00A94D8B">
        <w:t xml:space="preserve">kets and with </w:t>
      </w:r>
      <w:r w:rsidR="0046682F" w:rsidRPr="00A94D8B">
        <w:t xml:space="preserve">the </w:t>
      </w:r>
      <w:r w:rsidR="00A24ACD" w:rsidRPr="00A94D8B">
        <w:t>programme</w:t>
      </w:r>
      <w:r w:rsidRPr="00A94D8B">
        <w:t xml:space="preserve"> focu</w:t>
      </w:r>
      <w:r w:rsidR="000E5D6D" w:rsidRPr="00A94D8B">
        <w:t xml:space="preserve">s on small scale agriculture it is </w:t>
      </w:r>
      <w:r w:rsidRPr="00A94D8B">
        <w:t>hardly set up to attract financ</w:t>
      </w:r>
      <w:r w:rsidR="00A24ACD" w:rsidRPr="00A94D8B">
        <w:t xml:space="preserve">ing. </w:t>
      </w:r>
      <w:r w:rsidRPr="00A94D8B">
        <w:t>On the other hand, there is funding available for well thought-out a</w:t>
      </w:r>
      <w:r w:rsidRPr="00A94D8B">
        <w:t>d</w:t>
      </w:r>
      <w:r w:rsidRPr="00A94D8B">
        <w:t xml:space="preserve">aptation projects that could involve the agriculture, water, forestry or land use sectors or a combination of these sectors. </w:t>
      </w:r>
    </w:p>
    <w:p w:rsidR="00C03180" w:rsidRPr="00A94D8B" w:rsidRDefault="00C03180" w:rsidP="00C03180">
      <w:r w:rsidRPr="00A94D8B">
        <w:t>For the USP programme, good progress was made in project implementation after the change of direction with the arrival of a new Director in 2013, in partnership with the current pr</w:t>
      </w:r>
      <w:r w:rsidRPr="00A94D8B">
        <w:t>o</w:t>
      </w:r>
      <w:r w:rsidRPr="00A94D8B">
        <w:t xml:space="preserve">gramme manager. Nonetheless, the level of efficiency of certain activities was questioned, such as the fees charged for the project’s regional scholarship students. The EU Delegation was informed of this and an audit will start in July 2014 to further explore this assertion. </w:t>
      </w:r>
    </w:p>
    <w:p w:rsidR="00C03180" w:rsidRPr="00A94D8B" w:rsidRDefault="00C03180" w:rsidP="00C03180">
      <w:r w:rsidRPr="00A94D8B">
        <w:t>With the PSIS programme, the project management team is directly attached to the SPC</w:t>
      </w:r>
      <w:r w:rsidR="000E5D6D" w:rsidRPr="00A94D8B">
        <w:t xml:space="preserve">’s Deputy Director General </w:t>
      </w:r>
      <w:r w:rsidRPr="00A94D8B">
        <w:t>for Operations who oversees all six SPC divisions. Given that cl</w:t>
      </w:r>
      <w:r w:rsidRPr="00A94D8B">
        <w:t>i</w:t>
      </w:r>
      <w:r w:rsidRPr="00A94D8B">
        <w:t>mate change is such a cross-cutting issue, the location of the project management team under the D</w:t>
      </w:r>
      <w:r w:rsidR="000E5D6D" w:rsidRPr="00A94D8B">
        <w:t xml:space="preserve">eputy </w:t>
      </w:r>
      <w:r w:rsidRPr="00A94D8B">
        <w:t>D</w:t>
      </w:r>
      <w:r w:rsidR="000E5D6D" w:rsidRPr="00A94D8B">
        <w:t xml:space="preserve">irector </w:t>
      </w:r>
      <w:r w:rsidRPr="00A94D8B">
        <w:t>G</w:t>
      </w:r>
      <w:r w:rsidR="000E5D6D" w:rsidRPr="00A94D8B">
        <w:t>eneral</w:t>
      </w:r>
      <w:r w:rsidRPr="00A94D8B">
        <w:t xml:space="preserve"> turned out to be very strategic in turns of reaching out to all the sectors touched by the PSIS programme. Once initial administrative challenges were ove</w:t>
      </w:r>
      <w:r w:rsidRPr="00A94D8B">
        <w:t>r</w:t>
      </w:r>
      <w:r w:rsidRPr="00A94D8B">
        <w:t>come, disbursement levels increased considerably pointing at an increasing rate of impleme</w:t>
      </w:r>
      <w:r w:rsidRPr="00A94D8B">
        <w:t>n</w:t>
      </w:r>
      <w:r w:rsidRPr="00A94D8B">
        <w:t>tation.</w:t>
      </w:r>
    </w:p>
    <w:p w:rsidR="008C3D4D" w:rsidRPr="00A94D8B" w:rsidRDefault="00BF6C84" w:rsidP="00C83B91">
      <w:r w:rsidRPr="00A94D8B">
        <w:t>One of the issues that</w:t>
      </w:r>
      <w:r w:rsidR="00D32F0B" w:rsidRPr="00A94D8B">
        <w:t xml:space="preserve"> is central to the </w:t>
      </w:r>
      <w:r w:rsidR="00E339D4" w:rsidRPr="00A94D8B">
        <w:t xml:space="preserve">Intra-ACP </w:t>
      </w:r>
      <w:r w:rsidR="00D32F0B" w:rsidRPr="00A94D8B">
        <w:t xml:space="preserve">Programme’s </w:t>
      </w:r>
      <w:r w:rsidR="00E339D4" w:rsidRPr="00A94D8B">
        <w:t xml:space="preserve">mandate </w:t>
      </w:r>
      <w:r w:rsidR="000E5D6D" w:rsidRPr="00A94D8B">
        <w:t xml:space="preserve">is </w:t>
      </w:r>
      <w:r w:rsidR="008C3D4D" w:rsidRPr="00A94D8B">
        <w:t xml:space="preserve">regarding how </w:t>
      </w:r>
      <w:r w:rsidR="00E339D4" w:rsidRPr="00A94D8B">
        <w:t>the pro</w:t>
      </w:r>
      <w:r w:rsidR="000E5D6D" w:rsidRPr="00A94D8B">
        <w:t xml:space="preserve">gramme has been building </w:t>
      </w:r>
      <w:r w:rsidR="00E339D4" w:rsidRPr="00A94D8B">
        <w:t>mechanism</w:t>
      </w:r>
      <w:r w:rsidR="000E5D6D" w:rsidRPr="00A94D8B">
        <w:t>(s)</w:t>
      </w:r>
      <w:r w:rsidR="00E339D4" w:rsidRPr="00A94D8B">
        <w:t xml:space="preserve"> </w:t>
      </w:r>
      <w:r w:rsidR="008C3D4D" w:rsidRPr="00A94D8B">
        <w:t>to integrate member state coun</w:t>
      </w:r>
      <w:r w:rsidR="00E339D4" w:rsidRPr="00A94D8B">
        <w:t>tries and regions</w:t>
      </w:r>
      <w:r w:rsidR="008C3D4D" w:rsidRPr="00A94D8B">
        <w:t xml:space="preserve"> into </w:t>
      </w:r>
      <w:r w:rsidR="00E339D4" w:rsidRPr="00A94D8B">
        <w:t xml:space="preserve">larger global </w:t>
      </w:r>
      <w:r w:rsidR="008C3D4D" w:rsidRPr="00A94D8B">
        <w:t xml:space="preserve">climate change </w:t>
      </w:r>
      <w:r w:rsidR="000E5D6D" w:rsidRPr="00A94D8B">
        <w:t xml:space="preserve">structures or processes. </w:t>
      </w:r>
      <w:r w:rsidR="00E339D4" w:rsidRPr="00A94D8B">
        <w:t>Along</w:t>
      </w:r>
      <w:r w:rsidR="000E5D6D" w:rsidRPr="00A94D8B">
        <w:t xml:space="preserve"> the same lines there is a que</w:t>
      </w:r>
      <w:r w:rsidR="000E5D6D" w:rsidRPr="00A94D8B">
        <w:t>s</w:t>
      </w:r>
      <w:r w:rsidR="000E5D6D" w:rsidRPr="00A94D8B">
        <w:t xml:space="preserve">tion on how </w:t>
      </w:r>
      <w:r w:rsidR="00E339D4" w:rsidRPr="00A94D8B">
        <w:t xml:space="preserve">efficient the Intra-ACP Programme has been </w:t>
      </w:r>
      <w:r w:rsidR="000E5D6D" w:rsidRPr="00A94D8B">
        <w:t xml:space="preserve">in </w:t>
      </w:r>
      <w:r w:rsidR="00321D72" w:rsidRPr="00A94D8B">
        <w:t xml:space="preserve">connecting to </w:t>
      </w:r>
      <w:r w:rsidR="00E339D4" w:rsidRPr="00A94D8B">
        <w:t xml:space="preserve">GCCA </w:t>
      </w:r>
      <w:r w:rsidR="00321D72" w:rsidRPr="00A94D8B">
        <w:t xml:space="preserve">national </w:t>
      </w:r>
      <w:r w:rsidR="00E339D4" w:rsidRPr="00A94D8B">
        <w:t>pro</w:t>
      </w:r>
      <w:r w:rsidR="00321D72" w:rsidRPr="00A94D8B">
        <w:t xml:space="preserve">grammes. What is sought </w:t>
      </w:r>
      <w:r w:rsidR="00E339D4" w:rsidRPr="00A94D8B">
        <w:t xml:space="preserve">in forging in this direction is greater </w:t>
      </w:r>
      <w:r w:rsidR="008C3D4D" w:rsidRPr="00A94D8B">
        <w:t>coher</w:t>
      </w:r>
      <w:r w:rsidR="006E555C" w:rsidRPr="00A94D8B">
        <w:t xml:space="preserve">ence and </w:t>
      </w:r>
      <w:r w:rsidR="008C3D4D" w:rsidRPr="00A94D8B">
        <w:t>complementar</w:t>
      </w:r>
      <w:r w:rsidR="006E555C" w:rsidRPr="00A94D8B">
        <w:t xml:space="preserve">ity with </w:t>
      </w:r>
      <w:r w:rsidR="008C3D4D" w:rsidRPr="00A94D8B">
        <w:t xml:space="preserve">different </w:t>
      </w:r>
      <w:r w:rsidR="006E555C" w:rsidRPr="00A94D8B">
        <w:t xml:space="preserve">EU </w:t>
      </w:r>
      <w:r w:rsidR="008C3D4D" w:rsidRPr="00A94D8B">
        <w:t>programmes</w:t>
      </w:r>
      <w:r w:rsidR="006E555C" w:rsidRPr="00A94D8B">
        <w:t xml:space="preserve">. As discussed in other parts of the report the </w:t>
      </w:r>
      <w:r w:rsidR="00321D72" w:rsidRPr="00A94D8B">
        <w:t xml:space="preserve">Intra ACP Programme could have been more efficient in both regards in terms of building regional </w:t>
      </w:r>
      <w:r w:rsidR="005F0990" w:rsidRPr="00A94D8B">
        <w:t xml:space="preserve">specific activities and nurturing global connections. The GCCA+ has to ensure that there is a stronger understanding that more effort has to be made in both areas.  </w:t>
      </w:r>
    </w:p>
    <w:p w:rsidR="006E555C" w:rsidRPr="00A94D8B" w:rsidRDefault="006E555C" w:rsidP="00C83B91">
      <w:r w:rsidRPr="00A94D8B">
        <w:t>There are a number of ma</w:t>
      </w:r>
      <w:r w:rsidR="00D32F0B" w:rsidRPr="00A94D8B">
        <w:t>tters related to the CSF as it pertains to</w:t>
      </w:r>
      <w:r w:rsidR="0045585D">
        <w:t xml:space="preserve"> efficiency. </w:t>
      </w:r>
      <w:r w:rsidRPr="00A94D8B">
        <w:t>Since its ince</w:t>
      </w:r>
      <w:r w:rsidRPr="00A94D8B">
        <w:t>p</w:t>
      </w:r>
      <w:r w:rsidRPr="00A94D8B">
        <w:t xml:space="preserve">tion, there has never been a steady demand for the services of the CSF. There have been </w:t>
      </w:r>
      <w:r w:rsidR="00F10130" w:rsidRPr="00A94D8B">
        <w:t>50 work orders covering a broad range of activities a</w:t>
      </w:r>
      <w:r w:rsidR="005F0990" w:rsidRPr="00A94D8B">
        <w:t>nd it is recognised that this has been</w:t>
      </w:r>
      <w:r w:rsidR="00F10130" w:rsidRPr="00A94D8B">
        <w:t xml:space="preserve"> disa</w:t>
      </w:r>
      <w:r w:rsidR="00F10130" w:rsidRPr="00A94D8B">
        <w:t>p</w:t>
      </w:r>
      <w:r w:rsidR="00F10130" w:rsidRPr="00A94D8B">
        <w:t>pointing.</w:t>
      </w:r>
      <w:r w:rsidR="005F0990" w:rsidRPr="00A94D8B">
        <w:t xml:space="preserve"> There has been roughly one work order a month. There were expectations that 2.5 works would have been a reasonable output. However, the figure of 2.5 a month is questioned as this might have been overly ambitious</w:t>
      </w:r>
      <w:r w:rsidR="00D32F0B" w:rsidRPr="00A94D8B">
        <w:t xml:space="preserve"> as this was established as an expectation in a period where the CSF was catching up after an initial slow start</w:t>
      </w:r>
      <w:r w:rsidR="005F0990" w:rsidRPr="00A94D8B">
        <w:t xml:space="preserve">. </w:t>
      </w:r>
      <w:r w:rsidR="00F10130" w:rsidRPr="00A94D8B">
        <w:t xml:space="preserve">There have been periods of more intense activity but there has also been noticeable slow period. </w:t>
      </w:r>
      <w:r w:rsidR="005F0990" w:rsidRPr="00A94D8B">
        <w:t>With the CSF the issue is a</w:t>
      </w:r>
      <w:r w:rsidR="005F0990" w:rsidRPr="00A94D8B">
        <w:t>l</w:t>
      </w:r>
      <w:r w:rsidR="005F0990" w:rsidRPr="00A94D8B">
        <w:t>ways that the service is demand driven and despite efforts to promote its use, the</w:t>
      </w:r>
      <w:r w:rsidR="00441391" w:rsidRPr="00A94D8B">
        <w:t xml:space="preserve"> demand has not increased. </w:t>
      </w:r>
      <w:r w:rsidR="002224CC" w:rsidRPr="00A94D8B">
        <w:t>This has resulted in a corresponding expenditure rate of approximately 50% of the budget, even though recent projects are slightly larger in size and budget.</w:t>
      </w:r>
      <w:r w:rsidR="005F0990" w:rsidRPr="00A94D8B">
        <w:t xml:space="preserve"> </w:t>
      </w:r>
      <w:r w:rsidR="00F10130" w:rsidRPr="00A94D8B">
        <w:t xml:space="preserve"> </w:t>
      </w:r>
    </w:p>
    <w:p w:rsidR="004E73CB" w:rsidRPr="00A94D8B" w:rsidRDefault="00732467" w:rsidP="00C83B91">
      <w:r w:rsidRPr="00A94D8B">
        <w:t>Another constraint is that information on initiatives across the GCCA strands (global and Intra-ACP) is not always properly shared. The same is true for exchange</w:t>
      </w:r>
      <w:r w:rsidR="00441391" w:rsidRPr="00A94D8B">
        <w:t>s</w:t>
      </w:r>
      <w:r w:rsidRPr="00A94D8B">
        <w:t xml:space="preserve"> of information b</w:t>
      </w:r>
      <w:r w:rsidRPr="00A94D8B">
        <w:t>e</w:t>
      </w:r>
      <w:r w:rsidRPr="00A94D8B">
        <w:t>tween the Regional Programmes and the CSF – which are both financed under the Intra ACP</w:t>
      </w:r>
      <w:r w:rsidR="00441391" w:rsidRPr="00A94D8B">
        <w:t xml:space="preserve"> GCCA programme. </w:t>
      </w:r>
      <w:r w:rsidR="00D32F0B" w:rsidRPr="00A94D8B">
        <w:t>Other than the Regional Team Meetings, there is no structured inte</w:t>
      </w:r>
      <w:r w:rsidR="00D32F0B" w:rsidRPr="00A94D8B">
        <w:t>r</w:t>
      </w:r>
      <w:r w:rsidR="00D32F0B" w:rsidRPr="00A94D8B">
        <w:t xml:space="preserve">communication between the CSF and partners of the regional programmes. </w:t>
      </w:r>
      <w:r w:rsidR="00441391" w:rsidRPr="00A94D8B">
        <w:t>The Technical Assistant</w:t>
      </w:r>
      <w:r w:rsidRPr="00A94D8B">
        <w:t xml:space="preserve"> </w:t>
      </w:r>
      <w:r w:rsidR="00441391" w:rsidRPr="00A94D8B">
        <w:t xml:space="preserve">to the </w:t>
      </w:r>
      <w:r w:rsidRPr="00A94D8B">
        <w:t>ACP Sec</w:t>
      </w:r>
      <w:r w:rsidR="00441391" w:rsidRPr="00A94D8B">
        <w:t>retariat</w:t>
      </w:r>
      <w:r w:rsidRPr="00A94D8B">
        <w:t xml:space="preserve"> would seem best placed to ensure and coordinate such co</w:t>
      </w:r>
      <w:r w:rsidRPr="00A94D8B">
        <w:t>m</w:t>
      </w:r>
      <w:r w:rsidRPr="00A94D8B">
        <w:t>muni</w:t>
      </w:r>
      <w:r w:rsidR="00D32F0B" w:rsidRPr="00A94D8B">
        <w:t xml:space="preserve">cation. Ongoing participation of </w:t>
      </w:r>
      <w:r w:rsidR="002224CC" w:rsidRPr="00A94D8B">
        <w:t xml:space="preserve">either the Technical Assistant to the ACP Secretariat or a representative of the CSF in regional programme steering committee meetings might be a solution. </w:t>
      </w:r>
      <w:r w:rsidR="0036329F" w:rsidRPr="00A94D8B">
        <w:t>A review of the ROM reports developed for CSF activity would indicate</w:t>
      </w:r>
      <w:r w:rsidR="002224CC" w:rsidRPr="00A94D8B">
        <w:t>s</w:t>
      </w:r>
      <w:r w:rsidR="0036329F" w:rsidRPr="00A94D8B">
        <w:t xml:space="preserve"> that the services provided are being well executed.</w:t>
      </w:r>
      <w:r w:rsidR="008B6B4A" w:rsidRPr="00A94D8B">
        <w:t xml:space="preserve"> Apart from CILSS, most regional programmes (CILSS, USP, CCCCC) making support requests to the CSF concerned coverage of incidental expenditure (travel, seminars, exchange visits), and not the TA.</w:t>
      </w:r>
      <w:r w:rsidR="002224CC" w:rsidRPr="00A94D8B">
        <w:t xml:space="preserve"> In the Pacific there are ong</w:t>
      </w:r>
      <w:r w:rsidR="002224CC" w:rsidRPr="00A94D8B">
        <w:t>o</w:t>
      </w:r>
      <w:r w:rsidR="002224CC" w:rsidRPr="00A94D8B">
        <w:t>ing negotiations with the ACP Secretariat to make amendments to allow for the funding of activities under the CSF that previously had not been covered such as covering travel cost of delegates to attend conferences. The evidence exists that the CSF can be an effective and e</w:t>
      </w:r>
      <w:r w:rsidR="002224CC" w:rsidRPr="00A94D8B">
        <w:t>f</w:t>
      </w:r>
      <w:r w:rsidR="002224CC" w:rsidRPr="00A94D8B">
        <w:t>ficient resource but it requires more attention</w:t>
      </w:r>
      <w:r w:rsidR="008F603A" w:rsidRPr="00A94D8B">
        <w:t xml:space="preserve"> and ongoing dialogue between stakeholders on how to make it more viable. </w:t>
      </w:r>
      <w:r w:rsidR="00F10130" w:rsidRPr="00A94D8B">
        <w:t>A</w:t>
      </w:r>
      <w:r w:rsidR="004E73CB" w:rsidRPr="00A94D8B">
        <w:t xml:space="preserve"> number of initiatives have been undertaken to enhance awar</w:t>
      </w:r>
      <w:r w:rsidR="004E73CB" w:rsidRPr="00A94D8B">
        <w:t>e</w:t>
      </w:r>
      <w:r w:rsidR="004E73CB" w:rsidRPr="00A94D8B">
        <w:t>ness and visibility</w:t>
      </w:r>
      <w:r w:rsidR="004C0E9C" w:rsidRPr="00A94D8B">
        <w:t xml:space="preserve"> of CSF.</w:t>
      </w:r>
      <w:r w:rsidR="004E73CB" w:rsidRPr="00A94D8B">
        <w:t xml:space="preserve"> </w:t>
      </w:r>
      <w:r w:rsidR="0036329F" w:rsidRPr="00A94D8B">
        <w:t xml:space="preserve">Given this is a complementary service; the question is why should the CSF have to go to any great length to promote its use? </w:t>
      </w:r>
      <w:r w:rsidR="008F603A" w:rsidRPr="00A94D8B">
        <w:t xml:space="preserve">The answer is of course there should be no need to promote the CSF if it is properly conceptualised. </w:t>
      </w:r>
    </w:p>
    <w:p w:rsidR="00825B35" w:rsidRPr="00A94D8B" w:rsidRDefault="00C1556C" w:rsidP="00C03180">
      <w:r w:rsidRPr="00A94D8B">
        <w:t>Given all these divergent tendencies it is difficult to assign an overall rating in terms of eff</w:t>
      </w:r>
      <w:r w:rsidRPr="00A94D8B">
        <w:t>i</w:t>
      </w:r>
      <w:r w:rsidRPr="00A94D8B">
        <w:t>ciency. Neverthel</w:t>
      </w:r>
      <w:r w:rsidR="00A24ACD" w:rsidRPr="00A94D8B">
        <w:t xml:space="preserve">ess, based </w:t>
      </w:r>
      <w:r w:rsidR="000F7C91" w:rsidRPr="00A94D8B">
        <w:t xml:space="preserve">on </w:t>
      </w:r>
      <w:r w:rsidR="00A24ACD" w:rsidRPr="00A94D8B">
        <w:t>the respective ratings for each regional programme an overall rating of B was given. Two Cs were handed out on this question. The late start-up of the r</w:t>
      </w:r>
      <w:r w:rsidR="00A24ACD" w:rsidRPr="00A94D8B">
        <w:t>e</w:t>
      </w:r>
      <w:r w:rsidR="00A24ACD" w:rsidRPr="00A94D8B">
        <w:t>gional programmes appears for the most part to be a shared responsibility between the r</w:t>
      </w:r>
      <w:r w:rsidR="00A24ACD" w:rsidRPr="00A94D8B">
        <w:t>e</w:t>
      </w:r>
      <w:r w:rsidR="00A24ACD" w:rsidRPr="00A94D8B">
        <w:t xml:space="preserve">gional programmes, and the EU and the ACP.  </w:t>
      </w:r>
    </w:p>
    <w:p w:rsidR="009D470A" w:rsidRPr="00A94D8B" w:rsidRDefault="006C6102" w:rsidP="00AD1C0A">
      <w:pPr>
        <w:ind w:left="709" w:hanging="709"/>
        <w:rPr>
          <w:b/>
          <w:i/>
        </w:rPr>
      </w:pPr>
      <w:r w:rsidRPr="00A94D8B">
        <w:rPr>
          <w:b/>
          <w:i/>
        </w:rPr>
        <w:t>EQ</w:t>
      </w:r>
      <w:r w:rsidR="00D036B2" w:rsidRPr="00A94D8B">
        <w:rPr>
          <w:b/>
          <w:i/>
        </w:rPr>
        <w:t>7.</w:t>
      </w:r>
      <w:r w:rsidR="00D036B2" w:rsidRPr="00A94D8B">
        <w:rPr>
          <w:b/>
          <w:i/>
        </w:rPr>
        <w:tab/>
        <w:t xml:space="preserve">To which extent has the programme established linkages and created synergies (at </w:t>
      </w:r>
      <w:r w:rsidRPr="00A94D8B">
        <w:rPr>
          <w:b/>
          <w:i/>
        </w:rPr>
        <w:t>national</w:t>
      </w:r>
      <w:r w:rsidR="00D036B2" w:rsidRPr="00A94D8B">
        <w:rPr>
          <w:b/>
          <w:i/>
        </w:rPr>
        <w:t>, regional and ACP/global levels) with other, r</w:t>
      </w:r>
      <w:r w:rsidRPr="00A94D8B">
        <w:rPr>
          <w:b/>
          <w:i/>
        </w:rPr>
        <w:t>elated actions, including EU in</w:t>
      </w:r>
      <w:r w:rsidR="00D036B2" w:rsidRPr="00A94D8B">
        <w:rPr>
          <w:b/>
          <w:i/>
        </w:rPr>
        <w:t>struments and actions, in line with the harmonisation principle?</w:t>
      </w:r>
    </w:p>
    <w:p w:rsidR="009130F2" w:rsidRPr="00A94D8B" w:rsidRDefault="00F61AFA" w:rsidP="00AD1C0A">
      <w:r w:rsidRPr="00A94D8B">
        <w:t xml:space="preserve">Through the Intra ACP Programme there are many </w:t>
      </w:r>
      <w:r w:rsidR="009130F2" w:rsidRPr="00A94D8B">
        <w:t>examples of establishing linkages and creating synergy</w:t>
      </w:r>
      <w:r w:rsidRPr="00A94D8B">
        <w:t xml:space="preserve"> in a variety of scenarios</w:t>
      </w:r>
      <w:r w:rsidR="00D828B4" w:rsidRPr="00A94D8B">
        <w:t>,</w:t>
      </w:r>
      <w:r w:rsidRPr="00A94D8B">
        <w:t xml:space="preserve"> </w:t>
      </w:r>
      <w:r w:rsidR="009130F2" w:rsidRPr="00A94D8B">
        <w:t xml:space="preserve">including </w:t>
      </w:r>
      <w:r w:rsidRPr="00A94D8B">
        <w:t xml:space="preserve">between </w:t>
      </w:r>
      <w:r w:rsidR="009130F2" w:rsidRPr="00A94D8B">
        <w:t xml:space="preserve">national GCCA programmes and </w:t>
      </w:r>
      <w:r w:rsidRPr="00A94D8B">
        <w:t xml:space="preserve">the regional programmes of the </w:t>
      </w:r>
      <w:r w:rsidR="009130F2" w:rsidRPr="00A94D8B">
        <w:t xml:space="preserve">Intra ACP </w:t>
      </w:r>
      <w:r w:rsidR="00D828B4" w:rsidRPr="00A94D8B">
        <w:t>funding; t</w:t>
      </w:r>
      <w:r w:rsidR="009130F2" w:rsidRPr="00A94D8B">
        <w:t xml:space="preserve">he </w:t>
      </w:r>
      <w:r w:rsidR="00D828B4" w:rsidRPr="00A94D8B">
        <w:t xml:space="preserve">main </w:t>
      </w:r>
      <w:r w:rsidR="009130F2" w:rsidRPr="00A94D8B">
        <w:t>question is whet</w:t>
      </w:r>
      <w:r w:rsidRPr="00A94D8B">
        <w:t>her or not there c</w:t>
      </w:r>
      <w:r w:rsidR="00452F9D" w:rsidRPr="00A94D8B">
        <w:t xml:space="preserve">ould be </w:t>
      </w:r>
      <w:r w:rsidRPr="00A94D8B">
        <w:t>even more</w:t>
      </w:r>
      <w:r w:rsidR="00452F9D" w:rsidRPr="00A94D8B">
        <w:t xml:space="preserve"> synergy</w:t>
      </w:r>
      <w:r w:rsidR="008F603A" w:rsidRPr="00A94D8B">
        <w:t xml:space="preserve"> and creativity in this regard</w:t>
      </w:r>
      <w:r w:rsidRPr="00A94D8B">
        <w:t xml:space="preserve">. </w:t>
      </w:r>
      <w:r w:rsidR="00D828B4" w:rsidRPr="00A94D8B">
        <w:t xml:space="preserve">The following examples are </w:t>
      </w:r>
      <w:r w:rsidR="008F603A" w:rsidRPr="00A94D8B">
        <w:t>meant to provide an overall sense of what has taken place</w:t>
      </w:r>
      <w:r w:rsidRPr="00A94D8B">
        <w:t xml:space="preserve">. </w:t>
      </w:r>
      <w:r w:rsidR="00452F9D" w:rsidRPr="00A94D8B">
        <w:t xml:space="preserve"> </w:t>
      </w:r>
      <w:r w:rsidR="009130F2" w:rsidRPr="00A94D8B">
        <w:t xml:space="preserve">   </w:t>
      </w:r>
    </w:p>
    <w:p w:rsidR="009130F2" w:rsidRPr="00A94D8B" w:rsidRDefault="009130F2" w:rsidP="00AD1C0A">
      <w:r w:rsidRPr="00A94D8B">
        <w:t xml:space="preserve">The </w:t>
      </w:r>
      <w:r w:rsidR="0089766E" w:rsidRPr="00A94D8B">
        <w:t>CILSS/Agrhymet programme</w:t>
      </w:r>
      <w:r w:rsidRPr="00A94D8B">
        <w:t xml:space="preserve"> benefits strongly from </w:t>
      </w:r>
      <w:r w:rsidR="00D828B4" w:rsidRPr="00A94D8B">
        <w:t>much current and past collaboration</w:t>
      </w:r>
      <w:r w:rsidR="00DD2D39" w:rsidRPr="00A94D8B">
        <w:t xml:space="preserve"> </w:t>
      </w:r>
      <w:r w:rsidR="0089766E" w:rsidRPr="00A94D8B">
        <w:t xml:space="preserve">related to </w:t>
      </w:r>
      <w:r w:rsidRPr="00A94D8B">
        <w:t>climate and water sci</w:t>
      </w:r>
      <w:r w:rsidR="00DD2D39" w:rsidRPr="00A94D8B">
        <w:t>ences. The CILSS/Agrhymet programme</w:t>
      </w:r>
      <w:r w:rsidR="0089766E" w:rsidRPr="00A94D8B">
        <w:t xml:space="preserve"> col</w:t>
      </w:r>
      <w:r w:rsidRPr="00A94D8B">
        <w:t>laborates closely with the FFEM-CC</w:t>
      </w:r>
      <w:r w:rsidR="00D4007B" w:rsidRPr="00A94D8B">
        <w:t xml:space="preserve"> (French Global Environment Facility-Climate Change project), facilit</w:t>
      </w:r>
      <w:r w:rsidR="00D4007B" w:rsidRPr="00A94D8B">
        <w:t>a</w:t>
      </w:r>
      <w:r w:rsidR="00D4007B" w:rsidRPr="00A94D8B">
        <w:t xml:space="preserve">ting communication between experts from different countries and offering access to current information on climate change to the general public. </w:t>
      </w:r>
      <w:r w:rsidRPr="00A94D8B">
        <w:t>In addition, collaboration with UNFCCC contact persons has been significantly strengthened</w:t>
      </w:r>
      <w:r w:rsidR="00D828B4" w:rsidRPr="00A94D8B">
        <w:t xml:space="preserve">, </w:t>
      </w:r>
      <w:r w:rsidRPr="00A94D8B">
        <w:t xml:space="preserve">with whom all activities at </w:t>
      </w:r>
      <w:r w:rsidR="00D4007B" w:rsidRPr="00A94D8B">
        <w:t>the country level are car</w:t>
      </w:r>
      <w:r w:rsidRPr="00A94D8B">
        <w:t xml:space="preserve">ried out in collaboration. </w:t>
      </w:r>
      <w:r w:rsidR="00356658" w:rsidRPr="00A94D8B">
        <w:t>As mentioned earlier</w:t>
      </w:r>
      <w:r w:rsidR="00D828B4" w:rsidRPr="00A94D8B">
        <w:t>,</w:t>
      </w:r>
      <w:r w:rsidR="00356658" w:rsidRPr="00A94D8B">
        <w:t xml:space="preserve"> in Niger, the CILSS/Agrhymet programme was able to find financial support for the CDPs that the pro</w:t>
      </w:r>
      <w:r w:rsidR="00DD2D39" w:rsidRPr="00A94D8B">
        <w:t xml:space="preserve">gramme developed from </w:t>
      </w:r>
      <w:r w:rsidR="00356658" w:rsidRPr="00A94D8B">
        <w:t xml:space="preserve">many donors including UNICEF, GIZ, and CARE.  </w:t>
      </w:r>
      <w:r w:rsidRPr="00A94D8B">
        <w:t>Nevertheless, the evaluation co</w:t>
      </w:r>
      <w:r w:rsidRPr="00A94D8B">
        <w:t>n</w:t>
      </w:r>
      <w:r w:rsidRPr="00A94D8B">
        <w:t xml:space="preserve">cluded that there is still room to strengthen collaboration </w:t>
      </w:r>
      <w:r w:rsidR="005133C4" w:rsidRPr="00A94D8B">
        <w:t>on a number of fronts in relation to curr</w:t>
      </w:r>
      <w:r w:rsidR="0045585D">
        <w:t xml:space="preserve">ent programme activities. </w:t>
      </w:r>
      <w:r w:rsidR="005133C4" w:rsidRPr="00A94D8B">
        <w:t>For example, c</w:t>
      </w:r>
      <w:r w:rsidRPr="00A94D8B">
        <w:t>ollaboration with ECOWAS itself on regional polici</w:t>
      </w:r>
      <w:r w:rsidR="005133C4" w:rsidRPr="00A94D8B">
        <w:t>es and strategies regarding climate change could</w:t>
      </w:r>
      <w:r w:rsidRPr="00A94D8B">
        <w:t xml:space="preserve"> be strengthened.</w:t>
      </w:r>
    </w:p>
    <w:p w:rsidR="00D03428" w:rsidRPr="00A94D8B" w:rsidRDefault="00D03428" w:rsidP="00AD1C0A">
      <w:r w:rsidRPr="00A94D8B">
        <w:t xml:space="preserve">The COMESA </w:t>
      </w:r>
      <w:r w:rsidR="008F603A" w:rsidRPr="00A94D8B">
        <w:t xml:space="preserve">programme has developed </w:t>
      </w:r>
      <w:r w:rsidRPr="00A94D8B">
        <w:t>partnerships at the country level with organisations such</w:t>
      </w:r>
      <w:r w:rsidR="00591467" w:rsidRPr="00A94D8B">
        <w:t xml:space="preserve"> as </w:t>
      </w:r>
      <w:r w:rsidRPr="00A94D8B">
        <w:t xml:space="preserve">the Food and Agriculture Organisation (FAO). </w:t>
      </w:r>
      <w:r w:rsidR="00D828B4" w:rsidRPr="00A94D8B">
        <w:t xml:space="preserve">Similarly, </w:t>
      </w:r>
      <w:r w:rsidRPr="00A94D8B">
        <w:t xml:space="preserve">SADC </w:t>
      </w:r>
      <w:r w:rsidR="00D828B4" w:rsidRPr="00A94D8B">
        <w:t>developed partne</w:t>
      </w:r>
      <w:r w:rsidR="00D828B4" w:rsidRPr="00A94D8B">
        <w:t>r</w:t>
      </w:r>
      <w:r w:rsidR="00D828B4" w:rsidRPr="00A94D8B">
        <w:t xml:space="preserve">ship </w:t>
      </w:r>
      <w:r w:rsidRPr="00A94D8B">
        <w:t xml:space="preserve">with DFID and EAC with </w:t>
      </w:r>
      <w:r w:rsidR="009B1C3D" w:rsidRPr="00A94D8B">
        <w:t xml:space="preserve">the </w:t>
      </w:r>
      <w:r w:rsidR="00943513" w:rsidRPr="00A94D8B">
        <w:t>United States Agency for International Development (</w:t>
      </w:r>
      <w:r w:rsidRPr="00A94D8B">
        <w:t>USAID</w:t>
      </w:r>
      <w:r w:rsidR="00943513" w:rsidRPr="00A94D8B">
        <w:t>)</w:t>
      </w:r>
      <w:r w:rsidR="009916E6" w:rsidRPr="00A94D8B">
        <w:t>. B</w:t>
      </w:r>
      <w:r w:rsidRPr="00A94D8B">
        <w:t>ut</w:t>
      </w:r>
      <w:r w:rsidR="009916E6" w:rsidRPr="00A94D8B">
        <w:t>,</w:t>
      </w:r>
      <w:r w:rsidRPr="00A94D8B">
        <w:t xml:space="preserve"> as the programme’s donor partners have stressed</w:t>
      </w:r>
      <w:r w:rsidR="009B1C3D" w:rsidRPr="00A94D8B">
        <w:t>,</w:t>
      </w:r>
      <w:r w:rsidRPr="00A94D8B">
        <w:t xml:space="preserve"> </w:t>
      </w:r>
      <w:r w:rsidR="009B1C3D" w:rsidRPr="00A94D8B">
        <w:t>they would like to see more strategic partnerships with more formal</w:t>
      </w:r>
      <w:r w:rsidRPr="00A94D8B">
        <w:t xml:space="preserve"> structure</w:t>
      </w:r>
      <w:r w:rsidR="009B1C3D" w:rsidRPr="00A94D8B">
        <w:t>s</w:t>
      </w:r>
      <w:r w:rsidRPr="00A94D8B">
        <w:t>.</w:t>
      </w:r>
      <w:r w:rsidR="00C256DB" w:rsidRPr="00A94D8B">
        <w:t xml:space="preserve"> This is seen as not only necessary from the standpoint of improving the COMESA programme but also </w:t>
      </w:r>
      <w:r w:rsidR="00591467" w:rsidRPr="00A94D8B">
        <w:t>towards</w:t>
      </w:r>
      <w:r w:rsidR="009916E6" w:rsidRPr="00A94D8B">
        <w:t xml:space="preserve"> </w:t>
      </w:r>
      <w:r w:rsidR="00C256DB" w:rsidRPr="00A94D8B">
        <w:t>legitimizing it.</w:t>
      </w:r>
      <w:r w:rsidRPr="00A94D8B">
        <w:t xml:space="preserve"> </w:t>
      </w:r>
    </w:p>
    <w:p w:rsidR="009916E6" w:rsidRPr="00A94D8B" w:rsidRDefault="00C256DB" w:rsidP="00AD1C0A">
      <w:r w:rsidRPr="00A94D8B">
        <w:t xml:space="preserve">The ClimDev programme can potentially draw its strength from the comparative advantages that each of the three partner </w:t>
      </w:r>
      <w:r w:rsidR="00DD2D39" w:rsidRPr="00A94D8B">
        <w:t>institutions have</w:t>
      </w:r>
      <w:r w:rsidRPr="00A94D8B">
        <w:t xml:space="preserve"> in the </w:t>
      </w:r>
      <w:r w:rsidR="009916E6" w:rsidRPr="00A94D8B">
        <w:t xml:space="preserve">respective </w:t>
      </w:r>
      <w:r w:rsidRPr="00A94D8B">
        <w:t>fields of policy development, advocacy and decision-mak</w:t>
      </w:r>
      <w:r w:rsidR="00DD2D39" w:rsidRPr="00A94D8B">
        <w:t>ing and investment. However, these</w:t>
      </w:r>
      <w:r w:rsidRPr="00A94D8B">
        <w:t xml:space="preserve"> comparative advantage</w:t>
      </w:r>
      <w:r w:rsidR="00DD2D39" w:rsidRPr="00A94D8B">
        <w:t>s</w:t>
      </w:r>
      <w:r w:rsidRPr="00A94D8B">
        <w:t xml:space="preserve"> </w:t>
      </w:r>
      <w:r w:rsidR="00DD2D39" w:rsidRPr="00A94D8B">
        <w:t>have</w:t>
      </w:r>
      <w:r w:rsidRPr="00A94D8B">
        <w:t xml:space="preserve"> yet to be fully developed due</w:t>
      </w:r>
      <w:r w:rsidR="009916E6" w:rsidRPr="00A94D8B">
        <w:t>,</w:t>
      </w:r>
      <w:r w:rsidRPr="00A94D8B">
        <w:t xml:space="preserve"> in large part</w:t>
      </w:r>
      <w:r w:rsidR="009916E6" w:rsidRPr="00A94D8B">
        <w:t xml:space="preserve">, to the fact that </w:t>
      </w:r>
      <w:r w:rsidRPr="00A94D8B">
        <w:t>the CDSF has still not been esta</w:t>
      </w:r>
      <w:r w:rsidRPr="00A94D8B">
        <w:t>b</w:t>
      </w:r>
      <w:r w:rsidRPr="00A94D8B">
        <w:t>lished. The ClimDev programme is complemented by other UNECA</w:t>
      </w:r>
      <w:r w:rsidR="009916E6" w:rsidRPr="00A94D8B">
        <w:t>-</w:t>
      </w:r>
      <w:r w:rsidRPr="00A94D8B">
        <w:t>lead action in the field of climate adaptation and mitigation. UNECA conducted case studies on loss and damage assessments</w:t>
      </w:r>
      <w:r w:rsidR="009916E6" w:rsidRPr="00A94D8B">
        <w:t>,</w:t>
      </w:r>
      <w:r w:rsidRPr="00A94D8B">
        <w:t xml:space="preserve"> </w:t>
      </w:r>
      <w:r w:rsidR="009916E6" w:rsidRPr="00A94D8B">
        <w:t xml:space="preserve">for example, </w:t>
      </w:r>
      <w:r w:rsidRPr="00A94D8B">
        <w:t>which contributed to the discussions on the loss and damage work programme of the 19</w:t>
      </w:r>
      <w:r w:rsidR="009916E6" w:rsidRPr="00A94D8B">
        <w:rPr>
          <w:vertAlign w:val="superscript"/>
        </w:rPr>
        <w:t>th</w:t>
      </w:r>
      <w:r w:rsidR="009916E6" w:rsidRPr="00A94D8B">
        <w:t xml:space="preserve"> </w:t>
      </w:r>
      <w:r w:rsidRPr="00A94D8B">
        <w:t xml:space="preserve">session of the UNFCCC COP (Warsaw, November 2013). </w:t>
      </w:r>
    </w:p>
    <w:p w:rsidR="009130F2" w:rsidRPr="00A94D8B" w:rsidRDefault="00C256DB" w:rsidP="00AD1C0A">
      <w:r w:rsidRPr="00A94D8B">
        <w:t>Besides the GCCA funding, ClimDev is supported by other development partners as well, notably the Swedish Embassy, Norwegian Embassy,</w:t>
      </w:r>
      <w:r w:rsidR="00910FC2" w:rsidRPr="00A94D8B">
        <w:t xml:space="preserve"> DFID and USAID. The donors</w:t>
      </w:r>
      <w:r w:rsidRPr="00A94D8B">
        <w:t xml:space="preserve"> have recently started organising common meetings in order to clarify progress on project ac</w:t>
      </w:r>
      <w:r w:rsidR="00910FC2" w:rsidRPr="00A94D8B">
        <w:t>tivities</w:t>
      </w:r>
      <w:r w:rsidR="009916E6" w:rsidRPr="00A94D8B">
        <w:t xml:space="preserve">, </w:t>
      </w:r>
      <w:r w:rsidR="00910FC2" w:rsidRPr="00A94D8B">
        <w:t>funding</w:t>
      </w:r>
      <w:r w:rsidRPr="00A94D8B">
        <w:t xml:space="preserve"> obtained and amount</w:t>
      </w:r>
      <w:r w:rsidR="00910FC2" w:rsidRPr="00A94D8B">
        <w:t>s disbursed. Information on these matters has not been prev</w:t>
      </w:r>
      <w:r w:rsidR="00910FC2" w:rsidRPr="00A94D8B">
        <w:t>i</w:t>
      </w:r>
      <w:r w:rsidR="00910FC2" w:rsidRPr="00A94D8B">
        <w:t xml:space="preserve">ously available to donors. </w:t>
      </w:r>
      <w:r w:rsidRPr="00A94D8B">
        <w:t>ClimDev has</w:t>
      </w:r>
      <w:r w:rsidR="00910FC2" w:rsidRPr="00A94D8B">
        <w:t xml:space="preserve"> developed a multitude of </w:t>
      </w:r>
      <w:r w:rsidRPr="00A94D8B">
        <w:t xml:space="preserve">partnerships (approximately 30), </w:t>
      </w:r>
      <w:r w:rsidR="00910FC2" w:rsidRPr="00A94D8B">
        <w:t xml:space="preserve">with </w:t>
      </w:r>
      <w:r w:rsidR="00591467" w:rsidRPr="00A94D8B">
        <w:t xml:space="preserve">a </w:t>
      </w:r>
      <w:r w:rsidR="00910FC2" w:rsidRPr="00A94D8B">
        <w:t>wide range of partners including</w:t>
      </w:r>
      <w:r w:rsidR="00815252" w:rsidRPr="00A94D8B">
        <w:t xml:space="preserve"> the </w:t>
      </w:r>
      <w:r w:rsidR="00BF08A9" w:rsidRPr="00A94D8B">
        <w:t>World Meteorological Organisation (</w:t>
      </w:r>
      <w:r w:rsidR="00815252" w:rsidRPr="00A94D8B">
        <w:t>WMO</w:t>
      </w:r>
      <w:r w:rsidR="00BF08A9" w:rsidRPr="00A94D8B">
        <w:t>)</w:t>
      </w:r>
      <w:r w:rsidR="00815252" w:rsidRPr="00A94D8B">
        <w:t xml:space="preserve">, </w:t>
      </w:r>
      <w:r w:rsidR="00910FC2" w:rsidRPr="00A94D8B">
        <w:t xml:space="preserve">the </w:t>
      </w:r>
      <w:r w:rsidRPr="00A94D8B">
        <w:t xml:space="preserve">World Resource Institute (WRI), the Stockholm Environment Institute (SEI) and many others. </w:t>
      </w:r>
      <w:r w:rsidR="00910FC2" w:rsidRPr="00A94D8B">
        <w:t>As the Aide-memoire points out</w:t>
      </w:r>
      <w:r w:rsidR="009916E6" w:rsidRPr="00A94D8B">
        <w:t>,</w:t>
      </w:r>
      <w:r w:rsidR="00910FC2" w:rsidRPr="00A94D8B">
        <w:t xml:space="preserve"> </w:t>
      </w:r>
      <w:r w:rsidRPr="00A94D8B">
        <w:t>purpose and outcomes of these partnerships are not al</w:t>
      </w:r>
      <w:r w:rsidR="00DD2D39" w:rsidRPr="00A94D8B">
        <w:t>ways very clear</w:t>
      </w:r>
      <w:r w:rsidR="009916E6" w:rsidRPr="00A94D8B">
        <w:t>,</w:t>
      </w:r>
      <w:r w:rsidR="00DD2D39" w:rsidRPr="00A94D8B">
        <w:t xml:space="preserve"> nor is </w:t>
      </w:r>
      <w:r w:rsidR="00910FC2" w:rsidRPr="00A94D8B">
        <w:t xml:space="preserve">how functional they </w:t>
      </w:r>
      <w:r w:rsidR="00DD2D39" w:rsidRPr="00A94D8B">
        <w:t xml:space="preserve">truly </w:t>
      </w:r>
      <w:r w:rsidR="00910FC2" w:rsidRPr="00A94D8B">
        <w:t xml:space="preserve">are. </w:t>
      </w:r>
      <w:r w:rsidRPr="00A94D8B">
        <w:t xml:space="preserve">While the programme has a distinct networking function and requires an extensive network for increased outreach, a clearer focus on </w:t>
      </w:r>
      <w:r w:rsidR="00591467" w:rsidRPr="00A94D8B">
        <w:t>creating and sustaining</w:t>
      </w:r>
      <w:r w:rsidR="009916E6" w:rsidRPr="00A94D8B">
        <w:t xml:space="preserve"> </w:t>
      </w:r>
      <w:r w:rsidR="00591467" w:rsidRPr="00A94D8B">
        <w:t>core business is</w:t>
      </w:r>
      <w:r w:rsidRPr="00A94D8B">
        <w:t xml:space="preserve"> desirable.</w:t>
      </w:r>
    </w:p>
    <w:p w:rsidR="00D828B4" w:rsidRPr="00A94D8B" w:rsidRDefault="00D828B4" w:rsidP="00D828B4">
      <w:r w:rsidRPr="00A94D8B">
        <w:t xml:space="preserve">The PSIS programme has been </w:t>
      </w:r>
      <w:r w:rsidR="009916E6" w:rsidRPr="00A94D8B">
        <w:t>much</w:t>
      </w:r>
      <w:r w:rsidRPr="00A94D8B">
        <w:t xml:space="preserve"> focussed on linking up with other climate change initi</w:t>
      </w:r>
      <w:r w:rsidRPr="00A94D8B">
        <w:t>a</w:t>
      </w:r>
      <w:r w:rsidRPr="00A94D8B">
        <w:t xml:space="preserve">tives. A good example of this would be the </w:t>
      </w:r>
      <w:r w:rsidRPr="00A94D8B">
        <w:rPr>
          <w:i/>
        </w:rPr>
        <w:t>Coping with Climate Change in the Pacific Island Region</w:t>
      </w:r>
      <w:r w:rsidRPr="00A94D8B">
        <w:t xml:space="preserve"> (CCCPIR) project implemented by Germany’s GIZ, the only EU MS with significant involvement in climate change in the Pacific. The CCCPIR is co-managed by the SPC and the project aligns itself with the PIFACC. The CCCPIR provides </w:t>
      </w:r>
      <w:r w:rsidR="00950F78" w:rsidRPr="00A94D8B">
        <w:t>TA</w:t>
      </w:r>
      <w:r w:rsidRPr="00A94D8B">
        <w:t xml:space="preserve"> and does not support on-the-ground adaptation activities. In contrast</w:t>
      </w:r>
      <w:r w:rsidR="009916E6" w:rsidRPr="00A94D8B">
        <w:t>,</w:t>
      </w:r>
      <w:r w:rsidRPr="00A94D8B">
        <w:t xml:space="preserve"> almost half of the PSIS programme budget is directed towards adaptation actions on-the-ground. The CCCPIR is housed within SPC and coordinates its actions with the PSIS programme.  </w:t>
      </w:r>
    </w:p>
    <w:p w:rsidR="009916E6" w:rsidRPr="00A94D8B" w:rsidRDefault="00D828B4" w:rsidP="009916E6">
      <w:r w:rsidRPr="00A94D8B">
        <w:t xml:space="preserve">The USP programme has </w:t>
      </w:r>
      <w:r w:rsidR="009916E6" w:rsidRPr="00A94D8B">
        <w:t xml:space="preserve">also </w:t>
      </w:r>
      <w:r w:rsidRPr="00A94D8B">
        <w:t>established several partnerships with other donor-funded pr</w:t>
      </w:r>
      <w:r w:rsidRPr="00A94D8B">
        <w:t>o</w:t>
      </w:r>
      <w:r w:rsidR="00BF08A9" w:rsidRPr="00A94D8B">
        <w:t>jects, such as AusAID, the WMO</w:t>
      </w:r>
      <w:r w:rsidRPr="00A94D8B">
        <w:t>, and United States Agency for International Development (USAID). In fact</w:t>
      </w:r>
      <w:r w:rsidR="009916E6" w:rsidRPr="00A94D8B">
        <w:t>, the A</w:t>
      </w:r>
      <w:r w:rsidRPr="00A94D8B">
        <w:t>ide-memoire for the USP programme should be consulted to unde</w:t>
      </w:r>
      <w:r w:rsidRPr="00A94D8B">
        <w:t>r</w:t>
      </w:r>
      <w:r w:rsidRPr="00A94D8B">
        <w:t xml:space="preserve">stand the degree to which the USP programme is connected to other development initiatives. Collaboration starts with </w:t>
      </w:r>
      <w:r w:rsidR="009916E6" w:rsidRPr="00A94D8B">
        <w:t>the PSIS programme, ‘</w:t>
      </w:r>
      <w:r w:rsidRPr="00A94D8B">
        <w:t>the</w:t>
      </w:r>
      <w:r w:rsidR="009916E6" w:rsidRPr="00A94D8B">
        <w:t xml:space="preserve"> other GCCA-funded’</w:t>
      </w:r>
      <w:r w:rsidRPr="00A94D8B">
        <w:t xml:space="preserve"> programme</w:t>
      </w:r>
      <w:r w:rsidR="009916E6" w:rsidRPr="00A94D8B">
        <w:t>’,</w:t>
      </w:r>
      <w:r w:rsidRPr="00A94D8B">
        <w:t xml:space="preserve"> where there is regular coordination through the SPC and some direct collaboration on the ground</w:t>
      </w:r>
      <w:r w:rsidR="009916E6" w:rsidRPr="00A94D8B">
        <w:t xml:space="preserve"> (</w:t>
      </w:r>
      <w:proofErr w:type="spellStart"/>
      <w:r w:rsidRPr="00A94D8B">
        <w:rPr>
          <w:i/>
        </w:rPr>
        <w:t>Ewena</w:t>
      </w:r>
      <w:proofErr w:type="spellEnd"/>
      <w:r w:rsidRPr="00A94D8B">
        <w:t xml:space="preserve"> community in </w:t>
      </w:r>
      <w:r w:rsidRPr="00A94D8B">
        <w:rPr>
          <w:i/>
        </w:rPr>
        <w:t>Abaiang</w:t>
      </w:r>
      <w:r w:rsidRPr="00A94D8B">
        <w:t xml:space="preserve"> Island</w:t>
      </w:r>
      <w:r w:rsidR="009916E6" w:rsidRPr="00A94D8B">
        <w:t>)</w:t>
      </w:r>
      <w:r w:rsidR="0045585D">
        <w:t xml:space="preserve">. </w:t>
      </w:r>
      <w:r w:rsidR="009916E6" w:rsidRPr="00A94D8B">
        <w:t xml:space="preserve">The PSIS project team (IWRM-Water &amp; Department of Environment) for Niue's Rainwater Harvesting project also used </w:t>
      </w:r>
      <w:r w:rsidR="00943513" w:rsidRPr="00A94D8B">
        <w:t xml:space="preserve">V&amp;A reports </w:t>
      </w:r>
      <w:r w:rsidR="009916E6" w:rsidRPr="00A94D8B">
        <w:t>prepared by the USP programme for presentations in villages, which is a practical example of compl</w:t>
      </w:r>
      <w:r w:rsidR="009916E6" w:rsidRPr="00A94D8B">
        <w:t>e</w:t>
      </w:r>
      <w:r w:rsidR="009916E6" w:rsidRPr="00A94D8B">
        <w:t>mentarity between the two GCCA-funded projects.</w:t>
      </w:r>
    </w:p>
    <w:p w:rsidR="009C3DB8" w:rsidRPr="00A94D8B" w:rsidRDefault="00D828B4" w:rsidP="00D828B4">
      <w:r w:rsidRPr="00A94D8B">
        <w:t xml:space="preserve">The USP </w:t>
      </w:r>
      <w:r w:rsidR="009C3DB8" w:rsidRPr="00A94D8B">
        <w:t xml:space="preserve">also </w:t>
      </w:r>
      <w:r w:rsidRPr="00A94D8B">
        <w:t xml:space="preserve">collaborates with the ACP-EU </w:t>
      </w:r>
      <w:r w:rsidR="009C3DB8" w:rsidRPr="00A94D8B">
        <w:t>project entitled ‘</w:t>
      </w:r>
      <w:r w:rsidR="009C3DB8" w:rsidRPr="00A94D8B">
        <w:rPr>
          <w:i/>
        </w:rPr>
        <w:t>Building safety and resilience in Pacific’</w:t>
      </w:r>
      <w:r w:rsidR="009C3DB8" w:rsidRPr="00A94D8B">
        <w:t xml:space="preserve">, which </w:t>
      </w:r>
      <w:r w:rsidRPr="00A94D8B">
        <w:t>is a part of the 10</w:t>
      </w:r>
      <w:r w:rsidRPr="00A94D8B">
        <w:rPr>
          <w:vertAlign w:val="superscript"/>
        </w:rPr>
        <w:t>th</w:t>
      </w:r>
      <w:r w:rsidRPr="00A94D8B">
        <w:t xml:space="preserve"> EDF Intra- ACP envelope for DRR</w:t>
      </w:r>
      <w:r w:rsidR="009C3DB8" w:rsidRPr="00A94D8B">
        <w:t xml:space="preserve">, </w:t>
      </w:r>
      <w:r w:rsidRPr="00A94D8B">
        <w:t>whose aim is to reduce the vulnerability as well as the social, economic and environmental costs of disasters caused by natural hazards. Finally</w:t>
      </w:r>
      <w:r w:rsidR="009C3DB8" w:rsidRPr="00A94D8B">
        <w:t xml:space="preserve">, </w:t>
      </w:r>
      <w:r w:rsidRPr="00A94D8B">
        <w:t>the programme also collaborates with the CCCPIR</w:t>
      </w:r>
      <w:r w:rsidR="009C3DB8" w:rsidRPr="00A94D8B">
        <w:t xml:space="preserve">, which </w:t>
      </w:r>
      <w:r w:rsidRPr="00A94D8B">
        <w:t>aims at integrating climate change into primary and secondary education and technical and vocational training. The CCCPIR has sought the assistance of the USP programme to review the teaching modules and curriculum on DRM</w:t>
      </w:r>
      <w:r w:rsidR="00943513" w:rsidRPr="00A94D8B">
        <w:t xml:space="preserve"> and CCA</w:t>
      </w:r>
      <w:r w:rsidRPr="00A94D8B">
        <w:t xml:space="preserve"> aimed at the facilitators of such courses.  </w:t>
      </w:r>
    </w:p>
    <w:p w:rsidR="009C3DB8" w:rsidRPr="00A94D8B" w:rsidRDefault="00D828B4" w:rsidP="00D828B4">
      <w:r w:rsidRPr="00A94D8B">
        <w:t>Similar to the Pacific region, there are a number of good concepts emanating from the Cari</w:t>
      </w:r>
      <w:r w:rsidRPr="00A94D8B">
        <w:t>b</w:t>
      </w:r>
      <w:r w:rsidRPr="00A94D8B">
        <w:t>bean on building linkages and</w:t>
      </w:r>
      <w:r w:rsidR="0045585D">
        <w:t xml:space="preserve"> synergy. </w:t>
      </w:r>
      <w:r w:rsidRPr="00A94D8B">
        <w:t>In the Caribbean, the CCCCC programme sought to build on a number of earlier project initiatives including the Mainstreaming Adaptation to Climate Change (MACC) and the Special Pilot Adaptation to Climate Change (SPACC) Pr</w:t>
      </w:r>
      <w:r w:rsidRPr="00A94D8B">
        <w:t>o</w:t>
      </w:r>
      <w:r w:rsidRPr="00A94D8B">
        <w:t xml:space="preserve">ject. The CCCCC programme has built upon the initiatives of the MACC Project by exposing national practitioners to biophysical models in climate change in the agriculture, water, coastal and marine, health and social sectors first developed through MACC. Two (2) sector-based training workshops in the application of these models have been conducted.   </w:t>
      </w:r>
    </w:p>
    <w:p w:rsidR="00D828B4" w:rsidRPr="00A94D8B" w:rsidRDefault="00D828B4" w:rsidP="00D828B4">
      <w:r w:rsidRPr="00A94D8B">
        <w:t>In some Caribbean countries there has been good coordination between National GCCA pr</w:t>
      </w:r>
      <w:r w:rsidRPr="00A94D8B">
        <w:t>o</w:t>
      </w:r>
      <w:r w:rsidRPr="00A94D8B">
        <w:t>ject activity and the ACP Programme. For example in Jamaica, the national programme has successfully supported areas such as forestry and coastal management. Moving forward the Regional Programme will complement this activity by assisting the fisheries sector of Jamaica under a comprehensive study. At the same time</w:t>
      </w:r>
      <w:r w:rsidR="009C3DB8" w:rsidRPr="00A94D8B">
        <w:t>,</w:t>
      </w:r>
      <w:r w:rsidRPr="00A94D8B">
        <w:t xml:space="preserve"> both the national GCCA project of Belize and the Regional Programme are supporting the recently created Climate Change O</w:t>
      </w:r>
      <w:r w:rsidRPr="00A94D8B">
        <w:t>f</w:t>
      </w:r>
      <w:r w:rsidRPr="00A94D8B">
        <w:t>fice of the country. In Grenada, the CCCCC programme is coordinating with the OECS pr</w:t>
      </w:r>
      <w:r w:rsidRPr="00A94D8B">
        <w:t>o</w:t>
      </w:r>
      <w:r w:rsidRPr="00A94D8B">
        <w:t xml:space="preserve">gramme on the salt water reverse osmosis plant pilot project in Grenada hoping to extend the network of the distribution of the water system. The CCCCC programme has also facilitated collaboration between countries in the Caribbean. For example, Cuban experts are currently working with the City of Belize to develop a comprehensive adaptation strategy.  </w:t>
      </w:r>
    </w:p>
    <w:p w:rsidR="00AA494C" w:rsidRPr="00A94D8B" w:rsidRDefault="003E37B7" w:rsidP="00AD1C0A">
      <w:pPr>
        <w:rPr>
          <w:bCs/>
        </w:rPr>
      </w:pPr>
      <w:r w:rsidRPr="00A94D8B">
        <w:t>Nonetheless, o</w:t>
      </w:r>
      <w:r w:rsidR="00DD2D39" w:rsidRPr="00A94D8B">
        <w:t xml:space="preserve">verall, </w:t>
      </w:r>
      <w:r w:rsidR="00D828B4" w:rsidRPr="00A94D8B">
        <w:t>m</w:t>
      </w:r>
      <w:r w:rsidR="00815252" w:rsidRPr="00A94D8B">
        <w:t xml:space="preserve">ore could be done </w:t>
      </w:r>
      <w:r w:rsidR="00DD2D39" w:rsidRPr="00A94D8B">
        <w:t xml:space="preserve">to explore linkages and synergies. This could start within the </w:t>
      </w:r>
      <w:r w:rsidR="00815252" w:rsidRPr="00A94D8B">
        <w:t>GCCA network of regional and national programmes. In Jamaica</w:t>
      </w:r>
      <w:r w:rsidRPr="00A94D8B">
        <w:t>,</w:t>
      </w:r>
      <w:r w:rsidR="00815252" w:rsidRPr="00A94D8B">
        <w:t xml:space="preserve"> through the national programme</w:t>
      </w:r>
      <w:r w:rsidR="00C93A84" w:rsidRPr="00A94D8B">
        <w:t xml:space="preserve">, </w:t>
      </w:r>
      <w:r w:rsidR="00815252" w:rsidRPr="00A94D8B">
        <w:t xml:space="preserve">encouraging work </w:t>
      </w:r>
      <w:r w:rsidR="00C93A84" w:rsidRPr="00A94D8B">
        <w:t xml:space="preserve">is </w:t>
      </w:r>
      <w:r w:rsidR="00815252" w:rsidRPr="00A94D8B">
        <w:t xml:space="preserve">being done piloting </w:t>
      </w:r>
      <w:r w:rsidR="00815252" w:rsidRPr="00A94D8B">
        <w:rPr>
          <w:bCs/>
        </w:rPr>
        <w:t>new technologies to protect shorelines. This includes propagating seagrass, Modular Turbulence Generators Artificial Reef Structure (MTGs), Wave Attenuation Devices (WADs)</w:t>
      </w:r>
      <w:r w:rsidR="007D6691" w:rsidRPr="00A94D8B">
        <w:rPr>
          <w:bCs/>
        </w:rPr>
        <w:t>, mangrove plantation, and the experimentation with the</w:t>
      </w:r>
      <w:r w:rsidR="00815252" w:rsidRPr="00A94D8B">
        <w:rPr>
          <w:bCs/>
        </w:rPr>
        <w:t xml:space="preserve"> </w:t>
      </w:r>
      <w:r w:rsidR="007D6691" w:rsidRPr="00A94D8B">
        <w:rPr>
          <w:bCs/>
          <w:i/>
        </w:rPr>
        <w:t>“</w:t>
      </w:r>
      <w:proofErr w:type="spellStart"/>
      <w:r w:rsidR="00815252" w:rsidRPr="00A94D8B">
        <w:rPr>
          <w:bCs/>
          <w:i/>
        </w:rPr>
        <w:t>Shorelock</w:t>
      </w:r>
      <w:proofErr w:type="spellEnd"/>
      <w:r w:rsidR="007D6691" w:rsidRPr="00A94D8B">
        <w:rPr>
          <w:bCs/>
          <w:i/>
        </w:rPr>
        <w:t>”</w:t>
      </w:r>
      <w:r w:rsidR="00815252" w:rsidRPr="00A94D8B">
        <w:rPr>
          <w:bCs/>
          <w:i/>
        </w:rPr>
        <w:t xml:space="preserve"> </w:t>
      </w:r>
      <w:r w:rsidR="00815252" w:rsidRPr="00A94D8B">
        <w:rPr>
          <w:bCs/>
        </w:rPr>
        <w:t>proprietary technolo</w:t>
      </w:r>
      <w:r w:rsidR="007D6691" w:rsidRPr="00A94D8B">
        <w:rPr>
          <w:bCs/>
        </w:rPr>
        <w:t>gy. If these technologies and pra</w:t>
      </w:r>
      <w:r w:rsidR="007D6691" w:rsidRPr="00A94D8B">
        <w:rPr>
          <w:bCs/>
        </w:rPr>
        <w:t>c</w:t>
      </w:r>
      <w:r w:rsidR="007D6691" w:rsidRPr="00A94D8B">
        <w:rPr>
          <w:bCs/>
        </w:rPr>
        <w:t xml:space="preserve">tices prove </w:t>
      </w:r>
      <w:r w:rsidR="00DD2D39" w:rsidRPr="00A94D8B">
        <w:rPr>
          <w:bCs/>
        </w:rPr>
        <w:t xml:space="preserve">to be </w:t>
      </w:r>
      <w:r w:rsidR="007D6691" w:rsidRPr="00A94D8B">
        <w:rPr>
          <w:bCs/>
        </w:rPr>
        <w:t xml:space="preserve">viable </w:t>
      </w:r>
      <w:r w:rsidR="002A4B98" w:rsidRPr="00A94D8B">
        <w:rPr>
          <w:bCs/>
        </w:rPr>
        <w:t>options</w:t>
      </w:r>
      <w:r w:rsidRPr="00A94D8B">
        <w:rPr>
          <w:bCs/>
        </w:rPr>
        <w:t>,</w:t>
      </w:r>
      <w:r w:rsidR="002A4B98" w:rsidRPr="00A94D8B">
        <w:rPr>
          <w:bCs/>
        </w:rPr>
        <w:t xml:space="preserve"> then their use</w:t>
      </w:r>
      <w:r w:rsidR="007D6691" w:rsidRPr="00A94D8B">
        <w:rPr>
          <w:bCs/>
        </w:rPr>
        <w:t xml:space="preserve"> should be </w:t>
      </w:r>
      <w:r w:rsidR="002A4B98" w:rsidRPr="00A94D8B">
        <w:rPr>
          <w:bCs/>
        </w:rPr>
        <w:t xml:space="preserve">more actively </w:t>
      </w:r>
      <w:r w:rsidR="007D6691" w:rsidRPr="00A94D8B">
        <w:rPr>
          <w:bCs/>
        </w:rPr>
        <w:t xml:space="preserve">encouraged </w:t>
      </w:r>
      <w:r w:rsidR="002A4B98" w:rsidRPr="00A94D8B">
        <w:rPr>
          <w:bCs/>
        </w:rPr>
        <w:t xml:space="preserve">starting </w:t>
      </w:r>
      <w:r w:rsidR="007D6691" w:rsidRPr="00A94D8B">
        <w:rPr>
          <w:bCs/>
        </w:rPr>
        <w:t>in Jamai</w:t>
      </w:r>
      <w:r w:rsidR="002A4B98" w:rsidRPr="00A94D8B">
        <w:rPr>
          <w:bCs/>
        </w:rPr>
        <w:t>ca then</w:t>
      </w:r>
      <w:r w:rsidR="007D6691" w:rsidRPr="00A94D8B">
        <w:rPr>
          <w:bCs/>
        </w:rPr>
        <w:t xml:space="preserve"> through</w:t>
      </w:r>
      <w:r w:rsidR="002A4B98" w:rsidRPr="00A94D8B">
        <w:rPr>
          <w:bCs/>
        </w:rPr>
        <w:t xml:space="preserve">out the GCCA network of countries. </w:t>
      </w:r>
      <w:r w:rsidR="007D6691" w:rsidRPr="00A94D8B">
        <w:rPr>
          <w:bCs/>
        </w:rPr>
        <w:t>This is but one example of how greater synergy could be developed</w:t>
      </w:r>
      <w:r w:rsidR="008769EE" w:rsidRPr="00A94D8B">
        <w:rPr>
          <w:bCs/>
        </w:rPr>
        <w:t xml:space="preserve"> with GCCA national programmes</w:t>
      </w:r>
      <w:r w:rsidR="00C93A84" w:rsidRPr="00A94D8B">
        <w:rPr>
          <w:bCs/>
        </w:rPr>
        <w:t>; a</w:t>
      </w:r>
      <w:r w:rsidR="002A4B98" w:rsidRPr="00A94D8B">
        <w:rPr>
          <w:bCs/>
        </w:rPr>
        <w:t xml:space="preserve">nother would be </w:t>
      </w:r>
      <w:r w:rsidRPr="00A94D8B">
        <w:rPr>
          <w:bCs/>
        </w:rPr>
        <w:t xml:space="preserve">that of </w:t>
      </w:r>
      <w:r w:rsidR="00574F09" w:rsidRPr="00A94D8B">
        <w:t>GCCA partners from the CCCCC, Mauritius, Samoa, Solomon Islands participat</w:t>
      </w:r>
      <w:r w:rsidRPr="00A94D8B">
        <w:t>ing</w:t>
      </w:r>
      <w:r w:rsidR="00574F09" w:rsidRPr="00A94D8B">
        <w:t xml:space="preserve"> in the Regional Meeting on Climate Finance using Budget Support Modalities</w:t>
      </w:r>
      <w:r w:rsidRPr="00A94D8B">
        <w:t>,</w:t>
      </w:r>
      <w:r w:rsidR="00574F09" w:rsidRPr="00A94D8B">
        <w:t xml:space="preserve"> in Tonga in Se</w:t>
      </w:r>
      <w:r w:rsidR="00574F09" w:rsidRPr="00A94D8B">
        <w:t>p</w:t>
      </w:r>
      <w:r w:rsidR="00574F09" w:rsidRPr="00A94D8B">
        <w:t>tember 2013</w:t>
      </w:r>
      <w:r w:rsidRPr="00A94D8B">
        <w:t>. T</w:t>
      </w:r>
      <w:r w:rsidR="00574F09" w:rsidRPr="00A94D8B">
        <w:t>he CCCCC’s participati</w:t>
      </w:r>
      <w:r w:rsidRPr="00A94D8B">
        <w:t>on</w:t>
      </w:r>
      <w:r w:rsidR="00574F09" w:rsidRPr="00A94D8B">
        <w:t xml:space="preserve"> in the third project Steering Committee Meeting of the PSIS programme is but another.</w:t>
      </w:r>
      <w:r w:rsidR="007D6691" w:rsidRPr="00A94D8B">
        <w:rPr>
          <w:bCs/>
        </w:rPr>
        <w:t xml:space="preserve"> </w:t>
      </w:r>
      <w:r w:rsidR="00574F09" w:rsidRPr="00A94D8B">
        <w:rPr>
          <w:bCs/>
        </w:rPr>
        <w:t>Building on the f</w:t>
      </w:r>
      <w:r w:rsidR="002A4B98" w:rsidRPr="00A94D8B">
        <w:rPr>
          <w:bCs/>
        </w:rPr>
        <w:t>oundation that has been established in</w:t>
      </w:r>
      <w:r w:rsidR="00574F09" w:rsidRPr="00A94D8B">
        <w:rPr>
          <w:bCs/>
        </w:rPr>
        <w:t xml:space="preserve"> each regional programme</w:t>
      </w:r>
      <w:r w:rsidRPr="00A94D8B">
        <w:rPr>
          <w:bCs/>
        </w:rPr>
        <w:t>,</w:t>
      </w:r>
      <w:r w:rsidR="00574F09" w:rsidRPr="00A94D8B">
        <w:rPr>
          <w:bCs/>
        </w:rPr>
        <w:t xml:space="preserve"> the next phase should offer more possibilities to connect projects and programmes together, develop alliances and promote exceptional ideas and practices for the benefit of all regions. </w:t>
      </w:r>
      <w:r w:rsidR="007D6691" w:rsidRPr="00A94D8B">
        <w:rPr>
          <w:bCs/>
        </w:rPr>
        <w:t>Overall the regional programmes scored a B on this question but for the next phase expecta</w:t>
      </w:r>
      <w:r w:rsidR="00574F09" w:rsidRPr="00A94D8B">
        <w:rPr>
          <w:bCs/>
        </w:rPr>
        <w:t>tions should</w:t>
      </w:r>
      <w:r w:rsidR="007D6691" w:rsidRPr="00A94D8B">
        <w:rPr>
          <w:bCs/>
        </w:rPr>
        <w:t xml:space="preserve"> be higher.  </w:t>
      </w:r>
    </w:p>
    <w:p w:rsidR="009C3AF4" w:rsidRPr="00A94D8B" w:rsidRDefault="008B6B4A" w:rsidP="00506D93">
      <w:pPr>
        <w:rPr>
          <w:bCs/>
        </w:rPr>
      </w:pPr>
      <w:r w:rsidRPr="00A94D8B">
        <w:rPr>
          <w:bCs/>
        </w:rPr>
        <w:t xml:space="preserve">With </w:t>
      </w:r>
      <w:r w:rsidR="009C3AF4" w:rsidRPr="00A94D8B">
        <w:rPr>
          <w:bCs/>
        </w:rPr>
        <w:t xml:space="preserve">Article </w:t>
      </w:r>
      <w:r w:rsidRPr="00A94D8B">
        <w:rPr>
          <w:bCs/>
        </w:rPr>
        <w:t>12 of Cotonou Agreement Annex Four,</w:t>
      </w:r>
      <w:r w:rsidR="009C3AF4" w:rsidRPr="00A94D8B">
        <w:rPr>
          <w:bCs/>
        </w:rPr>
        <w:t xml:space="preserve"> </w:t>
      </w:r>
      <w:r w:rsidRPr="00A94D8B">
        <w:rPr>
          <w:bCs/>
        </w:rPr>
        <w:t xml:space="preserve">there are expectations that </w:t>
      </w:r>
      <w:r w:rsidR="009C3AF4" w:rsidRPr="00A94D8B">
        <w:rPr>
          <w:bCs/>
        </w:rPr>
        <w:t>Intra-ACP cooperation shall contribute to the objective of the ACP-EC Partner</w:t>
      </w:r>
      <w:r w:rsidRPr="00A94D8B">
        <w:rPr>
          <w:bCs/>
        </w:rPr>
        <w:t xml:space="preserve">ship and </w:t>
      </w:r>
      <w:r w:rsidR="00646C84" w:rsidRPr="00A94D8B">
        <w:rPr>
          <w:bCs/>
        </w:rPr>
        <w:t xml:space="preserve">nurture </w:t>
      </w:r>
      <w:r w:rsidR="009C3AF4" w:rsidRPr="00A94D8B">
        <w:rPr>
          <w:bCs/>
        </w:rPr>
        <w:t xml:space="preserve">supra-regional cooperation. </w:t>
      </w:r>
      <w:r w:rsidRPr="00A94D8B">
        <w:rPr>
          <w:bCs/>
        </w:rPr>
        <w:t xml:space="preserve">With the Cotonou Agreement there is </w:t>
      </w:r>
      <w:r w:rsidR="00646C84" w:rsidRPr="00A94D8B">
        <w:rPr>
          <w:bCs/>
        </w:rPr>
        <w:t>also anticipation</w:t>
      </w:r>
      <w:r w:rsidRPr="00A94D8B">
        <w:rPr>
          <w:bCs/>
        </w:rPr>
        <w:t xml:space="preserve"> that initiatives such as the Intra-ACP Programme will have clear added value in comparison to other deve</w:t>
      </w:r>
      <w:r w:rsidRPr="00A94D8B">
        <w:rPr>
          <w:bCs/>
        </w:rPr>
        <w:t>l</w:t>
      </w:r>
      <w:r w:rsidRPr="00A94D8B">
        <w:rPr>
          <w:bCs/>
        </w:rPr>
        <w:t xml:space="preserve">opment programmes. This includes </w:t>
      </w:r>
      <w:r w:rsidR="00646C84" w:rsidRPr="00A94D8B">
        <w:rPr>
          <w:bCs/>
        </w:rPr>
        <w:t xml:space="preserve">its </w:t>
      </w:r>
      <w:r w:rsidRPr="00A94D8B">
        <w:rPr>
          <w:bCs/>
        </w:rPr>
        <w:t xml:space="preserve">climate focused activities and indeed, </w:t>
      </w:r>
      <w:r w:rsidR="00646C84" w:rsidRPr="00A94D8B">
        <w:rPr>
          <w:bCs/>
        </w:rPr>
        <w:t>the potential to establish linkages with the</w:t>
      </w:r>
      <w:r w:rsidRPr="00A94D8B">
        <w:rPr>
          <w:bCs/>
        </w:rPr>
        <w:t xml:space="preserve"> national GCCA programmes. </w:t>
      </w:r>
      <w:r w:rsidR="00646C84" w:rsidRPr="00A94D8B">
        <w:rPr>
          <w:bCs/>
        </w:rPr>
        <w:t>As far as the Intra ACP Programme is concerned, t</w:t>
      </w:r>
      <w:r w:rsidR="00971825" w:rsidRPr="00A94D8B">
        <w:rPr>
          <w:bCs/>
        </w:rPr>
        <w:t xml:space="preserve">he Cotonou </w:t>
      </w:r>
      <w:r w:rsidR="00646C84" w:rsidRPr="00A94D8B">
        <w:rPr>
          <w:bCs/>
        </w:rPr>
        <w:t xml:space="preserve">Agreement </w:t>
      </w:r>
      <w:r w:rsidR="00971825" w:rsidRPr="00A94D8B">
        <w:rPr>
          <w:bCs/>
        </w:rPr>
        <w:t>is essentially</w:t>
      </w:r>
      <w:r w:rsidR="00646C84" w:rsidRPr="00A94D8B">
        <w:rPr>
          <w:bCs/>
        </w:rPr>
        <w:t xml:space="preserve"> a framework for building bridges b</w:t>
      </w:r>
      <w:r w:rsidR="00646C84" w:rsidRPr="00A94D8B">
        <w:rPr>
          <w:bCs/>
        </w:rPr>
        <w:t>e</w:t>
      </w:r>
      <w:r w:rsidR="00646C84" w:rsidRPr="00A94D8B">
        <w:rPr>
          <w:bCs/>
        </w:rPr>
        <w:t>tween regional and national programmes to address climate change. The evidence of the Intra ACP Programme operating as an affirmation of the Cotonou Agreement is more anecdotal than systematic. There must</w:t>
      </w:r>
      <w:r w:rsidR="00506D93" w:rsidRPr="00A94D8B">
        <w:rPr>
          <w:bCs/>
        </w:rPr>
        <w:t xml:space="preserve"> also </w:t>
      </w:r>
      <w:r w:rsidR="00646C84" w:rsidRPr="00A94D8B">
        <w:rPr>
          <w:bCs/>
        </w:rPr>
        <w:t xml:space="preserve">be </w:t>
      </w:r>
      <w:r w:rsidR="00506D93" w:rsidRPr="00A94D8B">
        <w:rPr>
          <w:bCs/>
        </w:rPr>
        <w:t>con</w:t>
      </w:r>
      <w:r w:rsidR="00646C84" w:rsidRPr="00A94D8B">
        <w:rPr>
          <w:bCs/>
        </w:rPr>
        <w:t xml:space="preserve">sideration for </w:t>
      </w:r>
      <w:r w:rsidR="00D03BC1" w:rsidRPr="00A94D8B">
        <w:rPr>
          <w:bCs/>
        </w:rPr>
        <w:t>GCCA</w:t>
      </w:r>
      <w:r w:rsidR="008769EE" w:rsidRPr="00A94D8B">
        <w:rPr>
          <w:bCs/>
        </w:rPr>
        <w:t xml:space="preserve">+ </w:t>
      </w:r>
      <w:r w:rsidR="00971825" w:rsidRPr="00A94D8B">
        <w:rPr>
          <w:bCs/>
        </w:rPr>
        <w:t>that will be funded through the 11th EDF</w:t>
      </w:r>
      <w:r w:rsidR="00D03BC1" w:rsidRPr="00A94D8B">
        <w:rPr>
          <w:bCs/>
        </w:rPr>
        <w:t xml:space="preserve">. </w:t>
      </w:r>
      <w:r w:rsidR="00971825" w:rsidRPr="00A94D8B">
        <w:rPr>
          <w:bCs/>
        </w:rPr>
        <w:t xml:space="preserve">The synergy and connection between Cotonou Agreement and </w:t>
      </w:r>
      <w:r w:rsidR="00646C84" w:rsidRPr="00A94D8B">
        <w:rPr>
          <w:bCs/>
        </w:rPr>
        <w:t xml:space="preserve">moving towards GCCA+ appear not to have been fully contemplated. </w:t>
      </w:r>
      <w:r w:rsidR="006F454E" w:rsidRPr="00A94D8B">
        <w:rPr>
          <w:bCs/>
        </w:rPr>
        <w:t xml:space="preserve"> The ACP Secretariat in collaboration with the regional partners of the Intra ACP Pro</w:t>
      </w:r>
      <w:r w:rsidR="008769EE" w:rsidRPr="00A94D8B">
        <w:rPr>
          <w:bCs/>
        </w:rPr>
        <w:t>gramme does</w:t>
      </w:r>
      <w:r w:rsidR="006F454E" w:rsidRPr="00A94D8B">
        <w:rPr>
          <w:bCs/>
        </w:rPr>
        <w:t xml:space="preserve"> not appear to be working with an overriding strategy of how the Cotonou Agreement is guiding the current programme towards the GCCA+.  </w:t>
      </w:r>
    </w:p>
    <w:p w:rsidR="006A29AC" w:rsidRPr="00A94D8B" w:rsidRDefault="00775E67" w:rsidP="006A29AC">
      <w:r w:rsidRPr="00A94D8B">
        <w:rPr>
          <w:bCs/>
        </w:rPr>
        <w:t xml:space="preserve">One </w:t>
      </w:r>
      <w:r w:rsidR="006F454E" w:rsidRPr="00A94D8B">
        <w:rPr>
          <w:bCs/>
        </w:rPr>
        <w:t xml:space="preserve">has to consider the role or </w:t>
      </w:r>
      <w:r w:rsidRPr="00A94D8B">
        <w:rPr>
          <w:bCs/>
        </w:rPr>
        <w:t>role</w:t>
      </w:r>
      <w:r w:rsidR="006F454E" w:rsidRPr="00A94D8B">
        <w:rPr>
          <w:bCs/>
        </w:rPr>
        <w:t>s</w:t>
      </w:r>
      <w:r w:rsidRPr="00A94D8B">
        <w:rPr>
          <w:bCs/>
        </w:rPr>
        <w:t xml:space="preserve"> that the CSF could h</w:t>
      </w:r>
      <w:r w:rsidR="006F454E" w:rsidRPr="00A94D8B">
        <w:rPr>
          <w:bCs/>
        </w:rPr>
        <w:t xml:space="preserve">ave played in facilitating </w:t>
      </w:r>
      <w:r w:rsidRPr="00A94D8B">
        <w:rPr>
          <w:bCs/>
        </w:rPr>
        <w:t xml:space="preserve">value added synergy and connectivity between the regional programmes. </w:t>
      </w:r>
      <w:r w:rsidR="001563F4" w:rsidRPr="00A94D8B">
        <w:rPr>
          <w:bCs/>
        </w:rPr>
        <w:t xml:space="preserve">To date, the CSF has not </w:t>
      </w:r>
      <w:r w:rsidR="00CC273F" w:rsidRPr="00A94D8B">
        <w:rPr>
          <w:bCs/>
        </w:rPr>
        <w:t xml:space="preserve">really </w:t>
      </w:r>
      <w:r w:rsidR="001563F4" w:rsidRPr="00A94D8B">
        <w:rPr>
          <w:bCs/>
        </w:rPr>
        <w:t xml:space="preserve">been a </w:t>
      </w:r>
      <w:r w:rsidR="00CC273F" w:rsidRPr="00A94D8B">
        <w:rPr>
          <w:bCs/>
        </w:rPr>
        <w:t xml:space="preserve">key </w:t>
      </w:r>
      <w:r w:rsidR="001563F4" w:rsidRPr="00A94D8B">
        <w:rPr>
          <w:bCs/>
        </w:rPr>
        <w:t xml:space="preserve">factor. However, that could be changing. </w:t>
      </w:r>
      <w:r w:rsidR="006F454E" w:rsidRPr="00A94D8B">
        <w:rPr>
          <w:bCs/>
        </w:rPr>
        <w:t xml:space="preserve">At a </w:t>
      </w:r>
      <w:r w:rsidR="001563F4" w:rsidRPr="00A94D8B">
        <w:rPr>
          <w:bCs/>
        </w:rPr>
        <w:t>recent Intra-ACP Programme meeting in th</w:t>
      </w:r>
      <w:r w:rsidR="006F454E" w:rsidRPr="00A94D8B">
        <w:rPr>
          <w:bCs/>
        </w:rPr>
        <w:t xml:space="preserve">e Pacific it was discussed </w:t>
      </w:r>
      <w:r w:rsidR="006F454E" w:rsidRPr="00A94D8B">
        <w:t>how the C</w:t>
      </w:r>
      <w:r w:rsidR="001563F4" w:rsidRPr="00A94D8B">
        <w:t>S</w:t>
      </w:r>
      <w:r w:rsidR="006F454E" w:rsidRPr="00A94D8B">
        <w:t>F c</w:t>
      </w:r>
      <w:r w:rsidR="001563F4" w:rsidRPr="00A94D8B">
        <w:t xml:space="preserve">ould be </w:t>
      </w:r>
      <w:r w:rsidR="006F454E" w:rsidRPr="00A94D8B">
        <w:t xml:space="preserve">more </w:t>
      </w:r>
      <w:r w:rsidR="001563F4" w:rsidRPr="00A94D8B">
        <w:t>supportive of improving synergies and s</w:t>
      </w:r>
      <w:r w:rsidR="006F454E" w:rsidRPr="00A94D8B">
        <w:t>haring project outcomes. There are discussions regarding working through the CSF</w:t>
      </w:r>
      <w:r w:rsidR="001563F4" w:rsidRPr="00A94D8B">
        <w:t xml:space="preserve"> to support a regional networking event across each of the ACP regions, and a global networking event covering the whole ACP – in which project outcomes and findings can be shared, synergies improved and tools created can be shared and demonstrated across all GCCA projects.</w:t>
      </w:r>
      <w:r w:rsidR="0040349C" w:rsidRPr="00A94D8B">
        <w:t xml:space="preserve"> Two</w:t>
      </w:r>
      <w:r w:rsidR="001563F4" w:rsidRPr="00A94D8B">
        <w:t xml:space="preserve"> recommenda</w:t>
      </w:r>
      <w:r w:rsidR="0040349C" w:rsidRPr="00A94D8B">
        <w:t>tions stemming</w:t>
      </w:r>
      <w:r w:rsidR="001563F4" w:rsidRPr="00A94D8B">
        <w:t xml:space="preserve"> from the</w:t>
      </w:r>
      <w:r w:rsidR="006A29AC" w:rsidRPr="00A94D8B">
        <w:t xml:space="preserve"> 3rd Intra-ACP GCCA PSC Mee</w:t>
      </w:r>
      <w:r w:rsidR="006A29AC" w:rsidRPr="00A94D8B">
        <w:t>t</w:t>
      </w:r>
      <w:r w:rsidR="0040349C" w:rsidRPr="00A94D8B">
        <w:t>ing, held in Fiji</w:t>
      </w:r>
      <w:r w:rsidR="006A29AC" w:rsidRPr="00A94D8B">
        <w:t xml:space="preserve"> on 9- 10 July 2014, </w:t>
      </w:r>
      <w:r w:rsidR="0040349C" w:rsidRPr="00A94D8B">
        <w:t>involved future use of the CSF:</w:t>
      </w:r>
      <w:r w:rsidR="006A29AC" w:rsidRPr="00A94D8B">
        <w:t xml:space="preserve"> </w:t>
      </w:r>
      <w:r w:rsidR="0040349C" w:rsidRPr="00A94D8B">
        <w:t xml:space="preserve"> </w:t>
      </w:r>
    </w:p>
    <w:p w:rsidR="006A29AC" w:rsidRPr="00A94D8B" w:rsidRDefault="006A29AC" w:rsidP="006A29AC">
      <w:r w:rsidRPr="00A94D8B">
        <w:t>1)      The PSC has decided to continue the improvement of synergies and networking among the regional organisations and with the ACP secretariat and GCCA Programme. The ACP Secretariat will work with the regional implementing entities to facilitate and propose ways to improve this.</w:t>
      </w:r>
    </w:p>
    <w:p w:rsidR="006A29AC" w:rsidRPr="00A94D8B" w:rsidRDefault="006A29AC" w:rsidP="00AD1C0A">
      <w:r w:rsidRPr="00A94D8B">
        <w:t>2)      The PSC has adopted the third annual Work Programme of the CSF for 2014-2015.</w:t>
      </w:r>
    </w:p>
    <w:p w:rsidR="00D036B2" w:rsidRPr="00A94D8B" w:rsidRDefault="00D036B2" w:rsidP="00AD1C0A">
      <w:pPr>
        <w:pStyle w:val="Heading2"/>
        <w:numPr>
          <w:ilvl w:val="1"/>
          <w:numId w:val="9"/>
        </w:numPr>
      </w:pPr>
      <w:bookmarkStart w:id="39" w:name="_Toc392064219"/>
      <w:bookmarkStart w:id="40" w:name="_Toc401041565"/>
      <w:r w:rsidRPr="00A94D8B">
        <w:t>On impact</w:t>
      </w:r>
      <w:r w:rsidR="006C6102" w:rsidRPr="00A94D8B">
        <w:t xml:space="preserve"> (achievement of wider effects)</w:t>
      </w:r>
      <w:r w:rsidRPr="00A94D8B">
        <w:t>:</w:t>
      </w:r>
      <w:bookmarkEnd w:id="39"/>
      <w:bookmarkEnd w:id="40"/>
    </w:p>
    <w:p w:rsidR="00D036B2" w:rsidRPr="00A94D8B" w:rsidRDefault="006C6102" w:rsidP="00AD1C0A">
      <w:pPr>
        <w:ind w:left="709" w:hanging="709"/>
        <w:rPr>
          <w:b/>
          <w:i/>
        </w:rPr>
      </w:pPr>
      <w:r w:rsidRPr="00A94D8B">
        <w:rPr>
          <w:b/>
          <w:i/>
        </w:rPr>
        <w:t>EQ</w:t>
      </w:r>
      <w:r w:rsidR="00D036B2" w:rsidRPr="00A94D8B">
        <w:rPr>
          <w:b/>
          <w:i/>
        </w:rPr>
        <w:t>8.</w:t>
      </w:r>
      <w:r w:rsidR="00D036B2" w:rsidRPr="00A94D8B">
        <w:rPr>
          <w:b/>
          <w:i/>
        </w:rPr>
        <w:tab/>
        <w:t>To what extent has the programme contributed to achievement of overall obje</w:t>
      </w:r>
      <w:r w:rsidR="00D036B2" w:rsidRPr="00A94D8B">
        <w:rPr>
          <w:b/>
          <w:i/>
        </w:rPr>
        <w:t>c</w:t>
      </w:r>
      <w:r w:rsidR="00D036B2" w:rsidRPr="00A94D8B">
        <w:rPr>
          <w:b/>
          <w:i/>
        </w:rPr>
        <w:t>tives?</w:t>
      </w:r>
    </w:p>
    <w:p w:rsidR="00EC2452" w:rsidRPr="00A94D8B" w:rsidRDefault="00574F09" w:rsidP="00AD1C0A">
      <w:r w:rsidRPr="00A94D8B">
        <w:t>The overall</w:t>
      </w:r>
      <w:r w:rsidR="006C6102" w:rsidRPr="00A94D8B">
        <w:t xml:space="preserve"> </w:t>
      </w:r>
      <w:r w:rsidRPr="00A94D8B">
        <w:t xml:space="preserve">objective of the Intra-ACP Programme of the GCCA is to </w:t>
      </w:r>
      <w:r w:rsidR="006C6102" w:rsidRPr="00A94D8B">
        <w:t>reduce poverty by e</w:t>
      </w:r>
      <w:r w:rsidR="006C6102" w:rsidRPr="00A94D8B">
        <w:t>n</w:t>
      </w:r>
      <w:r w:rsidR="006C6102" w:rsidRPr="00A94D8B">
        <w:t xml:space="preserve">abling countries to adopt productive capacities for a sustainable climate change adaptation. </w:t>
      </w:r>
      <w:r w:rsidRPr="00A94D8B">
        <w:t>It has already been discussed in this report that many of the activities supp</w:t>
      </w:r>
      <w:r w:rsidR="00FD2139" w:rsidRPr="00A94D8B">
        <w:t>orted by the Intra ACP can be very valuable without pro</w:t>
      </w:r>
      <w:r w:rsidR="00AF3B67" w:rsidRPr="00A94D8B">
        <w:t>-</w:t>
      </w:r>
      <w:r w:rsidR="00FD2139" w:rsidRPr="00A94D8B">
        <w:t>actively reducing poverty. Setting this aside</w:t>
      </w:r>
      <w:r w:rsidR="00772C90" w:rsidRPr="00A94D8B">
        <w:t>,</w:t>
      </w:r>
      <w:r w:rsidR="00FD2139" w:rsidRPr="00A94D8B">
        <w:t xml:space="preserve"> an exa</w:t>
      </w:r>
      <w:r w:rsidR="00FD2139" w:rsidRPr="00A94D8B">
        <w:t>m</w:t>
      </w:r>
      <w:r w:rsidR="00FD2139" w:rsidRPr="00A94D8B">
        <w:t>ination of impacts can be undertaken using a less strict interpretation of the overall objective.</w:t>
      </w:r>
      <w:r w:rsidR="007323AE" w:rsidRPr="00A94D8B">
        <w:t xml:space="preserve"> What </w:t>
      </w:r>
      <w:r w:rsidR="00772C90" w:rsidRPr="00A94D8B">
        <w:t xml:space="preserve">also emerges </w:t>
      </w:r>
      <w:r w:rsidR="007323AE" w:rsidRPr="00A94D8B">
        <w:t>is the very different ways the individual regional programmes are measu</w:t>
      </w:r>
      <w:r w:rsidR="007323AE" w:rsidRPr="00A94D8B">
        <w:t>r</w:t>
      </w:r>
      <w:r w:rsidR="007323AE" w:rsidRPr="00A94D8B">
        <w:t xml:space="preserve">ing the overall objective of their programmes. </w:t>
      </w:r>
      <w:r w:rsidR="00FD2139" w:rsidRPr="00A94D8B">
        <w:t xml:space="preserve">  </w:t>
      </w:r>
    </w:p>
    <w:p w:rsidR="003E66C3" w:rsidRPr="00A94D8B" w:rsidRDefault="00FD2139" w:rsidP="00AD1C0A">
      <w:r w:rsidRPr="00A94D8B">
        <w:t xml:space="preserve">With </w:t>
      </w:r>
      <w:r w:rsidR="00AF3B67" w:rsidRPr="00A94D8B">
        <w:t>ClimDev,</w:t>
      </w:r>
      <w:r w:rsidRPr="00A94D8B">
        <w:t xml:space="preserve"> the</w:t>
      </w:r>
      <w:r w:rsidR="003E66C3" w:rsidRPr="00A94D8B">
        <w:t xml:space="preserve"> overall objective</w:t>
      </w:r>
      <w:r w:rsidRPr="00A94D8B">
        <w:t xml:space="preserve"> </w:t>
      </w:r>
      <w:r w:rsidR="003E66C3" w:rsidRPr="00A94D8B">
        <w:t>is for policies and decision on practices in Africa to take full account of climate change risks and opportunities at all levels (regional, sub-regional, national, local, community and individual). As such, primary beneficiaries are African policy makers, including REC’s, River Basin Organisations, national governments, parliamentarians and African climate negotiators. Furthermore, the regional climate</w:t>
      </w:r>
      <w:r w:rsidR="00AF3B67" w:rsidRPr="00A94D8B">
        <w:t>,</w:t>
      </w:r>
      <w:r w:rsidR="003E66C3" w:rsidRPr="00A94D8B">
        <w:t xml:space="preserve"> weather and water organ</w:t>
      </w:r>
      <w:r w:rsidR="003E66C3" w:rsidRPr="00A94D8B">
        <w:t>i</w:t>
      </w:r>
      <w:r w:rsidR="003E66C3" w:rsidRPr="00A94D8B">
        <w:t>sations would benefit and strengthen actions of the national bodies to respond to climate change. Final beneficiaries would be those rural and urban communities whose livelihoods are most affected by climate change.</w:t>
      </w:r>
      <w:r w:rsidRPr="00A94D8B">
        <w:t xml:space="preserve"> </w:t>
      </w:r>
      <w:r w:rsidR="003E66C3" w:rsidRPr="00A94D8B">
        <w:t>Of these groups, African climate negotiators seem to have, so far, most directly benefited from the programme, with the African policy makers as more indirect beneficiaries</w:t>
      </w:r>
      <w:r w:rsidR="00772C90" w:rsidRPr="00A94D8B">
        <w:t>. T</w:t>
      </w:r>
      <w:r w:rsidRPr="00A94D8B">
        <w:t xml:space="preserve">here is a lot of ground to be made </w:t>
      </w:r>
      <w:r w:rsidR="00CC273F" w:rsidRPr="00A94D8B">
        <w:t xml:space="preserve">up </w:t>
      </w:r>
      <w:r w:rsidRPr="00A94D8B">
        <w:t>before all these potential primary beneficiar</w:t>
      </w:r>
      <w:r w:rsidR="00AF3B67" w:rsidRPr="00A94D8B">
        <w:t>y</w:t>
      </w:r>
      <w:r w:rsidRPr="00A94D8B">
        <w:t xml:space="preserve"> groups will </w:t>
      </w:r>
      <w:r w:rsidR="00AF3B67" w:rsidRPr="00A94D8B">
        <w:t xml:space="preserve">have actually </w:t>
      </w:r>
      <w:r w:rsidRPr="00A94D8B">
        <w:t xml:space="preserve">benefited from the </w:t>
      </w:r>
      <w:r w:rsidR="00AF3B67" w:rsidRPr="00A94D8B">
        <w:t>ClimDev</w:t>
      </w:r>
      <w:r w:rsidRPr="00A94D8B">
        <w:t xml:space="preserve"> programme. </w:t>
      </w:r>
    </w:p>
    <w:p w:rsidR="007323AE" w:rsidRPr="00A94D8B" w:rsidRDefault="00FD2139" w:rsidP="00AD1C0A">
      <w:r w:rsidRPr="00A94D8B">
        <w:t xml:space="preserve">For the </w:t>
      </w:r>
      <w:r w:rsidR="00F238A0" w:rsidRPr="00A94D8B">
        <w:t>USP</w:t>
      </w:r>
      <w:r w:rsidRPr="00A94D8B">
        <w:t xml:space="preserve"> programme, it was pointed </w:t>
      </w:r>
      <w:r w:rsidR="00772C90" w:rsidRPr="00A94D8B">
        <w:t xml:space="preserve">out </w:t>
      </w:r>
      <w:r w:rsidRPr="00A94D8B">
        <w:t xml:space="preserve">by the programme’s management team </w:t>
      </w:r>
      <w:r w:rsidR="00772C90" w:rsidRPr="00A94D8B">
        <w:t xml:space="preserve">that </w:t>
      </w:r>
      <w:r w:rsidRPr="00A94D8B">
        <w:t>it</w:t>
      </w:r>
      <w:r w:rsidR="003E66C3" w:rsidRPr="00A94D8B">
        <w:t xml:space="preserve"> is impor</w:t>
      </w:r>
      <w:r w:rsidRPr="00A94D8B">
        <w:t>tant to take the programme</w:t>
      </w:r>
      <w:r w:rsidR="006C5011" w:rsidRPr="00A94D8B">
        <w:t>’</w:t>
      </w:r>
      <w:r w:rsidRPr="00A94D8B">
        <w:t>s</w:t>
      </w:r>
      <w:r w:rsidR="003E66C3" w:rsidRPr="00A94D8B">
        <w:t xml:space="preserve"> focus</w:t>
      </w:r>
      <w:r w:rsidRPr="00A94D8B">
        <w:t xml:space="preserve"> </w:t>
      </w:r>
      <w:r w:rsidR="006C5011" w:rsidRPr="00A94D8B">
        <w:t xml:space="preserve">on higher education </w:t>
      </w:r>
      <w:r w:rsidRPr="00A94D8B">
        <w:t>into accoun</w:t>
      </w:r>
      <w:r w:rsidR="006C5011" w:rsidRPr="00A94D8B">
        <w:t>t</w:t>
      </w:r>
      <w:r w:rsidR="00772C90" w:rsidRPr="00A94D8B">
        <w:t xml:space="preserve"> – in particular </w:t>
      </w:r>
      <w:r w:rsidR="006C5011" w:rsidRPr="00A94D8B">
        <w:t xml:space="preserve">for </w:t>
      </w:r>
      <w:r w:rsidR="003E66C3" w:rsidRPr="00A94D8B">
        <w:t>component 1</w:t>
      </w:r>
      <w:r w:rsidR="006C5011" w:rsidRPr="00A94D8B">
        <w:t xml:space="preserve">. </w:t>
      </w:r>
      <w:r w:rsidRPr="00A94D8B">
        <w:t>As such</w:t>
      </w:r>
      <w:r w:rsidR="00772C90" w:rsidRPr="00A94D8B">
        <w:t xml:space="preserve">, </w:t>
      </w:r>
      <w:r w:rsidR="003E66C3" w:rsidRPr="00A94D8B">
        <w:t>impact</w:t>
      </w:r>
      <w:r w:rsidR="00772C90" w:rsidRPr="00A94D8B">
        <w:t>s</w:t>
      </w:r>
      <w:r w:rsidR="003E66C3" w:rsidRPr="00A94D8B">
        <w:t xml:space="preserve"> </w:t>
      </w:r>
      <w:r w:rsidR="007323AE" w:rsidRPr="00A94D8B">
        <w:t xml:space="preserve">can only </w:t>
      </w:r>
      <w:r w:rsidR="00772C90" w:rsidRPr="00A94D8B">
        <w:t xml:space="preserve">realistically </w:t>
      </w:r>
      <w:r w:rsidR="007323AE" w:rsidRPr="00A94D8B">
        <w:t xml:space="preserve">be expected to materialise over the </w:t>
      </w:r>
      <w:r w:rsidR="003E66C3" w:rsidRPr="00A94D8B">
        <w:t>m</w:t>
      </w:r>
      <w:r w:rsidR="003E66C3" w:rsidRPr="00A94D8B">
        <w:t>e</w:t>
      </w:r>
      <w:r w:rsidR="007323AE" w:rsidRPr="00A94D8B">
        <w:t>dium to longer-term. Nevertheless,</w:t>
      </w:r>
      <w:r w:rsidR="003E66C3" w:rsidRPr="00A94D8B">
        <w:t xml:space="preserve"> students are already providing policy advice to</w:t>
      </w:r>
      <w:r w:rsidR="00401B78" w:rsidRPr="00A94D8B">
        <w:t xml:space="preserve"> the </w:t>
      </w:r>
      <w:r w:rsidR="007323AE" w:rsidRPr="00A94D8B">
        <w:t>ACP States</w:t>
      </w:r>
      <w:r w:rsidR="003E66C3" w:rsidRPr="00A94D8B">
        <w:t xml:space="preserve"> </w:t>
      </w:r>
      <w:r w:rsidR="00CC273F" w:rsidRPr="00A94D8B">
        <w:t xml:space="preserve">through Pacific Assistance to ACP States </w:t>
      </w:r>
      <w:r w:rsidR="007323AE" w:rsidRPr="00A94D8B">
        <w:t>(</w:t>
      </w:r>
      <w:r w:rsidR="003E66C3" w:rsidRPr="00A94D8B">
        <w:t>PACP</w:t>
      </w:r>
      <w:r w:rsidR="007323AE" w:rsidRPr="00A94D8B">
        <w:t>)</w:t>
      </w:r>
      <w:r w:rsidR="003E66C3" w:rsidRPr="00A94D8B">
        <w:t xml:space="preserve">’s Delegations during Climate Change negotiations under the UNFCCC. It will be important to keep track and monitor the career of these students, and USP is currently developing such database. </w:t>
      </w:r>
      <w:r w:rsidR="00EC2452" w:rsidRPr="00A94D8B">
        <w:t xml:space="preserve"> </w:t>
      </w:r>
    </w:p>
    <w:p w:rsidR="00BF50CB" w:rsidRPr="00A94D8B" w:rsidRDefault="007323AE" w:rsidP="00AD1C0A">
      <w:pPr>
        <w:rPr>
          <w:color w:val="000000"/>
        </w:rPr>
      </w:pPr>
      <w:r w:rsidRPr="00A94D8B">
        <w:t>For the PSIS programme</w:t>
      </w:r>
      <w:r w:rsidR="00967063" w:rsidRPr="00A94D8B">
        <w:t>,</w:t>
      </w:r>
      <w:r w:rsidR="003E66C3" w:rsidRPr="00A94D8B">
        <w:t xml:space="preserve"> expected impacts are measured in terms of resilience to climate change of the most vulnerable population in the Pacific. One of the ways to measure </w:t>
      </w:r>
      <w:r w:rsidR="00967063" w:rsidRPr="00A94D8B">
        <w:t>this</w:t>
      </w:r>
      <w:r w:rsidR="003E66C3" w:rsidRPr="00A94D8B">
        <w:t xml:space="preserve"> will be the number of people benefitting. For example, in Niue</w:t>
      </w:r>
      <w:r w:rsidR="00967063" w:rsidRPr="00A94D8B">
        <w:t>,</w:t>
      </w:r>
      <w:r w:rsidR="003E66C3" w:rsidRPr="00A94D8B">
        <w:t xml:space="preserve"> the adaptation project seeks to provide household water storage systems for all the inhabited houses in every community and this project is nearly complete as of 3</w:t>
      </w:r>
      <w:r w:rsidR="003E66C3" w:rsidRPr="00A94D8B">
        <w:rPr>
          <w:vertAlign w:val="superscript"/>
        </w:rPr>
        <w:t>rd</w:t>
      </w:r>
      <w:r w:rsidR="003E66C3" w:rsidRPr="00A94D8B">
        <w:t xml:space="preserve"> June 2014. In Nauru</w:t>
      </w:r>
      <w:r w:rsidR="00967063" w:rsidRPr="00A94D8B">
        <w:t>,</w:t>
      </w:r>
      <w:r w:rsidR="003E66C3" w:rsidRPr="00A94D8B">
        <w:t xml:space="preserve"> an extensive 6-month</w:t>
      </w:r>
      <w:r w:rsidR="00967063" w:rsidRPr="00A94D8B">
        <w:t xml:space="preserve">s’ </w:t>
      </w:r>
      <w:r w:rsidR="003E66C3" w:rsidRPr="00A94D8B">
        <w:t>long analysis was conducted in 2013</w:t>
      </w:r>
      <w:r w:rsidR="00967063" w:rsidRPr="00A94D8B">
        <w:t>,</w:t>
      </w:r>
      <w:r w:rsidR="003E66C3" w:rsidRPr="00A94D8B">
        <w:t xml:space="preserve"> to identify the most vulnerable households to receive rai</w:t>
      </w:r>
      <w:r w:rsidR="003E66C3" w:rsidRPr="00A94D8B">
        <w:t>n</w:t>
      </w:r>
      <w:r w:rsidRPr="00A94D8B">
        <w:t xml:space="preserve">water catchment systems. </w:t>
      </w:r>
      <w:r w:rsidR="003E66C3" w:rsidRPr="00A94D8B">
        <w:t>The nine adap</w:t>
      </w:r>
      <w:r w:rsidRPr="00A94D8B">
        <w:t xml:space="preserve">tation projects under the </w:t>
      </w:r>
      <w:r w:rsidR="003E66C3" w:rsidRPr="00A94D8B">
        <w:t>PSIS</w:t>
      </w:r>
      <w:r w:rsidR="00BF50CB" w:rsidRPr="00A94D8B">
        <w:t xml:space="preserve"> programme are counted on to </w:t>
      </w:r>
      <w:r w:rsidR="003E66C3" w:rsidRPr="00A94D8B">
        <w:t>con</w:t>
      </w:r>
      <w:r w:rsidR="00BF50CB" w:rsidRPr="00A94D8B">
        <w:t>tribute to enhanc</w:t>
      </w:r>
      <w:r w:rsidR="00CC273F" w:rsidRPr="00A94D8B">
        <w:t>e</w:t>
      </w:r>
      <w:r w:rsidR="003E66C3" w:rsidRPr="00A94D8B">
        <w:t xml:space="preserve"> resilience of local communities, reducing their vulner</w:t>
      </w:r>
      <w:r w:rsidR="00CC273F" w:rsidRPr="00A94D8B">
        <w:t>a</w:t>
      </w:r>
      <w:r w:rsidR="00CC273F" w:rsidRPr="00A94D8B">
        <w:t>bility in the medium-</w:t>
      </w:r>
      <w:r w:rsidR="003E66C3" w:rsidRPr="00A94D8B">
        <w:t xml:space="preserve">term and providing insights </w:t>
      </w:r>
      <w:r w:rsidR="003E66C3" w:rsidRPr="00A94D8B">
        <w:rPr>
          <w:color w:val="000000"/>
        </w:rPr>
        <w:t>and experience for future interventions.</w:t>
      </w:r>
      <w:r w:rsidR="00BF50CB" w:rsidRPr="00A94D8B">
        <w:rPr>
          <w:color w:val="000000"/>
        </w:rPr>
        <w:t xml:space="preserve"> In June of 2014, </w:t>
      </w:r>
      <w:r w:rsidR="003E66C3" w:rsidRPr="00A94D8B">
        <w:rPr>
          <w:color w:val="000000"/>
        </w:rPr>
        <w:t>the 4</w:t>
      </w:r>
      <w:r w:rsidR="003E66C3" w:rsidRPr="00A94D8B">
        <w:rPr>
          <w:color w:val="000000"/>
          <w:vertAlign w:val="superscript"/>
        </w:rPr>
        <w:t>th</w:t>
      </w:r>
      <w:r w:rsidR="003E66C3" w:rsidRPr="00A94D8B">
        <w:rPr>
          <w:color w:val="000000"/>
        </w:rPr>
        <w:t xml:space="preserve"> Steering Commit</w:t>
      </w:r>
      <w:r w:rsidR="00BF50CB" w:rsidRPr="00A94D8B">
        <w:rPr>
          <w:color w:val="000000"/>
        </w:rPr>
        <w:t>tee Meeting was held</w:t>
      </w:r>
      <w:r w:rsidR="003E66C3" w:rsidRPr="00A94D8B">
        <w:rPr>
          <w:color w:val="000000"/>
        </w:rPr>
        <w:t xml:space="preserve"> to examine progress in the co</w:t>
      </w:r>
      <w:r w:rsidR="003E66C3" w:rsidRPr="00A94D8B">
        <w:rPr>
          <w:color w:val="000000"/>
        </w:rPr>
        <w:t>n</w:t>
      </w:r>
      <w:r w:rsidR="003E66C3" w:rsidRPr="00A94D8B">
        <w:rPr>
          <w:color w:val="000000"/>
        </w:rPr>
        <w:t>text of the project’s exit strategy and, together with other development partners, identify o</w:t>
      </w:r>
      <w:r w:rsidR="003E66C3" w:rsidRPr="00A94D8B">
        <w:rPr>
          <w:color w:val="000000"/>
        </w:rPr>
        <w:t>p</w:t>
      </w:r>
      <w:r w:rsidR="003E66C3" w:rsidRPr="00A94D8B">
        <w:rPr>
          <w:color w:val="000000"/>
        </w:rPr>
        <w:t>portuni</w:t>
      </w:r>
      <w:r w:rsidR="00CC273F" w:rsidRPr="00A94D8B">
        <w:rPr>
          <w:color w:val="000000"/>
        </w:rPr>
        <w:t xml:space="preserve">ties for </w:t>
      </w:r>
      <w:r w:rsidR="003E66C3" w:rsidRPr="00A94D8B">
        <w:rPr>
          <w:color w:val="000000"/>
        </w:rPr>
        <w:t>scaling</w:t>
      </w:r>
      <w:r w:rsidR="00CC273F" w:rsidRPr="00A94D8B">
        <w:rPr>
          <w:color w:val="000000"/>
        </w:rPr>
        <w:t xml:space="preserve"> up</w:t>
      </w:r>
      <w:r w:rsidR="003E66C3" w:rsidRPr="00A94D8B">
        <w:rPr>
          <w:color w:val="000000"/>
        </w:rPr>
        <w:t xml:space="preserve"> and continuation of some of the existing activities. </w:t>
      </w:r>
      <w:r w:rsidR="00BF50CB" w:rsidRPr="00A94D8B">
        <w:rPr>
          <w:color w:val="000000"/>
        </w:rPr>
        <w:t xml:space="preserve"> </w:t>
      </w:r>
    </w:p>
    <w:p w:rsidR="00BF50CB" w:rsidRPr="00A94D8B" w:rsidRDefault="00772C90" w:rsidP="00AD1C0A">
      <w:pPr>
        <w:rPr>
          <w:color w:val="000000"/>
        </w:rPr>
      </w:pPr>
      <w:r w:rsidRPr="00A94D8B">
        <w:t xml:space="preserve">The </w:t>
      </w:r>
      <w:r w:rsidR="00BF50CB" w:rsidRPr="00A94D8B">
        <w:t xml:space="preserve">CILSS/Agrhymet </w:t>
      </w:r>
      <w:r w:rsidRPr="00A94D8B">
        <w:t xml:space="preserve">programme works the most directly towards </w:t>
      </w:r>
      <w:r w:rsidR="00BF50CB" w:rsidRPr="00A94D8B">
        <w:t>t</w:t>
      </w:r>
      <w:r w:rsidR="003E66C3" w:rsidRPr="00A94D8B">
        <w:t xml:space="preserve">he overall objective of the GCCA </w:t>
      </w:r>
      <w:r w:rsidR="00BF50CB" w:rsidRPr="00A94D8B">
        <w:t xml:space="preserve">Intra-ACP </w:t>
      </w:r>
      <w:r w:rsidR="003E66C3" w:rsidRPr="00A94D8B">
        <w:t xml:space="preserve">to </w:t>
      </w:r>
      <w:r w:rsidR="00BF50CB" w:rsidRPr="00A94D8B">
        <w:rPr>
          <w:i/>
        </w:rPr>
        <w:t>r</w:t>
      </w:r>
      <w:r w:rsidR="003E66C3" w:rsidRPr="00A94D8B">
        <w:rPr>
          <w:i/>
        </w:rPr>
        <w:t>educe poverty by allowing countries to adopt sustainable practices and resources to adapt to climate change</w:t>
      </w:r>
      <w:r w:rsidR="00BF50CB" w:rsidRPr="00A94D8B">
        <w:t>. The evaluation of the CILSS/Agrhymet pr</w:t>
      </w:r>
      <w:r w:rsidR="00BF50CB" w:rsidRPr="00A94D8B">
        <w:t>o</w:t>
      </w:r>
      <w:r w:rsidR="00BF50CB" w:rsidRPr="00A94D8B">
        <w:t xml:space="preserve">gramme noted that the programme </w:t>
      </w:r>
      <w:r w:rsidR="003E66C3" w:rsidRPr="00A94D8B">
        <w:t>is making </w:t>
      </w:r>
      <w:r w:rsidR="00BF50CB" w:rsidRPr="00A94D8B">
        <w:t xml:space="preserve">a </w:t>
      </w:r>
      <w:r w:rsidR="003E66C3" w:rsidRPr="00A94D8B">
        <w:t>highly relevant and significant contribu</w:t>
      </w:r>
      <w:r w:rsidR="00BF50CB" w:rsidRPr="00A94D8B">
        <w:t>tion to improving the</w:t>
      </w:r>
      <w:r w:rsidR="003E66C3" w:rsidRPr="00A94D8B">
        <w:t xml:space="preserve"> capacity of countries in West Africa, and regional actors, to formulate and i</w:t>
      </w:r>
      <w:r w:rsidR="003E66C3" w:rsidRPr="00A94D8B">
        <w:t>m</w:t>
      </w:r>
      <w:r w:rsidR="003E66C3" w:rsidRPr="00A94D8B">
        <w:t>plement policies and strategies integrating climate change into development plans and pr</w:t>
      </w:r>
      <w:r w:rsidR="003E66C3" w:rsidRPr="00A94D8B">
        <w:t>o</w:t>
      </w:r>
      <w:r w:rsidR="003E66C3" w:rsidRPr="00A94D8B">
        <w:t xml:space="preserve">grammes. </w:t>
      </w:r>
      <w:r w:rsidR="00BF50CB" w:rsidRPr="00A94D8B">
        <w:rPr>
          <w:color w:val="000000"/>
        </w:rPr>
        <w:t xml:space="preserve">As well, the </w:t>
      </w:r>
      <w:r w:rsidR="00BF50CB" w:rsidRPr="00A94D8B">
        <w:t>CILSS/Agrhymet programme</w:t>
      </w:r>
      <w:r w:rsidR="003E66C3" w:rsidRPr="00A94D8B">
        <w:t xml:space="preserve"> is on track to achieve all three of the expected re</w:t>
      </w:r>
      <w:r w:rsidR="00BF50CB" w:rsidRPr="00A94D8B">
        <w:t>sults</w:t>
      </w:r>
      <w:r w:rsidR="004B0D98" w:rsidRPr="00A94D8B">
        <w:t>,</w:t>
      </w:r>
      <w:r w:rsidR="00BF50CB" w:rsidRPr="00A94D8B">
        <w:t xml:space="preserve"> even if </w:t>
      </w:r>
      <w:r w:rsidR="003E66C3" w:rsidRPr="00A94D8B">
        <w:t>an extension of the project of ab</w:t>
      </w:r>
      <w:r w:rsidR="00BF50CB" w:rsidRPr="00A94D8B">
        <w:t xml:space="preserve">out six months is needed. </w:t>
      </w:r>
      <w:r w:rsidR="00BF50CB" w:rsidRPr="00A94D8B">
        <w:br/>
      </w:r>
      <w:r w:rsidR="003E66C3" w:rsidRPr="00A94D8B">
        <w:t>There is a clear improvement in climate information systems, as well as the capacit</w:t>
      </w:r>
      <w:r w:rsidR="004B0D98" w:rsidRPr="00A94D8B">
        <w:t>ies</w:t>
      </w:r>
      <w:r w:rsidR="003E66C3" w:rsidRPr="00A94D8B">
        <w:t xml:space="preserve"> to an</w:t>
      </w:r>
      <w:r w:rsidR="003E66C3" w:rsidRPr="00A94D8B">
        <w:t>a</w:t>
      </w:r>
      <w:r w:rsidR="003E66C3" w:rsidRPr="00A94D8B">
        <w:t>lyse climate developments and their consequences in West Afr</w:t>
      </w:r>
      <w:r w:rsidR="00BF50CB" w:rsidRPr="00A94D8B">
        <w:t xml:space="preserve">ica. However, </w:t>
      </w:r>
      <w:r w:rsidR="003E66C3" w:rsidRPr="00A94D8B">
        <w:t xml:space="preserve">a more direct connection to national </w:t>
      </w:r>
      <w:r w:rsidR="00C314BE" w:rsidRPr="00A94D8B">
        <w:t xml:space="preserve">climate related </w:t>
      </w:r>
      <w:r w:rsidR="003E66C3" w:rsidRPr="00A94D8B">
        <w:t xml:space="preserve">information systems for farmers, </w:t>
      </w:r>
      <w:r w:rsidR="004B0D98" w:rsidRPr="00A94D8B">
        <w:t xml:space="preserve">including </w:t>
      </w:r>
      <w:r w:rsidR="003E66C3" w:rsidRPr="00A94D8B">
        <w:t>early war</w:t>
      </w:r>
      <w:r w:rsidR="003E66C3" w:rsidRPr="00A94D8B">
        <w:t>n</w:t>
      </w:r>
      <w:r w:rsidR="003E66C3" w:rsidRPr="00A94D8B">
        <w:t xml:space="preserve">ing systems </w:t>
      </w:r>
      <w:r w:rsidR="00C314BE" w:rsidRPr="00A94D8B">
        <w:t>would greatly improve the pe</w:t>
      </w:r>
      <w:r w:rsidR="0045585D">
        <w:t xml:space="preserve">rception of the programme. </w:t>
      </w:r>
      <w:r w:rsidR="003E66C3" w:rsidRPr="00A94D8B">
        <w:t>The issue</w:t>
      </w:r>
      <w:r w:rsidR="00F54A64" w:rsidRPr="00A94D8B">
        <w:t>s</w:t>
      </w:r>
      <w:r w:rsidR="003E66C3" w:rsidRPr="00A94D8B">
        <w:t xml:space="preserve"> of climate change, low carbon emission solutions and climate resilience are today being integrated into national development strategies, whereas their integration into regional strategies (ECOWAS) is less apparent. </w:t>
      </w:r>
      <w:r w:rsidR="00F54A64" w:rsidRPr="00A94D8B">
        <w:t>C</w:t>
      </w:r>
      <w:r w:rsidR="003E66C3" w:rsidRPr="00A94D8B">
        <w:t>apacit</w:t>
      </w:r>
      <w:r w:rsidR="00F54A64" w:rsidRPr="00A94D8B">
        <w:t>ies</w:t>
      </w:r>
      <w:r w:rsidR="003E66C3" w:rsidRPr="00A94D8B">
        <w:t xml:space="preserve"> for climate negotiations and </w:t>
      </w:r>
      <w:r w:rsidR="00F54A64" w:rsidRPr="00A94D8B">
        <w:t>for ac</w:t>
      </w:r>
      <w:r w:rsidR="003E66C3" w:rsidRPr="00A94D8B">
        <w:t>cess to carbon funding mech</w:t>
      </w:r>
      <w:r w:rsidR="003E66C3" w:rsidRPr="00A94D8B">
        <w:t>a</w:t>
      </w:r>
      <w:r w:rsidR="003E66C3" w:rsidRPr="00A94D8B">
        <w:t xml:space="preserve">nisms in West Africa have been strengthened, but need to be further reinforced, particularly in order to prepare for COP 21 (Paris, December 2015), </w:t>
      </w:r>
      <w:r w:rsidR="00BF50CB" w:rsidRPr="00A94D8B">
        <w:t>in close collaboration with African Civil Society.</w:t>
      </w:r>
    </w:p>
    <w:p w:rsidR="00981F6F" w:rsidRPr="00A94D8B" w:rsidRDefault="00981F6F" w:rsidP="00AD1C0A">
      <w:pPr>
        <w:rPr>
          <w:color w:val="000000"/>
        </w:rPr>
      </w:pPr>
      <w:r w:rsidRPr="00A94D8B">
        <w:rPr>
          <w:color w:val="000000"/>
        </w:rPr>
        <w:t xml:space="preserve">The overall objective of the CCCCC programme is to </w:t>
      </w:r>
      <w:r w:rsidRPr="00A94D8B">
        <w:t>support sustainable development in the Caribbean region, preserving the progress of the countries towards the MDGs.</w:t>
      </w:r>
      <w:r w:rsidR="0045585D">
        <w:rPr>
          <w:color w:val="000000"/>
        </w:rPr>
        <w:t xml:space="preserve"> </w:t>
      </w:r>
      <w:r w:rsidRPr="00A94D8B">
        <w:rPr>
          <w:color w:val="000000"/>
        </w:rPr>
        <w:t xml:space="preserve">It is early to speak </w:t>
      </w:r>
      <w:r w:rsidR="003E66C3" w:rsidRPr="00A94D8B">
        <w:t>about im</w:t>
      </w:r>
      <w:r w:rsidRPr="00A94D8B">
        <w:t xml:space="preserve">pacts with this programme as most of what is being championed is very long </w:t>
      </w:r>
      <w:r w:rsidR="00C314BE" w:rsidRPr="00A94D8B">
        <w:t>-</w:t>
      </w:r>
      <w:r w:rsidRPr="00A94D8B">
        <w:t>term and the programme did start off slowly. Even when all the activities are implemented which will occur through a short extension, the number of identifiable beneficiaries will not be large</w:t>
      </w:r>
      <w:r w:rsidR="003E66C3" w:rsidRPr="00A94D8B">
        <w:t xml:space="preserve">. </w:t>
      </w:r>
      <w:r w:rsidRPr="00A94D8B">
        <w:t>However, the pos</w:t>
      </w:r>
      <w:r w:rsidR="00C314BE" w:rsidRPr="00A94D8B">
        <w:t xml:space="preserve">sibility that </w:t>
      </w:r>
      <w:r w:rsidRPr="00A94D8B">
        <w:t xml:space="preserve">the programme will have a more visible </w:t>
      </w:r>
      <w:r w:rsidR="00C314BE" w:rsidRPr="00A94D8B">
        <w:t>and quantif</w:t>
      </w:r>
      <w:r w:rsidR="00C314BE" w:rsidRPr="00A94D8B">
        <w:t>i</w:t>
      </w:r>
      <w:r w:rsidR="00C314BE" w:rsidRPr="00A94D8B">
        <w:t xml:space="preserve">able </w:t>
      </w:r>
      <w:r w:rsidRPr="00A94D8B">
        <w:t>impact over the long-</w:t>
      </w:r>
      <w:proofErr w:type="gramStart"/>
      <w:r w:rsidRPr="00A94D8B">
        <w:t>term</w:t>
      </w:r>
      <w:r w:rsidR="00C314BE" w:rsidRPr="00A94D8B">
        <w:t>,</w:t>
      </w:r>
      <w:proofErr w:type="gramEnd"/>
      <w:r w:rsidRPr="00A94D8B">
        <w:t xml:space="preserve"> is strong</w:t>
      </w:r>
      <w:r w:rsidR="00C314BE" w:rsidRPr="00A94D8B">
        <w:t xml:space="preserve">. </w:t>
      </w:r>
      <w:r w:rsidRPr="00A94D8B">
        <w:t xml:space="preserve"> </w:t>
      </w:r>
      <w:r w:rsidR="00D522AD" w:rsidRPr="00A94D8B">
        <w:t xml:space="preserve"> </w:t>
      </w:r>
      <w:r w:rsidRPr="00A94D8B">
        <w:t xml:space="preserve"> </w:t>
      </w:r>
      <w:r w:rsidRPr="00A94D8B">
        <w:rPr>
          <w:rFonts w:eastAsia="Times New Roman"/>
          <w:lang w:eastAsia="en-CA"/>
        </w:rPr>
        <w:t xml:space="preserve"> </w:t>
      </w:r>
    </w:p>
    <w:p w:rsidR="00E87A61" w:rsidRPr="00A94D8B" w:rsidRDefault="00981F6F" w:rsidP="00AD1C0A">
      <w:r w:rsidRPr="00A94D8B">
        <w:rPr>
          <w:color w:val="000000"/>
        </w:rPr>
        <w:t>The overall objective of the COMESA programme</w:t>
      </w:r>
      <w:r w:rsidR="00F54A64" w:rsidRPr="00A94D8B">
        <w:rPr>
          <w:color w:val="000000"/>
        </w:rPr>
        <w:t>, finally,</w:t>
      </w:r>
      <w:r w:rsidRPr="00A94D8B">
        <w:rPr>
          <w:color w:val="000000"/>
        </w:rPr>
        <w:t xml:space="preserve"> </w:t>
      </w:r>
      <w:r w:rsidR="00D522AD" w:rsidRPr="00A94D8B">
        <w:rPr>
          <w:color w:val="000000"/>
        </w:rPr>
        <w:t>is t</w:t>
      </w:r>
      <w:r w:rsidR="00D522AD" w:rsidRPr="00A94D8B">
        <w:t>o address the impacts of cl</w:t>
      </w:r>
      <w:r w:rsidR="00D522AD" w:rsidRPr="00A94D8B">
        <w:t>i</w:t>
      </w:r>
      <w:r w:rsidR="00D522AD" w:rsidRPr="00A94D8B">
        <w:t>mate change in the region through a</w:t>
      </w:r>
      <w:r w:rsidR="00C314BE" w:rsidRPr="00A94D8B">
        <w:t xml:space="preserve">daptation and mitigation activities that build </w:t>
      </w:r>
      <w:r w:rsidR="00D522AD" w:rsidRPr="00A94D8B">
        <w:t>eco</w:t>
      </w:r>
      <w:r w:rsidR="00C314BE" w:rsidRPr="00A94D8B">
        <w:t>nomic and social resilience</w:t>
      </w:r>
      <w:r w:rsidR="00D522AD" w:rsidRPr="00A94D8B">
        <w:t>.</w:t>
      </w:r>
      <w:r w:rsidRPr="00A94D8B">
        <w:rPr>
          <w:color w:val="000000"/>
        </w:rPr>
        <w:t xml:space="preserve"> </w:t>
      </w:r>
      <w:r w:rsidR="00C314BE" w:rsidRPr="00A94D8B">
        <w:rPr>
          <w:color w:val="000000"/>
        </w:rPr>
        <w:t>The i</w:t>
      </w:r>
      <w:r w:rsidR="00F54A64" w:rsidRPr="00A94D8B">
        <w:rPr>
          <w:color w:val="000000"/>
        </w:rPr>
        <w:t>mpact</w:t>
      </w:r>
      <w:r w:rsidR="007E16F3" w:rsidRPr="00A94D8B">
        <w:t xml:space="preserve"> of the </w:t>
      </w:r>
      <w:r w:rsidR="00D522AD" w:rsidRPr="00A94D8B">
        <w:t>COMESA p</w:t>
      </w:r>
      <w:r w:rsidR="007E16F3" w:rsidRPr="00A94D8B">
        <w:t>ro</w:t>
      </w:r>
      <w:r w:rsidR="00D522AD" w:rsidRPr="00A94D8B">
        <w:t>gramme could not</w:t>
      </w:r>
      <w:r w:rsidR="007E16F3" w:rsidRPr="00A94D8B">
        <w:t xml:space="preserve"> be properly mea</w:t>
      </w:r>
      <w:r w:rsidR="007E16F3" w:rsidRPr="00A94D8B">
        <w:t>s</w:t>
      </w:r>
      <w:r w:rsidR="007E16F3" w:rsidRPr="00A94D8B">
        <w:t>ured through this evaluation assignment</w:t>
      </w:r>
      <w:r w:rsidR="00F54A64" w:rsidRPr="00A94D8B">
        <w:t xml:space="preserve">, it would have </w:t>
      </w:r>
      <w:r w:rsidR="007E16F3" w:rsidRPr="00A94D8B">
        <w:t>require</w:t>
      </w:r>
      <w:r w:rsidR="00D522AD" w:rsidRPr="00A94D8B">
        <w:t>d</w:t>
      </w:r>
      <w:r w:rsidR="007E16F3" w:rsidRPr="00A94D8B">
        <w:t xml:space="preserve"> more time and travel to multiple coun</w:t>
      </w:r>
      <w:r w:rsidR="0045585D">
        <w:t xml:space="preserve">tries. </w:t>
      </w:r>
      <w:r w:rsidR="00F54A64" w:rsidRPr="00A94D8B">
        <w:t>S</w:t>
      </w:r>
      <w:r w:rsidR="00772C90" w:rsidRPr="00A94D8B">
        <w:t>till</w:t>
      </w:r>
      <w:r w:rsidR="00F54A64" w:rsidRPr="00A94D8B">
        <w:t>, one</w:t>
      </w:r>
      <w:r w:rsidR="00772C90" w:rsidRPr="00A94D8B">
        <w:t xml:space="preserve"> </w:t>
      </w:r>
      <w:r w:rsidR="007E16F3" w:rsidRPr="00A94D8B">
        <w:t>has to consider the slow start</w:t>
      </w:r>
      <w:r w:rsidR="00F54A64" w:rsidRPr="00A94D8B">
        <w:t>; t</w:t>
      </w:r>
      <w:r w:rsidR="007E16F3" w:rsidRPr="00A94D8B">
        <w:t xml:space="preserve">he </w:t>
      </w:r>
      <w:r w:rsidR="00F54A64" w:rsidRPr="00A94D8B">
        <w:t>p</w:t>
      </w:r>
      <w:r w:rsidR="007E16F3" w:rsidRPr="00A94D8B">
        <w:t>rogramme only became re</w:t>
      </w:r>
      <w:r w:rsidR="007E16F3" w:rsidRPr="00A94D8B">
        <w:t>a</w:t>
      </w:r>
      <w:r w:rsidR="007E16F3" w:rsidRPr="00A94D8B">
        <w:t xml:space="preserve">sonably operational within the last nine months. Another problem </w:t>
      </w:r>
      <w:r w:rsidR="00F54A64" w:rsidRPr="00A94D8B">
        <w:t xml:space="preserve">concerns the way </w:t>
      </w:r>
      <w:r w:rsidR="007E16F3" w:rsidRPr="00A94D8B">
        <w:t>results are reported</w:t>
      </w:r>
      <w:r w:rsidR="00F54A64" w:rsidRPr="00A94D8B">
        <w:t>,</w:t>
      </w:r>
      <w:r w:rsidR="007E16F3" w:rsidRPr="00A94D8B">
        <w:t xml:space="preserve"> and the lack of clear description as to what the Programme actually supported and </w:t>
      </w:r>
      <w:r w:rsidR="00D522AD" w:rsidRPr="00A94D8B">
        <w:t xml:space="preserve">achieved. Similar to </w:t>
      </w:r>
      <w:r w:rsidR="00F54A64" w:rsidRPr="00A94D8B">
        <w:t xml:space="preserve">the </w:t>
      </w:r>
      <w:r w:rsidR="00D522AD" w:rsidRPr="00A94D8B">
        <w:t xml:space="preserve">ClimDev </w:t>
      </w:r>
      <w:r w:rsidR="00F54A64" w:rsidRPr="00A94D8B">
        <w:t xml:space="preserve">programme, </w:t>
      </w:r>
      <w:r w:rsidR="00D522AD" w:rsidRPr="00A94D8B">
        <w:t>support to the AGN is considered a key accomplishment. The COMESA programme’s focus on women and having ground</w:t>
      </w:r>
      <w:r w:rsidR="00F54A64" w:rsidRPr="00A94D8B">
        <w:t>-</w:t>
      </w:r>
      <w:r w:rsidR="00D522AD" w:rsidRPr="00A94D8B">
        <w:t>level a</w:t>
      </w:r>
      <w:r w:rsidR="00D522AD" w:rsidRPr="00A94D8B">
        <w:t>c</w:t>
      </w:r>
      <w:r w:rsidR="00D522AD" w:rsidRPr="00A94D8B">
        <w:t>tivity in areas such as CSA to influence policy are admirable</w:t>
      </w:r>
      <w:r w:rsidR="00F54A64" w:rsidRPr="00A94D8B">
        <w:t>,</w:t>
      </w:r>
      <w:r w:rsidR="00D522AD" w:rsidRPr="00A94D8B">
        <w:t xml:space="preserve"> but what is actually being a</w:t>
      </w:r>
      <w:r w:rsidR="00D522AD" w:rsidRPr="00A94D8B">
        <w:t>c</w:t>
      </w:r>
      <w:r w:rsidR="00D522AD" w:rsidRPr="00A94D8B">
        <w:t>complished</w:t>
      </w:r>
      <w:r w:rsidR="00C314BE" w:rsidRPr="00A94D8B">
        <w:t xml:space="preserve"> needs to be more clearly understood</w:t>
      </w:r>
      <w:r w:rsidR="00D522AD" w:rsidRPr="00A94D8B">
        <w:t xml:space="preserve">.  </w:t>
      </w:r>
      <w:r w:rsidR="007E16F3" w:rsidRPr="00A94D8B">
        <w:t>Now that M&amp;E experts are in place in the three RECs</w:t>
      </w:r>
      <w:r w:rsidR="00F54A64" w:rsidRPr="00A94D8B">
        <w:t>,</w:t>
      </w:r>
      <w:r w:rsidR="007E16F3" w:rsidRPr="00A94D8B">
        <w:t xml:space="preserve"> </w:t>
      </w:r>
      <w:r w:rsidR="00C314BE" w:rsidRPr="00A94D8B">
        <w:t xml:space="preserve">the capacity is now available to improve both </w:t>
      </w:r>
      <w:r w:rsidR="007E16F3" w:rsidRPr="00A94D8B">
        <w:t>monito</w:t>
      </w:r>
      <w:r w:rsidR="00D522AD" w:rsidRPr="00A94D8B">
        <w:t>ring and evaluation fun</w:t>
      </w:r>
      <w:r w:rsidR="00D522AD" w:rsidRPr="00A94D8B">
        <w:t>c</w:t>
      </w:r>
      <w:r w:rsidR="00D522AD" w:rsidRPr="00A94D8B">
        <w:t xml:space="preserve">tions.  </w:t>
      </w:r>
    </w:p>
    <w:p w:rsidR="00D522AD" w:rsidRPr="00A94D8B" w:rsidRDefault="00D522AD" w:rsidP="00AD1C0A">
      <w:pPr>
        <w:rPr>
          <w:color w:val="808080" w:themeColor="background1" w:themeShade="80"/>
        </w:rPr>
      </w:pPr>
      <w:r w:rsidRPr="00A94D8B">
        <w:t>Overall</w:t>
      </w:r>
      <w:r w:rsidR="00F54A64" w:rsidRPr="00A94D8B">
        <w:t>,</w:t>
      </w:r>
      <w:r w:rsidRPr="00A94D8B">
        <w:t xml:space="preserve"> the regional programmes received a rating of C </w:t>
      </w:r>
      <w:r w:rsidR="00F54A64" w:rsidRPr="00A94D8B">
        <w:t xml:space="preserve">(problems) </w:t>
      </w:r>
      <w:r w:rsidRPr="00A94D8B">
        <w:t>on this evaluation que</w:t>
      </w:r>
      <w:r w:rsidRPr="00A94D8B">
        <w:t>s</w:t>
      </w:r>
      <w:r w:rsidRPr="00A94D8B">
        <w:t>tion</w:t>
      </w:r>
      <w:r w:rsidR="00F54A64" w:rsidRPr="00A94D8B">
        <w:t>, as three programmes scored ‘below the mark’.</w:t>
      </w:r>
    </w:p>
    <w:p w:rsidR="00C50C75" w:rsidRPr="00A94D8B" w:rsidRDefault="00C74D2B" w:rsidP="00AD1C0A">
      <w:pPr>
        <w:ind w:left="709" w:hanging="709"/>
        <w:rPr>
          <w:b/>
          <w:i/>
        </w:rPr>
      </w:pPr>
      <w:r w:rsidRPr="00A94D8B">
        <w:rPr>
          <w:b/>
          <w:i/>
        </w:rPr>
        <w:t>EQ</w:t>
      </w:r>
      <w:r w:rsidR="00D036B2" w:rsidRPr="00A94D8B">
        <w:rPr>
          <w:b/>
          <w:i/>
        </w:rPr>
        <w:t>9.</w:t>
      </w:r>
      <w:r w:rsidR="00D036B2" w:rsidRPr="00A94D8B">
        <w:rPr>
          <w:b/>
          <w:i/>
        </w:rPr>
        <w:tab/>
        <w:t>To which extent does the programme contribute to visibility and a good reputation of the EU’s and ACP’s actions in the field of climate change?</w:t>
      </w:r>
    </w:p>
    <w:p w:rsidR="0003569C" w:rsidRPr="00A94D8B" w:rsidRDefault="0003569C" w:rsidP="00AD1C0A">
      <w:r w:rsidRPr="00A94D8B">
        <w:t>As per the evaluation question</w:t>
      </w:r>
      <w:r w:rsidR="00415980" w:rsidRPr="00A94D8B">
        <w:t>,</w:t>
      </w:r>
      <w:r w:rsidRPr="00A94D8B">
        <w:t xml:space="preserve"> information was sought regarding creating awareness </w:t>
      </w:r>
      <w:r w:rsidR="005E5550" w:rsidRPr="00A94D8B">
        <w:t>of</w:t>
      </w:r>
      <w:r w:rsidRPr="00A94D8B">
        <w:t xml:space="preserve"> the EU and ACP </w:t>
      </w:r>
      <w:r w:rsidR="00415980" w:rsidRPr="00A94D8B">
        <w:t xml:space="preserve">role in supporting </w:t>
      </w:r>
      <w:r w:rsidRPr="00A94D8B">
        <w:t xml:space="preserve">the </w:t>
      </w:r>
      <w:r w:rsidR="00415980" w:rsidRPr="00A94D8B">
        <w:t xml:space="preserve">Intra ACP </w:t>
      </w:r>
      <w:r w:rsidRPr="00A94D8B">
        <w:t>P</w:t>
      </w:r>
      <w:r w:rsidR="00415980" w:rsidRPr="00A94D8B">
        <w:t>rogramme`s activities. T</w:t>
      </w:r>
      <w:r w:rsidRPr="00A94D8B">
        <w:t xml:space="preserve">he </w:t>
      </w:r>
      <w:r w:rsidR="00415980" w:rsidRPr="00A94D8B">
        <w:t xml:space="preserve">intention </w:t>
      </w:r>
      <w:r w:rsidR="00615AD3" w:rsidRPr="00A94D8B">
        <w:t xml:space="preserve">in this chapter </w:t>
      </w:r>
      <w:r w:rsidRPr="00A94D8B">
        <w:t xml:space="preserve">is to provide a sense of the range </w:t>
      </w:r>
      <w:r w:rsidR="00415980" w:rsidRPr="00A94D8B">
        <w:t xml:space="preserve">and quality </w:t>
      </w:r>
      <w:r w:rsidRPr="00A94D8B">
        <w:t>of visibility events and products</w:t>
      </w:r>
      <w:r w:rsidR="00415980" w:rsidRPr="00A94D8B">
        <w:t xml:space="preserve"> and how improvements could be made</w:t>
      </w:r>
      <w:r w:rsidRPr="00A94D8B">
        <w:t xml:space="preserve">.  </w:t>
      </w:r>
    </w:p>
    <w:p w:rsidR="0003569C" w:rsidRPr="00A94D8B" w:rsidRDefault="0003569C" w:rsidP="00AD1C0A">
      <w:r w:rsidRPr="00A94D8B">
        <w:t>The CCCCC has made several presentations on the programme to national governments and other stakeholder agencies. The EU and GCCA logos have been utilized on letter-heads and sta</w:t>
      </w:r>
      <w:r w:rsidR="00415980" w:rsidRPr="00A94D8B">
        <w:t xml:space="preserve">tionary for all communications </w:t>
      </w:r>
      <w:r w:rsidRPr="00A94D8B">
        <w:t xml:space="preserve">and have been </w:t>
      </w:r>
      <w:r w:rsidR="00415980" w:rsidRPr="00A94D8B">
        <w:t>put on display</w:t>
      </w:r>
      <w:r w:rsidRPr="00A94D8B">
        <w:t xml:space="preserve"> in public events, including training workshops and planning meetings related to the programme. Smaller promotion</w:t>
      </w:r>
      <w:r w:rsidR="00415980" w:rsidRPr="00A94D8B">
        <w:t>al</w:t>
      </w:r>
      <w:r w:rsidRPr="00A94D8B">
        <w:t xml:space="preserve"> items such as polo shirts bearing the logos of the CCCCC and the EU have been procured and distributed at programme events including training workshops and the project planning mee</w:t>
      </w:r>
      <w:r w:rsidRPr="00A94D8B">
        <w:t>t</w:t>
      </w:r>
      <w:r w:rsidRPr="00A94D8B">
        <w:t>ing. All goods procured for the project have been</w:t>
      </w:r>
      <w:r w:rsidR="00D75139" w:rsidRPr="00A94D8B">
        <w:t>,</w:t>
      </w:r>
      <w:r w:rsidRPr="00A94D8B">
        <w:t xml:space="preserve"> or will be branded with the EU logo as required. On another level</w:t>
      </w:r>
      <w:r w:rsidR="005E5550" w:rsidRPr="00A94D8B">
        <w:t>,</w:t>
      </w:r>
      <w:r w:rsidRPr="00A94D8B">
        <w:t xml:space="preserve"> the communication specialist for the CCCCC has prepared a com</w:t>
      </w:r>
      <w:r w:rsidR="00415980" w:rsidRPr="00A94D8B">
        <w:t>prehensive communica</w:t>
      </w:r>
      <w:r w:rsidRPr="00A94D8B">
        <w:t>tion strategy a</w:t>
      </w:r>
      <w:r w:rsidR="00415980" w:rsidRPr="00A94D8B">
        <w:t>nd visibility plan for the programme</w:t>
      </w:r>
      <w:r w:rsidRPr="00A94D8B">
        <w:t>. This includes communication</w:t>
      </w:r>
      <w:r w:rsidR="00415980" w:rsidRPr="00A94D8B">
        <w:t xml:space="preserve"> and visibility </w:t>
      </w:r>
      <w:r w:rsidR="005E5550" w:rsidRPr="00A94D8B">
        <w:t>activities</w:t>
      </w:r>
      <w:r w:rsidRPr="00A94D8B">
        <w:t>. The evaluation visit to Belize com</w:t>
      </w:r>
      <w:r w:rsidR="00415980" w:rsidRPr="00A94D8B">
        <w:t>menced just</w:t>
      </w:r>
      <w:r w:rsidRPr="00A94D8B">
        <w:t xml:space="preserve"> after a </w:t>
      </w:r>
      <w:r w:rsidR="00D75139" w:rsidRPr="00A94D8B">
        <w:t>‘</w:t>
      </w:r>
      <w:r w:rsidRPr="00A94D8B">
        <w:t>media visibility event</w:t>
      </w:r>
      <w:r w:rsidR="00D75139" w:rsidRPr="00A94D8B">
        <w:t xml:space="preserve">’ </w:t>
      </w:r>
      <w:r w:rsidR="00415980" w:rsidRPr="00A94D8B">
        <w:t xml:space="preserve">that included participation of EU staff from Jamaica </w:t>
      </w:r>
      <w:r w:rsidR="00D75139" w:rsidRPr="00A94D8B">
        <w:t>who</w:t>
      </w:r>
      <w:r w:rsidR="00415980" w:rsidRPr="00A94D8B">
        <w:t xml:space="preserve"> monitor the CCCCC programme</w:t>
      </w:r>
      <w:r w:rsidRPr="00A94D8B">
        <w:t>.</w:t>
      </w:r>
      <w:r w:rsidR="00415980" w:rsidRPr="00A94D8B">
        <w:t xml:space="preserve"> While the EU has good visibility there is </w:t>
      </w:r>
      <w:r w:rsidRPr="00A94D8B">
        <w:t xml:space="preserve">minimal visibility of the ACP.  </w:t>
      </w:r>
    </w:p>
    <w:p w:rsidR="0003569C" w:rsidRPr="00A94D8B" w:rsidRDefault="0003569C" w:rsidP="00AD1C0A">
      <w:r w:rsidRPr="00A94D8B">
        <w:t>In West Africa</w:t>
      </w:r>
      <w:r w:rsidR="00D253B7" w:rsidRPr="00A94D8B">
        <w:t xml:space="preserve">, for </w:t>
      </w:r>
      <w:r w:rsidR="00415980" w:rsidRPr="00A94D8B">
        <w:t xml:space="preserve">the </w:t>
      </w:r>
      <w:proofErr w:type="spellStart"/>
      <w:r w:rsidR="00415980" w:rsidRPr="00A94D8B">
        <w:t>ClLSS/Agrhymet</w:t>
      </w:r>
      <w:proofErr w:type="spellEnd"/>
      <w:r w:rsidR="00415980" w:rsidRPr="00A94D8B">
        <w:t xml:space="preserve"> programme</w:t>
      </w:r>
      <w:r w:rsidR="00D253B7" w:rsidRPr="00A94D8B">
        <w:t>,</w:t>
      </w:r>
      <w:r w:rsidR="005E5550" w:rsidRPr="00A94D8B">
        <w:t xml:space="preserve"> the evaluation found</w:t>
      </w:r>
      <w:r w:rsidR="00D253B7" w:rsidRPr="00A94D8B">
        <w:t xml:space="preserve"> </w:t>
      </w:r>
      <w:r w:rsidRPr="00A94D8B">
        <w:t>many visibility and communication re</w:t>
      </w:r>
      <w:r w:rsidR="00B3318A" w:rsidRPr="00A94D8B">
        <w:t xml:space="preserve">lated activities with strong </w:t>
      </w:r>
      <w:r w:rsidR="005E5550" w:rsidRPr="00A94D8B">
        <w:t>impact</w:t>
      </w:r>
      <w:r w:rsidRPr="00A94D8B">
        <w:t>s. It was concluded that the CILSS/Agrhymet programme is making a strong contribution to raising awareness regarding the role of the EU and the ACP Secretariat in combating clim</w:t>
      </w:r>
      <w:r w:rsidR="00B3318A" w:rsidRPr="00A94D8B">
        <w:t>ate change. The West</w:t>
      </w:r>
      <w:r w:rsidR="00D253B7" w:rsidRPr="00A94D8B">
        <w:t>-</w:t>
      </w:r>
      <w:r w:rsidR="00B3318A" w:rsidRPr="00A94D8B">
        <w:t>African ac</w:t>
      </w:r>
      <w:r w:rsidRPr="00A94D8B">
        <w:t>tivities of the Intra ACP enjoy good media coverage including national, sub-regional TV, and national press coverage of workshops and organised events. The role</w:t>
      </w:r>
      <w:r w:rsidR="00D253B7" w:rsidRPr="00A94D8B">
        <w:t>s</w:t>
      </w:r>
      <w:r w:rsidRPr="00A94D8B">
        <w:t xml:space="preserve"> of the EU and the ACP Secretariat in facilitating these activities are on clear display. </w:t>
      </w:r>
    </w:p>
    <w:p w:rsidR="0003569C" w:rsidRPr="00A94D8B" w:rsidRDefault="0003569C" w:rsidP="00AD1C0A">
      <w:r w:rsidRPr="00A94D8B">
        <w:t xml:space="preserve">With the USP programme, a webpage has been created with a good amount of information on programme activities (http://eugcca.usp.ac.fj). The </w:t>
      </w:r>
      <w:r w:rsidR="00EA406A" w:rsidRPr="00A94D8B">
        <w:t xml:space="preserve">USP’s </w:t>
      </w:r>
      <w:r w:rsidRPr="00A94D8B">
        <w:t>Knowledge Centre</w:t>
      </w:r>
      <w:r w:rsidR="00B3318A" w:rsidRPr="00A94D8B">
        <w:t xml:space="preserve"> </w:t>
      </w:r>
      <w:r w:rsidR="00EA406A" w:rsidRPr="00A94D8B">
        <w:t>web</w:t>
      </w:r>
      <w:r w:rsidRPr="00A94D8B">
        <w:t>page pr</w:t>
      </w:r>
      <w:r w:rsidRPr="00A94D8B">
        <w:t>o</w:t>
      </w:r>
      <w:r w:rsidRPr="00A94D8B">
        <w:t>vides access to online resources such as i) Information Regarding Climate Science, ii) Doc</w:t>
      </w:r>
      <w:r w:rsidRPr="00A94D8B">
        <w:t>u</w:t>
      </w:r>
      <w:r w:rsidRPr="00A94D8B">
        <w:t>ments on the impacts of Climate Change and Va</w:t>
      </w:r>
      <w:r w:rsidR="00B3318A" w:rsidRPr="00A94D8B">
        <w:t>riability, iii) Documents on In</w:t>
      </w:r>
      <w:r w:rsidRPr="00A94D8B">
        <w:t>tegration of Traditional Knowledge, iv) Lessons learnt by the communities and past community adapt</w:t>
      </w:r>
      <w:r w:rsidRPr="00A94D8B">
        <w:t>a</w:t>
      </w:r>
      <w:r w:rsidRPr="00A94D8B">
        <w:t xml:space="preserve">tion projects, and v) a Catalogue of Best Adaptation Practices. On the Website both the EU and ACP logos are on display and reference is made to the EU. </w:t>
      </w:r>
      <w:r w:rsidR="00B3318A" w:rsidRPr="00A94D8B">
        <w:t>However, t</w:t>
      </w:r>
      <w:r w:rsidRPr="00A94D8B">
        <w:t>he ACP is not e</w:t>
      </w:r>
      <w:r w:rsidRPr="00A94D8B">
        <w:t>x</w:t>
      </w:r>
      <w:r w:rsidRPr="00A94D8B">
        <w:t>plained at all. While the US</w:t>
      </w:r>
      <w:r w:rsidR="00B3318A" w:rsidRPr="00A94D8B">
        <w:t>P programme is explained</w:t>
      </w:r>
      <w:r w:rsidR="00EA406A" w:rsidRPr="00A94D8B">
        <w:t>,</w:t>
      </w:r>
      <w:r w:rsidR="00B3318A" w:rsidRPr="00A94D8B">
        <w:t xml:space="preserve"> the ac</w:t>
      </w:r>
      <w:r w:rsidRPr="00A94D8B">
        <w:t>ronym</w:t>
      </w:r>
      <w:r w:rsidR="00B3318A" w:rsidRPr="00A94D8B">
        <w:t xml:space="preserve"> Intra-ACP is used wit</w:t>
      </w:r>
      <w:r w:rsidR="00B3318A" w:rsidRPr="00A94D8B">
        <w:t>h</w:t>
      </w:r>
      <w:r w:rsidR="00B3318A" w:rsidRPr="00A94D8B">
        <w:t>out any details</w:t>
      </w:r>
      <w:r w:rsidRPr="00A94D8B">
        <w:t xml:space="preserve"> as to what it signifies.  </w:t>
      </w:r>
    </w:p>
    <w:p w:rsidR="0003569C" w:rsidRPr="00A94D8B" w:rsidRDefault="00B3318A" w:rsidP="00AD1C0A">
      <w:r w:rsidRPr="00A94D8B">
        <w:t>With the GCCA-PSIS programme</w:t>
      </w:r>
      <w:r w:rsidR="00CB2CEB" w:rsidRPr="00A94D8B">
        <w:t>,</w:t>
      </w:r>
      <w:r w:rsidR="0003569C" w:rsidRPr="00A94D8B">
        <w:t xml:space="preserve"> communication and visibility activities are considered to be rather good. A climate change communication plan was prepared </w:t>
      </w:r>
      <w:r w:rsidRPr="00A94D8B">
        <w:t>and is used for plan</w:t>
      </w:r>
      <w:r w:rsidR="0003569C" w:rsidRPr="00A94D8B">
        <w:t>ning and evaluation.</w:t>
      </w:r>
      <w:r w:rsidR="00CB2CEB" w:rsidRPr="00A94D8B">
        <w:t xml:space="preserve"> </w:t>
      </w:r>
      <w:r w:rsidR="0003569C" w:rsidRPr="00A94D8B">
        <w:t>A webpage (</w:t>
      </w:r>
      <w:hyperlink r:id="rId14" w:history="1">
        <w:r w:rsidR="00CB2CEB" w:rsidRPr="00A94D8B">
          <w:t>http://www.gcca.eu/regional-programmes/gcca-pacific-small-island-states</w:t>
        </w:r>
      </w:hyperlink>
      <w:r w:rsidR="0003569C" w:rsidRPr="00A94D8B">
        <w:t>) has been developed with details on country activities but this is part of the same website that all Intr</w:t>
      </w:r>
      <w:r w:rsidRPr="00A94D8B">
        <w:t>a ACP and GCCA projects and pro</w:t>
      </w:r>
      <w:r w:rsidR="0003569C" w:rsidRPr="00A94D8B">
        <w:t>grammes share. The Pacific Climate Change Portal also</w:t>
      </w:r>
      <w:r w:rsidRPr="00A94D8B">
        <w:t xml:space="preserve"> contains details about the pro</w:t>
      </w:r>
      <w:r w:rsidR="0003569C" w:rsidRPr="00A94D8B">
        <w:t xml:space="preserve">ject and </w:t>
      </w:r>
      <w:r w:rsidRPr="00A94D8B">
        <w:t xml:space="preserve">the </w:t>
      </w:r>
      <w:r w:rsidR="0003569C" w:rsidRPr="00A94D8B">
        <w:t>EU logo is on display in the international partner section</w:t>
      </w:r>
      <w:r w:rsidR="00CB2CEB" w:rsidRPr="00A94D8B">
        <w:t xml:space="preserve">, </w:t>
      </w:r>
      <w:r w:rsidR="0003569C" w:rsidRPr="00A94D8B">
        <w:t>but not the ACP`s. SPC and SPREP newsletters, as well as na</w:t>
      </w:r>
      <w:r w:rsidRPr="00A94D8B">
        <w:t>tional newsletters, and</w:t>
      </w:r>
      <w:r w:rsidR="0003569C" w:rsidRPr="00A94D8B">
        <w:t xml:space="preserve"> other mechanisms </w:t>
      </w:r>
      <w:r w:rsidRPr="00A94D8B">
        <w:t xml:space="preserve">are </w:t>
      </w:r>
      <w:r w:rsidR="0003569C" w:rsidRPr="00A94D8B">
        <w:t xml:space="preserve">used for communication, supported by national and SPC media releases. </w:t>
      </w:r>
    </w:p>
    <w:p w:rsidR="006F5EC5" w:rsidRPr="00A94D8B" w:rsidRDefault="00CB2CEB" w:rsidP="00AD1C0A">
      <w:r w:rsidRPr="00A94D8B">
        <w:t xml:space="preserve">As regards </w:t>
      </w:r>
      <w:r w:rsidR="001D3B3F" w:rsidRPr="00A94D8B">
        <w:t xml:space="preserve">to </w:t>
      </w:r>
      <w:r w:rsidR="003D3406" w:rsidRPr="00A94D8B">
        <w:t xml:space="preserve">the COMESA programme, </w:t>
      </w:r>
      <w:r w:rsidR="0003569C" w:rsidRPr="00A94D8B">
        <w:t>both po</w:t>
      </w:r>
      <w:r w:rsidR="00B3318A" w:rsidRPr="00A94D8B">
        <w:t>sitive and negative points can be identified</w:t>
      </w:r>
      <w:r w:rsidR="0003569C" w:rsidRPr="00A94D8B">
        <w:t>. On</w:t>
      </w:r>
      <w:r w:rsidR="00B3318A" w:rsidRPr="00A94D8B">
        <w:t>e</w:t>
      </w:r>
      <w:r w:rsidR="0003569C" w:rsidRPr="00A94D8B">
        <w:t xml:space="preserve"> important development is that there is </w:t>
      </w:r>
      <w:r w:rsidR="001D3B3F" w:rsidRPr="00A94D8B">
        <w:t xml:space="preserve">now </w:t>
      </w:r>
      <w:r w:rsidR="0003569C" w:rsidRPr="00A94D8B">
        <w:t xml:space="preserve">a communication specialist on staff who is taking the visibility of the programme very seriously and this should lead to </w:t>
      </w:r>
      <w:r w:rsidR="00B3318A" w:rsidRPr="00A94D8B">
        <w:t xml:space="preserve">a better profile.  </w:t>
      </w:r>
      <w:r w:rsidR="0003569C" w:rsidRPr="00A94D8B">
        <w:t>One of the problems at th</w:t>
      </w:r>
      <w:r w:rsidR="00B3318A" w:rsidRPr="00A94D8B">
        <w:t>is point is that the COMESA pro</w:t>
      </w:r>
      <w:r w:rsidR="0003569C" w:rsidRPr="00A94D8B">
        <w:t xml:space="preserve">gramme has yet to establish itself as a strong viable entity that people are aware of. </w:t>
      </w:r>
      <w:r w:rsidR="001D3B3F" w:rsidRPr="00A94D8B">
        <w:t>Part of this relates to</w:t>
      </w:r>
      <w:r w:rsidR="00B3318A" w:rsidRPr="00A94D8B">
        <w:t xml:space="preserve"> the </w:t>
      </w:r>
      <w:r w:rsidR="001D3B3F" w:rsidRPr="00A94D8B">
        <w:t xml:space="preserve">management of the </w:t>
      </w:r>
      <w:r w:rsidR="00B3318A" w:rsidRPr="00A94D8B">
        <w:t xml:space="preserve">programme. </w:t>
      </w:r>
      <w:r w:rsidR="0003569C" w:rsidRPr="00A94D8B">
        <w:t>Events such as training ses</w:t>
      </w:r>
      <w:r w:rsidR="00B3318A" w:rsidRPr="00A94D8B">
        <w:t xml:space="preserve">sions </w:t>
      </w:r>
      <w:r w:rsidRPr="00A94D8B">
        <w:t xml:space="preserve">may </w:t>
      </w:r>
      <w:r w:rsidR="00B3318A" w:rsidRPr="00A94D8B">
        <w:t>take place in different parts of the</w:t>
      </w:r>
      <w:r w:rsidR="0003569C" w:rsidRPr="00A94D8B">
        <w:t xml:space="preserve"> region</w:t>
      </w:r>
      <w:r w:rsidRPr="00A94D8B">
        <w:t>,</w:t>
      </w:r>
      <w:r w:rsidR="0003569C" w:rsidRPr="00A94D8B">
        <w:t xml:space="preserve"> and pertinent stakeholders </w:t>
      </w:r>
      <w:r w:rsidR="00B3318A" w:rsidRPr="00A94D8B">
        <w:t>from host countries</w:t>
      </w:r>
      <w:r w:rsidRPr="00A94D8B">
        <w:t>,</w:t>
      </w:r>
      <w:r w:rsidR="00B3318A" w:rsidRPr="00A94D8B">
        <w:t xml:space="preserve"> </w:t>
      </w:r>
      <w:r w:rsidR="0003569C" w:rsidRPr="00A94D8B">
        <w:t>such as individuals involved in national GCCA project activity w</w:t>
      </w:r>
      <w:r w:rsidRPr="00A94D8B">
        <w:t xml:space="preserve">ere found to be </w:t>
      </w:r>
      <w:r w:rsidR="0003569C" w:rsidRPr="00A94D8B">
        <w:t>un</w:t>
      </w:r>
      <w:r w:rsidR="00B3318A" w:rsidRPr="00A94D8B">
        <w:t xml:space="preserve">aware that </w:t>
      </w:r>
      <w:r w:rsidR="001D1B13" w:rsidRPr="00A94D8B">
        <w:t xml:space="preserve">a </w:t>
      </w:r>
      <w:r w:rsidR="0003569C" w:rsidRPr="00A94D8B">
        <w:t>workshop</w:t>
      </w:r>
      <w:r w:rsidR="001D1B13" w:rsidRPr="00A94D8B">
        <w:t xml:space="preserve"> is taking place</w:t>
      </w:r>
      <w:r w:rsidRPr="00A94D8B">
        <w:t>, for exa</w:t>
      </w:r>
      <w:r w:rsidRPr="00A94D8B">
        <w:t>m</w:t>
      </w:r>
      <w:r w:rsidRPr="00A94D8B">
        <w:t>ple</w:t>
      </w:r>
      <w:r w:rsidR="001D1B13" w:rsidRPr="00A94D8B">
        <w:t>. P</w:t>
      </w:r>
      <w:r w:rsidR="0003569C" w:rsidRPr="00A94D8B">
        <w:t xml:space="preserve">art of the visibility challenges </w:t>
      </w:r>
      <w:r w:rsidR="001D1B13" w:rsidRPr="00A94D8B">
        <w:t xml:space="preserve">hence </w:t>
      </w:r>
      <w:r w:rsidR="0003569C" w:rsidRPr="00A94D8B">
        <w:t>relate</w:t>
      </w:r>
      <w:r w:rsidRPr="00A94D8B">
        <w:t>s</w:t>
      </w:r>
      <w:r w:rsidR="0003569C" w:rsidRPr="00A94D8B">
        <w:t xml:space="preserve"> to the Programme’s </w:t>
      </w:r>
      <w:r w:rsidR="001D1B13" w:rsidRPr="00A94D8B">
        <w:t xml:space="preserve">lack of </w:t>
      </w:r>
      <w:r w:rsidR="0003569C" w:rsidRPr="00A94D8B">
        <w:t>integration into the climate change/</w:t>
      </w:r>
      <w:r w:rsidRPr="00A94D8B">
        <w:t xml:space="preserve"> </w:t>
      </w:r>
      <w:r w:rsidR="0003569C" w:rsidRPr="00A94D8B">
        <w:t>development milieu of professionals and or</w:t>
      </w:r>
      <w:r w:rsidR="001D1B13" w:rsidRPr="00A94D8B">
        <w:t>ganisations</w:t>
      </w:r>
      <w:r w:rsidRPr="00A94D8B">
        <w:t>,</w:t>
      </w:r>
      <w:r w:rsidR="001D1B13" w:rsidRPr="00A94D8B">
        <w:t xml:space="preserve"> and this is obv</w:t>
      </w:r>
      <w:r w:rsidR="001D1B13" w:rsidRPr="00A94D8B">
        <w:t>i</w:t>
      </w:r>
      <w:r w:rsidR="001D1B13" w:rsidRPr="00A94D8B">
        <w:t xml:space="preserve">ously </w:t>
      </w:r>
      <w:r w:rsidR="0003569C" w:rsidRPr="00A94D8B">
        <w:t>a deeper issue then benefiting from media visibil</w:t>
      </w:r>
      <w:r w:rsidR="00B3318A" w:rsidRPr="00A94D8B">
        <w:t>ity oppor</w:t>
      </w:r>
      <w:r w:rsidR="0003569C" w:rsidRPr="00A94D8B">
        <w:t xml:space="preserve">tunities. </w:t>
      </w:r>
      <w:r w:rsidRPr="00A94D8B">
        <w:t>I</w:t>
      </w:r>
      <w:r w:rsidR="0003569C" w:rsidRPr="00A94D8B">
        <w:t xml:space="preserve">ncreased visibility was highlighted recently in </w:t>
      </w:r>
      <w:r w:rsidR="001D1B13" w:rsidRPr="00A94D8B">
        <w:t xml:space="preserve">a </w:t>
      </w:r>
      <w:r w:rsidR="001D3B3F" w:rsidRPr="00A94D8B">
        <w:t xml:space="preserve">programme </w:t>
      </w:r>
      <w:r w:rsidR="001D1B13" w:rsidRPr="00A94D8B">
        <w:t xml:space="preserve">steering committee </w:t>
      </w:r>
      <w:r w:rsidR="0003569C" w:rsidRPr="00A94D8B">
        <w:t>meet</w:t>
      </w:r>
      <w:r w:rsidR="001D1B13" w:rsidRPr="00A94D8B">
        <w:t>ing</w:t>
      </w:r>
      <w:r w:rsidR="0003569C" w:rsidRPr="00A94D8B">
        <w:t xml:space="preserve"> as a nec</w:t>
      </w:r>
      <w:r w:rsidR="001D1B13" w:rsidRPr="00A94D8B">
        <w:t>essary step</w:t>
      </w:r>
      <w:r w:rsidR="0003569C" w:rsidRPr="00A94D8B">
        <w:t xml:space="preserve"> for the Programme</w:t>
      </w:r>
      <w:r w:rsidRPr="00A94D8B">
        <w:t xml:space="preserve"> to take</w:t>
      </w:r>
      <w:r w:rsidR="006F5EC5" w:rsidRPr="00A94D8B">
        <w:t>.</w:t>
      </w:r>
      <w:r w:rsidR="001D1B13" w:rsidRPr="00A94D8B">
        <w:t xml:space="preserve"> </w:t>
      </w:r>
    </w:p>
    <w:p w:rsidR="0003569C" w:rsidRPr="00A94D8B" w:rsidRDefault="0003569C" w:rsidP="00AD1C0A">
      <w:r w:rsidRPr="00A94D8B">
        <w:t>Where the CO</w:t>
      </w:r>
      <w:r w:rsidR="006F5EC5" w:rsidRPr="00A94D8B">
        <w:t>MESA programme has asserted it</w:t>
      </w:r>
      <w:r w:rsidRPr="00A94D8B">
        <w:t>self</w:t>
      </w:r>
      <w:r w:rsidR="001D3B3F" w:rsidRPr="00A94D8B">
        <w:t xml:space="preserve"> on communication matters</w:t>
      </w:r>
      <w:r w:rsidR="00CB2CEB" w:rsidRPr="00A94D8B">
        <w:t>,</w:t>
      </w:r>
      <w:r w:rsidRPr="00A94D8B">
        <w:t xml:space="preserve"> a deliberate effort to credit the EU is noticeable. The Programme has significantly contributed to the vis</w:t>
      </w:r>
      <w:r w:rsidRPr="00A94D8B">
        <w:t>i</w:t>
      </w:r>
      <w:r w:rsidRPr="00A94D8B">
        <w:t>bility and has portrayed a good image of EU’s action in climate change through the deliberate branding policy that the RECs have individually and jointly adopted when implementing a</w:t>
      </w:r>
      <w:r w:rsidRPr="00A94D8B">
        <w:t>c</w:t>
      </w:r>
      <w:r w:rsidRPr="00A94D8B">
        <w:t>tivities at the national, regional and international level. This has specially been seen through climate change negotiations and support to national climate change response strategies.</w:t>
      </w:r>
    </w:p>
    <w:p w:rsidR="0003569C" w:rsidRPr="00A94D8B" w:rsidRDefault="0003569C" w:rsidP="00AD1C0A">
      <w:r w:rsidRPr="00A94D8B">
        <w:t>Information and communicatio</w:t>
      </w:r>
      <w:r w:rsidR="001D3B3F" w:rsidRPr="00A94D8B">
        <w:t xml:space="preserve">ns personnel for SADC and COMESA </w:t>
      </w:r>
      <w:r w:rsidRPr="00A94D8B">
        <w:t>are designing a co</w:t>
      </w:r>
      <w:r w:rsidRPr="00A94D8B">
        <w:t>n</w:t>
      </w:r>
      <w:r w:rsidRPr="00A94D8B">
        <w:t>solidated communications and publicity stra</w:t>
      </w:r>
      <w:r w:rsidR="001D3B3F" w:rsidRPr="00A94D8B">
        <w:t>tegy for the programme in 2014</w:t>
      </w:r>
      <w:r w:rsidRPr="00A94D8B">
        <w:t>.  COMESA and EAC are in the process of developing Climate Change Communication Strategies that will feed into the Programme Communication Strategy to enhance programme visibility</w:t>
      </w:r>
      <w:r w:rsidR="00CB2CEB" w:rsidRPr="00A94D8B">
        <w:t>.</w:t>
      </w:r>
    </w:p>
    <w:p w:rsidR="0003569C" w:rsidRPr="00A94D8B" w:rsidRDefault="0003569C" w:rsidP="00AD1C0A">
      <w:r w:rsidRPr="00A94D8B">
        <w:t xml:space="preserve">On the COMESA </w:t>
      </w:r>
      <w:r w:rsidR="00CB2CEB" w:rsidRPr="00A94D8B">
        <w:t>web</w:t>
      </w:r>
      <w:r w:rsidRPr="00A94D8B">
        <w:t>site</w:t>
      </w:r>
      <w:r w:rsidR="00CB2CEB" w:rsidRPr="00A94D8B">
        <w:t>,</w:t>
      </w:r>
      <w:r w:rsidRPr="00A94D8B">
        <w:t xml:space="preserve"> there is </w:t>
      </w:r>
      <w:r w:rsidR="006F5EC5" w:rsidRPr="00A94D8B">
        <w:t xml:space="preserve">virtually </w:t>
      </w:r>
      <w:r w:rsidRPr="00A94D8B">
        <w:t>no</w:t>
      </w:r>
      <w:r w:rsidR="00CB2CEB" w:rsidRPr="00A94D8B">
        <w:t xml:space="preserve"> </w:t>
      </w:r>
      <w:r w:rsidRPr="00A94D8B">
        <w:t>visibility</w:t>
      </w:r>
      <w:r w:rsidR="006F5EC5" w:rsidRPr="00A94D8B">
        <w:t xml:space="preserve"> of the Intra ACP Programme</w:t>
      </w:r>
      <w:r w:rsidRPr="00A94D8B">
        <w:t xml:space="preserve">. There is </w:t>
      </w:r>
      <w:r w:rsidR="00CB2CEB" w:rsidRPr="00A94D8B">
        <w:t>no w</w:t>
      </w:r>
      <w:r w:rsidRPr="00A94D8B">
        <w:t xml:space="preserve">ebsite other than the </w:t>
      </w:r>
      <w:r w:rsidR="00CB2CEB" w:rsidRPr="00A94D8B">
        <w:t>w</w:t>
      </w:r>
      <w:r w:rsidRPr="00A94D8B">
        <w:t>eb-page on the GCCA site. What is unique about the COMESA programme</w:t>
      </w:r>
      <w:r w:rsidR="00CB2CEB" w:rsidRPr="00A94D8B">
        <w:t>, though,</w:t>
      </w:r>
      <w:r w:rsidRPr="00A94D8B">
        <w:t xml:space="preserve"> is the use of social media. There </w:t>
      </w:r>
      <w:r w:rsidR="006F5EC5" w:rsidRPr="00A94D8B">
        <w:t>is for example a Facebook page, the only regional programme to do so.</w:t>
      </w:r>
      <w:r w:rsidRPr="00A94D8B">
        <w:t xml:space="preserve">    </w:t>
      </w:r>
    </w:p>
    <w:p w:rsidR="0040349C" w:rsidRPr="00A94D8B" w:rsidRDefault="0003569C" w:rsidP="00AD1C0A">
      <w:r w:rsidRPr="00A94D8B">
        <w:t>Overall</w:t>
      </w:r>
      <w:r w:rsidR="00CB2CEB" w:rsidRPr="00A94D8B">
        <w:t>,</w:t>
      </w:r>
      <w:r w:rsidRPr="00A94D8B">
        <w:t xml:space="preserve"> the Web presence of all the regional programmes could be improved. </w:t>
      </w:r>
      <w:r w:rsidR="006F5EC5" w:rsidRPr="00A94D8B">
        <w:t xml:space="preserve">This should start with either </w:t>
      </w:r>
      <w:r w:rsidRPr="00A94D8B">
        <w:t xml:space="preserve">a dedicated website or at least a clearly defined and robust section on the </w:t>
      </w:r>
      <w:r w:rsidR="006F5EC5" w:rsidRPr="00A94D8B">
        <w:t xml:space="preserve">implementing partner’s </w:t>
      </w:r>
      <w:r w:rsidR="001D3B3F" w:rsidRPr="00A94D8B">
        <w:t xml:space="preserve">own </w:t>
      </w:r>
      <w:r w:rsidR="00CB2CEB" w:rsidRPr="00A94D8B">
        <w:t>w</w:t>
      </w:r>
      <w:r w:rsidR="006F5EC5" w:rsidRPr="00A94D8B">
        <w:t>ebsite</w:t>
      </w:r>
      <w:r w:rsidRPr="00A94D8B">
        <w:t>. There should be standard guidelines for what is e</w:t>
      </w:r>
      <w:r w:rsidRPr="00A94D8B">
        <w:t>x</w:t>
      </w:r>
      <w:r w:rsidRPr="00A94D8B">
        <w:t xml:space="preserve">pected of each regional programme in terms of </w:t>
      </w:r>
      <w:r w:rsidR="006F5EC5" w:rsidRPr="00A94D8B">
        <w:t>visibility standards for the</w:t>
      </w:r>
      <w:r w:rsidRPr="00A94D8B">
        <w:t xml:space="preserve"> EU and AC</w:t>
      </w:r>
      <w:r w:rsidR="006F5EC5" w:rsidRPr="00A94D8B">
        <w:t>P Secretariat. This should also include standard procedures to ensure that events such as trai</w:t>
      </w:r>
      <w:r w:rsidR="006F5EC5" w:rsidRPr="00A94D8B">
        <w:t>n</w:t>
      </w:r>
      <w:r w:rsidR="006F5EC5" w:rsidRPr="00A94D8B">
        <w:t xml:space="preserve">ing sessions are </w:t>
      </w:r>
      <w:r w:rsidRPr="00A94D8B">
        <w:t xml:space="preserve">properly </w:t>
      </w:r>
      <w:r w:rsidR="006F5EC5" w:rsidRPr="00A94D8B">
        <w:t>promoted in</w:t>
      </w:r>
      <w:r w:rsidRPr="00A94D8B">
        <w:t xml:space="preserve"> host countries</w:t>
      </w:r>
      <w:r w:rsidR="006F5EC5" w:rsidRPr="00A94D8B">
        <w:t xml:space="preserve"> to ensure that</w:t>
      </w:r>
      <w:r w:rsidRPr="00A94D8B">
        <w:t xml:space="preserve"> media visibility opportun</w:t>
      </w:r>
      <w:r w:rsidRPr="00A94D8B">
        <w:t>i</w:t>
      </w:r>
      <w:r w:rsidRPr="00A94D8B">
        <w:t>ties are</w:t>
      </w:r>
      <w:r w:rsidR="001D3B3F" w:rsidRPr="00A94D8B">
        <w:t xml:space="preserve"> not</w:t>
      </w:r>
      <w:r w:rsidRPr="00A94D8B">
        <w:t xml:space="preserve"> lost</w:t>
      </w:r>
      <w:r w:rsidR="001D3B3F" w:rsidRPr="00A94D8B">
        <w:t xml:space="preserve"> and there is no confusion between regional programmes and GCCA national programme activities</w:t>
      </w:r>
      <w:r w:rsidRPr="00A94D8B">
        <w:t>.</w:t>
      </w:r>
    </w:p>
    <w:p w:rsidR="00A61A91" w:rsidRPr="00A94D8B" w:rsidRDefault="001D5A5D" w:rsidP="00AD1C0A">
      <w:r w:rsidRPr="00A94D8B">
        <w:t xml:space="preserve">Overall a rating of B is provided on the question of the visibility of the EU and ACP. </w:t>
      </w:r>
      <w:r w:rsidR="0003569C" w:rsidRPr="00A94D8B">
        <w:t xml:space="preserve"> </w:t>
      </w:r>
    </w:p>
    <w:p w:rsidR="00D036B2" w:rsidRPr="00A94D8B" w:rsidRDefault="00D036B2" w:rsidP="00AD1C0A">
      <w:pPr>
        <w:pStyle w:val="Heading2"/>
        <w:numPr>
          <w:ilvl w:val="1"/>
          <w:numId w:val="9"/>
        </w:numPr>
      </w:pPr>
      <w:bookmarkStart w:id="41" w:name="_Toc392064220"/>
      <w:bookmarkStart w:id="42" w:name="_Toc401041566"/>
      <w:r w:rsidRPr="00A94D8B">
        <w:t>On sustainability</w:t>
      </w:r>
      <w:r w:rsidR="006C6102" w:rsidRPr="00A94D8B">
        <w:t xml:space="preserve"> (likely continuation of achieved results)</w:t>
      </w:r>
      <w:r w:rsidRPr="00A94D8B">
        <w:t>:</w:t>
      </w:r>
      <w:bookmarkEnd w:id="41"/>
      <w:bookmarkEnd w:id="42"/>
    </w:p>
    <w:p w:rsidR="00A61A91" w:rsidRPr="00A94D8B" w:rsidRDefault="00C76D67" w:rsidP="00AD1C0A">
      <w:pPr>
        <w:ind w:left="709" w:hanging="709"/>
      </w:pPr>
      <w:r w:rsidRPr="00A94D8B">
        <w:rPr>
          <w:b/>
          <w:i/>
        </w:rPr>
        <w:t xml:space="preserve">EQ </w:t>
      </w:r>
      <w:r w:rsidR="00D036B2" w:rsidRPr="00A94D8B">
        <w:rPr>
          <w:b/>
          <w:i/>
        </w:rPr>
        <w:t>10.</w:t>
      </w:r>
      <w:r w:rsidR="00D036B2" w:rsidRPr="00A94D8B">
        <w:rPr>
          <w:b/>
          <w:i/>
        </w:rPr>
        <w:tab/>
      </w:r>
      <w:r>
        <w:rPr>
          <w:b/>
          <w:i/>
        </w:rPr>
        <w:t xml:space="preserve"> </w:t>
      </w:r>
      <w:r w:rsidR="00D036B2" w:rsidRPr="00A94D8B">
        <w:rPr>
          <w:b/>
          <w:i/>
        </w:rPr>
        <w:t>To what extent are the conditions met and mechanisms in place to sustain pr</w:t>
      </w:r>
      <w:r w:rsidR="00D036B2" w:rsidRPr="00A94D8B">
        <w:rPr>
          <w:b/>
          <w:i/>
        </w:rPr>
        <w:t>o</w:t>
      </w:r>
      <w:r w:rsidR="00D036B2" w:rsidRPr="00A94D8B">
        <w:rPr>
          <w:b/>
          <w:i/>
        </w:rPr>
        <w:t>gramme results and ensure a continued flow of benefits to beneficiaries?</w:t>
      </w:r>
      <w:r w:rsidR="00C74D2B" w:rsidRPr="00A94D8B">
        <w:t xml:space="preserve"> </w:t>
      </w:r>
    </w:p>
    <w:p w:rsidR="009E0ECC" w:rsidRPr="00A94D8B" w:rsidRDefault="009E0ECC" w:rsidP="00AD1C0A">
      <w:r w:rsidRPr="00A94D8B">
        <w:t xml:space="preserve">Given the slow start of most of the regional programmes, </w:t>
      </w:r>
      <w:r w:rsidR="007436B0" w:rsidRPr="00A94D8B">
        <w:t xml:space="preserve">a </w:t>
      </w:r>
      <w:r w:rsidRPr="00A94D8B">
        <w:t>discussion o</w:t>
      </w:r>
      <w:r w:rsidR="007436B0" w:rsidRPr="00A94D8B">
        <w:t>f</w:t>
      </w:r>
      <w:r w:rsidRPr="00A94D8B">
        <w:t xml:space="preserve"> </w:t>
      </w:r>
      <w:r w:rsidR="00A93019" w:rsidRPr="00A94D8B">
        <w:t>sustainability</w:t>
      </w:r>
      <w:r w:rsidRPr="00A94D8B">
        <w:t xml:space="preserve"> is </w:t>
      </w:r>
      <w:r w:rsidR="00B640A4" w:rsidRPr="00A94D8B">
        <w:t>somewhat premature. Therefore, this discussion is more focused</w:t>
      </w:r>
      <w:r w:rsidR="007436B0" w:rsidRPr="00A94D8B">
        <w:t xml:space="preserve"> on the realisation of cond</w:t>
      </w:r>
      <w:r w:rsidR="007436B0" w:rsidRPr="00A94D8B">
        <w:t>i</w:t>
      </w:r>
      <w:r w:rsidR="007436B0" w:rsidRPr="00A94D8B">
        <w:t>tions for sustainability</w:t>
      </w:r>
      <w:r w:rsidRPr="00A94D8B">
        <w:t xml:space="preserve">. Nevertheless, there are some good examples </w:t>
      </w:r>
      <w:r w:rsidR="00A93019" w:rsidRPr="00A94D8B">
        <w:t xml:space="preserve">of </w:t>
      </w:r>
      <w:r w:rsidR="00B640A4" w:rsidRPr="00A94D8B">
        <w:t xml:space="preserve">where </w:t>
      </w:r>
      <w:r w:rsidR="00A93019" w:rsidRPr="00A94D8B">
        <w:t>sustainability</w:t>
      </w:r>
      <w:r w:rsidR="00B640A4" w:rsidRPr="00A94D8B">
        <w:t xml:space="preserve"> is achieved</w:t>
      </w:r>
      <w:r w:rsidR="00A93019" w:rsidRPr="00A94D8B">
        <w:t xml:space="preserve"> </w:t>
      </w:r>
      <w:r w:rsidR="00B640A4" w:rsidRPr="00A94D8B">
        <w:t>and other</w:t>
      </w:r>
      <w:r w:rsidRPr="00A94D8B">
        <w:t xml:space="preserve"> important is</w:t>
      </w:r>
      <w:r w:rsidR="00B640A4" w:rsidRPr="00A94D8B">
        <w:t>sues are examined</w:t>
      </w:r>
      <w:r w:rsidRPr="00A94D8B">
        <w:t xml:space="preserve">.  </w:t>
      </w:r>
    </w:p>
    <w:p w:rsidR="009E0ECC" w:rsidRPr="00A94D8B" w:rsidRDefault="00A93019" w:rsidP="00AD1C0A">
      <w:pPr>
        <w:rPr>
          <w:iCs/>
        </w:rPr>
      </w:pPr>
      <w:r w:rsidRPr="00A94D8B">
        <w:rPr>
          <w:iCs/>
        </w:rPr>
        <w:t>With the CCCCC programme</w:t>
      </w:r>
      <w:r w:rsidR="003710D9" w:rsidRPr="00A94D8B">
        <w:rPr>
          <w:iCs/>
        </w:rPr>
        <w:t>,</w:t>
      </w:r>
      <w:r w:rsidRPr="00A94D8B">
        <w:rPr>
          <w:iCs/>
        </w:rPr>
        <w:t xml:space="preserve"> </w:t>
      </w:r>
      <w:r w:rsidR="009E0ECC" w:rsidRPr="00A94D8B">
        <w:rPr>
          <w:iCs/>
        </w:rPr>
        <w:t>a focus has been placed on ensuring that actions are well d</w:t>
      </w:r>
      <w:r w:rsidR="009E0ECC" w:rsidRPr="00A94D8B">
        <w:rPr>
          <w:iCs/>
        </w:rPr>
        <w:t>e</w:t>
      </w:r>
      <w:r w:rsidR="009E0ECC" w:rsidRPr="00A94D8B">
        <w:rPr>
          <w:iCs/>
        </w:rPr>
        <w:t>signed and embedded into national systems and structures. As the CCCCC acknowledges, it is always a challenge to align programme activities with the policies and structures of the various governments</w:t>
      </w:r>
      <w:r w:rsidR="00E36EFB" w:rsidRPr="00A94D8B">
        <w:rPr>
          <w:iCs/>
        </w:rPr>
        <w:t xml:space="preserve"> it works with</w:t>
      </w:r>
      <w:r w:rsidRPr="00A94D8B">
        <w:rPr>
          <w:iCs/>
        </w:rPr>
        <w:t>in the region</w:t>
      </w:r>
      <w:r w:rsidR="009E0ECC" w:rsidRPr="00A94D8B">
        <w:rPr>
          <w:iCs/>
        </w:rPr>
        <w:t>. There is always a ‘fiduciary risk’</w:t>
      </w:r>
      <w:r w:rsidR="003710D9" w:rsidRPr="00A94D8B">
        <w:rPr>
          <w:iCs/>
        </w:rPr>
        <w:t>,</w:t>
      </w:r>
      <w:r w:rsidR="009E0ECC" w:rsidRPr="00A94D8B">
        <w:rPr>
          <w:iCs/>
        </w:rPr>
        <w:t xml:space="preserve"> </w:t>
      </w:r>
      <w:r w:rsidRPr="00A94D8B">
        <w:rPr>
          <w:iCs/>
        </w:rPr>
        <w:t>according to the CCCCC</w:t>
      </w:r>
      <w:r w:rsidR="003710D9" w:rsidRPr="00A94D8B">
        <w:rPr>
          <w:iCs/>
        </w:rPr>
        <w:t>,</w:t>
      </w:r>
      <w:r w:rsidRPr="00A94D8B">
        <w:rPr>
          <w:iCs/>
        </w:rPr>
        <w:t xml:space="preserve"> that </w:t>
      </w:r>
      <w:r w:rsidR="009E0ECC" w:rsidRPr="00A94D8B">
        <w:rPr>
          <w:iCs/>
        </w:rPr>
        <w:t>th</w:t>
      </w:r>
      <w:r w:rsidRPr="00A94D8B">
        <w:rPr>
          <w:iCs/>
        </w:rPr>
        <w:t>ere</w:t>
      </w:r>
      <w:r w:rsidR="009E0ECC" w:rsidRPr="00A94D8B">
        <w:rPr>
          <w:iCs/>
        </w:rPr>
        <w:t xml:space="preserve"> is a trust that governments acting as the programme’s agents wil</w:t>
      </w:r>
      <w:r w:rsidR="00C76D67">
        <w:rPr>
          <w:iCs/>
        </w:rPr>
        <w:t xml:space="preserve">l manage an activity as hoped. </w:t>
      </w:r>
      <w:r w:rsidR="009E0ECC" w:rsidRPr="00A94D8B">
        <w:rPr>
          <w:iCs/>
        </w:rPr>
        <w:t>In terms of short to medium</w:t>
      </w:r>
      <w:r w:rsidR="003710D9" w:rsidRPr="00A94D8B">
        <w:rPr>
          <w:iCs/>
        </w:rPr>
        <w:t>-</w:t>
      </w:r>
      <w:r w:rsidR="009E0ECC" w:rsidRPr="00A94D8B">
        <w:rPr>
          <w:iCs/>
        </w:rPr>
        <w:t>term sustainability, combining fo</w:t>
      </w:r>
      <w:r w:rsidR="009E0ECC" w:rsidRPr="00A94D8B">
        <w:rPr>
          <w:iCs/>
        </w:rPr>
        <w:t>r</w:t>
      </w:r>
      <w:r w:rsidR="009E0ECC" w:rsidRPr="00A94D8B">
        <w:rPr>
          <w:iCs/>
        </w:rPr>
        <w:t>ces with the national GCCA projects in Belize and Jamaica has resulted in making the cl</w:t>
      </w:r>
      <w:r w:rsidR="009E0ECC" w:rsidRPr="00A94D8B">
        <w:rPr>
          <w:iCs/>
        </w:rPr>
        <w:t>i</w:t>
      </w:r>
      <w:r w:rsidR="009E0ECC" w:rsidRPr="00A94D8B">
        <w:rPr>
          <w:iCs/>
        </w:rPr>
        <w:t>mate change offices in those countries much more viable. As well, in both Jamaica and Belize</w:t>
      </w:r>
      <w:r w:rsidR="003710D9" w:rsidRPr="00A94D8B">
        <w:rPr>
          <w:iCs/>
        </w:rPr>
        <w:t>,</w:t>
      </w:r>
      <w:r w:rsidR="009639CD" w:rsidRPr="00A94D8B">
        <w:rPr>
          <w:iCs/>
        </w:rPr>
        <w:t xml:space="preserve"> a contribution is being made in raising</w:t>
      </w:r>
      <w:r w:rsidR="009E0ECC" w:rsidRPr="00A94D8B">
        <w:rPr>
          <w:iCs/>
        </w:rPr>
        <w:t xml:space="preserve"> the importance of the climate change issue within government </w:t>
      </w:r>
      <w:r w:rsidR="003710D9" w:rsidRPr="00A94D8B">
        <w:rPr>
          <w:iCs/>
        </w:rPr>
        <w:t>to</w:t>
      </w:r>
      <w:r w:rsidR="009E0ECC" w:rsidRPr="00A94D8B">
        <w:rPr>
          <w:iCs/>
        </w:rPr>
        <w:t xml:space="preserve"> a higher level where decisions are made.   </w:t>
      </w:r>
    </w:p>
    <w:p w:rsidR="009E0ECC" w:rsidRPr="00A94D8B" w:rsidRDefault="009E0ECC" w:rsidP="00AD1C0A">
      <w:r w:rsidRPr="00A94D8B">
        <w:t xml:space="preserve">Similar to the CCCCC, the PSIS programme also has looked to integrate sustainability into systems and structures and adaptation project design. The contribution and responsibilities of beneficiaries are planned and exit strategies are prepared for each project. Collaboration with related activities funded by other development partners </w:t>
      </w:r>
      <w:r w:rsidR="00111150" w:rsidRPr="00A94D8B">
        <w:t xml:space="preserve">- </w:t>
      </w:r>
      <w:r w:rsidRPr="00A94D8B">
        <w:t>especially those that have a longer time frame than the GCCA</w:t>
      </w:r>
      <w:r w:rsidR="00111150" w:rsidRPr="00A94D8B">
        <w:t xml:space="preserve"> – is pursued</w:t>
      </w:r>
      <w:r w:rsidRPr="00A94D8B">
        <w:t xml:space="preserve">. </w:t>
      </w:r>
      <w:r w:rsidR="00A93019" w:rsidRPr="00A94D8B">
        <w:t>This is a</w:t>
      </w:r>
      <w:r w:rsidR="00111150" w:rsidRPr="00A94D8B">
        <w:t>n</w:t>
      </w:r>
      <w:r w:rsidR="00A93019" w:rsidRPr="00A94D8B">
        <w:t xml:space="preserve"> intelligent way to maintain momentum.</w:t>
      </w:r>
      <w:r w:rsidRPr="00A94D8B">
        <w:t xml:space="preserve">  </w:t>
      </w:r>
    </w:p>
    <w:p w:rsidR="009E0ECC" w:rsidRPr="00A94D8B" w:rsidRDefault="009E0ECC" w:rsidP="00AD1C0A">
      <w:r w:rsidRPr="00A94D8B">
        <w:t xml:space="preserve">For the COMESA programme, </w:t>
      </w:r>
      <w:r w:rsidRPr="00A94D8B">
        <w:rPr>
          <w:iCs/>
        </w:rPr>
        <w:t>at this point, it is difficult to speak of sustainability. With a slow start and only 54 months to implement a highly ambitious programme where t</w:t>
      </w:r>
      <w:r w:rsidR="00A93019" w:rsidRPr="00A94D8B">
        <w:rPr>
          <w:iCs/>
        </w:rPr>
        <w:t>he key implementing partners were</w:t>
      </w:r>
      <w:r w:rsidR="009920A1" w:rsidRPr="00A94D8B">
        <w:rPr>
          <w:iCs/>
        </w:rPr>
        <w:t xml:space="preserve">, </w:t>
      </w:r>
      <w:r w:rsidR="00A93019" w:rsidRPr="00A94D8B">
        <w:rPr>
          <w:iCs/>
        </w:rPr>
        <w:t>to some degree</w:t>
      </w:r>
      <w:r w:rsidR="009920A1" w:rsidRPr="00A94D8B">
        <w:rPr>
          <w:iCs/>
        </w:rPr>
        <w:t>,</w:t>
      </w:r>
      <w:r w:rsidRPr="00A94D8B">
        <w:rPr>
          <w:iCs/>
        </w:rPr>
        <w:t xml:space="preserve"> relative newcomers to the climate change field, </w:t>
      </w:r>
      <w:r w:rsidR="009920A1" w:rsidRPr="00A94D8B">
        <w:rPr>
          <w:iCs/>
        </w:rPr>
        <w:t>how muc</w:t>
      </w:r>
      <w:r w:rsidRPr="00A94D8B">
        <w:rPr>
          <w:iCs/>
        </w:rPr>
        <w:t xml:space="preserve">h can </w:t>
      </w:r>
      <w:r w:rsidR="009920A1" w:rsidRPr="00A94D8B">
        <w:rPr>
          <w:iCs/>
        </w:rPr>
        <w:t xml:space="preserve">realistically </w:t>
      </w:r>
      <w:r w:rsidRPr="00A94D8B">
        <w:rPr>
          <w:iCs/>
        </w:rPr>
        <w:t xml:space="preserve">be expected in terms of laying the groundwork for sustainability?  Nevertheless, the capacity of the three RECs has been improved </w:t>
      </w:r>
      <w:r w:rsidR="00A93019" w:rsidRPr="00A94D8B">
        <w:rPr>
          <w:iCs/>
        </w:rPr>
        <w:t xml:space="preserve">and this </w:t>
      </w:r>
      <w:r w:rsidRPr="00A94D8B">
        <w:rPr>
          <w:iCs/>
        </w:rPr>
        <w:t>will hopefully pos</w:t>
      </w:r>
      <w:r w:rsidRPr="00A94D8B">
        <w:rPr>
          <w:iCs/>
        </w:rPr>
        <w:t>i</w:t>
      </w:r>
      <w:r w:rsidRPr="00A94D8B">
        <w:rPr>
          <w:iCs/>
        </w:rPr>
        <w:t>tion them to better manage and implement subsequent ACP programme ac</w:t>
      </w:r>
      <w:r w:rsidR="00A93019" w:rsidRPr="00A94D8B">
        <w:rPr>
          <w:iCs/>
        </w:rPr>
        <w:t>tivity and other</w:t>
      </w:r>
      <w:r w:rsidRPr="00A94D8B">
        <w:rPr>
          <w:iCs/>
        </w:rPr>
        <w:t xml:space="preserve"> climate change initiatives. </w:t>
      </w:r>
      <w:r w:rsidRPr="00A94D8B">
        <w:t>Technical proposals for establishing the EAC Climate Change Coordination Unit ha</w:t>
      </w:r>
      <w:r w:rsidR="009920A1" w:rsidRPr="00A94D8B">
        <w:t>ve</w:t>
      </w:r>
      <w:r w:rsidRPr="00A94D8B">
        <w:t xml:space="preserve"> been prepared and tabled to the EAC Institutional Review process. These are positive signs</w:t>
      </w:r>
      <w:r w:rsidR="009920A1" w:rsidRPr="00A94D8B">
        <w:t>, though; t</w:t>
      </w:r>
      <w:r w:rsidRPr="00A94D8B">
        <w:t xml:space="preserve">he programme’s contribution to the development of National Climate Change Strategies and Resource Mobilization Plans provide a foundation for member states to sustain action on climate change. </w:t>
      </w:r>
      <w:r w:rsidRPr="00A94D8B">
        <w:rPr>
          <w:iCs/>
        </w:rPr>
        <w:t xml:space="preserve"> </w:t>
      </w:r>
      <w:r w:rsidRPr="00A94D8B">
        <w:t>The work done to upscale CA and CSA is supporting existing policies and the CSA pilot projects are embedded in the regional and national climate change and agriculture policy frameworks</w:t>
      </w:r>
      <w:r w:rsidR="009920A1" w:rsidRPr="00A94D8B">
        <w:t>, which c</w:t>
      </w:r>
      <w:r w:rsidRPr="00A94D8B">
        <w:t>ontribute</w:t>
      </w:r>
      <w:r w:rsidR="009920A1" w:rsidRPr="00A94D8B">
        <w:t xml:space="preserve">s </w:t>
      </w:r>
      <w:r w:rsidRPr="00A94D8B">
        <w:t>to sustai</w:t>
      </w:r>
      <w:r w:rsidRPr="00A94D8B">
        <w:t>n</w:t>
      </w:r>
      <w:r w:rsidRPr="00A94D8B">
        <w:t xml:space="preserve">ability.  </w:t>
      </w:r>
    </w:p>
    <w:p w:rsidR="009E0ECC" w:rsidRPr="00A94D8B" w:rsidRDefault="009E0ECC" w:rsidP="00AD1C0A">
      <w:pPr>
        <w:rPr>
          <w:iCs/>
        </w:rPr>
      </w:pPr>
      <w:r w:rsidRPr="00A94D8B">
        <w:rPr>
          <w:iCs/>
        </w:rPr>
        <w:t xml:space="preserve">What might be the most important indicator </w:t>
      </w:r>
      <w:r w:rsidR="00086A59" w:rsidRPr="00A94D8B">
        <w:rPr>
          <w:iCs/>
        </w:rPr>
        <w:t xml:space="preserve">of </w:t>
      </w:r>
      <w:r w:rsidRPr="00A94D8B">
        <w:rPr>
          <w:iCs/>
        </w:rPr>
        <w:t xml:space="preserve">sustainability </w:t>
      </w:r>
      <w:r w:rsidR="009920A1" w:rsidRPr="00A94D8B">
        <w:rPr>
          <w:iCs/>
        </w:rPr>
        <w:t xml:space="preserve">is </w:t>
      </w:r>
      <w:r w:rsidRPr="00A94D8B">
        <w:rPr>
          <w:iCs/>
        </w:rPr>
        <w:t xml:space="preserve">how </w:t>
      </w:r>
      <w:r w:rsidR="00086A59" w:rsidRPr="00A94D8B">
        <w:t>the MS</w:t>
      </w:r>
      <w:r w:rsidRPr="00A94D8B">
        <w:t xml:space="preserve"> see the Pr</w:t>
      </w:r>
      <w:r w:rsidRPr="00A94D8B">
        <w:t>o</w:t>
      </w:r>
      <w:r w:rsidRPr="00A94D8B">
        <w:t>gramme</w:t>
      </w:r>
      <w:r w:rsidR="009920A1" w:rsidRPr="00A94D8B">
        <w:t xml:space="preserve">. However, </w:t>
      </w:r>
      <w:r w:rsidR="00086A59" w:rsidRPr="00A94D8B">
        <w:t xml:space="preserve">it was not possible </w:t>
      </w:r>
      <w:r w:rsidR="009920A1" w:rsidRPr="00A94D8B">
        <w:t xml:space="preserve">for the evaluation team </w:t>
      </w:r>
      <w:r w:rsidR="00086A59" w:rsidRPr="00A94D8B">
        <w:t>to ga</w:t>
      </w:r>
      <w:r w:rsidR="009920A1" w:rsidRPr="00A94D8B">
        <w:t>u</w:t>
      </w:r>
      <w:r w:rsidR="00086A59" w:rsidRPr="00A94D8B">
        <w:t>ge t</w:t>
      </w:r>
      <w:r w:rsidR="00C76D67">
        <w:t>his.</w:t>
      </w:r>
      <w:r w:rsidR="00086A59" w:rsidRPr="00A94D8B">
        <w:t xml:space="preserve"> Over the long</w:t>
      </w:r>
      <w:r w:rsidR="009920A1" w:rsidRPr="00A94D8B">
        <w:t xml:space="preserve">er </w:t>
      </w:r>
      <w:r w:rsidR="00086A59" w:rsidRPr="00A94D8B">
        <w:t>term</w:t>
      </w:r>
      <w:r w:rsidR="009920A1" w:rsidRPr="00A94D8B">
        <w:t>,</w:t>
      </w:r>
      <w:r w:rsidR="00086A59" w:rsidRPr="00A94D8B">
        <w:t xml:space="preserve"> perception of the </w:t>
      </w:r>
      <w:r w:rsidRPr="00A94D8B">
        <w:t xml:space="preserve">RECs </w:t>
      </w:r>
      <w:r w:rsidR="00086A59" w:rsidRPr="00A94D8B">
        <w:t xml:space="preserve">as leaders in the climate change field might emerge as an even more important indicator of what has been accomplished.  </w:t>
      </w:r>
    </w:p>
    <w:p w:rsidR="009E0ECC" w:rsidRPr="00A94D8B" w:rsidRDefault="009920A1" w:rsidP="00AD1C0A">
      <w:r w:rsidRPr="00A94D8B">
        <w:t>As regards ClimDev</w:t>
      </w:r>
      <w:r w:rsidR="009E0ECC" w:rsidRPr="00A94D8B">
        <w:t>, the programme is considered to be fully integrated into African orig</w:t>
      </w:r>
      <w:r w:rsidR="009E0ECC" w:rsidRPr="00A94D8B">
        <w:t>i</w:t>
      </w:r>
      <w:r w:rsidR="009E0ECC" w:rsidRPr="00A94D8B">
        <w:t>nated and managed structures – supported by the African Union - with a high degree of r</w:t>
      </w:r>
      <w:r w:rsidR="009E0ECC" w:rsidRPr="00A94D8B">
        <w:t>e</w:t>
      </w:r>
      <w:r w:rsidR="009E0ECC" w:rsidRPr="00A94D8B">
        <w:t>gional ownership. This is an achievement in itself and constitutes a solid basis for future su</w:t>
      </w:r>
      <w:r w:rsidR="009E0ECC" w:rsidRPr="00A94D8B">
        <w:t>s</w:t>
      </w:r>
      <w:r w:rsidR="009E0ECC" w:rsidRPr="00A94D8B">
        <w:t>tenance of programme structures and results. Otherwise, a discussion of programme sustain</w:t>
      </w:r>
      <w:r w:rsidR="009E0ECC" w:rsidRPr="00A94D8B">
        <w:t>a</w:t>
      </w:r>
      <w:r w:rsidR="009E0ECC" w:rsidRPr="00A94D8B">
        <w:t>bility is still largely hypothetical, as the programme has only just started producing</w:t>
      </w:r>
      <w:r w:rsidR="00086A59" w:rsidRPr="00A94D8B">
        <w:t xml:space="preserve"> results in some </w:t>
      </w:r>
      <w:r w:rsidR="009E0ECC" w:rsidRPr="00A94D8B">
        <w:t xml:space="preserve">areas, and </w:t>
      </w:r>
      <w:r w:rsidR="003065A6" w:rsidRPr="00A94D8B">
        <w:t xml:space="preserve">the </w:t>
      </w:r>
      <w:r w:rsidR="009E0ECC" w:rsidRPr="00A94D8B">
        <w:t>functioning of the C</w:t>
      </w:r>
      <w:r w:rsidRPr="00A94D8B">
        <w:t xml:space="preserve">limate </w:t>
      </w:r>
      <w:r w:rsidR="009E0ECC" w:rsidRPr="00A94D8B">
        <w:t>D</w:t>
      </w:r>
      <w:r w:rsidRPr="00A94D8B">
        <w:t xml:space="preserve">evelopment </w:t>
      </w:r>
      <w:r w:rsidR="009E0ECC" w:rsidRPr="00A94D8B">
        <w:t>S</w:t>
      </w:r>
      <w:r w:rsidRPr="00A94D8B">
        <w:t xml:space="preserve">upport </w:t>
      </w:r>
      <w:r w:rsidR="009E0ECC" w:rsidRPr="00A94D8B">
        <w:t>F</w:t>
      </w:r>
      <w:r w:rsidRPr="00A94D8B">
        <w:t>und</w:t>
      </w:r>
      <w:r w:rsidR="009E0ECC" w:rsidRPr="00A94D8B">
        <w:t xml:space="preserve"> is not confirmed. Prospects for sustainability of the ClimDev still depend on donor support for the action which, in turn, seems dependent on </w:t>
      </w:r>
      <w:r w:rsidR="003065A6" w:rsidRPr="00A94D8B">
        <w:t xml:space="preserve">the </w:t>
      </w:r>
      <w:r w:rsidR="009E0ECC" w:rsidRPr="00A94D8B">
        <w:t>performance of the programme. Overall planning, implementation and management (monitoring and r</w:t>
      </w:r>
      <w:r w:rsidR="003065A6" w:rsidRPr="00A94D8B">
        <w:t xml:space="preserve">eporting) </w:t>
      </w:r>
      <w:r w:rsidR="009E0ECC" w:rsidRPr="00A94D8B">
        <w:t>need significant improvement.</w:t>
      </w:r>
    </w:p>
    <w:p w:rsidR="009920A1" w:rsidRPr="00A94D8B" w:rsidRDefault="009E0ECC" w:rsidP="00AD1C0A">
      <w:r w:rsidRPr="00A94D8B">
        <w:t>For the USP</w:t>
      </w:r>
      <w:r w:rsidR="003065A6" w:rsidRPr="00A94D8B">
        <w:t xml:space="preserve"> programme</w:t>
      </w:r>
      <w:r w:rsidR="009920A1" w:rsidRPr="00A94D8B">
        <w:t>,</w:t>
      </w:r>
      <w:r w:rsidR="003065A6" w:rsidRPr="00A94D8B">
        <w:t xml:space="preserve"> conditions for</w:t>
      </w:r>
      <w:r w:rsidRPr="00A94D8B">
        <w:t xml:space="preserve"> long-term results are relatively good. The University has already included the new courses </w:t>
      </w:r>
      <w:r w:rsidR="003065A6" w:rsidRPr="00A94D8B">
        <w:t xml:space="preserve">in the curriculum </w:t>
      </w:r>
      <w:r w:rsidRPr="00A94D8B">
        <w:t>and research opportunities in its new strategic plan. Training of professionals and continuation of the climate change courses d</w:t>
      </w:r>
      <w:r w:rsidRPr="00A94D8B">
        <w:t>e</w:t>
      </w:r>
      <w:r w:rsidRPr="00A94D8B">
        <w:t>veloped by the USP programme are very likely to be sustained over the medium to long term. Moreover, demand for the courses is on the rise. In terms of financial sustainability, the Cl</w:t>
      </w:r>
      <w:r w:rsidRPr="00A94D8B">
        <w:t>i</w:t>
      </w:r>
      <w:r w:rsidRPr="00A94D8B">
        <w:t>mate Change programme has succeeded in attracting sufficient numbers of qualified students to provide sustainable fund</w:t>
      </w:r>
      <w:r w:rsidR="003065A6" w:rsidRPr="00A94D8B">
        <w:t>ing for hiring</w:t>
      </w:r>
      <w:r w:rsidRPr="00A94D8B">
        <w:t xml:space="preserve"> lecturers</w:t>
      </w:r>
      <w:r w:rsidR="003065A6" w:rsidRPr="00A94D8B">
        <w:t xml:space="preserve">. </w:t>
      </w:r>
      <w:r w:rsidRPr="00A94D8B">
        <w:t>Student enrolment continues to increase each year despite a declining number of schola</w:t>
      </w:r>
      <w:r w:rsidR="003065A6" w:rsidRPr="00A94D8B">
        <w:t>rships being made available</w:t>
      </w:r>
      <w:r w:rsidRPr="00A94D8B">
        <w:t>.</w:t>
      </w:r>
      <w:r w:rsidR="009920A1" w:rsidRPr="00A94D8B">
        <w:t xml:space="preserve"> </w:t>
      </w:r>
    </w:p>
    <w:p w:rsidR="009E0ECC" w:rsidRPr="00A94D8B" w:rsidRDefault="009920A1" w:rsidP="00AD1C0A">
      <w:pPr>
        <w:rPr>
          <w:b/>
        </w:rPr>
      </w:pPr>
      <w:r w:rsidRPr="00A94D8B">
        <w:t>A</w:t>
      </w:r>
      <w:r w:rsidR="009E54E5" w:rsidRPr="00A94D8B">
        <w:t>s regards field action</w:t>
      </w:r>
      <w:r w:rsidRPr="00A94D8B">
        <w:t>, a</w:t>
      </w:r>
      <w:r w:rsidR="009E0ECC" w:rsidRPr="00A94D8B">
        <w:t xml:space="preserve"> variety of strategies for mainstreaming of the community adaptation plans at local and national level has been implemented as a means to ensure greater long-term sustainability of project interventions. In Fiji, for example, sustainability of the water supply systems is ensured by establishing water committees that have rules on sustainable use of the water, </w:t>
      </w:r>
      <w:r w:rsidR="003065A6" w:rsidRPr="00A94D8B">
        <w:t xml:space="preserve">and maintenance and </w:t>
      </w:r>
      <w:r w:rsidR="009E0ECC" w:rsidRPr="00A94D8B">
        <w:t>on raising funds</w:t>
      </w:r>
      <w:r w:rsidR="003065A6" w:rsidRPr="00A94D8B">
        <w:t xml:space="preserve">. </w:t>
      </w:r>
      <w:r w:rsidR="009E0ECC" w:rsidRPr="00A94D8B">
        <w:t xml:space="preserve">At </w:t>
      </w:r>
      <w:r w:rsidR="003065A6" w:rsidRPr="00A94D8B">
        <w:t xml:space="preserve">the </w:t>
      </w:r>
      <w:r w:rsidR="009E0ECC" w:rsidRPr="00A94D8B">
        <w:t>community level, collaborations through the regional and national level have enabled an increase of co-funding resources for the pilot communities. In Tuvalu, for example, collaboration with the Kaupule governing system in the islands of Funafuti, Nukulae and Nanumaga has ensured that the Project’s Adaptation Plan was mainstreamed into these islands’ individual Strategic Plans, with co-funding s</w:t>
      </w:r>
      <w:r w:rsidR="009E0ECC" w:rsidRPr="00A94D8B">
        <w:t>e</w:t>
      </w:r>
      <w:r w:rsidR="009E0ECC" w:rsidRPr="00A94D8B">
        <w:t xml:space="preserve">cured for implementation of adaptation actions.  </w:t>
      </w:r>
    </w:p>
    <w:p w:rsidR="009E0ECC" w:rsidRPr="00A94D8B" w:rsidRDefault="009E0ECC" w:rsidP="00AD1C0A">
      <w:r w:rsidRPr="00A94D8B">
        <w:t xml:space="preserve">Other donor support </w:t>
      </w:r>
      <w:r w:rsidR="009E54E5" w:rsidRPr="00A94D8B">
        <w:t xml:space="preserve">can </w:t>
      </w:r>
      <w:r w:rsidRPr="00A94D8B">
        <w:t>also help sustain project results. The USAID-funded Climate Change Adaptation Project (CCAP) implemented by PACE-SD has simi</w:t>
      </w:r>
      <w:r w:rsidR="002806E9" w:rsidRPr="00A94D8B">
        <w:t xml:space="preserve">lar pilot sites to the </w:t>
      </w:r>
      <w:r w:rsidR="00F238A0" w:rsidRPr="00A94D8B">
        <w:t>USP</w:t>
      </w:r>
      <w:r w:rsidR="002806E9" w:rsidRPr="00A94D8B">
        <w:t xml:space="preserve"> programme</w:t>
      </w:r>
      <w:r w:rsidRPr="00A94D8B">
        <w:t>. Collaboration in funding for complementary</w:t>
      </w:r>
      <w:r w:rsidR="00C76D67">
        <w:t xml:space="preserve"> activities</w:t>
      </w:r>
      <w:r w:rsidRPr="00A94D8B">
        <w:t xml:space="preserve"> (such as CCAP fun</w:t>
      </w:r>
      <w:r w:rsidRPr="00A94D8B">
        <w:t>d</w:t>
      </w:r>
      <w:r w:rsidRPr="00A94D8B">
        <w:t xml:space="preserve">ing for installing of </w:t>
      </w:r>
      <w:r w:rsidR="002806E9" w:rsidRPr="00A94D8B">
        <w:t>water tanks, while EU-GCCA funded</w:t>
      </w:r>
      <w:r w:rsidRPr="00A94D8B">
        <w:t xml:space="preserve"> water management trainings for the community) in some pilot sites, such as Samoa and Tonga, have assisted t</w:t>
      </w:r>
      <w:r w:rsidR="009639CD" w:rsidRPr="00A94D8B">
        <w:t>o enhance the ada</w:t>
      </w:r>
      <w:r w:rsidR="009639CD" w:rsidRPr="00A94D8B">
        <w:t>p</w:t>
      </w:r>
      <w:r w:rsidR="009639CD" w:rsidRPr="00A94D8B">
        <w:t>tation related activities</w:t>
      </w:r>
      <w:r w:rsidRPr="00A94D8B">
        <w:t xml:space="preserve"> that are </w:t>
      </w:r>
      <w:r w:rsidR="009639CD" w:rsidRPr="00A94D8B">
        <w:t xml:space="preserve">being </w:t>
      </w:r>
      <w:r w:rsidRPr="00A94D8B">
        <w:t>implemented.</w:t>
      </w:r>
    </w:p>
    <w:p w:rsidR="002806E9" w:rsidRPr="00A94D8B" w:rsidRDefault="002806E9" w:rsidP="00A20F88">
      <w:r w:rsidRPr="00A94D8B">
        <w:t>With the CILSS/Agrhymet</w:t>
      </w:r>
      <w:r w:rsidR="009E0ECC" w:rsidRPr="00A94D8B">
        <w:t xml:space="preserve"> programme</w:t>
      </w:r>
      <w:r w:rsidR="009E54E5" w:rsidRPr="00A94D8B">
        <w:t>,</w:t>
      </w:r>
      <w:r w:rsidR="009E0ECC" w:rsidRPr="00A94D8B">
        <w:t xml:space="preserve"> the focus has been building capacity. This strengt</w:t>
      </w:r>
      <w:r w:rsidR="009E0ECC" w:rsidRPr="00A94D8B">
        <w:t>h</w:t>
      </w:r>
      <w:r w:rsidR="009E0ECC" w:rsidRPr="00A94D8B">
        <w:t xml:space="preserve">ened capacity on research and technology, negotiations, </w:t>
      </w:r>
      <w:r w:rsidR="009639CD" w:rsidRPr="00A94D8B">
        <w:t>and integration of climate change considerations</w:t>
      </w:r>
      <w:r w:rsidR="009E0ECC" w:rsidRPr="00A94D8B">
        <w:t xml:space="preserve"> into poli</w:t>
      </w:r>
      <w:r w:rsidRPr="00A94D8B">
        <w:t>cies, is already proving beneficial</w:t>
      </w:r>
      <w:r w:rsidR="009E0ECC" w:rsidRPr="00A94D8B">
        <w:t>. Fr</w:t>
      </w:r>
      <w:r w:rsidR="009639CD" w:rsidRPr="00A94D8B">
        <w:t>om this perspective, the pr</w:t>
      </w:r>
      <w:r w:rsidR="009639CD" w:rsidRPr="00A94D8B">
        <w:t>o</w:t>
      </w:r>
      <w:r w:rsidR="009639CD" w:rsidRPr="00A94D8B">
        <w:t>gramme</w:t>
      </w:r>
      <w:r w:rsidR="009E0ECC" w:rsidRPr="00A94D8B">
        <w:t xml:space="preserve"> outcomes are likely to be s</w:t>
      </w:r>
      <w:r w:rsidR="009639CD" w:rsidRPr="00A94D8B">
        <w:t>ustainable because they are being</w:t>
      </w:r>
      <w:r w:rsidR="009E0ECC" w:rsidRPr="00A94D8B">
        <w:t xml:space="preserve"> integrated into national planning and monitoring structures and s</w:t>
      </w:r>
      <w:r w:rsidR="009639CD" w:rsidRPr="00A94D8B">
        <w:t>ystems. ECOWAS MS</w:t>
      </w:r>
      <w:r w:rsidR="009E0ECC" w:rsidRPr="00A94D8B">
        <w:t xml:space="preserve"> are advised to support and strengthen the processes initiated b</w:t>
      </w:r>
      <w:r w:rsidRPr="00A94D8B">
        <w:t xml:space="preserve">y the CILSS through the programme. </w:t>
      </w:r>
    </w:p>
    <w:p w:rsidR="00F10145" w:rsidRPr="00A94D8B" w:rsidRDefault="009C6718" w:rsidP="00A20F88">
      <w:r w:rsidRPr="00A94D8B">
        <w:t xml:space="preserve">Overall, </w:t>
      </w:r>
      <w:r w:rsidR="001D14F2" w:rsidRPr="00A94D8B">
        <w:t xml:space="preserve">in </w:t>
      </w:r>
      <w:r w:rsidR="00E510F6" w:rsidRPr="00A94D8B">
        <w:t xml:space="preserve">the perspective of the evaluation </w:t>
      </w:r>
      <w:r w:rsidR="001D14F2" w:rsidRPr="00A94D8B">
        <w:t xml:space="preserve">team, </w:t>
      </w:r>
      <w:r w:rsidR="00E510F6" w:rsidRPr="00A94D8B">
        <w:t>more could have been achieved from a sustainabil</w:t>
      </w:r>
      <w:r w:rsidR="009639CD" w:rsidRPr="00A94D8B">
        <w:t>ity standpoint had greater</w:t>
      </w:r>
      <w:r w:rsidR="00E510F6" w:rsidRPr="00A94D8B">
        <w:t xml:space="preserve"> attention been paid to </w:t>
      </w:r>
      <w:r w:rsidR="00717E57" w:rsidRPr="00A94D8B">
        <w:t xml:space="preserve">cross fertilization </w:t>
      </w:r>
      <w:r w:rsidR="00E510F6" w:rsidRPr="00A94D8B">
        <w:t xml:space="preserve">and integration of Intra ACP Programme activities with Global GCCA national programmes. It </w:t>
      </w:r>
      <w:r w:rsidR="00E85027" w:rsidRPr="00A94D8B">
        <w:t xml:space="preserve">would </w:t>
      </w:r>
      <w:r w:rsidR="009A4D58" w:rsidRPr="00A94D8B">
        <w:t xml:space="preserve">also </w:t>
      </w:r>
      <w:r w:rsidR="00E85027" w:rsidRPr="00A94D8B">
        <w:t>have been beneficial</w:t>
      </w:r>
      <w:r w:rsidR="009A4D58" w:rsidRPr="00A94D8B">
        <w:t>,</w:t>
      </w:r>
      <w:r w:rsidR="00E85027" w:rsidRPr="00A94D8B">
        <w:t xml:space="preserve"> </w:t>
      </w:r>
      <w:r w:rsidR="00F10145" w:rsidRPr="00A94D8B">
        <w:t>from a sustainability standpoint</w:t>
      </w:r>
      <w:r w:rsidR="009A4D58" w:rsidRPr="00A94D8B">
        <w:t>,</w:t>
      </w:r>
      <w:r w:rsidR="00F10145" w:rsidRPr="00A94D8B">
        <w:t xml:space="preserve"> </w:t>
      </w:r>
      <w:r w:rsidR="00E85027" w:rsidRPr="00A94D8B">
        <w:t xml:space="preserve">that </w:t>
      </w:r>
      <w:r w:rsidR="00F10145" w:rsidRPr="00A94D8B">
        <w:t>greater integration and coordin</w:t>
      </w:r>
      <w:r w:rsidR="00F10145" w:rsidRPr="00A94D8B">
        <w:t>a</w:t>
      </w:r>
      <w:r w:rsidR="00F10145" w:rsidRPr="00A94D8B">
        <w:t>tion with other programmes and organisations in the climate change field had been achieved.</w:t>
      </w:r>
      <w:r w:rsidRPr="00A94D8B">
        <w:t xml:space="preserve"> The Pacific region is a good example of how this can work. In Eastern and Southern Africa greater integration would bring a lot of benefits from improving the credibility of the COMESA led Programme to creating learning opportunities and benefiting from the exper</w:t>
      </w:r>
      <w:r w:rsidRPr="00A94D8B">
        <w:t>i</w:t>
      </w:r>
      <w:r w:rsidRPr="00A94D8B">
        <w:t xml:space="preserve">ence of other </w:t>
      </w:r>
      <w:r w:rsidR="00AF3A5B" w:rsidRPr="00A94D8B">
        <w:t>organisations</w:t>
      </w:r>
      <w:r w:rsidRPr="00A94D8B">
        <w:t xml:space="preserve">.  </w:t>
      </w:r>
    </w:p>
    <w:p w:rsidR="009E0ECC" w:rsidRPr="00A94D8B" w:rsidRDefault="00523B8E" w:rsidP="00FC286E">
      <w:r w:rsidRPr="00A94D8B">
        <w:t xml:space="preserve">As three of the five regional programmes had a good score for sustainability, </w:t>
      </w:r>
      <w:r w:rsidR="003065A6" w:rsidRPr="00A94D8B">
        <w:t>a</w:t>
      </w:r>
      <w:r w:rsidR="00892C74" w:rsidRPr="00A94D8B">
        <w:t>n overall</w:t>
      </w:r>
      <w:r w:rsidR="003065A6" w:rsidRPr="00A94D8B">
        <w:t xml:space="preserve"> rat</w:t>
      </w:r>
      <w:r w:rsidRPr="00A94D8B">
        <w:t>ing of B was attributed</w:t>
      </w:r>
      <w:r w:rsidR="003065A6" w:rsidRPr="00A94D8B">
        <w:t xml:space="preserve">. </w:t>
      </w:r>
    </w:p>
    <w:p w:rsidR="00773523" w:rsidRPr="00A94D8B" w:rsidRDefault="00DD240C" w:rsidP="00AD1C0A">
      <w:pPr>
        <w:pStyle w:val="Heading1"/>
        <w:keepNext w:val="0"/>
        <w:numPr>
          <w:ilvl w:val="0"/>
          <w:numId w:val="2"/>
        </w:numPr>
        <w:spacing w:line="276" w:lineRule="auto"/>
        <w:contextualSpacing/>
      </w:pPr>
      <w:bookmarkStart w:id="43" w:name="_Toc392064221"/>
      <w:bookmarkStart w:id="44" w:name="_Toc401041567"/>
      <w:r w:rsidRPr="00A94D8B">
        <w:t>Overall Assessment</w:t>
      </w:r>
      <w:bookmarkEnd w:id="43"/>
      <w:bookmarkEnd w:id="44"/>
      <w:r w:rsidR="00773523" w:rsidRPr="00A94D8B">
        <w:t xml:space="preserve"> </w:t>
      </w:r>
    </w:p>
    <w:p w:rsidR="00041F72" w:rsidRPr="00A94D8B" w:rsidRDefault="00F514A0" w:rsidP="00AD1C0A">
      <w:r w:rsidRPr="00A94D8B">
        <w:t>In order to facili</w:t>
      </w:r>
      <w:r w:rsidR="002806E9" w:rsidRPr="00A94D8B">
        <w:t>tate a clearer understanding of</w:t>
      </w:r>
      <w:r w:rsidRPr="00A94D8B">
        <w:t xml:space="preserve"> the achievements of the respective regional programmes </w:t>
      </w:r>
      <w:r w:rsidR="002806E9" w:rsidRPr="00A94D8B">
        <w:t>in relation to the evaluation questions</w:t>
      </w:r>
      <w:r w:rsidR="00892C74" w:rsidRPr="00A94D8B">
        <w:t xml:space="preserve">, as part of the methodology, </w:t>
      </w:r>
      <w:r w:rsidRPr="00A94D8B">
        <w:t>a rating s</w:t>
      </w:r>
      <w:r w:rsidR="002806E9" w:rsidRPr="00A94D8B">
        <w:t>y</w:t>
      </w:r>
      <w:r w:rsidR="002806E9" w:rsidRPr="00A94D8B">
        <w:t>s</w:t>
      </w:r>
      <w:r w:rsidR="002806E9" w:rsidRPr="00A94D8B">
        <w:t>tem was developed covering the</w:t>
      </w:r>
      <w:r w:rsidRPr="00A94D8B">
        <w:t xml:space="preserve"> </w:t>
      </w:r>
      <w:r w:rsidR="002806E9" w:rsidRPr="00A94D8B">
        <w:t xml:space="preserve">ten </w:t>
      </w:r>
      <w:r w:rsidRPr="00A94D8B">
        <w:t xml:space="preserve">main questions that guided the evaluation. The rating system covers </w:t>
      </w:r>
      <w:r w:rsidR="009E54E5" w:rsidRPr="00A94D8B">
        <w:t xml:space="preserve">the main evaluation criteria of </w:t>
      </w:r>
      <w:r w:rsidRPr="00A94D8B">
        <w:t>relevance, design, efficiency, effectiveness and sustainabilit</w:t>
      </w:r>
      <w:r w:rsidR="009E54E5" w:rsidRPr="00A94D8B">
        <w:t>y</w:t>
      </w:r>
      <w:r w:rsidRPr="00A94D8B">
        <w:t>.</w:t>
      </w:r>
      <w:r w:rsidR="002806E9" w:rsidRPr="00A94D8B">
        <w:t xml:space="preserve"> </w:t>
      </w:r>
      <w:r w:rsidR="004A7797" w:rsidRPr="00A94D8B">
        <w:t xml:space="preserve">For each of the EQs, a score was attributed, in analogy to the scoring system in the ROM methodology (a score ranging from </w:t>
      </w:r>
      <w:r w:rsidR="00E36EFB" w:rsidRPr="00A94D8B">
        <w:rPr>
          <w:i/>
        </w:rPr>
        <w:t>‘A</w:t>
      </w:r>
      <w:r w:rsidR="004A7797" w:rsidRPr="00A94D8B">
        <w:rPr>
          <w:i/>
        </w:rPr>
        <w:t>’</w:t>
      </w:r>
      <w:r w:rsidR="004A7797" w:rsidRPr="00A94D8B">
        <w:t xml:space="preserve"> (very good) to </w:t>
      </w:r>
      <w:r w:rsidR="00E36EFB" w:rsidRPr="00A94D8B">
        <w:rPr>
          <w:i/>
        </w:rPr>
        <w:t>‘D</w:t>
      </w:r>
      <w:r w:rsidR="004A7797" w:rsidRPr="00A94D8B">
        <w:rPr>
          <w:i/>
        </w:rPr>
        <w:t>’</w:t>
      </w:r>
      <w:r w:rsidR="004A7797" w:rsidRPr="00A94D8B">
        <w:t xml:space="preserve"> (serious deficiencies). </w:t>
      </w:r>
      <w:r w:rsidR="002806E9" w:rsidRPr="00A94D8B">
        <w:t xml:space="preserve">The table </w:t>
      </w:r>
      <w:r w:rsidR="00892C74" w:rsidRPr="00A94D8B">
        <w:t xml:space="preserve">with the </w:t>
      </w:r>
      <w:r w:rsidR="00BE1289" w:rsidRPr="00A94D8B">
        <w:t xml:space="preserve">scores </w:t>
      </w:r>
      <w:r w:rsidR="002806E9" w:rsidRPr="00A94D8B">
        <w:t>can be found</w:t>
      </w:r>
      <w:r w:rsidR="00C76D67">
        <w:t xml:space="preserve"> on the next page. </w:t>
      </w:r>
      <w:r w:rsidR="005B4BF2" w:rsidRPr="00A94D8B">
        <w:t xml:space="preserve">The scores for each EQ are provided in their respective sections. </w:t>
      </w:r>
    </w:p>
    <w:p w:rsidR="00041F72" w:rsidRPr="00A94D8B" w:rsidRDefault="005B4BF2" w:rsidP="00AD1C0A">
      <w:r w:rsidRPr="00A94D8B">
        <w:t xml:space="preserve">They are </w:t>
      </w:r>
      <w:r w:rsidR="00041F72" w:rsidRPr="00A94D8B">
        <w:t>also presented in the table below that</w:t>
      </w:r>
      <w:r w:rsidR="00892C74" w:rsidRPr="00A94D8B">
        <w:t xml:space="preserve"> allows</w:t>
      </w:r>
      <w:r w:rsidR="00041F72" w:rsidRPr="00A94D8B">
        <w:t xml:space="preserve"> for a systematic</w:t>
      </w:r>
      <w:r w:rsidR="00892C74" w:rsidRPr="00A94D8B">
        <w:t xml:space="preserve"> overview of </w:t>
      </w:r>
      <w:r w:rsidR="00041F72" w:rsidRPr="00A94D8B">
        <w:t xml:space="preserve">the </w:t>
      </w:r>
      <w:r w:rsidR="00892C74" w:rsidRPr="00A94D8B">
        <w:t>pe</w:t>
      </w:r>
      <w:r w:rsidR="00892C74" w:rsidRPr="00A94D8B">
        <w:t>r</w:t>
      </w:r>
      <w:r w:rsidR="00892C74" w:rsidRPr="00A94D8B">
        <w:t xml:space="preserve">formance of the various interventions under the Intra-ACP GCCA programme in the different regions, on the one hand, and of evaluation questions and criteria on the other. </w:t>
      </w:r>
      <w:r w:rsidR="006F2309" w:rsidRPr="00A94D8B">
        <w:t>The ratings are far from being scientific</w:t>
      </w:r>
      <w:r w:rsidR="00892C74" w:rsidRPr="00A94D8B">
        <w:t>, though</w:t>
      </w:r>
      <w:r w:rsidR="006F2309" w:rsidRPr="00A94D8B">
        <w:t xml:space="preserve">. There can be variability in terms of a strong B versus a passable B. </w:t>
      </w:r>
      <w:r w:rsidR="00F63A03" w:rsidRPr="00A94D8B">
        <w:t xml:space="preserve">The ratings also </w:t>
      </w:r>
      <w:r w:rsidR="00892C74" w:rsidRPr="00A94D8B">
        <w:t>fail to a</w:t>
      </w:r>
      <w:r w:rsidR="00F63A03" w:rsidRPr="00A94D8B">
        <w:t>ccount for very specific problems that some of the r</w:t>
      </w:r>
      <w:r w:rsidR="00F63A03" w:rsidRPr="00A94D8B">
        <w:t>e</w:t>
      </w:r>
      <w:r w:rsidR="00F63A03" w:rsidRPr="00A94D8B">
        <w:t>gional programmes encountered</w:t>
      </w:r>
      <w:r w:rsidR="00892C74" w:rsidRPr="00A94D8B">
        <w:t>,</w:t>
      </w:r>
      <w:r w:rsidR="00F63A03" w:rsidRPr="00A94D8B">
        <w:t xml:space="preserve"> such as the slow starts that were in most cases were ove</w:t>
      </w:r>
      <w:r w:rsidR="00F63A03" w:rsidRPr="00A94D8B">
        <w:t>r</w:t>
      </w:r>
      <w:r w:rsidR="00F63A03" w:rsidRPr="00A94D8B">
        <w:t>come and not necessarily completely the fault of the individual programmes.</w:t>
      </w:r>
      <w:r w:rsidR="00041F72" w:rsidRPr="00A94D8B">
        <w:t xml:space="preserve"> For example, the CCCCC programme in the Caribbean could have been scored more severely if one was to place responsibility for the lethargic procurement processes that had to be followed on the CCCCC. However, assigning a poorer grade was viewed as being unreasonable because it is very clear that the programme in the Caribbean is being properly managed but it is dealing with slow procurement processes. </w:t>
      </w:r>
    </w:p>
    <w:p w:rsidR="00041F72" w:rsidRPr="00A94D8B" w:rsidRDefault="00041F72" w:rsidP="00AD1C0A">
      <w:r w:rsidRPr="00A94D8B">
        <w:t>Also, because there is not a specific EQ that directly covers the topic of relation building b</w:t>
      </w:r>
      <w:r w:rsidRPr="00A94D8B">
        <w:t>e</w:t>
      </w:r>
      <w:r w:rsidRPr="00A94D8B">
        <w:t xml:space="preserve">tween the regional programmes or between the Intra ACP and the national programmes of the GCCA, the scoring system does not capture results in these areas very well. </w:t>
      </w:r>
    </w:p>
    <w:p w:rsidR="00BE1289" w:rsidRPr="00A94D8B" w:rsidRDefault="00F63A03" w:rsidP="00AD1C0A">
      <w:r w:rsidRPr="00A94D8B">
        <w:t>Overall</w:t>
      </w:r>
      <w:r w:rsidR="00892C74" w:rsidRPr="00A94D8B">
        <w:t>,</w:t>
      </w:r>
      <w:r w:rsidRPr="00A94D8B">
        <w:t xml:space="preserve"> the Intra ACP achieved a score of B. This was determined very logically on the fact that out of ten questions</w:t>
      </w:r>
      <w:r w:rsidR="00BE1289" w:rsidRPr="00A94D8B">
        <w:t>,</w:t>
      </w:r>
      <w:r w:rsidRPr="00A94D8B">
        <w:t xml:space="preserve"> a B was given on eight. There were two Cs</w:t>
      </w:r>
      <w:r w:rsidR="00AF72F2" w:rsidRPr="00A94D8B">
        <w:t xml:space="preserve"> handed out, one for</w:t>
      </w:r>
      <w:r w:rsidRPr="00A94D8B">
        <w:t xml:space="preserve"> d</w:t>
      </w:r>
      <w:r w:rsidRPr="00A94D8B">
        <w:t>e</w:t>
      </w:r>
      <w:r w:rsidRPr="00A94D8B">
        <w:t xml:space="preserve">sign and </w:t>
      </w:r>
      <w:r w:rsidR="00AF72F2" w:rsidRPr="00A94D8B">
        <w:t xml:space="preserve">the other for </w:t>
      </w:r>
      <w:r w:rsidRPr="00A94D8B">
        <w:t>achie</w:t>
      </w:r>
      <w:r w:rsidR="00C76D67">
        <w:t xml:space="preserve">vements of overall objectives. </w:t>
      </w:r>
      <w:r w:rsidR="00AF72F2" w:rsidRPr="00A94D8B">
        <w:t>The</w:t>
      </w:r>
      <w:r w:rsidR="002363B1" w:rsidRPr="00A94D8B">
        <w:t>se</w:t>
      </w:r>
      <w:r w:rsidR="00AF72F2" w:rsidRPr="00A94D8B">
        <w:t xml:space="preserve"> scores do mask the very di</w:t>
      </w:r>
      <w:r w:rsidR="00AF72F2" w:rsidRPr="00A94D8B">
        <w:t>s</w:t>
      </w:r>
      <w:r w:rsidR="00AF72F2" w:rsidRPr="00A94D8B">
        <w:t>tinct levels of performance between the various programmes</w:t>
      </w:r>
      <w:r w:rsidR="00BE1289" w:rsidRPr="00A94D8B">
        <w:t>,</w:t>
      </w:r>
      <w:r w:rsidR="00AF72F2" w:rsidRPr="00A94D8B">
        <w:t xml:space="preserve"> as there are clearly better pr</w:t>
      </w:r>
      <w:r w:rsidR="00AF72F2" w:rsidRPr="00A94D8B">
        <w:t>o</w:t>
      </w:r>
      <w:r w:rsidR="00AF72F2" w:rsidRPr="00A94D8B">
        <w:t xml:space="preserve">grammes (the two Pacific programmes, CILSS, and CCCCC) that stand in contrast with </w:t>
      </w:r>
      <w:r w:rsidR="00BE1289" w:rsidRPr="00A94D8B">
        <w:t>the ClimDev</w:t>
      </w:r>
      <w:r w:rsidR="00AF72F2" w:rsidRPr="00A94D8B">
        <w:t xml:space="preserve"> and </w:t>
      </w:r>
      <w:r w:rsidR="009867D6" w:rsidRPr="00A94D8B">
        <w:t>COMESA</w:t>
      </w:r>
      <w:r w:rsidR="00BE1289" w:rsidRPr="00A94D8B">
        <w:t xml:space="preserve"> programmes facing multiple challenges</w:t>
      </w:r>
      <w:r w:rsidR="009867D6" w:rsidRPr="00A94D8B">
        <w:t>.</w:t>
      </w:r>
      <w:r w:rsidR="002363B1" w:rsidRPr="00A94D8B">
        <w:t xml:space="preserve"> In other words, two out of five Intra ACP funded programmes were found to be performing ‘below the mark’.</w:t>
      </w:r>
    </w:p>
    <w:p w:rsidR="002363B1" w:rsidRPr="00A94D8B" w:rsidRDefault="002363B1" w:rsidP="00AD1C0A"/>
    <w:p w:rsidR="002363B1" w:rsidRPr="00A94D8B" w:rsidRDefault="002363B1" w:rsidP="00AD1C0A">
      <w:pPr>
        <w:sectPr w:rsidR="002363B1" w:rsidRPr="00A94D8B">
          <w:pgSz w:w="11906" w:h="16838" w:code="9"/>
          <w:pgMar w:top="962" w:right="1440" w:bottom="709" w:left="1440" w:header="851" w:footer="851" w:gutter="0"/>
          <w:docGrid w:linePitch="326"/>
        </w:sectPr>
      </w:pPr>
    </w:p>
    <w:p w:rsidR="006E77ED" w:rsidRPr="00A94D8B" w:rsidRDefault="00972118" w:rsidP="00A20F88">
      <w:pPr>
        <w:spacing w:after="0" w:line="240" w:lineRule="auto"/>
        <w:ind w:left="-567" w:right="-655"/>
        <w:jc w:val="center"/>
      </w:pPr>
      <w:bookmarkStart w:id="45" w:name="_Toc153339915"/>
      <w:bookmarkStart w:id="46" w:name="_Toc368557560"/>
      <w:r w:rsidRPr="00A94D8B">
        <w:rPr>
          <w:noProof/>
          <w:lang w:val="en-US"/>
        </w:rPr>
        <w:drawing>
          <wp:inline distT="0" distB="0" distL="0" distR="0">
            <wp:extent cx="9940527" cy="48196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45528" cy="4822075"/>
                    </a:xfrm>
                    <a:prstGeom prst="rect">
                      <a:avLst/>
                    </a:prstGeom>
                    <a:noFill/>
                    <a:ln>
                      <a:noFill/>
                    </a:ln>
                  </pic:spPr>
                </pic:pic>
              </a:graphicData>
            </a:graphic>
          </wp:inline>
        </w:drawing>
      </w:r>
    </w:p>
    <w:p w:rsidR="006E77ED" w:rsidRPr="00A94D8B" w:rsidRDefault="006E77ED" w:rsidP="00A20F88">
      <w:pPr>
        <w:spacing w:after="0" w:line="240" w:lineRule="auto"/>
        <w:jc w:val="center"/>
      </w:pPr>
    </w:p>
    <w:p w:rsidR="006E77ED" w:rsidRPr="00A94D8B" w:rsidRDefault="006E77ED" w:rsidP="006E77ED">
      <w:pPr>
        <w:spacing w:after="0" w:line="240" w:lineRule="auto"/>
        <w:jc w:val="left"/>
        <w:rPr>
          <w:b/>
          <w:i/>
        </w:rPr>
        <w:sectPr w:rsidR="006E77ED" w:rsidRPr="00A94D8B">
          <w:pgSz w:w="16838" w:h="11906" w:orient="landscape" w:code="9"/>
          <w:pgMar w:top="1440" w:right="962" w:bottom="1440" w:left="709" w:header="851" w:footer="851" w:gutter="0"/>
          <w:docGrid w:linePitch="326"/>
        </w:sectPr>
      </w:pPr>
      <w:r w:rsidRPr="00A94D8B">
        <w:rPr>
          <w:b/>
          <w:i/>
        </w:rPr>
        <w:t xml:space="preserve">Table 1. </w:t>
      </w:r>
      <w:r w:rsidRPr="00A94D8B">
        <w:rPr>
          <w:i/>
        </w:rPr>
        <w:t xml:space="preserve">Scoring of regional programmes (Intra ACP </w:t>
      </w:r>
      <w:r w:rsidR="0030600F">
        <w:rPr>
          <w:i/>
        </w:rPr>
        <w:t xml:space="preserve">GCCA and global </w:t>
      </w:r>
      <w:r w:rsidRPr="00A94D8B">
        <w:rPr>
          <w:i/>
        </w:rPr>
        <w:t>funding) on evaluation criteria and questions</w:t>
      </w:r>
    </w:p>
    <w:p w:rsidR="00086478" w:rsidRPr="00A94D8B" w:rsidRDefault="00086478" w:rsidP="00AD1C0A">
      <w:pPr>
        <w:pStyle w:val="Heading1"/>
        <w:keepNext w:val="0"/>
        <w:numPr>
          <w:ilvl w:val="0"/>
          <w:numId w:val="2"/>
        </w:numPr>
        <w:spacing w:line="276" w:lineRule="auto"/>
        <w:contextualSpacing/>
        <w:rPr>
          <w:spacing w:val="-10"/>
        </w:rPr>
      </w:pPr>
      <w:bookmarkStart w:id="47" w:name="_Toc392064222"/>
      <w:bookmarkStart w:id="48" w:name="_Toc401041568"/>
      <w:r w:rsidRPr="00A94D8B">
        <w:rPr>
          <w:spacing w:val="-10"/>
        </w:rPr>
        <w:t>Conclusions</w:t>
      </w:r>
      <w:r w:rsidR="00715629" w:rsidRPr="00A94D8B">
        <w:rPr>
          <w:spacing w:val="-10"/>
        </w:rPr>
        <w:t xml:space="preserve">, </w:t>
      </w:r>
      <w:r w:rsidRPr="00A94D8B">
        <w:rPr>
          <w:spacing w:val="-10"/>
        </w:rPr>
        <w:t>Recommendations</w:t>
      </w:r>
      <w:bookmarkEnd w:id="45"/>
      <w:bookmarkEnd w:id="46"/>
      <w:r w:rsidRPr="00A94D8B">
        <w:rPr>
          <w:spacing w:val="-10"/>
        </w:rPr>
        <w:t xml:space="preserve"> </w:t>
      </w:r>
      <w:r w:rsidR="00F80DF2" w:rsidRPr="00A94D8B">
        <w:rPr>
          <w:spacing w:val="-10"/>
        </w:rPr>
        <w:t>&amp;</w:t>
      </w:r>
      <w:r w:rsidR="00715629" w:rsidRPr="00A94D8B">
        <w:rPr>
          <w:spacing w:val="-10"/>
        </w:rPr>
        <w:t xml:space="preserve"> Lessons Learned</w:t>
      </w:r>
      <w:bookmarkEnd w:id="47"/>
      <w:bookmarkEnd w:id="48"/>
    </w:p>
    <w:p w:rsidR="00FC3E5E" w:rsidRPr="00A94D8B" w:rsidRDefault="00FC3E5E" w:rsidP="002A03DF">
      <w:pPr>
        <w:pStyle w:val="Heading2"/>
        <w:numPr>
          <w:ilvl w:val="1"/>
          <w:numId w:val="45"/>
        </w:numPr>
      </w:pPr>
      <w:bookmarkStart w:id="49" w:name="_Toc401041569"/>
      <w:r w:rsidRPr="00A94D8B">
        <w:t>Conclusions and Recommendations</w:t>
      </w:r>
      <w:bookmarkEnd w:id="49"/>
      <w:r w:rsidRPr="00A94D8B">
        <w:t xml:space="preserve"> </w:t>
      </w:r>
    </w:p>
    <w:p w:rsidR="00FC3E5E" w:rsidRPr="00A94D8B" w:rsidRDefault="00FC3E5E" w:rsidP="00FC3E5E">
      <w:pPr>
        <w:spacing w:after="0" w:line="240" w:lineRule="auto"/>
        <w:jc w:val="left"/>
        <w:rPr>
          <w:b/>
        </w:rPr>
      </w:pPr>
    </w:p>
    <w:p w:rsidR="00FC3E5E" w:rsidRPr="00A94D8B" w:rsidRDefault="006806DD" w:rsidP="00C76D67">
      <w:pPr>
        <w:spacing w:after="0"/>
      </w:pPr>
      <w:r w:rsidRPr="00A94D8B">
        <w:t xml:space="preserve">1. </w:t>
      </w:r>
      <w:r w:rsidRPr="00A94D8B">
        <w:tab/>
      </w:r>
      <w:r w:rsidR="00FC3E5E" w:rsidRPr="00A94D8B">
        <w:t>The first phase of the Intra ACP has to be considered a success. Although some of the regional programmes that are part of the Intra ACP Programme struggled, overall, the pos</w:t>
      </w:r>
      <w:r w:rsidR="00FC3E5E" w:rsidRPr="00A94D8B">
        <w:t>i</w:t>
      </w:r>
      <w:r w:rsidR="00FC3E5E" w:rsidRPr="00A94D8B">
        <w:t>tive attributes of the Intra ACP Progra</w:t>
      </w:r>
      <w:r w:rsidR="00C76D67">
        <w:t xml:space="preserve">mme outweigh its shortcomings. </w:t>
      </w:r>
      <w:r w:rsidR="00FC3E5E" w:rsidRPr="00A94D8B">
        <w:t>The impact of the Intra ACP Programme could have been much greater had the regional programmes avoided slow start-ups. During the start-up phase, there were considerable problems related to admi</w:t>
      </w:r>
      <w:r w:rsidR="00FC3E5E" w:rsidRPr="00A94D8B">
        <w:t>n</w:t>
      </w:r>
      <w:r w:rsidR="00FC3E5E" w:rsidRPr="00A94D8B">
        <w:t xml:space="preserve">istrative and procurement issues. One would assume a second phase of the programme would avoid these obstacles and would be able to move directly to achieving results although in the Caribbean for example, procurement procedures may still pose an obstacle. </w:t>
      </w:r>
    </w:p>
    <w:p w:rsidR="00FC3E5E" w:rsidRPr="00A94D8B" w:rsidRDefault="00FC3E5E" w:rsidP="00C76D67">
      <w:pPr>
        <w:spacing w:after="0"/>
      </w:pPr>
      <w:r w:rsidRPr="00A94D8B">
        <w:t xml:space="preserve">  </w:t>
      </w:r>
    </w:p>
    <w:p w:rsidR="00FC3E5E" w:rsidRPr="00A94D8B" w:rsidRDefault="006806DD" w:rsidP="00C76D67">
      <w:pPr>
        <w:spacing w:after="0"/>
      </w:pPr>
      <w:r w:rsidRPr="00A94D8B">
        <w:t xml:space="preserve">There has </w:t>
      </w:r>
      <w:r w:rsidR="00FC3E5E" w:rsidRPr="00A94D8B">
        <w:t>been an array of results with varying degrees of success that create a good base for moving forward with a second phase. Yet, desp</w:t>
      </w:r>
      <w:r w:rsidR="00493D18" w:rsidRPr="00A94D8B">
        <w:t>ite whatever might have been ac</w:t>
      </w:r>
      <w:r w:rsidR="00FC3E5E" w:rsidRPr="00A94D8B">
        <w:t>complished during the current phase, the evaluation process has also concluded there is still a need for support for regional programmes to addre</w:t>
      </w:r>
      <w:r w:rsidR="00493D18" w:rsidRPr="00A94D8B">
        <w:t>ss climate change in ACP coun</w:t>
      </w:r>
      <w:r w:rsidR="00FC3E5E" w:rsidRPr="00A94D8B">
        <w:t xml:space="preserve">tries to complement national GCCA programmes and address problems in ways that such national programmes cannot.   </w:t>
      </w:r>
    </w:p>
    <w:p w:rsidR="00FC3E5E" w:rsidRPr="00A94D8B" w:rsidRDefault="00FC3E5E" w:rsidP="00C76D67">
      <w:pPr>
        <w:spacing w:after="0"/>
      </w:pPr>
    </w:p>
    <w:p w:rsidR="00FC3E5E" w:rsidRPr="00A94D8B" w:rsidRDefault="00FC3E5E" w:rsidP="00C76D67">
      <w:pPr>
        <w:spacing w:after="0"/>
      </w:pPr>
      <w:r w:rsidRPr="00A94D8B">
        <w:t xml:space="preserve">Documentation was consulted regarding the possibility of a second phase of the Intra ACP Programme as part </w:t>
      </w:r>
      <w:r w:rsidR="006806DD" w:rsidRPr="00A94D8B">
        <w:t>of GCCA</w:t>
      </w:r>
      <w:r w:rsidR="00C76D67">
        <w:t xml:space="preserve">+. </w:t>
      </w:r>
      <w:r w:rsidRPr="00A94D8B">
        <w:t>What has been indicated is the GCCA+ will call for the ado</w:t>
      </w:r>
      <w:r w:rsidRPr="00A94D8B">
        <w:t>p</w:t>
      </w:r>
      <w:r w:rsidRPr="00A94D8B">
        <w:t>tion of a dual approach of strategic planning and institutional strengthening, while encoura</w:t>
      </w:r>
      <w:r w:rsidRPr="00A94D8B">
        <w:t>g</w:t>
      </w:r>
      <w:r w:rsidRPr="00A94D8B">
        <w:t xml:space="preserve">ing the implementation of policy measures. Based on what was learned from this first phase of the Intra ACP Programme, an ongoing focus on strategic regional activities and planning and institutional capacity building through the GCCA+ would be appropriate and even more so when synergy can be nurtured with Global GCCA National Programmes and other EU and non EU activities.    </w:t>
      </w:r>
    </w:p>
    <w:p w:rsidR="00FC3E5E" w:rsidRPr="00A94D8B" w:rsidRDefault="00FC3E5E" w:rsidP="00C76D67">
      <w:pPr>
        <w:spacing w:after="0"/>
      </w:pPr>
    </w:p>
    <w:p w:rsidR="00FC3E5E" w:rsidRPr="00A94D8B" w:rsidRDefault="00FC3E5E" w:rsidP="00C76D67">
      <w:pPr>
        <w:spacing w:after="0"/>
        <w:rPr>
          <w:i/>
        </w:rPr>
      </w:pPr>
      <w:r w:rsidRPr="00A94D8B">
        <w:rPr>
          <w:i/>
        </w:rPr>
        <w:t>Recommendation 1: This first recommendation is an o</w:t>
      </w:r>
      <w:r w:rsidR="00493D18" w:rsidRPr="00A94D8B">
        <w:rPr>
          <w:i/>
        </w:rPr>
        <w:t>verriding recommendation. Subse</w:t>
      </w:r>
      <w:r w:rsidRPr="00A94D8B">
        <w:rPr>
          <w:i/>
        </w:rPr>
        <w:t>quent recommendations will address specific aspects covered by this recommen</w:t>
      </w:r>
      <w:r w:rsidR="00493D18" w:rsidRPr="00A94D8B">
        <w:rPr>
          <w:i/>
        </w:rPr>
        <w:t xml:space="preserve">dation. </w:t>
      </w:r>
      <w:r w:rsidRPr="00A94D8B">
        <w:rPr>
          <w:i/>
        </w:rPr>
        <w:t>The creation of the GCCA+, a second phase of the Intra ACP GCCA programme, is strongly supported. This should nevertheless, be guided with the establishment of a longer-term strategy for the Intra-ACP Programme that takes into strong consideration the Cotonou Agreement. This strategy should have a long-term view and anticipate EU support beyond the GCCA+. Such a strategy would allow regional pro</w:t>
      </w:r>
      <w:r w:rsidR="00493D18" w:rsidRPr="00A94D8B">
        <w:rPr>
          <w:i/>
        </w:rPr>
        <w:t>grammes to ad</w:t>
      </w:r>
      <w:r w:rsidRPr="00A94D8B">
        <w:rPr>
          <w:i/>
        </w:rPr>
        <w:t>dress the regional climate change concerns while building towards a substantive global alliance between ACP countri</w:t>
      </w:r>
      <w:r w:rsidR="00C76D67">
        <w:rPr>
          <w:i/>
        </w:rPr>
        <w:t xml:space="preserve">es through shared programming. </w:t>
      </w:r>
      <w:r w:rsidRPr="00A94D8B">
        <w:rPr>
          <w:i/>
        </w:rPr>
        <w:t>The strategy should also establish parameters for encouraging synergy b</w:t>
      </w:r>
      <w:r w:rsidRPr="00A94D8B">
        <w:rPr>
          <w:i/>
        </w:rPr>
        <w:t>e</w:t>
      </w:r>
      <w:r w:rsidRPr="00A94D8B">
        <w:rPr>
          <w:i/>
        </w:rPr>
        <w:t xml:space="preserve">tween regional programmes and GCCA national programmes as a means for furthering national, regional and global objectives. </w:t>
      </w:r>
      <w:r w:rsidR="00493D18" w:rsidRPr="00A94D8B">
        <w:rPr>
          <w:i/>
        </w:rPr>
        <w:t>At the same time</w:t>
      </w:r>
      <w:r w:rsidRPr="00A94D8B">
        <w:rPr>
          <w:i/>
        </w:rPr>
        <w:t xml:space="preserve"> </w:t>
      </w:r>
      <w:r w:rsidR="00493D18" w:rsidRPr="00A94D8B">
        <w:rPr>
          <w:i/>
        </w:rPr>
        <w:t>i</w:t>
      </w:r>
      <w:r w:rsidRPr="00A94D8B">
        <w:rPr>
          <w:i/>
        </w:rPr>
        <w:t>t is imperative that each regional programme is guided by compreh</w:t>
      </w:r>
      <w:r w:rsidR="00493D18" w:rsidRPr="00A94D8B">
        <w:rPr>
          <w:i/>
        </w:rPr>
        <w:t>ensive regional cli</w:t>
      </w:r>
      <w:r w:rsidRPr="00A94D8B">
        <w:rPr>
          <w:i/>
        </w:rPr>
        <w:t xml:space="preserve">mate change strategies. Currently some regional programmes cannot refer to such a document. </w:t>
      </w:r>
    </w:p>
    <w:p w:rsidR="00FC3E5E" w:rsidRPr="00A94D8B" w:rsidRDefault="00FC3E5E" w:rsidP="00C76D67">
      <w:pPr>
        <w:spacing w:after="0"/>
        <w:rPr>
          <w:i/>
        </w:rPr>
      </w:pPr>
    </w:p>
    <w:p w:rsidR="00FC3E5E" w:rsidRPr="00A94D8B" w:rsidRDefault="00FC3E5E" w:rsidP="00C76D67">
      <w:pPr>
        <w:spacing w:after="0"/>
      </w:pPr>
      <w:r w:rsidRPr="00A94D8B">
        <w:t>2.</w:t>
      </w:r>
      <w:r w:rsidRPr="00A94D8B">
        <w:tab/>
        <w:t>The Intra ACP Programme is at its best when it is building regional-level capacity and consensus while also assisting ACP MS to develop critical capabilities for ad</w:t>
      </w:r>
      <w:r w:rsidR="00493D18" w:rsidRPr="00A94D8B">
        <w:t>dressing na</w:t>
      </w:r>
      <w:r w:rsidRPr="00A94D8B">
        <w:t>tion</w:t>
      </w:r>
      <w:r w:rsidR="006806DD" w:rsidRPr="00A94D8B">
        <w:t>al C</w:t>
      </w:r>
      <w:r w:rsidRPr="00A94D8B">
        <w:t>limate Change and Disaster Reduction issues. How individual re</w:t>
      </w:r>
      <w:r w:rsidR="00493D18" w:rsidRPr="00A94D8B">
        <w:t>gional pro</w:t>
      </w:r>
      <w:r w:rsidRPr="00A94D8B">
        <w:t>gra</w:t>
      </w:r>
      <w:r w:rsidRPr="00A94D8B">
        <w:t>m</w:t>
      </w:r>
      <w:r w:rsidRPr="00A94D8B">
        <w:t>mes contribute to developing overall regional capacity</w:t>
      </w:r>
      <w:r w:rsidR="00493D18" w:rsidRPr="00A94D8B">
        <w:t xml:space="preserve"> while filling gaps at the coun</w:t>
      </w:r>
      <w:r w:rsidRPr="00A94D8B">
        <w:t xml:space="preserve">try level </w:t>
      </w:r>
      <w:r w:rsidR="004C19E8" w:rsidRPr="00A94D8B">
        <w:t xml:space="preserve">not met by National GCCA programmes </w:t>
      </w:r>
      <w:r w:rsidRPr="00A94D8B">
        <w:t>can be starkly different, and there really is no single approach that fits all, as the regional programmes are all being implemented in very different circumstances. The only aspect they share in common is that their implementing env</w:t>
      </w:r>
      <w:r w:rsidRPr="00A94D8B">
        <w:t>i</w:t>
      </w:r>
      <w:r w:rsidRPr="00A94D8B">
        <w:t>ronments are highly complex from political, cultural, economic and geographic standpoints. It should be recognised that some regional programmes are going to evolve more slowly than others but that it is important that all implementing partners should have stro</w:t>
      </w:r>
      <w:r w:rsidR="00493D18" w:rsidRPr="00A94D8B">
        <w:t>ng and appropr</w:t>
      </w:r>
      <w:r w:rsidR="00493D18" w:rsidRPr="00A94D8B">
        <w:t>i</w:t>
      </w:r>
      <w:r w:rsidR="00493D18" w:rsidRPr="00A94D8B">
        <w:t>ate technical ca</w:t>
      </w:r>
      <w:r w:rsidRPr="00A94D8B">
        <w:t xml:space="preserve">pacity.   </w:t>
      </w:r>
    </w:p>
    <w:p w:rsidR="00FC3E5E" w:rsidRPr="00A94D8B" w:rsidRDefault="00FC3E5E" w:rsidP="00C76D67">
      <w:pPr>
        <w:spacing w:after="0"/>
      </w:pPr>
    </w:p>
    <w:p w:rsidR="00FC3E5E" w:rsidRPr="00A94D8B" w:rsidRDefault="00FC3E5E" w:rsidP="00C76D67">
      <w:pPr>
        <w:spacing w:after="0"/>
        <w:rPr>
          <w:i/>
        </w:rPr>
      </w:pPr>
      <w:r w:rsidRPr="00A94D8B">
        <w:rPr>
          <w:i/>
        </w:rPr>
        <w:t>Recommendation 2: A differentiated approach to regional programming should be es</w:t>
      </w:r>
      <w:r w:rsidR="00493D18" w:rsidRPr="00A94D8B">
        <w:rPr>
          <w:i/>
        </w:rPr>
        <w:t>ta</w:t>
      </w:r>
      <w:r w:rsidR="00493D18" w:rsidRPr="00A94D8B">
        <w:rPr>
          <w:i/>
        </w:rPr>
        <w:t>b</w:t>
      </w:r>
      <w:r w:rsidRPr="00A94D8B">
        <w:rPr>
          <w:i/>
        </w:rPr>
        <w:t xml:space="preserve">lished that recognises that not all regional partners have </w:t>
      </w:r>
      <w:r w:rsidR="00493D18" w:rsidRPr="00A94D8B">
        <w:rPr>
          <w:i/>
        </w:rPr>
        <w:t>the same capacity and that chal</w:t>
      </w:r>
      <w:r w:rsidRPr="00A94D8B">
        <w:rPr>
          <w:i/>
        </w:rPr>
        <w:t>le</w:t>
      </w:r>
      <w:r w:rsidRPr="00A94D8B">
        <w:rPr>
          <w:i/>
        </w:rPr>
        <w:t>n</w:t>
      </w:r>
      <w:r w:rsidRPr="00A94D8B">
        <w:rPr>
          <w:i/>
        </w:rPr>
        <w:t>ges faced by each region are significantly different. Mechanisms such as the CSF/TA to the ACP Secretariat should be employed to greater advantage to develop the capacities of r</w:t>
      </w:r>
      <w:r w:rsidRPr="00A94D8B">
        <w:rPr>
          <w:i/>
        </w:rPr>
        <w:t>e</w:t>
      </w:r>
      <w:r w:rsidRPr="00A94D8B">
        <w:rPr>
          <w:i/>
        </w:rPr>
        <w:t>gional implementing partners. To facilitate this in the Southern and East African Regions for example, this would involve direct communication between the SADC and the EAC</w:t>
      </w:r>
      <w:r w:rsidR="006806DD" w:rsidRPr="00A94D8B">
        <w:rPr>
          <w:i/>
        </w:rPr>
        <w:t>, on the one hand,</w:t>
      </w:r>
      <w:r w:rsidRPr="00A94D8B">
        <w:rPr>
          <w:i/>
        </w:rPr>
        <w:t xml:space="preserve"> and the CSF and the TA to the ACP Secretariat</w:t>
      </w:r>
      <w:r w:rsidR="006806DD" w:rsidRPr="00A94D8B">
        <w:rPr>
          <w:i/>
        </w:rPr>
        <w:t xml:space="preserve"> on the other</w:t>
      </w:r>
      <w:r w:rsidRPr="00A94D8B">
        <w:rPr>
          <w:i/>
        </w:rPr>
        <w:t>. In relation to this, a concerted effort should be made to ensure that each regional programme from a regional perspective is as strategic as possible, and opportunities for synergy with organisations such as the UNDP are fully explored.</w:t>
      </w:r>
      <w:r w:rsidR="004C19E8"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3. While it is apparent that the Intra ACP Programme has been successful, much of what has been accomplished is a result of the strong regional partners that have been able to carry out their respective responsibilities without the support of a strong over</w:t>
      </w:r>
      <w:r w:rsidR="00493D18" w:rsidRPr="00A94D8B">
        <w:t>arching ad</w:t>
      </w:r>
      <w:r w:rsidRPr="00A94D8B">
        <w:t>ministrative structure for the entire programme. However there were weak elements within the pr</w:t>
      </w:r>
      <w:r w:rsidRPr="00A94D8B">
        <w:t>o</w:t>
      </w:r>
      <w:r w:rsidRPr="00A94D8B">
        <w:t>gramme that could have benefited from str</w:t>
      </w:r>
      <w:r w:rsidR="00D2674B" w:rsidRPr="00A94D8B">
        <w:t>onger overall guidance and over</w:t>
      </w:r>
      <w:r w:rsidRPr="00A94D8B">
        <w:t>sight. There are two administrative layers to the prog</w:t>
      </w:r>
      <w:r w:rsidR="00493D18" w:rsidRPr="00A94D8B">
        <w:t>ramme, the EU and the ACP Secre</w:t>
      </w:r>
      <w:r w:rsidRPr="00A94D8B">
        <w:t xml:space="preserve">tariat. This brings both challenges and opportunities. One opportunity is presented by the vast administrative apparatus that the EU maintains throughout ACP MS countries. Yet, it is not clear how much thought has gone into determining how these capabilities could better assist with achieving the goals of the Intra ACP+ Programme.  </w:t>
      </w:r>
    </w:p>
    <w:p w:rsidR="00FC3E5E" w:rsidRPr="00A94D8B" w:rsidRDefault="00FC3E5E" w:rsidP="00C76D67">
      <w:pPr>
        <w:spacing w:after="0"/>
      </w:pPr>
    </w:p>
    <w:p w:rsidR="00FC3E5E" w:rsidRPr="00A94D8B" w:rsidRDefault="00FC3E5E" w:rsidP="00C76D67">
      <w:pPr>
        <w:spacing w:after="0"/>
        <w:rPr>
          <w:i/>
        </w:rPr>
      </w:pPr>
      <w:r w:rsidRPr="00A94D8B">
        <w:rPr>
          <w:i/>
        </w:rPr>
        <w:t xml:space="preserve">Recommendation 3:  </w:t>
      </w:r>
      <w:r w:rsidR="000D6AB3" w:rsidRPr="00A94D8B">
        <w:rPr>
          <w:i/>
        </w:rPr>
        <w:t xml:space="preserve">Develop </w:t>
      </w:r>
      <w:r w:rsidRPr="00A94D8B">
        <w:rPr>
          <w:i/>
        </w:rPr>
        <w:t>a management and administrative strategy that contribute</w:t>
      </w:r>
      <w:r w:rsidR="000D6AB3" w:rsidRPr="00A94D8B">
        <w:rPr>
          <w:i/>
        </w:rPr>
        <w:t>s</w:t>
      </w:r>
      <w:r w:rsidRPr="00A94D8B">
        <w:rPr>
          <w:i/>
        </w:rPr>
        <w:t xml:space="preserve"> to </w:t>
      </w:r>
      <w:r w:rsidR="000D6AB3" w:rsidRPr="00A94D8B">
        <w:rPr>
          <w:i/>
        </w:rPr>
        <w:t xml:space="preserve">increased </w:t>
      </w:r>
      <w:r w:rsidRPr="00A94D8B">
        <w:rPr>
          <w:i/>
        </w:rPr>
        <w:t xml:space="preserve">consistency of results while providing support towards, for example, a stronger embracing of the Cotonou Agreement </w:t>
      </w:r>
      <w:r w:rsidR="000D6AB3" w:rsidRPr="00A94D8B">
        <w:rPr>
          <w:i/>
        </w:rPr>
        <w:t xml:space="preserve">(in particular) article 32A </w:t>
      </w:r>
      <w:r w:rsidRPr="00A94D8B">
        <w:rPr>
          <w:i/>
        </w:rPr>
        <w:t>and synergy between r</w:t>
      </w:r>
      <w:r w:rsidRPr="00A94D8B">
        <w:rPr>
          <w:i/>
        </w:rPr>
        <w:t>e</w:t>
      </w:r>
      <w:r w:rsidR="00493D18" w:rsidRPr="00A94D8B">
        <w:rPr>
          <w:i/>
        </w:rPr>
        <w:t>gional pro</w:t>
      </w:r>
      <w:r w:rsidRPr="00A94D8B">
        <w:rPr>
          <w:i/>
        </w:rPr>
        <w:t xml:space="preserve">grammes, of the Intra ACP and GCCA+ National Programmes. First priorities include developing and implementing a plan to ensure a more effective use of the CSF and an improved overall monitoring and evaluation system.    </w:t>
      </w:r>
    </w:p>
    <w:p w:rsidR="00FC3E5E" w:rsidRPr="00A94D8B" w:rsidRDefault="00FC3E5E" w:rsidP="00C76D67">
      <w:pPr>
        <w:spacing w:after="0"/>
      </w:pPr>
      <w:r w:rsidRPr="00A94D8B">
        <w:t xml:space="preserve"> </w:t>
      </w:r>
    </w:p>
    <w:p w:rsidR="00FC3E5E" w:rsidRPr="00A94D8B" w:rsidRDefault="00FC3E5E" w:rsidP="00C76D67">
      <w:pPr>
        <w:spacing w:after="0"/>
      </w:pPr>
      <w:r w:rsidRPr="00A94D8B">
        <w:t>4. There should be a clear strategy on how the Intra ACP, through the different regional pr</w:t>
      </w:r>
      <w:r w:rsidRPr="00A94D8B">
        <w:t>o</w:t>
      </w:r>
      <w:r w:rsidRPr="00A94D8B">
        <w:t>grammes, builds regional strengths that</w:t>
      </w:r>
      <w:r w:rsidR="00C76D67">
        <w:t xml:space="preserve"> are shared amongst countries. </w:t>
      </w:r>
      <w:r w:rsidRPr="00A94D8B">
        <w:t>There has to be more thinking behind the Intra ACP and the regional</w:t>
      </w:r>
      <w:r w:rsidR="00493D18" w:rsidRPr="00A94D8B">
        <w:t xml:space="preserve"> programmes to avoid them becom</w:t>
      </w:r>
      <w:r w:rsidRPr="00A94D8B">
        <w:t>ing simply another source of funding for national level acti</w:t>
      </w:r>
      <w:r w:rsidR="00493D18" w:rsidRPr="00A94D8B">
        <w:t>vity. This will not be easy; re</w:t>
      </w:r>
      <w:r w:rsidRPr="00A94D8B">
        <w:t>gional-level a</w:t>
      </w:r>
      <w:r w:rsidRPr="00A94D8B">
        <w:t>c</w:t>
      </w:r>
      <w:r w:rsidRPr="00A94D8B">
        <w:t>tivity is more difficult to implement as it involves more coordination, and regional instit</w:t>
      </w:r>
      <w:r w:rsidRPr="00A94D8B">
        <w:t>u</w:t>
      </w:r>
      <w:r w:rsidRPr="00A94D8B">
        <w:t>tions might not have as much influence as is needed. Yet it is worth the investment by the EU and ACP Secretariat to explore how a stronger regional approach could work, because there is a unique opportunity to establish a global platform for SIDS and LDCs to learn from each other and move forward together.</w:t>
      </w:r>
    </w:p>
    <w:p w:rsidR="00493D18" w:rsidRPr="00A94D8B" w:rsidRDefault="00493D18" w:rsidP="00C76D67">
      <w:pPr>
        <w:spacing w:after="0"/>
      </w:pPr>
    </w:p>
    <w:p w:rsidR="00FC3E5E" w:rsidRPr="00A94D8B" w:rsidRDefault="00FC3E5E" w:rsidP="00C76D67">
      <w:pPr>
        <w:spacing w:after="0"/>
      </w:pPr>
      <w:r w:rsidRPr="00A94D8B">
        <w:t>At the same time</w:t>
      </w:r>
      <w:r w:rsidR="000D6AB3" w:rsidRPr="00A94D8B">
        <w:t>,</w:t>
      </w:r>
      <w:r w:rsidRPr="00A94D8B">
        <w:t xml:space="preserve"> </w:t>
      </w:r>
      <w:r w:rsidR="000D6AB3" w:rsidRPr="00A94D8B">
        <w:t xml:space="preserve">while </w:t>
      </w:r>
      <w:r w:rsidRPr="00A94D8B">
        <w:t xml:space="preserve">some innovative pilot activity has been supported, more would be helpful, especially of the type that </w:t>
      </w:r>
      <w:r w:rsidR="000D6AB3" w:rsidRPr="00A94D8B">
        <w:t xml:space="preserve">is </w:t>
      </w:r>
      <w:r w:rsidRPr="00A94D8B">
        <w:t>deemed to be instructive to an entire region. This does exist; in the Caribbean for example, the CCCCC is supporting a salt water reverse osmosis plant to create a source of fresh water for an isolated island in Grenada</w:t>
      </w:r>
      <w:r w:rsidR="000D6AB3" w:rsidRPr="00A94D8B">
        <w:t xml:space="preserve">. This </w:t>
      </w:r>
      <w:r w:rsidRPr="00A94D8B">
        <w:t>is what one would think of as being an ideal type of programme for the Intra ACP, as this type of project would be of interest to the rest of the Caribbean, the Pacific and the Indian Ocean. It is inn</w:t>
      </w:r>
      <w:r w:rsidRPr="00A94D8B">
        <w:t>o</w:t>
      </w:r>
      <w:r w:rsidRPr="00A94D8B">
        <w:t xml:space="preserve">vative and eye-catching and could have an enormous development impact if proven to be viable. Not every pilot project has to have as much relevance, but with the next phase or Intra ACP+, there should be more activities than there were with the first phase that could fit this description.  </w:t>
      </w:r>
    </w:p>
    <w:p w:rsidR="00FC3E5E" w:rsidRPr="00A94D8B" w:rsidRDefault="00FC3E5E" w:rsidP="00C76D67">
      <w:pPr>
        <w:spacing w:after="0"/>
      </w:pPr>
    </w:p>
    <w:p w:rsidR="00FC3E5E" w:rsidRPr="00A94D8B" w:rsidRDefault="00FC3E5E" w:rsidP="00C76D67">
      <w:pPr>
        <w:spacing w:after="0"/>
        <w:rPr>
          <w:i/>
        </w:rPr>
      </w:pPr>
      <w:r w:rsidRPr="00A94D8B">
        <w:rPr>
          <w:i/>
        </w:rPr>
        <w:t>Recommendation 4: Greater focus should be placed on promoting initiatives that have clear regional implications, in terms of addressing the potential needs of multiple countries. This could come in the form of services, information and developing shared strategies to address common problems. Pilot or demonstration activities should also be a part of a more pr</w:t>
      </w:r>
      <w:r w:rsidRPr="00A94D8B">
        <w:rPr>
          <w:i/>
        </w:rPr>
        <w:t>o</w:t>
      </w:r>
      <w:r w:rsidRPr="00A94D8B">
        <w:rPr>
          <w:i/>
        </w:rPr>
        <w:t>nounced effort to establish a strong regional dynamic.  Such pilot projects should have added value in terms of learning, problem solving, and stimulating interest that could lead to repl</w:t>
      </w:r>
      <w:r w:rsidRPr="00A94D8B">
        <w:rPr>
          <w:i/>
        </w:rPr>
        <w:t>i</w:t>
      </w:r>
      <w:r w:rsidRPr="00A94D8B">
        <w:rPr>
          <w:i/>
        </w:rPr>
        <w:t xml:space="preserve">cation and/or up-scaling. </w:t>
      </w:r>
      <w:r w:rsidR="001E6791" w:rsidRPr="00A94D8B">
        <w:rPr>
          <w:i/>
        </w:rPr>
        <w:t>Current activities of National GCCA programmes should be co</w:t>
      </w:r>
      <w:r w:rsidR="001E6791" w:rsidRPr="00A94D8B">
        <w:rPr>
          <w:i/>
        </w:rPr>
        <w:t>n</w:t>
      </w:r>
      <w:r w:rsidR="001E6791" w:rsidRPr="00A94D8B">
        <w:rPr>
          <w:i/>
        </w:rPr>
        <w:t xml:space="preserve">sidered as a potential source of inspiration for regional pilot activity. </w:t>
      </w:r>
      <w:r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 xml:space="preserve">5. Greater synergy between Global GCCA national </w:t>
      </w:r>
      <w:r w:rsidR="00493D18" w:rsidRPr="00A94D8B">
        <w:t>programmes and the regional pro</w:t>
      </w:r>
      <w:r w:rsidRPr="00A94D8B">
        <w:t>gra</w:t>
      </w:r>
      <w:r w:rsidRPr="00A94D8B">
        <w:t>m</w:t>
      </w:r>
      <w:r w:rsidRPr="00A94D8B">
        <w:t>mes should be mandatory. It was found that the</w:t>
      </w:r>
      <w:r w:rsidR="00493D18" w:rsidRPr="00A94D8B">
        <w:t>re are Global GCCA national pro</w:t>
      </w:r>
      <w:r w:rsidRPr="00A94D8B">
        <w:t>grammes that are designed to provide assistance in a number of areas, for example to multiple go</w:t>
      </w:r>
      <w:r w:rsidRPr="00A94D8B">
        <w:t>v</w:t>
      </w:r>
      <w:r w:rsidRPr="00A94D8B">
        <w:t xml:space="preserve">ernment departments. Often this approach is far from being comprehensive and exposes other areas of need. This is where there is a role for a regional programme, especially when core technical capacity </w:t>
      </w:r>
      <w:r w:rsidR="001E6791" w:rsidRPr="00A94D8B">
        <w:t xml:space="preserve">of national level partners </w:t>
      </w:r>
      <w:r w:rsidR="00C76D67">
        <w:t xml:space="preserve">can be improved. </w:t>
      </w:r>
      <w:r w:rsidRPr="00A94D8B">
        <w:t>The evaluation process also made it very clear that more coordination and collaboration with other organisations is nece</w:t>
      </w:r>
      <w:r w:rsidRPr="00A94D8B">
        <w:t>s</w:t>
      </w:r>
      <w:r w:rsidRPr="00A94D8B">
        <w:t>sary especially at the regional level. This is not really an issue in the Pacific as given the ci</w:t>
      </w:r>
      <w:r w:rsidRPr="00A94D8B">
        <w:t>r</w:t>
      </w:r>
      <w:r w:rsidRPr="00A94D8B">
        <w:t>cum</w:t>
      </w:r>
      <w:r w:rsidR="001E6791" w:rsidRPr="00A94D8B">
        <w:t xml:space="preserve">stances, </w:t>
      </w:r>
      <w:r w:rsidRPr="00A94D8B">
        <w:t>a large number of very small countries, obliges joint approaches. However, there are other areas of the world where partnership building will take more effort and this needs to take place. This is not simply about signing MOUs; it requires mapping out strategies to share responsibilities and coordinating on critical matters from international climate change neg</w:t>
      </w:r>
      <w:r w:rsidRPr="00A94D8B">
        <w:t>o</w:t>
      </w:r>
      <w:r w:rsidRPr="00A94D8B">
        <w:t>tiations to regional approaches to problem solving.</w:t>
      </w:r>
    </w:p>
    <w:p w:rsidR="00FC3E5E" w:rsidRPr="00A94D8B" w:rsidRDefault="00FC3E5E" w:rsidP="00C76D67">
      <w:pPr>
        <w:spacing w:after="0"/>
      </w:pPr>
    </w:p>
    <w:p w:rsidR="00FC3E5E" w:rsidRPr="00A94D8B" w:rsidRDefault="00FC3E5E" w:rsidP="00C76D67">
      <w:pPr>
        <w:spacing w:after="0"/>
        <w:rPr>
          <w:i/>
        </w:rPr>
      </w:pPr>
      <w:r w:rsidRPr="00A94D8B">
        <w:rPr>
          <w:i/>
        </w:rPr>
        <w:t>Recommendation 5: Stronger programming links must be established with national GCCA programmes. Regional programming should seek to address gaps in nation</w:t>
      </w:r>
      <w:r w:rsidR="00493D18" w:rsidRPr="00A94D8B">
        <w:rPr>
          <w:i/>
        </w:rPr>
        <w:t>al pro</w:t>
      </w:r>
      <w:r w:rsidRPr="00A94D8B">
        <w:rPr>
          <w:i/>
        </w:rPr>
        <w:t>gramming that can also address regional considerations. Of special interest is to look at successful pr</w:t>
      </w:r>
      <w:r w:rsidRPr="00A94D8B">
        <w:rPr>
          <w:i/>
        </w:rPr>
        <w:t>o</w:t>
      </w:r>
      <w:r w:rsidRPr="00A94D8B">
        <w:rPr>
          <w:i/>
        </w:rPr>
        <w:t>gramming components of national GCCA programmes in terms of their suitability for appl</w:t>
      </w:r>
      <w:r w:rsidRPr="00A94D8B">
        <w:rPr>
          <w:i/>
        </w:rPr>
        <w:t>i</w:t>
      </w:r>
      <w:r w:rsidRPr="00A94D8B">
        <w:rPr>
          <w:i/>
        </w:rPr>
        <w:t xml:space="preserve">cation at the regional level.   </w:t>
      </w:r>
    </w:p>
    <w:p w:rsidR="00FC3E5E" w:rsidRPr="00A94D8B" w:rsidRDefault="00FC3E5E" w:rsidP="00C76D67">
      <w:pPr>
        <w:spacing w:after="0"/>
      </w:pPr>
      <w:r w:rsidRPr="00A94D8B">
        <w:t xml:space="preserve">6. As this report has demonstrated, not all regional programmes performed equally well. The programmes of the Pacific, the </w:t>
      </w:r>
      <w:r w:rsidR="000D6AB3" w:rsidRPr="00A94D8B">
        <w:t>ECOWAS/</w:t>
      </w:r>
      <w:r w:rsidRPr="00A94D8B">
        <w:t>CILSS</w:t>
      </w:r>
      <w:r w:rsidR="00493D18" w:rsidRPr="00A94D8B">
        <w:t xml:space="preserve"> programme and the CCCCC pro</w:t>
      </w:r>
      <w:r w:rsidRPr="00A94D8B">
        <w:t>gramme were considered to be successful while ClimDev and COMESA were viewed as being pro</w:t>
      </w:r>
      <w:r w:rsidRPr="00A94D8B">
        <w:t>b</w:t>
      </w:r>
      <w:r w:rsidRPr="00A94D8B">
        <w:t>lematic. As noted, what differentiates COMESA and ClimDev from the others is the limited capacities of the programme implementers</w:t>
      </w:r>
      <w:r w:rsidR="00493D18" w:rsidRPr="00A94D8B">
        <w:t>, both technical and administra</w:t>
      </w:r>
      <w:r w:rsidRPr="00A94D8B">
        <w:t>tive. One could also add the limited experience in the climate change field, especially in assuming regional r</w:t>
      </w:r>
      <w:r w:rsidRPr="00A94D8B">
        <w:t>e</w:t>
      </w:r>
      <w:r w:rsidRPr="00A94D8B">
        <w:t xml:space="preserve">sponsibilities. </w:t>
      </w:r>
      <w:r w:rsidR="0035201C" w:rsidRPr="00A94D8B">
        <w:t>It can also be said that there might be specific aspects of the operations of other regional programme implementers that could benefit from focussed support. Agrhymet</w:t>
      </w:r>
      <w:proofErr w:type="gramStart"/>
      <w:r w:rsidR="000D6AB3" w:rsidRPr="00A94D8B">
        <w:t>,</w:t>
      </w:r>
      <w:r w:rsidR="0035201C" w:rsidRPr="00A94D8B">
        <w:t xml:space="preserve">  for</w:t>
      </w:r>
      <w:proofErr w:type="gramEnd"/>
      <w:r w:rsidR="0035201C" w:rsidRPr="00A94D8B">
        <w:t xml:space="preserve"> example, has struggled with channelling its </w:t>
      </w:r>
      <w:r w:rsidR="000D6AB3" w:rsidRPr="00A94D8B">
        <w:t xml:space="preserve">strong </w:t>
      </w:r>
      <w:r w:rsidR="0035201C" w:rsidRPr="00A94D8B">
        <w:t xml:space="preserve">technical capacity down to the community level. </w:t>
      </w:r>
      <w:r w:rsidRPr="00A94D8B">
        <w:t xml:space="preserve"> </w:t>
      </w:r>
    </w:p>
    <w:p w:rsidR="00493D18" w:rsidRPr="00A94D8B" w:rsidRDefault="00493D18" w:rsidP="00C76D67">
      <w:pPr>
        <w:spacing w:after="0"/>
      </w:pPr>
    </w:p>
    <w:p w:rsidR="00FC3E5E" w:rsidRPr="00A94D8B" w:rsidRDefault="00FC3E5E" w:rsidP="00C76D67">
      <w:pPr>
        <w:spacing w:after="0"/>
        <w:rPr>
          <w:i/>
        </w:rPr>
      </w:pPr>
      <w:r w:rsidRPr="00A94D8B">
        <w:rPr>
          <w:i/>
        </w:rPr>
        <w:t>Recommendation 6: Institutional analysis in relation to cl</w:t>
      </w:r>
      <w:r w:rsidR="00493D18" w:rsidRPr="00A94D8B">
        <w:rPr>
          <w:i/>
        </w:rPr>
        <w:t xml:space="preserve">imate change capacity should be </w:t>
      </w:r>
      <w:r w:rsidRPr="00A94D8B">
        <w:rPr>
          <w:i/>
        </w:rPr>
        <w:t>conducted of the key partners involved in the ClimDev and COMESA led Programmes. The objective should be to identify organisational needs in terms of administrative and t</w:t>
      </w:r>
      <w:r w:rsidR="00BC2035" w:rsidRPr="00A94D8B">
        <w:rPr>
          <w:i/>
        </w:rPr>
        <w:t>echnical capacity and map out strategies</w:t>
      </w:r>
      <w:r w:rsidRPr="00A94D8B">
        <w:rPr>
          <w:i/>
        </w:rPr>
        <w:t xml:space="preserve"> to ensure these programmes are guided towards institutional capacity comparable to the other programmes of the Intra ACP. This should be considered as a condition for accessing GCCA and Intra ACP+ Programme resources.</w:t>
      </w:r>
      <w:r w:rsidR="0035201C" w:rsidRPr="00A94D8B">
        <w:rPr>
          <w:i/>
        </w:rPr>
        <w:t xml:space="preserve"> </w:t>
      </w:r>
      <w:r w:rsidR="005F4358" w:rsidRPr="00A94D8B">
        <w:rPr>
          <w:i/>
        </w:rPr>
        <w:t>I</w:t>
      </w:r>
      <w:r w:rsidR="0035201C" w:rsidRPr="00A94D8B">
        <w:rPr>
          <w:i/>
        </w:rPr>
        <w:t>t may also be pr</w:t>
      </w:r>
      <w:r w:rsidR="0035201C" w:rsidRPr="00A94D8B">
        <w:rPr>
          <w:i/>
        </w:rPr>
        <w:t>u</w:t>
      </w:r>
      <w:r w:rsidR="0035201C" w:rsidRPr="00A94D8B">
        <w:rPr>
          <w:i/>
        </w:rPr>
        <w:t xml:space="preserve">dent to examine with the other organisations guiding regional programme aspects of their operations that could benefit from reinforcement through the Intra-ACP Programme. </w:t>
      </w:r>
      <w:r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7. In hindsight, the priority for the Intra ACP should have been to place implementing partner institutions of the two problematic regional progra</w:t>
      </w:r>
      <w:r w:rsidR="00493D18" w:rsidRPr="00A94D8B">
        <w:t>mmes, at the centre of their re</w:t>
      </w:r>
      <w:r w:rsidRPr="00A94D8B">
        <w:t>spective pr</w:t>
      </w:r>
      <w:r w:rsidRPr="00A94D8B">
        <w:t>o</w:t>
      </w:r>
      <w:r w:rsidRPr="00A94D8B">
        <w:t>grammes in terms of building capacity and mainstreaming climate change.  In the case of the programme for Eastern and Southern Africa, a priority focus for capacity development would have been the implementing partners COMESA along with EAC and SADC. The evaluation process concluded that to some degree this is probably still true today. In addition, the EU and the ACP Secretariat have to deter</w:t>
      </w:r>
      <w:r w:rsidR="00493D18" w:rsidRPr="00A94D8B">
        <w:t>mine how regional pro</w:t>
      </w:r>
      <w:r w:rsidRPr="00A94D8B">
        <w:t>grammes that encounter difficu</w:t>
      </w:r>
      <w:r w:rsidRPr="00A94D8B">
        <w:t>l</w:t>
      </w:r>
      <w:r w:rsidRPr="00A94D8B">
        <w:t>ties are going to be supported. Respecting autonomy is important, especially in light of the principles of the Paris Declaration, but a hands-off or minimalist approach of relying on the ROM system has not been effective and is not in the interest of any parties. It was also co</w:t>
      </w:r>
      <w:r w:rsidRPr="00A94D8B">
        <w:t>n</w:t>
      </w:r>
      <w:r w:rsidRPr="00A94D8B">
        <w:t>cluded that institutions such as COMESA and UNECA must assume responsibility for some of the prob</w:t>
      </w:r>
      <w:r w:rsidR="00493D18" w:rsidRPr="00A94D8B">
        <w:t>lems encountered and that cor</w:t>
      </w:r>
      <w:r w:rsidRPr="00A94D8B">
        <w:t xml:space="preserve">rections with management practices are required.  </w:t>
      </w:r>
    </w:p>
    <w:p w:rsidR="00FC3E5E" w:rsidRPr="00A94D8B" w:rsidRDefault="00FC3E5E" w:rsidP="00C76D67">
      <w:pPr>
        <w:spacing w:after="0"/>
      </w:pPr>
    </w:p>
    <w:p w:rsidR="00FC3E5E" w:rsidRPr="00A94D8B" w:rsidRDefault="00FC3E5E" w:rsidP="00C76D67">
      <w:pPr>
        <w:spacing w:after="0"/>
        <w:rPr>
          <w:i/>
        </w:rPr>
      </w:pPr>
      <w:r w:rsidRPr="00A94D8B">
        <w:rPr>
          <w:i/>
        </w:rPr>
        <w:t>Recommendation 7: The EU should establish a mechanism to better monitor regional pr</w:t>
      </w:r>
      <w:r w:rsidRPr="00A94D8B">
        <w:rPr>
          <w:i/>
        </w:rPr>
        <w:t>o</w:t>
      </w:r>
      <w:r w:rsidRPr="00A94D8B">
        <w:rPr>
          <w:i/>
        </w:rPr>
        <w:t xml:space="preserve">grammes. This is especially important for more problematic programmes. Options for this should include looking at a more pronounced role of the EU Delegations in ACP countries and possibly </w:t>
      </w:r>
      <w:r w:rsidR="005F4358" w:rsidRPr="00A94D8B">
        <w:rPr>
          <w:i/>
        </w:rPr>
        <w:t xml:space="preserve">increased use of </w:t>
      </w:r>
      <w:r w:rsidRPr="00A94D8B">
        <w:rPr>
          <w:i/>
        </w:rPr>
        <w:t xml:space="preserve">the resources of the CSF.    </w:t>
      </w:r>
    </w:p>
    <w:p w:rsidR="00FC3E5E" w:rsidRPr="00A94D8B" w:rsidRDefault="00FC3E5E" w:rsidP="00C76D67">
      <w:pPr>
        <w:spacing w:after="0"/>
      </w:pPr>
    </w:p>
    <w:p w:rsidR="00FC3E5E" w:rsidRPr="00A94D8B" w:rsidRDefault="00FC3E5E" w:rsidP="00C76D67">
      <w:pPr>
        <w:spacing w:after="0"/>
      </w:pPr>
      <w:r w:rsidRPr="00A94D8B">
        <w:t>8. The CSF should play an expanded role. It should</w:t>
      </w:r>
      <w:r w:rsidR="00493D18" w:rsidRPr="00A94D8B">
        <w:t xml:space="preserve"> be supporting the regional pro</w:t>
      </w:r>
      <w:r w:rsidRPr="00A94D8B">
        <w:t>grammes in ensuring that weaker regional programmes are taking the necessary steps to reducing the gaps between the regional programmes, both in terms of the capacity of partner institutions and effectiveness of programming a</w:t>
      </w:r>
      <w:r w:rsidR="00493D18" w:rsidRPr="00A94D8B">
        <w:t>ctivities where the CSF can pro</w:t>
      </w:r>
      <w:r w:rsidRPr="00A94D8B">
        <w:t>vide appropriate technical support. It should also be playi</w:t>
      </w:r>
      <w:r w:rsidR="00493D18" w:rsidRPr="00A94D8B">
        <w:t>ng a more important role in nur</w:t>
      </w:r>
      <w:r w:rsidRPr="00A94D8B">
        <w:t>turing and supporting common platforms and/or activities shared by the various regional programmes. Relying on the CSF for assistance should be seen as pro-active programme management. How the successful Intra ACP regional programme of West Africa put the CSF to good use could serve as an example of forward thinking with regard t</w:t>
      </w:r>
      <w:r w:rsidR="00C76D67">
        <w:t xml:space="preserve">o how the CSF can be employed. </w:t>
      </w:r>
      <w:r w:rsidRPr="00A94D8B">
        <w:t>However, the CSF is cu</w:t>
      </w:r>
      <w:r w:rsidRPr="00A94D8B">
        <w:t>r</w:t>
      </w:r>
      <w:r w:rsidRPr="00A94D8B">
        <w:t xml:space="preserve">rently demand driven and overall the demand for the services of the CSF is very limited.  If the </w:t>
      </w:r>
      <w:r w:rsidR="00BA74C2" w:rsidRPr="00A94D8B">
        <w:t xml:space="preserve">purely </w:t>
      </w:r>
      <w:r w:rsidRPr="00A94D8B">
        <w:t>demand</w:t>
      </w:r>
      <w:r w:rsidR="00BA74C2" w:rsidRPr="00A94D8B">
        <w:t>-driven</w:t>
      </w:r>
      <w:r w:rsidRPr="00A94D8B">
        <w:t xml:space="preserve"> approach with the CSF is going to be employed with the ACP+, then the </w:t>
      </w:r>
      <w:r w:rsidR="00BA74C2" w:rsidRPr="00A94D8B">
        <w:t>Intra-</w:t>
      </w:r>
      <w:r w:rsidRPr="00A94D8B">
        <w:t>ACP</w:t>
      </w:r>
      <w:r w:rsidR="00BA74C2" w:rsidRPr="00A94D8B">
        <w:t xml:space="preserve"> GCCA</w:t>
      </w:r>
      <w:r w:rsidRPr="00A94D8B">
        <w:t>+ has to be structured in such a way as to make the CSF more re</w:t>
      </w:r>
      <w:r w:rsidRPr="00A94D8B">
        <w:t>l</w:t>
      </w:r>
      <w:r w:rsidRPr="00A94D8B">
        <w:t>evant. This could include taking steps such as having a representative of the CSF attend r</w:t>
      </w:r>
      <w:r w:rsidRPr="00A94D8B">
        <w:t>e</w:t>
      </w:r>
      <w:r w:rsidRPr="00A94D8B">
        <w:t xml:space="preserve">gional programme steering committee meetings to examine how the CSF can be used to assist the respective regional programmes to achieve their objectives.      </w:t>
      </w:r>
    </w:p>
    <w:p w:rsidR="00FC3E5E" w:rsidRPr="00A94D8B" w:rsidRDefault="00FC3E5E" w:rsidP="00C76D67">
      <w:pPr>
        <w:spacing w:after="0"/>
      </w:pPr>
    </w:p>
    <w:p w:rsidR="00FC3E5E" w:rsidRPr="00A94D8B" w:rsidRDefault="00FC3E5E" w:rsidP="00C76D67">
      <w:pPr>
        <w:spacing w:after="0"/>
      </w:pPr>
      <w:r w:rsidRPr="00A94D8B">
        <w:t>There are many practical ways the CSF could be used to enrich the overall Intra ACP</w:t>
      </w:r>
      <w:r w:rsidR="00BA74C2" w:rsidRPr="00A94D8B">
        <w:t xml:space="preserve"> GCCA</w:t>
      </w:r>
      <w:r w:rsidRPr="00A94D8B">
        <w:t xml:space="preserve"> </w:t>
      </w:r>
      <w:r w:rsidR="00BA74C2" w:rsidRPr="00A94D8B">
        <w:t>‘</w:t>
      </w:r>
      <w:r w:rsidRPr="00A94D8B">
        <w:t>experiment</w:t>
      </w:r>
      <w:r w:rsidR="00BA74C2" w:rsidRPr="00A94D8B">
        <w:t>’</w:t>
      </w:r>
      <w:r w:rsidRPr="00A94D8B">
        <w:t>. For example, in the Pacific there has been success in supporting for</w:t>
      </w:r>
      <w:r w:rsidR="00493D18" w:rsidRPr="00A94D8B">
        <w:t>mal train</w:t>
      </w:r>
      <w:r w:rsidRPr="00A94D8B">
        <w:t>ing in climate change in the form of university degrees. At the same time in West Africa, the I</w:t>
      </w:r>
      <w:r w:rsidRPr="00A94D8B">
        <w:t>n</w:t>
      </w:r>
      <w:r w:rsidRPr="00A94D8B">
        <w:t>tra ACP also supported formal education related to climate change. In the Ca</w:t>
      </w:r>
      <w:r w:rsidR="00493D18" w:rsidRPr="00A94D8B">
        <w:t>r</w:t>
      </w:r>
      <w:r w:rsidRPr="00A94D8B">
        <w:t>ibbean</w:t>
      </w:r>
      <w:r w:rsidR="00BA74C2" w:rsidRPr="00A94D8B">
        <w:t>,</w:t>
      </w:r>
      <w:r w:rsidRPr="00A94D8B">
        <w:t xml:space="preserve"> the UWI with some support could probably create a climate change degree programme. Under such circumstances</w:t>
      </w:r>
      <w:r w:rsidR="00BA74C2" w:rsidRPr="00A94D8B">
        <w:t xml:space="preserve">, one could well imagine </w:t>
      </w:r>
      <w:r w:rsidRPr="00A94D8B">
        <w:t>the idea of using the CSF to facilitate the cr</w:t>
      </w:r>
      <w:r w:rsidRPr="00A94D8B">
        <w:t>e</w:t>
      </w:r>
      <w:r w:rsidRPr="00A94D8B">
        <w:t>ation of a global Bachelor or Masters Certification programme recognised by the EU and ACP Secretariat</w:t>
      </w:r>
      <w:r w:rsidR="00BA74C2" w:rsidRPr="00A94D8B">
        <w:t xml:space="preserve">. </w:t>
      </w:r>
      <w:r w:rsidRPr="00A94D8B">
        <w:t>This is simply a suggestion.  But at some point</w:t>
      </w:r>
      <w:r w:rsidR="00BA74C2" w:rsidRPr="00A94D8B">
        <w:t>,</w:t>
      </w:r>
      <w:r w:rsidRPr="00A94D8B">
        <w:t xml:space="preserve"> action has to be taken to either ensure there is a reasonable demand for the CSF or that the CSF is given specific duties or functions that the regional programmes require. </w:t>
      </w:r>
    </w:p>
    <w:p w:rsidR="00FC3E5E" w:rsidRPr="00A94D8B" w:rsidRDefault="00FC3E5E" w:rsidP="00C76D67">
      <w:pPr>
        <w:spacing w:after="0"/>
      </w:pPr>
      <w:r w:rsidRPr="00A94D8B">
        <w:t xml:space="preserve">    </w:t>
      </w:r>
    </w:p>
    <w:p w:rsidR="00FC3E5E" w:rsidRPr="00A94D8B" w:rsidRDefault="00FC3E5E" w:rsidP="00C76D67">
      <w:pPr>
        <w:spacing w:after="0"/>
        <w:rPr>
          <w:i/>
        </w:rPr>
      </w:pPr>
      <w:r w:rsidRPr="00A94D8B">
        <w:rPr>
          <w:i/>
        </w:rPr>
        <w:t xml:space="preserve">Recommendation 8: A clear administrative structure for the TA to the ACP Secretariat and CSF should be established to ensure that </w:t>
      </w:r>
      <w:r w:rsidR="00BA74C2" w:rsidRPr="00A94D8B">
        <w:rPr>
          <w:i/>
        </w:rPr>
        <w:t xml:space="preserve">these </w:t>
      </w:r>
      <w:r w:rsidRPr="00A94D8B">
        <w:rPr>
          <w:i/>
        </w:rPr>
        <w:t>services are used more effectively. The key is to have a structure that ensures there is an ongoing demand.  This could be achieved for e</w:t>
      </w:r>
      <w:r w:rsidRPr="00A94D8B">
        <w:rPr>
          <w:i/>
        </w:rPr>
        <w:t>x</w:t>
      </w:r>
      <w:r w:rsidRPr="00A94D8B">
        <w:rPr>
          <w:i/>
        </w:rPr>
        <w:t>ample by giv</w:t>
      </w:r>
      <w:r w:rsidR="00BA74C2" w:rsidRPr="00A94D8B">
        <w:rPr>
          <w:i/>
        </w:rPr>
        <w:t>ing</w:t>
      </w:r>
      <w:r w:rsidRPr="00A94D8B">
        <w:rPr>
          <w:i/>
        </w:rPr>
        <w:t xml:space="preserve"> the TA to the ACP Secretariat and the CSF more direct responsibilities r</w:t>
      </w:r>
      <w:r w:rsidRPr="00A94D8B">
        <w:rPr>
          <w:i/>
        </w:rPr>
        <w:t>e</w:t>
      </w:r>
      <w:r w:rsidRPr="00A94D8B">
        <w:rPr>
          <w:i/>
        </w:rPr>
        <w:t xml:space="preserve">lated to matters such as ensuring that the </w:t>
      </w:r>
      <w:r w:rsidR="00BA74C2" w:rsidRPr="00A94D8B">
        <w:rPr>
          <w:i/>
        </w:rPr>
        <w:t>Intra-</w:t>
      </w:r>
      <w:r w:rsidRPr="00A94D8B">
        <w:rPr>
          <w:i/>
        </w:rPr>
        <w:t>ACP</w:t>
      </w:r>
      <w:r w:rsidR="00BA74C2" w:rsidRPr="00A94D8B">
        <w:rPr>
          <w:i/>
        </w:rPr>
        <w:t xml:space="preserve"> GCCA</w:t>
      </w:r>
      <w:r w:rsidRPr="00A94D8B">
        <w:rPr>
          <w:i/>
        </w:rPr>
        <w:t>+ respects the objectives of the Cotonou Agreement. There is a clear role for the CSF to build bridges between the regional programmes towards achieving global objectives. In respect to individual regional pr</w:t>
      </w:r>
      <w:r w:rsidRPr="00A94D8B">
        <w:rPr>
          <w:i/>
        </w:rPr>
        <w:t>o</w:t>
      </w:r>
      <w:r w:rsidRPr="00A94D8B">
        <w:rPr>
          <w:i/>
        </w:rPr>
        <w:t>grammes there is a need for a more planned approach on how the CSF can support regional objectives in the form of the provision of technical support. There should be more active di</w:t>
      </w:r>
      <w:r w:rsidRPr="00A94D8B">
        <w:rPr>
          <w:i/>
        </w:rPr>
        <w:t>a</w:t>
      </w:r>
      <w:r w:rsidRPr="00A94D8B">
        <w:rPr>
          <w:i/>
        </w:rPr>
        <w:t>logue and information sharing between the TA to the ACP Secretariat and CSF</w:t>
      </w:r>
      <w:r w:rsidR="00BA74C2" w:rsidRPr="00A94D8B">
        <w:rPr>
          <w:i/>
        </w:rPr>
        <w:t>, on the one hand,</w:t>
      </w:r>
      <w:r w:rsidRPr="00A94D8B">
        <w:rPr>
          <w:i/>
        </w:rPr>
        <w:t xml:space="preserve"> and individual regional programmes</w:t>
      </w:r>
      <w:r w:rsidR="00BA74C2" w:rsidRPr="00A94D8B">
        <w:rPr>
          <w:i/>
        </w:rPr>
        <w:t xml:space="preserve"> on the other</w:t>
      </w:r>
      <w:r w:rsidRPr="00A94D8B">
        <w:rPr>
          <w:i/>
        </w:rPr>
        <w:t>. This could be achieved by such means as having representatives of CSF regularly attend regional programme steering co</w:t>
      </w:r>
      <w:r w:rsidRPr="00A94D8B">
        <w:rPr>
          <w:i/>
        </w:rPr>
        <w:t>m</w:t>
      </w:r>
      <w:r w:rsidRPr="00A94D8B">
        <w:rPr>
          <w:i/>
        </w:rPr>
        <w:t xml:space="preserve">mittee meetings where all key partners are in attendance.      </w:t>
      </w:r>
    </w:p>
    <w:p w:rsidR="00FC3E5E" w:rsidRPr="00A94D8B" w:rsidRDefault="00FC3E5E" w:rsidP="00C76D67">
      <w:pPr>
        <w:spacing w:after="0"/>
      </w:pPr>
    </w:p>
    <w:p w:rsidR="00FC3E5E" w:rsidRPr="00A94D8B" w:rsidRDefault="00FC3E5E" w:rsidP="00C76D67">
      <w:pPr>
        <w:spacing w:after="0"/>
      </w:pPr>
      <w:r w:rsidRPr="00A94D8B">
        <w:t>9. The EU and the Intra ACP Secretariat, along with their partner institutions oversee</w:t>
      </w:r>
      <w:r w:rsidR="00EB3EC0" w:rsidRPr="00A94D8B">
        <w:t>ing</w:t>
      </w:r>
      <w:r w:rsidRPr="00A94D8B">
        <w:t xml:space="preserve"> the regional programmes, should reassess the priority areas of the Intra ACP Programme, as it appears that the ground has shifted </w:t>
      </w:r>
      <w:r w:rsidR="00EB3EC0" w:rsidRPr="00A94D8B">
        <w:t xml:space="preserve">regarding </w:t>
      </w:r>
      <w:r w:rsidR="00BA74C2" w:rsidRPr="00A94D8B">
        <w:t xml:space="preserve">GCCA </w:t>
      </w:r>
      <w:r w:rsidRPr="00A94D8B">
        <w:t>Priority A</w:t>
      </w:r>
      <w:r w:rsidR="00C76D67">
        <w:t xml:space="preserve">reas Four and Five. </w:t>
      </w:r>
      <w:r w:rsidR="002F5D93" w:rsidRPr="00A94D8B">
        <w:t>The co</w:t>
      </w:r>
      <w:r w:rsidR="002F5D93" w:rsidRPr="00A94D8B">
        <w:t>l</w:t>
      </w:r>
      <w:r w:rsidR="002F5D93" w:rsidRPr="00A94D8B">
        <w:t>lec</w:t>
      </w:r>
      <w:r w:rsidRPr="00A94D8B">
        <w:t>tive stakeholders may wish to use this opportunity to discuss</w:t>
      </w:r>
      <w:r w:rsidR="002F5D93" w:rsidRPr="00A94D8B">
        <w:t xml:space="preserve"> how new features might be inte</w:t>
      </w:r>
      <w:r w:rsidRPr="00A94D8B">
        <w:t xml:space="preserve">grated into the Intra ACP Programme </w:t>
      </w:r>
      <w:r w:rsidR="00EB3EC0" w:rsidRPr="00A94D8B">
        <w:t xml:space="preserve">keeping </w:t>
      </w:r>
      <w:r w:rsidRPr="00A94D8B">
        <w:t>the Cotonou Agree</w:t>
      </w:r>
      <w:r w:rsidR="00EB3EC0" w:rsidRPr="00A94D8B">
        <w:t>ment principles in mind.</w:t>
      </w:r>
    </w:p>
    <w:p w:rsidR="00FC3E5E" w:rsidRPr="00A94D8B" w:rsidRDefault="00FC3E5E" w:rsidP="00C76D67">
      <w:pPr>
        <w:spacing w:after="0"/>
      </w:pPr>
    </w:p>
    <w:p w:rsidR="00FC3E5E" w:rsidRPr="00A94D8B" w:rsidRDefault="00FC3E5E" w:rsidP="00C76D67">
      <w:pPr>
        <w:spacing w:after="0"/>
        <w:rPr>
          <w:i/>
        </w:rPr>
      </w:pPr>
      <w:r w:rsidRPr="00A94D8B">
        <w:rPr>
          <w:i/>
        </w:rPr>
        <w:t xml:space="preserve">Recommendation 9: The five priority areas of the Intra ACP Programme should be reviewed to ensure they will remain relevant throughout the next phase of the Intra ACP </w:t>
      </w:r>
      <w:r w:rsidR="00EB3EC0" w:rsidRPr="00A94D8B">
        <w:rPr>
          <w:i/>
        </w:rPr>
        <w:t xml:space="preserve">GCCA </w:t>
      </w:r>
      <w:r w:rsidRPr="00A94D8B">
        <w:rPr>
          <w:i/>
        </w:rPr>
        <w:t>and beyond. Of special interest are the mitigation and CDM related priorities four and five</w:t>
      </w:r>
      <w:r w:rsidR="00EB3EC0" w:rsidRPr="00A94D8B">
        <w:rPr>
          <w:i/>
        </w:rPr>
        <w:t>; i</w:t>
      </w:r>
      <w:r w:rsidRPr="00A94D8B">
        <w:rPr>
          <w:i/>
        </w:rPr>
        <w:t>m</w:t>
      </w:r>
      <w:r w:rsidRPr="00A94D8B">
        <w:rPr>
          <w:i/>
        </w:rPr>
        <w:t>proving the forest stock in terms of volume and diversity and encouragi</w:t>
      </w:r>
      <w:r w:rsidR="00EB3EC0" w:rsidRPr="00A94D8B">
        <w:rPr>
          <w:i/>
        </w:rPr>
        <w:t>ng carbon neutral sources of en</w:t>
      </w:r>
      <w:r w:rsidRPr="00A94D8B">
        <w:rPr>
          <w:i/>
        </w:rPr>
        <w:t xml:space="preserve">ergy, for example, remain worthwhile objectives. Given current trends in carbon financing, the question is what is the best way forward for the Intra ACP to make gains in this area and how best to frame it. At the same </w:t>
      </w:r>
      <w:r w:rsidR="00EB3EC0" w:rsidRPr="00A94D8B">
        <w:rPr>
          <w:i/>
        </w:rPr>
        <w:t xml:space="preserve">time, </w:t>
      </w:r>
      <w:r w:rsidRPr="00A94D8B">
        <w:rPr>
          <w:i/>
        </w:rPr>
        <w:t>this should be seen as an opportunity to identify global initiatives that could be shared and supported by all regional programmes</w:t>
      </w:r>
      <w:r w:rsidR="002F5D93" w:rsidRPr="00A94D8B">
        <w:rPr>
          <w:i/>
        </w:rPr>
        <w:t>.</w:t>
      </w:r>
      <w:r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10. Part of the responsibility of this evaluation was to determine how the remaining allocation of the € 1.0 M pertaining to the “Intra ACP GCCA envelop" should be employed. At the time of the evaluation the envelope has been reduced to €0.5M. It is felt that part of these r</w:t>
      </w:r>
      <w:r w:rsidRPr="00A94D8B">
        <w:t>e</w:t>
      </w:r>
      <w:r w:rsidRPr="00A94D8B">
        <w:t xml:space="preserve">sources should be used to assist in the transition to the Intra ACP+ by taking care of some concerns that are cited in this report such as the performance of </w:t>
      </w:r>
      <w:r w:rsidR="00230105" w:rsidRPr="00A94D8B">
        <w:t xml:space="preserve">the ClimDev and COMESA </w:t>
      </w:r>
      <w:r w:rsidRPr="00A94D8B">
        <w:t>pro</w:t>
      </w:r>
      <w:r w:rsidR="00230105" w:rsidRPr="00A94D8B">
        <w:t>grammes, though other resources may be available for this purpose as well</w:t>
      </w:r>
      <w:r w:rsidRPr="00A94D8B">
        <w:t>. At the same time</w:t>
      </w:r>
      <w:r w:rsidR="00230105" w:rsidRPr="00A94D8B">
        <w:t>,</w:t>
      </w:r>
      <w:r w:rsidRPr="00A94D8B">
        <w:t xml:space="preserve"> during the implementation of this evaluation</w:t>
      </w:r>
      <w:r w:rsidR="00230105" w:rsidRPr="00A94D8B">
        <w:t>,</w:t>
      </w:r>
      <w:r w:rsidRPr="00A94D8B">
        <w:t xml:space="preserve"> the ACP Secretariat and DEVCO E3 agreed to concentrate € 0.5M into a costs extens</w:t>
      </w:r>
      <w:r w:rsidR="00282527" w:rsidRPr="00A94D8B">
        <w:t>ion of the contract providing Technical A</w:t>
      </w:r>
      <w:r w:rsidR="00282527" w:rsidRPr="00A94D8B">
        <w:t>s</w:t>
      </w:r>
      <w:r w:rsidR="00282527" w:rsidRPr="00A94D8B">
        <w:t>sistance</w:t>
      </w:r>
      <w:r w:rsidRPr="00A94D8B">
        <w:t xml:space="preserve"> to the ACP Secretariat. This complementarity service added to the current T</w:t>
      </w:r>
      <w:r w:rsidR="00282527" w:rsidRPr="00A94D8B">
        <w:t>echnical Assistance</w:t>
      </w:r>
      <w:r w:rsidRPr="00A94D8B">
        <w:t xml:space="preserve"> is to contribute to increase</w:t>
      </w:r>
      <w:r w:rsidR="00230105" w:rsidRPr="00A94D8B">
        <w:t>d</w:t>
      </w:r>
      <w:r w:rsidRPr="00A94D8B">
        <w:t xml:space="preserve"> coordinat</w:t>
      </w:r>
      <w:r w:rsidR="002F5D93" w:rsidRPr="00A94D8B">
        <w:t>ion of the programme in develop</w:t>
      </w:r>
      <w:r w:rsidRPr="00A94D8B">
        <w:t>ing pla</w:t>
      </w:r>
      <w:r w:rsidRPr="00A94D8B">
        <w:t>t</w:t>
      </w:r>
      <w:r w:rsidRPr="00A94D8B">
        <w:t>f</w:t>
      </w:r>
      <w:r w:rsidR="00282527" w:rsidRPr="00A94D8B">
        <w:t>orm dialogue and synergies between</w:t>
      </w:r>
      <w:r w:rsidRPr="00A94D8B">
        <w:t xml:space="preserve"> the Regional Programmes and</w:t>
      </w:r>
      <w:r w:rsidR="00282527" w:rsidRPr="00A94D8B">
        <w:t xml:space="preserve"> facilitating an increase</w:t>
      </w:r>
      <w:r w:rsidR="00230105" w:rsidRPr="00A94D8B">
        <w:t>d</w:t>
      </w:r>
      <w:r w:rsidRPr="00A94D8B">
        <w:t xml:space="preserve"> use of the CSF. The evaluation process supports this</w:t>
      </w:r>
      <w:r w:rsidR="00230105" w:rsidRPr="00A94D8B">
        <w:t>,</w:t>
      </w:r>
      <w:r w:rsidRPr="00A94D8B">
        <w:t xml:space="preserve"> but it is also</w:t>
      </w:r>
      <w:r w:rsidR="002F5D93" w:rsidRPr="00A94D8B">
        <w:t xml:space="preserve"> felt that some of these r</w:t>
      </w:r>
      <w:r w:rsidR="002F5D93" w:rsidRPr="00A94D8B">
        <w:t>e</w:t>
      </w:r>
      <w:r w:rsidR="002F5D93" w:rsidRPr="00A94D8B">
        <w:t>main</w:t>
      </w:r>
      <w:r w:rsidRPr="00A94D8B">
        <w:t>ing financial resources should be directed at assessing the operations of the COMESA and ClimDev Programme</w:t>
      </w:r>
      <w:r w:rsidR="00282527" w:rsidRPr="00A94D8B">
        <w:t>s that are not at the same standards as the other programmes. This is as critical to the Intra ACP Programme moving forward as a more functional CSF.</w:t>
      </w:r>
      <w:r w:rsidRPr="00A94D8B">
        <w:t xml:space="preserve"> </w:t>
      </w:r>
    </w:p>
    <w:p w:rsidR="00FC3E5E" w:rsidRPr="00A94D8B" w:rsidRDefault="00FC3E5E" w:rsidP="00C76D67">
      <w:pPr>
        <w:spacing w:after="0"/>
      </w:pPr>
    </w:p>
    <w:p w:rsidR="00FC3E5E" w:rsidRPr="00A94D8B" w:rsidRDefault="00FC3E5E" w:rsidP="00C76D67">
      <w:pPr>
        <w:spacing w:after="0"/>
        <w:rPr>
          <w:i/>
        </w:rPr>
      </w:pPr>
      <w:r w:rsidRPr="00A94D8B">
        <w:rPr>
          <w:i/>
        </w:rPr>
        <w:t xml:space="preserve">Recommendation 10: </w:t>
      </w:r>
      <w:r w:rsidR="00840C95" w:rsidRPr="00A94D8B">
        <w:rPr>
          <w:i/>
        </w:rPr>
        <w:t xml:space="preserve">Remaining </w:t>
      </w:r>
      <w:r w:rsidRPr="00A94D8B">
        <w:rPr>
          <w:i/>
        </w:rPr>
        <w:t xml:space="preserve">funds of the Intra ACP GCCA envelop </w:t>
      </w:r>
      <w:r w:rsidR="00840C95" w:rsidRPr="00A94D8B">
        <w:rPr>
          <w:i/>
        </w:rPr>
        <w:t>sh</w:t>
      </w:r>
      <w:r w:rsidRPr="00A94D8B">
        <w:rPr>
          <w:i/>
        </w:rPr>
        <w:t>ould be used for such concrete purposes as covering the expenses for comprehensive evaluations of the Cli</w:t>
      </w:r>
      <w:r w:rsidRPr="00A94D8B">
        <w:rPr>
          <w:i/>
        </w:rPr>
        <w:t>m</w:t>
      </w:r>
      <w:r w:rsidRPr="00A94D8B">
        <w:rPr>
          <w:i/>
        </w:rPr>
        <w:t>Dev and COMESA led regional programmes</w:t>
      </w:r>
      <w:r w:rsidR="00840C95" w:rsidRPr="00A94D8B">
        <w:rPr>
          <w:i/>
        </w:rPr>
        <w:t>, in as far these cannot be covered from other resources</w:t>
      </w:r>
      <w:r w:rsidR="00C76D67">
        <w:rPr>
          <w:i/>
        </w:rPr>
        <w:t xml:space="preserve">. </w:t>
      </w:r>
      <w:r w:rsidRPr="00A94D8B">
        <w:rPr>
          <w:i/>
        </w:rPr>
        <w:t>The cost of institutional analysis of the partner organisation of these programmes, such as COMESA, E</w:t>
      </w:r>
      <w:r w:rsidR="002F5D93" w:rsidRPr="00A94D8B">
        <w:rPr>
          <w:i/>
        </w:rPr>
        <w:t>AC and SADC, should also be cov</w:t>
      </w:r>
      <w:r w:rsidRPr="00A94D8B">
        <w:rPr>
          <w:i/>
        </w:rPr>
        <w:t>ered and where applicable, should lead to capacity building strategies. The funds should be used to develop a strategy for strong</w:t>
      </w:r>
      <w:r w:rsidR="00840C95" w:rsidRPr="00A94D8B">
        <w:rPr>
          <w:i/>
        </w:rPr>
        <w:t>er</w:t>
      </w:r>
      <w:r w:rsidRPr="00A94D8B">
        <w:rPr>
          <w:i/>
        </w:rPr>
        <w:t xml:space="preserve"> </w:t>
      </w:r>
      <w:r w:rsidR="00840C95" w:rsidRPr="00A94D8B">
        <w:rPr>
          <w:i/>
        </w:rPr>
        <w:t xml:space="preserve">coordination of </w:t>
      </w:r>
      <w:r w:rsidRPr="00A94D8B">
        <w:rPr>
          <w:i/>
        </w:rPr>
        <w:t>inter-regional pro</w:t>
      </w:r>
      <w:r w:rsidR="002F5D93" w:rsidRPr="00A94D8B">
        <w:rPr>
          <w:i/>
        </w:rPr>
        <w:t>gramming and ensur</w:t>
      </w:r>
      <w:r w:rsidRPr="00A94D8B">
        <w:rPr>
          <w:i/>
        </w:rPr>
        <w:t xml:space="preserve">ing adherence to </w:t>
      </w:r>
      <w:r w:rsidR="00840C95" w:rsidRPr="00A94D8B">
        <w:rPr>
          <w:i/>
        </w:rPr>
        <w:t xml:space="preserve">objectives of </w:t>
      </w:r>
      <w:r w:rsidRPr="00A94D8B">
        <w:rPr>
          <w:i/>
        </w:rPr>
        <w:t xml:space="preserve">the Cotonou Agreement. The remaining financial envelope should also be used </w:t>
      </w:r>
      <w:r w:rsidR="00840C95" w:rsidRPr="00A94D8B">
        <w:rPr>
          <w:i/>
        </w:rPr>
        <w:t xml:space="preserve">for </w:t>
      </w:r>
      <w:r w:rsidRPr="00A94D8B">
        <w:rPr>
          <w:i/>
        </w:rPr>
        <w:t>mea</w:t>
      </w:r>
      <w:r w:rsidRPr="00A94D8B">
        <w:rPr>
          <w:i/>
        </w:rPr>
        <w:t>s</w:t>
      </w:r>
      <w:r w:rsidRPr="00A94D8B">
        <w:rPr>
          <w:i/>
        </w:rPr>
        <w:t xml:space="preserve">ures </w:t>
      </w:r>
      <w:r w:rsidR="00840C95" w:rsidRPr="00A94D8B">
        <w:rPr>
          <w:i/>
        </w:rPr>
        <w:t xml:space="preserve">aimed at </w:t>
      </w:r>
      <w:r w:rsidRPr="00A94D8B">
        <w:rPr>
          <w:i/>
        </w:rPr>
        <w:t>increas</w:t>
      </w:r>
      <w:r w:rsidR="00840C95" w:rsidRPr="00A94D8B">
        <w:rPr>
          <w:i/>
        </w:rPr>
        <w:t>ing</w:t>
      </w:r>
      <w:r w:rsidRPr="00A94D8B">
        <w:rPr>
          <w:i/>
        </w:rPr>
        <w:t xml:space="preserve"> the use of</w:t>
      </w:r>
      <w:r w:rsidR="000D26AA" w:rsidRPr="00A94D8B">
        <w:rPr>
          <w:i/>
        </w:rPr>
        <w:t xml:space="preserve"> and improve</w:t>
      </w:r>
      <w:r w:rsidR="00840C95" w:rsidRPr="00A94D8B">
        <w:rPr>
          <w:i/>
        </w:rPr>
        <w:t>ment of</w:t>
      </w:r>
      <w:r w:rsidRPr="00A94D8B">
        <w:rPr>
          <w:i/>
        </w:rPr>
        <w:t xml:space="preserve"> the CSF.      </w:t>
      </w:r>
    </w:p>
    <w:p w:rsidR="00FC3E5E" w:rsidRPr="00A94D8B" w:rsidRDefault="00FC3E5E" w:rsidP="00C76D67">
      <w:pPr>
        <w:spacing w:after="0"/>
      </w:pPr>
      <w:r w:rsidRPr="00A94D8B">
        <w:t xml:space="preserve">     </w:t>
      </w:r>
    </w:p>
    <w:p w:rsidR="00FC3E5E" w:rsidRPr="00A94D8B" w:rsidRDefault="00FC3E5E" w:rsidP="00C76D67">
      <w:pPr>
        <w:spacing w:after="0"/>
      </w:pPr>
      <w:r w:rsidRPr="00A94D8B">
        <w:t>11. The degree in which the Intra ACP regional programmes contribute to visibility and good reputation of EU’s and ACP’s actions in the field of climate change varies considerably across the regional programmes, from strong communication activities and high visibility to low visibility. In particular, visibility of the ACP was found to be low rela</w:t>
      </w:r>
      <w:r w:rsidR="002F5D93" w:rsidRPr="00A94D8B">
        <w:t>tive to EU vis</w:t>
      </w:r>
      <w:r w:rsidR="002F5D93" w:rsidRPr="00A94D8B">
        <w:t>i</w:t>
      </w:r>
      <w:r w:rsidR="002F5D93" w:rsidRPr="00A94D8B">
        <w:t>bil</w:t>
      </w:r>
      <w:r w:rsidRPr="00A94D8B">
        <w:t xml:space="preserve">ity. Nonetheless, all programmes have now taken up communication tasks as a specific area of activity, and websites and web pages are starting to be used more actively, though in highly variable formats. Further harmonisation seems desirable.  </w:t>
      </w:r>
    </w:p>
    <w:p w:rsidR="00FC3E5E" w:rsidRPr="00A94D8B" w:rsidRDefault="00FC3E5E" w:rsidP="00C76D67">
      <w:pPr>
        <w:spacing w:after="0"/>
      </w:pPr>
    </w:p>
    <w:p w:rsidR="00A37701" w:rsidRPr="00A94D8B" w:rsidRDefault="00FC3E5E" w:rsidP="00C76D67">
      <w:pPr>
        <w:spacing w:after="0"/>
        <w:rPr>
          <w:b/>
          <w:i/>
        </w:rPr>
      </w:pPr>
      <w:r w:rsidRPr="00A94D8B">
        <w:rPr>
          <w:i/>
        </w:rPr>
        <w:t>Recommendation 11: For the purpose of the programme’s visibility, the ACP Secretariat and the</w:t>
      </w:r>
      <w:r w:rsidR="002F5D93" w:rsidRPr="00A94D8B">
        <w:rPr>
          <w:i/>
        </w:rPr>
        <w:t xml:space="preserve"> EU should establish guidelines</w:t>
      </w:r>
      <w:r w:rsidRPr="00A94D8B">
        <w:rPr>
          <w:i/>
        </w:rPr>
        <w:t xml:space="preserve"> to ensure minimum expectati</w:t>
      </w:r>
      <w:r w:rsidR="002F5D93" w:rsidRPr="00A94D8B">
        <w:rPr>
          <w:i/>
        </w:rPr>
        <w:t>ons are met in areas such as Internet</w:t>
      </w:r>
      <w:r w:rsidRPr="00A94D8B">
        <w:rPr>
          <w:i/>
        </w:rPr>
        <w:t xml:space="preserve"> presence. Currently the regional programmes employ very different communication strategies and some are more successful than others but overall there should be more min</w:t>
      </w:r>
      <w:r w:rsidRPr="00A94D8B">
        <w:rPr>
          <w:i/>
        </w:rPr>
        <w:t>i</w:t>
      </w:r>
      <w:r w:rsidRPr="00A94D8B">
        <w:rPr>
          <w:i/>
        </w:rPr>
        <w:t>mum practices and standards for communication activities that are shared by the regional programmes.</w:t>
      </w:r>
      <w:r w:rsidRPr="00A94D8B">
        <w:rPr>
          <w:b/>
          <w:i/>
        </w:rPr>
        <w:t xml:space="preserve"> </w:t>
      </w:r>
    </w:p>
    <w:p w:rsidR="00230EE0" w:rsidRPr="00A94D8B" w:rsidRDefault="00230EE0" w:rsidP="002A03DF">
      <w:pPr>
        <w:pStyle w:val="Heading2"/>
        <w:numPr>
          <w:ilvl w:val="1"/>
          <w:numId w:val="45"/>
        </w:numPr>
      </w:pPr>
      <w:bookmarkStart w:id="50" w:name="_Toc392064224"/>
      <w:bookmarkStart w:id="51" w:name="_Toc401041570"/>
      <w:r w:rsidRPr="00A94D8B">
        <w:t>Lessons Learned</w:t>
      </w:r>
      <w:bookmarkEnd w:id="50"/>
      <w:bookmarkEnd w:id="51"/>
    </w:p>
    <w:p w:rsidR="00762691" w:rsidRPr="00A94D8B" w:rsidRDefault="00762691" w:rsidP="00A20F88">
      <w:pPr>
        <w:pStyle w:val="ListParagraph"/>
        <w:numPr>
          <w:ilvl w:val="0"/>
          <w:numId w:val="35"/>
        </w:numPr>
      </w:pPr>
      <w:r w:rsidRPr="00A94D8B">
        <w:t>Regional Programmes are complex entities implemented in very challenging circu</w:t>
      </w:r>
      <w:r w:rsidRPr="00A94D8B">
        <w:t>m</w:t>
      </w:r>
      <w:r w:rsidRPr="00A94D8B">
        <w:t xml:space="preserve">stances. It should not be assumed that administrative and procurement procedures will fall in place in an efficient manner. Programme designs should be developed to be able to better anticipate and respond to complicated start-ups.  </w:t>
      </w:r>
    </w:p>
    <w:p w:rsidR="00123A98" w:rsidRPr="00A94D8B" w:rsidRDefault="00123A98" w:rsidP="00A20F88">
      <w:pPr>
        <w:pStyle w:val="ListParagraph"/>
        <w:ind w:left="375"/>
      </w:pPr>
    </w:p>
    <w:p w:rsidR="00762691" w:rsidRPr="00A94D8B" w:rsidRDefault="00762691" w:rsidP="00A20F88">
      <w:pPr>
        <w:pStyle w:val="ListParagraph"/>
        <w:numPr>
          <w:ilvl w:val="0"/>
          <w:numId w:val="35"/>
        </w:numPr>
      </w:pPr>
      <w:r w:rsidRPr="00A94D8B">
        <w:t>To manage a programme on a regional scale requires experience and appropriate c</w:t>
      </w:r>
      <w:r w:rsidRPr="00A94D8B">
        <w:t>a</w:t>
      </w:r>
      <w:r w:rsidRPr="00A94D8B">
        <w:t xml:space="preserve">pacity. Once the institutional capacity is in place, the implementing partner should be guided by a clear and appropriate regional strategy. </w:t>
      </w:r>
    </w:p>
    <w:p w:rsidR="00123A98" w:rsidRPr="00A94D8B" w:rsidRDefault="00123A98" w:rsidP="00A20F88">
      <w:pPr>
        <w:pStyle w:val="ListParagraph"/>
        <w:ind w:left="375"/>
      </w:pPr>
    </w:p>
    <w:p w:rsidR="00762691" w:rsidRPr="00A94D8B" w:rsidRDefault="00762691" w:rsidP="00A20F88">
      <w:pPr>
        <w:pStyle w:val="ListParagraph"/>
        <w:numPr>
          <w:ilvl w:val="0"/>
          <w:numId w:val="35"/>
        </w:numPr>
      </w:pPr>
      <w:r w:rsidRPr="00A94D8B">
        <w:t xml:space="preserve">Working through existing structures and previously implemented project activity should increase the possibility for project success. There are numerous examples from all three regions where a previous investment paid dividends for the Intra ACP. </w:t>
      </w:r>
    </w:p>
    <w:p w:rsidR="00123A98" w:rsidRPr="00A94D8B" w:rsidRDefault="00123A98" w:rsidP="00A20F88">
      <w:pPr>
        <w:pStyle w:val="ListParagraph"/>
        <w:ind w:left="375"/>
      </w:pPr>
    </w:p>
    <w:p w:rsidR="00762691" w:rsidRPr="00A94D8B" w:rsidRDefault="00762691" w:rsidP="00A20F88">
      <w:pPr>
        <w:pStyle w:val="ListParagraph"/>
        <w:numPr>
          <w:ilvl w:val="0"/>
          <w:numId w:val="35"/>
        </w:numPr>
      </w:pPr>
      <w:r w:rsidRPr="00A94D8B">
        <w:t>The steps required to ensure successful programming are as critical today as ever. Lo</w:t>
      </w:r>
      <w:r w:rsidRPr="00A94D8B">
        <w:t>g</w:t>
      </w:r>
      <w:r w:rsidRPr="00A94D8B">
        <w:t>frames that describe achievable objectives with good indicators should be in place, and monitoring and evaluation systems are as crucial as ever. These can be modified as was the case with several of the programmes evaluated, but they should not be allowed to b</w:t>
      </w:r>
      <w:r w:rsidRPr="00A94D8B">
        <w:t>e</w:t>
      </w:r>
      <w:r w:rsidRPr="00A94D8B">
        <w:t>come a distraction and interfere with the ability to measure what is being achieved</w:t>
      </w:r>
      <w:r w:rsidR="00C24FAC" w:rsidRPr="00A94D8B">
        <w:t>,</w:t>
      </w:r>
      <w:r w:rsidRPr="00A94D8B">
        <w:t xml:space="preserve"> as was the case with two</w:t>
      </w:r>
      <w:r w:rsidR="00C24FAC" w:rsidRPr="00A94D8B">
        <w:t xml:space="preserve"> of the</w:t>
      </w:r>
      <w:r w:rsidRPr="00A94D8B">
        <w:t xml:space="preserve"> African programmes. </w:t>
      </w:r>
    </w:p>
    <w:p w:rsidR="00123A98" w:rsidRPr="00A94D8B" w:rsidRDefault="00123A98" w:rsidP="00A20F88">
      <w:pPr>
        <w:pStyle w:val="ListParagraph"/>
        <w:ind w:left="375"/>
      </w:pPr>
    </w:p>
    <w:p w:rsidR="00762691" w:rsidRPr="00A94D8B" w:rsidRDefault="00D77B28" w:rsidP="00A20F88">
      <w:pPr>
        <w:pStyle w:val="ListParagraph"/>
        <w:numPr>
          <w:ilvl w:val="0"/>
          <w:numId w:val="35"/>
        </w:numPr>
      </w:pPr>
      <w:r w:rsidRPr="00A94D8B">
        <w:t>The importance of f</w:t>
      </w:r>
      <w:r w:rsidR="00762691" w:rsidRPr="00A94D8B">
        <w:t xml:space="preserve">lexibility in programme design was a theme that came up consistently </w:t>
      </w:r>
      <w:r w:rsidRPr="00A94D8B">
        <w:t xml:space="preserve">during </w:t>
      </w:r>
      <w:r w:rsidR="00762691" w:rsidRPr="00A94D8B">
        <w:t>the Intra ACP Programme</w:t>
      </w:r>
      <w:r w:rsidRPr="00A94D8B">
        <w:t xml:space="preserve"> evaluation</w:t>
      </w:r>
      <w:r w:rsidR="00762691" w:rsidRPr="00A94D8B">
        <w:t>. This would appear to be an obvious obse</w:t>
      </w:r>
      <w:r w:rsidR="00762691" w:rsidRPr="00A94D8B">
        <w:t>r</w:t>
      </w:r>
      <w:r w:rsidR="00762691" w:rsidRPr="00A94D8B">
        <w:t xml:space="preserve">vation for programmes that cover highly diverse </w:t>
      </w:r>
      <w:r w:rsidRPr="00A94D8B">
        <w:t>countries and implementation contexts</w:t>
      </w:r>
      <w:r w:rsidR="00762691" w:rsidRPr="00A94D8B">
        <w:t>.  A regional programme can respond to gaps both at the regional and national levels, and having some flexibility to do either is important in the programme design.</w:t>
      </w:r>
    </w:p>
    <w:p w:rsidR="00DA44FF" w:rsidRPr="00A94D8B" w:rsidRDefault="00DA44FF" w:rsidP="00BE1289">
      <w:pPr>
        <w:spacing w:after="0" w:line="240" w:lineRule="auto"/>
      </w:pPr>
    </w:p>
    <w:p w:rsidR="00AD5369" w:rsidRDefault="0030418D">
      <w:pPr>
        <w:spacing w:after="0" w:line="240" w:lineRule="auto"/>
        <w:jc w:val="left"/>
        <w:rPr>
          <w:b/>
        </w:rPr>
        <w:sectPr w:rsidR="00AD5369">
          <w:pgSz w:w="11906" w:h="16838" w:code="9"/>
          <w:pgMar w:top="1387" w:right="1440" w:bottom="1080" w:left="1440" w:header="851" w:footer="851" w:gutter="0"/>
          <w:docGrid w:linePitch="326"/>
        </w:sectPr>
      </w:pPr>
      <w:r w:rsidRPr="00A94D8B">
        <w:rPr>
          <w:b/>
        </w:rPr>
        <w:br w:type="page"/>
      </w:r>
    </w:p>
    <w:p w:rsidR="00AD5369" w:rsidRPr="00A01BD3" w:rsidRDefault="00AD5369" w:rsidP="00A01BD3">
      <w:pPr>
        <w:pStyle w:val="Heading1"/>
        <w:keepNext w:val="0"/>
        <w:numPr>
          <w:ilvl w:val="0"/>
          <w:numId w:val="45"/>
        </w:numPr>
        <w:spacing w:after="0" w:line="276" w:lineRule="auto"/>
        <w:ind w:left="431" w:hanging="431"/>
        <w:contextualSpacing/>
        <w:rPr>
          <w:spacing w:val="-10"/>
        </w:rPr>
      </w:pPr>
      <w:bookmarkStart w:id="52" w:name="_Toc401041571"/>
      <w:r w:rsidRPr="00A01BD3">
        <w:rPr>
          <w:spacing w:val="-10"/>
        </w:rPr>
        <w:t>Agreement at completion point</w:t>
      </w:r>
      <w:r w:rsidRPr="00A01BD3">
        <w:rPr>
          <w:spacing w:val="-10"/>
          <w:vertAlign w:val="superscript"/>
        </w:rPr>
        <w:footnoteReference w:id="12"/>
      </w:r>
      <w:r w:rsidRPr="00A01BD3">
        <w:rPr>
          <w:spacing w:val="-10"/>
        </w:rPr>
        <w:t>, October 2014.</w:t>
      </w:r>
      <w:bookmarkEnd w:id="52"/>
      <w:r w:rsidRPr="00A01BD3">
        <w:rPr>
          <w:spacing w:val="-10"/>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29"/>
        <w:gridCol w:w="9072"/>
      </w:tblGrid>
      <w:tr w:rsidR="00AD5369" w:rsidRPr="00AD5369">
        <w:tc>
          <w:tcPr>
            <w:tcW w:w="5529" w:type="dxa"/>
          </w:tcPr>
          <w:p w:rsidR="00AD5369" w:rsidRPr="00AD5369" w:rsidRDefault="00AD5369" w:rsidP="00AD5369">
            <w:pPr>
              <w:spacing w:before="120" w:after="120" w:line="240" w:lineRule="auto"/>
              <w:ind w:left="57" w:right="57"/>
              <w:jc w:val="left"/>
              <w:rPr>
                <w:rFonts w:eastAsia="Times New Roman"/>
                <w:b/>
                <w:sz w:val="22"/>
                <w:szCs w:val="22"/>
                <w:lang w:val="en-CA" w:eastAsia="en-CA"/>
              </w:rPr>
            </w:pPr>
            <w:r>
              <w:rPr>
                <w:rFonts w:eastAsia="Times New Roman"/>
                <w:b/>
                <w:sz w:val="22"/>
                <w:szCs w:val="22"/>
                <w:lang w:val="en-CA" w:eastAsia="en-CA"/>
              </w:rPr>
              <w:t xml:space="preserve">       </w:t>
            </w:r>
            <w:r w:rsidRPr="00AD5369">
              <w:rPr>
                <w:rFonts w:eastAsia="Times New Roman"/>
                <w:b/>
                <w:sz w:val="22"/>
                <w:szCs w:val="22"/>
                <w:lang w:val="en-CA" w:eastAsia="en-CA"/>
              </w:rPr>
              <w:t>Recommendations</w:t>
            </w:r>
          </w:p>
        </w:tc>
        <w:tc>
          <w:tcPr>
            <w:tcW w:w="9072" w:type="dxa"/>
            <w:tcMar>
              <w:top w:w="0" w:type="dxa"/>
              <w:left w:w="108" w:type="dxa"/>
              <w:bottom w:w="0" w:type="dxa"/>
              <w:right w:w="108" w:type="dxa"/>
            </w:tcMar>
          </w:tcPr>
          <w:p w:rsidR="00AD5369" w:rsidRPr="00AD5369" w:rsidRDefault="00AD5369" w:rsidP="00AD5369">
            <w:pPr>
              <w:spacing w:before="120" w:after="120" w:line="240" w:lineRule="auto"/>
              <w:ind w:left="57" w:right="57"/>
              <w:jc w:val="left"/>
              <w:rPr>
                <w:rFonts w:eastAsia="Times New Roman"/>
                <w:b/>
                <w:sz w:val="22"/>
                <w:szCs w:val="22"/>
                <w:lang w:val="en-CA" w:eastAsia="en-CA"/>
              </w:rPr>
            </w:pPr>
            <w:r>
              <w:rPr>
                <w:rFonts w:eastAsia="Times New Roman"/>
                <w:b/>
                <w:sz w:val="22"/>
                <w:szCs w:val="22"/>
                <w:lang w:val="en-CA" w:eastAsia="en-CA"/>
              </w:rPr>
              <w:t xml:space="preserve">         </w:t>
            </w:r>
            <w:r w:rsidRPr="00AD5369">
              <w:rPr>
                <w:rFonts w:eastAsia="Times New Roman"/>
                <w:b/>
                <w:sz w:val="22"/>
                <w:szCs w:val="22"/>
                <w:lang w:val="en-CA" w:eastAsia="en-CA"/>
              </w:rPr>
              <w:t>Suggestions for implementation</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jc w:val="left"/>
              <w:rPr>
                <w:rFonts w:eastAsia="Times New Roman"/>
                <w:i/>
                <w:sz w:val="22"/>
                <w:szCs w:val="22"/>
                <w:lang w:val="en-CA"/>
              </w:rPr>
            </w:pPr>
            <w:r w:rsidRPr="00AD5369">
              <w:rPr>
                <w:rFonts w:eastAsia="Times New Roman"/>
                <w:i/>
                <w:sz w:val="22"/>
                <w:szCs w:val="22"/>
                <w:lang w:val="en-CA"/>
              </w:rPr>
              <w:t>The creation of the GCCA+, a second phase of the Intra ACP GCCA programme, is strongly supported. This should nevertheless, be guided with the establishment of a longer-term strategy for the Intra-ACP Programme that takes into strong consideration the Cotonou Agreement. This strategy should have a long-term view and anticipate EU support beyond the GCCA+. Such a strategy would allow regional programmes to address the regional climate change concerns while building towards a substantive global alliance between ACP countries through shared programming. The strategy should also establish parameters for encouraging synergy between regional programmes and GCCA national programmes as a means for furthering national, regional and global objectives. At the same time it is imperative that each regional programme is guided by comprehensive regional climate change strategies. Currently some regional programmes cannot refer to such a document.</w:t>
            </w:r>
          </w:p>
          <w:p w:rsidR="00AD5369" w:rsidRPr="00AD5369" w:rsidRDefault="00AD5369" w:rsidP="00AD5369">
            <w:pPr>
              <w:spacing w:before="120" w:after="120" w:line="240" w:lineRule="auto"/>
              <w:ind w:left="57" w:right="57"/>
              <w:jc w:val="left"/>
              <w:rPr>
                <w:rFonts w:eastAsia="Times New Roman"/>
                <w:sz w:val="22"/>
                <w:szCs w:val="22"/>
                <w:lang w:val="en-CA" w:eastAsia="en-CA"/>
              </w:rPr>
            </w:pP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 xml:space="preserve">Obligatory information session/workshop on the Cotonou Agreement for regional programme administers and key staff members with programming responsibilities. The goal would be to collectively explore options for ensuring adherence with the Agreement.  </w:t>
            </w:r>
            <w:r>
              <w:rPr>
                <w:rFonts w:eastAsia="Times New Roman"/>
                <w:sz w:val="22"/>
                <w:szCs w:val="22"/>
                <w:lang w:val="en-CA" w:eastAsia="en-CA"/>
              </w:rPr>
              <w:br/>
            </w:r>
            <w:r w:rsidRPr="00AD5369">
              <w:rPr>
                <w:rFonts w:eastAsia="Times New Roman"/>
                <w:b/>
                <w:i/>
                <w:sz w:val="22"/>
                <w:szCs w:val="22"/>
                <w:lang w:val="en-CA" w:eastAsia="en-CA"/>
              </w:rPr>
              <w:t>Possible role for the CSF</w:t>
            </w:r>
            <w:r w:rsidRPr="00AD5369">
              <w:rPr>
                <w:rFonts w:eastAsia="Times New Roman"/>
                <w:sz w:val="22"/>
                <w:szCs w:val="22"/>
                <w:lang w:val="en-CA" w:eastAsia="en-CA"/>
              </w:rPr>
              <w:t xml:space="preserve"> </w:t>
            </w:r>
          </w:p>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 xml:space="preserve">Hold a visioning session (workshop) on where the GCCA should be in 10 to 15 years.  The strategy that is decided upon should be based on realistic expectations as defined by the experience of the first phase, regarding the potential for progress, the pace of progress and the ability to nurture ACP MS ownership, including financial means of the GCCA for regional and global processes. Invitees should include regional programme designers, project managers and a select number of regional observers (not directly associated with the GCCA) with a strong understanding of their respective region in relation to climate change. Could consider inviting regional reps from UNDP or development agencies having a regional mandate/scope.  </w:t>
            </w:r>
            <w:r w:rsidRPr="00AD5369">
              <w:rPr>
                <w:rFonts w:eastAsia="Times New Roman"/>
                <w:b/>
                <w:i/>
                <w:sz w:val="22"/>
                <w:szCs w:val="22"/>
                <w:lang w:val="en-CA" w:eastAsia="en-CA"/>
              </w:rPr>
              <w:t>Possible role for the CSF</w:t>
            </w:r>
          </w:p>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 xml:space="preserve">Better ongoing dialogue should be established with the national programmes through simple means.  For example, at meetings of regional programme representatives, a small but strategic number of representatives of national GCCA programmes should be invited to attend.  A formula should be developed based on which the meetings are held. For example, when an Intra ACP programme meeting is held in the Pacific, three National GCCA programmes could be represented with one from each of the other regions. The same formula would be used when meetings are held in the other regions.  </w:t>
            </w:r>
            <w:r w:rsidRPr="00AD5369">
              <w:rPr>
                <w:rFonts w:eastAsia="Times New Roman"/>
                <w:b/>
                <w:i/>
                <w:sz w:val="22"/>
                <w:szCs w:val="22"/>
                <w:lang w:val="en-CA" w:eastAsia="en-CA"/>
              </w:rPr>
              <w:t xml:space="preserve">Possible role for the CSF </w:t>
            </w:r>
            <w:r w:rsidRPr="00AD5369">
              <w:rPr>
                <w:rFonts w:eastAsia="Times New Roman"/>
                <w:sz w:val="22"/>
                <w:szCs w:val="22"/>
                <w:lang w:val="en-CA" w:eastAsia="en-CA"/>
              </w:rPr>
              <w:t xml:space="preserve">  </w:t>
            </w:r>
          </w:p>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 xml:space="preserve">Before the start of the GCCA+, each regional programme should provide a clear regional strategy that to the best degree possible will have been vetted by regional stakeholders.  Some already have good strategies but a few do not. All regional programmes should provide detailed plans on how they intend to adhere to the Cotonou Agreement and collaborate with the National GCCA Programmes. </w:t>
            </w:r>
            <w:r w:rsidRPr="00AD5369">
              <w:rPr>
                <w:rFonts w:eastAsia="Times New Roman"/>
                <w:b/>
                <w:i/>
                <w:sz w:val="22"/>
                <w:szCs w:val="22"/>
                <w:lang w:val="en-CA" w:eastAsia="en-CA"/>
              </w:rPr>
              <w:t>Possible role for the CSF</w:t>
            </w:r>
            <w:r w:rsidRPr="00AD5369">
              <w:rPr>
                <w:rFonts w:eastAsia="Times New Roman"/>
                <w:sz w:val="22"/>
                <w:szCs w:val="22"/>
                <w:lang w:val="en-CA" w:eastAsia="en-CA"/>
              </w:rPr>
              <w:t xml:space="preserve">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jc w:val="left"/>
              <w:rPr>
                <w:rFonts w:eastAsia="Times New Roman"/>
                <w:i/>
                <w:sz w:val="22"/>
                <w:szCs w:val="22"/>
                <w:lang w:val="en-CA" w:eastAsia="en-CA"/>
              </w:rPr>
            </w:pPr>
            <w:r w:rsidRPr="00AD5369">
              <w:rPr>
                <w:rFonts w:ascii="Calibri" w:eastAsia="Times New Roman" w:hAnsi="Calibri"/>
                <w:sz w:val="22"/>
                <w:szCs w:val="22"/>
                <w:lang w:val="en-US"/>
              </w:rPr>
              <w:br w:type="page"/>
            </w:r>
            <w:r w:rsidRPr="00AD5369">
              <w:rPr>
                <w:rFonts w:eastAsia="Times New Roman"/>
                <w:i/>
                <w:sz w:val="22"/>
                <w:szCs w:val="22"/>
                <w:lang w:val="en-CA" w:eastAsia="en-CA"/>
              </w:rPr>
              <w:t>A differentiated approach to regional programming should be established that recognises that not all regional partners have the same capacity and that challenges faced by each region are significantly different. Mechanisms such as the CSF/TA to the ACP Secretariat should be employed to greater advantage to develop the capacities of regional implementing partners. To facilitate this in the Southern and East African Regions for example, this would involve direct communication between the SADC and the EAC, on the one hand, and the CSF and the TA to the ACP Secretariat on the other. In relation to this, a concerted effort should be made to ensure that each regional programme from a regional perspective is as strategic as possible, and opportunities for synergy with organisations such as the UNDP are fully explored.</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 xml:space="preserve">Institutional analysis should be conducted of the climate change units of COMESA, SADC and EAC and ClimDev to determine what is required to ensure these entities have the necessary capacity to oversee their regional climate programme activities. This capacity building should be built into the Logical Framework of the respective programmes with benchmarks and performance indicators.  Discussions should be held with CCCCC and Agrhymet to determine if there are areas where these institutions would benefit from capacity building.  For example, Agrhymet and CCCCC do not appear to be very strong at community-level activity.  Could the Intra ACP Programme provide support, for example, by hiring a community development specialist with CC adaptation experience?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Develop a management and administrative strategy that contributes to increased consistency of results while providing support towards, for example, a stronger embracing of the Cotonou Agreement (in particular) article 32A and synergy between regional programmes, of the Intra ACP and GCCA+ National Programmes. First priorities include developing and implementing a plan to ensure a more effective use of the CSF and an improved overall monitoring and evaluation system.</w:t>
            </w:r>
          </w:p>
          <w:p w:rsidR="00AD5369" w:rsidRPr="00AD5369" w:rsidRDefault="00AD5369" w:rsidP="00AD5369">
            <w:pPr>
              <w:spacing w:before="120" w:after="120" w:line="240" w:lineRule="auto"/>
              <w:ind w:left="57" w:right="57"/>
              <w:jc w:val="left"/>
              <w:rPr>
                <w:rFonts w:eastAsia="Times New Roman"/>
                <w:i/>
                <w:sz w:val="22"/>
                <w:szCs w:val="22"/>
                <w:lang w:val="en-CA" w:eastAsia="en-CA"/>
              </w:rPr>
            </w:pP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See suggested actions for recommendation No.1 for the Cotonou Agreement and synergy with the National GCCA Programmes</w:t>
            </w:r>
          </w:p>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 xml:space="preserve">The CSF could be used for developing an M&amp;E system that has clear objectives and indicators.  The EU delegations should be brought into the process of the elaboration of the M&amp;E system with the perspective of the EUD playing a more proactive programme monitoring role. Another avenue to explore would be the hiring of programme monitors that can be shared by the various regional programmes.  </w:t>
            </w:r>
            <w:r w:rsidRPr="00AD5369">
              <w:rPr>
                <w:rFonts w:eastAsia="Times New Roman"/>
                <w:sz w:val="22"/>
                <w:szCs w:val="22"/>
                <w:lang w:val="en-CA" w:eastAsia="en-CA"/>
              </w:rPr>
              <w:br/>
            </w:r>
            <w:r w:rsidRPr="00AD5369">
              <w:rPr>
                <w:rFonts w:eastAsia="Times New Roman"/>
                <w:b/>
                <w:i/>
                <w:sz w:val="22"/>
                <w:szCs w:val="22"/>
                <w:lang w:val="en-CA" w:eastAsia="en-CA"/>
              </w:rPr>
              <w:t xml:space="preserve">Possible role for the CSF </w:t>
            </w:r>
          </w:p>
          <w:p w:rsidR="00AD5369" w:rsidRPr="00AD5369" w:rsidRDefault="00AD5369" w:rsidP="00776596">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 xml:space="preserve">The ACP Secretariat, EC and regional programme representatives should collectively establish a process that would lead to a determination regarding the role or non-role of the CSF. The key question to be answered is how the financial resources for TA should be structured.  Regional Programmes should be clear about </w:t>
            </w:r>
            <w:r w:rsidR="00776596">
              <w:rPr>
                <w:rFonts w:eastAsia="Times New Roman"/>
                <w:sz w:val="22"/>
                <w:szCs w:val="22"/>
                <w:lang w:val="en-CA" w:eastAsia="en-CA"/>
              </w:rPr>
              <w:t xml:space="preserve">the </w:t>
            </w:r>
            <w:r w:rsidRPr="00AD5369">
              <w:rPr>
                <w:rFonts w:eastAsia="Times New Roman"/>
                <w:sz w:val="22"/>
                <w:szCs w:val="22"/>
                <w:lang w:val="en-CA" w:eastAsia="en-CA"/>
              </w:rPr>
              <w:t xml:space="preserve">services they would like the CSF providing.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Greater focus should be placed on promoting initiatives that have clear regional implications, in terms of addressing the potential needs of multiple countries. This could come in the form of services, information and developing shared strategies to address common problems. Pilot or demonstration activities should also be a part of a more pronounced effort to establish a strong regional dynamic.  Such pilot projects should have added value in terms of learning, problem solving, and stimulating interest that could lead to replication and/or up-scaling. Current activities of National GCCA programmes should be considered as a potential source of inspiration for regional pilot activity</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 xml:space="preserve">An inventory should be developed of GCCA (Intra ACP and national programmes) pilot and project activities that are innovative, have a proven track record of successful implementation and can be visually appreciated either through site visit or video recording.    </w:t>
            </w:r>
          </w:p>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 xml:space="preserve">The main GCCA web site should act as a clearing house for information including video documentation of successful and innovative pilot and project activities. </w:t>
            </w:r>
          </w:p>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 xml:space="preserve">The GCCA should facilitate/establish processes with resources that would allow successful and significant national programmes activity to be replicated at the regional programme activity, for regional programme activity to be replicated by other regional programmes and in well-planned circumstances, some actions should become global initiatives. This can only happen if a GCCA-wide dialogue is nurtured and information is made available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Stronger programming links must be established with national GCCA programmes. Regional programming should seek to address gaps in national programming that can also address regional considerations. Of special interest is to look at successful programming components of national GCCA programmes in terms of their suitability for application at the regional level</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See suggestions for recommendations 4 and 1</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Institutional analysis in relation to climate change capacity should be conducted of the key partners involved in the ClimDev and COMESA led Programmes. The objective should be to identify organisational needs in terms of administrative and technical capacity and map out strategies to ensure these programmes are guided towards institutional capacity comparable to the other programmes of the Intra ACP. This should be considered as a condition for accessing GCCA and Intra ACP+ Programme resources. It may also be prudent to examine with the other organisations guiding regional programme aspects of their operations that could benefit from reinforcement through the Intra-ACP Programme.</w:t>
            </w:r>
          </w:p>
          <w:p w:rsidR="00AD5369" w:rsidRPr="00AD5369" w:rsidRDefault="00AD5369" w:rsidP="00AD5369">
            <w:pPr>
              <w:spacing w:before="120" w:after="120" w:line="240" w:lineRule="auto"/>
              <w:ind w:left="57" w:right="57"/>
              <w:jc w:val="left"/>
              <w:rPr>
                <w:rFonts w:eastAsia="Times New Roman"/>
                <w:sz w:val="22"/>
                <w:szCs w:val="22"/>
                <w:lang w:val="en-CA" w:eastAsia="en-CA"/>
              </w:rPr>
            </w:pP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See suggestions for recommendation 2</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 xml:space="preserve">The EU should establish a mechanism to better monitor regional programmes. This is especially important for more problematic programmes. Options for this should include looking at a more pronounced role of the EU Delegations in ACP countries and possibly increased use of the resources of the CSF.  </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1" w:right="57"/>
              <w:jc w:val="left"/>
              <w:rPr>
                <w:rFonts w:eastAsia="Times New Roman"/>
                <w:sz w:val="22"/>
                <w:szCs w:val="22"/>
                <w:lang w:val="en-CA" w:eastAsia="en-CA"/>
              </w:rPr>
            </w:pPr>
            <w:r w:rsidRPr="00AD5369">
              <w:rPr>
                <w:rFonts w:eastAsia="Times New Roman"/>
                <w:sz w:val="22"/>
                <w:szCs w:val="22"/>
                <w:lang w:val="en-CA" w:eastAsia="en-CA"/>
              </w:rPr>
              <w:t>See suggestions for recommendation 3</w:t>
            </w:r>
          </w:p>
          <w:p w:rsidR="00AD5369" w:rsidRPr="00AD5369" w:rsidRDefault="00AD5369" w:rsidP="00AD5369">
            <w:pPr>
              <w:spacing w:before="120" w:after="120" w:line="240" w:lineRule="auto"/>
              <w:ind w:left="601" w:right="57"/>
              <w:jc w:val="left"/>
              <w:rPr>
                <w:rFonts w:eastAsia="Times New Roman"/>
                <w:sz w:val="22"/>
                <w:szCs w:val="22"/>
                <w:lang w:val="en-CA" w:eastAsia="en-CA"/>
              </w:rPr>
            </w:pPr>
          </w:p>
        </w:tc>
      </w:tr>
    </w:tbl>
    <w:p w:rsidR="00776596" w:rsidRDefault="00776596">
      <w:r>
        <w:br w:type="page"/>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29"/>
        <w:gridCol w:w="9072"/>
      </w:tblGrid>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eastAsia="en-CA"/>
              </w:rPr>
            </w:pPr>
            <w:r w:rsidRPr="00AD5369">
              <w:rPr>
                <w:rFonts w:eastAsia="Times New Roman"/>
                <w:i/>
                <w:sz w:val="22"/>
                <w:szCs w:val="22"/>
                <w:lang w:eastAsia="en-CA"/>
              </w:rPr>
              <w:t>A clear administrative structure for the TA to the ACP Secretariat and CSF should be established to ensure that these services are used more effectively. The key is to have a structure that ensures there is an ongoing demand.  This could be achieved for example by gi</w:t>
            </w:r>
            <w:r w:rsidRPr="00AD5369">
              <w:rPr>
                <w:rFonts w:eastAsia="Times New Roman"/>
                <w:i/>
                <w:sz w:val="22"/>
                <w:szCs w:val="22"/>
                <w:lang w:eastAsia="en-CA"/>
              </w:rPr>
              <w:t>v</w:t>
            </w:r>
            <w:r w:rsidRPr="00AD5369">
              <w:rPr>
                <w:rFonts w:eastAsia="Times New Roman"/>
                <w:i/>
                <w:sz w:val="22"/>
                <w:szCs w:val="22"/>
                <w:lang w:eastAsia="en-CA"/>
              </w:rPr>
              <w:t>ing the TA to the ACP Secretariat and the CSF more direct responsibilities related to matters such as e</w:t>
            </w:r>
            <w:r w:rsidRPr="00AD5369">
              <w:rPr>
                <w:rFonts w:eastAsia="Times New Roman"/>
                <w:i/>
                <w:sz w:val="22"/>
                <w:szCs w:val="22"/>
                <w:lang w:eastAsia="en-CA"/>
              </w:rPr>
              <w:t>n</w:t>
            </w:r>
            <w:r w:rsidRPr="00AD5369">
              <w:rPr>
                <w:rFonts w:eastAsia="Times New Roman"/>
                <w:i/>
                <w:sz w:val="22"/>
                <w:szCs w:val="22"/>
                <w:lang w:eastAsia="en-CA"/>
              </w:rPr>
              <w:t>suring that the Intra-ACP GCCA+ respects the obje</w:t>
            </w:r>
            <w:r w:rsidRPr="00AD5369">
              <w:rPr>
                <w:rFonts w:eastAsia="Times New Roman"/>
                <w:i/>
                <w:sz w:val="22"/>
                <w:szCs w:val="22"/>
                <w:lang w:eastAsia="en-CA"/>
              </w:rPr>
              <w:t>c</w:t>
            </w:r>
            <w:r w:rsidRPr="00AD5369">
              <w:rPr>
                <w:rFonts w:eastAsia="Times New Roman"/>
                <w:i/>
                <w:sz w:val="22"/>
                <w:szCs w:val="22"/>
                <w:lang w:eastAsia="en-CA"/>
              </w:rPr>
              <w:t>tives of the Cotonou Agreement. There is a clear role for the CSF to build bridges between the regional programmes towards achieving global objectives. In respect to individual regional programmes there is a need for a more planned approach on how the CSF can support regional objectives in the form of the pr</w:t>
            </w:r>
            <w:r w:rsidRPr="00AD5369">
              <w:rPr>
                <w:rFonts w:eastAsia="Times New Roman"/>
                <w:i/>
                <w:sz w:val="22"/>
                <w:szCs w:val="22"/>
                <w:lang w:eastAsia="en-CA"/>
              </w:rPr>
              <w:t>o</w:t>
            </w:r>
            <w:r w:rsidRPr="00AD5369">
              <w:rPr>
                <w:rFonts w:eastAsia="Times New Roman"/>
                <w:i/>
                <w:sz w:val="22"/>
                <w:szCs w:val="22"/>
                <w:lang w:eastAsia="en-CA"/>
              </w:rPr>
              <w:t>vision of technical support. There should be more a</w:t>
            </w:r>
            <w:r w:rsidRPr="00AD5369">
              <w:rPr>
                <w:rFonts w:eastAsia="Times New Roman"/>
                <w:i/>
                <w:sz w:val="22"/>
                <w:szCs w:val="22"/>
                <w:lang w:eastAsia="en-CA"/>
              </w:rPr>
              <w:t>c</w:t>
            </w:r>
            <w:r w:rsidRPr="00AD5369">
              <w:rPr>
                <w:rFonts w:eastAsia="Times New Roman"/>
                <w:i/>
                <w:sz w:val="22"/>
                <w:szCs w:val="22"/>
                <w:lang w:eastAsia="en-CA"/>
              </w:rPr>
              <w:t>tive dialogue and information sharing between the TA to the ACP Secretariat and CSF, on the one hand, and individual regional programmes on the other. This could be achieved by such means as having represe</w:t>
            </w:r>
            <w:r w:rsidRPr="00AD5369">
              <w:rPr>
                <w:rFonts w:eastAsia="Times New Roman"/>
                <w:i/>
                <w:sz w:val="22"/>
                <w:szCs w:val="22"/>
                <w:lang w:eastAsia="en-CA"/>
              </w:rPr>
              <w:t>n</w:t>
            </w:r>
            <w:r w:rsidRPr="00AD5369">
              <w:rPr>
                <w:rFonts w:eastAsia="Times New Roman"/>
                <w:i/>
                <w:sz w:val="22"/>
                <w:szCs w:val="22"/>
                <w:lang w:eastAsia="en-CA"/>
              </w:rPr>
              <w:t>tatives of CSF regularly attend regional programme steering committee meetings where all key partners are in attendance.</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1" w:right="57"/>
              <w:jc w:val="left"/>
              <w:rPr>
                <w:rFonts w:eastAsia="Times New Roman"/>
                <w:sz w:val="22"/>
                <w:szCs w:val="22"/>
                <w:lang w:val="en-CA" w:eastAsia="en-CA"/>
              </w:rPr>
            </w:pPr>
            <w:r w:rsidRPr="00AD5369">
              <w:rPr>
                <w:rFonts w:eastAsia="Times New Roman"/>
                <w:sz w:val="22"/>
                <w:szCs w:val="22"/>
                <w:lang w:val="en-CA" w:eastAsia="en-CA"/>
              </w:rPr>
              <w:t>See suggestions for recommendation 3</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eastAsia="en-CA"/>
              </w:rPr>
            </w:pPr>
            <w:r w:rsidRPr="00AD5369">
              <w:rPr>
                <w:rFonts w:eastAsia="Times New Roman"/>
                <w:i/>
                <w:sz w:val="22"/>
                <w:szCs w:val="22"/>
                <w:lang w:eastAsia="en-CA"/>
              </w:rPr>
              <w:t>The five priority areas of the Intra ACP Programme should be reviewed to ensure they will remain relevant throughout the next phase of the Intra ACP GCCA and beyond. Of special interest are the mitigation and CDM related priorities four and five; improving the forest stock in terms of volume and diversity and e</w:t>
            </w:r>
            <w:r w:rsidRPr="00AD5369">
              <w:rPr>
                <w:rFonts w:eastAsia="Times New Roman"/>
                <w:i/>
                <w:sz w:val="22"/>
                <w:szCs w:val="22"/>
                <w:lang w:eastAsia="en-CA"/>
              </w:rPr>
              <w:t>n</w:t>
            </w:r>
            <w:r w:rsidRPr="00AD5369">
              <w:rPr>
                <w:rFonts w:eastAsia="Times New Roman"/>
                <w:i/>
                <w:sz w:val="22"/>
                <w:szCs w:val="22"/>
                <w:lang w:eastAsia="en-CA"/>
              </w:rPr>
              <w:t>couraging carbon neutral sources of energy, for e</w:t>
            </w:r>
            <w:r w:rsidRPr="00AD5369">
              <w:rPr>
                <w:rFonts w:eastAsia="Times New Roman"/>
                <w:i/>
                <w:sz w:val="22"/>
                <w:szCs w:val="22"/>
                <w:lang w:eastAsia="en-CA"/>
              </w:rPr>
              <w:t>x</w:t>
            </w:r>
            <w:r w:rsidRPr="00AD5369">
              <w:rPr>
                <w:rFonts w:eastAsia="Times New Roman"/>
                <w:i/>
                <w:sz w:val="22"/>
                <w:szCs w:val="22"/>
                <w:lang w:eastAsia="en-CA"/>
              </w:rPr>
              <w:t>ample, remain worthwhile objectives. Given current trends in carbon financing, the question is what is the best way forward for the Intra ACP to make gains in this area and how best to frame it. At the same time, this should be seen as an opportunity to identify global initiatives that could be shared and supported by all regional programmes.</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A detailed review of trends/approaches/secondary funding sources for mitigation action should be undertaken</w:t>
            </w:r>
          </w:p>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 xml:space="preserve">The review of the priorities should be used as an opportunity to identify innovative practices related to mitigation, NAMAs and REDD that could be replicated through the GCCA. To be clear this involves looking at both GCCA and non GCCA actions.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rPr>
            </w:pPr>
            <w:r w:rsidRPr="00AD5369">
              <w:rPr>
                <w:rFonts w:eastAsia="Times New Roman"/>
                <w:i/>
                <w:sz w:val="22"/>
                <w:szCs w:val="22"/>
                <w:lang w:val="en-CA"/>
              </w:rPr>
              <w:t>Remaining funds of the Intra ACP GCCA envelop should be used for such concrete purposes as covering the expenses for comprehensive evaluations of the ClimDev and COMESA led regional programmes, in as far these cannot be covered from other resources. The cost of institutional analysis of the partner organisation of these programmes, such as COMESA, EAC and SADC, should also be covered and where applicable, should lead to capacity building strategies. The funds should be used to develop a strategy for stronger coordination of inter-regional programming and ensuring adherence to objectives of the Cotonou Agreement. The remaining financial envelope should also be used for measures aimed at increasing the use of and improvement of the CSF.</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No suggestions required</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sz w:val="22"/>
                <w:szCs w:val="22"/>
                <w:lang w:val="en-CA" w:eastAsia="en-CA"/>
              </w:rPr>
            </w:pPr>
            <w:r w:rsidRPr="00AD5369">
              <w:rPr>
                <w:rFonts w:eastAsia="Times New Roman"/>
                <w:i/>
                <w:sz w:val="22"/>
                <w:szCs w:val="22"/>
              </w:rPr>
              <w:t>For the purpose of the programme’s visibility, the ACP Secretariat and the EU should establish guid</w:t>
            </w:r>
            <w:r w:rsidRPr="00AD5369">
              <w:rPr>
                <w:rFonts w:eastAsia="Times New Roman"/>
                <w:i/>
                <w:sz w:val="22"/>
                <w:szCs w:val="22"/>
              </w:rPr>
              <w:t>e</w:t>
            </w:r>
            <w:r w:rsidRPr="00AD5369">
              <w:rPr>
                <w:rFonts w:eastAsia="Times New Roman"/>
                <w:i/>
                <w:sz w:val="22"/>
                <w:szCs w:val="22"/>
              </w:rPr>
              <w:t>lines to ensure minimum expectations are met in areas such as Internet presence. Currently the regional pr</w:t>
            </w:r>
            <w:r w:rsidRPr="00AD5369">
              <w:rPr>
                <w:rFonts w:eastAsia="Times New Roman"/>
                <w:i/>
                <w:sz w:val="22"/>
                <w:szCs w:val="22"/>
              </w:rPr>
              <w:t>o</w:t>
            </w:r>
            <w:r w:rsidRPr="00AD5369">
              <w:rPr>
                <w:rFonts w:eastAsia="Times New Roman"/>
                <w:i/>
                <w:sz w:val="22"/>
                <w:szCs w:val="22"/>
              </w:rPr>
              <w:t>grammes employ very different communication stra</w:t>
            </w:r>
            <w:r w:rsidRPr="00AD5369">
              <w:rPr>
                <w:rFonts w:eastAsia="Times New Roman"/>
                <w:i/>
                <w:sz w:val="22"/>
                <w:szCs w:val="22"/>
              </w:rPr>
              <w:t>t</w:t>
            </w:r>
            <w:r w:rsidRPr="00AD5369">
              <w:rPr>
                <w:rFonts w:eastAsia="Times New Roman"/>
                <w:i/>
                <w:sz w:val="22"/>
                <w:szCs w:val="22"/>
              </w:rPr>
              <w:t>egies and some are more successful than others but overall there should be more minimum practices and standards for communication activities that are shared by the regional programmes.</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 xml:space="preserve">Study the communication strategies of noteworthy Intra ACP Programmes and National GCCA Programmes to identify best practices that could lead to the design and implementation of guidelines that would serve as minimum standards for communication practices for all Intra ACP programmes.  </w:t>
            </w:r>
          </w:p>
          <w:p w:rsidR="00AD5369" w:rsidRPr="00AD5369" w:rsidRDefault="00AD5369" w:rsidP="00AD5369">
            <w:pPr>
              <w:spacing w:before="120" w:after="120" w:line="240" w:lineRule="auto"/>
              <w:ind w:left="600" w:right="57"/>
              <w:jc w:val="left"/>
              <w:rPr>
                <w:rFonts w:eastAsia="Times New Roman"/>
                <w:sz w:val="22"/>
                <w:szCs w:val="22"/>
                <w:lang w:val="en-CA" w:eastAsia="en-CA"/>
              </w:rPr>
            </w:pPr>
          </w:p>
        </w:tc>
      </w:tr>
    </w:tbl>
    <w:p w:rsidR="00AD5369" w:rsidRPr="00AD5369" w:rsidRDefault="00AD5369" w:rsidP="00AD5369">
      <w:pPr>
        <w:spacing w:before="120" w:after="120"/>
        <w:ind w:right="57"/>
        <w:jc w:val="left"/>
        <w:rPr>
          <w:rFonts w:eastAsia="Times New Roman"/>
          <w:sz w:val="2"/>
          <w:szCs w:val="22"/>
          <w:lang w:val="en-CA"/>
        </w:rPr>
      </w:pPr>
    </w:p>
    <w:p w:rsidR="00AD5369" w:rsidRPr="00AD5369" w:rsidRDefault="00AD5369">
      <w:pPr>
        <w:spacing w:after="0" w:line="240" w:lineRule="auto"/>
        <w:jc w:val="left"/>
        <w:rPr>
          <w:b/>
          <w:lang w:val="en-CA"/>
        </w:rPr>
        <w:sectPr w:rsidR="00AD5369" w:rsidRPr="00AD5369">
          <w:pgSz w:w="16838" w:h="11906" w:orient="landscape" w:code="9"/>
          <w:pgMar w:top="1276" w:right="1387" w:bottom="1440" w:left="1080" w:header="851" w:footer="851" w:gutter="0"/>
          <w:docGrid w:linePitch="326"/>
        </w:sectPr>
      </w:pPr>
    </w:p>
    <w:p w:rsidR="00AD5369" w:rsidRPr="00A94D8B" w:rsidRDefault="00AD5369">
      <w:pPr>
        <w:spacing w:after="0" w:line="240" w:lineRule="auto"/>
        <w:jc w:val="left"/>
        <w:rPr>
          <w:b/>
        </w:rPr>
      </w:pPr>
    </w:p>
    <w:p w:rsidR="00230EE0" w:rsidRPr="00A94D8B" w:rsidRDefault="00230EE0" w:rsidP="002A03DF">
      <w:pPr>
        <w:pStyle w:val="Heading1"/>
        <w:keepNext w:val="0"/>
        <w:numPr>
          <w:ilvl w:val="0"/>
          <w:numId w:val="45"/>
        </w:numPr>
        <w:spacing w:line="276" w:lineRule="auto"/>
        <w:contextualSpacing/>
        <w:rPr>
          <w:spacing w:val="-10"/>
        </w:rPr>
      </w:pPr>
      <w:bookmarkStart w:id="53" w:name="_Toc401041572"/>
      <w:r w:rsidRPr="00A94D8B">
        <w:rPr>
          <w:spacing w:val="-10"/>
        </w:rPr>
        <w:t>A</w:t>
      </w:r>
      <w:r w:rsidR="004A6FDB" w:rsidRPr="00A94D8B">
        <w:rPr>
          <w:spacing w:val="-10"/>
        </w:rPr>
        <w:t>nnexes</w:t>
      </w:r>
      <w:bookmarkEnd w:id="53"/>
    </w:p>
    <w:p w:rsidR="00130EC9" w:rsidRPr="00A94D8B" w:rsidRDefault="00130EC9" w:rsidP="00AD1C0A"/>
    <w:p w:rsidR="001C6977" w:rsidRPr="00A94D8B" w:rsidRDefault="00F921F1" w:rsidP="00AD1C0A">
      <w:r w:rsidRPr="00A94D8B">
        <w:t xml:space="preserve">N.B. </w:t>
      </w:r>
      <w:r w:rsidR="000E1AAD" w:rsidRPr="00A94D8B">
        <w:t>All following Annexes a</w:t>
      </w:r>
      <w:r w:rsidR="00230EE0" w:rsidRPr="00A94D8B">
        <w:t>re provided in a separate document</w:t>
      </w:r>
      <w:r w:rsidR="000B4C18">
        <w:t xml:space="preserve"> (volume 2)</w:t>
      </w:r>
      <w:r w:rsidR="00230EE0" w:rsidRPr="00A94D8B">
        <w:t xml:space="preserve">. </w:t>
      </w:r>
    </w:p>
    <w:p w:rsidR="000B4C18" w:rsidRDefault="000B4C18" w:rsidP="000B4C18">
      <w:pPr>
        <w:rPr>
          <w:noProof/>
        </w:rPr>
      </w:pPr>
    </w:p>
    <w:p w:rsidR="000B4C18" w:rsidRDefault="000B4C18" w:rsidP="000B4C18">
      <w:pPr>
        <w:rPr>
          <w:noProof/>
        </w:rPr>
      </w:pPr>
      <w:r>
        <w:rPr>
          <w:noProof/>
        </w:rPr>
        <w:t>Annex 1: Terms of Reference of the evaluation</w:t>
      </w:r>
      <w:r>
        <w:rPr>
          <w:noProof/>
        </w:rPr>
        <w:tab/>
      </w:r>
      <w:r>
        <w:rPr>
          <w:noProof/>
        </w:rPr>
        <w:tab/>
      </w:r>
      <w:r>
        <w:rPr>
          <w:noProof/>
        </w:rPr>
        <w:tab/>
      </w:r>
      <w:r>
        <w:rPr>
          <w:noProof/>
        </w:rPr>
        <w:tab/>
      </w:r>
      <w:r>
        <w:rPr>
          <w:noProof/>
        </w:rPr>
        <w:tab/>
      </w:r>
      <w:r>
        <w:rPr>
          <w:noProof/>
        </w:rPr>
        <w:tab/>
        <w:t>4</w:t>
      </w:r>
    </w:p>
    <w:p w:rsidR="000B4C18" w:rsidRPr="000B4C18" w:rsidRDefault="000B4C18" w:rsidP="000B4C18">
      <w:pPr>
        <w:rPr>
          <w:noProof/>
          <w:lang w:val="fr-FR"/>
        </w:rPr>
      </w:pPr>
      <w:r w:rsidRPr="000B4C18">
        <w:rPr>
          <w:noProof/>
          <w:lang w:val="fr-FR"/>
        </w:rPr>
        <w:t>Annex 2: Evaluation team composition</w:t>
      </w:r>
      <w:r w:rsidRPr="000B4C18">
        <w:rPr>
          <w:noProof/>
          <w:lang w:val="fr-FR"/>
        </w:rPr>
        <w:tab/>
      </w:r>
      <w:r>
        <w:rPr>
          <w:noProof/>
          <w:lang w:val="fr-FR"/>
        </w:rPr>
        <w:tab/>
      </w:r>
      <w:r>
        <w:rPr>
          <w:noProof/>
          <w:lang w:val="fr-FR"/>
        </w:rPr>
        <w:tab/>
      </w:r>
      <w:r>
        <w:rPr>
          <w:noProof/>
          <w:lang w:val="fr-FR"/>
        </w:rPr>
        <w:tab/>
      </w:r>
      <w:r>
        <w:rPr>
          <w:noProof/>
          <w:lang w:val="fr-FR"/>
        </w:rPr>
        <w:tab/>
      </w:r>
      <w:r>
        <w:rPr>
          <w:noProof/>
          <w:lang w:val="fr-FR"/>
        </w:rPr>
        <w:tab/>
      </w:r>
      <w:r>
        <w:rPr>
          <w:noProof/>
          <w:lang w:val="fr-FR"/>
        </w:rPr>
        <w:tab/>
      </w:r>
      <w:r w:rsidRPr="000B4C18">
        <w:rPr>
          <w:noProof/>
          <w:lang w:val="fr-FR"/>
        </w:rPr>
        <w:t>40</w:t>
      </w:r>
    </w:p>
    <w:p w:rsidR="000B4C18" w:rsidRPr="000B4C18" w:rsidRDefault="000B4C18" w:rsidP="000B4C18">
      <w:pPr>
        <w:rPr>
          <w:noProof/>
          <w:lang w:val="fr-FR"/>
        </w:rPr>
      </w:pPr>
      <w:r w:rsidRPr="000B4C18">
        <w:rPr>
          <w:noProof/>
          <w:lang w:val="fr-FR"/>
        </w:rPr>
        <w:t>Annex 3: Mission Aide-Mémoires</w:t>
      </w:r>
      <w:r w:rsidRPr="000B4C18">
        <w:rPr>
          <w:noProof/>
          <w:lang w:val="fr-FR"/>
        </w:rPr>
        <w:tab/>
      </w:r>
      <w:r>
        <w:rPr>
          <w:noProof/>
          <w:lang w:val="fr-FR"/>
        </w:rPr>
        <w:tab/>
      </w:r>
      <w:r>
        <w:rPr>
          <w:noProof/>
          <w:lang w:val="fr-FR"/>
        </w:rPr>
        <w:tab/>
      </w:r>
      <w:r>
        <w:rPr>
          <w:noProof/>
          <w:lang w:val="fr-FR"/>
        </w:rPr>
        <w:tab/>
      </w:r>
      <w:r>
        <w:rPr>
          <w:noProof/>
          <w:lang w:val="fr-FR"/>
        </w:rPr>
        <w:tab/>
      </w:r>
      <w:r>
        <w:rPr>
          <w:noProof/>
          <w:lang w:val="fr-FR"/>
        </w:rPr>
        <w:tab/>
      </w:r>
      <w:r>
        <w:rPr>
          <w:noProof/>
          <w:lang w:val="fr-FR"/>
        </w:rPr>
        <w:tab/>
      </w:r>
      <w:r>
        <w:rPr>
          <w:noProof/>
          <w:lang w:val="fr-FR"/>
        </w:rPr>
        <w:tab/>
      </w:r>
      <w:r w:rsidRPr="000B4C18">
        <w:rPr>
          <w:noProof/>
          <w:lang w:val="fr-FR"/>
        </w:rPr>
        <w:t>41</w:t>
      </w:r>
    </w:p>
    <w:p w:rsidR="000B4C18" w:rsidRPr="00A56A70" w:rsidRDefault="000B4C18" w:rsidP="000B4C18">
      <w:pPr>
        <w:ind w:firstLine="720"/>
        <w:rPr>
          <w:noProof/>
          <w:lang w:val="en-US"/>
        </w:rPr>
      </w:pPr>
      <w:r w:rsidRPr="00A56A70">
        <w:rPr>
          <w:noProof/>
          <w:lang w:val="en-US"/>
        </w:rPr>
        <w:t>Annex 3.1 ClimDev</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42</w:t>
      </w:r>
    </w:p>
    <w:p w:rsidR="000B4C18" w:rsidRPr="00A56A70" w:rsidRDefault="000B4C18" w:rsidP="000B4C18">
      <w:pPr>
        <w:ind w:firstLine="720"/>
        <w:rPr>
          <w:noProof/>
          <w:lang w:val="en-US"/>
        </w:rPr>
      </w:pPr>
      <w:r w:rsidRPr="00A56A70">
        <w:rPr>
          <w:noProof/>
          <w:lang w:val="en-US"/>
        </w:rPr>
        <w:t>Annex 3.2 ECOWAS (CILSS)</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66</w:t>
      </w:r>
    </w:p>
    <w:p w:rsidR="000B4C18" w:rsidRPr="00A56A70" w:rsidRDefault="000B4C18" w:rsidP="000B4C18">
      <w:pPr>
        <w:ind w:left="720"/>
        <w:rPr>
          <w:noProof/>
          <w:lang w:val="en-US"/>
        </w:rPr>
      </w:pPr>
      <w:r w:rsidRPr="00A56A70">
        <w:rPr>
          <w:noProof/>
          <w:lang w:val="en-US"/>
        </w:rPr>
        <w:t>Annex 3.3 COMESA</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84</w:t>
      </w:r>
    </w:p>
    <w:p w:rsidR="000B4C18" w:rsidRPr="00A56A70" w:rsidRDefault="000B4C18" w:rsidP="000B4C18">
      <w:pPr>
        <w:ind w:firstLine="720"/>
        <w:rPr>
          <w:noProof/>
          <w:lang w:val="en-US"/>
        </w:rPr>
      </w:pPr>
      <w:r w:rsidRPr="00A56A70">
        <w:rPr>
          <w:noProof/>
          <w:lang w:val="en-US"/>
        </w:rPr>
        <w:t>Annex 3.4 EU-GCCA Pacific (USP)</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103</w:t>
      </w:r>
    </w:p>
    <w:p w:rsidR="000B4C18" w:rsidRPr="000B4C18" w:rsidRDefault="000B4C18" w:rsidP="000B4C18">
      <w:pPr>
        <w:ind w:firstLine="720"/>
        <w:rPr>
          <w:noProof/>
          <w:lang w:val="en-US"/>
        </w:rPr>
      </w:pPr>
      <w:r w:rsidRPr="000B4C18">
        <w:rPr>
          <w:noProof/>
          <w:lang w:val="en-US"/>
        </w:rPr>
        <w:t>Annex 3.5 GCCA : PSIS (SPC/SPREP)</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123</w:t>
      </w:r>
    </w:p>
    <w:p w:rsidR="000B4C18" w:rsidRPr="000B4C18" w:rsidRDefault="000B4C18" w:rsidP="000B4C18">
      <w:pPr>
        <w:ind w:firstLine="720"/>
        <w:rPr>
          <w:noProof/>
          <w:lang w:val="en-US"/>
        </w:rPr>
      </w:pPr>
      <w:r w:rsidRPr="000B4C18">
        <w:rPr>
          <w:noProof/>
          <w:lang w:val="en-US"/>
        </w:rPr>
        <w:t>Annex 3.6 CCCCC (Caribbean)</w:t>
      </w:r>
      <w:r w:rsidRPr="000B4C18">
        <w:rPr>
          <w:noProof/>
          <w:lang w:val="en-US"/>
        </w:rPr>
        <w:tab/>
      </w:r>
      <w:r w:rsidRPr="000B4C18">
        <w:rPr>
          <w:noProof/>
          <w:lang w:val="en-US"/>
        </w:rPr>
        <w:tab/>
      </w:r>
      <w:r w:rsidRPr="000B4C18">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138</w:t>
      </w:r>
    </w:p>
    <w:p w:rsidR="000B4C18" w:rsidRPr="000B4C18" w:rsidRDefault="000B4C18" w:rsidP="000B4C18">
      <w:pPr>
        <w:ind w:firstLine="720"/>
        <w:rPr>
          <w:noProof/>
          <w:lang w:val="en-US"/>
        </w:rPr>
      </w:pPr>
      <w:r w:rsidRPr="000B4C18">
        <w:rPr>
          <w:noProof/>
          <w:lang w:val="en-US"/>
        </w:rPr>
        <w:t>Annex 3.7 The Climate Support Facility</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155</w:t>
      </w:r>
    </w:p>
    <w:p w:rsidR="000B4C18" w:rsidRPr="000B4C18" w:rsidRDefault="000B4C18" w:rsidP="000B4C18">
      <w:pPr>
        <w:rPr>
          <w:noProof/>
          <w:lang w:val="en-US"/>
        </w:rPr>
      </w:pPr>
      <w:r w:rsidRPr="000B4C18">
        <w:rPr>
          <w:noProof/>
          <w:lang w:val="en-US"/>
        </w:rPr>
        <w:t>Annex 4: Evaluation methodology</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160</w:t>
      </w:r>
    </w:p>
    <w:p w:rsidR="000B4C18" w:rsidRPr="000B4C18" w:rsidRDefault="000B4C18" w:rsidP="000B4C18">
      <w:pPr>
        <w:ind w:firstLine="720"/>
        <w:rPr>
          <w:noProof/>
          <w:lang w:val="en-US"/>
        </w:rPr>
      </w:pPr>
      <w:r w:rsidRPr="000B4C18">
        <w:rPr>
          <w:noProof/>
          <w:lang w:val="en-US"/>
        </w:rPr>
        <w:t>Annex 4A: Evaluation Matrix</w:t>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ab/>
        <w:t>160</w:t>
      </w:r>
    </w:p>
    <w:p w:rsidR="000B4C18" w:rsidRPr="000B4C18" w:rsidRDefault="000B4C18" w:rsidP="000B4C18">
      <w:pPr>
        <w:ind w:firstLine="720"/>
        <w:rPr>
          <w:noProof/>
          <w:lang w:val="en-US"/>
        </w:rPr>
      </w:pPr>
      <w:r w:rsidRPr="000B4C18">
        <w:rPr>
          <w:noProof/>
          <w:lang w:val="en-US"/>
        </w:rPr>
        <w:t>Annex 4B: Project Scoring Table</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175</w:t>
      </w:r>
    </w:p>
    <w:p w:rsidR="000B4C18" w:rsidRDefault="000B4C18" w:rsidP="000B4C18">
      <w:pPr>
        <w:rPr>
          <w:noProof/>
        </w:rPr>
      </w:pPr>
      <w:r w:rsidRPr="000B4C18">
        <w:rPr>
          <w:noProof/>
          <w:lang w:val="en-US"/>
        </w:rPr>
        <w:t>An</w:t>
      </w:r>
      <w:r>
        <w:rPr>
          <w:noProof/>
        </w:rPr>
        <w:t>nex 5: GCCA Organisational Structure</w:t>
      </w:r>
      <w:r>
        <w:rPr>
          <w:noProof/>
        </w:rPr>
        <w:tab/>
      </w:r>
      <w:r>
        <w:rPr>
          <w:noProof/>
        </w:rPr>
        <w:tab/>
      </w:r>
      <w:r>
        <w:rPr>
          <w:noProof/>
        </w:rPr>
        <w:tab/>
      </w:r>
      <w:r>
        <w:rPr>
          <w:noProof/>
        </w:rPr>
        <w:tab/>
      </w:r>
      <w:r>
        <w:rPr>
          <w:noProof/>
        </w:rPr>
        <w:tab/>
      </w:r>
      <w:r>
        <w:rPr>
          <w:noProof/>
        </w:rPr>
        <w:tab/>
      </w:r>
      <w:r>
        <w:rPr>
          <w:noProof/>
        </w:rPr>
        <w:tab/>
        <w:t>176</w:t>
      </w:r>
    </w:p>
    <w:p w:rsidR="000B4C18" w:rsidRDefault="000B4C18" w:rsidP="000B4C18">
      <w:pPr>
        <w:rPr>
          <w:noProof/>
        </w:rPr>
      </w:pPr>
      <w:r>
        <w:rPr>
          <w:noProof/>
        </w:rPr>
        <w:t>Annex 6: GCCA – Reconstructed Intervention Logic</w:t>
      </w:r>
      <w:r>
        <w:rPr>
          <w:noProof/>
        </w:rPr>
        <w:tab/>
      </w:r>
      <w:r>
        <w:rPr>
          <w:noProof/>
        </w:rPr>
        <w:tab/>
      </w:r>
      <w:r>
        <w:rPr>
          <w:noProof/>
        </w:rPr>
        <w:tab/>
      </w:r>
      <w:r>
        <w:rPr>
          <w:noProof/>
        </w:rPr>
        <w:tab/>
      </w:r>
      <w:r>
        <w:rPr>
          <w:noProof/>
        </w:rPr>
        <w:tab/>
        <w:t>177</w:t>
      </w:r>
    </w:p>
    <w:p w:rsidR="000B4C18" w:rsidRDefault="000B4C18" w:rsidP="000B4C18">
      <w:pPr>
        <w:rPr>
          <w:noProof/>
        </w:rPr>
      </w:pPr>
      <w:r>
        <w:rPr>
          <w:noProof/>
        </w:rPr>
        <w:t>Annex 7: Work Calendar</w:t>
      </w:r>
      <w:r>
        <w:rPr>
          <w:noProof/>
        </w:rPr>
        <w:tab/>
      </w:r>
      <w:r>
        <w:rPr>
          <w:noProof/>
        </w:rPr>
        <w:tab/>
      </w:r>
      <w:r>
        <w:rPr>
          <w:noProof/>
        </w:rPr>
        <w:tab/>
      </w:r>
      <w:r>
        <w:rPr>
          <w:noProof/>
        </w:rPr>
        <w:tab/>
      </w:r>
      <w:r>
        <w:rPr>
          <w:noProof/>
        </w:rPr>
        <w:tab/>
      </w:r>
      <w:r>
        <w:rPr>
          <w:noProof/>
        </w:rPr>
        <w:tab/>
      </w:r>
      <w:r>
        <w:rPr>
          <w:noProof/>
        </w:rPr>
        <w:tab/>
      </w:r>
      <w:r>
        <w:rPr>
          <w:noProof/>
        </w:rPr>
        <w:tab/>
      </w:r>
      <w:r>
        <w:rPr>
          <w:noProof/>
        </w:rPr>
        <w:tab/>
        <w:t>179</w:t>
      </w:r>
    </w:p>
    <w:p w:rsidR="000B4C18" w:rsidRDefault="000B4C18" w:rsidP="000B4C18">
      <w:pPr>
        <w:rPr>
          <w:noProof/>
        </w:rPr>
      </w:pPr>
      <w:r>
        <w:rPr>
          <w:noProof/>
        </w:rPr>
        <w:t>Annex 8: Literature and Documentation Consulted</w:t>
      </w:r>
      <w:r>
        <w:rPr>
          <w:noProof/>
        </w:rPr>
        <w:tab/>
      </w:r>
      <w:r>
        <w:rPr>
          <w:noProof/>
        </w:rPr>
        <w:tab/>
      </w:r>
      <w:r>
        <w:rPr>
          <w:noProof/>
        </w:rPr>
        <w:tab/>
      </w:r>
      <w:r>
        <w:rPr>
          <w:noProof/>
        </w:rPr>
        <w:tab/>
      </w:r>
      <w:r>
        <w:rPr>
          <w:noProof/>
        </w:rPr>
        <w:tab/>
      </w:r>
      <w:r>
        <w:rPr>
          <w:noProof/>
        </w:rPr>
        <w:tab/>
        <w:t>180</w:t>
      </w:r>
    </w:p>
    <w:p w:rsidR="000B4C18" w:rsidRDefault="000B4C18" w:rsidP="000B4C18">
      <w:pPr>
        <w:rPr>
          <w:noProof/>
        </w:rPr>
      </w:pPr>
      <w:r>
        <w:rPr>
          <w:noProof/>
        </w:rPr>
        <w:t>Annex 9: Executive Summar</w:t>
      </w:r>
      <w:r w:rsidR="00CE029F">
        <w:rPr>
          <w:noProof/>
        </w:rPr>
        <w:t>y global GCCA evaluation</w:t>
      </w:r>
      <w:r w:rsidR="00CE029F">
        <w:rPr>
          <w:noProof/>
        </w:rPr>
        <w:tab/>
      </w:r>
      <w:r w:rsidR="00CE029F">
        <w:rPr>
          <w:noProof/>
        </w:rPr>
        <w:tab/>
      </w:r>
      <w:r w:rsidR="00CE029F">
        <w:rPr>
          <w:noProof/>
        </w:rPr>
        <w:tab/>
      </w:r>
      <w:r w:rsidR="00CE029F">
        <w:rPr>
          <w:noProof/>
        </w:rPr>
        <w:tab/>
      </w:r>
      <w:r w:rsidR="00CE029F">
        <w:rPr>
          <w:noProof/>
        </w:rPr>
        <w:tab/>
        <w:t>184</w:t>
      </w:r>
    </w:p>
    <w:p w:rsidR="000B4C18" w:rsidRDefault="000B4C18" w:rsidP="000B4C18">
      <w:pPr>
        <w:rPr>
          <w:noProof/>
        </w:rPr>
      </w:pPr>
      <w:r>
        <w:rPr>
          <w:noProof/>
        </w:rPr>
        <w:t>Annex 10:</w:t>
      </w:r>
      <w:r w:rsidR="00CE029F">
        <w:rPr>
          <w:noProof/>
        </w:rPr>
        <w:t xml:space="preserve"> One page DAC summary</w:t>
      </w:r>
      <w:r w:rsidR="00CE029F">
        <w:rPr>
          <w:noProof/>
        </w:rPr>
        <w:tab/>
      </w:r>
      <w:r w:rsidR="00CE029F">
        <w:rPr>
          <w:noProof/>
        </w:rPr>
        <w:tab/>
      </w:r>
      <w:r w:rsidR="00CE029F">
        <w:rPr>
          <w:noProof/>
        </w:rPr>
        <w:tab/>
      </w:r>
      <w:r w:rsidR="00CE029F">
        <w:rPr>
          <w:noProof/>
        </w:rPr>
        <w:tab/>
      </w:r>
      <w:r w:rsidR="00CE029F">
        <w:rPr>
          <w:noProof/>
        </w:rPr>
        <w:tab/>
      </w:r>
      <w:r w:rsidR="00CE029F">
        <w:rPr>
          <w:noProof/>
        </w:rPr>
        <w:tab/>
      </w:r>
      <w:r w:rsidR="00CE029F">
        <w:rPr>
          <w:noProof/>
        </w:rPr>
        <w:tab/>
      </w:r>
      <w:r w:rsidR="00CE029F">
        <w:rPr>
          <w:noProof/>
        </w:rPr>
        <w:tab/>
        <w:t>192</w:t>
      </w:r>
    </w:p>
    <w:p w:rsidR="00FB4FE6" w:rsidRPr="007A47D6" w:rsidRDefault="00FB4FE6" w:rsidP="007A47D6"/>
    <w:sectPr w:rsidR="00FB4FE6" w:rsidRPr="007A47D6" w:rsidSect="006E77ED">
      <w:pgSz w:w="11906" w:h="16838" w:code="9"/>
      <w:pgMar w:top="1387" w:right="1440" w:bottom="1080" w:left="1440" w:header="851" w:footer="851"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14" w:rsidRDefault="00E02E14" w:rsidP="002F55B4">
      <w:r>
        <w:separator/>
      </w:r>
    </w:p>
  </w:endnote>
  <w:endnote w:type="continuationSeparator" w:id="0">
    <w:p w:rsidR="00E02E14" w:rsidRDefault="00E02E14" w:rsidP="002F5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altName w:val="Lucida Console"/>
    <w:panose1 w:val="020B05030304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F3" w:rsidRPr="00E21A15" w:rsidRDefault="003066F3">
    <w:pPr>
      <w:pStyle w:val="Footer"/>
      <w:jc w:val="center"/>
      <w:rPr>
        <w:b/>
        <w:i/>
        <w:noProof/>
        <w:sz w:val="18"/>
        <w:lang w:val="en-US"/>
      </w:rPr>
    </w:pPr>
  </w:p>
  <w:p w:rsidR="003066F3" w:rsidRDefault="003066F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F3" w:rsidRPr="004138C5" w:rsidRDefault="003066F3" w:rsidP="001C74E5">
    <w:pPr>
      <w:pStyle w:val="Header"/>
    </w:pPr>
    <w:r>
      <w:tab/>
    </w:r>
    <w:fldSimple w:instr=" PAGE    \* MERGEFORMAT ">
      <w:r w:rsidR="00CE029F">
        <w:rPr>
          <w:noProof/>
        </w:rPr>
        <w:t>9</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14" w:rsidRDefault="00E02E14" w:rsidP="002F55B4">
      <w:r>
        <w:separator/>
      </w:r>
    </w:p>
  </w:footnote>
  <w:footnote w:type="continuationSeparator" w:id="0">
    <w:p w:rsidR="00E02E14" w:rsidRDefault="00E02E14" w:rsidP="002F55B4">
      <w:r>
        <w:continuationSeparator/>
      </w:r>
    </w:p>
  </w:footnote>
  <w:footnote w:id="1">
    <w:p w:rsidR="003066F3" w:rsidRPr="0035153B" w:rsidRDefault="003066F3">
      <w:pPr>
        <w:pStyle w:val="FootnoteText"/>
      </w:pPr>
      <w:r>
        <w:rPr>
          <w:rStyle w:val="FootnoteReference"/>
        </w:rPr>
        <w:footnoteRef/>
      </w:r>
      <w:r>
        <w:t xml:space="preserve"> </w:t>
      </w:r>
      <w:r>
        <w:rPr>
          <w:lang w:val="en-CA"/>
        </w:rPr>
        <w:t xml:space="preserve">Overall, the </w:t>
      </w:r>
      <w:proofErr w:type="spellStart"/>
      <w:r>
        <w:rPr>
          <w:lang w:val="en-CA"/>
        </w:rPr>
        <w:t>GCCA</w:t>
      </w:r>
      <w:proofErr w:type="spellEnd"/>
      <w:r>
        <w:rPr>
          <w:lang w:val="en-CA"/>
        </w:rPr>
        <w:t xml:space="preserve"> supports eight regional programmes </w:t>
      </w:r>
    </w:p>
  </w:footnote>
  <w:footnote w:id="2">
    <w:p w:rsidR="003066F3" w:rsidRPr="00BE375E" w:rsidRDefault="003066F3">
      <w:pPr>
        <w:pStyle w:val="FootnoteText"/>
      </w:pPr>
      <w:r>
        <w:rPr>
          <w:rStyle w:val="FootnoteReference"/>
        </w:rPr>
        <w:footnoteRef/>
      </w:r>
      <w:r>
        <w:t xml:space="preserve"> </w:t>
      </w:r>
      <w:r w:rsidRPr="00C936F5">
        <w:rPr>
          <w:rFonts w:cs="Arial"/>
        </w:rPr>
        <w:t xml:space="preserve">Forum of the Caribbean Group of the </w:t>
      </w:r>
      <w:proofErr w:type="spellStart"/>
      <w:r w:rsidRPr="00C936F5">
        <w:rPr>
          <w:rFonts w:cs="Arial"/>
        </w:rPr>
        <w:t>ACP</w:t>
      </w:r>
      <w:proofErr w:type="spellEnd"/>
      <w:r w:rsidRPr="00C936F5">
        <w:rPr>
          <w:rFonts w:cs="Arial"/>
        </w:rPr>
        <w:t xml:space="preserve"> States</w:t>
      </w:r>
      <w:r>
        <w:rPr>
          <w:rFonts w:cs="Arial"/>
        </w:rPr>
        <w:t xml:space="preserve"> </w:t>
      </w:r>
    </w:p>
  </w:footnote>
  <w:footnote w:id="3">
    <w:p w:rsidR="003066F3" w:rsidRPr="00B84C61" w:rsidRDefault="003066F3" w:rsidP="00AD1C0A">
      <w:pPr>
        <w:pStyle w:val="FootnoteText"/>
        <w:rPr>
          <w:lang w:val="en-CA"/>
        </w:rPr>
      </w:pPr>
      <w:r>
        <w:rPr>
          <w:rStyle w:val="FootnoteReference"/>
        </w:rPr>
        <w:footnoteRef/>
      </w:r>
      <w:r w:rsidRPr="0002498E">
        <w:rPr>
          <w:lang w:val="en-CA"/>
        </w:rPr>
        <w:t xml:space="preserve"> </w:t>
      </w:r>
      <w:r>
        <w:rPr>
          <w:lang w:val="en-CA"/>
        </w:rPr>
        <w:t>I</w:t>
      </w:r>
      <w:r w:rsidRPr="0002498E">
        <w:rPr>
          <w:lang w:val="en-CA"/>
        </w:rPr>
        <w:t xml:space="preserve">n </w:t>
      </w:r>
      <w:r>
        <w:rPr>
          <w:lang w:val="en-CA"/>
        </w:rPr>
        <w:t xml:space="preserve">all of </w:t>
      </w:r>
      <w:r w:rsidRPr="0002498E">
        <w:rPr>
          <w:lang w:val="en-CA"/>
        </w:rPr>
        <w:t xml:space="preserve">the three </w:t>
      </w:r>
      <w:proofErr w:type="spellStart"/>
      <w:r w:rsidRPr="0002498E">
        <w:rPr>
          <w:lang w:val="en-CA"/>
        </w:rPr>
        <w:t>RECs</w:t>
      </w:r>
      <w:proofErr w:type="spellEnd"/>
      <w:r>
        <w:rPr>
          <w:lang w:val="en-CA"/>
        </w:rPr>
        <w:t>, a major setback were</w:t>
      </w:r>
      <w:r w:rsidRPr="0002498E">
        <w:rPr>
          <w:lang w:val="en-CA"/>
        </w:rPr>
        <w:t xml:space="preserve"> enormous delays in hiring staff due to administrative procedu</w:t>
      </w:r>
      <w:r>
        <w:rPr>
          <w:lang w:val="en-CA"/>
        </w:rPr>
        <w:t xml:space="preserve">res </w:t>
      </w:r>
    </w:p>
  </w:footnote>
  <w:footnote w:id="4">
    <w:p w:rsidR="003066F3" w:rsidRDefault="003066F3" w:rsidP="00231F1A">
      <w:pPr>
        <w:pStyle w:val="FootnoteText"/>
        <w:rPr>
          <w:lang w:val="en-US"/>
        </w:rPr>
      </w:pPr>
      <w:r>
        <w:rPr>
          <w:rStyle w:val="FootnoteReference"/>
        </w:rPr>
        <w:footnoteRef/>
      </w:r>
      <w:r>
        <w:t xml:space="preserve"> Least Developed Countries (</w:t>
      </w:r>
      <w:proofErr w:type="spellStart"/>
      <w:r>
        <w:t>LDCs</w:t>
      </w:r>
      <w:proofErr w:type="spellEnd"/>
      <w:r>
        <w:t>) and Small Island Developing States (SIDS).</w:t>
      </w:r>
    </w:p>
  </w:footnote>
  <w:footnote w:id="5">
    <w:p w:rsidR="003066F3" w:rsidRDefault="003066F3" w:rsidP="00C74D2B">
      <w:pPr>
        <w:pStyle w:val="FootnoteText"/>
      </w:pPr>
      <w:r>
        <w:rPr>
          <w:rStyle w:val="FootnoteReference"/>
        </w:rPr>
        <w:footnoteRef/>
      </w:r>
      <w:r>
        <w:t xml:space="preserve"> Ireland, Sweden, Estonia, Cyprus and the Czech Republic</w:t>
      </w:r>
    </w:p>
  </w:footnote>
  <w:footnote w:id="6">
    <w:p w:rsidR="003066F3" w:rsidRDefault="003066F3" w:rsidP="008B4A5F">
      <w:pPr>
        <w:pStyle w:val="FootnoteText"/>
      </w:pPr>
      <w:r>
        <w:rPr>
          <w:rStyle w:val="FootnoteReference"/>
        </w:rPr>
        <w:footnoteRef/>
      </w:r>
      <w:r>
        <w:t xml:space="preserve"> The term ‘</w:t>
      </w:r>
      <w:r w:rsidRPr="004D1C8D">
        <w:t>poor developing countries most vulnerable to climate change</w:t>
      </w:r>
      <w:r>
        <w:t>’</w:t>
      </w:r>
      <w:r w:rsidRPr="004D1C8D">
        <w:t xml:space="preserve"> </w:t>
      </w:r>
      <w:r>
        <w:t xml:space="preserve">comes from the </w:t>
      </w:r>
      <w:proofErr w:type="spellStart"/>
      <w:r>
        <w:t>GCCA</w:t>
      </w:r>
      <w:proofErr w:type="spellEnd"/>
      <w:r>
        <w:t xml:space="preserve"> objective as stated in </w:t>
      </w:r>
      <w:r w:rsidRPr="004D1C8D">
        <w:t>Communication from the Commission to the Coun</w:t>
      </w:r>
      <w:r>
        <w:t>cil and the European Parliament on Building a Gl</w:t>
      </w:r>
      <w:r>
        <w:t>o</w:t>
      </w:r>
      <w:r>
        <w:t>bal Climate Change Alliance between the European Union and poor developing countries most vulnerable to climate change</w:t>
      </w:r>
      <w:r w:rsidRPr="00C81BBF">
        <w:t xml:space="preserve"> </w:t>
      </w:r>
      <w:r>
        <w:t>(</w:t>
      </w:r>
      <w:r w:rsidRPr="004D1C8D">
        <w:t>EC</w:t>
      </w:r>
      <w:r>
        <w:t>,</w:t>
      </w:r>
      <w:r w:rsidRPr="004D1C8D">
        <w:t xml:space="preserve"> 2007</w:t>
      </w:r>
      <w:r>
        <w:t>)</w:t>
      </w:r>
      <w:r w:rsidRPr="004D1C8D">
        <w:t>.</w:t>
      </w:r>
      <w:r>
        <w:t xml:space="preserve"> It refers to those </w:t>
      </w:r>
      <w:r w:rsidRPr="004D1C8D">
        <w:t>Least Developed Countries (</w:t>
      </w:r>
      <w:proofErr w:type="spellStart"/>
      <w:r w:rsidRPr="004D1C8D">
        <w:t>LDCs</w:t>
      </w:r>
      <w:proofErr w:type="spellEnd"/>
      <w:r w:rsidRPr="004D1C8D">
        <w:t>) and Small Island Develop</w:t>
      </w:r>
      <w:r>
        <w:t>ing States (SIDS) most vulnerable to climate change</w:t>
      </w:r>
    </w:p>
    <w:p w:rsidR="003066F3" w:rsidRPr="004D1C8D" w:rsidRDefault="003066F3" w:rsidP="008B4A5F">
      <w:pPr>
        <w:pStyle w:val="FootnoteText"/>
      </w:pPr>
    </w:p>
  </w:footnote>
  <w:footnote w:id="7">
    <w:p w:rsidR="003066F3" w:rsidRPr="005B3F38" w:rsidRDefault="003066F3" w:rsidP="00957644">
      <w:pPr>
        <w:pStyle w:val="FootnoteText"/>
        <w:rPr>
          <w:lang w:val="en-US"/>
        </w:rPr>
      </w:pPr>
      <w:r w:rsidRPr="005B3F38">
        <w:rPr>
          <w:rStyle w:val="FootnoteReference"/>
        </w:rPr>
        <w:footnoteRef/>
      </w:r>
      <w:r w:rsidRPr="005B3F38">
        <w:t xml:space="preserve"> </w:t>
      </w:r>
      <w:hyperlink r:id="rId1" w:history="1">
        <w:r w:rsidRPr="00D0282C">
          <w:rPr>
            <w:rStyle w:val="Hyperlink"/>
          </w:rPr>
          <w:t>http://www.climatechange2014.org/</w:t>
        </w:r>
      </w:hyperlink>
      <w:r>
        <w:t xml:space="preserve"> </w:t>
      </w:r>
    </w:p>
  </w:footnote>
  <w:footnote w:id="8">
    <w:p w:rsidR="003066F3" w:rsidRPr="005B3F38" w:rsidRDefault="003066F3" w:rsidP="00960D75">
      <w:pPr>
        <w:pStyle w:val="FootnoteText"/>
      </w:pPr>
      <w:r w:rsidRPr="005B3F38">
        <w:rPr>
          <w:rStyle w:val="FootnoteReference"/>
        </w:rPr>
        <w:footnoteRef/>
      </w:r>
      <w:hyperlink r:id="rId2" w:history="1">
        <w:r w:rsidRPr="005B3F38">
          <w:rPr>
            <w:rStyle w:val="Hyperlink"/>
          </w:rPr>
          <w:t>http://www.bvsde.paho.org/bvsacd/cd68/ClimAfrica.pdf</w:t>
        </w:r>
      </w:hyperlink>
      <w:r>
        <w:t xml:space="preserve"> </w:t>
      </w:r>
      <w:r w:rsidRPr="005B3F38">
        <w:rPr>
          <w:lang w:val="en-CA"/>
        </w:rPr>
        <w:t>Climate Change in Eastern and Southern Africa</w:t>
      </w:r>
      <w:r>
        <w:rPr>
          <w:lang w:val="en-CA"/>
        </w:rPr>
        <w:t>.</w:t>
      </w:r>
      <w:r w:rsidRPr="005B3F38">
        <w:rPr>
          <w:lang w:val="en-CA"/>
        </w:rPr>
        <w:t xml:space="preserve"> </w:t>
      </w:r>
      <w:r w:rsidRPr="005B3F38">
        <w:rPr>
          <w:lang w:val="en-CA"/>
        </w:rPr>
        <w:t xml:space="preserve">Impacts, Vulnerability and Adaptation, Department of Sociology and Human Geography, University of Oslo (2008) </w:t>
      </w:r>
    </w:p>
  </w:footnote>
  <w:footnote w:id="9">
    <w:p w:rsidR="003066F3" w:rsidRPr="005B3F38" w:rsidRDefault="003066F3">
      <w:pPr>
        <w:pStyle w:val="FootnoteText"/>
        <w:rPr>
          <w:lang w:val="en-CA"/>
        </w:rPr>
      </w:pPr>
      <w:r w:rsidRPr="005B3F38">
        <w:rPr>
          <w:rStyle w:val="FootnoteReference"/>
        </w:rPr>
        <w:footnoteRef/>
      </w:r>
      <w:hyperlink r:id="rId3" w:history="1">
        <w:r w:rsidRPr="00D0282C">
          <w:rPr>
            <w:rStyle w:val="Hyperlink"/>
          </w:rPr>
          <w:t>http://www.unep.org/disastersandconflicts/Introduction/EnvironmentalCooperationforPeacebuilding/EnvironmentalDiplomacy/SahelReport/tabid/55812/Default.aspx</w:t>
        </w:r>
      </w:hyperlink>
      <w:r>
        <w:t xml:space="preserve"> </w:t>
      </w:r>
    </w:p>
  </w:footnote>
  <w:footnote w:id="10">
    <w:p w:rsidR="003066F3" w:rsidRPr="009B6298" w:rsidRDefault="003066F3">
      <w:pPr>
        <w:pStyle w:val="FootnoteText"/>
      </w:pPr>
      <w:r>
        <w:rPr>
          <w:rStyle w:val="FootnoteReference"/>
        </w:rPr>
        <w:footnoteRef/>
      </w:r>
      <w:r>
        <w:t xml:space="preserve"> </w:t>
      </w:r>
      <w:r w:rsidRPr="009B6298">
        <w:rPr>
          <w:lang w:val="en-US"/>
        </w:rPr>
        <w:t>The Forum of the Caribb</w:t>
      </w:r>
      <w:r>
        <w:rPr>
          <w:lang w:val="en-US"/>
        </w:rPr>
        <w:t xml:space="preserve">ean Group of the </w:t>
      </w:r>
      <w:proofErr w:type="spellStart"/>
      <w:r>
        <w:rPr>
          <w:lang w:val="en-US"/>
        </w:rPr>
        <w:t>ACP</w:t>
      </w:r>
      <w:proofErr w:type="spellEnd"/>
      <w:r w:rsidRPr="009B6298">
        <w:rPr>
          <w:lang w:val="en-US"/>
        </w:rPr>
        <w:t xml:space="preserve"> States (</w:t>
      </w:r>
      <w:proofErr w:type="spellStart"/>
      <w:r w:rsidRPr="009B6298">
        <w:rPr>
          <w:lang w:val="en-US"/>
        </w:rPr>
        <w:t>CARIFORUM</w:t>
      </w:r>
      <w:proofErr w:type="spellEnd"/>
      <w:r w:rsidRPr="009B6298">
        <w:rPr>
          <w:lang w:val="en-US"/>
        </w:rPr>
        <w:t xml:space="preserve">) is the body that comprises Caribbean </w:t>
      </w:r>
      <w:proofErr w:type="spellStart"/>
      <w:r w:rsidRPr="009B6298">
        <w:rPr>
          <w:lang w:val="en-US"/>
        </w:rPr>
        <w:t>ACP</w:t>
      </w:r>
      <w:proofErr w:type="spellEnd"/>
      <w:r w:rsidRPr="009B6298">
        <w:rPr>
          <w:lang w:val="en-US"/>
        </w:rPr>
        <w:t xml:space="preserve"> States for the purpose of promoting and coordinating policy dialogue, cooperation and regional integration, mainly within the framework of the </w:t>
      </w:r>
      <w:hyperlink r:id="rId4" w:history="1">
        <w:proofErr w:type="spellStart"/>
        <w:r w:rsidRPr="009B6298">
          <w:rPr>
            <w:rStyle w:val="Hyperlink"/>
            <w:lang w:val="en-US"/>
          </w:rPr>
          <w:t>Cotonou</w:t>
        </w:r>
        <w:proofErr w:type="spellEnd"/>
        <w:r w:rsidRPr="009B6298">
          <w:rPr>
            <w:rStyle w:val="Hyperlink"/>
            <w:lang w:val="en-US"/>
          </w:rPr>
          <w:t xml:space="preserve"> Agreement between the </w:t>
        </w:r>
        <w:proofErr w:type="spellStart"/>
        <w:r w:rsidRPr="009B6298">
          <w:rPr>
            <w:rStyle w:val="Hyperlink"/>
            <w:lang w:val="en-US"/>
          </w:rPr>
          <w:t>ACP</w:t>
        </w:r>
        <w:proofErr w:type="spellEnd"/>
      </w:hyperlink>
      <w:r>
        <w:rPr>
          <w:lang w:val="en-US"/>
        </w:rPr>
        <w:t xml:space="preserve"> and </w:t>
      </w:r>
      <w:proofErr w:type="spellStart"/>
      <w:r>
        <w:rPr>
          <w:lang w:val="en-US"/>
        </w:rPr>
        <w:t>tEU</w:t>
      </w:r>
      <w:proofErr w:type="spellEnd"/>
      <w:r w:rsidRPr="009B6298">
        <w:rPr>
          <w:lang w:val="en-US"/>
        </w:rPr>
        <w:t xml:space="preserve"> and also the </w:t>
      </w:r>
      <w:hyperlink r:id="rId5" w:history="1">
        <w:r w:rsidRPr="009B6298">
          <w:rPr>
            <w:rStyle w:val="Hyperlink"/>
            <w:lang w:val="en-US"/>
          </w:rPr>
          <w:t>CARIFORUM-European Community Economic Partnership Agreement (EPA).</w:t>
        </w:r>
      </w:hyperlink>
      <w:r w:rsidRPr="009B6298">
        <w:rPr>
          <w:lang w:val="en-US"/>
        </w:rPr>
        <w:t xml:space="preserve"> The </w:t>
      </w:r>
      <w:hyperlink r:id="rId6" w:history="1">
        <w:r w:rsidRPr="009B6298">
          <w:rPr>
            <w:rStyle w:val="Hyperlink"/>
            <w:lang w:val="en-US"/>
          </w:rPr>
          <w:t>EPA Implementation Unit</w:t>
        </w:r>
      </w:hyperlink>
      <w:r w:rsidRPr="009B6298">
        <w:rPr>
          <w:lang w:val="en-US"/>
        </w:rPr>
        <w:t xml:space="preserve"> is subsumed under the CARIFORUM Directorate at the Headquarters of the CARICOM Secretariat.</w:t>
      </w:r>
    </w:p>
  </w:footnote>
  <w:footnote w:id="11">
    <w:p w:rsidR="003066F3" w:rsidRPr="009D3DDE" w:rsidRDefault="003066F3">
      <w:pPr>
        <w:pStyle w:val="FootnoteText"/>
      </w:pPr>
      <w:r>
        <w:rPr>
          <w:rStyle w:val="FootnoteReference"/>
        </w:rPr>
        <w:footnoteRef/>
      </w:r>
      <w:r>
        <w:t xml:space="preserve"> </w:t>
      </w:r>
      <w:r>
        <w:rPr>
          <w:lang w:val="en-CA"/>
        </w:rPr>
        <w:t>A concern was that since three donors (EU, Department for International Development (</w:t>
      </w:r>
      <w:r w:rsidRPr="00B733E4">
        <w:rPr>
          <w:lang w:val="en-CA"/>
        </w:rPr>
        <w:t>DFID</w:t>
      </w:r>
      <w:r>
        <w:rPr>
          <w:lang w:val="en-CA"/>
        </w:rPr>
        <w:t>)</w:t>
      </w:r>
      <w:r w:rsidRPr="00B733E4">
        <w:rPr>
          <w:lang w:val="en-CA"/>
        </w:rPr>
        <w:t xml:space="preserve"> and Norway) began their support for the Pro</w:t>
      </w:r>
      <w:r>
        <w:rPr>
          <w:lang w:val="en-CA"/>
        </w:rPr>
        <w:t xml:space="preserve">gramme at different times; </w:t>
      </w:r>
      <w:r w:rsidRPr="00B733E4">
        <w:rPr>
          <w:lang w:val="en-CA"/>
        </w:rPr>
        <w:t>additional reporting requirements</w:t>
      </w:r>
      <w:r>
        <w:rPr>
          <w:lang w:val="en-CA"/>
        </w:rPr>
        <w:t xml:space="preserve"> were created</w:t>
      </w:r>
      <w:r w:rsidRPr="00B733E4">
        <w:rPr>
          <w:lang w:val="en-CA"/>
        </w:rPr>
        <w:t>.</w:t>
      </w:r>
    </w:p>
  </w:footnote>
  <w:footnote w:id="12">
    <w:p w:rsidR="00AD5369" w:rsidRPr="00AD5369" w:rsidRDefault="00AD5369" w:rsidP="00AD5369">
      <w:pPr>
        <w:widowControl w:val="0"/>
        <w:spacing w:after="0" w:line="240" w:lineRule="auto"/>
        <w:ind w:right="57"/>
        <w:contextualSpacing/>
        <w:rPr>
          <w:sz w:val="20"/>
          <w:lang w:val="en-CA"/>
        </w:rPr>
      </w:pPr>
      <w:r w:rsidRPr="00381459">
        <w:rPr>
          <w:rStyle w:val="FootnoteReference"/>
          <w:sz w:val="20"/>
        </w:rPr>
        <w:footnoteRef/>
      </w:r>
      <w:r w:rsidRPr="00381459">
        <w:rPr>
          <w:sz w:val="20"/>
        </w:rPr>
        <w:t xml:space="preserve"> </w:t>
      </w:r>
      <w:r w:rsidRPr="00381459">
        <w:rPr>
          <w:sz w:val="20"/>
          <w:lang w:val="en-CA"/>
        </w:rPr>
        <w:t xml:space="preserve">The ToR for the Intra-ACP GCCA programme evaluation specifies that </w:t>
      </w:r>
      <w:r w:rsidRPr="00381459">
        <w:rPr>
          <w:i/>
          <w:sz w:val="20"/>
          <w:lang w:val="en-CA"/>
        </w:rPr>
        <w:t>‘the Agreement at completion point (of around 5 pages) will be specific for the Intra ACP GCCA programme and will summarize the conclusions and recommendations shared by the European Commission and the ACP Secretariat. It will take the main recommendations from the final evaluation report, one by one, and clearly indicate the concrete measures that will be deployed to implement them’</w:t>
      </w:r>
      <w:r w:rsidRPr="00381459">
        <w:rPr>
          <w:sz w:val="20"/>
          <w:lang w:val="en-CA"/>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F3" w:rsidRDefault="003066F3" w:rsidP="002E7FEC">
    <w:pPr>
      <w:pStyle w:val="Header"/>
      <w:tabs>
        <w:tab w:val="clear" w:pos="9360"/>
        <w:tab w:val="left" w:pos="9045"/>
      </w:tabs>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15D"/>
    <w:multiLevelType w:val="hybridMultilevel"/>
    <w:tmpl w:val="E864EC22"/>
    <w:lvl w:ilvl="0" w:tplc="5388E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B5F7B"/>
    <w:multiLevelType w:val="multilevel"/>
    <w:tmpl w:val="C268C432"/>
    <w:lvl w:ilvl="0">
      <w:start w:val="2"/>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303773"/>
    <w:multiLevelType w:val="hybridMultilevel"/>
    <w:tmpl w:val="FFAE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51BD1"/>
    <w:multiLevelType w:val="hybridMultilevel"/>
    <w:tmpl w:val="11C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462C6"/>
    <w:multiLevelType w:val="hybridMultilevel"/>
    <w:tmpl w:val="CC684C94"/>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8A38F7"/>
    <w:multiLevelType w:val="hybridMultilevel"/>
    <w:tmpl w:val="71DC5F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42992"/>
    <w:multiLevelType w:val="hybridMultilevel"/>
    <w:tmpl w:val="12F6E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AA90826"/>
    <w:multiLevelType w:val="hybridMultilevel"/>
    <w:tmpl w:val="FB243918"/>
    <w:lvl w:ilvl="0" w:tplc="3B6CF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049AC"/>
    <w:multiLevelType w:val="hybridMultilevel"/>
    <w:tmpl w:val="3C760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42A14"/>
    <w:multiLevelType w:val="hybridMultilevel"/>
    <w:tmpl w:val="F5D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212A7"/>
    <w:multiLevelType w:val="hybridMultilevel"/>
    <w:tmpl w:val="9DC05854"/>
    <w:lvl w:ilvl="0" w:tplc="86A0EEEC">
      <w:start w:val="1"/>
      <w:numFmt w:val="bullet"/>
      <w:pStyle w:val="reportbullets"/>
      <w:lvlText w:val=""/>
      <w:lvlJc w:val="left"/>
      <w:pPr>
        <w:tabs>
          <w:tab w:val="num" w:pos="360"/>
        </w:tabs>
        <w:ind w:left="180" w:hanging="180"/>
      </w:pPr>
      <w:rPr>
        <w:rFonts w:ascii="Symbol" w:hAnsi="Symbol" w:cs="Times New Roman" w:hint="default"/>
      </w:rPr>
    </w:lvl>
    <w:lvl w:ilvl="1" w:tplc="04090003">
      <w:start w:val="1"/>
      <w:numFmt w:val="bullet"/>
      <w:lvlText w:val="o"/>
      <w:lvlJc w:val="left"/>
      <w:pPr>
        <w:tabs>
          <w:tab w:val="num" w:pos="1440"/>
        </w:tabs>
        <w:ind w:left="1440" w:hanging="360"/>
      </w:pPr>
      <w:rPr>
        <w:rFonts w:ascii="Courier" w:hAnsi="Courier" w:cs="Times New Roman" w:hint="default"/>
      </w:rPr>
    </w:lvl>
    <w:lvl w:ilvl="2" w:tplc="04090005">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w:hAnsi="Courier" w:cs="Times New Roman" w:hint="default"/>
      </w:rPr>
    </w:lvl>
    <w:lvl w:ilvl="5" w:tplc="04090005">
      <w:start w:val="1"/>
      <w:numFmt w:val="bullet"/>
      <w:lvlText w:val=""/>
      <w:lvlJc w:val="left"/>
      <w:pPr>
        <w:tabs>
          <w:tab w:val="num" w:pos="4320"/>
        </w:tabs>
        <w:ind w:left="4320" w:hanging="360"/>
      </w:pPr>
      <w:rPr>
        <w:rFonts w:ascii="Symbol" w:hAnsi="Symbol"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w:hAnsi="Courier" w:cs="Times New Roman" w:hint="default"/>
      </w:rPr>
    </w:lvl>
    <w:lvl w:ilvl="8" w:tplc="04090005">
      <w:start w:val="1"/>
      <w:numFmt w:val="bullet"/>
      <w:lvlText w:val=""/>
      <w:lvlJc w:val="left"/>
      <w:pPr>
        <w:tabs>
          <w:tab w:val="num" w:pos="6480"/>
        </w:tabs>
        <w:ind w:left="6480" w:hanging="360"/>
      </w:pPr>
      <w:rPr>
        <w:rFonts w:ascii="Symbol" w:hAnsi="Symbol" w:cs="Times New Roman" w:hint="default"/>
      </w:rPr>
    </w:lvl>
  </w:abstractNum>
  <w:abstractNum w:abstractNumId="11">
    <w:nsid w:val="20D53850"/>
    <w:multiLevelType w:val="multilevel"/>
    <w:tmpl w:val="14766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3006689"/>
    <w:multiLevelType w:val="hybridMultilevel"/>
    <w:tmpl w:val="098E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E2FBC"/>
    <w:multiLevelType w:val="hybridMultilevel"/>
    <w:tmpl w:val="ACA6FD1A"/>
    <w:lvl w:ilvl="0" w:tplc="515CAD1A">
      <w:start w:val="1"/>
      <w:numFmt w:val="bullet"/>
      <w:lvlText w:val=""/>
      <w:lvlJc w:val="left"/>
      <w:pPr>
        <w:ind w:left="720" w:hanging="360"/>
      </w:pPr>
      <w:rPr>
        <w:rFonts w:ascii="Symbol" w:hAnsi="Symbol" w:hint="default"/>
        <w:lang w:val="en-AU"/>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679A5"/>
    <w:multiLevelType w:val="hybridMultilevel"/>
    <w:tmpl w:val="36E65CF0"/>
    <w:lvl w:ilvl="0" w:tplc="411644D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75308"/>
    <w:multiLevelType w:val="hybridMultilevel"/>
    <w:tmpl w:val="32E8609E"/>
    <w:lvl w:ilvl="0" w:tplc="5BF42094">
      <w:numFmt w:val="bullet"/>
      <w:lvlText w:val="-"/>
      <w:lvlJc w:val="left"/>
      <w:pPr>
        <w:ind w:left="927"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AD1443"/>
    <w:multiLevelType w:val="multilevel"/>
    <w:tmpl w:val="27D0CCEA"/>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48B7CCA"/>
    <w:multiLevelType w:val="multilevel"/>
    <w:tmpl w:val="574428E6"/>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5BE72EF"/>
    <w:multiLevelType w:val="hybridMultilevel"/>
    <w:tmpl w:val="EAF677D2"/>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21">
    <w:nsid w:val="3E644051"/>
    <w:multiLevelType w:val="hybridMultilevel"/>
    <w:tmpl w:val="7A36F0AA"/>
    <w:lvl w:ilvl="0" w:tplc="60E46364">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FA66AC"/>
    <w:multiLevelType w:val="hybridMultilevel"/>
    <w:tmpl w:val="AB242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80E784B"/>
    <w:multiLevelType w:val="hybridMultilevel"/>
    <w:tmpl w:val="40AA4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AA3F85"/>
    <w:multiLevelType w:val="hybridMultilevel"/>
    <w:tmpl w:val="A0E638BA"/>
    <w:lvl w:ilvl="0" w:tplc="E3EC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B6BF5"/>
    <w:multiLevelType w:val="hybridMultilevel"/>
    <w:tmpl w:val="7FBA6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503E8"/>
    <w:multiLevelType w:val="hybridMultilevel"/>
    <w:tmpl w:val="991C4A1C"/>
    <w:lvl w:ilvl="0" w:tplc="9438CAA4">
      <w:start w:val="1"/>
      <w:numFmt w:val="bullet"/>
      <w:lvlText w:val=""/>
      <w:lvlJc w:val="left"/>
      <w:pPr>
        <w:ind w:left="360" w:hanging="360"/>
      </w:pPr>
      <w:rPr>
        <w:rFonts w:ascii="Symbol" w:hAnsi="Symbol" w:hint="default"/>
        <w:lang w:val="en-CA"/>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CB7918"/>
    <w:multiLevelType w:val="hybridMultilevel"/>
    <w:tmpl w:val="CB18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942D5"/>
    <w:multiLevelType w:val="hybridMultilevel"/>
    <w:tmpl w:val="9DE6FC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A762E"/>
    <w:multiLevelType w:val="hybridMultilevel"/>
    <w:tmpl w:val="3C82D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B4070CF"/>
    <w:multiLevelType w:val="multilevel"/>
    <w:tmpl w:val="5590DB6A"/>
    <w:styleLink w:val="StyleNumbered"/>
    <w:lvl w:ilvl="0">
      <w:start w:val="1"/>
      <w:numFmt w:val="decimal"/>
      <w:lvlText w:val="%1)"/>
      <w:lvlJc w:val="left"/>
      <w:pPr>
        <w:tabs>
          <w:tab w:val="num" w:pos="794"/>
        </w:tabs>
        <w:ind w:left="794" w:hanging="397"/>
      </w:pPr>
      <w:rPr>
        <w:rFonts w:ascii="Arial" w:hAnsi="Arial" w:cs="Arial" w:hint="default"/>
        <w:sz w:val="22"/>
        <w:szCs w:val="22"/>
      </w:rPr>
    </w:lvl>
    <w:lvl w:ilvl="1">
      <w:start w:val="1"/>
      <w:numFmt w:val="lowerLetter"/>
      <w:lvlText w:val="%2."/>
      <w:lvlJc w:val="left"/>
      <w:pPr>
        <w:tabs>
          <w:tab w:val="num" w:pos="1191"/>
        </w:tabs>
        <w:ind w:left="1191" w:hanging="397"/>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32">
    <w:nsid w:val="5F1503F6"/>
    <w:multiLevelType w:val="hybridMultilevel"/>
    <w:tmpl w:val="6C3A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D360F"/>
    <w:multiLevelType w:val="multilevel"/>
    <w:tmpl w:val="DD1C18B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7B5595B"/>
    <w:multiLevelType w:val="hybridMultilevel"/>
    <w:tmpl w:val="76DA093C"/>
    <w:lvl w:ilvl="0" w:tplc="04090003">
      <w:start w:val="1"/>
      <w:numFmt w:val="bullet"/>
      <w:lvlText w:val="o"/>
      <w:lvlJc w:val="left"/>
      <w:pPr>
        <w:ind w:left="720" w:hanging="360"/>
      </w:pPr>
      <w:rPr>
        <w:rFonts w:ascii="Courier New" w:hAnsi="Courier New"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97F7C79"/>
    <w:multiLevelType w:val="hybridMultilevel"/>
    <w:tmpl w:val="EAF677D2"/>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3700EB"/>
    <w:multiLevelType w:val="hybridMultilevel"/>
    <w:tmpl w:val="09D227BE"/>
    <w:lvl w:ilvl="0" w:tplc="C720B10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7">
    <w:nsid w:val="6AC85371"/>
    <w:multiLevelType w:val="hybridMultilevel"/>
    <w:tmpl w:val="85129C42"/>
    <w:lvl w:ilvl="0" w:tplc="5DC0FF82">
      <w:start w:val="1"/>
      <w:numFmt w:val="lowerRoman"/>
      <w:pStyle w:val="reportromannumberlist"/>
      <w:lvlText w:val="%1."/>
      <w:lvlJc w:val="left"/>
      <w:pPr>
        <w:tabs>
          <w:tab w:val="num" w:pos="360"/>
        </w:tabs>
      </w:pPr>
      <w:rPr>
        <w:rFonts w:ascii="Times New Roman" w:hAnsi="Times New Roman" w:cs="Times New Roman" w:hint="default"/>
        <w:b w:val="0"/>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E4B7E35"/>
    <w:multiLevelType w:val="hybridMultilevel"/>
    <w:tmpl w:val="53320304"/>
    <w:lvl w:ilvl="0" w:tplc="2610AC1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2070C"/>
    <w:multiLevelType w:val="hybridMultilevel"/>
    <w:tmpl w:val="13560DF4"/>
    <w:lvl w:ilvl="0" w:tplc="97A64652">
      <w:start w:val="1"/>
      <w:numFmt w:val="lowerRoman"/>
      <w:lvlText w:val="%1."/>
      <w:lvlJc w:val="right"/>
      <w:pPr>
        <w:ind w:left="720" w:hanging="360"/>
      </w:pPr>
      <w:rPr>
        <w:b w:val="0"/>
        <w:i w:val="0"/>
        <w:caps w:val="0"/>
        <w:strike w:val="0"/>
        <w:dstrike w:val="0"/>
        <w:vanish w:val="0"/>
        <w:webHidden w:val="0"/>
        <w:color w:val="000000"/>
        <w:sz w:val="24"/>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nsid w:val="76167302"/>
    <w:multiLevelType w:val="hybridMultilevel"/>
    <w:tmpl w:val="53E6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54AC7"/>
    <w:multiLevelType w:val="hybridMultilevel"/>
    <w:tmpl w:val="F2E029B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C72BE0"/>
    <w:multiLevelType w:val="multilevel"/>
    <w:tmpl w:val="7A6856A2"/>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BBF1B81"/>
    <w:multiLevelType w:val="hybridMultilevel"/>
    <w:tmpl w:val="2B00149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83BD8"/>
    <w:multiLevelType w:val="multilevel"/>
    <w:tmpl w:val="13644608"/>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7"/>
  </w:num>
  <w:num w:numId="2">
    <w:abstractNumId w:val="33"/>
  </w:num>
  <w:num w:numId="3">
    <w:abstractNumId w:val="10"/>
  </w:num>
  <w:num w:numId="4">
    <w:abstractNumId w:val="20"/>
  </w:num>
  <w:num w:numId="5">
    <w:abstractNumId w:val="12"/>
  </w:num>
  <w:num w:numId="6">
    <w:abstractNumId w:val="31"/>
  </w:num>
  <w:num w:numId="7">
    <w:abstractNumId w:val="26"/>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4"/>
    </w:lvlOverride>
    <w:lvlOverride w:ilvl="1">
      <w:startOverride w:val="1"/>
    </w:lvlOverride>
  </w:num>
  <w:num w:numId="10">
    <w:abstractNumId w:val="44"/>
  </w:num>
  <w:num w:numId="11">
    <w:abstractNumId w:val="1"/>
  </w:num>
  <w:num w:numId="12">
    <w:abstractNumId w:val="18"/>
  </w:num>
  <w:num w:numId="13">
    <w:abstractNumId w:val="11"/>
  </w:num>
  <w:num w:numId="14">
    <w:abstractNumId w:val="22"/>
  </w:num>
  <w:num w:numId="15">
    <w:abstractNumId w:val="30"/>
  </w:num>
  <w:num w:numId="16">
    <w:abstractNumId w:val="43"/>
  </w:num>
  <w:num w:numId="17">
    <w:abstractNumId w:val="14"/>
  </w:num>
  <w:num w:numId="18">
    <w:abstractNumId w:val="15"/>
  </w:num>
  <w:num w:numId="19">
    <w:abstractNumId w:val="29"/>
  </w:num>
  <w:num w:numId="20">
    <w:abstractNumId w:val="27"/>
  </w:num>
  <w:num w:numId="21">
    <w:abstractNumId w:val="32"/>
  </w:num>
  <w:num w:numId="22">
    <w:abstractNumId w:val="24"/>
  </w:num>
  <w:num w:numId="23">
    <w:abstractNumId w:val="3"/>
  </w:num>
  <w:num w:numId="24">
    <w:abstractNumId w:val="2"/>
  </w:num>
  <w:num w:numId="25">
    <w:abstractNumId w:val="9"/>
  </w:num>
  <w:num w:numId="26">
    <w:abstractNumId w:val="41"/>
  </w:num>
  <w:num w:numId="27">
    <w:abstractNumId w:val="6"/>
  </w:num>
  <w:num w:numId="28">
    <w:abstractNumId w:val="5"/>
  </w:num>
  <w:num w:numId="29">
    <w:abstractNumId w:val="28"/>
  </w:num>
  <w:num w:numId="30">
    <w:abstractNumId w:val="34"/>
  </w:num>
  <w:num w:numId="31">
    <w:abstractNumId w:val="40"/>
  </w:num>
  <w:num w:numId="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
  </w:num>
  <w:num w:numId="35">
    <w:abstractNumId w:val="35"/>
  </w:num>
  <w:num w:numId="36">
    <w:abstractNumId w:val="7"/>
  </w:num>
  <w:num w:numId="37">
    <w:abstractNumId w:val="19"/>
  </w:num>
  <w:num w:numId="38">
    <w:abstractNumId w:val="0"/>
  </w:num>
  <w:num w:numId="39">
    <w:abstractNumId w:val="25"/>
  </w:num>
  <w:num w:numId="40">
    <w:abstractNumId w:val="8"/>
  </w:num>
  <w:num w:numId="41">
    <w:abstractNumId w:val="38"/>
  </w:num>
  <w:num w:numId="42">
    <w:abstractNumId w:val="13"/>
  </w:num>
  <w:num w:numId="43">
    <w:abstractNumId w:val="1"/>
  </w:num>
  <w:num w:numId="44">
    <w:abstractNumId w:val="1"/>
  </w:num>
  <w:num w:numId="45">
    <w:abstractNumId w:val="42"/>
  </w:num>
  <w:num w:numId="46">
    <w:abstractNumId w:val="1"/>
  </w:num>
  <w:num w:numId="47">
    <w:abstractNumId w:val="21"/>
  </w:num>
  <w:num w:numId="48">
    <w:abstractNumId w:val="17"/>
  </w:num>
  <w:num w:numId="49">
    <w:abstractNumId w:val="16"/>
  </w:num>
  <w:num w:numId="50">
    <w:abstractNumId w:val="3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doNotTrackMoves/>
  <w:defaultTabStop w:val="72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D0EBD"/>
    <w:rsid w:val="000000D1"/>
    <w:rsid w:val="0000010F"/>
    <w:rsid w:val="00000DAC"/>
    <w:rsid w:val="00001705"/>
    <w:rsid w:val="0000375B"/>
    <w:rsid w:val="00003FF4"/>
    <w:rsid w:val="0000496B"/>
    <w:rsid w:val="000066ED"/>
    <w:rsid w:val="000114EF"/>
    <w:rsid w:val="0001170E"/>
    <w:rsid w:val="000119CA"/>
    <w:rsid w:val="00012087"/>
    <w:rsid w:val="00013282"/>
    <w:rsid w:val="00013C2D"/>
    <w:rsid w:val="00014736"/>
    <w:rsid w:val="00014B03"/>
    <w:rsid w:val="00015460"/>
    <w:rsid w:val="00020012"/>
    <w:rsid w:val="000208A8"/>
    <w:rsid w:val="00021A4C"/>
    <w:rsid w:val="00021C4C"/>
    <w:rsid w:val="00030168"/>
    <w:rsid w:val="000307A3"/>
    <w:rsid w:val="000331B7"/>
    <w:rsid w:val="000333BD"/>
    <w:rsid w:val="000342C1"/>
    <w:rsid w:val="00034480"/>
    <w:rsid w:val="00035334"/>
    <w:rsid w:val="0003569C"/>
    <w:rsid w:val="0003684D"/>
    <w:rsid w:val="00036B07"/>
    <w:rsid w:val="00040F3B"/>
    <w:rsid w:val="00040FA5"/>
    <w:rsid w:val="000411D4"/>
    <w:rsid w:val="00041F72"/>
    <w:rsid w:val="00042D20"/>
    <w:rsid w:val="00042DD7"/>
    <w:rsid w:val="00042FBF"/>
    <w:rsid w:val="00043A87"/>
    <w:rsid w:val="000441CD"/>
    <w:rsid w:val="00044224"/>
    <w:rsid w:val="0004483A"/>
    <w:rsid w:val="0004613F"/>
    <w:rsid w:val="000530D0"/>
    <w:rsid w:val="000543B4"/>
    <w:rsid w:val="000550B2"/>
    <w:rsid w:val="000563DB"/>
    <w:rsid w:val="000568EE"/>
    <w:rsid w:val="00056998"/>
    <w:rsid w:val="000609CC"/>
    <w:rsid w:val="00061878"/>
    <w:rsid w:val="0006326F"/>
    <w:rsid w:val="0006332F"/>
    <w:rsid w:val="000648CA"/>
    <w:rsid w:val="00066242"/>
    <w:rsid w:val="000703C5"/>
    <w:rsid w:val="00080A95"/>
    <w:rsid w:val="00080DE3"/>
    <w:rsid w:val="0008317A"/>
    <w:rsid w:val="000836B3"/>
    <w:rsid w:val="0008435C"/>
    <w:rsid w:val="000856A0"/>
    <w:rsid w:val="00086478"/>
    <w:rsid w:val="00086A59"/>
    <w:rsid w:val="0008718D"/>
    <w:rsid w:val="000875A0"/>
    <w:rsid w:val="00090707"/>
    <w:rsid w:val="0009144B"/>
    <w:rsid w:val="000917D5"/>
    <w:rsid w:val="00091C5C"/>
    <w:rsid w:val="00093965"/>
    <w:rsid w:val="000946CE"/>
    <w:rsid w:val="000957FC"/>
    <w:rsid w:val="00096177"/>
    <w:rsid w:val="000961BD"/>
    <w:rsid w:val="000A0508"/>
    <w:rsid w:val="000A16D7"/>
    <w:rsid w:val="000A233D"/>
    <w:rsid w:val="000A2726"/>
    <w:rsid w:val="000A2FA2"/>
    <w:rsid w:val="000A34D3"/>
    <w:rsid w:val="000A70B6"/>
    <w:rsid w:val="000B0643"/>
    <w:rsid w:val="000B098A"/>
    <w:rsid w:val="000B1D26"/>
    <w:rsid w:val="000B2560"/>
    <w:rsid w:val="000B2B4F"/>
    <w:rsid w:val="000B33BB"/>
    <w:rsid w:val="000B40C2"/>
    <w:rsid w:val="000B4341"/>
    <w:rsid w:val="000B4C18"/>
    <w:rsid w:val="000B4EAA"/>
    <w:rsid w:val="000B5164"/>
    <w:rsid w:val="000B763F"/>
    <w:rsid w:val="000C0FC9"/>
    <w:rsid w:val="000C1D3F"/>
    <w:rsid w:val="000C2D37"/>
    <w:rsid w:val="000C4883"/>
    <w:rsid w:val="000C5193"/>
    <w:rsid w:val="000C61FA"/>
    <w:rsid w:val="000C6D2B"/>
    <w:rsid w:val="000C7A13"/>
    <w:rsid w:val="000D26AA"/>
    <w:rsid w:val="000D3645"/>
    <w:rsid w:val="000D6AB3"/>
    <w:rsid w:val="000E1909"/>
    <w:rsid w:val="000E1A1E"/>
    <w:rsid w:val="000E1AAD"/>
    <w:rsid w:val="000E2F80"/>
    <w:rsid w:val="000E3156"/>
    <w:rsid w:val="000E5D6D"/>
    <w:rsid w:val="000E638B"/>
    <w:rsid w:val="000E68DB"/>
    <w:rsid w:val="000F227F"/>
    <w:rsid w:val="000F4D89"/>
    <w:rsid w:val="000F5E2B"/>
    <w:rsid w:val="000F5EFB"/>
    <w:rsid w:val="000F5F70"/>
    <w:rsid w:val="000F7C91"/>
    <w:rsid w:val="001000B7"/>
    <w:rsid w:val="001004B9"/>
    <w:rsid w:val="00101047"/>
    <w:rsid w:val="00101171"/>
    <w:rsid w:val="001026E0"/>
    <w:rsid w:val="001036A8"/>
    <w:rsid w:val="00104B57"/>
    <w:rsid w:val="00104F80"/>
    <w:rsid w:val="00106ED2"/>
    <w:rsid w:val="00107811"/>
    <w:rsid w:val="00110586"/>
    <w:rsid w:val="00110628"/>
    <w:rsid w:val="00111150"/>
    <w:rsid w:val="00111971"/>
    <w:rsid w:val="00115EA3"/>
    <w:rsid w:val="0012157B"/>
    <w:rsid w:val="0012322E"/>
    <w:rsid w:val="00123702"/>
    <w:rsid w:val="00123A98"/>
    <w:rsid w:val="00125072"/>
    <w:rsid w:val="0012648F"/>
    <w:rsid w:val="00130A2A"/>
    <w:rsid w:val="00130EC9"/>
    <w:rsid w:val="0013146A"/>
    <w:rsid w:val="00133636"/>
    <w:rsid w:val="00133FC4"/>
    <w:rsid w:val="001341A4"/>
    <w:rsid w:val="001378C5"/>
    <w:rsid w:val="0014029D"/>
    <w:rsid w:val="001407D0"/>
    <w:rsid w:val="00142303"/>
    <w:rsid w:val="00142A76"/>
    <w:rsid w:val="00143248"/>
    <w:rsid w:val="00143662"/>
    <w:rsid w:val="00145996"/>
    <w:rsid w:val="00145B4D"/>
    <w:rsid w:val="00146B10"/>
    <w:rsid w:val="00150FB8"/>
    <w:rsid w:val="00154332"/>
    <w:rsid w:val="00154AF9"/>
    <w:rsid w:val="001563F4"/>
    <w:rsid w:val="0015768A"/>
    <w:rsid w:val="0016083F"/>
    <w:rsid w:val="001626CF"/>
    <w:rsid w:val="001701B6"/>
    <w:rsid w:val="001702E0"/>
    <w:rsid w:val="00174810"/>
    <w:rsid w:val="00182183"/>
    <w:rsid w:val="00186355"/>
    <w:rsid w:val="001866B8"/>
    <w:rsid w:val="00186C41"/>
    <w:rsid w:val="0019088A"/>
    <w:rsid w:val="00192D55"/>
    <w:rsid w:val="001937F0"/>
    <w:rsid w:val="001958F9"/>
    <w:rsid w:val="00197D79"/>
    <w:rsid w:val="001A0429"/>
    <w:rsid w:val="001A07B6"/>
    <w:rsid w:val="001A12F3"/>
    <w:rsid w:val="001A27AB"/>
    <w:rsid w:val="001A2A8B"/>
    <w:rsid w:val="001A3D58"/>
    <w:rsid w:val="001A62B8"/>
    <w:rsid w:val="001A6FCD"/>
    <w:rsid w:val="001B12C6"/>
    <w:rsid w:val="001B33FF"/>
    <w:rsid w:val="001B649B"/>
    <w:rsid w:val="001B79FD"/>
    <w:rsid w:val="001C1F4E"/>
    <w:rsid w:val="001C23DE"/>
    <w:rsid w:val="001C2A7E"/>
    <w:rsid w:val="001C3BBE"/>
    <w:rsid w:val="001C4A1D"/>
    <w:rsid w:val="001C4AED"/>
    <w:rsid w:val="001C6977"/>
    <w:rsid w:val="001C70A3"/>
    <w:rsid w:val="001C71C1"/>
    <w:rsid w:val="001C74E5"/>
    <w:rsid w:val="001C7694"/>
    <w:rsid w:val="001D09D8"/>
    <w:rsid w:val="001D14F2"/>
    <w:rsid w:val="001D1B13"/>
    <w:rsid w:val="001D3B3F"/>
    <w:rsid w:val="001D3F53"/>
    <w:rsid w:val="001D4549"/>
    <w:rsid w:val="001D4BF4"/>
    <w:rsid w:val="001D4E0B"/>
    <w:rsid w:val="001D56F1"/>
    <w:rsid w:val="001D5A5D"/>
    <w:rsid w:val="001D72C7"/>
    <w:rsid w:val="001E0FEE"/>
    <w:rsid w:val="001E1AD1"/>
    <w:rsid w:val="001E5AAE"/>
    <w:rsid w:val="001E6791"/>
    <w:rsid w:val="001E7492"/>
    <w:rsid w:val="001E77DA"/>
    <w:rsid w:val="001F1C1B"/>
    <w:rsid w:val="001F2557"/>
    <w:rsid w:val="001F2990"/>
    <w:rsid w:val="001F2D41"/>
    <w:rsid w:val="001F387B"/>
    <w:rsid w:val="001F5ACC"/>
    <w:rsid w:val="001F5B08"/>
    <w:rsid w:val="001F6FB9"/>
    <w:rsid w:val="002033D9"/>
    <w:rsid w:val="00204E95"/>
    <w:rsid w:val="00206A7F"/>
    <w:rsid w:val="002077A5"/>
    <w:rsid w:val="00213381"/>
    <w:rsid w:val="00213DF5"/>
    <w:rsid w:val="00214E60"/>
    <w:rsid w:val="00216A19"/>
    <w:rsid w:val="00216A83"/>
    <w:rsid w:val="00216E27"/>
    <w:rsid w:val="00217ABE"/>
    <w:rsid w:val="00221265"/>
    <w:rsid w:val="002219CB"/>
    <w:rsid w:val="00221CD0"/>
    <w:rsid w:val="002224CC"/>
    <w:rsid w:val="002232C1"/>
    <w:rsid w:val="00223A52"/>
    <w:rsid w:val="00225626"/>
    <w:rsid w:val="0022633F"/>
    <w:rsid w:val="00230105"/>
    <w:rsid w:val="00230EE0"/>
    <w:rsid w:val="00231F1A"/>
    <w:rsid w:val="00233136"/>
    <w:rsid w:val="0023363A"/>
    <w:rsid w:val="00235123"/>
    <w:rsid w:val="00235B42"/>
    <w:rsid w:val="00235BB7"/>
    <w:rsid w:val="002363B1"/>
    <w:rsid w:val="0023664E"/>
    <w:rsid w:val="00241D08"/>
    <w:rsid w:val="002425C6"/>
    <w:rsid w:val="00242FE3"/>
    <w:rsid w:val="00244FFB"/>
    <w:rsid w:val="00245124"/>
    <w:rsid w:val="00245A51"/>
    <w:rsid w:val="002464AE"/>
    <w:rsid w:val="00247029"/>
    <w:rsid w:val="0025060F"/>
    <w:rsid w:val="0025351C"/>
    <w:rsid w:val="002537C5"/>
    <w:rsid w:val="00254F63"/>
    <w:rsid w:val="0025537D"/>
    <w:rsid w:val="00255D23"/>
    <w:rsid w:val="00260168"/>
    <w:rsid w:val="0026139A"/>
    <w:rsid w:val="0026444F"/>
    <w:rsid w:val="00264B22"/>
    <w:rsid w:val="002650BE"/>
    <w:rsid w:val="002658B8"/>
    <w:rsid w:val="002709EE"/>
    <w:rsid w:val="00270D45"/>
    <w:rsid w:val="002716D8"/>
    <w:rsid w:val="002723E8"/>
    <w:rsid w:val="00273CA0"/>
    <w:rsid w:val="00273F8A"/>
    <w:rsid w:val="0027479F"/>
    <w:rsid w:val="002764E1"/>
    <w:rsid w:val="00280568"/>
    <w:rsid w:val="002806E9"/>
    <w:rsid w:val="00281293"/>
    <w:rsid w:val="00282527"/>
    <w:rsid w:val="00283003"/>
    <w:rsid w:val="00283072"/>
    <w:rsid w:val="0028330D"/>
    <w:rsid w:val="002835AC"/>
    <w:rsid w:val="00286FCE"/>
    <w:rsid w:val="002908D3"/>
    <w:rsid w:val="00290BAE"/>
    <w:rsid w:val="002930FB"/>
    <w:rsid w:val="002940E8"/>
    <w:rsid w:val="00294155"/>
    <w:rsid w:val="002973D0"/>
    <w:rsid w:val="002A0234"/>
    <w:rsid w:val="002A03DF"/>
    <w:rsid w:val="002A0C89"/>
    <w:rsid w:val="002A0D18"/>
    <w:rsid w:val="002A14A5"/>
    <w:rsid w:val="002A1BF2"/>
    <w:rsid w:val="002A4B98"/>
    <w:rsid w:val="002A4C67"/>
    <w:rsid w:val="002A58F3"/>
    <w:rsid w:val="002A641A"/>
    <w:rsid w:val="002B02CB"/>
    <w:rsid w:val="002B2443"/>
    <w:rsid w:val="002B316A"/>
    <w:rsid w:val="002B49EF"/>
    <w:rsid w:val="002B6A42"/>
    <w:rsid w:val="002C1124"/>
    <w:rsid w:val="002C116D"/>
    <w:rsid w:val="002C16DB"/>
    <w:rsid w:val="002C1B58"/>
    <w:rsid w:val="002C425B"/>
    <w:rsid w:val="002C4B34"/>
    <w:rsid w:val="002C504C"/>
    <w:rsid w:val="002C578A"/>
    <w:rsid w:val="002C68A3"/>
    <w:rsid w:val="002C6955"/>
    <w:rsid w:val="002D1E2B"/>
    <w:rsid w:val="002D353D"/>
    <w:rsid w:val="002D380D"/>
    <w:rsid w:val="002D6C51"/>
    <w:rsid w:val="002E0161"/>
    <w:rsid w:val="002E100D"/>
    <w:rsid w:val="002E3C3A"/>
    <w:rsid w:val="002E520B"/>
    <w:rsid w:val="002E7E6C"/>
    <w:rsid w:val="002E7FEC"/>
    <w:rsid w:val="002F0570"/>
    <w:rsid w:val="002F10A6"/>
    <w:rsid w:val="002F3825"/>
    <w:rsid w:val="002F4363"/>
    <w:rsid w:val="002F55B4"/>
    <w:rsid w:val="002F5D93"/>
    <w:rsid w:val="002F6F18"/>
    <w:rsid w:val="002F7715"/>
    <w:rsid w:val="00300261"/>
    <w:rsid w:val="00301343"/>
    <w:rsid w:val="0030145B"/>
    <w:rsid w:val="0030418D"/>
    <w:rsid w:val="0030600F"/>
    <w:rsid w:val="003061AA"/>
    <w:rsid w:val="003065A6"/>
    <w:rsid w:val="003066F3"/>
    <w:rsid w:val="00306821"/>
    <w:rsid w:val="003109B6"/>
    <w:rsid w:val="00313B5A"/>
    <w:rsid w:val="00313DFB"/>
    <w:rsid w:val="00316F3E"/>
    <w:rsid w:val="00317CD4"/>
    <w:rsid w:val="003208B8"/>
    <w:rsid w:val="00321D72"/>
    <w:rsid w:val="0032362E"/>
    <w:rsid w:val="003251C4"/>
    <w:rsid w:val="00326841"/>
    <w:rsid w:val="00330C97"/>
    <w:rsid w:val="003313D4"/>
    <w:rsid w:val="0033202F"/>
    <w:rsid w:val="00332F00"/>
    <w:rsid w:val="00334EEA"/>
    <w:rsid w:val="00335716"/>
    <w:rsid w:val="00335AEE"/>
    <w:rsid w:val="00340D54"/>
    <w:rsid w:val="003413ED"/>
    <w:rsid w:val="00341E14"/>
    <w:rsid w:val="0034201F"/>
    <w:rsid w:val="00346AC4"/>
    <w:rsid w:val="00346BB1"/>
    <w:rsid w:val="00351316"/>
    <w:rsid w:val="0035153B"/>
    <w:rsid w:val="0035201C"/>
    <w:rsid w:val="003532CC"/>
    <w:rsid w:val="003539A5"/>
    <w:rsid w:val="00353D4C"/>
    <w:rsid w:val="003541A2"/>
    <w:rsid w:val="003541D1"/>
    <w:rsid w:val="00354618"/>
    <w:rsid w:val="0035472E"/>
    <w:rsid w:val="003551B4"/>
    <w:rsid w:val="0035521A"/>
    <w:rsid w:val="00356658"/>
    <w:rsid w:val="003566C0"/>
    <w:rsid w:val="00356D15"/>
    <w:rsid w:val="00357CEC"/>
    <w:rsid w:val="0036134A"/>
    <w:rsid w:val="003616E5"/>
    <w:rsid w:val="0036329F"/>
    <w:rsid w:val="00363D60"/>
    <w:rsid w:val="003648DF"/>
    <w:rsid w:val="00366701"/>
    <w:rsid w:val="00366FF1"/>
    <w:rsid w:val="003710D9"/>
    <w:rsid w:val="00372777"/>
    <w:rsid w:val="0037496C"/>
    <w:rsid w:val="00374CDA"/>
    <w:rsid w:val="00383A8B"/>
    <w:rsid w:val="00384E37"/>
    <w:rsid w:val="00385C7D"/>
    <w:rsid w:val="00385CDF"/>
    <w:rsid w:val="00386FBB"/>
    <w:rsid w:val="00387F35"/>
    <w:rsid w:val="00390D5C"/>
    <w:rsid w:val="003918A1"/>
    <w:rsid w:val="0039429E"/>
    <w:rsid w:val="00394CD7"/>
    <w:rsid w:val="00395B66"/>
    <w:rsid w:val="00396143"/>
    <w:rsid w:val="0039683C"/>
    <w:rsid w:val="00397B1F"/>
    <w:rsid w:val="003A09AB"/>
    <w:rsid w:val="003A16A5"/>
    <w:rsid w:val="003A16D3"/>
    <w:rsid w:val="003A1D28"/>
    <w:rsid w:val="003A62DA"/>
    <w:rsid w:val="003A6EDE"/>
    <w:rsid w:val="003A7D7E"/>
    <w:rsid w:val="003B0D25"/>
    <w:rsid w:val="003B16E5"/>
    <w:rsid w:val="003B2488"/>
    <w:rsid w:val="003B34B4"/>
    <w:rsid w:val="003B365D"/>
    <w:rsid w:val="003B7639"/>
    <w:rsid w:val="003C397D"/>
    <w:rsid w:val="003C7455"/>
    <w:rsid w:val="003D006E"/>
    <w:rsid w:val="003D0903"/>
    <w:rsid w:val="003D3406"/>
    <w:rsid w:val="003D3834"/>
    <w:rsid w:val="003D40ED"/>
    <w:rsid w:val="003D4A78"/>
    <w:rsid w:val="003D513A"/>
    <w:rsid w:val="003D7ED5"/>
    <w:rsid w:val="003E2503"/>
    <w:rsid w:val="003E37B7"/>
    <w:rsid w:val="003E3B8B"/>
    <w:rsid w:val="003E4CE8"/>
    <w:rsid w:val="003E56D5"/>
    <w:rsid w:val="003E630A"/>
    <w:rsid w:val="003E66C3"/>
    <w:rsid w:val="003E6CBC"/>
    <w:rsid w:val="003E7F82"/>
    <w:rsid w:val="003F221D"/>
    <w:rsid w:val="003F4C98"/>
    <w:rsid w:val="003F5D36"/>
    <w:rsid w:val="003F787B"/>
    <w:rsid w:val="00401163"/>
    <w:rsid w:val="004013F3"/>
    <w:rsid w:val="00401B78"/>
    <w:rsid w:val="00401D94"/>
    <w:rsid w:val="00402155"/>
    <w:rsid w:val="00402819"/>
    <w:rsid w:val="00402A4C"/>
    <w:rsid w:val="0040349C"/>
    <w:rsid w:val="0040603A"/>
    <w:rsid w:val="00406472"/>
    <w:rsid w:val="00407D07"/>
    <w:rsid w:val="0041013E"/>
    <w:rsid w:val="0041146F"/>
    <w:rsid w:val="00412867"/>
    <w:rsid w:val="00413055"/>
    <w:rsid w:val="004138C5"/>
    <w:rsid w:val="00413CCF"/>
    <w:rsid w:val="00414BF0"/>
    <w:rsid w:val="00415980"/>
    <w:rsid w:val="004170C6"/>
    <w:rsid w:val="004205A1"/>
    <w:rsid w:val="00421DC9"/>
    <w:rsid w:val="004225DE"/>
    <w:rsid w:val="00422E27"/>
    <w:rsid w:val="00423139"/>
    <w:rsid w:val="004253BE"/>
    <w:rsid w:val="00425E3E"/>
    <w:rsid w:val="00430B6A"/>
    <w:rsid w:val="00430D28"/>
    <w:rsid w:val="00435936"/>
    <w:rsid w:val="00436842"/>
    <w:rsid w:val="00440913"/>
    <w:rsid w:val="00441391"/>
    <w:rsid w:val="00441406"/>
    <w:rsid w:val="0044168B"/>
    <w:rsid w:val="00442A0D"/>
    <w:rsid w:val="00442B03"/>
    <w:rsid w:val="00447AF1"/>
    <w:rsid w:val="00452F9D"/>
    <w:rsid w:val="00453A03"/>
    <w:rsid w:val="004551C9"/>
    <w:rsid w:val="0045585D"/>
    <w:rsid w:val="0046322B"/>
    <w:rsid w:val="00464886"/>
    <w:rsid w:val="00464CA3"/>
    <w:rsid w:val="00465D41"/>
    <w:rsid w:val="00465F85"/>
    <w:rsid w:val="0046682F"/>
    <w:rsid w:val="004671AA"/>
    <w:rsid w:val="00467494"/>
    <w:rsid w:val="00471B6D"/>
    <w:rsid w:val="00472AD6"/>
    <w:rsid w:val="004742AA"/>
    <w:rsid w:val="004769CB"/>
    <w:rsid w:val="004827E5"/>
    <w:rsid w:val="00482800"/>
    <w:rsid w:val="0048589A"/>
    <w:rsid w:val="00485A89"/>
    <w:rsid w:val="00490087"/>
    <w:rsid w:val="00490CE5"/>
    <w:rsid w:val="004917AE"/>
    <w:rsid w:val="0049259E"/>
    <w:rsid w:val="00493BB9"/>
    <w:rsid w:val="00493D18"/>
    <w:rsid w:val="00493FB3"/>
    <w:rsid w:val="004A2650"/>
    <w:rsid w:val="004A3EB3"/>
    <w:rsid w:val="004A45FC"/>
    <w:rsid w:val="004A6076"/>
    <w:rsid w:val="004A680B"/>
    <w:rsid w:val="004A6FDB"/>
    <w:rsid w:val="004A7797"/>
    <w:rsid w:val="004B0A8C"/>
    <w:rsid w:val="004B0BDC"/>
    <w:rsid w:val="004B0D98"/>
    <w:rsid w:val="004B12B8"/>
    <w:rsid w:val="004B1C48"/>
    <w:rsid w:val="004B2B2C"/>
    <w:rsid w:val="004C007F"/>
    <w:rsid w:val="004C0E9C"/>
    <w:rsid w:val="004C13C1"/>
    <w:rsid w:val="004C19E8"/>
    <w:rsid w:val="004C30B1"/>
    <w:rsid w:val="004C38FA"/>
    <w:rsid w:val="004C3C66"/>
    <w:rsid w:val="004C41D7"/>
    <w:rsid w:val="004C4512"/>
    <w:rsid w:val="004C4918"/>
    <w:rsid w:val="004C4B4F"/>
    <w:rsid w:val="004C4F84"/>
    <w:rsid w:val="004C5906"/>
    <w:rsid w:val="004D0899"/>
    <w:rsid w:val="004D15EC"/>
    <w:rsid w:val="004D1C8D"/>
    <w:rsid w:val="004D5039"/>
    <w:rsid w:val="004D5057"/>
    <w:rsid w:val="004D58C6"/>
    <w:rsid w:val="004E1D1B"/>
    <w:rsid w:val="004E1F7D"/>
    <w:rsid w:val="004E2512"/>
    <w:rsid w:val="004E2B0C"/>
    <w:rsid w:val="004E2C13"/>
    <w:rsid w:val="004E73CB"/>
    <w:rsid w:val="004E7B95"/>
    <w:rsid w:val="004F1A18"/>
    <w:rsid w:val="004F27AE"/>
    <w:rsid w:val="004F3B0E"/>
    <w:rsid w:val="004F58F6"/>
    <w:rsid w:val="004F6AA5"/>
    <w:rsid w:val="004F72F3"/>
    <w:rsid w:val="004F788F"/>
    <w:rsid w:val="00500494"/>
    <w:rsid w:val="00501605"/>
    <w:rsid w:val="00501DED"/>
    <w:rsid w:val="00502758"/>
    <w:rsid w:val="00502BD0"/>
    <w:rsid w:val="0050538A"/>
    <w:rsid w:val="00505B8E"/>
    <w:rsid w:val="0050685F"/>
    <w:rsid w:val="00506D93"/>
    <w:rsid w:val="00507F2A"/>
    <w:rsid w:val="00510318"/>
    <w:rsid w:val="0051224E"/>
    <w:rsid w:val="00512CB8"/>
    <w:rsid w:val="005133C4"/>
    <w:rsid w:val="0051360A"/>
    <w:rsid w:val="005138AF"/>
    <w:rsid w:val="005139D3"/>
    <w:rsid w:val="00513E45"/>
    <w:rsid w:val="0051421C"/>
    <w:rsid w:val="00515AF5"/>
    <w:rsid w:val="00516BD2"/>
    <w:rsid w:val="00517723"/>
    <w:rsid w:val="00517846"/>
    <w:rsid w:val="00517A17"/>
    <w:rsid w:val="00517F12"/>
    <w:rsid w:val="0052152E"/>
    <w:rsid w:val="005220CF"/>
    <w:rsid w:val="00523B8E"/>
    <w:rsid w:val="00525223"/>
    <w:rsid w:val="005263DA"/>
    <w:rsid w:val="00527411"/>
    <w:rsid w:val="0053006B"/>
    <w:rsid w:val="005326D9"/>
    <w:rsid w:val="00532AF5"/>
    <w:rsid w:val="005346A3"/>
    <w:rsid w:val="005365DD"/>
    <w:rsid w:val="00536CCF"/>
    <w:rsid w:val="005407DC"/>
    <w:rsid w:val="0054211D"/>
    <w:rsid w:val="00542C9F"/>
    <w:rsid w:val="00543067"/>
    <w:rsid w:val="00543CE5"/>
    <w:rsid w:val="005443F7"/>
    <w:rsid w:val="005475D3"/>
    <w:rsid w:val="005503C1"/>
    <w:rsid w:val="005512CE"/>
    <w:rsid w:val="0055174A"/>
    <w:rsid w:val="005539B0"/>
    <w:rsid w:val="00553B17"/>
    <w:rsid w:val="005609E4"/>
    <w:rsid w:val="00560AA7"/>
    <w:rsid w:val="0056316C"/>
    <w:rsid w:val="005648B4"/>
    <w:rsid w:val="00566C75"/>
    <w:rsid w:val="005714A0"/>
    <w:rsid w:val="00574F09"/>
    <w:rsid w:val="00575765"/>
    <w:rsid w:val="00577FA7"/>
    <w:rsid w:val="00581A1D"/>
    <w:rsid w:val="00581A94"/>
    <w:rsid w:val="00581BC2"/>
    <w:rsid w:val="005829D8"/>
    <w:rsid w:val="00583090"/>
    <w:rsid w:val="005837AC"/>
    <w:rsid w:val="00583B9B"/>
    <w:rsid w:val="005856C7"/>
    <w:rsid w:val="00585EC6"/>
    <w:rsid w:val="00587C75"/>
    <w:rsid w:val="00590D52"/>
    <w:rsid w:val="00591467"/>
    <w:rsid w:val="005937D6"/>
    <w:rsid w:val="00594C98"/>
    <w:rsid w:val="005962F5"/>
    <w:rsid w:val="00597CE8"/>
    <w:rsid w:val="005A0BAD"/>
    <w:rsid w:val="005A18C4"/>
    <w:rsid w:val="005A406A"/>
    <w:rsid w:val="005A41DF"/>
    <w:rsid w:val="005A4696"/>
    <w:rsid w:val="005A584A"/>
    <w:rsid w:val="005A7A5F"/>
    <w:rsid w:val="005B118F"/>
    <w:rsid w:val="005B1617"/>
    <w:rsid w:val="005B227C"/>
    <w:rsid w:val="005B3257"/>
    <w:rsid w:val="005B3520"/>
    <w:rsid w:val="005B3D22"/>
    <w:rsid w:val="005B3F38"/>
    <w:rsid w:val="005B4BF2"/>
    <w:rsid w:val="005B4D88"/>
    <w:rsid w:val="005B6003"/>
    <w:rsid w:val="005B6E89"/>
    <w:rsid w:val="005C0933"/>
    <w:rsid w:val="005C1E60"/>
    <w:rsid w:val="005C3F8F"/>
    <w:rsid w:val="005C6DF6"/>
    <w:rsid w:val="005D04E2"/>
    <w:rsid w:val="005D12BF"/>
    <w:rsid w:val="005D1AF7"/>
    <w:rsid w:val="005D21CE"/>
    <w:rsid w:val="005D627C"/>
    <w:rsid w:val="005E2F51"/>
    <w:rsid w:val="005E38FE"/>
    <w:rsid w:val="005E4B83"/>
    <w:rsid w:val="005E4F88"/>
    <w:rsid w:val="005E5550"/>
    <w:rsid w:val="005E7309"/>
    <w:rsid w:val="005F096C"/>
    <w:rsid w:val="005F0990"/>
    <w:rsid w:val="005F19E3"/>
    <w:rsid w:val="005F1CEC"/>
    <w:rsid w:val="005F1E9F"/>
    <w:rsid w:val="005F2D7B"/>
    <w:rsid w:val="005F4358"/>
    <w:rsid w:val="005F473C"/>
    <w:rsid w:val="005F5C52"/>
    <w:rsid w:val="005F6256"/>
    <w:rsid w:val="005F655C"/>
    <w:rsid w:val="005F709D"/>
    <w:rsid w:val="00601216"/>
    <w:rsid w:val="00601635"/>
    <w:rsid w:val="00601E88"/>
    <w:rsid w:val="006024D3"/>
    <w:rsid w:val="006026D3"/>
    <w:rsid w:val="00604047"/>
    <w:rsid w:val="00606046"/>
    <w:rsid w:val="0060624D"/>
    <w:rsid w:val="006069F3"/>
    <w:rsid w:val="00606FDD"/>
    <w:rsid w:val="00607EF9"/>
    <w:rsid w:val="00610FCB"/>
    <w:rsid w:val="00614355"/>
    <w:rsid w:val="00615AD3"/>
    <w:rsid w:val="00615F89"/>
    <w:rsid w:val="00616E38"/>
    <w:rsid w:val="00617315"/>
    <w:rsid w:val="006207CC"/>
    <w:rsid w:val="00621798"/>
    <w:rsid w:val="00622327"/>
    <w:rsid w:val="00622FF1"/>
    <w:rsid w:val="00623C81"/>
    <w:rsid w:val="006242D7"/>
    <w:rsid w:val="00627008"/>
    <w:rsid w:val="00627AF3"/>
    <w:rsid w:val="006308E9"/>
    <w:rsid w:val="00630A10"/>
    <w:rsid w:val="0063401D"/>
    <w:rsid w:val="00636E33"/>
    <w:rsid w:val="00636EB6"/>
    <w:rsid w:val="00641C63"/>
    <w:rsid w:val="00641F17"/>
    <w:rsid w:val="00643D24"/>
    <w:rsid w:val="00644B2B"/>
    <w:rsid w:val="00644BFF"/>
    <w:rsid w:val="00645935"/>
    <w:rsid w:val="006461AD"/>
    <w:rsid w:val="00646792"/>
    <w:rsid w:val="00646C84"/>
    <w:rsid w:val="006504A7"/>
    <w:rsid w:val="006536BA"/>
    <w:rsid w:val="00653FA7"/>
    <w:rsid w:val="00653FB5"/>
    <w:rsid w:val="006543E6"/>
    <w:rsid w:val="00655000"/>
    <w:rsid w:val="0065650E"/>
    <w:rsid w:val="00656DD7"/>
    <w:rsid w:val="006575CE"/>
    <w:rsid w:val="006575FA"/>
    <w:rsid w:val="00660293"/>
    <w:rsid w:val="00661FE6"/>
    <w:rsid w:val="00664026"/>
    <w:rsid w:val="00664B70"/>
    <w:rsid w:val="006655C6"/>
    <w:rsid w:val="00671FBC"/>
    <w:rsid w:val="00672DDC"/>
    <w:rsid w:val="00672E6F"/>
    <w:rsid w:val="00673731"/>
    <w:rsid w:val="00677384"/>
    <w:rsid w:val="006774A2"/>
    <w:rsid w:val="006806DD"/>
    <w:rsid w:val="0068216B"/>
    <w:rsid w:val="00684030"/>
    <w:rsid w:val="00684BDB"/>
    <w:rsid w:val="00687C0E"/>
    <w:rsid w:val="00690663"/>
    <w:rsid w:val="006936A0"/>
    <w:rsid w:val="006936E7"/>
    <w:rsid w:val="0069429F"/>
    <w:rsid w:val="00694AC7"/>
    <w:rsid w:val="006968BC"/>
    <w:rsid w:val="0069729D"/>
    <w:rsid w:val="006976A8"/>
    <w:rsid w:val="006A0272"/>
    <w:rsid w:val="006A0D24"/>
    <w:rsid w:val="006A10D5"/>
    <w:rsid w:val="006A1513"/>
    <w:rsid w:val="006A27E2"/>
    <w:rsid w:val="006A29AC"/>
    <w:rsid w:val="006A32EA"/>
    <w:rsid w:val="006A48D5"/>
    <w:rsid w:val="006A4C15"/>
    <w:rsid w:val="006A551F"/>
    <w:rsid w:val="006A6137"/>
    <w:rsid w:val="006A6C2F"/>
    <w:rsid w:val="006A6D6E"/>
    <w:rsid w:val="006B03A3"/>
    <w:rsid w:val="006B0A05"/>
    <w:rsid w:val="006B27C6"/>
    <w:rsid w:val="006B36F2"/>
    <w:rsid w:val="006B5731"/>
    <w:rsid w:val="006B5F0E"/>
    <w:rsid w:val="006C14BF"/>
    <w:rsid w:val="006C1D03"/>
    <w:rsid w:val="006C2B57"/>
    <w:rsid w:val="006C3198"/>
    <w:rsid w:val="006C47CB"/>
    <w:rsid w:val="006C5011"/>
    <w:rsid w:val="006C6102"/>
    <w:rsid w:val="006C6F3B"/>
    <w:rsid w:val="006C73A4"/>
    <w:rsid w:val="006D09FE"/>
    <w:rsid w:val="006D1D51"/>
    <w:rsid w:val="006D2932"/>
    <w:rsid w:val="006D31A3"/>
    <w:rsid w:val="006D60E8"/>
    <w:rsid w:val="006D7D38"/>
    <w:rsid w:val="006E0E84"/>
    <w:rsid w:val="006E0E8A"/>
    <w:rsid w:val="006E2FB3"/>
    <w:rsid w:val="006E3BC5"/>
    <w:rsid w:val="006E4447"/>
    <w:rsid w:val="006E5452"/>
    <w:rsid w:val="006E555C"/>
    <w:rsid w:val="006E77ED"/>
    <w:rsid w:val="006E7F36"/>
    <w:rsid w:val="006F0804"/>
    <w:rsid w:val="006F0AC6"/>
    <w:rsid w:val="006F1939"/>
    <w:rsid w:val="006F213D"/>
    <w:rsid w:val="006F2309"/>
    <w:rsid w:val="006F33B3"/>
    <w:rsid w:val="006F454E"/>
    <w:rsid w:val="006F5EC5"/>
    <w:rsid w:val="00701F71"/>
    <w:rsid w:val="007022B1"/>
    <w:rsid w:val="00702852"/>
    <w:rsid w:val="00702CF6"/>
    <w:rsid w:val="007037BC"/>
    <w:rsid w:val="00703BFD"/>
    <w:rsid w:val="00704B75"/>
    <w:rsid w:val="00707590"/>
    <w:rsid w:val="00707E3E"/>
    <w:rsid w:val="00712A65"/>
    <w:rsid w:val="00712E32"/>
    <w:rsid w:val="00712E9F"/>
    <w:rsid w:val="00712EB7"/>
    <w:rsid w:val="007149B3"/>
    <w:rsid w:val="00715629"/>
    <w:rsid w:val="00717746"/>
    <w:rsid w:val="00717E57"/>
    <w:rsid w:val="00717EB2"/>
    <w:rsid w:val="007207A5"/>
    <w:rsid w:val="007211F7"/>
    <w:rsid w:val="00723050"/>
    <w:rsid w:val="007254CD"/>
    <w:rsid w:val="00725A50"/>
    <w:rsid w:val="007263EE"/>
    <w:rsid w:val="00730C7B"/>
    <w:rsid w:val="00731F10"/>
    <w:rsid w:val="007323AE"/>
    <w:rsid w:val="00732467"/>
    <w:rsid w:val="00732D2B"/>
    <w:rsid w:val="00736BC8"/>
    <w:rsid w:val="00736C2C"/>
    <w:rsid w:val="00736D45"/>
    <w:rsid w:val="00737806"/>
    <w:rsid w:val="00737E19"/>
    <w:rsid w:val="00741A52"/>
    <w:rsid w:val="007436B0"/>
    <w:rsid w:val="00744B04"/>
    <w:rsid w:val="0074753E"/>
    <w:rsid w:val="0075087E"/>
    <w:rsid w:val="00752DAD"/>
    <w:rsid w:val="007530BB"/>
    <w:rsid w:val="00755A5B"/>
    <w:rsid w:val="007565A8"/>
    <w:rsid w:val="00756B93"/>
    <w:rsid w:val="00756F9B"/>
    <w:rsid w:val="00757792"/>
    <w:rsid w:val="00760798"/>
    <w:rsid w:val="00760EE3"/>
    <w:rsid w:val="00762691"/>
    <w:rsid w:val="00763755"/>
    <w:rsid w:val="00764C0C"/>
    <w:rsid w:val="00766BF3"/>
    <w:rsid w:val="00767684"/>
    <w:rsid w:val="0077273D"/>
    <w:rsid w:val="00772C90"/>
    <w:rsid w:val="00773523"/>
    <w:rsid w:val="00773B0C"/>
    <w:rsid w:val="00775B0C"/>
    <w:rsid w:val="00775E67"/>
    <w:rsid w:val="00776596"/>
    <w:rsid w:val="00780F3C"/>
    <w:rsid w:val="007825C8"/>
    <w:rsid w:val="00782BA5"/>
    <w:rsid w:val="00782D71"/>
    <w:rsid w:val="007833F0"/>
    <w:rsid w:val="00783A4E"/>
    <w:rsid w:val="00791BA4"/>
    <w:rsid w:val="00795539"/>
    <w:rsid w:val="0079735E"/>
    <w:rsid w:val="00797A5B"/>
    <w:rsid w:val="00797DDC"/>
    <w:rsid w:val="007A0258"/>
    <w:rsid w:val="007A0B46"/>
    <w:rsid w:val="007A0D4C"/>
    <w:rsid w:val="007A1835"/>
    <w:rsid w:val="007A1B1B"/>
    <w:rsid w:val="007A3667"/>
    <w:rsid w:val="007A47D6"/>
    <w:rsid w:val="007A52FA"/>
    <w:rsid w:val="007A5906"/>
    <w:rsid w:val="007A5DA5"/>
    <w:rsid w:val="007A6388"/>
    <w:rsid w:val="007A6952"/>
    <w:rsid w:val="007A6DDD"/>
    <w:rsid w:val="007B3BF0"/>
    <w:rsid w:val="007B3C1E"/>
    <w:rsid w:val="007B44AA"/>
    <w:rsid w:val="007B6122"/>
    <w:rsid w:val="007B779A"/>
    <w:rsid w:val="007C333B"/>
    <w:rsid w:val="007C3569"/>
    <w:rsid w:val="007C35A4"/>
    <w:rsid w:val="007C3BB0"/>
    <w:rsid w:val="007C5AD9"/>
    <w:rsid w:val="007D0184"/>
    <w:rsid w:val="007D4832"/>
    <w:rsid w:val="007D4B69"/>
    <w:rsid w:val="007D62B3"/>
    <w:rsid w:val="007D6691"/>
    <w:rsid w:val="007D679B"/>
    <w:rsid w:val="007E12A7"/>
    <w:rsid w:val="007E15F4"/>
    <w:rsid w:val="007E16F3"/>
    <w:rsid w:val="007E3329"/>
    <w:rsid w:val="007E3378"/>
    <w:rsid w:val="007E3CD1"/>
    <w:rsid w:val="007E5033"/>
    <w:rsid w:val="007E6525"/>
    <w:rsid w:val="007E6B35"/>
    <w:rsid w:val="007E72A7"/>
    <w:rsid w:val="007F019F"/>
    <w:rsid w:val="007F07B6"/>
    <w:rsid w:val="007F07E8"/>
    <w:rsid w:val="007F1CBB"/>
    <w:rsid w:val="007F3083"/>
    <w:rsid w:val="007F32A1"/>
    <w:rsid w:val="007F57AC"/>
    <w:rsid w:val="007F5958"/>
    <w:rsid w:val="007F7EE8"/>
    <w:rsid w:val="00800739"/>
    <w:rsid w:val="008022AA"/>
    <w:rsid w:val="0080478F"/>
    <w:rsid w:val="0080498C"/>
    <w:rsid w:val="00806470"/>
    <w:rsid w:val="008068FB"/>
    <w:rsid w:val="00806C3B"/>
    <w:rsid w:val="00811BBD"/>
    <w:rsid w:val="00813700"/>
    <w:rsid w:val="00813B42"/>
    <w:rsid w:val="00815049"/>
    <w:rsid w:val="00815252"/>
    <w:rsid w:val="0081619E"/>
    <w:rsid w:val="00816AB7"/>
    <w:rsid w:val="00817715"/>
    <w:rsid w:val="00817C1D"/>
    <w:rsid w:val="00817CFA"/>
    <w:rsid w:val="0082112B"/>
    <w:rsid w:val="00824A31"/>
    <w:rsid w:val="00824E57"/>
    <w:rsid w:val="00825B35"/>
    <w:rsid w:val="00826336"/>
    <w:rsid w:val="0082791D"/>
    <w:rsid w:val="00827EB2"/>
    <w:rsid w:val="008304EA"/>
    <w:rsid w:val="00830B09"/>
    <w:rsid w:val="008312A0"/>
    <w:rsid w:val="0083270A"/>
    <w:rsid w:val="00833D7A"/>
    <w:rsid w:val="00834352"/>
    <w:rsid w:val="00835604"/>
    <w:rsid w:val="00835F8D"/>
    <w:rsid w:val="00837201"/>
    <w:rsid w:val="00840C16"/>
    <w:rsid w:val="00840C95"/>
    <w:rsid w:val="00844D0F"/>
    <w:rsid w:val="008475C0"/>
    <w:rsid w:val="0085047D"/>
    <w:rsid w:val="008538A0"/>
    <w:rsid w:val="008546BE"/>
    <w:rsid w:val="00856D63"/>
    <w:rsid w:val="00856F4C"/>
    <w:rsid w:val="00857088"/>
    <w:rsid w:val="00860B6F"/>
    <w:rsid w:val="00860E04"/>
    <w:rsid w:val="00860E86"/>
    <w:rsid w:val="008610DC"/>
    <w:rsid w:val="008614F9"/>
    <w:rsid w:val="008616E8"/>
    <w:rsid w:val="00861F06"/>
    <w:rsid w:val="00863067"/>
    <w:rsid w:val="00865559"/>
    <w:rsid w:val="0086659B"/>
    <w:rsid w:val="0087037A"/>
    <w:rsid w:val="00870EF1"/>
    <w:rsid w:val="00870FFA"/>
    <w:rsid w:val="00872D0C"/>
    <w:rsid w:val="00873EE5"/>
    <w:rsid w:val="00874180"/>
    <w:rsid w:val="0087504E"/>
    <w:rsid w:val="0087536A"/>
    <w:rsid w:val="00875B67"/>
    <w:rsid w:val="00875DDA"/>
    <w:rsid w:val="008769EE"/>
    <w:rsid w:val="008779B9"/>
    <w:rsid w:val="00881AB8"/>
    <w:rsid w:val="008848EA"/>
    <w:rsid w:val="00885F61"/>
    <w:rsid w:val="0088780C"/>
    <w:rsid w:val="00890B17"/>
    <w:rsid w:val="00892C74"/>
    <w:rsid w:val="008960F4"/>
    <w:rsid w:val="008964A9"/>
    <w:rsid w:val="008965D0"/>
    <w:rsid w:val="0089715A"/>
    <w:rsid w:val="00897279"/>
    <w:rsid w:val="0089766E"/>
    <w:rsid w:val="008A3C41"/>
    <w:rsid w:val="008A46BD"/>
    <w:rsid w:val="008A7776"/>
    <w:rsid w:val="008A7E2A"/>
    <w:rsid w:val="008B1B61"/>
    <w:rsid w:val="008B2394"/>
    <w:rsid w:val="008B24E7"/>
    <w:rsid w:val="008B4348"/>
    <w:rsid w:val="008B45C9"/>
    <w:rsid w:val="008B4A5F"/>
    <w:rsid w:val="008B6B4A"/>
    <w:rsid w:val="008C0676"/>
    <w:rsid w:val="008C0859"/>
    <w:rsid w:val="008C162B"/>
    <w:rsid w:val="008C2F02"/>
    <w:rsid w:val="008C34E0"/>
    <w:rsid w:val="008C399B"/>
    <w:rsid w:val="008C3D4D"/>
    <w:rsid w:val="008C46E0"/>
    <w:rsid w:val="008C7104"/>
    <w:rsid w:val="008D0D2B"/>
    <w:rsid w:val="008D237F"/>
    <w:rsid w:val="008D3844"/>
    <w:rsid w:val="008D4A7E"/>
    <w:rsid w:val="008D55D6"/>
    <w:rsid w:val="008D67B3"/>
    <w:rsid w:val="008E0602"/>
    <w:rsid w:val="008E2649"/>
    <w:rsid w:val="008E4411"/>
    <w:rsid w:val="008E44E6"/>
    <w:rsid w:val="008E7D0C"/>
    <w:rsid w:val="008F0345"/>
    <w:rsid w:val="008F1EC7"/>
    <w:rsid w:val="008F201D"/>
    <w:rsid w:val="008F25E3"/>
    <w:rsid w:val="008F2DAE"/>
    <w:rsid w:val="008F2E25"/>
    <w:rsid w:val="008F3DFF"/>
    <w:rsid w:val="008F603A"/>
    <w:rsid w:val="008F699C"/>
    <w:rsid w:val="008F7872"/>
    <w:rsid w:val="008F7EDB"/>
    <w:rsid w:val="00900A9E"/>
    <w:rsid w:val="0090151B"/>
    <w:rsid w:val="00901E05"/>
    <w:rsid w:val="00902118"/>
    <w:rsid w:val="00902224"/>
    <w:rsid w:val="00902320"/>
    <w:rsid w:val="00902408"/>
    <w:rsid w:val="009056E1"/>
    <w:rsid w:val="009060B9"/>
    <w:rsid w:val="009063CC"/>
    <w:rsid w:val="00906B27"/>
    <w:rsid w:val="00910FC2"/>
    <w:rsid w:val="00911444"/>
    <w:rsid w:val="00911790"/>
    <w:rsid w:val="009130F2"/>
    <w:rsid w:val="0091379A"/>
    <w:rsid w:val="00915D18"/>
    <w:rsid w:val="00924C59"/>
    <w:rsid w:val="00924D4C"/>
    <w:rsid w:val="00926AEF"/>
    <w:rsid w:val="00926F54"/>
    <w:rsid w:val="00930E4C"/>
    <w:rsid w:val="0093158B"/>
    <w:rsid w:val="00931886"/>
    <w:rsid w:val="009327E5"/>
    <w:rsid w:val="00935539"/>
    <w:rsid w:val="00940ADF"/>
    <w:rsid w:val="00943513"/>
    <w:rsid w:val="00943913"/>
    <w:rsid w:val="0094402B"/>
    <w:rsid w:val="009459D7"/>
    <w:rsid w:val="00946261"/>
    <w:rsid w:val="009465C9"/>
    <w:rsid w:val="009470AA"/>
    <w:rsid w:val="00950F78"/>
    <w:rsid w:val="00951ADD"/>
    <w:rsid w:val="00952186"/>
    <w:rsid w:val="00954B78"/>
    <w:rsid w:val="00954DA7"/>
    <w:rsid w:val="00955123"/>
    <w:rsid w:val="00956D95"/>
    <w:rsid w:val="00957644"/>
    <w:rsid w:val="00957D62"/>
    <w:rsid w:val="00957DC7"/>
    <w:rsid w:val="009607C6"/>
    <w:rsid w:val="00960D75"/>
    <w:rsid w:val="00960E37"/>
    <w:rsid w:val="00962265"/>
    <w:rsid w:val="009639CD"/>
    <w:rsid w:val="00963E22"/>
    <w:rsid w:val="009642F6"/>
    <w:rsid w:val="00964E52"/>
    <w:rsid w:val="0096595F"/>
    <w:rsid w:val="00967063"/>
    <w:rsid w:val="009678EB"/>
    <w:rsid w:val="00967E0A"/>
    <w:rsid w:val="00971531"/>
    <w:rsid w:val="00971825"/>
    <w:rsid w:val="00971CE7"/>
    <w:rsid w:val="00972118"/>
    <w:rsid w:val="009724A8"/>
    <w:rsid w:val="00973A9B"/>
    <w:rsid w:val="00974183"/>
    <w:rsid w:val="0097478B"/>
    <w:rsid w:val="0097610C"/>
    <w:rsid w:val="00976660"/>
    <w:rsid w:val="009769A3"/>
    <w:rsid w:val="00976F0C"/>
    <w:rsid w:val="009771D9"/>
    <w:rsid w:val="00980B36"/>
    <w:rsid w:val="00981DC2"/>
    <w:rsid w:val="00981F6F"/>
    <w:rsid w:val="00981FCD"/>
    <w:rsid w:val="00982ACA"/>
    <w:rsid w:val="00982FC0"/>
    <w:rsid w:val="00983043"/>
    <w:rsid w:val="00983279"/>
    <w:rsid w:val="00985A0B"/>
    <w:rsid w:val="009867D6"/>
    <w:rsid w:val="00986B1B"/>
    <w:rsid w:val="00987D91"/>
    <w:rsid w:val="009916E6"/>
    <w:rsid w:val="009920A1"/>
    <w:rsid w:val="00994019"/>
    <w:rsid w:val="00996AB0"/>
    <w:rsid w:val="00997042"/>
    <w:rsid w:val="0099759A"/>
    <w:rsid w:val="009A1425"/>
    <w:rsid w:val="009A16ED"/>
    <w:rsid w:val="009A2A02"/>
    <w:rsid w:val="009A4D58"/>
    <w:rsid w:val="009A4E82"/>
    <w:rsid w:val="009A5626"/>
    <w:rsid w:val="009A5C7D"/>
    <w:rsid w:val="009A79AF"/>
    <w:rsid w:val="009B091E"/>
    <w:rsid w:val="009B158B"/>
    <w:rsid w:val="009B1C3D"/>
    <w:rsid w:val="009B6275"/>
    <w:rsid w:val="009B6298"/>
    <w:rsid w:val="009C3AF4"/>
    <w:rsid w:val="009C3DB8"/>
    <w:rsid w:val="009C45FD"/>
    <w:rsid w:val="009C4A3F"/>
    <w:rsid w:val="009C4D67"/>
    <w:rsid w:val="009C6718"/>
    <w:rsid w:val="009C6760"/>
    <w:rsid w:val="009C6A8E"/>
    <w:rsid w:val="009C7025"/>
    <w:rsid w:val="009C7ED2"/>
    <w:rsid w:val="009D1BE7"/>
    <w:rsid w:val="009D3DDE"/>
    <w:rsid w:val="009D470A"/>
    <w:rsid w:val="009D654C"/>
    <w:rsid w:val="009D6C37"/>
    <w:rsid w:val="009D747B"/>
    <w:rsid w:val="009D7AAE"/>
    <w:rsid w:val="009E0089"/>
    <w:rsid w:val="009E0ECC"/>
    <w:rsid w:val="009E1A04"/>
    <w:rsid w:val="009E28E4"/>
    <w:rsid w:val="009E44F1"/>
    <w:rsid w:val="009E54E5"/>
    <w:rsid w:val="009E5D1C"/>
    <w:rsid w:val="009F158E"/>
    <w:rsid w:val="009F1AE3"/>
    <w:rsid w:val="009F3948"/>
    <w:rsid w:val="009F3FE6"/>
    <w:rsid w:val="009F4FD1"/>
    <w:rsid w:val="009F7495"/>
    <w:rsid w:val="009F7BDD"/>
    <w:rsid w:val="00A016AF"/>
    <w:rsid w:val="00A01BD3"/>
    <w:rsid w:val="00A02F16"/>
    <w:rsid w:val="00A03059"/>
    <w:rsid w:val="00A03113"/>
    <w:rsid w:val="00A0330D"/>
    <w:rsid w:val="00A0358D"/>
    <w:rsid w:val="00A03847"/>
    <w:rsid w:val="00A06955"/>
    <w:rsid w:val="00A1213B"/>
    <w:rsid w:val="00A128BE"/>
    <w:rsid w:val="00A13E00"/>
    <w:rsid w:val="00A14339"/>
    <w:rsid w:val="00A15F95"/>
    <w:rsid w:val="00A16E6F"/>
    <w:rsid w:val="00A20F88"/>
    <w:rsid w:val="00A213D8"/>
    <w:rsid w:val="00A24ACD"/>
    <w:rsid w:val="00A27AFD"/>
    <w:rsid w:val="00A31F78"/>
    <w:rsid w:val="00A34CA7"/>
    <w:rsid w:val="00A37701"/>
    <w:rsid w:val="00A41356"/>
    <w:rsid w:val="00A41CB6"/>
    <w:rsid w:val="00A42D37"/>
    <w:rsid w:val="00A43C53"/>
    <w:rsid w:val="00A4436A"/>
    <w:rsid w:val="00A44CBA"/>
    <w:rsid w:val="00A45289"/>
    <w:rsid w:val="00A4645A"/>
    <w:rsid w:val="00A5136A"/>
    <w:rsid w:val="00A55003"/>
    <w:rsid w:val="00A5568A"/>
    <w:rsid w:val="00A563C4"/>
    <w:rsid w:val="00A568AF"/>
    <w:rsid w:val="00A56A70"/>
    <w:rsid w:val="00A61A91"/>
    <w:rsid w:val="00A6328F"/>
    <w:rsid w:val="00A64155"/>
    <w:rsid w:val="00A65F93"/>
    <w:rsid w:val="00A660A0"/>
    <w:rsid w:val="00A66C72"/>
    <w:rsid w:val="00A6729D"/>
    <w:rsid w:val="00A70403"/>
    <w:rsid w:val="00A716AD"/>
    <w:rsid w:val="00A71D04"/>
    <w:rsid w:val="00A71DEC"/>
    <w:rsid w:val="00A72445"/>
    <w:rsid w:val="00A731F1"/>
    <w:rsid w:val="00A732BE"/>
    <w:rsid w:val="00A733ED"/>
    <w:rsid w:val="00A73E0F"/>
    <w:rsid w:val="00A74DD4"/>
    <w:rsid w:val="00A76079"/>
    <w:rsid w:val="00A77BDD"/>
    <w:rsid w:val="00A8238B"/>
    <w:rsid w:val="00A84228"/>
    <w:rsid w:val="00A84F90"/>
    <w:rsid w:val="00A8538A"/>
    <w:rsid w:val="00A85977"/>
    <w:rsid w:val="00A86BBE"/>
    <w:rsid w:val="00A90C21"/>
    <w:rsid w:val="00A91582"/>
    <w:rsid w:val="00A91F48"/>
    <w:rsid w:val="00A926DF"/>
    <w:rsid w:val="00A93019"/>
    <w:rsid w:val="00A9373A"/>
    <w:rsid w:val="00A94D8B"/>
    <w:rsid w:val="00A957BE"/>
    <w:rsid w:val="00A9590A"/>
    <w:rsid w:val="00A96147"/>
    <w:rsid w:val="00AA0343"/>
    <w:rsid w:val="00AA0F0A"/>
    <w:rsid w:val="00AA2834"/>
    <w:rsid w:val="00AA3445"/>
    <w:rsid w:val="00AA494C"/>
    <w:rsid w:val="00AA4BC6"/>
    <w:rsid w:val="00AA60D5"/>
    <w:rsid w:val="00AA6201"/>
    <w:rsid w:val="00AA77D3"/>
    <w:rsid w:val="00AB0451"/>
    <w:rsid w:val="00AB06BE"/>
    <w:rsid w:val="00AB1372"/>
    <w:rsid w:val="00AB27A3"/>
    <w:rsid w:val="00AB36D4"/>
    <w:rsid w:val="00AB4970"/>
    <w:rsid w:val="00AB5614"/>
    <w:rsid w:val="00AB6AAF"/>
    <w:rsid w:val="00AB6C4C"/>
    <w:rsid w:val="00AC08EC"/>
    <w:rsid w:val="00AC1CA0"/>
    <w:rsid w:val="00AC5EFA"/>
    <w:rsid w:val="00AC6106"/>
    <w:rsid w:val="00AD1A7F"/>
    <w:rsid w:val="00AD1C0A"/>
    <w:rsid w:val="00AD2487"/>
    <w:rsid w:val="00AD5369"/>
    <w:rsid w:val="00AD546D"/>
    <w:rsid w:val="00AD5FA7"/>
    <w:rsid w:val="00AD6BDD"/>
    <w:rsid w:val="00AD72BF"/>
    <w:rsid w:val="00AE056E"/>
    <w:rsid w:val="00AE10D2"/>
    <w:rsid w:val="00AE1FBB"/>
    <w:rsid w:val="00AE2387"/>
    <w:rsid w:val="00AE2839"/>
    <w:rsid w:val="00AE30C8"/>
    <w:rsid w:val="00AE3EDA"/>
    <w:rsid w:val="00AE7E25"/>
    <w:rsid w:val="00AF124E"/>
    <w:rsid w:val="00AF1F6F"/>
    <w:rsid w:val="00AF3A5B"/>
    <w:rsid w:val="00AF3B67"/>
    <w:rsid w:val="00AF4B60"/>
    <w:rsid w:val="00AF4F3A"/>
    <w:rsid w:val="00AF530D"/>
    <w:rsid w:val="00AF72F2"/>
    <w:rsid w:val="00B025CB"/>
    <w:rsid w:val="00B03595"/>
    <w:rsid w:val="00B041FB"/>
    <w:rsid w:val="00B1098E"/>
    <w:rsid w:val="00B12CD3"/>
    <w:rsid w:val="00B1357D"/>
    <w:rsid w:val="00B20E8C"/>
    <w:rsid w:val="00B2322E"/>
    <w:rsid w:val="00B235E4"/>
    <w:rsid w:val="00B244E1"/>
    <w:rsid w:val="00B306E5"/>
    <w:rsid w:val="00B3100B"/>
    <w:rsid w:val="00B32DB8"/>
    <w:rsid w:val="00B3318A"/>
    <w:rsid w:val="00B34200"/>
    <w:rsid w:val="00B34C51"/>
    <w:rsid w:val="00B35711"/>
    <w:rsid w:val="00B36D31"/>
    <w:rsid w:val="00B373F7"/>
    <w:rsid w:val="00B37475"/>
    <w:rsid w:val="00B374CC"/>
    <w:rsid w:val="00B37A95"/>
    <w:rsid w:val="00B4061E"/>
    <w:rsid w:val="00B432DC"/>
    <w:rsid w:val="00B5009F"/>
    <w:rsid w:val="00B50E3C"/>
    <w:rsid w:val="00B53537"/>
    <w:rsid w:val="00B55461"/>
    <w:rsid w:val="00B5700A"/>
    <w:rsid w:val="00B60974"/>
    <w:rsid w:val="00B61663"/>
    <w:rsid w:val="00B62D31"/>
    <w:rsid w:val="00B63890"/>
    <w:rsid w:val="00B640A4"/>
    <w:rsid w:val="00B65057"/>
    <w:rsid w:val="00B709EA"/>
    <w:rsid w:val="00B721FC"/>
    <w:rsid w:val="00B733E4"/>
    <w:rsid w:val="00B75D2C"/>
    <w:rsid w:val="00B77104"/>
    <w:rsid w:val="00B81F63"/>
    <w:rsid w:val="00B838CF"/>
    <w:rsid w:val="00B84A0F"/>
    <w:rsid w:val="00B84FD1"/>
    <w:rsid w:val="00B85BF2"/>
    <w:rsid w:val="00B87138"/>
    <w:rsid w:val="00B9150A"/>
    <w:rsid w:val="00B92875"/>
    <w:rsid w:val="00B932EE"/>
    <w:rsid w:val="00B9341A"/>
    <w:rsid w:val="00B9606C"/>
    <w:rsid w:val="00B97A88"/>
    <w:rsid w:val="00BA0B28"/>
    <w:rsid w:val="00BA1141"/>
    <w:rsid w:val="00BA139E"/>
    <w:rsid w:val="00BA1784"/>
    <w:rsid w:val="00BA30D1"/>
    <w:rsid w:val="00BA3588"/>
    <w:rsid w:val="00BA4B3F"/>
    <w:rsid w:val="00BA4DAB"/>
    <w:rsid w:val="00BA5B49"/>
    <w:rsid w:val="00BA74C2"/>
    <w:rsid w:val="00BB0F41"/>
    <w:rsid w:val="00BB3279"/>
    <w:rsid w:val="00BB3B0F"/>
    <w:rsid w:val="00BB5882"/>
    <w:rsid w:val="00BB73A3"/>
    <w:rsid w:val="00BB7727"/>
    <w:rsid w:val="00BB7F4C"/>
    <w:rsid w:val="00BC03D7"/>
    <w:rsid w:val="00BC0D29"/>
    <w:rsid w:val="00BC1134"/>
    <w:rsid w:val="00BC15D3"/>
    <w:rsid w:val="00BC1A10"/>
    <w:rsid w:val="00BC1DD7"/>
    <w:rsid w:val="00BC2035"/>
    <w:rsid w:val="00BC235B"/>
    <w:rsid w:val="00BC3C69"/>
    <w:rsid w:val="00BC3E8E"/>
    <w:rsid w:val="00BC4189"/>
    <w:rsid w:val="00BC4217"/>
    <w:rsid w:val="00BC4241"/>
    <w:rsid w:val="00BC77C1"/>
    <w:rsid w:val="00BD017B"/>
    <w:rsid w:val="00BD0A69"/>
    <w:rsid w:val="00BD11FE"/>
    <w:rsid w:val="00BD24F8"/>
    <w:rsid w:val="00BD39E6"/>
    <w:rsid w:val="00BD3D94"/>
    <w:rsid w:val="00BD55C0"/>
    <w:rsid w:val="00BE0DA7"/>
    <w:rsid w:val="00BE1289"/>
    <w:rsid w:val="00BE1C22"/>
    <w:rsid w:val="00BE375E"/>
    <w:rsid w:val="00BE463C"/>
    <w:rsid w:val="00BE49EE"/>
    <w:rsid w:val="00BE59FF"/>
    <w:rsid w:val="00BE5B6F"/>
    <w:rsid w:val="00BE5BCA"/>
    <w:rsid w:val="00BE72FD"/>
    <w:rsid w:val="00BF0211"/>
    <w:rsid w:val="00BF08A9"/>
    <w:rsid w:val="00BF154A"/>
    <w:rsid w:val="00BF1E90"/>
    <w:rsid w:val="00BF42A2"/>
    <w:rsid w:val="00BF50CB"/>
    <w:rsid w:val="00BF6097"/>
    <w:rsid w:val="00BF60B6"/>
    <w:rsid w:val="00BF6C84"/>
    <w:rsid w:val="00BF7C2E"/>
    <w:rsid w:val="00BF7E24"/>
    <w:rsid w:val="00C00671"/>
    <w:rsid w:val="00C02149"/>
    <w:rsid w:val="00C03180"/>
    <w:rsid w:val="00C050C0"/>
    <w:rsid w:val="00C05C73"/>
    <w:rsid w:val="00C05CA6"/>
    <w:rsid w:val="00C05F52"/>
    <w:rsid w:val="00C06E25"/>
    <w:rsid w:val="00C10511"/>
    <w:rsid w:val="00C120C4"/>
    <w:rsid w:val="00C1247A"/>
    <w:rsid w:val="00C1490C"/>
    <w:rsid w:val="00C1556C"/>
    <w:rsid w:val="00C1619B"/>
    <w:rsid w:val="00C206E4"/>
    <w:rsid w:val="00C20D0E"/>
    <w:rsid w:val="00C20D87"/>
    <w:rsid w:val="00C219E6"/>
    <w:rsid w:val="00C231FC"/>
    <w:rsid w:val="00C23B82"/>
    <w:rsid w:val="00C24FAC"/>
    <w:rsid w:val="00C256DB"/>
    <w:rsid w:val="00C26500"/>
    <w:rsid w:val="00C27827"/>
    <w:rsid w:val="00C303EF"/>
    <w:rsid w:val="00C306C5"/>
    <w:rsid w:val="00C3109D"/>
    <w:rsid w:val="00C314BE"/>
    <w:rsid w:val="00C33707"/>
    <w:rsid w:val="00C3444C"/>
    <w:rsid w:val="00C3590B"/>
    <w:rsid w:val="00C3636E"/>
    <w:rsid w:val="00C40F93"/>
    <w:rsid w:val="00C41390"/>
    <w:rsid w:val="00C4234B"/>
    <w:rsid w:val="00C45507"/>
    <w:rsid w:val="00C46E2E"/>
    <w:rsid w:val="00C473B2"/>
    <w:rsid w:val="00C47538"/>
    <w:rsid w:val="00C50C75"/>
    <w:rsid w:val="00C51585"/>
    <w:rsid w:val="00C53A54"/>
    <w:rsid w:val="00C54427"/>
    <w:rsid w:val="00C577AC"/>
    <w:rsid w:val="00C60912"/>
    <w:rsid w:val="00C61D87"/>
    <w:rsid w:val="00C62CD5"/>
    <w:rsid w:val="00C62EAD"/>
    <w:rsid w:val="00C632C6"/>
    <w:rsid w:val="00C63435"/>
    <w:rsid w:val="00C66BD7"/>
    <w:rsid w:val="00C66C21"/>
    <w:rsid w:val="00C72059"/>
    <w:rsid w:val="00C73A52"/>
    <w:rsid w:val="00C74D2B"/>
    <w:rsid w:val="00C75382"/>
    <w:rsid w:val="00C75765"/>
    <w:rsid w:val="00C7633E"/>
    <w:rsid w:val="00C76D67"/>
    <w:rsid w:val="00C81BBF"/>
    <w:rsid w:val="00C83996"/>
    <w:rsid w:val="00C83B91"/>
    <w:rsid w:val="00C84203"/>
    <w:rsid w:val="00C84511"/>
    <w:rsid w:val="00C84D48"/>
    <w:rsid w:val="00C867F3"/>
    <w:rsid w:val="00C8686C"/>
    <w:rsid w:val="00C87887"/>
    <w:rsid w:val="00C87E74"/>
    <w:rsid w:val="00C936F5"/>
    <w:rsid w:val="00C93A84"/>
    <w:rsid w:val="00C93EAF"/>
    <w:rsid w:val="00C944D9"/>
    <w:rsid w:val="00C95371"/>
    <w:rsid w:val="00C96994"/>
    <w:rsid w:val="00CA11CB"/>
    <w:rsid w:val="00CA199C"/>
    <w:rsid w:val="00CA1D22"/>
    <w:rsid w:val="00CA73DC"/>
    <w:rsid w:val="00CB05EF"/>
    <w:rsid w:val="00CB0653"/>
    <w:rsid w:val="00CB176D"/>
    <w:rsid w:val="00CB1F9F"/>
    <w:rsid w:val="00CB239B"/>
    <w:rsid w:val="00CB2CEB"/>
    <w:rsid w:val="00CB4411"/>
    <w:rsid w:val="00CB5D21"/>
    <w:rsid w:val="00CB6F76"/>
    <w:rsid w:val="00CB72C0"/>
    <w:rsid w:val="00CB7A0F"/>
    <w:rsid w:val="00CC00B7"/>
    <w:rsid w:val="00CC21C7"/>
    <w:rsid w:val="00CC260A"/>
    <w:rsid w:val="00CC273F"/>
    <w:rsid w:val="00CC2A69"/>
    <w:rsid w:val="00CC2ED5"/>
    <w:rsid w:val="00CC59A9"/>
    <w:rsid w:val="00CC5C96"/>
    <w:rsid w:val="00CC61BB"/>
    <w:rsid w:val="00CC787F"/>
    <w:rsid w:val="00CD5706"/>
    <w:rsid w:val="00CD64A5"/>
    <w:rsid w:val="00CD7066"/>
    <w:rsid w:val="00CD7497"/>
    <w:rsid w:val="00CE029F"/>
    <w:rsid w:val="00CE1DCD"/>
    <w:rsid w:val="00CE641C"/>
    <w:rsid w:val="00CE6FC5"/>
    <w:rsid w:val="00CE7E5D"/>
    <w:rsid w:val="00CF212C"/>
    <w:rsid w:val="00CF2831"/>
    <w:rsid w:val="00CF3A50"/>
    <w:rsid w:val="00D006AE"/>
    <w:rsid w:val="00D0195A"/>
    <w:rsid w:val="00D0293D"/>
    <w:rsid w:val="00D03428"/>
    <w:rsid w:val="00D036B2"/>
    <w:rsid w:val="00D0395F"/>
    <w:rsid w:val="00D03B65"/>
    <w:rsid w:val="00D03BC1"/>
    <w:rsid w:val="00D054F8"/>
    <w:rsid w:val="00D107DB"/>
    <w:rsid w:val="00D11489"/>
    <w:rsid w:val="00D117D9"/>
    <w:rsid w:val="00D120FD"/>
    <w:rsid w:val="00D1215E"/>
    <w:rsid w:val="00D14EE9"/>
    <w:rsid w:val="00D15AE3"/>
    <w:rsid w:val="00D170D9"/>
    <w:rsid w:val="00D17F34"/>
    <w:rsid w:val="00D2046F"/>
    <w:rsid w:val="00D2056C"/>
    <w:rsid w:val="00D210F8"/>
    <w:rsid w:val="00D2294F"/>
    <w:rsid w:val="00D253B7"/>
    <w:rsid w:val="00D2674B"/>
    <w:rsid w:val="00D27AA8"/>
    <w:rsid w:val="00D30281"/>
    <w:rsid w:val="00D313AA"/>
    <w:rsid w:val="00D3190E"/>
    <w:rsid w:val="00D321A3"/>
    <w:rsid w:val="00D32F0B"/>
    <w:rsid w:val="00D338ED"/>
    <w:rsid w:val="00D35A8D"/>
    <w:rsid w:val="00D36261"/>
    <w:rsid w:val="00D36E1E"/>
    <w:rsid w:val="00D4007B"/>
    <w:rsid w:val="00D41F4B"/>
    <w:rsid w:val="00D42363"/>
    <w:rsid w:val="00D425C4"/>
    <w:rsid w:val="00D4435C"/>
    <w:rsid w:val="00D44E0B"/>
    <w:rsid w:val="00D47F0A"/>
    <w:rsid w:val="00D522AD"/>
    <w:rsid w:val="00D522F3"/>
    <w:rsid w:val="00D52A4A"/>
    <w:rsid w:val="00D531C0"/>
    <w:rsid w:val="00D5398E"/>
    <w:rsid w:val="00D55BD4"/>
    <w:rsid w:val="00D56EB8"/>
    <w:rsid w:val="00D57AC4"/>
    <w:rsid w:val="00D600AE"/>
    <w:rsid w:val="00D6293B"/>
    <w:rsid w:val="00D63034"/>
    <w:rsid w:val="00D64EA6"/>
    <w:rsid w:val="00D663E8"/>
    <w:rsid w:val="00D67723"/>
    <w:rsid w:val="00D6788F"/>
    <w:rsid w:val="00D67B29"/>
    <w:rsid w:val="00D70D83"/>
    <w:rsid w:val="00D73B2C"/>
    <w:rsid w:val="00D75139"/>
    <w:rsid w:val="00D766A0"/>
    <w:rsid w:val="00D77B28"/>
    <w:rsid w:val="00D80F83"/>
    <w:rsid w:val="00D8175D"/>
    <w:rsid w:val="00D828B4"/>
    <w:rsid w:val="00D82E3C"/>
    <w:rsid w:val="00D83C2E"/>
    <w:rsid w:val="00D83C81"/>
    <w:rsid w:val="00D859D6"/>
    <w:rsid w:val="00D85E90"/>
    <w:rsid w:val="00D86912"/>
    <w:rsid w:val="00D87664"/>
    <w:rsid w:val="00D91DC6"/>
    <w:rsid w:val="00D92025"/>
    <w:rsid w:val="00D930EF"/>
    <w:rsid w:val="00DA020E"/>
    <w:rsid w:val="00DA0AC5"/>
    <w:rsid w:val="00DA1901"/>
    <w:rsid w:val="00DA1EFC"/>
    <w:rsid w:val="00DA3163"/>
    <w:rsid w:val="00DA4118"/>
    <w:rsid w:val="00DA412E"/>
    <w:rsid w:val="00DA44FF"/>
    <w:rsid w:val="00DA5B11"/>
    <w:rsid w:val="00DA5BC9"/>
    <w:rsid w:val="00DA5FD9"/>
    <w:rsid w:val="00DA7074"/>
    <w:rsid w:val="00DA7DAC"/>
    <w:rsid w:val="00DB11FB"/>
    <w:rsid w:val="00DB132C"/>
    <w:rsid w:val="00DB2BD7"/>
    <w:rsid w:val="00DB2EF8"/>
    <w:rsid w:val="00DB3AFA"/>
    <w:rsid w:val="00DB50DD"/>
    <w:rsid w:val="00DB5A59"/>
    <w:rsid w:val="00DB7A68"/>
    <w:rsid w:val="00DC109C"/>
    <w:rsid w:val="00DC270F"/>
    <w:rsid w:val="00DC31DF"/>
    <w:rsid w:val="00DC3364"/>
    <w:rsid w:val="00DC4706"/>
    <w:rsid w:val="00DC507E"/>
    <w:rsid w:val="00DC7104"/>
    <w:rsid w:val="00DD0B81"/>
    <w:rsid w:val="00DD0EBD"/>
    <w:rsid w:val="00DD1488"/>
    <w:rsid w:val="00DD240C"/>
    <w:rsid w:val="00DD2C43"/>
    <w:rsid w:val="00DD2D39"/>
    <w:rsid w:val="00DD5B4C"/>
    <w:rsid w:val="00DD6C3C"/>
    <w:rsid w:val="00DE01E1"/>
    <w:rsid w:val="00DE0463"/>
    <w:rsid w:val="00DE0E26"/>
    <w:rsid w:val="00DE12BE"/>
    <w:rsid w:val="00DE2D4F"/>
    <w:rsid w:val="00DE3A2A"/>
    <w:rsid w:val="00DE4644"/>
    <w:rsid w:val="00DE69AC"/>
    <w:rsid w:val="00DE7AEF"/>
    <w:rsid w:val="00DF3DEE"/>
    <w:rsid w:val="00DF435B"/>
    <w:rsid w:val="00DF638D"/>
    <w:rsid w:val="00E01180"/>
    <w:rsid w:val="00E01353"/>
    <w:rsid w:val="00E02E14"/>
    <w:rsid w:val="00E03650"/>
    <w:rsid w:val="00E03C9D"/>
    <w:rsid w:val="00E03D77"/>
    <w:rsid w:val="00E04029"/>
    <w:rsid w:val="00E0446C"/>
    <w:rsid w:val="00E0548C"/>
    <w:rsid w:val="00E058AB"/>
    <w:rsid w:val="00E05F84"/>
    <w:rsid w:val="00E07B28"/>
    <w:rsid w:val="00E11A73"/>
    <w:rsid w:val="00E12449"/>
    <w:rsid w:val="00E1247E"/>
    <w:rsid w:val="00E12B5F"/>
    <w:rsid w:val="00E14EFE"/>
    <w:rsid w:val="00E14FD8"/>
    <w:rsid w:val="00E15EF0"/>
    <w:rsid w:val="00E16EC7"/>
    <w:rsid w:val="00E17534"/>
    <w:rsid w:val="00E1792E"/>
    <w:rsid w:val="00E17A76"/>
    <w:rsid w:val="00E211AB"/>
    <w:rsid w:val="00E212C8"/>
    <w:rsid w:val="00E21731"/>
    <w:rsid w:val="00E21A15"/>
    <w:rsid w:val="00E21E86"/>
    <w:rsid w:val="00E22BCC"/>
    <w:rsid w:val="00E2495A"/>
    <w:rsid w:val="00E25343"/>
    <w:rsid w:val="00E31F83"/>
    <w:rsid w:val="00E32155"/>
    <w:rsid w:val="00E3328D"/>
    <w:rsid w:val="00E3353C"/>
    <w:rsid w:val="00E339D4"/>
    <w:rsid w:val="00E34823"/>
    <w:rsid w:val="00E34B3C"/>
    <w:rsid w:val="00E34B43"/>
    <w:rsid w:val="00E35A59"/>
    <w:rsid w:val="00E36A14"/>
    <w:rsid w:val="00E36EFB"/>
    <w:rsid w:val="00E3712A"/>
    <w:rsid w:val="00E37410"/>
    <w:rsid w:val="00E41003"/>
    <w:rsid w:val="00E41E00"/>
    <w:rsid w:val="00E42938"/>
    <w:rsid w:val="00E44EA3"/>
    <w:rsid w:val="00E45289"/>
    <w:rsid w:val="00E45967"/>
    <w:rsid w:val="00E47DBC"/>
    <w:rsid w:val="00E502A3"/>
    <w:rsid w:val="00E50FE6"/>
    <w:rsid w:val="00E510F6"/>
    <w:rsid w:val="00E5221E"/>
    <w:rsid w:val="00E528AF"/>
    <w:rsid w:val="00E52918"/>
    <w:rsid w:val="00E53027"/>
    <w:rsid w:val="00E54D6D"/>
    <w:rsid w:val="00E55087"/>
    <w:rsid w:val="00E55698"/>
    <w:rsid w:val="00E573B5"/>
    <w:rsid w:val="00E578B0"/>
    <w:rsid w:val="00E57BB8"/>
    <w:rsid w:val="00E60018"/>
    <w:rsid w:val="00E61DE5"/>
    <w:rsid w:val="00E63B6D"/>
    <w:rsid w:val="00E63DD5"/>
    <w:rsid w:val="00E649CD"/>
    <w:rsid w:val="00E65B41"/>
    <w:rsid w:val="00E661AB"/>
    <w:rsid w:val="00E6660A"/>
    <w:rsid w:val="00E66613"/>
    <w:rsid w:val="00E72A3C"/>
    <w:rsid w:val="00E739C6"/>
    <w:rsid w:val="00E73D7D"/>
    <w:rsid w:val="00E74A9F"/>
    <w:rsid w:val="00E7674B"/>
    <w:rsid w:val="00E77394"/>
    <w:rsid w:val="00E778CB"/>
    <w:rsid w:val="00E80F9B"/>
    <w:rsid w:val="00E81076"/>
    <w:rsid w:val="00E81353"/>
    <w:rsid w:val="00E83A77"/>
    <w:rsid w:val="00E85027"/>
    <w:rsid w:val="00E86DE1"/>
    <w:rsid w:val="00E8714E"/>
    <w:rsid w:val="00E87A61"/>
    <w:rsid w:val="00E9098A"/>
    <w:rsid w:val="00E90C90"/>
    <w:rsid w:val="00E979A0"/>
    <w:rsid w:val="00EA0498"/>
    <w:rsid w:val="00EA1626"/>
    <w:rsid w:val="00EA2E01"/>
    <w:rsid w:val="00EA2E9C"/>
    <w:rsid w:val="00EA406A"/>
    <w:rsid w:val="00EA65D5"/>
    <w:rsid w:val="00EA72E7"/>
    <w:rsid w:val="00EB1484"/>
    <w:rsid w:val="00EB3EC0"/>
    <w:rsid w:val="00EB5616"/>
    <w:rsid w:val="00EB607C"/>
    <w:rsid w:val="00EB79AC"/>
    <w:rsid w:val="00EC060B"/>
    <w:rsid w:val="00EC06D2"/>
    <w:rsid w:val="00EC2452"/>
    <w:rsid w:val="00EC49C4"/>
    <w:rsid w:val="00EC5001"/>
    <w:rsid w:val="00EC52E0"/>
    <w:rsid w:val="00EC5534"/>
    <w:rsid w:val="00EC6B59"/>
    <w:rsid w:val="00EC72B7"/>
    <w:rsid w:val="00ED1B0E"/>
    <w:rsid w:val="00ED239B"/>
    <w:rsid w:val="00ED572D"/>
    <w:rsid w:val="00ED5E73"/>
    <w:rsid w:val="00ED6E8E"/>
    <w:rsid w:val="00EE1526"/>
    <w:rsid w:val="00EE1F75"/>
    <w:rsid w:val="00EE3419"/>
    <w:rsid w:val="00EE4340"/>
    <w:rsid w:val="00EE5719"/>
    <w:rsid w:val="00EE7108"/>
    <w:rsid w:val="00EF2A07"/>
    <w:rsid w:val="00EF50D3"/>
    <w:rsid w:val="00EF57B7"/>
    <w:rsid w:val="00F0087C"/>
    <w:rsid w:val="00F00A0E"/>
    <w:rsid w:val="00F01F16"/>
    <w:rsid w:val="00F02DFF"/>
    <w:rsid w:val="00F03067"/>
    <w:rsid w:val="00F0475B"/>
    <w:rsid w:val="00F05762"/>
    <w:rsid w:val="00F06979"/>
    <w:rsid w:val="00F06DA0"/>
    <w:rsid w:val="00F07693"/>
    <w:rsid w:val="00F07830"/>
    <w:rsid w:val="00F07A5D"/>
    <w:rsid w:val="00F07B74"/>
    <w:rsid w:val="00F10130"/>
    <w:rsid w:val="00F10145"/>
    <w:rsid w:val="00F10440"/>
    <w:rsid w:val="00F10D24"/>
    <w:rsid w:val="00F11D5B"/>
    <w:rsid w:val="00F135D8"/>
    <w:rsid w:val="00F144C9"/>
    <w:rsid w:val="00F148B5"/>
    <w:rsid w:val="00F14A36"/>
    <w:rsid w:val="00F1697C"/>
    <w:rsid w:val="00F174AA"/>
    <w:rsid w:val="00F2002C"/>
    <w:rsid w:val="00F202E7"/>
    <w:rsid w:val="00F227AA"/>
    <w:rsid w:val="00F238A0"/>
    <w:rsid w:val="00F24985"/>
    <w:rsid w:val="00F266FB"/>
    <w:rsid w:val="00F27052"/>
    <w:rsid w:val="00F3052B"/>
    <w:rsid w:val="00F32ADA"/>
    <w:rsid w:val="00F34E32"/>
    <w:rsid w:val="00F35920"/>
    <w:rsid w:val="00F35F6D"/>
    <w:rsid w:val="00F40676"/>
    <w:rsid w:val="00F43311"/>
    <w:rsid w:val="00F43BAB"/>
    <w:rsid w:val="00F44451"/>
    <w:rsid w:val="00F4491E"/>
    <w:rsid w:val="00F46D39"/>
    <w:rsid w:val="00F50907"/>
    <w:rsid w:val="00F514A0"/>
    <w:rsid w:val="00F5424A"/>
    <w:rsid w:val="00F54A64"/>
    <w:rsid w:val="00F552CE"/>
    <w:rsid w:val="00F57080"/>
    <w:rsid w:val="00F608DD"/>
    <w:rsid w:val="00F614BB"/>
    <w:rsid w:val="00F61AFA"/>
    <w:rsid w:val="00F626DC"/>
    <w:rsid w:val="00F6295F"/>
    <w:rsid w:val="00F63A03"/>
    <w:rsid w:val="00F63DC6"/>
    <w:rsid w:val="00F64E03"/>
    <w:rsid w:val="00F64FD1"/>
    <w:rsid w:val="00F65823"/>
    <w:rsid w:val="00F66089"/>
    <w:rsid w:val="00F707D6"/>
    <w:rsid w:val="00F70C0B"/>
    <w:rsid w:val="00F71330"/>
    <w:rsid w:val="00F71FAB"/>
    <w:rsid w:val="00F7403D"/>
    <w:rsid w:val="00F74C76"/>
    <w:rsid w:val="00F76BEE"/>
    <w:rsid w:val="00F80DF2"/>
    <w:rsid w:val="00F819B6"/>
    <w:rsid w:val="00F81BFE"/>
    <w:rsid w:val="00F81C39"/>
    <w:rsid w:val="00F83240"/>
    <w:rsid w:val="00F839F6"/>
    <w:rsid w:val="00F8505D"/>
    <w:rsid w:val="00F85DE4"/>
    <w:rsid w:val="00F8753A"/>
    <w:rsid w:val="00F8798B"/>
    <w:rsid w:val="00F87C3D"/>
    <w:rsid w:val="00F902A3"/>
    <w:rsid w:val="00F9081A"/>
    <w:rsid w:val="00F90E81"/>
    <w:rsid w:val="00F921F1"/>
    <w:rsid w:val="00F9268F"/>
    <w:rsid w:val="00F950A6"/>
    <w:rsid w:val="00F95527"/>
    <w:rsid w:val="00F962FA"/>
    <w:rsid w:val="00F965F2"/>
    <w:rsid w:val="00F96A75"/>
    <w:rsid w:val="00F97EF7"/>
    <w:rsid w:val="00FA0419"/>
    <w:rsid w:val="00FA1538"/>
    <w:rsid w:val="00FA1A91"/>
    <w:rsid w:val="00FB03A3"/>
    <w:rsid w:val="00FB066B"/>
    <w:rsid w:val="00FB1D35"/>
    <w:rsid w:val="00FB1FBD"/>
    <w:rsid w:val="00FB2D18"/>
    <w:rsid w:val="00FB407C"/>
    <w:rsid w:val="00FB4FE6"/>
    <w:rsid w:val="00FB5F7D"/>
    <w:rsid w:val="00FB613E"/>
    <w:rsid w:val="00FC0604"/>
    <w:rsid w:val="00FC1927"/>
    <w:rsid w:val="00FC2325"/>
    <w:rsid w:val="00FC286E"/>
    <w:rsid w:val="00FC2CAB"/>
    <w:rsid w:val="00FC2D1A"/>
    <w:rsid w:val="00FC3E5E"/>
    <w:rsid w:val="00FC492C"/>
    <w:rsid w:val="00FC536C"/>
    <w:rsid w:val="00FC54A2"/>
    <w:rsid w:val="00FC63D0"/>
    <w:rsid w:val="00FC7555"/>
    <w:rsid w:val="00FC774C"/>
    <w:rsid w:val="00FC79FA"/>
    <w:rsid w:val="00FC7A24"/>
    <w:rsid w:val="00FD1143"/>
    <w:rsid w:val="00FD1C61"/>
    <w:rsid w:val="00FD1CBC"/>
    <w:rsid w:val="00FD2139"/>
    <w:rsid w:val="00FD26DD"/>
    <w:rsid w:val="00FD48A1"/>
    <w:rsid w:val="00FD4C82"/>
    <w:rsid w:val="00FD5CC6"/>
    <w:rsid w:val="00FD5FE4"/>
    <w:rsid w:val="00FD6F5C"/>
    <w:rsid w:val="00FD763A"/>
    <w:rsid w:val="00FE067A"/>
    <w:rsid w:val="00FE08AD"/>
    <w:rsid w:val="00FE1D17"/>
    <w:rsid w:val="00FE5CCE"/>
    <w:rsid w:val="00FE6A54"/>
    <w:rsid w:val="00FF2619"/>
    <w:rsid w:val="00FF2E14"/>
    <w:rsid w:val="00FF76D4"/>
  </w:rsids>
  <m:mathPr>
    <m:mathFont m:val="Optima"/>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330D"/>
    <w:pPr>
      <w:spacing w:after="200" w:line="276" w:lineRule="auto"/>
      <w:jc w:val="both"/>
    </w:pPr>
    <w:rPr>
      <w:rFonts w:ascii="Times New Roman" w:hAnsi="Times New Roman"/>
      <w:sz w:val="24"/>
      <w:szCs w:val="24"/>
      <w:lang w:val="en-GB" w:eastAsia="en-US"/>
    </w:rPr>
  </w:style>
  <w:style w:type="paragraph" w:styleId="Heading1">
    <w:name w:val="heading 1"/>
    <w:basedOn w:val="ListParagraph"/>
    <w:next w:val="Normal"/>
    <w:link w:val="Heading1Char1"/>
    <w:qFormat/>
    <w:rsid w:val="00B12CD3"/>
    <w:pPr>
      <w:keepNext/>
      <w:spacing w:after="240" w:line="240" w:lineRule="auto"/>
      <w:ind w:left="0"/>
      <w:contextualSpacing w:val="0"/>
      <w:outlineLvl w:val="0"/>
    </w:pPr>
    <w:rPr>
      <w:b/>
      <w:smallCaps/>
      <w:color w:val="17365D"/>
      <w:sz w:val="36"/>
      <w:szCs w:val="36"/>
    </w:rPr>
  </w:style>
  <w:style w:type="paragraph" w:styleId="Heading2">
    <w:name w:val="heading 2"/>
    <w:basedOn w:val="ListParagraph"/>
    <w:next w:val="Normal"/>
    <w:link w:val="Heading2Char1"/>
    <w:qFormat/>
    <w:rsid w:val="003C397D"/>
    <w:pPr>
      <w:keepNext/>
      <w:numPr>
        <w:ilvl w:val="1"/>
        <w:numId w:val="11"/>
      </w:numPr>
      <w:spacing w:before="600" w:after="120"/>
      <w:outlineLvl w:val="1"/>
    </w:pPr>
    <w:rPr>
      <w:b/>
      <w:color w:val="17365D"/>
      <w:sz w:val="28"/>
      <w:szCs w:val="28"/>
    </w:rPr>
  </w:style>
  <w:style w:type="paragraph" w:styleId="Heading3">
    <w:name w:val="heading 3"/>
    <w:basedOn w:val="Normal"/>
    <w:next w:val="Normal"/>
    <w:link w:val="Heading3Char1"/>
    <w:qFormat/>
    <w:rsid w:val="00363D60"/>
    <w:pPr>
      <w:keepNext/>
      <w:numPr>
        <w:ilvl w:val="2"/>
        <w:numId w:val="10"/>
      </w:numPr>
      <w:spacing w:before="240" w:after="60"/>
      <w:outlineLvl w:val="2"/>
    </w:pPr>
    <w:rPr>
      <w:rFonts w:eastAsia="Times New Roman"/>
      <w:b/>
      <w:bCs/>
      <w:color w:val="17365D"/>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7A7"/>
    <w:rPr>
      <w:rFonts w:ascii="Lucida Grande" w:hAnsi="Lucida Grande"/>
      <w:sz w:val="18"/>
      <w:szCs w:val="18"/>
    </w:rPr>
  </w:style>
  <w:style w:type="paragraph" w:styleId="ListParagraph">
    <w:name w:val="List Paragraph"/>
    <w:basedOn w:val="Normal"/>
    <w:uiPriority w:val="34"/>
    <w:qFormat/>
    <w:rsid w:val="00834352"/>
    <w:pPr>
      <w:ind w:left="720"/>
      <w:contextualSpacing/>
    </w:pPr>
  </w:style>
  <w:style w:type="character" w:customStyle="1" w:styleId="BalloonTextChar0">
    <w:name w:val="Balloon Text Char"/>
    <w:basedOn w:val="DefaultParagraphFont"/>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szCs w:val="24"/>
      <w:lang w:val="en-US" w:eastAsia="en-US"/>
    </w:rPr>
  </w:style>
  <w:style w:type="character" w:customStyle="1" w:styleId="HeaderChar">
    <w:name w:val="Header Char"/>
    <w:basedOn w:val="DefaultParagraphFont"/>
    <w:uiPriority w:val="99"/>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sz w:val="24"/>
      <w:szCs w:val="24"/>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semiHidden/>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semiHidden/>
    <w:rsid w:val="00834352"/>
    <w:rPr>
      <w:rFonts w:eastAsia="Times New Roman"/>
      <w:color w:val="FF0000"/>
      <w:szCs w:val="22"/>
    </w:rPr>
  </w:style>
  <w:style w:type="paragraph" w:styleId="TOC4">
    <w:name w:val="toc 4"/>
    <w:basedOn w:val="Normal"/>
    <w:next w:val="Normal"/>
    <w:autoRedefine/>
    <w:uiPriority w:val="99"/>
    <w:semiHidden/>
    <w:rsid w:val="00834352"/>
    <w:pPr>
      <w:spacing w:after="0" w:line="240" w:lineRule="auto"/>
      <w:ind w:left="720"/>
      <w:jc w:val="left"/>
    </w:pPr>
    <w:rPr>
      <w:rFonts w:eastAsia="Times New Roman"/>
    </w:rPr>
  </w:style>
  <w:style w:type="paragraph" w:styleId="TOC5">
    <w:name w:val="toc 5"/>
    <w:basedOn w:val="Normal"/>
    <w:next w:val="Normal"/>
    <w:autoRedefine/>
    <w:semiHidden/>
    <w:rsid w:val="00834352"/>
    <w:pPr>
      <w:spacing w:after="0" w:line="240" w:lineRule="auto"/>
      <w:ind w:left="960"/>
      <w:jc w:val="left"/>
    </w:pPr>
    <w:rPr>
      <w:rFonts w:eastAsia="Times New Roman"/>
    </w:rPr>
  </w:style>
  <w:style w:type="paragraph" w:styleId="TOC6">
    <w:name w:val="toc 6"/>
    <w:basedOn w:val="Normal"/>
    <w:next w:val="Normal"/>
    <w:autoRedefine/>
    <w:semiHidden/>
    <w:rsid w:val="00834352"/>
    <w:pPr>
      <w:spacing w:after="0" w:line="240" w:lineRule="auto"/>
      <w:ind w:left="1200"/>
      <w:jc w:val="left"/>
    </w:pPr>
    <w:rPr>
      <w:rFonts w:eastAsia="Times New Roman"/>
    </w:rPr>
  </w:style>
  <w:style w:type="paragraph" w:styleId="TOC7">
    <w:name w:val="toc 7"/>
    <w:basedOn w:val="Normal"/>
    <w:next w:val="Normal"/>
    <w:autoRedefine/>
    <w:semiHidden/>
    <w:rsid w:val="00834352"/>
    <w:pPr>
      <w:spacing w:after="0" w:line="240" w:lineRule="auto"/>
      <w:ind w:left="1440"/>
      <w:jc w:val="left"/>
    </w:pPr>
    <w:rPr>
      <w:rFonts w:eastAsia="Times New Roman"/>
    </w:rPr>
  </w:style>
  <w:style w:type="paragraph" w:styleId="TOC8">
    <w:name w:val="toc 8"/>
    <w:basedOn w:val="Normal"/>
    <w:next w:val="Normal"/>
    <w:autoRedefine/>
    <w:semiHidden/>
    <w:rsid w:val="00834352"/>
    <w:pPr>
      <w:spacing w:after="0" w:line="240" w:lineRule="auto"/>
      <w:ind w:left="1680"/>
      <w:jc w:val="left"/>
    </w:pPr>
    <w:rPr>
      <w:rFonts w:eastAsia="Times New Roman"/>
    </w:rPr>
  </w:style>
  <w:style w:type="paragraph" w:styleId="TOC9">
    <w:name w:val="toc 9"/>
    <w:basedOn w:val="Normal"/>
    <w:next w:val="Normal"/>
    <w:autoRedefine/>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szCs w:val="24"/>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sz w:val="24"/>
      <w:szCs w:val="24"/>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B12CD3"/>
    <w:rPr>
      <w:rFonts w:ascii="Times New Roman" w:hAnsi="Times New Roman"/>
      <w:b/>
      <w:smallCaps/>
      <w:color w:val="17365D"/>
      <w:sz w:val="36"/>
      <w:szCs w:val="36"/>
      <w:lang w:val="en-GB" w:eastAsia="en-US"/>
    </w:rPr>
  </w:style>
  <w:style w:type="character" w:customStyle="1" w:styleId="Heading2Char1">
    <w:name w:val="Heading 2 Char1"/>
    <w:basedOn w:val="DefaultParagraphFont"/>
    <w:link w:val="Heading2"/>
    <w:rsid w:val="003C397D"/>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C3636E"/>
    <w:rPr>
      <w:rFonts w:ascii="Times New Roman" w:eastAsia="Times New Roman" w:hAnsi="Times New Roman"/>
      <w:b/>
      <w:bCs/>
      <w:color w:val="17365D"/>
      <w:sz w:val="24"/>
      <w:szCs w:val="24"/>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 w:val="24"/>
      <w:szCs w:val="22"/>
      <w:lang w:val="en-GB" w:eastAsia="en-US"/>
    </w:rPr>
  </w:style>
  <w:style w:type="character" w:customStyle="1" w:styleId="Heading7Char1">
    <w:name w:val="Heading 7 Char1"/>
    <w:basedOn w:val="DefaultParagraphFont"/>
    <w:link w:val="Heading7"/>
    <w:rsid w:val="00C3636E"/>
    <w:rPr>
      <w:rFonts w:eastAsia="Times New Roman"/>
      <w:sz w:val="24"/>
      <w:szCs w:val="24"/>
      <w:lang w:val="en-GB" w:eastAsia="en-US"/>
    </w:rPr>
  </w:style>
  <w:style w:type="character" w:customStyle="1" w:styleId="Heading8Char1">
    <w:name w:val="Heading 8 Char1"/>
    <w:basedOn w:val="DefaultParagraphFont"/>
    <w:link w:val="Heading8"/>
    <w:rsid w:val="00C3636E"/>
    <w:rPr>
      <w:rFonts w:eastAsia="Times New Roman"/>
      <w:i/>
      <w:iCs/>
      <w:sz w:val="24"/>
      <w:szCs w:val="24"/>
      <w:lang w:val="en-GB" w:eastAsia="en-US"/>
    </w:rPr>
  </w:style>
  <w:style w:type="character" w:customStyle="1" w:styleId="Heading9Char1">
    <w:name w:val="Heading 9 Char1"/>
    <w:basedOn w:val="DefaultParagraphFont"/>
    <w:link w:val="Heading9"/>
    <w:rsid w:val="00C3636E"/>
    <w:rPr>
      <w:rFonts w:ascii="Cambria" w:eastAsia="Times New Roman" w:hAnsi="Cambria"/>
      <w:sz w:val="24"/>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uiPriority w:val="99"/>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semiHidden/>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01343"/>
  </w:style>
  <w:style w:type="paragraph" w:styleId="EndnoteText">
    <w:name w:val="endnote text"/>
    <w:basedOn w:val="Normal"/>
    <w:link w:val="EndnoteTextChar"/>
    <w:uiPriority w:val="99"/>
    <w:semiHidden/>
    <w:unhideWhenUsed/>
    <w:rsid w:val="00AD5369"/>
    <w:pPr>
      <w:spacing w:after="0" w:line="240" w:lineRule="auto"/>
      <w:jc w:val="left"/>
    </w:pPr>
    <w:rPr>
      <w:rFonts w:ascii="Calibri" w:eastAsia="Times New Roman" w:hAnsi="Calibri"/>
      <w:sz w:val="20"/>
      <w:szCs w:val="20"/>
      <w:lang w:val="en-US"/>
    </w:rPr>
  </w:style>
  <w:style w:type="character" w:customStyle="1" w:styleId="EndnoteTextChar">
    <w:name w:val="Endnote Text Char"/>
    <w:basedOn w:val="DefaultParagraphFont"/>
    <w:link w:val="EndnoteText"/>
    <w:uiPriority w:val="99"/>
    <w:semiHidden/>
    <w:rsid w:val="00AD5369"/>
    <w:rPr>
      <w:rFonts w:eastAsia="Times New Roman"/>
      <w:lang w:val="en-US" w:eastAsia="en-US"/>
    </w:rPr>
  </w:style>
  <w:style w:type="character" w:styleId="EndnoteReference">
    <w:name w:val="endnote reference"/>
    <w:basedOn w:val="DefaultParagraphFont"/>
    <w:uiPriority w:val="99"/>
    <w:semiHidden/>
    <w:unhideWhenUsed/>
    <w:rsid w:val="00AD53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330D"/>
    <w:pPr>
      <w:spacing w:after="200" w:line="276" w:lineRule="auto"/>
      <w:jc w:val="both"/>
    </w:pPr>
    <w:rPr>
      <w:rFonts w:ascii="Times New Roman" w:hAnsi="Times New Roman"/>
      <w:sz w:val="24"/>
      <w:szCs w:val="24"/>
      <w:lang w:val="en-GB" w:eastAsia="en-US"/>
    </w:rPr>
  </w:style>
  <w:style w:type="paragraph" w:styleId="Heading1">
    <w:name w:val="heading 1"/>
    <w:basedOn w:val="ListParagraph"/>
    <w:next w:val="Normal"/>
    <w:link w:val="Heading1Char1"/>
    <w:qFormat/>
    <w:rsid w:val="00B12CD3"/>
    <w:pPr>
      <w:keepNext/>
      <w:spacing w:after="240" w:line="240" w:lineRule="auto"/>
      <w:ind w:left="0"/>
      <w:contextualSpacing w:val="0"/>
      <w:outlineLvl w:val="0"/>
    </w:pPr>
    <w:rPr>
      <w:b/>
      <w:smallCaps/>
      <w:color w:val="17365D"/>
      <w:sz w:val="36"/>
      <w:szCs w:val="36"/>
    </w:rPr>
  </w:style>
  <w:style w:type="paragraph" w:styleId="Heading2">
    <w:name w:val="heading 2"/>
    <w:basedOn w:val="ListParagraph"/>
    <w:next w:val="Normal"/>
    <w:link w:val="Heading2Char1"/>
    <w:qFormat/>
    <w:rsid w:val="003C397D"/>
    <w:pPr>
      <w:keepNext/>
      <w:numPr>
        <w:ilvl w:val="1"/>
        <w:numId w:val="11"/>
      </w:numPr>
      <w:spacing w:before="600" w:after="120"/>
      <w:outlineLvl w:val="1"/>
    </w:pPr>
    <w:rPr>
      <w:b/>
      <w:color w:val="17365D"/>
      <w:sz w:val="28"/>
      <w:szCs w:val="28"/>
    </w:rPr>
  </w:style>
  <w:style w:type="paragraph" w:styleId="Heading3">
    <w:name w:val="heading 3"/>
    <w:basedOn w:val="Normal"/>
    <w:next w:val="Normal"/>
    <w:link w:val="Heading3Char1"/>
    <w:qFormat/>
    <w:rsid w:val="00363D60"/>
    <w:pPr>
      <w:keepNext/>
      <w:numPr>
        <w:ilvl w:val="2"/>
        <w:numId w:val="10"/>
      </w:numPr>
      <w:spacing w:before="240" w:after="60"/>
      <w:outlineLvl w:val="2"/>
    </w:pPr>
    <w:rPr>
      <w:rFonts w:eastAsia="Times New Roman"/>
      <w:b/>
      <w:bCs/>
      <w:color w:val="17365D"/>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352"/>
    <w:pPr>
      <w:ind w:left="720"/>
      <w:contextualSpacing/>
    </w:pPr>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szCs w:val="24"/>
      <w:lang w:val="en-US" w:eastAsia="en-US"/>
    </w:rPr>
  </w:style>
  <w:style w:type="character" w:customStyle="1" w:styleId="HeaderChar">
    <w:name w:val="Header Char"/>
    <w:basedOn w:val="DefaultParagraphFont"/>
    <w:uiPriority w:val="99"/>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sz w:val="24"/>
      <w:szCs w:val="24"/>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semiHidden/>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semiHidden/>
    <w:rsid w:val="00834352"/>
    <w:rPr>
      <w:rFonts w:eastAsia="Times New Roman"/>
      <w:color w:val="FF0000"/>
      <w:szCs w:val="22"/>
    </w:rPr>
  </w:style>
  <w:style w:type="paragraph" w:styleId="TOC4">
    <w:name w:val="toc 4"/>
    <w:basedOn w:val="Normal"/>
    <w:next w:val="Normal"/>
    <w:autoRedefine/>
    <w:uiPriority w:val="99"/>
    <w:semiHidden/>
    <w:rsid w:val="00834352"/>
    <w:pPr>
      <w:spacing w:after="0" w:line="240" w:lineRule="auto"/>
      <w:ind w:left="720"/>
      <w:jc w:val="left"/>
    </w:pPr>
    <w:rPr>
      <w:rFonts w:eastAsia="Times New Roman"/>
    </w:rPr>
  </w:style>
  <w:style w:type="paragraph" w:styleId="TOC5">
    <w:name w:val="toc 5"/>
    <w:basedOn w:val="Normal"/>
    <w:next w:val="Normal"/>
    <w:autoRedefine/>
    <w:semiHidden/>
    <w:rsid w:val="00834352"/>
    <w:pPr>
      <w:spacing w:after="0" w:line="240" w:lineRule="auto"/>
      <w:ind w:left="960"/>
      <w:jc w:val="left"/>
    </w:pPr>
    <w:rPr>
      <w:rFonts w:eastAsia="Times New Roman"/>
    </w:rPr>
  </w:style>
  <w:style w:type="paragraph" w:styleId="TOC6">
    <w:name w:val="toc 6"/>
    <w:basedOn w:val="Normal"/>
    <w:next w:val="Normal"/>
    <w:autoRedefine/>
    <w:semiHidden/>
    <w:rsid w:val="00834352"/>
    <w:pPr>
      <w:spacing w:after="0" w:line="240" w:lineRule="auto"/>
      <w:ind w:left="1200"/>
      <w:jc w:val="left"/>
    </w:pPr>
    <w:rPr>
      <w:rFonts w:eastAsia="Times New Roman"/>
    </w:rPr>
  </w:style>
  <w:style w:type="paragraph" w:styleId="TOC7">
    <w:name w:val="toc 7"/>
    <w:basedOn w:val="Normal"/>
    <w:next w:val="Normal"/>
    <w:autoRedefine/>
    <w:semiHidden/>
    <w:rsid w:val="00834352"/>
    <w:pPr>
      <w:spacing w:after="0" w:line="240" w:lineRule="auto"/>
      <w:ind w:left="1440"/>
      <w:jc w:val="left"/>
    </w:pPr>
    <w:rPr>
      <w:rFonts w:eastAsia="Times New Roman"/>
    </w:rPr>
  </w:style>
  <w:style w:type="paragraph" w:styleId="TOC8">
    <w:name w:val="toc 8"/>
    <w:basedOn w:val="Normal"/>
    <w:next w:val="Normal"/>
    <w:autoRedefine/>
    <w:semiHidden/>
    <w:rsid w:val="00834352"/>
    <w:pPr>
      <w:spacing w:after="0" w:line="240" w:lineRule="auto"/>
      <w:ind w:left="1680"/>
      <w:jc w:val="left"/>
    </w:pPr>
    <w:rPr>
      <w:rFonts w:eastAsia="Times New Roman"/>
    </w:rPr>
  </w:style>
  <w:style w:type="paragraph" w:styleId="TOC9">
    <w:name w:val="toc 9"/>
    <w:basedOn w:val="Normal"/>
    <w:next w:val="Normal"/>
    <w:autoRedefine/>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szCs w:val="24"/>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sz w:val="24"/>
      <w:szCs w:val="24"/>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B12CD3"/>
    <w:rPr>
      <w:rFonts w:ascii="Times New Roman" w:hAnsi="Times New Roman"/>
      <w:b/>
      <w:smallCaps/>
      <w:color w:val="17365D"/>
      <w:sz w:val="36"/>
      <w:szCs w:val="36"/>
      <w:lang w:val="en-GB" w:eastAsia="en-US"/>
    </w:rPr>
  </w:style>
  <w:style w:type="character" w:customStyle="1" w:styleId="Heading2Char1">
    <w:name w:val="Heading 2 Char1"/>
    <w:basedOn w:val="DefaultParagraphFont"/>
    <w:link w:val="Heading2"/>
    <w:rsid w:val="003C397D"/>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C3636E"/>
    <w:rPr>
      <w:rFonts w:ascii="Times New Roman" w:eastAsia="Times New Roman" w:hAnsi="Times New Roman"/>
      <w:b/>
      <w:bCs/>
      <w:color w:val="17365D"/>
      <w:sz w:val="24"/>
      <w:szCs w:val="24"/>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 w:val="24"/>
      <w:szCs w:val="22"/>
      <w:lang w:val="en-GB" w:eastAsia="en-US"/>
    </w:rPr>
  </w:style>
  <w:style w:type="character" w:customStyle="1" w:styleId="Heading7Char1">
    <w:name w:val="Heading 7 Char1"/>
    <w:basedOn w:val="DefaultParagraphFont"/>
    <w:link w:val="Heading7"/>
    <w:rsid w:val="00C3636E"/>
    <w:rPr>
      <w:rFonts w:eastAsia="Times New Roman"/>
      <w:sz w:val="24"/>
      <w:szCs w:val="24"/>
      <w:lang w:val="en-GB" w:eastAsia="en-US"/>
    </w:rPr>
  </w:style>
  <w:style w:type="character" w:customStyle="1" w:styleId="Heading8Char1">
    <w:name w:val="Heading 8 Char1"/>
    <w:basedOn w:val="DefaultParagraphFont"/>
    <w:link w:val="Heading8"/>
    <w:rsid w:val="00C3636E"/>
    <w:rPr>
      <w:rFonts w:eastAsia="Times New Roman"/>
      <w:i/>
      <w:iCs/>
      <w:sz w:val="24"/>
      <w:szCs w:val="24"/>
      <w:lang w:val="en-GB" w:eastAsia="en-US"/>
    </w:rPr>
  </w:style>
  <w:style w:type="character" w:customStyle="1" w:styleId="Heading9Char1">
    <w:name w:val="Heading 9 Char1"/>
    <w:basedOn w:val="DefaultParagraphFont"/>
    <w:link w:val="Heading9"/>
    <w:rsid w:val="00C3636E"/>
    <w:rPr>
      <w:rFonts w:ascii="Cambria" w:eastAsia="Times New Roman" w:hAnsi="Cambria"/>
      <w:sz w:val="24"/>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uiPriority w:val="99"/>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semiHidden/>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01343"/>
  </w:style>
  <w:style w:type="paragraph" w:styleId="EndnoteText">
    <w:name w:val="endnote text"/>
    <w:basedOn w:val="Normal"/>
    <w:link w:val="EndnoteTextChar"/>
    <w:uiPriority w:val="99"/>
    <w:semiHidden/>
    <w:unhideWhenUsed/>
    <w:rsid w:val="00AD5369"/>
    <w:pPr>
      <w:spacing w:after="0" w:line="240" w:lineRule="auto"/>
      <w:jc w:val="left"/>
    </w:pPr>
    <w:rPr>
      <w:rFonts w:ascii="Calibri" w:eastAsia="Times New Roman" w:hAnsi="Calibri"/>
      <w:sz w:val="20"/>
      <w:szCs w:val="20"/>
      <w:lang w:val="en-US"/>
    </w:rPr>
  </w:style>
  <w:style w:type="character" w:customStyle="1" w:styleId="EndnoteTextChar">
    <w:name w:val="Endnote Text Char"/>
    <w:basedOn w:val="DefaultParagraphFont"/>
    <w:link w:val="EndnoteText"/>
    <w:uiPriority w:val="99"/>
    <w:semiHidden/>
    <w:rsid w:val="00AD5369"/>
    <w:rPr>
      <w:rFonts w:eastAsia="Times New Roman"/>
      <w:lang w:val="en-US" w:eastAsia="en-US"/>
    </w:rPr>
  </w:style>
  <w:style w:type="character" w:styleId="EndnoteReference">
    <w:name w:val="endnote reference"/>
    <w:basedOn w:val="DefaultParagraphFont"/>
    <w:uiPriority w:val="99"/>
    <w:semiHidden/>
    <w:unhideWhenUsed/>
    <w:rsid w:val="00AD5369"/>
    <w:rPr>
      <w:vertAlign w:val="superscript"/>
    </w:rPr>
  </w:style>
</w:styles>
</file>

<file path=word/webSettings.xml><?xml version="1.0" encoding="utf-8"?>
<w:webSettings xmlns:r="http://schemas.openxmlformats.org/officeDocument/2006/relationships" xmlns:w="http://schemas.openxmlformats.org/wordprocessingml/2006/main">
  <w:divs>
    <w:div w:id="301546553">
      <w:bodyDiv w:val="1"/>
      <w:marLeft w:val="0"/>
      <w:marRight w:val="0"/>
      <w:marTop w:val="0"/>
      <w:marBottom w:val="0"/>
      <w:divBdr>
        <w:top w:val="none" w:sz="0" w:space="0" w:color="auto"/>
        <w:left w:val="none" w:sz="0" w:space="0" w:color="auto"/>
        <w:bottom w:val="none" w:sz="0" w:space="0" w:color="auto"/>
        <w:right w:val="none" w:sz="0" w:space="0" w:color="auto"/>
      </w:divBdr>
    </w:div>
    <w:div w:id="409735350">
      <w:bodyDiv w:val="1"/>
      <w:marLeft w:val="0"/>
      <w:marRight w:val="0"/>
      <w:marTop w:val="0"/>
      <w:marBottom w:val="0"/>
      <w:divBdr>
        <w:top w:val="none" w:sz="0" w:space="0" w:color="auto"/>
        <w:left w:val="none" w:sz="0" w:space="0" w:color="auto"/>
        <w:bottom w:val="none" w:sz="0" w:space="0" w:color="auto"/>
        <w:right w:val="none" w:sz="0" w:space="0" w:color="auto"/>
      </w:divBdr>
    </w:div>
    <w:div w:id="530344883">
      <w:bodyDiv w:val="1"/>
      <w:marLeft w:val="0"/>
      <w:marRight w:val="0"/>
      <w:marTop w:val="0"/>
      <w:marBottom w:val="0"/>
      <w:divBdr>
        <w:top w:val="none" w:sz="0" w:space="0" w:color="auto"/>
        <w:left w:val="none" w:sz="0" w:space="0" w:color="auto"/>
        <w:bottom w:val="none" w:sz="0" w:space="0" w:color="auto"/>
        <w:right w:val="none" w:sz="0" w:space="0" w:color="auto"/>
      </w:divBdr>
      <w:divsChild>
        <w:div w:id="1527136885">
          <w:marLeft w:val="0"/>
          <w:marRight w:val="0"/>
          <w:marTop w:val="0"/>
          <w:marBottom w:val="0"/>
          <w:divBdr>
            <w:top w:val="none" w:sz="0" w:space="0" w:color="auto"/>
            <w:left w:val="none" w:sz="0" w:space="0" w:color="auto"/>
            <w:bottom w:val="none" w:sz="0" w:space="0" w:color="auto"/>
            <w:right w:val="none" w:sz="0" w:space="0" w:color="auto"/>
          </w:divBdr>
        </w:div>
      </w:divsChild>
    </w:div>
    <w:div w:id="603343318">
      <w:bodyDiv w:val="1"/>
      <w:marLeft w:val="0"/>
      <w:marRight w:val="0"/>
      <w:marTop w:val="0"/>
      <w:marBottom w:val="0"/>
      <w:divBdr>
        <w:top w:val="none" w:sz="0" w:space="0" w:color="auto"/>
        <w:left w:val="none" w:sz="0" w:space="0" w:color="auto"/>
        <w:bottom w:val="none" w:sz="0" w:space="0" w:color="auto"/>
        <w:right w:val="none" w:sz="0" w:space="0" w:color="auto"/>
      </w:divBdr>
    </w:div>
    <w:div w:id="614405899">
      <w:bodyDiv w:val="1"/>
      <w:marLeft w:val="0"/>
      <w:marRight w:val="0"/>
      <w:marTop w:val="0"/>
      <w:marBottom w:val="0"/>
      <w:divBdr>
        <w:top w:val="none" w:sz="0" w:space="0" w:color="auto"/>
        <w:left w:val="none" w:sz="0" w:space="0" w:color="auto"/>
        <w:bottom w:val="none" w:sz="0" w:space="0" w:color="auto"/>
        <w:right w:val="none" w:sz="0" w:space="0" w:color="auto"/>
      </w:divBdr>
    </w:div>
    <w:div w:id="637761102">
      <w:bodyDiv w:val="1"/>
      <w:marLeft w:val="0"/>
      <w:marRight w:val="0"/>
      <w:marTop w:val="0"/>
      <w:marBottom w:val="0"/>
      <w:divBdr>
        <w:top w:val="none" w:sz="0" w:space="0" w:color="auto"/>
        <w:left w:val="none" w:sz="0" w:space="0" w:color="auto"/>
        <w:bottom w:val="none" w:sz="0" w:space="0" w:color="auto"/>
        <w:right w:val="none" w:sz="0" w:space="0" w:color="auto"/>
      </w:divBdr>
    </w:div>
    <w:div w:id="1028261823">
      <w:bodyDiv w:val="1"/>
      <w:marLeft w:val="0"/>
      <w:marRight w:val="0"/>
      <w:marTop w:val="0"/>
      <w:marBottom w:val="0"/>
      <w:divBdr>
        <w:top w:val="none" w:sz="0" w:space="0" w:color="auto"/>
        <w:left w:val="none" w:sz="0" w:space="0" w:color="auto"/>
        <w:bottom w:val="none" w:sz="0" w:space="0" w:color="auto"/>
        <w:right w:val="none" w:sz="0" w:space="0" w:color="auto"/>
      </w:divBdr>
    </w:div>
    <w:div w:id="1093742805">
      <w:bodyDiv w:val="1"/>
      <w:marLeft w:val="0"/>
      <w:marRight w:val="0"/>
      <w:marTop w:val="0"/>
      <w:marBottom w:val="0"/>
      <w:divBdr>
        <w:top w:val="none" w:sz="0" w:space="0" w:color="auto"/>
        <w:left w:val="none" w:sz="0" w:space="0" w:color="auto"/>
        <w:bottom w:val="none" w:sz="0" w:space="0" w:color="auto"/>
        <w:right w:val="none" w:sz="0" w:space="0" w:color="auto"/>
      </w:divBdr>
    </w:div>
    <w:div w:id="1258488784">
      <w:bodyDiv w:val="1"/>
      <w:marLeft w:val="0"/>
      <w:marRight w:val="0"/>
      <w:marTop w:val="0"/>
      <w:marBottom w:val="0"/>
      <w:divBdr>
        <w:top w:val="none" w:sz="0" w:space="0" w:color="auto"/>
        <w:left w:val="none" w:sz="0" w:space="0" w:color="auto"/>
        <w:bottom w:val="none" w:sz="0" w:space="0" w:color="auto"/>
        <w:right w:val="none" w:sz="0" w:space="0" w:color="auto"/>
      </w:divBdr>
    </w:div>
    <w:div w:id="1526403636">
      <w:bodyDiv w:val="1"/>
      <w:marLeft w:val="0"/>
      <w:marRight w:val="0"/>
      <w:marTop w:val="0"/>
      <w:marBottom w:val="0"/>
      <w:divBdr>
        <w:top w:val="none" w:sz="0" w:space="0" w:color="auto"/>
        <w:left w:val="none" w:sz="0" w:space="0" w:color="auto"/>
        <w:bottom w:val="none" w:sz="0" w:space="0" w:color="auto"/>
        <w:right w:val="none" w:sz="0" w:space="0" w:color="auto"/>
      </w:divBdr>
    </w:div>
    <w:div w:id="1706516138">
      <w:bodyDiv w:val="1"/>
      <w:marLeft w:val="0"/>
      <w:marRight w:val="0"/>
      <w:marTop w:val="0"/>
      <w:marBottom w:val="0"/>
      <w:divBdr>
        <w:top w:val="none" w:sz="0" w:space="0" w:color="auto"/>
        <w:left w:val="none" w:sz="0" w:space="0" w:color="auto"/>
        <w:bottom w:val="none" w:sz="0" w:space="0" w:color="auto"/>
        <w:right w:val="none" w:sz="0" w:space="0" w:color="auto"/>
      </w:divBdr>
    </w:div>
    <w:div w:id="1722557665">
      <w:bodyDiv w:val="1"/>
      <w:marLeft w:val="0"/>
      <w:marRight w:val="0"/>
      <w:marTop w:val="0"/>
      <w:marBottom w:val="0"/>
      <w:divBdr>
        <w:top w:val="none" w:sz="0" w:space="0" w:color="auto"/>
        <w:left w:val="none" w:sz="0" w:space="0" w:color="auto"/>
        <w:bottom w:val="none" w:sz="0" w:space="0" w:color="auto"/>
        <w:right w:val="none" w:sz="0" w:space="0" w:color="auto"/>
      </w:divBdr>
      <w:divsChild>
        <w:div w:id="56167913">
          <w:marLeft w:val="0"/>
          <w:marRight w:val="0"/>
          <w:marTop w:val="0"/>
          <w:marBottom w:val="0"/>
          <w:divBdr>
            <w:top w:val="none" w:sz="0" w:space="0" w:color="auto"/>
            <w:left w:val="none" w:sz="0" w:space="0" w:color="auto"/>
            <w:bottom w:val="none" w:sz="0" w:space="0" w:color="auto"/>
            <w:right w:val="none" w:sz="0" w:space="0" w:color="auto"/>
          </w:divBdr>
        </w:div>
        <w:div w:id="121390015">
          <w:marLeft w:val="0"/>
          <w:marRight w:val="0"/>
          <w:marTop w:val="0"/>
          <w:marBottom w:val="0"/>
          <w:divBdr>
            <w:top w:val="none" w:sz="0" w:space="0" w:color="auto"/>
            <w:left w:val="none" w:sz="0" w:space="0" w:color="auto"/>
            <w:bottom w:val="none" w:sz="0" w:space="0" w:color="auto"/>
            <w:right w:val="none" w:sz="0" w:space="0" w:color="auto"/>
          </w:divBdr>
        </w:div>
        <w:div w:id="209802576">
          <w:marLeft w:val="0"/>
          <w:marRight w:val="0"/>
          <w:marTop w:val="0"/>
          <w:marBottom w:val="0"/>
          <w:divBdr>
            <w:top w:val="none" w:sz="0" w:space="0" w:color="auto"/>
            <w:left w:val="none" w:sz="0" w:space="0" w:color="auto"/>
            <w:bottom w:val="none" w:sz="0" w:space="0" w:color="auto"/>
            <w:right w:val="none" w:sz="0" w:space="0" w:color="auto"/>
          </w:divBdr>
        </w:div>
        <w:div w:id="291061253">
          <w:marLeft w:val="0"/>
          <w:marRight w:val="0"/>
          <w:marTop w:val="0"/>
          <w:marBottom w:val="0"/>
          <w:divBdr>
            <w:top w:val="none" w:sz="0" w:space="0" w:color="auto"/>
            <w:left w:val="none" w:sz="0" w:space="0" w:color="auto"/>
            <w:bottom w:val="none" w:sz="0" w:space="0" w:color="auto"/>
            <w:right w:val="none" w:sz="0" w:space="0" w:color="auto"/>
          </w:divBdr>
        </w:div>
        <w:div w:id="303587992">
          <w:marLeft w:val="0"/>
          <w:marRight w:val="0"/>
          <w:marTop w:val="0"/>
          <w:marBottom w:val="0"/>
          <w:divBdr>
            <w:top w:val="none" w:sz="0" w:space="0" w:color="auto"/>
            <w:left w:val="none" w:sz="0" w:space="0" w:color="auto"/>
            <w:bottom w:val="none" w:sz="0" w:space="0" w:color="auto"/>
            <w:right w:val="none" w:sz="0" w:space="0" w:color="auto"/>
          </w:divBdr>
        </w:div>
        <w:div w:id="328872892">
          <w:marLeft w:val="0"/>
          <w:marRight w:val="0"/>
          <w:marTop w:val="0"/>
          <w:marBottom w:val="0"/>
          <w:divBdr>
            <w:top w:val="none" w:sz="0" w:space="0" w:color="auto"/>
            <w:left w:val="none" w:sz="0" w:space="0" w:color="auto"/>
            <w:bottom w:val="none" w:sz="0" w:space="0" w:color="auto"/>
            <w:right w:val="none" w:sz="0" w:space="0" w:color="auto"/>
          </w:divBdr>
        </w:div>
        <w:div w:id="461770865">
          <w:marLeft w:val="0"/>
          <w:marRight w:val="0"/>
          <w:marTop w:val="0"/>
          <w:marBottom w:val="0"/>
          <w:divBdr>
            <w:top w:val="none" w:sz="0" w:space="0" w:color="auto"/>
            <w:left w:val="none" w:sz="0" w:space="0" w:color="auto"/>
            <w:bottom w:val="none" w:sz="0" w:space="0" w:color="auto"/>
            <w:right w:val="none" w:sz="0" w:space="0" w:color="auto"/>
          </w:divBdr>
        </w:div>
        <w:div w:id="656226738">
          <w:marLeft w:val="0"/>
          <w:marRight w:val="0"/>
          <w:marTop w:val="0"/>
          <w:marBottom w:val="0"/>
          <w:divBdr>
            <w:top w:val="none" w:sz="0" w:space="0" w:color="auto"/>
            <w:left w:val="none" w:sz="0" w:space="0" w:color="auto"/>
            <w:bottom w:val="none" w:sz="0" w:space="0" w:color="auto"/>
            <w:right w:val="none" w:sz="0" w:space="0" w:color="auto"/>
          </w:divBdr>
        </w:div>
        <w:div w:id="748893405">
          <w:marLeft w:val="0"/>
          <w:marRight w:val="0"/>
          <w:marTop w:val="0"/>
          <w:marBottom w:val="0"/>
          <w:divBdr>
            <w:top w:val="none" w:sz="0" w:space="0" w:color="auto"/>
            <w:left w:val="none" w:sz="0" w:space="0" w:color="auto"/>
            <w:bottom w:val="none" w:sz="0" w:space="0" w:color="auto"/>
            <w:right w:val="none" w:sz="0" w:space="0" w:color="auto"/>
          </w:divBdr>
        </w:div>
        <w:div w:id="806820525">
          <w:marLeft w:val="0"/>
          <w:marRight w:val="0"/>
          <w:marTop w:val="0"/>
          <w:marBottom w:val="0"/>
          <w:divBdr>
            <w:top w:val="none" w:sz="0" w:space="0" w:color="auto"/>
            <w:left w:val="none" w:sz="0" w:space="0" w:color="auto"/>
            <w:bottom w:val="none" w:sz="0" w:space="0" w:color="auto"/>
            <w:right w:val="none" w:sz="0" w:space="0" w:color="auto"/>
          </w:divBdr>
        </w:div>
        <w:div w:id="829515471">
          <w:marLeft w:val="0"/>
          <w:marRight w:val="0"/>
          <w:marTop w:val="0"/>
          <w:marBottom w:val="0"/>
          <w:divBdr>
            <w:top w:val="none" w:sz="0" w:space="0" w:color="auto"/>
            <w:left w:val="none" w:sz="0" w:space="0" w:color="auto"/>
            <w:bottom w:val="none" w:sz="0" w:space="0" w:color="auto"/>
            <w:right w:val="none" w:sz="0" w:space="0" w:color="auto"/>
          </w:divBdr>
        </w:div>
        <w:div w:id="865094656">
          <w:marLeft w:val="0"/>
          <w:marRight w:val="0"/>
          <w:marTop w:val="0"/>
          <w:marBottom w:val="0"/>
          <w:divBdr>
            <w:top w:val="none" w:sz="0" w:space="0" w:color="auto"/>
            <w:left w:val="none" w:sz="0" w:space="0" w:color="auto"/>
            <w:bottom w:val="none" w:sz="0" w:space="0" w:color="auto"/>
            <w:right w:val="none" w:sz="0" w:space="0" w:color="auto"/>
          </w:divBdr>
        </w:div>
        <w:div w:id="971788411">
          <w:marLeft w:val="0"/>
          <w:marRight w:val="0"/>
          <w:marTop w:val="0"/>
          <w:marBottom w:val="0"/>
          <w:divBdr>
            <w:top w:val="none" w:sz="0" w:space="0" w:color="auto"/>
            <w:left w:val="none" w:sz="0" w:space="0" w:color="auto"/>
            <w:bottom w:val="none" w:sz="0" w:space="0" w:color="auto"/>
            <w:right w:val="none" w:sz="0" w:space="0" w:color="auto"/>
          </w:divBdr>
        </w:div>
        <w:div w:id="1236628930">
          <w:marLeft w:val="0"/>
          <w:marRight w:val="0"/>
          <w:marTop w:val="0"/>
          <w:marBottom w:val="0"/>
          <w:divBdr>
            <w:top w:val="none" w:sz="0" w:space="0" w:color="auto"/>
            <w:left w:val="none" w:sz="0" w:space="0" w:color="auto"/>
            <w:bottom w:val="none" w:sz="0" w:space="0" w:color="auto"/>
            <w:right w:val="none" w:sz="0" w:space="0" w:color="auto"/>
          </w:divBdr>
        </w:div>
        <w:div w:id="1304311927">
          <w:marLeft w:val="0"/>
          <w:marRight w:val="0"/>
          <w:marTop w:val="0"/>
          <w:marBottom w:val="0"/>
          <w:divBdr>
            <w:top w:val="none" w:sz="0" w:space="0" w:color="auto"/>
            <w:left w:val="none" w:sz="0" w:space="0" w:color="auto"/>
            <w:bottom w:val="none" w:sz="0" w:space="0" w:color="auto"/>
            <w:right w:val="none" w:sz="0" w:space="0" w:color="auto"/>
          </w:divBdr>
        </w:div>
        <w:div w:id="1469863187">
          <w:marLeft w:val="0"/>
          <w:marRight w:val="0"/>
          <w:marTop w:val="0"/>
          <w:marBottom w:val="0"/>
          <w:divBdr>
            <w:top w:val="none" w:sz="0" w:space="0" w:color="auto"/>
            <w:left w:val="none" w:sz="0" w:space="0" w:color="auto"/>
            <w:bottom w:val="none" w:sz="0" w:space="0" w:color="auto"/>
            <w:right w:val="none" w:sz="0" w:space="0" w:color="auto"/>
          </w:divBdr>
        </w:div>
        <w:div w:id="1575117657">
          <w:marLeft w:val="0"/>
          <w:marRight w:val="0"/>
          <w:marTop w:val="0"/>
          <w:marBottom w:val="0"/>
          <w:divBdr>
            <w:top w:val="none" w:sz="0" w:space="0" w:color="auto"/>
            <w:left w:val="none" w:sz="0" w:space="0" w:color="auto"/>
            <w:bottom w:val="none" w:sz="0" w:space="0" w:color="auto"/>
            <w:right w:val="none" w:sz="0" w:space="0" w:color="auto"/>
          </w:divBdr>
        </w:div>
        <w:div w:id="1723990190">
          <w:marLeft w:val="0"/>
          <w:marRight w:val="0"/>
          <w:marTop w:val="0"/>
          <w:marBottom w:val="0"/>
          <w:divBdr>
            <w:top w:val="none" w:sz="0" w:space="0" w:color="auto"/>
            <w:left w:val="none" w:sz="0" w:space="0" w:color="auto"/>
            <w:bottom w:val="none" w:sz="0" w:space="0" w:color="auto"/>
            <w:right w:val="none" w:sz="0" w:space="0" w:color="auto"/>
          </w:divBdr>
        </w:div>
        <w:div w:id="2091074218">
          <w:marLeft w:val="0"/>
          <w:marRight w:val="0"/>
          <w:marTop w:val="0"/>
          <w:marBottom w:val="0"/>
          <w:divBdr>
            <w:top w:val="none" w:sz="0" w:space="0" w:color="auto"/>
            <w:left w:val="none" w:sz="0" w:space="0" w:color="auto"/>
            <w:bottom w:val="none" w:sz="0" w:space="0" w:color="auto"/>
            <w:right w:val="none" w:sz="0" w:space="0" w:color="auto"/>
          </w:divBdr>
        </w:div>
      </w:divsChild>
    </w:div>
    <w:div w:id="1760785703">
      <w:bodyDiv w:val="1"/>
      <w:marLeft w:val="0"/>
      <w:marRight w:val="0"/>
      <w:marTop w:val="0"/>
      <w:marBottom w:val="0"/>
      <w:divBdr>
        <w:top w:val="none" w:sz="0" w:space="0" w:color="auto"/>
        <w:left w:val="none" w:sz="0" w:space="0" w:color="auto"/>
        <w:bottom w:val="none" w:sz="0" w:space="0" w:color="auto"/>
        <w:right w:val="none" w:sz="0" w:space="0" w:color="auto"/>
      </w:divBdr>
      <w:divsChild>
        <w:div w:id="314262329">
          <w:marLeft w:val="0"/>
          <w:marRight w:val="0"/>
          <w:marTop w:val="0"/>
          <w:marBottom w:val="0"/>
          <w:divBdr>
            <w:top w:val="none" w:sz="0" w:space="0" w:color="auto"/>
            <w:left w:val="none" w:sz="0" w:space="0" w:color="auto"/>
            <w:bottom w:val="none" w:sz="0" w:space="0" w:color="auto"/>
            <w:right w:val="none" w:sz="0" w:space="0" w:color="auto"/>
          </w:divBdr>
        </w:div>
        <w:div w:id="1971783555">
          <w:marLeft w:val="0"/>
          <w:marRight w:val="0"/>
          <w:marTop w:val="0"/>
          <w:marBottom w:val="0"/>
          <w:divBdr>
            <w:top w:val="none" w:sz="0" w:space="0" w:color="auto"/>
            <w:left w:val="none" w:sz="0" w:space="0" w:color="auto"/>
            <w:bottom w:val="none" w:sz="0" w:space="0" w:color="auto"/>
            <w:right w:val="none" w:sz="0" w:space="0" w:color="auto"/>
          </w:divBdr>
        </w:div>
        <w:div w:id="322708785">
          <w:marLeft w:val="0"/>
          <w:marRight w:val="0"/>
          <w:marTop w:val="0"/>
          <w:marBottom w:val="0"/>
          <w:divBdr>
            <w:top w:val="none" w:sz="0" w:space="0" w:color="auto"/>
            <w:left w:val="none" w:sz="0" w:space="0" w:color="auto"/>
            <w:bottom w:val="none" w:sz="0" w:space="0" w:color="auto"/>
            <w:right w:val="none" w:sz="0" w:space="0" w:color="auto"/>
          </w:divBdr>
          <w:divsChild>
            <w:div w:id="881359063">
              <w:marLeft w:val="0"/>
              <w:marRight w:val="0"/>
              <w:marTop w:val="0"/>
              <w:marBottom w:val="0"/>
              <w:divBdr>
                <w:top w:val="none" w:sz="0" w:space="0" w:color="auto"/>
                <w:left w:val="none" w:sz="0" w:space="0" w:color="auto"/>
                <w:bottom w:val="none" w:sz="0" w:space="0" w:color="auto"/>
                <w:right w:val="none" w:sz="0" w:space="0" w:color="auto"/>
              </w:divBdr>
            </w:div>
            <w:div w:id="1852376064">
              <w:marLeft w:val="0"/>
              <w:marRight w:val="0"/>
              <w:marTop w:val="0"/>
              <w:marBottom w:val="0"/>
              <w:divBdr>
                <w:top w:val="none" w:sz="0" w:space="0" w:color="auto"/>
                <w:left w:val="none" w:sz="0" w:space="0" w:color="auto"/>
                <w:bottom w:val="none" w:sz="0" w:space="0" w:color="auto"/>
                <w:right w:val="none" w:sz="0" w:space="0" w:color="auto"/>
              </w:divBdr>
            </w:div>
            <w:div w:id="1848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8198">
      <w:bodyDiv w:val="1"/>
      <w:marLeft w:val="0"/>
      <w:marRight w:val="0"/>
      <w:marTop w:val="0"/>
      <w:marBottom w:val="0"/>
      <w:divBdr>
        <w:top w:val="none" w:sz="0" w:space="0" w:color="auto"/>
        <w:left w:val="none" w:sz="0" w:space="0" w:color="auto"/>
        <w:bottom w:val="none" w:sz="0" w:space="0" w:color="auto"/>
        <w:right w:val="none" w:sz="0" w:space="0" w:color="auto"/>
      </w:divBdr>
    </w:div>
    <w:div w:id="1982078474">
      <w:bodyDiv w:val="1"/>
      <w:marLeft w:val="0"/>
      <w:marRight w:val="0"/>
      <w:marTop w:val="0"/>
      <w:marBottom w:val="0"/>
      <w:divBdr>
        <w:top w:val="none" w:sz="0" w:space="0" w:color="auto"/>
        <w:left w:val="none" w:sz="0" w:space="0" w:color="auto"/>
        <w:bottom w:val="none" w:sz="0" w:space="0" w:color="auto"/>
        <w:right w:val="none" w:sz="0" w:space="0" w:color="auto"/>
      </w:divBdr>
    </w:div>
    <w:div w:id="1993213904">
      <w:bodyDiv w:val="1"/>
      <w:marLeft w:val="0"/>
      <w:marRight w:val="0"/>
      <w:marTop w:val="0"/>
      <w:marBottom w:val="0"/>
      <w:divBdr>
        <w:top w:val="none" w:sz="0" w:space="0" w:color="auto"/>
        <w:left w:val="none" w:sz="0" w:space="0" w:color="auto"/>
        <w:bottom w:val="none" w:sz="0" w:space="0" w:color="auto"/>
        <w:right w:val="none" w:sz="0" w:space="0" w:color="auto"/>
      </w:divBdr>
    </w:div>
    <w:div w:id="2018383551">
      <w:bodyDiv w:val="1"/>
      <w:marLeft w:val="0"/>
      <w:marRight w:val="0"/>
      <w:marTop w:val="0"/>
      <w:marBottom w:val="0"/>
      <w:divBdr>
        <w:top w:val="none" w:sz="0" w:space="0" w:color="auto"/>
        <w:left w:val="none" w:sz="0" w:space="0" w:color="auto"/>
        <w:bottom w:val="none" w:sz="0" w:space="0" w:color="auto"/>
        <w:right w:val="none" w:sz="0" w:space="0" w:color="auto"/>
      </w:divBdr>
    </w:div>
    <w:div w:id="20461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gcca.eu/regional-programmes/gcca-pacific-small-island-states" TargetMode="External"/><Relationship Id="rId15" Type="http://schemas.openxmlformats.org/officeDocument/2006/relationships/image" Target="media/image4.emf"/><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unep.org/disastersandconflicts/Introduction/EnvironmentalCooperationforPeacebuilding/EnvironmentalDiplomacy/SahelReport/tabid/55812/Default.aspx" TargetMode="External"/><Relationship Id="rId4" Type="http://schemas.openxmlformats.org/officeDocument/2006/relationships/hyperlink" Target="http://www.caricom.org/jsp/community_organs/epa_unit/Cotonou_Agreement_&amp;_Lome4_agr05.pdf" TargetMode="External"/><Relationship Id="rId5" Type="http://schemas.openxmlformats.org/officeDocument/2006/relationships/hyperlink" Target="http://www.caricom.org/jsp/community_organs/epa_unit/epa_text_ec_journal_30_10_08.pdf" TargetMode="External"/><Relationship Id="rId6" Type="http://schemas.openxmlformats.org/officeDocument/2006/relationships/hyperlink" Target="http://www.caricom.org/jsp/community_organs/cariforum/epa_unit_main_page.jsp" TargetMode="External"/><Relationship Id="rId1" Type="http://schemas.openxmlformats.org/officeDocument/2006/relationships/hyperlink" Target="http://www.climatechange2014.org/" TargetMode="External"/><Relationship Id="rId2" Type="http://schemas.openxmlformats.org/officeDocument/2006/relationships/hyperlink" Target="http://www.bvsde.paho.org/bvsacd/cd68/ClimAfric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g1\Documents\Reporting\Lot%206_Report%20Format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CD21-11FE-4345-AC1B-4095D8E1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\Users\ncg1\Documents\Reporting\Lot 6_Report Format4.dotx</Template>
  <TotalTime>93</TotalTime>
  <Pages>64</Pages>
  <Words>27395</Words>
  <Characters>156153</Characters>
  <Application>Microsoft Macintosh Word</Application>
  <DocSecurity>0</DocSecurity>
  <Lines>1301</Lines>
  <Paragraphs>312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Grizli777</Company>
  <LinksUpToDate>false</LinksUpToDate>
  <CharactersWithSpaces>191766</CharactersWithSpaces>
  <SharedDoc>false</SharedDoc>
  <HLinks>
    <vt:vector size="66" baseType="variant">
      <vt:variant>
        <vt:i4>1900607</vt:i4>
      </vt:variant>
      <vt:variant>
        <vt:i4>62</vt:i4>
      </vt:variant>
      <vt:variant>
        <vt:i4>0</vt:i4>
      </vt:variant>
      <vt:variant>
        <vt:i4>5</vt:i4>
      </vt:variant>
      <vt:variant>
        <vt:lpwstr/>
      </vt:variant>
      <vt:variant>
        <vt:lpwstr>_Toc310940826</vt:lpwstr>
      </vt:variant>
      <vt:variant>
        <vt:i4>1900607</vt:i4>
      </vt:variant>
      <vt:variant>
        <vt:i4>56</vt:i4>
      </vt:variant>
      <vt:variant>
        <vt:i4>0</vt:i4>
      </vt:variant>
      <vt:variant>
        <vt:i4>5</vt:i4>
      </vt:variant>
      <vt:variant>
        <vt:lpwstr/>
      </vt:variant>
      <vt:variant>
        <vt:lpwstr>_Toc310940825</vt:lpwstr>
      </vt:variant>
      <vt:variant>
        <vt:i4>1900607</vt:i4>
      </vt:variant>
      <vt:variant>
        <vt:i4>50</vt:i4>
      </vt:variant>
      <vt:variant>
        <vt:i4>0</vt:i4>
      </vt:variant>
      <vt:variant>
        <vt:i4>5</vt:i4>
      </vt:variant>
      <vt:variant>
        <vt:lpwstr/>
      </vt:variant>
      <vt:variant>
        <vt:lpwstr>_Toc310940824</vt:lpwstr>
      </vt:variant>
      <vt:variant>
        <vt:i4>1900607</vt:i4>
      </vt:variant>
      <vt:variant>
        <vt:i4>44</vt:i4>
      </vt:variant>
      <vt:variant>
        <vt:i4>0</vt:i4>
      </vt:variant>
      <vt:variant>
        <vt:i4>5</vt:i4>
      </vt:variant>
      <vt:variant>
        <vt:lpwstr/>
      </vt:variant>
      <vt:variant>
        <vt:lpwstr>_Toc310940823</vt:lpwstr>
      </vt:variant>
      <vt:variant>
        <vt:i4>1900607</vt:i4>
      </vt:variant>
      <vt:variant>
        <vt:i4>38</vt:i4>
      </vt:variant>
      <vt:variant>
        <vt:i4>0</vt:i4>
      </vt:variant>
      <vt:variant>
        <vt:i4>5</vt:i4>
      </vt:variant>
      <vt:variant>
        <vt:lpwstr/>
      </vt:variant>
      <vt:variant>
        <vt:lpwstr>_Toc310940822</vt:lpwstr>
      </vt:variant>
      <vt:variant>
        <vt:i4>1900607</vt:i4>
      </vt:variant>
      <vt:variant>
        <vt:i4>32</vt:i4>
      </vt:variant>
      <vt:variant>
        <vt:i4>0</vt:i4>
      </vt:variant>
      <vt:variant>
        <vt:i4>5</vt:i4>
      </vt:variant>
      <vt:variant>
        <vt:lpwstr/>
      </vt:variant>
      <vt:variant>
        <vt:lpwstr>_Toc310940821</vt:lpwstr>
      </vt:variant>
      <vt:variant>
        <vt:i4>1900607</vt:i4>
      </vt:variant>
      <vt:variant>
        <vt:i4>26</vt:i4>
      </vt:variant>
      <vt:variant>
        <vt:i4>0</vt:i4>
      </vt:variant>
      <vt:variant>
        <vt:i4>5</vt:i4>
      </vt:variant>
      <vt:variant>
        <vt:lpwstr/>
      </vt:variant>
      <vt:variant>
        <vt:lpwstr>_Toc310940820</vt:lpwstr>
      </vt:variant>
      <vt:variant>
        <vt:i4>1966143</vt:i4>
      </vt:variant>
      <vt:variant>
        <vt:i4>20</vt:i4>
      </vt:variant>
      <vt:variant>
        <vt:i4>0</vt:i4>
      </vt:variant>
      <vt:variant>
        <vt:i4>5</vt:i4>
      </vt:variant>
      <vt:variant>
        <vt:lpwstr/>
      </vt:variant>
      <vt:variant>
        <vt:lpwstr>_Toc310940819</vt:lpwstr>
      </vt:variant>
      <vt:variant>
        <vt:i4>1966143</vt:i4>
      </vt:variant>
      <vt:variant>
        <vt:i4>14</vt:i4>
      </vt:variant>
      <vt:variant>
        <vt:i4>0</vt:i4>
      </vt:variant>
      <vt:variant>
        <vt:i4>5</vt:i4>
      </vt:variant>
      <vt:variant>
        <vt:lpwstr/>
      </vt:variant>
      <vt:variant>
        <vt:lpwstr>_Toc310940818</vt:lpwstr>
      </vt:variant>
      <vt:variant>
        <vt:i4>1966143</vt:i4>
      </vt:variant>
      <vt:variant>
        <vt:i4>8</vt:i4>
      </vt:variant>
      <vt:variant>
        <vt:i4>0</vt:i4>
      </vt:variant>
      <vt:variant>
        <vt:i4>5</vt:i4>
      </vt:variant>
      <vt:variant>
        <vt:lpwstr/>
      </vt:variant>
      <vt:variant>
        <vt:lpwstr>_Toc310940817</vt:lpwstr>
      </vt:variant>
      <vt:variant>
        <vt:i4>1966143</vt:i4>
      </vt:variant>
      <vt:variant>
        <vt:i4>2</vt:i4>
      </vt:variant>
      <vt:variant>
        <vt:i4>0</vt:i4>
      </vt:variant>
      <vt:variant>
        <vt:i4>5</vt:i4>
      </vt:variant>
      <vt:variant>
        <vt:lpwstr/>
      </vt:variant>
      <vt:variant>
        <vt:lpwstr>_Toc310940816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Euronet Consulting</dc:creator>
  <cp:lastModifiedBy>Dolf Noppen</cp:lastModifiedBy>
  <cp:revision>31</cp:revision>
  <cp:lastPrinted>2014-07-02T08:24:00Z</cp:lastPrinted>
  <dcterms:created xsi:type="dcterms:W3CDTF">2014-10-13T09:35:00Z</dcterms:created>
  <dcterms:modified xsi:type="dcterms:W3CDTF">2015-02-05T22:50:00Z</dcterms:modified>
</cp:coreProperties>
</file>